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4F402" w14:textId="37FCD649" w:rsidR="00202223" w:rsidRPr="002237C4" w:rsidRDefault="00202223" w:rsidP="00127752">
      <w:pPr>
        <w:spacing w:before="1200" w:after="0"/>
        <w:jc w:val="center"/>
        <w:rPr>
          <w:b/>
          <w:bCs/>
          <w:sz w:val="36"/>
          <w:szCs w:val="36"/>
          <w:lang w:val="en-US"/>
        </w:rPr>
      </w:pPr>
      <w:r w:rsidRPr="002237C4">
        <w:rPr>
          <w:b/>
          <w:bCs/>
          <w:sz w:val="36"/>
          <w:szCs w:val="36"/>
          <w:lang w:val="en-US"/>
        </w:rPr>
        <w:t xml:space="preserve">Analysis </w:t>
      </w:r>
      <w:r w:rsidR="006F36CD">
        <w:rPr>
          <w:b/>
          <w:bCs/>
          <w:sz w:val="36"/>
          <w:szCs w:val="36"/>
          <w:lang w:val="en-US"/>
        </w:rPr>
        <w:t>o</w:t>
      </w:r>
      <w:r w:rsidR="006F36CD" w:rsidRPr="002237C4">
        <w:rPr>
          <w:b/>
          <w:bCs/>
          <w:sz w:val="36"/>
          <w:szCs w:val="36"/>
          <w:lang w:val="en-US"/>
        </w:rPr>
        <w:t xml:space="preserve">f </w:t>
      </w:r>
      <w:r w:rsidR="006F36CD">
        <w:rPr>
          <w:b/>
          <w:bCs/>
          <w:sz w:val="36"/>
          <w:szCs w:val="36"/>
          <w:lang w:val="en-US"/>
        </w:rPr>
        <w:t>t</w:t>
      </w:r>
      <w:r w:rsidR="006F36CD" w:rsidRPr="002237C4">
        <w:rPr>
          <w:b/>
          <w:bCs/>
          <w:sz w:val="36"/>
          <w:szCs w:val="36"/>
          <w:lang w:val="en-US"/>
        </w:rPr>
        <w:t xml:space="preserve">he Hydration Kinetics </w:t>
      </w:r>
      <w:r w:rsidR="006F36CD">
        <w:rPr>
          <w:b/>
          <w:bCs/>
          <w:sz w:val="36"/>
          <w:szCs w:val="36"/>
          <w:lang w:val="en-US"/>
        </w:rPr>
        <w:t>o</w:t>
      </w:r>
      <w:r w:rsidR="006F36CD" w:rsidRPr="002237C4">
        <w:rPr>
          <w:b/>
          <w:bCs/>
          <w:sz w:val="36"/>
          <w:szCs w:val="36"/>
          <w:lang w:val="en-US"/>
        </w:rPr>
        <w:t xml:space="preserve">f Cement </w:t>
      </w:r>
      <w:r w:rsidR="006F36CD">
        <w:rPr>
          <w:b/>
          <w:bCs/>
          <w:sz w:val="36"/>
          <w:szCs w:val="36"/>
          <w:lang w:val="en-US"/>
        </w:rPr>
        <w:t>w</w:t>
      </w:r>
      <w:r w:rsidR="006F36CD" w:rsidRPr="002237C4">
        <w:rPr>
          <w:b/>
          <w:bCs/>
          <w:sz w:val="36"/>
          <w:szCs w:val="36"/>
          <w:lang w:val="en-US"/>
        </w:rPr>
        <w:t xml:space="preserve">ith Various Superplasticizers </w:t>
      </w:r>
      <w:r w:rsidR="006F36CD">
        <w:rPr>
          <w:b/>
          <w:bCs/>
          <w:sz w:val="36"/>
          <w:szCs w:val="36"/>
          <w:lang w:val="en-US"/>
        </w:rPr>
        <w:t>b</w:t>
      </w:r>
      <w:r w:rsidR="006F36CD" w:rsidRPr="002237C4">
        <w:rPr>
          <w:b/>
          <w:bCs/>
          <w:sz w:val="36"/>
          <w:szCs w:val="36"/>
          <w:lang w:val="en-US"/>
        </w:rPr>
        <w:t>y Isothermal Calorimetry</w:t>
      </w:r>
    </w:p>
    <w:p w14:paraId="189940F0" w14:textId="09DE3FA1" w:rsidR="008C128D" w:rsidRPr="002237C4" w:rsidRDefault="00023E55" w:rsidP="00127752">
      <w:pPr>
        <w:spacing w:before="360" w:after="360"/>
        <w:jc w:val="center"/>
        <w:rPr>
          <w:szCs w:val="28"/>
          <w:lang w:val="en-US"/>
        </w:rPr>
      </w:pPr>
      <w:proofErr w:type="spellStart"/>
      <w:r w:rsidRPr="002237C4">
        <w:rPr>
          <w:szCs w:val="28"/>
          <w:lang w:val="en-US"/>
        </w:rPr>
        <w:t>Khabibilla</w:t>
      </w:r>
      <w:proofErr w:type="spellEnd"/>
      <w:r w:rsidRPr="002237C4">
        <w:rPr>
          <w:szCs w:val="28"/>
          <w:lang w:val="en-US"/>
        </w:rPr>
        <w:t xml:space="preserve"> </w:t>
      </w:r>
      <w:r w:rsidR="008C128D" w:rsidRPr="002237C4">
        <w:rPr>
          <w:szCs w:val="28"/>
          <w:lang w:val="en-US"/>
        </w:rPr>
        <w:t>Kamilov</w:t>
      </w:r>
      <w:r w:rsidR="008C128D" w:rsidRPr="002237C4">
        <w:rPr>
          <w:szCs w:val="28"/>
          <w:vertAlign w:val="superscript"/>
          <w:lang w:val="en-US"/>
        </w:rPr>
        <w:t>1</w:t>
      </w:r>
      <w:r w:rsidR="002057AC" w:rsidRPr="002237C4">
        <w:rPr>
          <w:szCs w:val="28"/>
          <w:vertAlign w:val="superscript"/>
          <w:lang w:val="uz-Cyrl-UZ"/>
        </w:rPr>
        <w:t>,</w:t>
      </w:r>
      <w:r w:rsidR="006F36CD">
        <w:rPr>
          <w:szCs w:val="28"/>
          <w:vertAlign w:val="superscript"/>
          <w:lang w:val="en-US"/>
        </w:rPr>
        <w:t xml:space="preserve"> </w:t>
      </w:r>
      <w:r w:rsidR="002057AC" w:rsidRPr="002237C4">
        <w:rPr>
          <w:szCs w:val="28"/>
          <w:vertAlign w:val="superscript"/>
        </w:rPr>
        <w:t>а</w:t>
      </w:r>
      <w:r w:rsidR="002057AC" w:rsidRPr="002237C4">
        <w:rPr>
          <w:szCs w:val="28"/>
          <w:vertAlign w:val="superscript"/>
          <w:lang w:val="en-US"/>
        </w:rPr>
        <w:t>)</w:t>
      </w:r>
      <w:r w:rsidR="008C128D" w:rsidRPr="002237C4">
        <w:rPr>
          <w:szCs w:val="28"/>
          <w:lang w:val="en-US"/>
        </w:rPr>
        <w:t xml:space="preserve">, </w:t>
      </w:r>
      <w:proofErr w:type="spellStart"/>
      <w:r w:rsidRPr="002237C4">
        <w:rPr>
          <w:szCs w:val="28"/>
          <w:lang w:val="en-US"/>
        </w:rPr>
        <w:t>Dilshod</w:t>
      </w:r>
      <w:proofErr w:type="spellEnd"/>
      <w:r w:rsidRPr="002237C4">
        <w:rPr>
          <w:szCs w:val="28"/>
          <w:lang w:val="en-US"/>
        </w:rPr>
        <w:t xml:space="preserve"> </w:t>
      </w:r>
      <w:r w:rsidR="008C128D" w:rsidRPr="002237C4">
        <w:rPr>
          <w:szCs w:val="28"/>
          <w:lang w:val="en-US"/>
        </w:rPr>
        <w:t>Abdazov</w:t>
      </w:r>
      <w:r w:rsidR="008C128D" w:rsidRPr="002237C4">
        <w:rPr>
          <w:szCs w:val="28"/>
          <w:vertAlign w:val="superscript"/>
          <w:lang w:val="en-US"/>
        </w:rPr>
        <w:t>1</w:t>
      </w:r>
      <w:r w:rsidR="002057AC" w:rsidRPr="002237C4">
        <w:rPr>
          <w:szCs w:val="28"/>
          <w:vertAlign w:val="superscript"/>
          <w:lang w:val="en-US"/>
        </w:rPr>
        <w:t>,</w:t>
      </w:r>
      <w:r w:rsidR="006F36CD">
        <w:rPr>
          <w:szCs w:val="28"/>
          <w:vertAlign w:val="superscript"/>
          <w:lang w:val="en-US"/>
        </w:rPr>
        <w:t xml:space="preserve"> </w:t>
      </w:r>
      <w:r w:rsidR="002057AC" w:rsidRPr="002237C4">
        <w:rPr>
          <w:szCs w:val="28"/>
          <w:vertAlign w:val="superscript"/>
          <w:lang w:val="en-US"/>
        </w:rPr>
        <w:t>b)</w:t>
      </w:r>
      <w:r w:rsidR="008C128D" w:rsidRPr="002237C4">
        <w:rPr>
          <w:szCs w:val="28"/>
          <w:lang w:val="en-US"/>
        </w:rPr>
        <w:t xml:space="preserve">, </w:t>
      </w:r>
      <w:proofErr w:type="spellStart"/>
      <w:r w:rsidRPr="002237C4">
        <w:rPr>
          <w:szCs w:val="28"/>
          <w:lang w:val="en-US"/>
        </w:rPr>
        <w:t>Safarali</w:t>
      </w:r>
      <w:proofErr w:type="spellEnd"/>
      <w:r w:rsidRPr="002237C4">
        <w:rPr>
          <w:szCs w:val="28"/>
          <w:lang w:val="en-US"/>
        </w:rPr>
        <w:t xml:space="preserve"> </w:t>
      </w:r>
      <w:r w:rsidR="008C128D" w:rsidRPr="002237C4">
        <w:rPr>
          <w:szCs w:val="28"/>
          <w:lang w:val="en-US"/>
        </w:rPr>
        <w:t>Turakhanov</w:t>
      </w:r>
      <w:r w:rsidR="008C128D" w:rsidRPr="002237C4">
        <w:rPr>
          <w:szCs w:val="28"/>
          <w:vertAlign w:val="superscript"/>
          <w:lang w:val="en-US"/>
        </w:rPr>
        <w:t>1</w:t>
      </w:r>
      <w:r w:rsidR="002057AC" w:rsidRPr="002237C4">
        <w:rPr>
          <w:szCs w:val="28"/>
          <w:vertAlign w:val="superscript"/>
          <w:lang w:val="en-US"/>
        </w:rPr>
        <w:t>,</w:t>
      </w:r>
      <w:r w:rsidR="006F36CD">
        <w:rPr>
          <w:szCs w:val="28"/>
          <w:vertAlign w:val="superscript"/>
          <w:lang w:val="en-US"/>
        </w:rPr>
        <w:t xml:space="preserve"> </w:t>
      </w:r>
      <w:r w:rsidR="002057AC" w:rsidRPr="002237C4">
        <w:rPr>
          <w:szCs w:val="28"/>
          <w:vertAlign w:val="superscript"/>
          <w:lang w:val="en-US"/>
        </w:rPr>
        <w:t>c)</w:t>
      </w:r>
      <w:r w:rsidR="008C128D" w:rsidRPr="002237C4">
        <w:rPr>
          <w:szCs w:val="28"/>
          <w:lang w:val="en-US"/>
        </w:rPr>
        <w:t xml:space="preserve">, </w:t>
      </w:r>
      <w:r>
        <w:rPr>
          <w:szCs w:val="28"/>
          <w:lang w:val="en-US"/>
        </w:rPr>
        <w:br/>
      </w:r>
      <w:proofErr w:type="spellStart"/>
      <w:r w:rsidRPr="002237C4">
        <w:rPr>
          <w:szCs w:val="28"/>
          <w:lang w:val="en-US"/>
        </w:rPr>
        <w:t>Nilufar</w:t>
      </w:r>
      <w:proofErr w:type="spellEnd"/>
      <w:r w:rsidRPr="002237C4">
        <w:rPr>
          <w:szCs w:val="28"/>
          <w:lang w:val="en-US"/>
        </w:rPr>
        <w:t xml:space="preserve"> </w:t>
      </w:r>
      <w:r w:rsidR="008C128D" w:rsidRPr="002237C4">
        <w:rPr>
          <w:szCs w:val="28"/>
          <w:lang w:val="en-US"/>
        </w:rPr>
        <w:t>Babakulova</w:t>
      </w:r>
      <w:r w:rsidR="008C128D" w:rsidRPr="002237C4">
        <w:rPr>
          <w:szCs w:val="28"/>
          <w:vertAlign w:val="superscript"/>
          <w:lang w:val="en-US"/>
        </w:rPr>
        <w:t>1</w:t>
      </w:r>
      <w:r w:rsidR="002057AC" w:rsidRPr="002237C4">
        <w:rPr>
          <w:szCs w:val="28"/>
          <w:vertAlign w:val="superscript"/>
          <w:lang w:val="en-US"/>
        </w:rPr>
        <w:t>,</w:t>
      </w:r>
      <w:r w:rsidR="006F36CD">
        <w:rPr>
          <w:szCs w:val="28"/>
          <w:vertAlign w:val="superscript"/>
          <w:lang w:val="en-US"/>
        </w:rPr>
        <w:t xml:space="preserve"> </w:t>
      </w:r>
      <w:r w:rsidR="002057AC" w:rsidRPr="002237C4">
        <w:rPr>
          <w:szCs w:val="28"/>
          <w:vertAlign w:val="superscript"/>
          <w:lang w:val="en-US"/>
        </w:rPr>
        <w:t>d)</w:t>
      </w:r>
      <w:r w:rsidR="006F36CD">
        <w:rPr>
          <w:szCs w:val="28"/>
          <w:lang w:val="en-US"/>
        </w:rPr>
        <w:t xml:space="preserve"> and</w:t>
      </w:r>
      <w:r w:rsidR="008C128D" w:rsidRPr="002237C4">
        <w:rPr>
          <w:szCs w:val="28"/>
          <w:lang w:val="en-US"/>
        </w:rPr>
        <w:t xml:space="preserve"> </w:t>
      </w:r>
      <w:proofErr w:type="spellStart"/>
      <w:r w:rsidRPr="002237C4">
        <w:rPr>
          <w:szCs w:val="28"/>
          <w:lang w:val="en-US"/>
        </w:rPr>
        <w:t>Furkhat</w:t>
      </w:r>
      <w:proofErr w:type="spellEnd"/>
      <w:r w:rsidRPr="002237C4">
        <w:rPr>
          <w:szCs w:val="28"/>
          <w:lang w:val="en-US"/>
        </w:rPr>
        <w:t xml:space="preserve"> </w:t>
      </w:r>
      <w:r w:rsidR="008C128D" w:rsidRPr="002237C4">
        <w:rPr>
          <w:szCs w:val="28"/>
          <w:lang w:val="en-US"/>
        </w:rPr>
        <w:t>Sabirov</w:t>
      </w:r>
      <w:r w:rsidR="008C128D" w:rsidRPr="002237C4">
        <w:rPr>
          <w:szCs w:val="28"/>
          <w:vertAlign w:val="superscript"/>
          <w:lang w:val="en-US"/>
        </w:rPr>
        <w:t>1</w:t>
      </w:r>
      <w:r w:rsidR="002057AC" w:rsidRPr="002237C4">
        <w:rPr>
          <w:szCs w:val="28"/>
          <w:vertAlign w:val="superscript"/>
          <w:lang w:val="en-US"/>
        </w:rPr>
        <w:t>,</w:t>
      </w:r>
      <w:r w:rsidR="006F36CD">
        <w:rPr>
          <w:szCs w:val="28"/>
          <w:vertAlign w:val="superscript"/>
          <w:lang w:val="en-US"/>
        </w:rPr>
        <w:t xml:space="preserve"> </w:t>
      </w:r>
      <w:r w:rsidR="002057AC" w:rsidRPr="002237C4">
        <w:rPr>
          <w:szCs w:val="28"/>
          <w:vertAlign w:val="superscript"/>
          <w:lang w:val="en-US"/>
        </w:rPr>
        <w:t>e)</w:t>
      </w:r>
    </w:p>
    <w:p w14:paraId="7616A92D" w14:textId="58193D2C" w:rsidR="002057AC" w:rsidRPr="002237C4" w:rsidRDefault="006F36CD" w:rsidP="002057AC">
      <w:pPr>
        <w:pStyle w:val="a6"/>
        <w:tabs>
          <w:tab w:val="left" w:pos="142"/>
          <w:tab w:val="left" w:pos="9498"/>
        </w:tabs>
        <w:spacing w:before="360" w:after="360"/>
        <w:ind w:left="0"/>
        <w:jc w:val="center"/>
        <w:rPr>
          <w:i/>
          <w:iCs/>
          <w:sz w:val="20"/>
          <w:szCs w:val="20"/>
          <w:lang w:val="en-US"/>
        </w:rPr>
      </w:pPr>
      <w:bookmarkStart w:id="0" w:name="_Hlk207800802"/>
      <w:r w:rsidRPr="006F36CD">
        <w:rPr>
          <w:sz w:val="20"/>
          <w:szCs w:val="20"/>
          <w:vertAlign w:val="superscript"/>
          <w:lang w:val="en-US"/>
        </w:rPr>
        <w:t>1</w:t>
      </w:r>
      <w:r w:rsidR="002057AC" w:rsidRPr="002237C4">
        <w:rPr>
          <w:i/>
          <w:iCs/>
          <w:sz w:val="20"/>
          <w:szCs w:val="20"/>
          <w:lang w:val="en-US"/>
        </w:rPr>
        <w:t xml:space="preserve">Tashkent University of Architecture and Civil Engineering, 9 </w:t>
      </w:r>
      <w:proofErr w:type="spellStart"/>
      <w:r w:rsidR="002057AC" w:rsidRPr="002237C4">
        <w:rPr>
          <w:i/>
          <w:iCs/>
          <w:sz w:val="20"/>
          <w:szCs w:val="20"/>
          <w:lang w:val="en-US"/>
        </w:rPr>
        <w:t>Yangi</w:t>
      </w:r>
      <w:proofErr w:type="spellEnd"/>
      <w:r w:rsidR="002057AC" w:rsidRPr="002237C4">
        <w:rPr>
          <w:i/>
          <w:iCs/>
          <w:sz w:val="20"/>
          <w:szCs w:val="20"/>
          <w:lang w:val="en-US"/>
        </w:rPr>
        <w:t xml:space="preserve"> Shahar Street, Tashkent 100011, Uzbekistan</w:t>
      </w:r>
      <w:bookmarkEnd w:id="0"/>
    </w:p>
    <w:p w14:paraId="356EC020" w14:textId="3B036BCA" w:rsidR="00E069CA" w:rsidRPr="006F36CD" w:rsidRDefault="00E41FF8" w:rsidP="008C128D">
      <w:pPr>
        <w:spacing w:after="0"/>
        <w:jc w:val="center"/>
        <w:rPr>
          <w:i/>
          <w:iCs/>
          <w:color w:val="000000" w:themeColor="text1"/>
          <w:sz w:val="18"/>
          <w:szCs w:val="18"/>
          <w:lang w:val="en-US"/>
        </w:rPr>
      </w:pPr>
      <w:r w:rsidRPr="006F36CD">
        <w:rPr>
          <w:i/>
          <w:iCs/>
          <w:sz w:val="18"/>
          <w:szCs w:val="18"/>
          <w:vertAlign w:val="superscript"/>
          <w:lang w:val="en-US"/>
        </w:rPr>
        <w:t>a</w:t>
      </w:r>
      <w:r w:rsidRPr="006F36CD">
        <w:rPr>
          <w:i/>
          <w:iCs/>
          <w:color w:val="000000" w:themeColor="text1"/>
          <w:sz w:val="18"/>
          <w:szCs w:val="18"/>
          <w:vertAlign w:val="superscript"/>
          <w:lang w:val="en-US"/>
        </w:rPr>
        <w:t>)</w:t>
      </w:r>
      <w:r w:rsidR="00E069CA" w:rsidRPr="006F36CD">
        <w:rPr>
          <w:i/>
          <w:iCs/>
          <w:color w:val="000000" w:themeColor="text1"/>
          <w:sz w:val="18"/>
          <w:szCs w:val="18"/>
          <w:lang w:val="en-US"/>
        </w:rPr>
        <w:t>Corresponding author:</w:t>
      </w:r>
      <w:r w:rsidR="006F36CD" w:rsidRPr="006F36CD">
        <w:rPr>
          <w:i/>
          <w:iCs/>
          <w:color w:val="000000" w:themeColor="text1"/>
          <w:lang w:val="en-US"/>
        </w:rPr>
        <w:t xml:space="preserve"> </w:t>
      </w:r>
      <w:hyperlink r:id="rId5" w:history="1">
        <w:r w:rsidR="006F36CD" w:rsidRPr="006F36CD">
          <w:rPr>
            <w:rStyle w:val="a4"/>
            <w:i/>
            <w:iCs/>
            <w:color w:val="000000" w:themeColor="text1"/>
            <w:sz w:val="18"/>
            <w:szCs w:val="18"/>
            <w:u w:val="none"/>
            <w:lang w:val="en-US"/>
          </w:rPr>
          <w:t>x.kamilov@taqu.uz</w:t>
        </w:r>
      </w:hyperlink>
      <w:r w:rsidRPr="006F36CD">
        <w:rPr>
          <w:i/>
          <w:iCs/>
          <w:color w:val="000000" w:themeColor="text1"/>
          <w:sz w:val="18"/>
          <w:szCs w:val="18"/>
          <w:lang w:val="en-US"/>
        </w:rPr>
        <w:br/>
      </w:r>
      <w:r w:rsidRPr="006F36CD">
        <w:rPr>
          <w:i/>
          <w:iCs/>
          <w:color w:val="000000" w:themeColor="text1"/>
          <w:sz w:val="18"/>
          <w:szCs w:val="18"/>
          <w:vertAlign w:val="superscript"/>
          <w:lang w:val="en-US"/>
        </w:rPr>
        <w:t>b)</w:t>
      </w:r>
      <w:hyperlink r:id="rId6" w:history="1">
        <w:r w:rsidR="00E069CA" w:rsidRPr="006F36CD">
          <w:rPr>
            <w:rStyle w:val="a4"/>
            <w:i/>
            <w:iCs/>
            <w:color w:val="000000" w:themeColor="text1"/>
            <w:sz w:val="18"/>
            <w:szCs w:val="18"/>
            <w:u w:val="none"/>
            <w:lang w:val="en-US"/>
          </w:rPr>
          <w:t>d.abdazov@taqu.uz</w:t>
        </w:r>
      </w:hyperlink>
      <w:r w:rsidRPr="006F36CD">
        <w:rPr>
          <w:rStyle w:val="a4"/>
          <w:i/>
          <w:iCs/>
          <w:color w:val="000000" w:themeColor="text1"/>
          <w:sz w:val="18"/>
          <w:szCs w:val="18"/>
          <w:u w:val="none"/>
          <w:lang w:val="en-US"/>
        </w:rPr>
        <w:br/>
      </w:r>
      <w:r w:rsidR="00E2696C" w:rsidRPr="006F36CD">
        <w:rPr>
          <w:i/>
          <w:iCs/>
          <w:color w:val="000000" w:themeColor="text1"/>
          <w:sz w:val="18"/>
          <w:szCs w:val="18"/>
          <w:vertAlign w:val="superscript"/>
          <w:lang w:val="en-US"/>
        </w:rPr>
        <w:t>c</w:t>
      </w:r>
      <w:r w:rsidRPr="006F36CD">
        <w:rPr>
          <w:i/>
          <w:iCs/>
          <w:color w:val="000000" w:themeColor="text1"/>
          <w:sz w:val="18"/>
          <w:szCs w:val="18"/>
          <w:vertAlign w:val="superscript"/>
          <w:lang w:val="en-US"/>
        </w:rPr>
        <w:t>)</w:t>
      </w:r>
      <w:hyperlink r:id="rId7" w:history="1">
        <w:r w:rsidR="00E069CA" w:rsidRPr="006F36CD">
          <w:rPr>
            <w:rStyle w:val="a4"/>
            <w:i/>
            <w:iCs/>
            <w:color w:val="000000" w:themeColor="text1"/>
            <w:sz w:val="18"/>
            <w:szCs w:val="18"/>
            <w:u w:val="none"/>
            <w:lang w:val="en-US"/>
          </w:rPr>
          <w:t>s.turakhanov@taqu.uz</w:t>
        </w:r>
      </w:hyperlink>
      <w:r w:rsidRPr="006F36CD">
        <w:rPr>
          <w:i/>
          <w:iCs/>
          <w:color w:val="000000" w:themeColor="text1"/>
          <w:sz w:val="18"/>
          <w:szCs w:val="18"/>
          <w:lang w:val="en-US"/>
        </w:rPr>
        <w:br/>
      </w:r>
      <w:r w:rsidR="00E2696C" w:rsidRPr="006F36CD">
        <w:rPr>
          <w:i/>
          <w:iCs/>
          <w:color w:val="000000" w:themeColor="text1"/>
          <w:sz w:val="18"/>
          <w:szCs w:val="18"/>
          <w:vertAlign w:val="superscript"/>
          <w:lang w:val="en-US"/>
        </w:rPr>
        <w:t>d)</w:t>
      </w:r>
      <w:hyperlink r:id="rId8" w:history="1">
        <w:r w:rsidR="00477899" w:rsidRPr="006F36CD">
          <w:rPr>
            <w:rStyle w:val="a4"/>
            <w:i/>
            <w:iCs/>
            <w:color w:val="000000" w:themeColor="text1"/>
            <w:sz w:val="18"/>
            <w:szCs w:val="18"/>
            <w:u w:val="none"/>
            <w:lang w:val="en-US"/>
          </w:rPr>
          <w:t>nbabakulova78@gmail.com</w:t>
        </w:r>
      </w:hyperlink>
      <w:r w:rsidR="00477899" w:rsidRPr="006F36CD">
        <w:rPr>
          <w:i/>
          <w:iCs/>
          <w:color w:val="000000" w:themeColor="text1"/>
          <w:sz w:val="18"/>
          <w:szCs w:val="18"/>
          <w:lang w:val="en-US"/>
        </w:rPr>
        <w:t xml:space="preserve"> </w:t>
      </w:r>
      <w:r w:rsidRPr="006F36CD">
        <w:rPr>
          <w:i/>
          <w:iCs/>
          <w:color w:val="000000" w:themeColor="text1"/>
          <w:sz w:val="18"/>
          <w:szCs w:val="18"/>
          <w:lang w:val="en-US"/>
        </w:rPr>
        <w:br/>
      </w:r>
      <w:r w:rsidR="00E2696C" w:rsidRPr="006F36CD">
        <w:rPr>
          <w:i/>
          <w:iCs/>
          <w:color w:val="000000" w:themeColor="text1"/>
          <w:sz w:val="18"/>
          <w:szCs w:val="18"/>
          <w:vertAlign w:val="superscript"/>
          <w:lang w:val="en-US"/>
        </w:rPr>
        <w:t>e)</w:t>
      </w:r>
      <w:hyperlink r:id="rId9" w:history="1">
        <w:r w:rsidR="00477899" w:rsidRPr="006F36CD">
          <w:rPr>
            <w:rStyle w:val="a4"/>
            <w:i/>
            <w:iCs/>
            <w:color w:val="000000" w:themeColor="text1"/>
            <w:sz w:val="18"/>
            <w:szCs w:val="18"/>
            <w:u w:val="none"/>
            <w:lang w:val="en-US"/>
          </w:rPr>
          <w:t>sabirovfurxat@gmail.com</w:t>
        </w:r>
      </w:hyperlink>
    </w:p>
    <w:p w14:paraId="198E5D52" w14:textId="1E2F75BF" w:rsidR="00084D04" w:rsidRPr="002237C4" w:rsidRDefault="00C050D9" w:rsidP="00100BA7">
      <w:pPr>
        <w:spacing w:before="360" w:after="360"/>
        <w:ind w:left="289" w:right="289"/>
        <w:jc w:val="both"/>
        <w:rPr>
          <w:sz w:val="18"/>
          <w:szCs w:val="18"/>
          <w:lang w:val="en-US"/>
        </w:rPr>
      </w:pPr>
      <w:r w:rsidRPr="002237C4">
        <w:rPr>
          <w:b/>
          <w:bCs/>
          <w:sz w:val="18"/>
          <w:szCs w:val="18"/>
          <w:lang w:val="en-US"/>
        </w:rPr>
        <w:t>Abstract.</w:t>
      </w:r>
      <w:r w:rsidRPr="002237C4">
        <w:rPr>
          <w:sz w:val="18"/>
          <w:szCs w:val="18"/>
          <w:lang w:val="en-US"/>
        </w:rPr>
        <w:t xml:space="preserve"> This study employs isothermal calorimetry to quantify how high-range water-reducing admixtures affect Portland cement hydration kinetics. Cement pastes with a water-to-cement ratio of about forty percent were prepared using three superplasticizer formulations—polycarboxylate RS-1, sulfonated naphthalene-formaldehyde </w:t>
      </w:r>
      <w:proofErr w:type="spellStart"/>
      <w:r w:rsidRPr="002237C4">
        <w:rPr>
          <w:sz w:val="18"/>
          <w:szCs w:val="18"/>
          <w:lang w:val="en-US"/>
        </w:rPr>
        <w:t>Poliplast</w:t>
      </w:r>
      <w:proofErr w:type="spellEnd"/>
      <w:r w:rsidRPr="002237C4">
        <w:rPr>
          <w:sz w:val="18"/>
          <w:szCs w:val="18"/>
          <w:lang w:val="en-US"/>
        </w:rPr>
        <w:t xml:space="preserve"> 956, and combined </w:t>
      </w:r>
      <w:proofErr w:type="spellStart"/>
      <w:r w:rsidRPr="002237C4">
        <w:rPr>
          <w:sz w:val="18"/>
          <w:szCs w:val="18"/>
          <w:lang w:val="en-US"/>
        </w:rPr>
        <w:t>Chryso</w:t>
      </w:r>
      <w:proofErr w:type="spellEnd"/>
      <w:r w:rsidRPr="002237C4">
        <w:rPr>
          <w:sz w:val="18"/>
          <w:szCs w:val="18"/>
          <w:lang w:val="en-US"/>
        </w:rPr>
        <w:t xml:space="preserve"> Delta 6328—alongside a control sample without any admixtures. Heat-flow and cumulative-heat curves were recorded at ambient temperature over several days, and key parameters such as induction period duration, timing and magnitude of the main heat-evolution peak, and total heat release were analyzed. Relative to the control, all three admixtures prolonged the induction period and reduced peak intensity, with the polycarboxylate showing the strongest steric-hindrance effect. The sulfonated naphthalene-formaldehyde admixture produced moderate retardation, while the combined formulation exhibited intermediate behavior. Moreover, delaying polycarboxylate addition until after the induction period preserved workability without unduly retarding hydration. These findings demonstrate the power of isothermal calorimetry for optimizing admixture type and dosing to achieve a tailored balance of fresh and hardened properties in cementitious materials.</w:t>
      </w:r>
    </w:p>
    <w:p w14:paraId="16A5AF51" w14:textId="6378E434" w:rsidR="00A8254C" w:rsidRPr="002237C4" w:rsidRDefault="00A8254C" w:rsidP="00100BA7">
      <w:pPr>
        <w:spacing w:before="360" w:after="360"/>
        <w:ind w:left="289" w:right="289"/>
        <w:jc w:val="both"/>
        <w:rPr>
          <w:sz w:val="18"/>
          <w:szCs w:val="18"/>
          <w:lang w:val="en-US"/>
        </w:rPr>
      </w:pPr>
      <w:r w:rsidRPr="002237C4">
        <w:rPr>
          <w:b/>
          <w:bCs/>
          <w:sz w:val="18"/>
          <w:szCs w:val="18"/>
          <w:lang w:val="en-US"/>
        </w:rPr>
        <w:t>Keywords.</w:t>
      </w:r>
      <w:r w:rsidRPr="002237C4">
        <w:rPr>
          <w:sz w:val="18"/>
          <w:szCs w:val="18"/>
          <w:lang w:val="en-US"/>
        </w:rPr>
        <w:t xml:space="preserve"> Isothermal calorimetry, hydration kinetics, </w:t>
      </w:r>
      <w:proofErr w:type="spellStart"/>
      <w:r w:rsidRPr="002237C4">
        <w:rPr>
          <w:sz w:val="18"/>
          <w:szCs w:val="18"/>
          <w:lang w:val="en-US"/>
        </w:rPr>
        <w:t>portlandcement</w:t>
      </w:r>
      <w:proofErr w:type="spellEnd"/>
      <w:r w:rsidRPr="002237C4">
        <w:rPr>
          <w:sz w:val="18"/>
          <w:szCs w:val="18"/>
          <w:lang w:val="en-US"/>
        </w:rPr>
        <w:t>, superplasticizers, polycarboxylate, sulphonated naphthalene formaldehyde, lignosulphonate.</w:t>
      </w:r>
    </w:p>
    <w:p w14:paraId="641E99B5" w14:textId="4EF53661" w:rsidR="002B0051" w:rsidRPr="002237C4" w:rsidRDefault="00100BA7" w:rsidP="00100BA7">
      <w:pPr>
        <w:spacing w:before="240" w:after="240"/>
        <w:ind w:firstLine="284"/>
        <w:jc w:val="center"/>
        <w:rPr>
          <w:b/>
          <w:bCs/>
          <w:sz w:val="24"/>
          <w:szCs w:val="24"/>
          <w:lang w:val="en-US"/>
        </w:rPr>
      </w:pPr>
      <w:r w:rsidRPr="002237C4">
        <w:rPr>
          <w:b/>
          <w:bCs/>
          <w:sz w:val="24"/>
          <w:szCs w:val="24"/>
          <w:lang w:val="en-US"/>
        </w:rPr>
        <w:t>INTRODUCTION</w:t>
      </w:r>
    </w:p>
    <w:p w14:paraId="2CA608D7" w14:textId="7224636F" w:rsidR="008F526A" w:rsidRPr="002237C4" w:rsidRDefault="008F526A" w:rsidP="004A44F5">
      <w:pPr>
        <w:spacing w:after="0"/>
        <w:ind w:firstLine="284"/>
        <w:jc w:val="both"/>
        <w:rPr>
          <w:sz w:val="20"/>
          <w:szCs w:val="20"/>
          <w:lang w:val="en-US"/>
        </w:rPr>
      </w:pPr>
      <w:r w:rsidRPr="002237C4">
        <w:rPr>
          <w:sz w:val="20"/>
          <w:szCs w:val="20"/>
          <w:lang w:val="en-US"/>
        </w:rPr>
        <w:t>Isothermal calorimetry is a technique for continuous measurement of heat flow (µW) and cumulative heat (J) released during the hydration of cementitious systems at a constant temperature, providing direct insight into reaction kinetics and the development of mechanical properties and setting behavior of the material. By monitoring the net thermal effect of clinker phase dissolution (C</w:t>
      </w:r>
      <w:r w:rsidRPr="002237C4">
        <w:rPr>
          <w:sz w:val="20"/>
          <w:szCs w:val="20"/>
          <w:vertAlign w:val="subscript"/>
          <w:lang w:val="en-US"/>
        </w:rPr>
        <w:t>3</w:t>
      </w:r>
      <w:r w:rsidRPr="002237C4">
        <w:rPr>
          <w:sz w:val="20"/>
          <w:szCs w:val="20"/>
          <w:lang w:val="en-US"/>
        </w:rPr>
        <w:t>S, C</w:t>
      </w:r>
      <w:r w:rsidRPr="002237C4">
        <w:rPr>
          <w:sz w:val="20"/>
          <w:szCs w:val="20"/>
          <w:vertAlign w:val="subscript"/>
          <w:lang w:val="en-US"/>
        </w:rPr>
        <w:t>2</w:t>
      </w:r>
      <w:r w:rsidRPr="002237C4">
        <w:rPr>
          <w:sz w:val="20"/>
          <w:szCs w:val="20"/>
          <w:lang w:val="en-US"/>
        </w:rPr>
        <w:t>S, C</w:t>
      </w:r>
      <w:r w:rsidRPr="002237C4">
        <w:rPr>
          <w:sz w:val="20"/>
          <w:szCs w:val="20"/>
          <w:vertAlign w:val="subscript"/>
          <w:lang w:val="en-US"/>
        </w:rPr>
        <w:t>3</w:t>
      </w:r>
      <w:r w:rsidRPr="002237C4">
        <w:rPr>
          <w:sz w:val="20"/>
          <w:szCs w:val="20"/>
          <w:lang w:val="en-US"/>
        </w:rPr>
        <w:t>A, C</w:t>
      </w:r>
      <w:r w:rsidRPr="002237C4">
        <w:rPr>
          <w:sz w:val="20"/>
          <w:szCs w:val="20"/>
          <w:vertAlign w:val="subscript"/>
          <w:lang w:val="en-US"/>
        </w:rPr>
        <w:t>4</w:t>
      </w:r>
      <w:r w:rsidRPr="002237C4">
        <w:rPr>
          <w:sz w:val="20"/>
          <w:szCs w:val="20"/>
          <w:lang w:val="en-US"/>
        </w:rPr>
        <w:t>AF) and subsequent hydrate formation (C–S–H, ettringite, etc.), this method yields quantitative data on the stages of cement hydration</w:t>
      </w:r>
      <w:r w:rsidR="002B0051" w:rsidRPr="002237C4">
        <w:rPr>
          <w:sz w:val="20"/>
          <w:szCs w:val="20"/>
          <w:lang w:val="en-US"/>
        </w:rPr>
        <w:t xml:space="preserve"> [</w:t>
      </w:r>
      <w:r w:rsidR="00D05947" w:rsidRPr="002237C4">
        <w:rPr>
          <w:sz w:val="20"/>
          <w:szCs w:val="20"/>
          <w:lang w:val="en-US"/>
        </w:rPr>
        <w:t>1</w:t>
      </w:r>
      <w:r w:rsidR="002B0051" w:rsidRPr="002237C4">
        <w:rPr>
          <w:sz w:val="20"/>
          <w:szCs w:val="20"/>
          <w:lang w:val="en-US"/>
        </w:rPr>
        <w:t>]</w:t>
      </w:r>
      <w:r w:rsidRPr="002237C4">
        <w:rPr>
          <w:sz w:val="20"/>
          <w:szCs w:val="20"/>
          <w:lang w:val="en-US"/>
        </w:rPr>
        <w:t xml:space="preserve">. </w:t>
      </w:r>
    </w:p>
    <w:p w14:paraId="2882D988" w14:textId="30C1ACBA" w:rsidR="008F526A" w:rsidRPr="002237C4" w:rsidRDefault="008F526A" w:rsidP="004A44F5">
      <w:pPr>
        <w:spacing w:after="0"/>
        <w:ind w:firstLine="284"/>
        <w:jc w:val="both"/>
        <w:rPr>
          <w:sz w:val="20"/>
          <w:szCs w:val="20"/>
          <w:lang w:val="en-US"/>
        </w:rPr>
      </w:pPr>
      <w:r w:rsidRPr="002237C4">
        <w:rPr>
          <w:sz w:val="20"/>
          <w:szCs w:val="20"/>
          <w:lang w:val="en-US"/>
        </w:rPr>
        <w:t xml:space="preserve">Modern instruments—such as multi-channel isothermal conduction calorimeters (e.g., TAM Air) and multi-cell </w:t>
      </w:r>
      <w:proofErr w:type="spellStart"/>
      <w:r w:rsidRPr="002237C4">
        <w:rPr>
          <w:sz w:val="20"/>
          <w:szCs w:val="20"/>
          <w:lang w:val="en-US"/>
        </w:rPr>
        <w:t>isoperibolic</w:t>
      </w:r>
      <w:proofErr w:type="spellEnd"/>
      <w:r w:rsidRPr="002237C4">
        <w:rPr>
          <w:sz w:val="20"/>
          <w:szCs w:val="20"/>
          <w:lang w:val="en-US"/>
        </w:rPr>
        <w:t xml:space="preserve"> calorimeters—offer high precision and reproducibility. A baseline (drift) measurement is recorded first, ensuring that the standard deviation of heat flow does not exceed a few microwatts. After mixing cement and water at a typical w/c ratio of 0.3–0.5, the paste is introduced into the calorimeter within 2–5 minutes, and data are collected at approximately 1 s⁻¹ frequency</w:t>
      </w:r>
      <w:r w:rsidR="002B0051" w:rsidRPr="002237C4">
        <w:rPr>
          <w:sz w:val="20"/>
          <w:szCs w:val="20"/>
          <w:lang w:val="en-US"/>
        </w:rPr>
        <w:t xml:space="preserve"> [</w:t>
      </w:r>
      <w:r w:rsidR="000977A6" w:rsidRPr="002237C4">
        <w:rPr>
          <w:sz w:val="20"/>
          <w:szCs w:val="20"/>
          <w:lang w:val="en-US"/>
        </w:rPr>
        <w:t>2</w:t>
      </w:r>
      <w:r w:rsidR="002B0051" w:rsidRPr="002237C4">
        <w:rPr>
          <w:sz w:val="20"/>
          <w:szCs w:val="20"/>
          <w:lang w:val="en-US"/>
        </w:rPr>
        <w:t>]</w:t>
      </w:r>
      <w:r w:rsidRPr="002237C4">
        <w:rPr>
          <w:sz w:val="20"/>
          <w:szCs w:val="20"/>
          <w:lang w:val="en-US"/>
        </w:rPr>
        <w:t xml:space="preserve">. </w:t>
      </w:r>
    </w:p>
    <w:p w14:paraId="6EE995C0" w14:textId="2FF9A478" w:rsidR="008F526A" w:rsidRPr="002237C4" w:rsidRDefault="008F526A" w:rsidP="004A44F5">
      <w:pPr>
        <w:spacing w:after="0"/>
        <w:ind w:firstLine="284"/>
        <w:jc w:val="both"/>
        <w:rPr>
          <w:sz w:val="20"/>
          <w:szCs w:val="20"/>
          <w:lang w:val="en-US"/>
        </w:rPr>
      </w:pPr>
      <w:r w:rsidRPr="002237C4">
        <w:rPr>
          <w:sz w:val="20"/>
          <w:szCs w:val="20"/>
          <w:lang w:val="en-US"/>
        </w:rPr>
        <w:t>The primary outputs are the heat flow curve (</w:t>
      </w:r>
      <w:proofErr w:type="spellStart"/>
      <w:r w:rsidRPr="002237C4">
        <w:rPr>
          <w:sz w:val="20"/>
          <w:szCs w:val="20"/>
          <w:lang w:val="en-US"/>
        </w:rPr>
        <w:t>mW</w:t>
      </w:r>
      <w:proofErr w:type="spellEnd"/>
      <w:r w:rsidRPr="002237C4">
        <w:rPr>
          <w:sz w:val="20"/>
          <w:szCs w:val="20"/>
          <w:lang w:val="en-US"/>
        </w:rPr>
        <w:t xml:space="preserve"> g⁻¹ vs. time) and the cumulative heat curve (J g⁻¹ vs. time). A typical heat flow curve exhibit:</w:t>
      </w:r>
    </w:p>
    <w:p w14:paraId="5CC715A2" w14:textId="77777777" w:rsidR="008F526A" w:rsidRPr="002237C4" w:rsidRDefault="008F526A" w:rsidP="004A44F5">
      <w:pPr>
        <w:spacing w:after="0"/>
        <w:ind w:firstLine="284"/>
        <w:jc w:val="both"/>
        <w:rPr>
          <w:sz w:val="20"/>
          <w:szCs w:val="20"/>
          <w:lang w:val="en-US"/>
        </w:rPr>
      </w:pPr>
      <w:r w:rsidRPr="002237C4">
        <w:rPr>
          <w:sz w:val="20"/>
          <w:szCs w:val="20"/>
          <w:lang w:val="en-US"/>
        </w:rPr>
        <w:t>A wetting peak upon initial cement–water contact,</w:t>
      </w:r>
    </w:p>
    <w:p w14:paraId="78D28DDB" w14:textId="77777777" w:rsidR="008F526A" w:rsidRPr="002237C4" w:rsidRDefault="008F526A" w:rsidP="004A44F5">
      <w:pPr>
        <w:spacing w:after="0"/>
        <w:ind w:firstLine="284"/>
        <w:jc w:val="both"/>
        <w:rPr>
          <w:sz w:val="20"/>
          <w:szCs w:val="20"/>
          <w:lang w:val="en-US"/>
        </w:rPr>
      </w:pPr>
      <w:r w:rsidRPr="002237C4">
        <w:rPr>
          <w:sz w:val="20"/>
          <w:szCs w:val="20"/>
          <w:lang w:val="en-US"/>
        </w:rPr>
        <w:t>An induction (dormant) period with minimal heat release,</w:t>
      </w:r>
    </w:p>
    <w:p w14:paraId="4AB48736" w14:textId="77777777" w:rsidR="008F526A" w:rsidRPr="002237C4" w:rsidRDefault="008F526A" w:rsidP="004A44F5">
      <w:pPr>
        <w:spacing w:after="0"/>
        <w:ind w:firstLine="284"/>
        <w:jc w:val="both"/>
        <w:rPr>
          <w:sz w:val="20"/>
          <w:szCs w:val="20"/>
          <w:lang w:val="en-US"/>
        </w:rPr>
      </w:pPr>
      <w:r w:rsidRPr="002237C4">
        <w:rPr>
          <w:sz w:val="20"/>
          <w:szCs w:val="20"/>
          <w:lang w:val="en-US"/>
        </w:rPr>
        <w:t>An acceleration period marked by the main peak (primarily C₃S hydration),</w:t>
      </w:r>
    </w:p>
    <w:p w14:paraId="3384A1B9" w14:textId="5E47BBCA" w:rsidR="008F526A" w:rsidRPr="002237C4" w:rsidRDefault="008F526A" w:rsidP="004A44F5">
      <w:pPr>
        <w:spacing w:after="0"/>
        <w:ind w:firstLine="284"/>
        <w:jc w:val="both"/>
        <w:rPr>
          <w:sz w:val="20"/>
          <w:szCs w:val="20"/>
          <w:lang w:val="en-US"/>
        </w:rPr>
      </w:pPr>
      <w:r w:rsidRPr="002237C4">
        <w:rPr>
          <w:sz w:val="20"/>
          <w:szCs w:val="20"/>
          <w:lang w:val="en-US"/>
        </w:rPr>
        <w:t>A deceleration phase</w:t>
      </w:r>
      <w:r w:rsidR="002B0051" w:rsidRPr="002237C4">
        <w:rPr>
          <w:sz w:val="20"/>
          <w:szCs w:val="20"/>
          <w:lang w:val="en-US"/>
        </w:rPr>
        <w:t>.</w:t>
      </w:r>
    </w:p>
    <w:p w14:paraId="7ADCD6B1" w14:textId="77777777" w:rsidR="008F526A" w:rsidRPr="002237C4" w:rsidRDefault="008F526A" w:rsidP="004A44F5">
      <w:pPr>
        <w:spacing w:after="0"/>
        <w:ind w:firstLine="284"/>
        <w:jc w:val="both"/>
        <w:rPr>
          <w:sz w:val="20"/>
          <w:szCs w:val="20"/>
          <w:lang w:val="en-US"/>
        </w:rPr>
      </w:pPr>
      <w:r w:rsidRPr="002237C4">
        <w:rPr>
          <w:sz w:val="20"/>
          <w:szCs w:val="20"/>
          <w:lang w:val="en-US"/>
        </w:rPr>
        <w:t xml:space="preserve">Long-term hydration with gradually declining heat flow </w:t>
      </w:r>
    </w:p>
    <w:p w14:paraId="75C883B5" w14:textId="52E67596" w:rsidR="008F526A" w:rsidRPr="002237C4" w:rsidRDefault="008F526A" w:rsidP="004A44F5">
      <w:pPr>
        <w:spacing w:after="0"/>
        <w:ind w:firstLine="284"/>
        <w:jc w:val="both"/>
        <w:rPr>
          <w:sz w:val="20"/>
          <w:szCs w:val="20"/>
          <w:lang w:val="en-US"/>
        </w:rPr>
      </w:pPr>
      <w:r w:rsidRPr="002237C4">
        <w:rPr>
          <w:sz w:val="20"/>
          <w:szCs w:val="20"/>
          <w:lang w:val="en-US"/>
        </w:rPr>
        <w:t>Isothermal calorimetry is extensively used to evaluate the influence of superplasticizers (SPs)—high-range water-reducing admixtures—on cement hydration kinetics. SPs allow substantial reduction of the water-to-cement ratio while maintaining workability. Major classes include lignosulfonates, sulfonated naphthalene-formaldehyde condensates, and polycarboxylate ethers (PCEs)</w:t>
      </w:r>
      <w:r w:rsidR="00DE5BB8" w:rsidRPr="002237C4">
        <w:rPr>
          <w:sz w:val="20"/>
          <w:szCs w:val="20"/>
          <w:lang w:val="en-US"/>
        </w:rPr>
        <w:t xml:space="preserve"> [</w:t>
      </w:r>
      <w:r w:rsidR="000977A6" w:rsidRPr="002237C4">
        <w:rPr>
          <w:sz w:val="20"/>
          <w:szCs w:val="20"/>
          <w:lang w:val="en-US"/>
        </w:rPr>
        <w:t>3</w:t>
      </w:r>
      <w:r w:rsidR="00DE5BB8" w:rsidRPr="002237C4">
        <w:rPr>
          <w:sz w:val="20"/>
          <w:szCs w:val="20"/>
          <w:lang w:val="en-US"/>
        </w:rPr>
        <w:t>]</w:t>
      </w:r>
      <w:r w:rsidRPr="002237C4">
        <w:rPr>
          <w:sz w:val="20"/>
          <w:szCs w:val="20"/>
          <w:lang w:val="en-US"/>
        </w:rPr>
        <w:t>.</w:t>
      </w:r>
    </w:p>
    <w:p w14:paraId="02358E66" w14:textId="5F9FE42B" w:rsidR="008F526A" w:rsidRPr="002237C4" w:rsidRDefault="008F526A" w:rsidP="004A44F5">
      <w:pPr>
        <w:spacing w:after="0"/>
        <w:ind w:firstLine="284"/>
        <w:jc w:val="both"/>
        <w:rPr>
          <w:sz w:val="20"/>
          <w:szCs w:val="20"/>
          <w:lang w:val="en-US"/>
        </w:rPr>
      </w:pPr>
      <w:r w:rsidRPr="002237C4">
        <w:rPr>
          <w:sz w:val="20"/>
          <w:szCs w:val="20"/>
          <w:lang w:val="en-US"/>
        </w:rPr>
        <w:lastRenderedPageBreak/>
        <w:t>Lignosulfonate superplasticizers adsorb electrostatically onto cement particle surfaces, extending the induction period and reducing the intensity of the main hydration peak, indicative of retardation effects</w:t>
      </w:r>
      <w:r w:rsidR="00DE5BB8" w:rsidRPr="002237C4">
        <w:rPr>
          <w:sz w:val="20"/>
          <w:szCs w:val="20"/>
          <w:lang w:val="en-US"/>
        </w:rPr>
        <w:t xml:space="preserve"> [</w:t>
      </w:r>
      <w:r w:rsidR="000977A6" w:rsidRPr="002237C4">
        <w:rPr>
          <w:sz w:val="20"/>
          <w:szCs w:val="20"/>
          <w:lang w:val="en-US"/>
        </w:rPr>
        <w:t>4</w:t>
      </w:r>
      <w:r w:rsidR="00DE5BB8" w:rsidRPr="002237C4">
        <w:rPr>
          <w:sz w:val="20"/>
          <w:szCs w:val="20"/>
          <w:lang w:val="en-US"/>
        </w:rPr>
        <w:t>]</w:t>
      </w:r>
      <w:r w:rsidRPr="002237C4">
        <w:rPr>
          <w:sz w:val="20"/>
          <w:szCs w:val="20"/>
          <w:lang w:val="en-US"/>
        </w:rPr>
        <w:t>.</w:t>
      </w:r>
    </w:p>
    <w:p w14:paraId="57B0D7DF" w14:textId="0292FFA5" w:rsidR="008F526A" w:rsidRPr="002237C4" w:rsidRDefault="008F526A" w:rsidP="004A44F5">
      <w:pPr>
        <w:spacing w:after="0"/>
        <w:ind w:firstLine="284"/>
        <w:jc w:val="both"/>
        <w:rPr>
          <w:sz w:val="20"/>
          <w:szCs w:val="20"/>
          <w:lang w:val="en-US"/>
        </w:rPr>
      </w:pPr>
      <w:r w:rsidRPr="002237C4">
        <w:rPr>
          <w:sz w:val="20"/>
          <w:szCs w:val="20"/>
          <w:lang w:val="en-US"/>
        </w:rPr>
        <w:t>Polycarboxylate ether superplasticizers feature an anionic backbone with polyethylene glycol side chains. They adsorb onto clinker particles, creating a steric barrier that delays and diminishes the main hydration peak in proportion to PCE dosage and side-chain density. Immediate addition of PCE lengthens the induction period and lowers peak intensity; delayed addition (e.g., 5 minutes post-mixing) eliminates the induction delay but still reduces peak magnitude, demonstrating a slowed hydration rate without shifting its onset</w:t>
      </w:r>
      <w:r w:rsidR="00DE5BB8" w:rsidRPr="002237C4">
        <w:rPr>
          <w:sz w:val="20"/>
          <w:szCs w:val="20"/>
          <w:lang w:val="en-US"/>
        </w:rPr>
        <w:t xml:space="preserve"> [</w:t>
      </w:r>
      <w:r w:rsidR="000977A6" w:rsidRPr="002237C4">
        <w:rPr>
          <w:sz w:val="20"/>
          <w:szCs w:val="20"/>
          <w:lang w:val="en-US"/>
        </w:rPr>
        <w:t>5</w:t>
      </w:r>
      <w:r w:rsidR="00DE5BB8" w:rsidRPr="002237C4">
        <w:rPr>
          <w:sz w:val="20"/>
          <w:szCs w:val="20"/>
          <w:lang w:val="en-US"/>
        </w:rPr>
        <w:t>]</w:t>
      </w:r>
      <w:r w:rsidRPr="002237C4">
        <w:rPr>
          <w:sz w:val="20"/>
          <w:szCs w:val="20"/>
          <w:lang w:val="en-US"/>
        </w:rPr>
        <w:t xml:space="preserve">. </w:t>
      </w:r>
    </w:p>
    <w:p w14:paraId="6AD0945F" w14:textId="0C6F8980" w:rsidR="00F12C76" w:rsidRPr="002237C4" w:rsidRDefault="008F526A" w:rsidP="004A44F5">
      <w:pPr>
        <w:spacing w:after="0"/>
        <w:ind w:firstLine="284"/>
        <w:jc w:val="both"/>
        <w:rPr>
          <w:sz w:val="20"/>
          <w:szCs w:val="20"/>
          <w:lang w:val="en-US"/>
        </w:rPr>
      </w:pPr>
      <w:r w:rsidRPr="002237C4">
        <w:rPr>
          <w:sz w:val="20"/>
          <w:szCs w:val="20"/>
          <w:lang w:val="en-US"/>
        </w:rPr>
        <w:t xml:space="preserve">In summary, isothermal calorimetry provides a powerful, quantitative means to assess how different superplasticizers affect the kinetics of </w:t>
      </w:r>
      <w:proofErr w:type="spellStart"/>
      <w:r w:rsidRPr="002237C4">
        <w:rPr>
          <w:sz w:val="20"/>
          <w:szCs w:val="20"/>
          <w:lang w:val="en-US"/>
        </w:rPr>
        <w:t>portlandcement</w:t>
      </w:r>
      <w:proofErr w:type="spellEnd"/>
      <w:r w:rsidRPr="002237C4">
        <w:rPr>
          <w:sz w:val="20"/>
          <w:szCs w:val="20"/>
          <w:lang w:val="en-US"/>
        </w:rPr>
        <w:t xml:space="preserve"> hydration. By analyzing parameters such as induction time, peak heat-flow magnitude, and peak timing, researchers can optimize cement paste formulations and admixture dosages to achieve targeted fresh and hardened concrete properties.</w:t>
      </w:r>
    </w:p>
    <w:p w14:paraId="0F5D7F9F" w14:textId="19AE5227" w:rsidR="001D2DC5" w:rsidRPr="002237C4" w:rsidRDefault="00255A52" w:rsidP="00255A52">
      <w:pPr>
        <w:spacing w:before="240" w:after="240"/>
        <w:ind w:firstLine="284"/>
        <w:jc w:val="center"/>
        <w:rPr>
          <w:b/>
          <w:bCs/>
          <w:sz w:val="24"/>
          <w:szCs w:val="24"/>
          <w:lang w:val="en-US"/>
        </w:rPr>
      </w:pPr>
      <w:r w:rsidRPr="002237C4">
        <w:rPr>
          <w:b/>
          <w:bCs/>
          <w:sz w:val="24"/>
          <w:szCs w:val="24"/>
          <w:lang w:val="en-US"/>
        </w:rPr>
        <w:t>MATERIALS AND RESEARCH METHODS</w:t>
      </w:r>
    </w:p>
    <w:p w14:paraId="3E2F892F" w14:textId="7A5A1F9C" w:rsidR="001D2DC5" w:rsidRPr="002237C4" w:rsidRDefault="00C11D17" w:rsidP="006F36CD">
      <w:pPr>
        <w:spacing w:after="0"/>
        <w:ind w:firstLine="284"/>
        <w:jc w:val="both"/>
        <w:rPr>
          <w:sz w:val="20"/>
          <w:szCs w:val="20"/>
          <w:lang w:val="en-US"/>
        </w:rPr>
      </w:pPr>
      <w:r w:rsidRPr="002237C4">
        <w:rPr>
          <w:i/>
          <w:iCs/>
          <w:sz w:val="20"/>
          <w:szCs w:val="20"/>
          <w:lang w:val="en-US"/>
        </w:rPr>
        <w:t xml:space="preserve">Cement. </w:t>
      </w:r>
      <w:r w:rsidR="001D2DC5" w:rsidRPr="002237C4">
        <w:rPr>
          <w:sz w:val="20"/>
          <w:szCs w:val="20"/>
          <w:lang w:val="en-US"/>
        </w:rPr>
        <w:t xml:space="preserve">In our research, cement of grade CEM I 42.5 N, manufactured by </w:t>
      </w:r>
      <w:proofErr w:type="spellStart"/>
      <w:r w:rsidR="001D2DC5" w:rsidRPr="002237C4">
        <w:rPr>
          <w:sz w:val="20"/>
          <w:szCs w:val="20"/>
          <w:lang w:val="en-US"/>
        </w:rPr>
        <w:t>Kizilkumcement</w:t>
      </w:r>
      <w:proofErr w:type="spellEnd"/>
      <w:r w:rsidR="001D2DC5" w:rsidRPr="002237C4">
        <w:rPr>
          <w:sz w:val="20"/>
          <w:szCs w:val="20"/>
          <w:lang w:val="en-US"/>
        </w:rPr>
        <w:t xml:space="preserve"> JSC, was employed as the binding material. This cement fully complies with the requirements of the GOST 31108-2020 standard. Detailed parameters of its chemical and mineralogical composition are summarized in Table 1</w:t>
      </w:r>
      <w:r w:rsidR="001E271C" w:rsidRPr="002237C4">
        <w:rPr>
          <w:sz w:val="20"/>
          <w:szCs w:val="20"/>
          <w:lang w:val="en-US"/>
        </w:rPr>
        <w:t xml:space="preserve"> and </w:t>
      </w:r>
      <w:r w:rsidR="005F7412" w:rsidRPr="002237C4">
        <w:rPr>
          <w:sz w:val="20"/>
          <w:szCs w:val="20"/>
          <w:lang w:val="en-US"/>
        </w:rPr>
        <w:t>fig</w:t>
      </w:r>
      <w:r w:rsidR="001E271C" w:rsidRPr="002237C4">
        <w:rPr>
          <w:sz w:val="20"/>
          <w:szCs w:val="20"/>
          <w:lang w:val="en-US"/>
        </w:rPr>
        <w:t>ure 1</w:t>
      </w:r>
      <w:r w:rsidR="001D2DC5" w:rsidRPr="002237C4">
        <w:rPr>
          <w:sz w:val="20"/>
          <w:szCs w:val="20"/>
          <w:lang w:val="en-US"/>
        </w:rPr>
        <w:t>.</w:t>
      </w:r>
    </w:p>
    <w:p w14:paraId="67C7E4E0" w14:textId="43DE6C99" w:rsidR="001E271C" w:rsidRPr="002237C4" w:rsidRDefault="00934556" w:rsidP="006F36CD">
      <w:pPr>
        <w:spacing w:before="120" w:after="0"/>
        <w:jc w:val="center"/>
        <w:rPr>
          <w:sz w:val="18"/>
          <w:szCs w:val="18"/>
          <w:lang w:val="en-US"/>
        </w:rPr>
      </w:pPr>
      <w:r w:rsidRPr="002237C4">
        <w:rPr>
          <w:b/>
          <w:bCs/>
          <w:sz w:val="18"/>
          <w:szCs w:val="18"/>
          <w:lang w:val="en-US"/>
        </w:rPr>
        <w:t>TABLE 1.</w:t>
      </w:r>
      <w:r w:rsidRPr="002237C4">
        <w:rPr>
          <w:sz w:val="18"/>
          <w:szCs w:val="18"/>
          <w:lang w:val="en-US"/>
        </w:rPr>
        <w:t xml:space="preserve"> </w:t>
      </w:r>
      <w:r w:rsidR="008F0ABC" w:rsidRPr="002237C4">
        <w:rPr>
          <w:sz w:val="18"/>
          <w:szCs w:val="18"/>
          <w:lang w:val="en-US"/>
        </w:rPr>
        <w:t xml:space="preserve">Chemical and mineralogical properties of </w:t>
      </w:r>
      <w:proofErr w:type="spellStart"/>
      <w:r w:rsidR="008F0ABC" w:rsidRPr="002237C4">
        <w:rPr>
          <w:sz w:val="18"/>
          <w:szCs w:val="18"/>
          <w:lang w:val="en-US"/>
        </w:rPr>
        <w:t>portlandcement</w:t>
      </w:r>
      <w:proofErr w:type="spellEnd"/>
      <w:r w:rsidR="008F0ABC" w:rsidRPr="002237C4">
        <w:rPr>
          <w:sz w:val="18"/>
          <w:szCs w:val="18"/>
          <w:lang w:val="en-US"/>
        </w:rPr>
        <w:t xml:space="preserve"> CEM I 42,5 N</w:t>
      </w:r>
      <w:r w:rsidR="005D733E" w:rsidRPr="002237C4">
        <w:rPr>
          <w:sz w:val="18"/>
          <w:szCs w:val="18"/>
          <w:lang w:val="en-US"/>
        </w:rPr>
        <w:t>, %</w:t>
      </w:r>
    </w:p>
    <w:tbl>
      <w:tblPr>
        <w:tblStyle w:val="a3"/>
        <w:tblW w:w="0" w:type="auto"/>
        <w:jc w:val="center"/>
        <w:tblLayout w:type="fixed"/>
        <w:tblLook w:val="04A0" w:firstRow="1" w:lastRow="0" w:firstColumn="1" w:lastColumn="0" w:noHBand="0" w:noVBand="1"/>
      </w:tblPr>
      <w:tblGrid>
        <w:gridCol w:w="657"/>
        <w:gridCol w:w="660"/>
        <w:gridCol w:w="660"/>
        <w:gridCol w:w="657"/>
        <w:gridCol w:w="1047"/>
        <w:gridCol w:w="709"/>
        <w:gridCol w:w="567"/>
        <w:gridCol w:w="567"/>
        <w:gridCol w:w="583"/>
        <w:gridCol w:w="658"/>
        <w:gridCol w:w="660"/>
      </w:tblGrid>
      <w:tr w:rsidR="005D733E" w:rsidRPr="002237C4" w14:paraId="7A4DD3B7" w14:textId="77777777" w:rsidTr="005D733E">
        <w:trPr>
          <w:jc w:val="center"/>
        </w:trPr>
        <w:tc>
          <w:tcPr>
            <w:tcW w:w="657" w:type="dxa"/>
            <w:vAlign w:val="center"/>
          </w:tcPr>
          <w:p w14:paraId="6F508DA7" w14:textId="6CECFB95" w:rsidR="005D733E" w:rsidRPr="002237C4" w:rsidRDefault="005D733E" w:rsidP="005D733E">
            <w:pPr>
              <w:jc w:val="both"/>
              <w:rPr>
                <w:sz w:val="18"/>
                <w:szCs w:val="18"/>
                <w:lang w:val="en-US"/>
              </w:rPr>
            </w:pPr>
            <w:r w:rsidRPr="002237C4">
              <w:rPr>
                <w:bCs/>
                <w:sz w:val="18"/>
                <w:szCs w:val="18"/>
                <w:lang w:val="en-US"/>
              </w:rPr>
              <w:t>SiO</w:t>
            </w:r>
            <w:r w:rsidRPr="002237C4">
              <w:rPr>
                <w:bCs/>
                <w:sz w:val="18"/>
                <w:szCs w:val="18"/>
                <w:vertAlign w:val="subscript"/>
                <w:lang w:val="en-US"/>
              </w:rPr>
              <w:t>2</w:t>
            </w:r>
          </w:p>
        </w:tc>
        <w:tc>
          <w:tcPr>
            <w:tcW w:w="660" w:type="dxa"/>
            <w:vAlign w:val="center"/>
          </w:tcPr>
          <w:p w14:paraId="00573CCD" w14:textId="5A7C7D56" w:rsidR="005D733E" w:rsidRPr="002237C4" w:rsidRDefault="005D733E" w:rsidP="005D733E">
            <w:pPr>
              <w:jc w:val="both"/>
              <w:rPr>
                <w:sz w:val="18"/>
                <w:szCs w:val="18"/>
                <w:lang w:val="en-US"/>
              </w:rPr>
            </w:pPr>
            <w:r w:rsidRPr="002237C4">
              <w:rPr>
                <w:bCs/>
                <w:sz w:val="18"/>
                <w:szCs w:val="18"/>
                <w:lang w:val="en-US"/>
              </w:rPr>
              <w:t>Al</w:t>
            </w:r>
            <w:r w:rsidRPr="002237C4">
              <w:rPr>
                <w:bCs/>
                <w:sz w:val="18"/>
                <w:szCs w:val="18"/>
                <w:vertAlign w:val="subscript"/>
                <w:lang w:val="en-US"/>
              </w:rPr>
              <w:t>2</w:t>
            </w:r>
            <w:r w:rsidRPr="002237C4">
              <w:rPr>
                <w:bCs/>
                <w:sz w:val="18"/>
                <w:szCs w:val="18"/>
                <w:lang w:val="en-US"/>
              </w:rPr>
              <w:t>O</w:t>
            </w:r>
            <w:r w:rsidRPr="002237C4">
              <w:rPr>
                <w:bCs/>
                <w:sz w:val="18"/>
                <w:szCs w:val="18"/>
                <w:vertAlign w:val="subscript"/>
                <w:lang w:val="en-US"/>
              </w:rPr>
              <w:t>3</w:t>
            </w:r>
          </w:p>
        </w:tc>
        <w:tc>
          <w:tcPr>
            <w:tcW w:w="660" w:type="dxa"/>
            <w:vAlign w:val="center"/>
          </w:tcPr>
          <w:p w14:paraId="2DC44523" w14:textId="74E12FF8" w:rsidR="005D733E" w:rsidRPr="002237C4" w:rsidRDefault="005D733E" w:rsidP="005D733E">
            <w:pPr>
              <w:jc w:val="both"/>
              <w:rPr>
                <w:sz w:val="18"/>
                <w:szCs w:val="18"/>
                <w:lang w:val="en-US"/>
              </w:rPr>
            </w:pPr>
            <w:r w:rsidRPr="002237C4">
              <w:rPr>
                <w:bCs/>
                <w:sz w:val="18"/>
                <w:szCs w:val="18"/>
                <w:lang w:val="en-US"/>
              </w:rPr>
              <w:t>Fe</w:t>
            </w:r>
            <w:r w:rsidRPr="002237C4">
              <w:rPr>
                <w:bCs/>
                <w:sz w:val="18"/>
                <w:szCs w:val="18"/>
                <w:vertAlign w:val="subscript"/>
                <w:lang w:val="en-US"/>
              </w:rPr>
              <w:t>2</w:t>
            </w:r>
            <w:r w:rsidRPr="002237C4">
              <w:rPr>
                <w:bCs/>
                <w:sz w:val="18"/>
                <w:szCs w:val="18"/>
                <w:lang w:val="en-US"/>
              </w:rPr>
              <w:t>O</w:t>
            </w:r>
            <w:r w:rsidRPr="002237C4">
              <w:rPr>
                <w:bCs/>
                <w:sz w:val="18"/>
                <w:szCs w:val="18"/>
                <w:vertAlign w:val="subscript"/>
                <w:lang w:val="en-US"/>
              </w:rPr>
              <w:t>3</w:t>
            </w:r>
          </w:p>
        </w:tc>
        <w:tc>
          <w:tcPr>
            <w:tcW w:w="657" w:type="dxa"/>
            <w:vAlign w:val="center"/>
          </w:tcPr>
          <w:p w14:paraId="5D9D2030" w14:textId="7DFA343A" w:rsidR="005D733E" w:rsidRPr="002237C4" w:rsidRDefault="005D733E" w:rsidP="005D733E">
            <w:pPr>
              <w:jc w:val="both"/>
              <w:rPr>
                <w:sz w:val="18"/>
                <w:szCs w:val="18"/>
                <w:lang w:val="en-US"/>
              </w:rPr>
            </w:pPr>
            <w:proofErr w:type="spellStart"/>
            <w:r w:rsidRPr="002237C4">
              <w:rPr>
                <w:bCs/>
                <w:sz w:val="18"/>
                <w:szCs w:val="18"/>
                <w:lang w:val="en-US"/>
              </w:rPr>
              <w:t>CaO</w:t>
            </w:r>
            <w:proofErr w:type="spellEnd"/>
          </w:p>
        </w:tc>
        <w:tc>
          <w:tcPr>
            <w:tcW w:w="1047" w:type="dxa"/>
            <w:vAlign w:val="center"/>
          </w:tcPr>
          <w:p w14:paraId="16E70EBA" w14:textId="77777777" w:rsidR="005D733E" w:rsidRPr="002237C4" w:rsidRDefault="005D733E" w:rsidP="005D733E">
            <w:pPr>
              <w:jc w:val="center"/>
              <w:rPr>
                <w:bCs/>
                <w:sz w:val="18"/>
                <w:szCs w:val="18"/>
                <w:lang w:val="en-US"/>
              </w:rPr>
            </w:pPr>
            <w:proofErr w:type="spellStart"/>
            <w:r w:rsidRPr="002237C4">
              <w:rPr>
                <w:bCs/>
                <w:sz w:val="18"/>
                <w:szCs w:val="18"/>
                <w:lang w:val="en-US"/>
              </w:rPr>
              <w:t>CaO</w:t>
            </w:r>
            <w:proofErr w:type="spellEnd"/>
          </w:p>
          <w:p w14:paraId="6FE8BCCF" w14:textId="7AD34ABC" w:rsidR="005D733E" w:rsidRPr="002237C4" w:rsidRDefault="005D733E" w:rsidP="005D733E">
            <w:pPr>
              <w:jc w:val="center"/>
              <w:rPr>
                <w:sz w:val="18"/>
                <w:szCs w:val="18"/>
                <w:lang w:val="en-US"/>
              </w:rPr>
            </w:pPr>
            <w:r w:rsidRPr="002237C4">
              <w:rPr>
                <w:bCs/>
                <w:sz w:val="18"/>
                <w:szCs w:val="18"/>
                <w:lang w:val="en-US"/>
              </w:rPr>
              <w:t>(by Frank)</w:t>
            </w:r>
          </w:p>
        </w:tc>
        <w:tc>
          <w:tcPr>
            <w:tcW w:w="709" w:type="dxa"/>
            <w:vAlign w:val="center"/>
          </w:tcPr>
          <w:p w14:paraId="4EA03634" w14:textId="17017C98" w:rsidR="005D733E" w:rsidRPr="002237C4" w:rsidRDefault="005D733E" w:rsidP="005D733E">
            <w:pPr>
              <w:jc w:val="both"/>
              <w:rPr>
                <w:sz w:val="18"/>
                <w:szCs w:val="18"/>
                <w:lang w:val="en-US"/>
              </w:rPr>
            </w:pPr>
            <w:r w:rsidRPr="002237C4">
              <w:rPr>
                <w:bCs/>
                <w:sz w:val="18"/>
                <w:szCs w:val="18"/>
                <w:lang w:val="en-US"/>
              </w:rPr>
              <w:t>MgO</w:t>
            </w:r>
          </w:p>
        </w:tc>
        <w:tc>
          <w:tcPr>
            <w:tcW w:w="567" w:type="dxa"/>
            <w:vAlign w:val="center"/>
          </w:tcPr>
          <w:p w14:paraId="734C3D08" w14:textId="2F159935" w:rsidR="005D733E" w:rsidRPr="002237C4" w:rsidRDefault="005D733E" w:rsidP="005D733E">
            <w:pPr>
              <w:jc w:val="both"/>
              <w:rPr>
                <w:sz w:val="18"/>
                <w:szCs w:val="18"/>
                <w:lang w:val="en-US"/>
              </w:rPr>
            </w:pPr>
            <w:r w:rsidRPr="002237C4">
              <w:rPr>
                <w:bCs/>
                <w:sz w:val="18"/>
                <w:szCs w:val="18"/>
                <w:lang w:val="en-US"/>
              </w:rPr>
              <w:t>SO</w:t>
            </w:r>
            <w:r w:rsidRPr="002237C4">
              <w:rPr>
                <w:bCs/>
                <w:sz w:val="18"/>
                <w:szCs w:val="18"/>
                <w:vertAlign w:val="subscript"/>
                <w:lang w:val="en-US"/>
              </w:rPr>
              <w:t>3</w:t>
            </w:r>
          </w:p>
        </w:tc>
        <w:tc>
          <w:tcPr>
            <w:tcW w:w="567" w:type="dxa"/>
            <w:vAlign w:val="center"/>
          </w:tcPr>
          <w:p w14:paraId="4ECE5B6F" w14:textId="68437DD0" w:rsidR="005D733E" w:rsidRPr="002237C4" w:rsidRDefault="005D733E" w:rsidP="005D733E">
            <w:pPr>
              <w:jc w:val="both"/>
              <w:rPr>
                <w:sz w:val="18"/>
                <w:szCs w:val="18"/>
                <w:lang w:val="en-US"/>
              </w:rPr>
            </w:pPr>
            <w:r w:rsidRPr="002237C4">
              <w:rPr>
                <w:sz w:val="18"/>
                <w:szCs w:val="18"/>
                <w:lang w:val="en-US"/>
              </w:rPr>
              <w:t>C</w:t>
            </w:r>
            <w:r w:rsidRPr="002237C4">
              <w:rPr>
                <w:sz w:val="18"/>
                <w:szCs w:val="18"/>
                <w:vertAlign w:val="subscript"/>
                <w:lang w:val="en-US"/>
              </w:rPr>
              <w:t>3</w:t>
            </w:r>
            <w:r w:rsidRPr="002237C4">
              <w:rPr>
                <w:sz w:val="18"/>
                <w:szCs w:val="18"/>
                <w:lang w:val="en-US"/>
              </w:rPr>
              <w:t>S</w:t>
            </w:r>
          </w:p>
        </w:tc>
        <w:tc>
          <w:tcPr>
            <w:tcW w:w="583" w:type="dxa"/>
            <w:vAlign w:val="center"/>
          </w:tcPr>
          <w:p w14:paraId="5D969128" w14:textId="003E8050" w:rsidR="005D733E" w:rsidRPr="002237C4" w:rsidRDefault="005D733E" w:rsidP="005D733E">
            <w:pPr>
              <w:jc w:val="both"/>
              <w:rPr>
                <w:sz w:val="18"/>
                <w:szCs w:val="18"/>
                <w:lang w:val="en-US"/>
              </w:rPr>
            </w:pPr>
            <w:r w:rsidRPr="002237C4">
              <w:rPr>
                <w:sz w:val="18"/>
                <w:szCs w:val="18"/>
                <w:lang w:val="en-US"/>
              </w:rPr>
              <w:t>C</w:t>
            </w:r>
            <w:r w:rsidRPr="002237C4">
              <w:rPr>
                <w:sz w:val="18"/>
                <w:szCs w:val="18"/>
                <w:vertAlign w:val="subscript"/>
                <w:lang w:val="en-US"/>
              </w:rPr>
              <w:t>2</w:t>
            </w:r>
            <w:r w:rsidRPr="002237C4">
              <w:rPr>
                <w:sz w:val="18"/>
                <w:szCs w:val="18"/>
                <w:lang w:val="en-US"/>
              </w:rPr>
              <w:t>S</w:t>
            </w:r>
          </w:p>
        </w:tc>
        <w:tc>
          <w:tcPr>
            <w:tcW w:w="658" w:type="dxa"/>
            <w:vAlign w:val="center"/>
          </w:tcPr>
          <w:p w14:paraId="744B9195" w14:textId="78CD382E" w:rsidR="005D733E" w:rsidRPr="002237C4" w:rsidRDefault="005D733E" w:rsidP="005D733E">
            <w:pPr>
              <w:jc w:val="both"/>
              <w:rPr>
                <w:sz w:val="18"/>
                <w:szCs w:val="18"/>
                <w:lang w:val="en-US"/>
              </w:rPr>
            </w:pPr>
            <w:r w:rsidRPr="002237C4">
              <w:rPr>
                <w:sz w:val="18"/>
                <w:szCs w:val="18"/>
                <w:lang w:val="en-US"/>
              </w:rPr>
              <w:t>C</w:t>
            </w:r>
            <w:r w:rsidRPr="002237C4">
              <w:rPr>
                <w:sz w:val="18"/>
                <w:szCs w:val="18"/>
                <w:vertAlign w:val="subscript"/>
                <w:lang w:val="en-US"/>
              </w:rPr>
              <w:t>3</w:t>
            </w:r>
            <w:r w:rsidRPr="002237C4">
              <w:rPr>
                <w:sz w:val="18"/>
                <w:szCs w:val="18"/>
                <w:lang w:val="en-US"/>
              </w:rPr>
              <w:t>A</w:t>
            </w:r>
          </w:p>
        </w:tc>
        <w:tc>
          <w:tcPr>
            <w:tcW w:w="660" w:type="dxa"/>
            <w:vAlign w:val="center"/>
          </w:tcPr>
          <w:p w14:paraId="121CEA1B" w14:textId="73F1229D" w:rsidR="005D733E" w:rsidRPr="002237C4" w:rsidRDefault="005D733E" w:rsidP="005D733E">
            <w:pPr>
              <w:jc w:val="both"/>
              <w:rPr>
                <w:sz w:val="18"/>
                <w:szCs w:val="18"/>
                <w:lang w:val="en-US"/>
              </w:rPr>
            </w:pPr>
            <w:r w:rsidRPr="002237C4">
              <w:rPr>
                <w:sz w:val="18"/>
                <w:szCs w:val="18"/>
                <w:lang w:val="en-US"/>
              </w:rPr>
              <w:t>C</w:t>
            </w:r>
            <w:r w:rsidRPr="002237C4">
              <w:rPr>
                <w:sz w:val="18"/>
                <w:szCs w:val="18"/>
                <w:vertAlign w:val="subscript"/>
                <w:lang w:val="en-US"/>
              </w:rPr>
              <w:t>4</w:t>
            </w:r>
            <w:r w:rsidRPr="002237C4">
              <w:rPr>
                <w:sz w:val="18"/>
                <w:szCs w:val="18"/>
                <w:lang w:val="en-US"/>
              </w:rPr>
              <w:t>AF</w:t>
            </w:r>
          </w:p>
        </w:tc>
      </w:tr>
      <w:tr w:rsidR="005D733E" w:rsidRPr="002237C4" w14:paraId="3EC588EA" w14:textId="77777777" w:rsidTr="005D733E">
        <w:trPr>
          <w:jc w:val="center"/>
        </w:trPr>
        <w:tc>
          <w:tcPr>
            <w:tcW w:w="657" w:type="dxa"/>
          </w:tcPr>
          <w:p w14:paraId="5EB4F54B" w14:textId="7FF29629" w:rsidR="005D733E" w:rsidRPr="002237C4" w:rsidRDefault="005D733E" w:rsidP="005D733E">
            <w:pPr>
              <w:jc w:val="center"/>
              <w:rPr>
                <w:sz w:val="18"/>
                <w:szCs w:val="18"/>
                <w:lang w:val="en-US"/>
              </w:rPr>
            </w:pPr>
            <w:r w:rsidRPr="002237C4">
              <w:rPr>
                <w:sz w:val="18"/>
                <w:szCs w:val="18"/>
                <w:lang w:val="en-US"/>
              </w:rPr>
              <w:t>20,91</w:t>
            </w:r>
          </w:p>
        </w:tc>
        <w:tc>
          <w:tcPr>
            <w:tcW w:w="660" w:type="dxa"/>
          </w:tcPr>
          <w:p w14:paraId="5F331BE8" w14:textId="74E7AA80" w:rsidR="005D733E" w:rsidRPr="002237C4" w:rsidRDefault="005D733E" w:rsidP="005D733E">
            <w:pPr>
              <w:jc w:val="center"/>
              <w:rPr>
                <w:sz w:val="18"/>
                <w:szCs w:val="18"/>
                <w:lang w:val="en-US"/>
              </w:rPr>
            </w:pPr>
            <w:r w:rsidRPr="002237C4">
              <w:rPr>
                <w:sz w:val="18"/>
                <w:szCs w:val="18"/>
                <w:lang w:val="en-US"/>
              </w:rPr>
              <w:t>5,16</w:t>
            </w:r>
          </w:p>
        </w:tc>
        <w:tc>
          <w:tcPr>
            <w:tcW w:w="660" w:type="dxa"/>
          </w:tcPr>
          <w:p w14:paraId="46C26F11" w14:textId="68057153" w:rsidR="005D733E" w:rsidRPr="002237C4" w:rsidRDefault="005D733E" w:rsidP="005D733E">
            <w:pPr>
              <w:jc w:val="center"/>
              <w:rPr>
                <w:sz w:val="18"/>
                <w:szCs w:val="18"/>
                <w:lang w:val="en-US"/>
              </w:rPr>
            </w:pPr>
            <w:r w:rsidRPr="002237C4">
              <w:rPr>
                <w:sz w:val="18"/>
                <w:szCs w:val="18"/>
                <w:lang w:val="en-US"/>
              </w:rPr>
              <w:t>4,53</w:t>
            </w:r>
          </w:p>
        </w:tc>
        <w:tc>
          <w:tcPr>
            <w:tcW w:w="657" w:type="dxa"/>
          </w:tcPr>
          <w:p w14:paraId="2C2BCC93" w14:textId="330F9D1D" w:rsidR="005D733E" w:rsidRPr="002237C4" w:rsidRDefault="005D733E" w:rsidP="005D733E">
            <w:pPr>
              <w:jc w:val="center"/>
              <w:rPr>
                <w:sz w:val="18"/>
                <w:szCs w:val="18"/>
                <w:lang w:val="en-US"/>
              </w:rPr>
            </w:pPr>
            <w:r w:rsidRPr="002237C4">
              <w:rPr>
                <w:sz w:val="18"/>
                <w:szCs w:val="18"/>
                <w:lang w:val="en-US"/>
              </w:rPr>
              <w:t>63,46</w:t>
            </w:r>
          </w:p>
        </w:tc>
        <w:tc>
          <w:tcPr>
            <w:tcW w:w="1047" w:type="dxa"/>
          </w:tcPr>
          <w:p w14:paraId="2753DE5F" w14:textId="3F61A309" w:rsidR="005D733E" w:rsidRPr="002237C4" w:rsidRDefault="005D733E" w:rsidP="005D733E">
            <w:pPr>
              <w:jc w:val="center"/>
              <w:rPr>
                <w:sz w:val="18"/>
                <w:szCs w:val="18"/>
                <w:lang w:val="en-US"/>
              </w:rPr>
            </w:pPr>
            <w:r w:rsidRPr="002237C4">
              <w:rPr>
                <w:sz w:val="18"/>
                <w:szCs w:val="18"/>
                <w:lang w:val="en-US"/>
              </w:rPr>
              <w:t>0,45</w:t>
            </w:r>
          </w:p>
        </w:tc>
        <w:tc>
          <w:tcPr>
            <w:tcW w:w="709" w:type="dxa"/>
          </w:tcPr>
          <w:p w14:paraId="5786BA7A" w14:textId="0C322D22" w:rsidR="005D733E" w:rsidRPr="002237C4" w:rsidRDefault="005D733E" w:rsidP="005D733E">
            <w:pPr>
              <w:jc w:val="center"/>
              <w:rPr>
                <w:sz w:val="18"/>
                <w:szCs w:val="18"/>
                <w:lang w:val="en-US"/>
              </w:rPr>
            </w:pPr>
            <w:r w:rsidRPr="002237C4">
              <w:rPr>
                <w:sz w:val="18"/>
                <w:szCs w:val="18"/>
                <w:lang w:val="en-US"/>
              </w:rPr>
              <w:t>2,81</w:t>
            </w:r>
          </w:p>
        </w:tc>
        <w:tc>
          <w:tcPr>
            <w:tcW w:w="567" w:type="dxa"/>
          </w:tcPr>
          <w:p w14:paraId="66ACBD99" w14:textId="74B14243" w:rsidR="005D733E" w:rsidRPr="002237C4" w:rsidRDefault="005D733E" w:rsidP="005D733E">
            <w:pPr>
              <w:jc w:val="center"/>
              <w:rPr>
                <w:sz w:val="18"/>
                <w:szCs w:val="18"/>
                <w:lang w:val="en-US"/>
              </w:rPr>
            </w:pPr>
            <w:r w:rsidRPr="002237C4">
              <w:rPr>
                <w:sz w:val="18"/>
                <w:szCs w:val="18"/>
                <w:lang w:val="en-US"/>
              </w:rPr>
              <w:t>0,39</w:t>
            </w:r>
          </w:p>
        </w:tc>
        <w:tc>
          <w:tcPr>
            <w:tcW w:w="567" w:type="dxa"/>
          </w:tcPr>
          <w:p w14:paraId="0BF28A46" w14:textId="656B04D5" w:rsidR="005D733E" w:rsidRPr="002237C4" w:rsidRDefault="005D733E" w:rsidP="005D733E">
            <w:pPr>
              <w:jc w:val="center"/>
              <w:rPr>
                <w:sz w:val="18"/>
                <w:szCs w:val="18"/>
                <w:lang w:val="en-US"/>
              </w:rPr>
            </w:pPr>
            <w:r w:rsidRPr="002237C4">
              <w:rPr>
                <w:sz w:val="18"/>
                <w:szCs w:val="18"/>
                <w:lang w:val="en-US"/>
              </w:rPr>
              <w:t>55,6</w:t>
            </w:r>
          </w:p>
        </w:tc>
        <w:tc>
          <w:tcPr>
            <w:tcW w:w="583" w:type="dxa"/>
          </w:tcPr>
          <w:p w14:paraId="72AF6449" w14:textId="22D995A9" w:rsidR="005D733E" w:rsidRPr="002237C4" w:rsidRDefault="005D733E" w:rsidP="005D733E">
            <w:pPr>
              <w:jc w:val="center"/>
              <w:rPr>
                <w:sz w:val="18"/>
                <w:szCs w:val="18"/>
                <w:lang w:val="en-US"/>
              </w:rPr>
            </w:pPr>
            <w:r w:rsidRPr="002237C4">
              <w:rPr>
                <w:sz w:val="18"/>
                <w:szCs w:val="18"/>
                <w:lang w:val="en-US"/>
              </w:rPr>
              <w:t>17,9</w:t>
            </w:r>
          </w:p>
        </w:tc>
        <w:tc>
          <w:tcPr>
            <w:tcW w:w="658" w:type="dxa"/>
          </w:tcPr>
          <w:p w14:paraId="4DA741F3" w14:textId="4A734E61" w:rsidR="005D733E" w:rsidRPr="002237C4" w:rsidRDefault="005D733E" w:rsidP="005D733E">
            <w:pPr>
              <w:jc w:val="center"/>
              <w:rPr>
                <w:sz w:val="18"/>
                <w:szCs w:val="18"/>
                <w:lang w:val="en-US"/>
              </w:rPr>
            </w:pPr>
            <w:r w:rsidRPr="002237C4">
              <w:rPr>
                <w:sz w:val="18"/>
                <w:szCs w:val="18"/>
                <w:lang w:val="en-US"/>
              </w:rPr>
              <w:t>6</w:t>
            </w:r>
          </w:p>
        </w:tc>
        <w:tc>
          <w:tcPr>
            <w:tcW w:w="660" w:type="dxa"/>
          </w:tcPr>
          <w:p w14:paraId="2499E3D1" w14:textId="535A4E1B" w:rsidR="005D733E" w:rsidRPr="002237C4" w:rsidRDefault="005D733E" w:rsidP="005D733E">
            <w:pPr>
              <w:jc w:val="center"/>
              <w:rPr>
                <w:sz w:val="18"/>
                <w:szCs w:val="18"/>
                <w:lang w:val="en-US"/>
              </w:rPr>
            </w:pPr>
            <w:r w:rsidRPr="002237C4">
              <w:rPr>
                <w:sz w:val="18"/>
                <w:szCs w:val="18"/>
                <w:lang w:val="en-US"/>
              </w:rPr>
              <w:t>13,7</w:t>
            </w:r>
          </w:p>
        </w:tc>
      </w:tr>
    </w:tbl>
    <w:p w14:paraId="4CF558E0" w14:textId="227C7D50" w:rsidR="005D733E" w:rsidRPr="002237C4" w:rsidRDefault="005D733E" w:rsidP="006F36CD">
      <w:pPr>
        <w:spacing w:before="120" w:after="0"/>
        <w:jc w:val="center"/>
        <w:rPr>
          <w:sz w:val="20"/>
          <w:szCs w:val="20"/>
          <w:lang w:val="en-US"/>
        </w:rPr>
      </w:pPr>
      <w:r w:rsidRPr="002237C4">
        <w:rPr>
          <w:noProof/>
          <w:sz w:val="20"/>
          <w:szCs w:val="20"/>
          <w:lang w:eastAsia="ru-RU"/>
        </w:rPr>
        <w:drawing>
          <wp:inline distT="0" distB="0" distL="0" distR="0" wp14:anchorId="296194B1" wp14:editId="2F9FDA0A">
            <wp:extent cx="2475152" cy="1710000"/>
            <wp:effectExtent l="0" t="0" r="1905"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5152" cy="1710000"/>
                    </a:xfrm>
                    <a:prstGeom prst="rect">
                      <a:avLst/>
                    </a:prstGeom>
                    <a:noFill/>
                  </pic:spPr>
                </pic:pic>
              </a:graphicData>
            </a:graphic>
          </wp:inline>
        </w:drawing>
      </w:r>
    </w:p>
    <w:p w14:paraId="1CE02B13" w14:textId="06CA35F4" w:rsidR="00A575EE" w:rsidRPr="002237C4" w:rsidRDefault="00934556" w:rsidP="006F36CD">
      <w:pPr>
        <w:spacing w:after="120"/>
        <w:jc w:val="center"/>
        <w:rPr>
          <w:sz w:val="18"/>
          <w:szCs w:val="18"/>
          <w:lang w:val="en-US"/>
        </w:rPr>
      </w:pPr>
      <w:r w:rsidRPr="002237C4">
        <w:rPr>
          <w:b/>
          <w:bCs/>
          <w:sz w:val="18"/>
          <w:szCs w:val="18"/>
          <w:lang w:val="en-US"/>
        </w:rPr>
        <w:t>FIGURE 1</w:t>
      </w:r>
      <w:r w:rsidR="00A575EE" w:rsidRPr="002237C4">
        <w:rPr>
          <w:b/>
          <w:bCs/>
          <w:sz w:val="18"/>
          <w:szCs w:val="18"/>
          <w:lang w:val="en-US"/>
        </w:rPr>
        <w:t>.</w:t>
      </w:r>
      <w:r w:rsidR="00A575EE" w:rsidRPr="002237C4">
        <w:rPr>
          <w:sz w:val="18"/>
          <w:szCs w:val="18"/>
          <w:lang w:val="en-US"/>
        </w:rPr>
        <w:t xml:space="preserve"> XRD of cement</w:t>
      </w:r>
      <w:r w:rsidR="00C11D17" w:rsidRPr="002237C4">
        <w:rPr>
          <w:sz w:val="18"/>
          <w:szCs w:val="18"/>
          <w:lang w:val="en-US"/>
        </w:rPr>
        <w:t xml:space="preserve"> CEM I 42,5 N</w:t>
      </w:r>
    </w:p>
    <w:p w14:paraId="063B7483" w14:textId="1A0F12B3" w:rsidR="00A575EE" w:rsidRPr="002237C4" w:rsidRDefault="00C11D17" w:rsidP="009216C2">
      <w:pPr>
        <w:spacing w:after="0"/>
        <w:ind w:firstLine="284"/>
        <w:jc w:val="both"/>
        <w:rPr>
          <w:sz w:val="20"/>
          <w:szCs w:val="20"/>
          <w:lang w:val="en-US"/>
        </w:rPr>
      </w:pPr>
      <w:r w:rsidRPr="002237C4">
        <w:rPr>
          <w:sz w:val="20"/>
          <w:szCs w:val="20"/>
          <w:lang w:val="en-US"/>
        </w:rPr>
        <w:t>Figure 1 presents the principal cement minerals and their corresponding diffraction peaks. For an in-depth analysis of the crystalline structure and quantitative determination of the cement’s phase composition, the Rietveld refinement method [</w:t>
      </w:r>
      <w:r w:rsidR="000977A6" w:rsidRPr="002237C4">
        <w:rPr>
          <w:sz w:val="20"/>
          <w:szCs w:val="20"/>
          <w:lang w:val="en-US"/>
        </w:rPr>
        <w:t>6</w:t>
      </w:r>
      <w:r w:rsidRPr="002237C4">
        <w:rPr>
          <w:sz w:val="20"/>
          <w:szCs w:val="20"/>
          <w:lang w:val="en-US"/>
        </w:rPr>
        <w:t xml:space="preserve">] was applied. This approach yielded detailed information on crystallite size, </w:t>
      </w:r>
      <w:proofErr w:type="spellStart"/>
      <w:r w:rsidRPr="002237C4">
        <w:rPr>
          <w:sz w:val="20"/>
          <w:szCs w:val="20"/>
          <w:lang w:val="en-US"/>
        </w:rPr>
        <w:t>microstrain</w:t>
      </w:r>
      <w:proofErr w:type="spellEnd"/>
      <w:r w:rsidRPr="002237C4">
        <w:rPr>
          <w:sz w:val="20"/>
          <w:szCs w:val="20"/>
          <w:lang w:val="en-US"/>
        </w:rPr>
        <w:t xml:space="preserve">, and the relative proportions of the various phases in the sample. </w:t>
      </w:r>
    </w:p>
    <w:p w14:paraId="5342DEF6" w14:textId="0E0F9B58" w:rsidR="00C11D17" w:rsidRPr="002237C4" w:rsidRDefault="00C11D17" w:rsidP="009216C2">
      <w:pPr>
        <w:spacing w:after="0"/>
        <w:ind w:firstLine="284"/>
        <w:jc w:val="both"/>
        <w:rPr>
          <w:sz w:val="20"/>
          <w:szCs w:val="20"/>
          <w:lang w:val="en-US"/>
        </w:rPr>
      </w:pPr>
      <w:r w:rsidRPr="002237C4">
        <w:rPr>
          <w:i/>
          <w:iCs/>
          <w:sz w:val="20"/>
          <w:szCs w:val="20"/>
          <w:lang w:val="en-US"/>
        </w:rPr>
        <w:t>Superplasticizers.</w:t>
      </w:r>
      <w:r w:rsidRPr="002237C4">
        <w:rPr>
          <w:sz w:val="20"/>
          <w:szCs w:val="20"/>
          <w:lang w:val="en-US"/>
        </w:rPr>
        <w:t xml:space="preserve"> </w:t>
      </w:r>
      <w:r w:rsidR="00586D5A" w:rsidRPr="002237C4">
        <w:rPr>
          <w:sz w:val="20"/>
          <w:szCs w:val="20"/>
          <w:lang w:val="en-US"/>
        </w:rPr>
        <w:t>Three</w:t>
      </w:r>
      <w:r w:rsidRPr="002237C4">
        <w:rPr>
          <w:sz w:val="20"/>
          <w:szCs w:val="20"/>
          <w:lang w:val="en-US"/>
        </w:rPr>
        <w:t xml:space="preserve"> superplasticizers were employed in the study: the polycarboxylate superplasticizer RS-1, the </w:t>
      </w:r>
      <w:proofErr w:type="spellStart"/>
      <w:r w:rsidRPr="002237C4">
        <w:rPr>
          <w:sz w:val="20"/>
          <w:szCs w:val="20"/>
          <w:lang w:val="en-US"/>
        </w:rPr>
        <w:t>sulfonaphthalene</w:t>
      </w:r>
      <w:proofErr w:type="spellEnd"/>
      <w:r w:rsidRPr="002237C4">
        <w:rPr>
          <w:sz w:val="20"/>
          <w:szCs w:val="20"/>
          <w:lang w:val="en-US"/>
        </w:rPr>
        <w:t xml:space="preserve">-formaldehyde superplasticizer </w:t>
      </w:r>
      <w:proofErr w:type="spellStart"/>
      <w:r w:rsidRPr="002237C4">
        <w:rPr>
          <w:sz w:val="20"/>
          <w:szCs w:val="20"/>
          <w:lang w:val="en-US"/>
        </w:rPr>
        <w:t>Polyplast</w:t>
      </w:r>
      <w:proofErr w:type="spellEnd"/>
      <w:r w:rsidRPr="002237C4">
        <w:rPr>
          <w:sz w:val="20"/>
          <w:szCs w:val="20"/>
          <w:lang w:val="en-US"/>
        </w:rPr>
        <w:t xml:space="preserve"> 956, and the hybrid lignosulfonate–polycarboxylate superplasticizer </w:t>
      </w:r>
      <w:proofErr w:type="spellStart"/>
      <w:r w:rsidRPr="002237C4">
        <w:rPr>
          <w:sz w:val="20"/>
          <w:szCs w:val="20"/>
          <w:lang w:val="en-US"/>
        </w:rPr>
        <w:t>Chryso</w:t>
      </w:r>
      <w:proofErr w:type="spellEnd"/>
      <w:r w:rsidRPr="002237C4">
        <w:rPr>
          <w:sz w:val="20"/>
          <w:szCs w:val="20"/>
          <w:lang w:val="en-US"/>
        </w:rPr>
        <w:t xml:space="preserve"> Delta 6328.</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2"/>
        <w:gridCol w:w="2642"/>
        <w:gridCol w:w="2642"/>
      </w:tblGrid>
      <w:tr w:rsidR="00586D5A" w:rsidRPr="002237C4" w14:paraId="15E2DA56" w14:textId="77777777" w:rsidTr="008E7D16">
        <w:trPr>
          <w:jc w:val="center"/>
        </w:trPr>
        <w:tc>
          <w:tcPr>
            <w:tcW w:w="2642" w:type="dxa"/>
          </w:tcPr>
          <w:p w14:paraId="4AC665A2" w14:textId="52407879" w:rsidR="00586D5A" w:rsidRPr="002237C4" w:rsidRDefault="003A3476" w:rsidP="00A575EE">
            <w:pPr>
              <w:jc w:val="both"/>
              <w:rPr>
                <w:sz w:val="20"/>
                <w:szCs w:val="20"/>
                <w:lang w:val="en-US"/>
              </w:rPr>
            </w:pPr>
            <w:r w:rsidRPr="002237C4">
              <w:rPr>
                <w:sz w:val="20"/>
                <w:szCs w:val="20"/>
                <w:lang w:val="en-US"/>
              </w:rPr>
              <w:t>a.</w:t>
            </w:r>
            <w:r w:rsidRPr="002237C4">
              <w:rPr>
                <w:noProof/>
                <w:sz w:val="20"/>
                <w:szCs w:val="20"/>
                <w:lang w:eastAsia="ru-RU"/>
              </w:rPr>
              <w:drawing>
                <wp:inline distT="0" distB="0" distL="0" distR="0" wp14:anchorId="104EEEC8" wp14:editId="0CD203E7">
                  <wp:extent cx="1467187" cy="12600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7187" cy="1260000"/>
                          </a:xfrm>
                          <a:prstGeom prst="rect">
                            <a:avLst/>
                          </a:prstGeom>
                          <a:noFill/>
                        </pic:spPr>
                      </pic:pic>
                    </a:graphicData>
                  </a:graphic>
                </wp:inline>
              </w:drawing>
            </w:r>
          </w:p>
        </w:tc>
        <w:tc>
          <w:tcPr>
            <w:tcW w:w="2642" w:type="dxa"/>
          </w:tcPr>
          <w:p w14:paraId="3835D836" w14:textId="56663D83" w:rsidR="00586D5A" w:rsidRPr="002237C4" w:rsidRDefault="003A3476" w:rsidP="00A575EE">
            <w:pPr>
              <w:jc w:val="both"/>
              <w:rPr>
                <w:sz w:val="20"/>
                <w:szCs w:val="20"/>
                <w:lang w:val="en-US"/>
              </w:rPr>
            </w:pPr>
            <w:r w:rsidRPr="002237C4">
              <w:rPr>
                <w:sz w:val="20"/>
                <w:szCs w:val="20"/>
                <w:lang w:val="en-US"/>
              </w:rPr>
              <w:t>b.</w:t>
            </w:r>
            <w:r w:rsidRPr="002237C4">
              <w:rPr>
                <w:noProof/>
                <w:sz w:val="20"/>
                <w:szCs w:val="20"/>
                <w:lang w:eastAsia="ru-RU"/>
              </w:rPr>
              <w:drawing>
                <wp:inline distT="0" distB="0" distL="0" distR="0" wp14:anchorId="5C65EA20" wp14:editId="314C4E49">
                  <wp:extent cx="1470176" cy="12600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70176" cy="1260000"/>
                          </a:xfrm>
                          <a:prstGeom prst="rect">
                            <a:avLst/>
                          </a:prstGeom>
                          <a:noFill/>
                        </pic:spPr>
                      </pic:pic>
                    </a:graphicData>
                  </a:graphic>
                </wp:inline>
              </w:drawing>
            </w:r>
          </w:p>
        </w:tc>
        <w:tc>
          <w:tcPr>
            <w:tcW w:w="2642" w:type="dxa"/>
          </w:tcPr>
          <w:p w14:paraId="7DE6C2F1" w14:textId="77777777" w:rsidR="003A3476" w:rsidRPr="002237C4" w:rsidRDefault="003A3476" w:rsidP="00A575EE">
            <w:pPr>
              <w:jc w:val="both"/>
              <w:rPr>
                <w:sz w:val="20"/>
                <w:szCs w:val="20"/>
                <w:lang w:val="en-US"/>
              </w:rPr>
            </w:pPr>
            <w:r w:rsidRPr="002237C4">
              <w:rPr>
                <w:sz w:val="20"/>
                <w:szCs w:val="20"/>
                <w:lang w:val="en-US"/>
              </w:rPr>
              <w:t>c.</w:t>
            </w:r>
          </w:p>
          <w:p w14:paraId="04B459BA" w14:textId="48299285" w:rsidR="00586D5A" w:rsidRPr="002237C4" w:rsidRDefault="003A3476" w:rsidP="00A575EE">
            <w:pPr>
              <w:jc w:val="both"/>
              <w:rPr>
                <w:sz w:val="20"/>
                <w:szCs w:val="20"/>
                <w:lang w:val="en-US"/>
              </w:rPr>
            </w:pPr>
            <w:r w:rsidRPr="002237C4">
              <w:rPr>
                <w:noProof/>
                <w:sz w:val="20"/>
                <w:szCs w:val="20"/>
                <w:lang w:eastAsia="ru-RU"/>
              </w:rPr>
              <w:drawing>
                <wp:inline distT="0" distB="0" distL="0" distR="0" wp14:anchorId="03A08197" wp14:editId="1955DD18">
                  <wp:extent cx="1417222" cy="12600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17222" cy="1260000"/>
                          </a:xfrm>
                          <a:prstGeom prst="rect">
                            <a:avLst/>
                          </a:prstGeom>
                          <a:noFill/>
                        </pic:spPr>
                      </pic:pic>
                    </a:graphicData>
                  </a:graphic>
                </wp:inline>
              </w:drawing>
            </w:r>
          </w:p>
        </w:tc>
      </w:tr>
    </w:tbl>
    <w:p w14:paraId="27B1E635" w14:textId="28ABD6C1" w:rsidR="003A3476" w:rsidRPr="002237C4" w:rsidRDefault="009216C2" w:rsidP="006F36CD">
      <w:pPr>
        <w:spacing w:after="120"/>
        <w:jc w:val="center"/>
        <w:rPr>
          <w:sz w:val="18"/>
          <w:szCs w:val="18"/>
          <w:lang w:val="en-US"/>
        </w:rPr>
      </w:pPr>
      <w:r w:rsidRPr="002237C4">
        <w:rPr>
          <w:b/>
          <w:bCs/>
          <w:sz w:val="18"/>
          <w:szCs w:val="18"/>
          <w:lang w:val="en-US"/>
        </w:rPr>
        <w:t>FIGURE 2</w:t>
      </w:r>
      <w:r w:rsidR="003A3476" w:rsidRPr="002237C4">
        <w:rPr>
          <w:b/>
          <w:bCs/>
          <w:sz w:val="18"/>
          <w:szCs w:val="18"/>
          <w:lang w:val="en-US"/>
        </w:rPr>
        <w:t xml:space="preserve">. </w:t>
      </w:r>
      <w:r w:rsidR="008B5A91" w:rsidRPr="002237C4">
        <w:rPr>
          <w:sz w:val="18"/>
          <w:szCs w:val="18"/>
          <w:lang w:val="en-US"/>
        </w:rPr>
        <w:t xml:space="preserve">Fourier-transform infrared spectroscopy of superplasticizers. a. RS-1, b. </w:t>
      </w:r>
      <w:proofErr w:type="spellStart"/>
      <w:r w:rsidR="008B5A91" w:rsidRPr="002237C4">
        <w:rPr>
          <w:sz w:val="18"/>
          <w:szCs w:val="18"/>
          <w:lang w:val="en-US"/>
        </w:rPr>
        <w:t>Polyplast</w:t>
      </w:r>
      <w:proofErr w:type="spellEnd"/>
      <w:r w:rsidR="008B5A91" w:rsidRPr="002237C4">
        <w:rPr>
          <w:sz w:val="18"/>
          <w:szCs w:val="18"/>
          <w:lang w:val="en-US"/>
        </w:rPr>
        <w:t xml:space="preserve"> 956, c. </w:t>
      </w:r>
      <w:proofErr w:type="spellStart"/>
      <w:r w:rsidR="008B5A91" w:rsidRPr="002237C4">
        <w:rPr>
          <w:sz w:val="18"/>
          <w:szCs w:val="18"/>
          <w:lang w:val="en-US"/>
        </w:rPr>
        <w:t>Chryso</w:t>
      </w:r>
      <w:proofErr w:type="spellEnd"/>
      <w:r w:rsidR="008B5A91" w:rsidRPr="002237C4">
        <w:rPr>
          <w:sz w:val="18"/>
          <w:szCs w:val="18"/>
          <w:lang w:val="en-US"/>
        </w:rPr>
        <w:t xml:space="preserve"> Delta 6328</w:t>
      </w:r>
    </w:p>
    <w:p w14:paraId="56360F29" w14:textId="46063AF6" w:rsidR="00202223" w:rsidRDefault="00202223" w:rsidP="009216C2">
      <w:pPr>
        <w:spacing w:after="120"/>
        <w:ind w:firstLine="284"/>
        <w:jc w:val="both"/>
        <w:rPr>
          <w:sz w:val="20"/>
          <w:szCs w:val="20"/>
          <w:lang w:val="en-US"/>
        </w:rPr>
      </w:pPr>
      <w:r w:rsidRPr="002237C4">
        <w:rPr>
          <w:i/>
          <w:iCs/>
          <w:sz w:val="20"/>
          <w:szCs w:val="20"/>
          <w:lang w:val="en-US"/>
        </w:rPr>
        <w:t xml:space="preserve">Isothermal calorimetry. </w:t>
      </w:r>
      <w:r w:rsidRPr="002237C4">
        <w:rPr>
          <w:sz w:val="20"/>
          <w:szCs w:val="20"/>
          <w:lang w:val="en-US"/>
        </w:rPr>
        <w:t>The heat flow during the hydration of cement, both in the presence and absence of superplasticizers, was recorded using an eight-channel isothermal calorimeter (Thermometric AB TAM Air 3114) at 20 °C, in accordance with DIN EN 196-11 [</w:t>
      </w:r>
      <w:r w:rsidR="000977A6" w:rsidRPr="002237C4">
        <w:rPr>
          <w:sz w:val="20"/>
          <w:szCs w:val="20"/>
          <w:lang w:val="en-US"/>
        </w:rPr>
        <w:t>7</w:t>
      </w:r>
      <w:r w:rsidRPr="002237C4">
        <w:rPr>
          <w:sz w:val="20"/>
          <w:szCs w:val="20"/>
          <w:lang w:val="en-US"/>
        </w:rPr>
        <w:t>]. For each measurement, 4.00 g of Portland cement were weighed into a 10 mL glass ampoule. Pure deionized water or a retarder solution, pre-equilibrated to 20 °C, was added to the cement at a water-cement ratio (w/c) of 0.55, after which the ampoule was sealed with an aluminum crimp cap. The sample was then homogenized for 120 s using a VWR VWT 1419 mixer at maximum speed and subsequently placed in the calorimeter’s measurement chamber.</w:t>
      </w:r>
    </w:p>
    <w:p w14:paraId="7810BD24" w14:textId="77777777" w:rsidR="00023E55" w:rsidRPr="002237C4" w:rsidRDefault="00023E55" w:rsidP="009216C2">
      <w:pPr>
        <w:spacing w:after="120"/>
        <w:ind w:firstLine="284"/>
        <w:jc w:val="both"/>
        <w:rPr>
          <w:sz w:val="20"/>
          <w:szCs w:val="20"/>
          <w:lang w:val="en-US"/>
        </w:rPr>
      </w:pPr>
    </w:p>
    <w:p w14:paraId="4851417E" w14:textId="50754990" w:rsidR="00202223" w:rsidRPr="002237C4" w:rsidRDefault="009216C2" w:rsidP="006F36CD">
      <w:pPr>
        <w:spacing w:before="240" w:after="240"/>
        <w:jc w:val="center"/>
        <w:rPr>
          <w:b/>
          <w:bCs/>
          <w:sz w:val="24"/>
          <w:szCs w:val="24"/>
          <w:lang w:val="en-US"/>
        </w:rPr>
      </w:pPr>
      <w:r w:rsidRPr="002237C4">
        <w:rPr>
          <w:b/>
          <w:bCs/>
          <w:sz w:val="24"/>
          <w:szCs w:val="24"/>
          <w:lang w:val="en-US"/>
        </w:rPr>
        <w:lastRenderedPageBreak/>
        <w:t>ANALYSIS OF THE HYDRATION KINETICS BY ISOTHERMAL CALORIMETRY</w:t>
      </w:r>
    </w:p>
    <w:p w14:paraId="73FBB295" w14:textId="7F394D25" w:rsidR="00A70C1A" w:rsidRPr="002237C4" w:rsidRDefault="004D75BB" w:rsidP="009216C2">
      <w:pPr>
        <w:spacing w:after="0"/>
        <w:ind w:firstLine="284"/>
        <w:jc w:val="both"/>
        <w:rPr>
          <w:sz w:val="20"/>
          <w:szCs w:val="20"/>
          <w:lang w:val="en-US"/>
        </w:rPr>
      </w:pPr>
      <w:r w:rsidRPr="002237C4">
        <w:rPr>
          <w:sz w:val="20"/>
          <w:szCs w:val="20"/>
          <w:lang w:val="en-US"/>
        </w:rPr>
        <w:t xml:space="preserve">Figure 3 illustrates the evolution of heat flow in the cementitious systems during a </w:t>
      </w:r>
      <w:r w:rsidR="008E7D16" w:rsidRPr="002237C4">
        <w:rPr>
          <w:sz w:val="20"/>
          <w:szCs w:val="20"/>
          <w:lang w:val="en-US"/>
        </w:rPr>
        <w:t>70 h</w:t>
      </w:r>
      <w:r w:rsidRPr="002237C4">
        <w:rPr>
          <w:sz w:val="20"/>
          <w:szCs w:val="20"/>
          <w:lang w:val="en-US"/>
        </w:rPr>
        <w:t xml:space="preserve"> hydration period. Heat flow is a critical indicator of the intensity of hydration reactions, reflecting the rate at which cement phases dissolve and hydration products form.</w:t>
      </w:r>
    </w:p>
    <w:p w14:paraId="3B6561AF" w14:textId="7EEC0C0F" w:rsidR="004D75BB" w:rsidRPr="002237C4" w:rsidRDefault="004D75BB" w:rsidP="006F36CD">
      <w:pPr>
        <w:spacing w:after="0"/>
        <w:jc w:val="center"/>
        <w:rPr>
          <w:sz w:val="20"/>
          <w:szCs w:val="20"/>
          <w:lang w:val="en-US"/>
        </w:rPr>
      </w:pPr>
      <w:r w:rsidRPr="002237C4">
        <w:rPr>
          <w:noProof/>
          <w:sz w:val="20"/>
          <w:szCs w:val="20"/>
          <w:lang w:eastAsia="ru-RU"/>
        </w:rPr>
        <w:drawing>
          <wp:inline distT="0" distB="0" distL="0" distR="0" wp14:anchorId="048776D1" wp14:editId="2C8F5D93">
            <wp:extent cx="2311119" cy="18000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14">
                      <a:extLst>
                        <a:ext uri="{28A0092B-C50C-407E-A947-70E740481C1C}">
                          <a14:useLocalDpi xmlns:a14="http://schemas.microsoft.com/office/drawing/2010/main" val="0"/>
                        </a:ext>
                      </a:extLst>
                    </a:blip>
                    <a:srcRect l="3535" t="10810" r="13245" b="4233"/>
                    <a:stretch/>
                  </pic:blipFill>
                  <pic:spPr bwMode="auto">
                    <a:xfrm>
                      <a:off x="0" y="0"/>
                      <a:ext cx="2311119" cy="1800000"/>
                    </a:xfrm>
                    <a:prstGeom prst="rect">
                      <a:avLst/>
                    </a:prstGeom>
                    <a:noFill/>
                    <a:ln>
                      <a:noFill/>
                    </a:ln>
                    <a:extLst>
                      <a:ext uri="{53640926-AAD7-44D8-BBD7-CCE9431645EC}">
                        <a14:shadowObscured xmlns:a14="http://schemas.microsoft.com/office/drawing/2010/main"/>
                      </a:ext>
                    </a:extLst>
                  </pic:spPr>
                </pic:pic>
              </a:graphicData>
            </a:graphic>
          </wp:inline>
        </w:drawing>
      </w:r>
    </w:p>
    <w:p w14:paraId="4097A7DD" w14:textId="7C54727F" w:rsidR="008E7D16" w:rsidRPr="002237C4" w:rsidRDefault="009216C2" w:rsidP="006F36CD">
      <w:pPr>
        <w:spacing w:after="120"/>
        <w:jc w:val="center"/>
        <w:rPr>
          <w:b/>
          <w:bCs/>
          <w:sz w:val="18"/>
          <w:szCs w:val="18"/>
          <w:lang w:val="en-US"/>
        </w:rPr>
      </w:pPr>
      <w:r w:rsidRPr="002237C4">
        <w:rPr>
          <w:b/>
          <w:bCs/>
          <w:sz w:val="18"/>
          <w:szCs w:val="18"/>
          <w:lang w:val="en-US"/>
        </w:rPr>
        <w:t xml:space="preserve">FIGURE 3. </w:t>
      </w:r>
      <w:r w:rsidR="008E7D16" w:rsidRPr="002237C4">
        <w:rPr>
          <w:sz w:val="18"/>
          <w:szCs w:val="18"/>
          <w:lang w:val="en-US"/>
        </w:rPr>
        <w:t>Heat flow of cement with superplasticizers. 1-</w:t>
      </w:r>
      <w:r w:rsidR="00A346B7" w:rsidRPr="002237C4">
        <w:rPr>
          <w:sz w:val="18"/>
          <w:szCs w:val="18"/>
          <w:lang w:val="en-US"/>
        </w:rPr>
        <w:t>reference</w:t>
      </w:r>
      <w:r w:rsidR="008E7D16" w:rsidRPr="002237C4">
        <w:rPr>
          <w:sz w:val="18"/>
          <w:szCs w:val="18"/>
          <w:lang w:val="en-US"/>
        </w:rPr>
        <w:t xml:space="preserve"> sample, 2-RS-1, 3-Polyplast 956, 4-Chryso Delta 6328</w:t>
      </w:r>
    </w:p>
    <w:p w14:paraId="38040A99" w14:textId="163F27D2" w:rsidR="008E7D16" w:rsidRPr="002237C4" w:rsidRDefault="008E7D16" w:rsidP="009216C2">
      <w:pPr>
        <w:spacing w:after="0"/>
        <w:ind w:firstLine="284"/>
        <w:jc w:val="both"/>
        <w:rPr>
          <w:sz w:val="20"/>
          <w:szCs w:val="20"/>
          <w:lang w:val="en-US"/>
        </w:rPr>
      </w:pPr>
      <w:r w:rsidRPr="002237C4">
        <w:rPr>
          <w:sz w:val="20"/>
          <w:szCs w:val="20"/>
          <w:lang w:val="en-US"/>
        </w:rPr>
        <w:t xml:space="preserve">The </w:t>
      </w:r>
      <w:r w:rsidR="00A346B7" w:rsidRPr="002237C4">
        <w:rPr>
          <w:sz w:val="20"/>
          <w:szCs w:val="20"/>
          <w:lang w:val="en-US"/>
        </w:rPr>
        <w:t>reference</w:t>
      </w:r>
      <w:r w:rsidRPr="002237C4">
        <w:rPr>
          <w:sz w:val="20"/>
          <w:szCs w:val="20"/>
          <w:lang w:val="en-US"/>
        </w:rPr>
        <w:t xml:space="preserve"> sample</w:t>
      </w:r>
      <w:r w:rsidR="00115038" w:rsidRPr="002237C4">
        <w:rPr>
          <w:sz w:val="20"/>
          <w:szCs w:val="20"/>
          <w:lang w:val="en-US"/>
        </w:rPr>
        <w:t xml:space="preserve"> (Fig</w:t>
      </w:r>
      <w:r w:rsidR="00D05947" w:rsidRPr="002237C4">
        <w:rPr>
          <w:sz w:val="20"/>
          <w:szCs w:val="20"/>
          <w:lang w:val="en-US"/>
        </w:rPr>
        <w:t xml:space="preserve">ure </w:t>
      </w:r>
      <w:r w:rsidR="00115038" w:rsidRPr="002237C4">
        <w:rPr>
          <w:sz w:val="20"/>
          <w:szCs w:val="20"/>
          <w:lang w:val="en-US"/>
        </w:rPr>
        <w:t>3)</w:t>
      </w:r>
      <w:r w:rsidRPr="002237C4">
        <w:rPr>
          <w:sz w:val="20"/>
          <w:szCs w:val="20"/>
          <w:lang w:val="en-US"/>
        </w:rPr>
        <w:t xml:space="preserve"> exhibits the characteristic hydration kinetics, with the heat‑flow peak occurring at approximately 10–12 h—typical for cement clinker reactions, particularly those of the alite and belite phases. The maximum heat flow reaches approximately 0.007 </w:t>
      </w:r>
      <w:proofErr w:type="spellStart"/>
      <w:r w:rsidRPr="002237C4">
        <w:rPr>
          <w:sz w:val="20"/>
          <w:szCs w:val="20"/>
          <w:lang w:val="en-US"/>
        </w:rPr>
        <w:t>mW</w:t>
      </w:r>
      <w:proofErr w:type="spellEnd"/>
      <w:r w:rsidR="00423F0B" w:rsidRPr="002237C4">
        <w:rPr>
          <w:sz w:val="20"/>
          <w:szCs w:val="20"/>
          <w:lang w:val="en-US"/>
        </w:rPr>
        <w:t>/</w:t>
      </w:r>
      <w:r w:rsidRPr="002237C4">
        <w:rPr>
          <w:sz w:val="20"/>
          <w:szCs w:val="20"/>
          <w:lang w:val="en-US"/>
        </w:rPr>
        <w:t>g. In the absence of superplasticizers, the control specimen displays a relatively slow progression of hydration reactions</w:t>
      </w:r>
      <w:r w:rsidR="003C4FA6" w:rsidRPr="002237C4">
        <w:rPr>
          <w:sz w:val="20"/>
          <w:szCs w:val="20"/>
          <w:lang w:val="en-US"/>
        </w:rPr>
        <w:t xml:space="preserve"> [8]</w:t>
      </w:r>
      <w:r w:rsidRPr="002237C4">
        <w:rPr>
          <w:sz w:val="20"/>
          <w:szCs w:val="20"/>
          <w:lang w:val="en-US"/>
        </w:rPr>
        <w:t>.</w:t>
      </w:r>
    </w:p>
    <w:p w14:paraId="3AD572EC" w14:textId="66171DB4" w:rsidR="00423F0B" w:rsidRPr="002237C4" w:rsidRDefault="00423F0B" w:rsidP="009216C2">
      <w:pPr>
        <w:spacing w:after="0"/>
        <w:ind w:firstLine="284"/>
        <w:jc w:val="both"/>
        <w:rPr>
          <w:sz w:val="20"/>
          <w:szCs w:val="20"/>
          <w:lang w:val="en-US"/>
        </w:rPr>
      </w:pPr>
      <w:r w:rsidRPr="002237C4">
        <w:rPr>
          <w:sz w:val="20"/>
          <w:szCs w:val="20"/>
          <w:lang w:val="en-US"/>
        </w:rPr>
        <w:t>RS‑1 (polycarboxylate superplasticizer) exhibits a pronounced increase in heat flow compared to the control sample. The heat‑flow peak occurs at approximately 10 h, reaching a maximum of about 0.010 mW·g⁻¹, indicating an acceleration of the initial hydration stage. Polycarboxylates enhance the dispersion of cement particles, thereby increasing the cement–water interfacial area and accelerating the hydration reactions</w:t>
      </w:r>
      <w:r w:rsidR="003C4FA6" w:rsidRPr="002237C4">
        <w:rPr>
          <w:sz w:val="20"/>
          <w:szCs w:val="20"/>
          <w:lang w:val="en-US"/>
        </w:rPr>
        <w:t xml:space="preserve"> [9, 10]</w:t>
      </w:r>
      <w:r w:rsidRPr="002237C4">
        <w:rPr>
          <w:sz w:val="20"/>
          <w:szCs w:val="20"/>
          <w:lang w:val="en-US"/>
        </w:rPr>
        <w:t>.</w:t>
      </w:r>
    </w:p>
    <w:p w14:paraId="6CAA8ADC" w14:textId="6BC06297" w:rsidR="00423F0B" w:rsidRPr="002237C4" w:rsidRDefault="00423F0B" w:rsidP="009216C2">
      <w:pPr>
        <w:spacing w:after="0"/>
        <w:ind w:firstLine="284"/>
        <w:jc w:val="both"/>
        <w:rPr>
          <w:sz w:val="20"/>
          <w:szCs w:val="20"/>
          <w:lang w:val="en-US"/>
        </w:rPr>
      </w:pPr>
      <w:proofErr w:type="spellStart"/>
      <w:r w:rsidRPr="002237C4">
        <w:rPr>
          <w:sz w:val="20"/>
          <w:szCs w:val="20"/>
          <w:lang w:val="en-US"/>
        </w:rPr>
        <w:t>Polyplast</w:t>
      </w:r>
      <w:proofErr w:type="spellEnd"/>
      <w:r w:rsidRPr="002237C4">
        <w:rPr>
          <w:sz w:val="20"/>
          <w:szCs w:val="20"/>
          <w:lang w:val="en-US"/>
        </w:rPr>
        <w:t xml:space="preserve"> 956, a </w:t>
      </w:r>
      <w:proofErr w:type="spellStart"/>
      <w:r w:rsidRPr="002237C4">
        <w:rPr>
          <w:sz w:val="20"/>
          <w:szCs w:val="20"/>
          <w:lang w:val="en-US"/>
        </w:rPr>
        <w:t>sulfonaphthalene</w:t>
      </w:r>
      <w:proofErr w:type="spellEnd"/>
      <w:r w:rsidRPr="002237C4">
        <w:rPr>
          <w:sz w:val="20"/>
          <w:szCs w:val="20"/>
          <w:lang w:val="en-US"/>
        </w:rPr>
        <w:t xml:space="preserve">–formaldehyde superplasticizer, exhibits a heat‑flow profile similar to that of RS‑1 but with a modest delay of the main peak to approximately 12 h. The maximum heat flow is slightly lower, at around 0.009 mW·g⁻¹. This behavior arises because </w:t>
      </w:r>
      <w:proofErr w:type="spellStart"/>
      <w:r w:rsidRPr="002237C4">
        <w:rPr>
          <w:sz w:val="20"/>
          <w:szCs w:val="20"/>
          <w:lang w:val="en-US"/>
        </w:rPr>
        <w:t>sulfonaphthalene</w:t>
      </w:r>
      <w:proofErr w:type="spellEnd"/>
      <w:r w:rsidRPr="002237C4">
        <w:rPr>
          <w:sz w:val="20"/>
          <w:szCs w:val="20"/>
          <w:lang w:val="en-US"/>
        </w:rPr>
        <w:t>–formaldehyde SPs disperse cement particles less effectively than polycarboxylates, thereby slowing the initial stages of hydration</w:t>
      </w:r>
      <w:r w:rsidR="003C4FA6" w:rsidRPr="002237C4">
        <w:rPr>
          <w:sz w:val="20"/>
          <w:szCs w:val="20"/>
          <w:lang w:val="en-US"/>
        </w:rPr>
        <w:t xml:space="preserve"> [11, 12, 13, 14]</w:t>
      </w:r>
      <w:r w:rsidRPr="002237C4">
        <w:rPr>
          <w:sz w:val="20"/>
          <w:szCs w:val="20"/>
          <w:lang w:val="en-US"/>
        </w:rPr>
        <w:t>.</w:t>
      </w:r>
    </w:p>
    <w:p w14:paraId="290B1940" w14:textId="7DC80EB4" w:rsidR="00423F0B" w:rsidRPr="002237C4" w:rsidRDefault="00423F0B" w:rsidP="009216C2">
      <w:pPr>
        <w:spacing w:after="0"/>
        <w:ind w:firstLine="284"/>
        <w:jc w:val="both"/>
        <w:rPr>
          <w:sz w:val="20"/>
          <w:szCs w:val="20"/>
          <w:lang w:val="en-US"/>
        </w:rPr>
      </w:pPr>
      <w:proofErr w:type="spellStart"/>
      <w:r w:rsidRPr="002237C4">
        <w:rPr>
          <w:sz w:val="20"/>
          <w:szCs w:val="20"/>
          <w:lang w:val="en-US"/>
        </w:rPr>
        <w:t>Chryso</w:t>
      </w:r>
      <w:proofErr w:type="spellEnd"/>
      <w:r w:rsidRPr="002237C4">
        <w:rPr>
          <w:sz w:val="20"/>
          <w:szCs w:val="20"/>
          <w:lang w:val="en-US"/>
        </w:rPr>
        <w:t xml:space="preserve"> Delta 6328 (hybrid superplasticizer) exhibits a combined effect: its heat flow is lower than that of the pure polycarboxylate RS‑1 and comparable to that of </w:t>
      </w:r>
      <w:proofErr w:type="spellStart"/>
      <w:r w:rsidRPr="002237C4">
        <w:rPr>
          <w:sz w:val="20"/>
          <w:szCs w:val="20"/>
          <w:lang w:val="en-US"/>
        </w:rPr>
        <w:t>Polyplast</w:t>
      </w:r>
      <w:proofErr w:type="spellEnd"/>
      <w:r w:rsidRPr="002237C4">
        <w:rPr>
          <w:sz w:val="20"/>
          <w:szCs w:val="20"/>
          <w:lang w:val="en-US"/>
        </w:rPr>
        <w:t xml:space="preserve"> 956. The main heat‑flow peak is likewise slightly delayed to approximately 12 h and attains a maximum of about 0.008 mW·g⁻¹. This behavior results from the retarding influence of the lignosulfonate fraction in </w:t>
      </w:r>
      <w:proofErr w:type="spellStart"/>
      <w:r w:rsidRPr="002237C4">
        <w:rPr>
          <w:sz w:val="20"/>
          <w:szCs w:val="20"/>
          <w:lang w:val="en-US"/>
        </w:rPr>
        <w:t>Chryso</w:t>
      </w:r>
      <w:proofErr w:type="spellEnd"/>
      <w:r w:rsidRPr="002237C4">
        <w:rPr>
          <w:sz w:val="20"/>
          <w:szCs w:val="20"/>
          <w:lang w:val="en-US"/>
        </w:rPr>
        <w:t> Delta 6328, which is partially compensated by the accelerating action of the polycarboxylate chains</w:t>
      </w:r>
      <w:r w:rsidR="0016326E" w:rsidRPr="002237C4">
        <w:rPr>
          <w:sz w:val="20"/>
          <w:szCs w:val="20"/>
          <w:lang w:val="en-US"/>
        </w:rPr>
        <w:t xml:space="preserve"> [15, 16, 17]</w:t>
      </w:r>
      <w:r w:rsidRPr="002237C4">
        <w:rPr>
          <w:sz w:val="20"/>
          <w:szCs w:val="20"/>
          <w:lang w:val="en-US"/>
        </w:rPr>
        <w:t>.</w:t>
      </w:r>
    </w:p>
    <w:p w14:paraId="09B85624" w14:textId="0C3F1749" w:rsidR="002B06C9" w:rsidRPr="002237C4" w:rsidRDefault="008C5157" w:rsidP="009216C2">
      <w:pPr>
        <w:spacing w:after="0"/>
        <w:ind w:firstLine="284"/>
        <w:jc w:val="both"/>
        <w:rPr>
          <w:sz w:val="20"/>
          <w:szCs w:val="20"/>
          <w:lang w:val="en-US"/>
        </w:rPr>
      </w:pPr>
      <w:r w:rsidRPr="002237C4">
        <w:rPr>
          <w:sz w:val="20"/>
          <w:szCs w:val="20"/>
          <w:lang w:val="en-US"/>
        </w:rPr>
        <w:t>The initial dissolution peak reflects exothermic interactions between water and readily soluble clinker phases (C</w:t>
      </w:r>
      <w:r w:rsidRPr="002237C4">
        <w:rPr>
          <w:sz w:val="20"/>
          <w:szCs w:val="20"/>
          <w:vertAlign w:val="subscript"/>
          <w:lang w:val="en-US"/>
        </w:rPr>
        <w:t>3</w:t>
      </w:r>
      <w:r w:rsidRPr="002237C4">
        <w:rPr>
          <w:sz w:val="20"/>
          <w:szCs w:val="20"/>
          <w:lang w:val="en-US"/>
        </w:rPr>
        <w:t>A, minor fraction of C</w:t>
      </w:r>
      <w:r w:rsidRPr="002237C4">
        <w:rPr>
          <w:sz w:val="20"/>
          <w:szCs w:val="20"/>
          <w:vertAlign w:val="subscript"/>
          <w:lang w:val="en-US"/>
        </w:rPr>
        <w:t>3</w:t>
      </w:r>
      <w:r w:rsidRPr="002237C4">
        <w:rPr>
          <w:sz w:val="20"/>
          <w:szCs w:val="20"/>
          <w:lang w:val="en-US"/>
        </w:rPr>
        <w:t>S). The amplitude and sharpness of this peak are directly linked to the available specific surface area of cement particles, which is modulated by superplasticizer adsorption. RS‑1 (PCE) increases the surface dispersity via steric repulsion, elevating the peak amplitude and accelerating ionic release</w:t>
      </w:r>
      <w:r w:rsidR="00487030" w:rsidRPr="002237C4">
        <w:rPr>
          <w:sz w:val="20"/>
          <w:szCs w:val="20"/>
          <w:lang w:val="en-US"/>
        </w:rPr>
        <w:t xml:space="preserve"> [18]</w:t>
      </w:r>
      <w:r w:rsidRPr="002237C4">
        <w:rPr>
          <w:sz w:val="20"/>
          <w:szCs w:val="20"/>
          <w:lang w:val="en-US"/>
        </w:rPr>
        <w:t xml:space="preserve">. Conversely, </w:t>
      </w:r>
      <w:proofErr w:type="spellStart"/>
      <w:r w:rsidRPr="002237C4">
        <w:rPr>
          <w:sz w:val="20"/>
          <w:szCs w:val="20"/>
          <w:lang w:val="en-US"/>
        </w:rPr>
        <w:t>Poliplast</w:t>
      </w:r>
      <w:proofErr w:type="spellEnd"/>
      <w:r w:rsidRPr="002237C4">
        <w:rPr>
          <w:sz w:val="20"/>
          <w:szCs w:val="20"/>
          <w:lang w:val="en-US"/>
        </w:rPr>
        <w:t> 956 forms a dense electrostatic double layer, diminishing ion mobility and reducing the exothermic rate.</w:t>
      </w:r>
      <w:r w:rsidR="002B06C9" w:rsidRPr="002237C4">
        <w:rPr>
          <w:sz w:val="20"/>
          <w:szCs w:val="20"/>
          <w:lang w:val="en-US"/>
        </w:rPr>
        <w:t xml:space="preserve"> At the initial stage (Peak I), exothermic dissolution of the active phases of clinker (C</w:t>
      </w:r>
      <w:r w:rsidR="002B06C9" w:rsidRPr="002237C4">
        <w:rPr>
          <w:sz w:val="20"/>
          <w:szCs w:val="20"/>
          <w:vertAlign w:val="subscript"/>
          <w:lang w:val="en-US"/>
        </w:rPr>
        <w:t>3</w:t>
      </w:r>
      <w:r w:rsidR="002B06C9" w:rsidRPr="002237C4">
        <w:rPr>
          <w:sz w:val="20"/>
          <w:szCs w:val="20"/>
          <w:lang w:val="en-US"/>
        </w:rPr>
        <w:t>A, small fraction C</w:t>
      </w:r>
      <w:r w:rsidR="002B06C9" w:rsidRPr="002237C4">
        <w:rPr>
          <w:sz w:val="20"/>
          <w:szCs w:val="20"/>
          <w:vertAlign w:val="subscript"/>
          <w:lang w:val="en-US"/>
        </w:rPr>
        <w:t>3</w:t>
      </w:r>
      <w:r w:rsidR="002B06C9" w:rsidRPr="002237C4">
        <w:rPr>
          <w:sz w:val="20"/>
          <w:szCs w:val="20"/>
          <w:lang w:val="en-US"/>
        </w:rPr>
        <w:t>S) occurs with the formation of soluble hydroxyapatites and crystallization of ettringite:</w:t>
      </w:r>
    </w:p>
    <w:p w14:paraId="7FCD684F" w14:textId="6B08CE48" w:rsidR="002B06C9" w:rsidRPr="002237C4" w:rsidRDefault="002B06C9" w:rsidP="009216C2">
      <w:pPr>
        <w:spacing w:before="120" w:after="120"/>
        <w:ind w:firstLine="284"/>
        <w:jc w:val="center"/>
        <w:rPr>
          <w:sz w:val="20"/>
          <w:szCs w:val="20"/>
          <w:lang w:val="en-US"/>
        </w:rPr>
      </w:pPr>
      <w:r w:rsidRPr="002237C4">
        <w:rPr>
          <w:sz w:val="20"/>
          <w:szCs w:val="20"/>
          <w:lang w:val="en-US"/>
        </w:rPr>
        <w:t>C</w:t>
      </w:r>
      <w:r w:rsidRPr="002237C4">
        <w:rPr>
          <w:sz w:val="20"/>
          <w:szCs w:val="20"/>
          <w:vertAlign w:val="subscript"/>
          <w:lang w:val="en-US"/>
        </w:rPr>
        <w:t>3</w:t>
      </w:r>
      <w:r w:rsidRPr="002237C4">
        <w:rPr>
          <w:sz w:val="20"/>
          <w:szCs w:val="20"/>
          <w:lang w:val="en-US"/>
        </w:rPr>
        <w:t>A + 3CaSO</w:t>
      </w:r>
      <w:r w:rsidRPr="002237C4">
        <w:rPr>
          <w:sz w:val="20"/>
          <w:szCs w:val="20"/>
          <w:vertAlign w:val="subscript"/>
          <w:lang w:val="en-US"/>
        </w:rPr>
        <w:t>4</w:t>
      </w:r>
      <w:r w:rsidRPr="002237C4">
        <w:rPr>
          <w:sz w:val="20"/>
          <w:szCs w:val="20"/>
          <w:lang w:val="en-US"/>
        </w:rPr>
        <w:t xml:space="preserve"> 2H</w:t>
      </w:r>
      <w:r w:rsidRPr="002237C4">
        <w:rPr>
          <w:sz w:val="20"/>
          <w:szCs w:val="20"/>
          <w:vertAlign w:val="subscript"/>
          <w:lang w:val="en-US"/>
        </w:rPr>
        <w:t>2</w:t>
      </w:r>
      <w:r w:rsidRPr="002237C4">
        <w:rPr>
          <w:sz w:val="20"/>
          <w:szCs w:val="20"/>
          <w:lang w:val="en-US"/>
        </w:rPr>
        <w:t>O + 26H</w:t>
      </w:r>
      <w:r w:rsidRPr="002237C4">
        <w:rPr>
          <w:sz w:val="20"/>
          <w:szCs w:val="20"/>
          <w:vertAlign w:val="subscript"/>
          <w:lang w:val="en-US"/>
        </w:rPr>
        <w:t>2</w:t>
      </w:r>
      <w:r w:rsidRPr="002237C4">
        <w:rPr>
          <w:sz w:val="20"/>
          <w:szCs w:val="20"/>
          <w:lang w:val="en-US"/>
        </w:rPr>
        <w:t>O → C</w:t>
      </w:r>
      <w:r w:rsidRPr="002237C4">
        <w:rPr>
          <w:sz w:val="20"/>
          <w:szCs w:val="20"/>
          <w:vertAlign w:val="subscript"/>
          <w:lang w:val="en-US"/>
        </w:rPr>
        <w:t>6</w:t>
      </w:r>
      <w:r w:rsidRPr="002237C4">
        <w:rPr>
          <w:sz w:val="20"/>
          <w:szCs w:val="20"/>
          <w:lang w:val="en-US"/>
        </w:rPr>
        <w:t>AŜ</w:t>
      </w:r>
      <w:r w:rsidRPr="002237C4">
        <w:rPr>
          <w:sz w:val="20"/>
          <w:szCs w:val="20"/>
          <w:vertAlign w:val="subscript"/>
          <w:lang w:val="en-US"/>
        </w:rPr>
        <w:t>3</w:t>
      </w:r>
      <w:r w:rsidRPr="002237C4">
        <w:rPr>
          <w:sz w:val="20"/>
          <w:szCs w:val="20"/>
          <w:lang w:val="en-US"/>
        </w:rPr>
        <w:t>H</w:t>
      </w:r>
      <w:r w:rsidRPr="002237C4">
        <w:rPr>
          <w:sz w:val="20"/>
          <w:szCs w:val="20"/>
          <w:vertAlign w:val="subscript"/>
          <w:lang w:val="en-US"/>
        </w:rPr>
        <w:t>32</w:t>
      </w:r>
      <w:r w:rsidRPr="002237C4">
        <w:rPr>
          <w:sz w:val="20"/>
          <w:szCs w:val="20"/>
          <w:lang w:val="en-US"/>
        </w:rPr>
        <w:t xml:space="preserve"> (</w:t>
      </w:r>
      <w:proofErr w:type="spellStart"/>
      <w:r w:rsidRPr="002237C4">
        <w:rPr>
          <w:sz w:val="20"/>
          <w:szCs w:val="20"/>
          <w:lang w:val="en-US"/>
        </w:rPr>
        <w:t>AFt</w:t>
      </w:r>
      <w:proofErr w:type="spellEnd"/>
      <w:r w:rsidRPr="002237C4">
        <w:rPr>
          <w:sz w:val="20"/>
          <w:szCs w:val="20"/>
          <w:lang w:val="en-US"/>
        </w:rPr>
        <w:t>)</w:t>
      </w:r>
    </w:p>
    <w:p w14:paraId="47360C3D" w14:textId="0627989D" w:rsidR="008C5157" w:rsidRPr="002237C4" w:rsidRDefault="002B06C9" w:rsidP="009216C2">
      <w:pPr>
        <w:spacing w:after="0"/>
        <w:ind w:firstLine="284"/>
        <w:jc w:val="both"/>
        <w:rPr>
          <w:sz w:val="20"/>
          <w:szCs w:val="20"/>
          <w:lang w:val="en-US"/>
        </w:rPr>
      </w:pPr>
      <w:r w:rsidRPr="002237C4">
        <w:rPr>
          <w:sz w:val="20"/>
          <w:szCs w:val="20"/>
          <w:lang w:val="en-US"/>
        </w:rPr>
        <w:t xml:space="preserve">The peak amplitude (5–6 </w:t>
      </w:r>
      <w:proofErr w:type="spellStart"/>
      <w:r w:rsidRPr="002237C4">
        <w:rPr>
          <w:sz w:val="20"/>
          <w:szCs w:val="20"/>
          <w:lang w:val="en-US"/>
        </w:rPr>
        <w:t>mW</w:t>
      </w:r>
      <w:proofErr w:type="spellEnd"/>
      <w:r w:rsidRPr="002237C4">
        <w:rPr>
          <w:sz w:val="20"/>
          <w:szCs w:val="20"/>
          <w:lang w:val="en-US"/>
        </w:rPr>
        <w:t>/g) is determined by the surface area of the cement and the degree of dispersion: RS‑1 increases the peak due to steric uncoupling of agglomerates, Poliplast956 reduces its depth, forming a dense electrostatic screen on the grains.</w:t>
      </w:r>
    </w:p>
    <w:p w14:paraId="498832B5" w14:textId="7CB7861B" w:rsidR="008C5157" w:rsidRPr="002237C4" w:rsidRDefault="008C5157" w:rsidP="009216C2">
      <w:pPr>
        <w:spacing w:after="0"/>
        <w:ind w:firstLine="284"/>
        <w:jc w:val="both"/>
        <w:rPr>
          <w:sz w:val="20"/>
          <w:szCs w:val="20"/>
          <w:lang w:val="en-US"/>
        </w:rPr>
      </w:pPr>
      <w:r w:rsidRPr="002237C4">
        <w:rPr>
          <w:sz w:val="20"/>
          <w:szCs w:val="20"/>
          <w:lang w:val="en-US"/>
        </w:rPr>
        <w:t>The induction period duration is governed by the dynamic equilibrium between dissolved ionic species and the nucleation of C–S–H. PCE chains (RS‑1) adsorb on particle surfaces in a “train–loop” conformation, hindering re-agglomeration and promoting early C–S–H nuclei formation, thus shortening the induction phase. In SNF-based additives (</w:t>
      </w:r>
      <w:proofErr w:type="spellStart"/>
      <w:r w:rsidRPr="002237C4">
        <w:rPr>
          <w:sz w:val="20"/>
          <w:szCs w:val="20"/>
          <w:lang w:val="en-US"/>
        </w:rPr>
        <w:t>Poliplast</w:t>
      </w:r>
      <w:proofErr w:type="spellEnd"/>
      <w:r w:rsidRPr="002237C4">
        <w:rPr>
          <w:sz w:val="20"/>
          <w:szCs w:val="20"/>
          <w:lang w:val="en-US"/>
        </w:rPr>
        <w:t> 956), extensive surface coverage retards the availability of active sites, prolonging the induction interval.</w:t>
      </w:r>
      <w:r w:rsidR="000811BB" w:rsidRPr="002237C4">
        <w:rPr>
          <w:sz w:val="20"/>
          <w:szCs w:val="20"/>
          <w:lang w:val="en-US"/>
        </w:rPr>
        <w:t xml:space="preserve"> The induction period is characterized by almost zero heat release: dissolved ions Ca</w:t>
      </w:r>
      <w:r w:rsidR="000811BB" w:rsidRPr="002237C4">
        <w:rPr>
          <w:sz w:val="20"/>
          <w:szCs w:val="20"/>
          <w:vertAlign w:val="superscript"/>
          <w:lang w:val="en-US"/>
        </w:rPr>
        <w:t>2+</w:t>
      </w:r>
      <w:r w:rsidR="000811BB" w:rsidRPr="002237C4">
        <w:rPr>
          <w:sz w:val="20"/>
          <w:szCs w:val="20"/>
          <w:lang w:val="en-US"/>
        </w:rPr>
        <w:t>, SiO</w:t>
      </w:r>
      <w:r w:rsidR="000811BB" w:rsidRPr="002237C4">
        <w:rPr>
          <w:sz w:val="20"/>
          <w:szCs w:val="20"/>
          <w:vertAlign w:val="subscript"/>
          <w:lang w:val="en-US"/>
        </w:rPr>
        <w:t>4</w:t>
      </w:r>
      <w:r w:rsidR="000811BB" w:rsidRPr="002237C4">
        <w:rPr>
          <w:sz w:val="20"/>
          <w:szCs w:val="20"/>
          <w:vertAlign w:val="superscript"/>
          <w:lang w:val="en-US"/>
        </w:rPr>
        <w:t>4-</w:t>
      </w:r>
      <w:r w:rsidR="000811BB" w:rsidRPr="002237C4">
        <w:rPr>
          <w:sz w:val="20"/>
          <w:szCs w:val="20"/>
          <w:lang w:val="en-US"/>
        </w:rPr>
        <w:t>, AlO</w:t>
      </w:r>
      <w:r w:rsidR="000811BB" w:rsidRPr="002237C4">
        <w:rPr>
          <w:sz w:val="20"/>
          <w:szCs w:val="20"/>
          <w:vertAlign w:val="subscript"/>
          <w:lang w:val="en-US"/>
        </w:rPr>
        <w:t>2</w:t>
      </w:r>
      <w:r w:rsidR="000811BB" w:rsidRPr="002237C4">
        <w:rPr>
          <w:sz w:val="20"/>
          <w:szCs w:val="20"/>
          <w:lang w:val="en-US"/>
        </w:rPr>
        <w:t>⁻ reach critical supersaturation, but there are not enough C–S–H nuclei yet. PCE macromolecules (RS-1) are adsorbed on the cement surface, reducing the surface tension and stimulating the formation of C–S–H micronuclei, which reduces the induction time by ~12%. SNF-based SP (Poliplast956) create a dense layer that prevents nucleation and increases the induction period by a similar amount</w:t>
      </w:r>
      <w:r w:rsidR="00487030" w:rsidRPr="002237C4">
        <w:rPr>
          <w:sz w:val="20"/>
          <w:szCs w:val="20"/>
          <w:lang w:val="en-US"/>
        </w:rPr>
        <w:t xml:space="preserve"> [19]</w:t>
      </w:r>
      <w:r w:rsidR="000811BB" w:rsidRPr="002237C4">
        <w:rPr>
          <w:sz w:val="20"/>
          <w:szCs w:val="20"/>
          <w:lang w:val="en-US"/>
        </w:rPr>
        <w:t>.</w:t>
      </w:r>
    </w:p>
    <w:p w14:paraId="2CA09FAF" w14:textId="29974151" w:rsidR="000811BB" w:rsidRPr="002237C4" w:rsidRDefault="008C5157" w:rsidP="009216C2">
      <w:pPr>
        <w:spacing w:after="0"/>
        <w:ind w:firstLine="284"/>
        <w:jc w:val="both"/>
        <w:rPr>
          <w:sz w:val="20"/>
          <w:szCs w:val="20"/>
          <w:lang w:val="en-US"/>
        </w:rPr>
      </w:pPr>
      <w:r w:rsidRPr="002237C4">
        <w:rPr>
          <w:sz w:val="20"/>
          <w:szCs w:val="20"/>
          <w:lang w:val="en-US"/>
        </w:rPr>
        <w:t>During the acceleration phase, the hydration of C</w:t>
      </w:r>
      <w:r w:rsidRPr="002237C4">
        <w:rPr>
          <w:sz w:val="20"/>
          <w:szCs w:val="20"/>
          <w:vertAlign w:val="subscript"/>
          <w:lang w:val="en-US"/>
        </w:rPr>
        <w:t>3</w:t>
      </w:r>
      <w:r w:rsidRPr="002237C4">
        <w:rPr>
          <w:sz w:val="20"/>
          <w:szCs w:val="20"/>
          <w:lang w:val="en-US"/>
        </w:rPr>
        <w:t xml:space="preserve">S dominates, producing C–S–H and portlandite (CH). Kinetic analysis shows PCE‑modified systems exhibit higher </w:t>
      </w:r>
      <w:proofErr w:type="spellStart"/>
      <w:r w:rsidRPr="002237C4">
        <w:rPr>
          <w:sz w:val="20"/>
          <w:szCs w:val="20"/>
          <w:lang w:val="en-US"/>
        </w:rPr>
        <w:t>Q</w:t>
      </w:r>
      <w:r w:rsidRPr="002237C4">
        <w:rPr>
          <w:sz w:val="20"/>
          <w:szCs w:val="20"/>
          <w:vertAlign w:val="subscript"/>
          <w:lang w:val="en-US"/>
        </w:rPr>
        <w:t>max</w:t>
      </w:r>
      <w:proofErr w:type="spellEnd"/>
      <w:r w:rsidRPr="002237C4">
        <w:rPr>
          <w:sz w:val="20"/>
          <w:szCs w:val="20"/>
          <w:lang w:val="en-US"/>
        </w:rPr>
        <w:t xml:space="preserve"> due to enhanced diffusivity of water molecules into interstitial zones. The time-to-peak shifts inversely with superplasticizer steric thickness, correlating with </w:t>
      </w:r>
      <w:proofErr w:type="spellStart"/>
      <w:r w:rsidRPr="002237C4">
        <w:rPr>
          <w:sz w:val="20"/>
          <w:szCs w:val="20"/>
          <w:lang w:val="en-US"/>
        </w:rPr>
        <w:t>Avrami</w:t>
      </w:r>
      <w:proofErr w:type="spellEnd"/>
      <w:r w:rsidRPr="002237C4">
        <w:rPr>
          <w:sz w:val="20"/>
          <w:szCs w:val="20"/>
          <w:lang w:val="en-US"/>
        </w:rPr>
        <w:t>-type nucleation and growth kinetics. SNF-modified systems display delayed peak onset, indicative of heterogeneous nucleation suppression.</w:t>
      </w:r>
      <w:r w:rsidR="000811BB" w:rsidRPr="002237C4">
        <w:rPr>
          <w:sz w:val="20"/>
          <w:szCs w:val="20"/>
          <w:lang w:val="en-US"/>
        </w:rPr>
        <w:t xml:space="preserve"> The key phase of C₃S hydration is accompanied by active formation of C–S–H and portlandite:</w:t>
      </w:r>
    </w:p>
    <w:p w14:paraId="291ADA17" w14:textId="2FD1614B" w:rsidR="000811BB" w:rsidRPr="002237C4" w:rsidRDefault="000811BB" w:rsidP="009216C2">
      <w:pPr>
        <w:spacing w:before="120" w:after="120"/>
        <w:ind w:firstLine="284"/>
        <w:jc w:val="center"/>
        <w:rPr>
          <w:sz w:val="20"/>
          <w:szCs w:val="20"/>
          <w:lang w:val="en-US"/>
        </w:rPr>
      </w:pPr>
      <w:r w:rsidRPr="002237C4">
        <w:rPr>
          <w:sz w:val="20"/>
          <w:szCs w:val="20"/>
          <w:lang w:val="en-US"/>
        </w:rPr>
        <w:lastRenderedPageBreak/>
        <w:t>2C</w:t>
      </w:r>
      <w:r w:rsidRPr="002237C4">
        <w:rPr>
          <w:sz w:val="20"/>
          <w:szCs w:val="20"/>
          <w:vertAlign w:val="subscript"/>
          <w:lang w:val="en-US"/>
        </w:rPr>
        <w:t>3</w:t>
      </w:r>
      <w:r w:rsidRPr="002237C4">
        <w:rPr>
          <w:sz w:val="20"/>
          <w:szCs w:val="20"/>
          <w:lang w:val="en-US"/>
        </w:rPr>
        <w:t>S + 6H</w:t>
      </w:r>
      <w:r w:rsidRPr="002237C4">
        <w:rPr>
          <w:sz w:val="20"/>
          <w:szCs w:val="20"/>
          <w:vertAlign w:val="subscript"/>
          <w:lang w:val="en-US"/>
        </w:rPr>
        <w:t>2</w:t>
      </w:r>
      <w:r w:rsidRPr="002237C4">
        <w:rPr>
          <w:sz w:val="20"/>
          <w:szCs w:val="20"/>
          <w:lang w:val="en-US"/>
        </w:rPr>
        <w:t>O → C</w:t>
      </w:r>
      <w:r w:rsidRPr="002237C4">
        <w:rPr>
          <w:sz w:val="20"/>
          <w:szCs w:val="20"/>
          <w:vertAlign w:val="subscript"/>
          <w:lang w:val="en-US"/>
        </w:rPr>
        <w:t>3</w:t>
      </w:r>
      <w:r w:rsidRPr="002237C4">
        <w:rPr>
          <w:sz w:val="20"/>
          <w:szCs w:val="20"/>
          <w:lang w:val="en-US"/>
        </w:rPr>
        <w:t>S</w:t>
      </w:r>
      <w:r w:rsidRPr="002237C4">
        <w:rPr>
          <w:sz w:val="20"/>
          <w:szCs w:val="20"/>
          <w:vertAlign w:val="subscript"/>
          <w:lang w:val="en-US"/>
        </w:rPr>
        <w:t>2</w:t>
      </w:r>
      <w:r w:rsidRPr="002237C4">
        <w:rPr>
          <w:sz w:val="20"/>
          <w:szCs w:val="20"/>
          <w:lang w:val="en-US"/>
        </w:rPr>
        <w:t>H</w:t>
      </w:r>
      <w:r w:rsidRPr="002237C4">
        <w:rPr>
          <w:sz w:val="20"/>
          <w:szCs w:val="20"/>
          <w:vertAlign w:val="subscript"/>
          <w:lang w:val="en-US"/>
        </w:rPr>
        <w:t>3</w:t>
      </w:r>
      <w:r w:rsidRPr="002237C4">
        <w:rPr>
          <w:sz w:val="20"/>
          <w:szCs w:val="20"/>
          <w:lang w:val="en-US"/>
        </w:rPr>
        <w:t xml:space="preserve"> (C–S–H) + 3Ca(OH)</w:t>
      </w:r>
      <w:r w:rsidRPr="002237C4">
        <w:rPr>
          <w:sz w:val="20"/>
          <w:szCs w:val="20"/>
          <w:vertAlign w:val="subscript"/>
          <w:lang w:val="en-US"/>
        </w:rPr>
        <w:t>2</w:t>
      </w:r>
    </w:p>
    <w:p w14:paraId="062D62D9" w14:textId="77777777" w:rsidR="000811BB" w:rsidRPr="002237C4" w:rsidRDefault="000811BB" w:rsidP="00BF2DD3">
      <w:pPr>
        <w:spacing w:after="0"/>
        <w:ind w:firstLine="284"/>
        <w:jc w:val="both"/>
        <w:rPr>
          <w:sz w:val="20"/>
          <w:szCs w:val="20"/>
          <w:lang w:val="en-US"/>
        </w:rPr>
      </w:pPr>
      <w:r w:rsidRPr="002237C4">
        <w:rPr>
          <w:sz w:val="20"/>
          <w:szCs w:val="20"/>
          <w:lang w:val="en-US"/>
        </w:rPr>
        <w:t>Peak parameters:</w:t>
      </w:r>
    </w:p>
    <w:p w14:paraId="1635E50B" w14:textId="17F785B5" w:rsidR="000811BB" w:rsidRPr="002237C4" w:rsidRDefault="000811BB" w:rsidP="00BF2DD3">
      <w:pPr>
        <w:spacing w:after="0"/>
        <w:ind w:firstLine="284"/>
        <w:jc w:val="both"/>
        <w:rPr>
          <w:sz w:val="20"/>
          <w:szCs w:val="20"/>
          <w:lang w:val="en-US"/>
        </w:rPr>
      </w:pPr>
      <w:r w:rsidRPr="002237C4">
        <w:rPr>
          <w:sz w:val="20"/>
          <w:szCs w:val="20"/>
          <w:lang w:val="en-US"/>
        </w:rPr>
        <w:t xml:space="preserve">- Reference: </w:t>
      </w:r>
      <w:proofErr w:type="spellStart"/>
      <w:r w:rsidRPr="002237C4">
        <w:rPr>
          <w:sz w:val="20"/>
          <w:szCs w:val="20"/>
          <w:lang w:val="en-US"/>
        </w:rPr>
        <w:t>t</w:t>
      </w:r>
      <w:r w:rsidRPr="002237C4">
        <w:rPr>
          <w:sz w:val="20"/>
          <w:szCs w:val="20"/>
          <w:vertAlign w:val="subscript"/>
          <w:lang w:val="en-US"/>
        </w:rPr>
        <w:t>max</w:t>
      </w:r>
      <w:proofErr w:type="spellEnd"/>
      <w:r w:rsidRPr="002237C4">
        <w:rPr>
          <w:sz w:val="20"/>
          <w:szCs w:val="20"/>
          <w:lang w:val="en-US"/>
        </w:rPr>
        <w:t xml:space="preserve"> ≈9.6 h, </w:t>
      </w:r>
      <w:proofErr w:type="spellStart"/>
      <w:r w:rsidRPr="002237C4">
        <w:rPr>
          <w:sz w:val="20"/>
          <w:szCs w:val="20"/>
          <w:lang w:val="en-US"/>
        </w:rPr>
        <w:t>Q</w:t>
      </w:r>
      <w:r w:rsidRPr="002237C4">
        <w:rPr>
          <w:sz w:val="20"/>
          <w:szCs w:val="20"/>
          <w:vertAlign w:val="subscript"/>
          <w:lang w:val="en-US"/>
        </w:rPr>
        <w:t>max</w:t>
      </w:r>
      <w:proofErr w:type="spellEnd"/>
      <w:r w:rsidRPr="002237C4">
        <w:rPr>
          <w:sz w:val="20"/>
          <w:szCs w:val="20"/>
          <w:lang w:val="en-US"/>
        </w:rPr>
        <w:t xml:space="preserve"> ≈7.8mW/g</w:t>
      </w:r>
    </w:p>
    <w:p w14:paraId="2CA0920B" w14:textId="4526E754" w:rsidR="000811BB" w:rsidRPr="002237C4" w:rsidRDefault="000811BB" w:rsidP="00BF2DD3">
      <w:pPr>
        <w:spacing w:after="0"/>
        <w:ind w:firstLine="284"/>
        <w:jc w:val="both"/>
        <w:rPr>
          <w:sz w:val="20"/>
          <w:szCs w:val="20"/>
          <w:lang w:val="en-US"/>
        </w:rPr>
      </w:pPr>
      <w:r w:rsidRPr="002237C4">
        <w:rPr>
          <w:sz w:val="20"/>
          <w:szCs w:val="20"/>
          <w:lang w:val="en-US"/>
        </w:rPr>
        <w:t xml:space="preserve">- RS‑1: </w:t>
      </w:r>
      <w:proofErr w:type="spellStart"/>
      <w:r w:rsidRPr="002237C4">
        <w:rPr>
          <w:sz w:val="20"/>
          <w:szCs w:val="20"/>
          <w:lang w:val="en-US"/>
        </w:rPr>
        <w:t>t</w:t>
      </w:r>
      <w:r w:rsidRPr="002237C4">
        <w:rPr>
          <w:sz w:val="20"/>
          <w:szCs w:val="20"/>
          <w:vertAlign w:val="subscript"/>
          <w:lang w:val="en-US"/>
        </w:rPr>
        <w:t>max</w:t>
      </w:r>
      <w:proofErr w:type="spellEnd"/>
      <w:r w:rsidRPr="002237C4">
        <w:rPr>
          <w:sz w:val="20"/>
          <w:szCs w:val="20"/>
          <w:lang w:val="en-US"/>
        </w:rPr>
        <w:t xml:space="preserve"> ≈8.4h (-12%), </w:t>
      </w:r>
      <w:proofErr w:type="spellStart"/>
      <w:r w:rsidRPr="002237C4">
        <w:rPr>
          <w:sz w:val="20"/>
          <w:szCs w:val="20"/>
          <w:lang w:val="en-US"/>
        </w:rPr>
        <w:t>Q</w:t>
      </w:r>
      <w:r w:rsidRPr="002237C4">
        <w:rPr>
          <w:sz w:val="20"/>
          <w:szCs w:val="20"/>
          <w:vertAlign w:val="subscript"/>
          <w:lang w:val="en-US"/>
        </w:rPr>
        <w:t>max</w:t>
      </w:r>
      <w:proofErr w:type="spellEnd"/>
      <w:r w:rsidRPr="002237C4">
        <w:rPr>
          <w:sz w:val="20"/>
          <w:szCs w:val="20"/>
          <w:lang w:val="en-US"/>
        </w:rPr>
        <w:t xml:space="preserve"> ≈9.2mW/g (+18%)</w:t>
      </w:r>
    </w:p>
    <w:p w14:paraId="270F6892" w14:textId="19058D1A" w:rsidR="000811BB" w:rsidRPr="002237C4" w:rsidRDefault="000811BB" w:rsidP="00BF2DD3">
      <w:pPr>
        <w:spacing w:after="0"/>
        <w:ind w:firstLine="284"/>
        <w:jc w:val="both"/>
        <w:rPr>
          <w:sz w:val="20"/>
          <w:szCs w:val="20"/>
          <w:lang w:val="en-US"/>
        </w:rPr>
      </w:pPr>
      <w:r w:rsidRPr="002237C4">
        <w:rPr>
          <w:sz w:val="20"/>
          <w:szCs w:val="20"/>
          <w:lang w:val="en-US"/>
        </w:rPr>
        <w:t xml:space="preserve">- Poliplast956: </w:t>
      </w:r>
      <w:proofErr w:type="spellStart"/>
      <w:r w:rsidRPr="002237C4">
        <w:rPr>
          <w:sz w:val="20"/>
          <w:szCs w:val="20"/>
          <w:lang w:val="en-US"/>
        </w:rPr>
        <w:t>t</w:t>
      </w:r>
      <w:r w:rsidRPr="002237C4">
        <w:rPr>
          <w:sz w:val="20"/>
          <w:szCs w:val="20"/>
          <w:vertAlign w:val="subscript"/>
          <w:lang w:val="en-US"/>
        </w:rPr>
        <w:t>max</w:t>
      </w:r>
      <w:proofErr w:type="spellEnd"/>
      <w:r w:rsidRPr="002237C4">
        <w:rPr>
          <w:sz w:val="20"/>
          <w:szCs w:val="20"/>
          <w:lang w:val="en-US"/>
        </w:rPr>
        <w:t xml:space="preserve"> ≈10.3h (+7%), </w:t>
      </w:r>
      <w:proofErr w:type="spellStart"/>
      <w:r w:rsidRPr="002237C4">
        <w:rPr>
          <w:sz w:val="20"/>
          <w:szCs w:val="20"/>
          <w:lang w:val="en-US"/>
        </w:rPr>
        <w:t>Q</w:t>
      </w:r>
      <w:r w:rsidRPr="002237C4">
        <w:rPr>
          <w:sz w:val="20"/>
          <w:szCs w:val="20"/>
          <w:vertAlign w:val="subscript"/>
          <w:lang w:val="en-US"/>
        </w:rPr>
        <w:t>max</w:t>
      </w:r>
      <w:proofErr w:type="spellEnd"/>
      <w:r w:rsidRPr="002237C4">
        <w:rPr>
          <w:sz w:val="20"/>
          <w:szCs w:val="20"/>
          <w:lang w:val="en-US"/>
        </w:rPr>
        <w:t xml:space="preserve"> ≈6.5mW/g (-17%)</w:t>
      </w:r>
    </w:p>
    <w:p w14:paraId="152B61D6" w14:textId="5952FB5D" w:rsidR="000811BB" w:rsidRPr="002237C4" w:rsidRDefault="000811BB" w:rsidP="00BF2DD3">
      <w:pPr>
        <w:spacing w:after="0"/>
        <w:ind w:firstLine="284"/>
        <w:jc w:val="both"/>
        <w:rPr>
          <w:sz w:val="20"/>
          <w:szCs w:val="20"/>
          <w:lang w:val="en-US"/>
        </w:rPr>
      </w:pPr>
      <w:r w:rsidRPr="002237C4">
        <w:rPr>
          <w:sz w:val="20"/>
          <w:szCs w:val="20"/>
          <w:lang w:val="en-US"/>
        </w:rPr>
        <w:t xml:space="preserve">- </w:t>
      </w:r>
      <w:proofErr w:type="spellStart"/>
      <w:r w:rsidRPr="002237C4">
        <w:rPr>
          <w:sz w:val="20"/>
          <w:szCs w:val="20"/>
          <w:lang w:val="en-US"/>
        </w:rPr>
        <w:t>Chryso</w:t>
      </w:r>
      <w:proofErr w:type="spellEnd"/>
      <w:r w:rsidRPr="002237C4">
        <w:rPr>
          <w:sz w:val="20"/>
          <w:szCs w:val="20"/>
          <w:lang w:val="en-US"/>
        </w:rPr>
        <w:t xml:space="preserve"> Delta: </w:t>
      </w:r>
      <w:proofErr w:type="spellStart"/>
      <w:r w:rsidRPr="002237C4">
        <w:rPr>
          <w:sz w:val="20"/>
          <w:szCs w:val="20"/>
          <w:lang w:val="en-US"/>
        </w:rPr>
        <w:t>t</w:t>
      </w:r>
      <w:r w:rsidRPr="002237C4">
        <w:rPr>
          <w:sz w:val="20"/>
          <w:szCs w:val="20"/>
          <w:vertAlign w:val="subscript"/>
          <w:lang w:val="en-US"/>
        </w:rPr>
        <w:t>max</w:t>
      </w:r>
      <w:proofErr w:type="spellEnd"/>
      <w:r w:rsidRPr="002237C4">
        <w:rPr>
          <w:sz w:val="20"/>
          <w:szCs w:val="20"/>
          <w:lang w:val="en-US"/>
        </w:rPr>
        <w:t xml:space="preserve"> ≈9.9h (+3%), </w:t>
      </w:r>
      <w:proofErr w:type="spellStart"/>
      <w:r w:rsidRPr="002237C4">
        <w:rPr>
          <w:sz w:val="20"/>
          <w:szCs w:val="20"/>
          <w:lang w:val="en-US"/>
        </w:rPr>
        <w:t>Q</w:t>
      </w:r>
      <w:r w:rsidRPr="002237C4">
        <w:rPr>
          <w:sz w:val="20"/>
          <w:szCs w:val="20"/>
          <w:vertAlign w:val="subscript"/>
          <w:lang w:val="en-US"/>
        </w:rPr>
        <w:t>max</w:t>
      </w:r>
      <w:proofErr w:type="spellEnd"/>
      <w:r w:rsidRPr="002237C4">
        <w:rPr>
          <w:sz w:val="20"/>
          <w:szCs w:val="20"/>
          <w:lang w:val="en-US"/>
        </w:rPr>
        <w:t xml:space="preserve"> ≈8.4mW/g (+8%)</w:t>
      </w:r>
    </w:p>
    <w:p w14:paraId="30E64A01" w14:textId="17E2970F" w:rsidR="008C5157" w:rsidRPr="002237C4" w:rsidRDefault="000811BB" w:rsidP="00BF2DD3">
      <w:pPr>
        <w:spacing w:after="0"/>
        <w:ind w:firstLine="284"/>
        <w:jc w:val="both"/>
        <w:rPr>
          <w:sz w:val="20"/>
          <w:szCs w:val="20"/>
          <w:lang w:val="en-US"/>
        </w:rPr>
      </w:pPr>
      <w:r w:rsidRPr="002237C4">
        <w:rPr>
          <w:sz w:val="20"/>
          <w:szCs w:val="20"/>
          <w:lang w:val="en-US"/>
        </w:rPr>
        <w:t xml:space="preserve">The shift in </w:t>
      </w:r>
      <w:proofErr w:type="spellStart"/>
      <w:r w:rsidRPr="002237C4">
        <w:rPr>
          <w:sz w:val="20"/>
          <w:szCs w:val="20"/>
          <w:lang w:val="en-US"/>
        </w:rPr>
        <w:t>t</w:t>
      </w:r>
      <w:r w:rsidRPr="002237C4">
        <w:rPr>
          <w:sz w:val="20"/>
          <w:szCs w:val="20"/>
          <w:vertAlign w:val="subscript"/>
          <w:lang w:val="en-US"/>
        </w:rPr>
        <w:t>max</w:t>
      </w:r>
      <w:proofErr w:type="spellEnd"/>
      <w:r w:rsidRPr="002237C4">
        <w:rPr>
          <w:sz w:val="20"/>
          <w:szCs w:val="20"/>
          <w:lang w:val="en-US"/>
        </w:rPr>
        <w:t xml:space="preserve"> and the change in </w:t>
      </w:r>
      <w:proofErr w:type="spellStart"/>
      <w:r w:rsidRPr="002237C4">
        <w:rPr>
          <w:sz w:val="20"/>
          <w:szCs w:val="20"/>
          <w:lang w:val="en-US"/>
        </w:rPr>
        <w:t>Q</w:t>
      </w:r>
      <w:r w:rsidRPr="002237C4">
        <w:rPr>
          <w:sz w:val="20"/>
          <w:szCs w:val="20"/>
          <w:vertAlign w:val="subscript"/>
          <w:lang w:val="en-US"/>
        </w:rPr>
        <w:t>max</w:t>
      </w:r>
      <w:proofErr w:type="spellEnd"/>
      <w:r w:rsidRPr="002237C4">
        <w:rPr>
          <w:sz w:val="20"/>
          <w:szCs w:val="20"/>
          <w:lang w:val="en-US"/>
        </w:rPr>
        <w:t xml:space="preserve"> reflect the efficiency of water penetration and C–S–H nucleation: PCE accelerates, SNF slows down.</w:t>
      </w:r>
    </w:p>
    <w:p w14:paraId="7B88621A" w14:textId="10383214" w:rsidR="008C5157" w:rsidRPr="002237C4" w:rsidRDefault="008C5157" w:rsidP="00BF2DD3">
      <w:pPr>
        <w:spacing w:after="0"/>
        <w:ind w:firstLine="284"/>
        <w:jc w:val="both"/>
        <w:rPr>
          <w:sz w:val="20"/>
          <w:szCs w:val="20"/>
          <w:lang w:val="en-US"/>
        </w:rPr>
      </w:pPr>
      <w:r w:rsidRPr="002237C4">
        <w:rPr>
          <w:sz w:val="20"/>
          <w:szCs w:val="20"/>
          <w:lang w:val="en-US"/>
        </w:rPr>
        <w:t>Post-peak, the reaction rate declines as C</w:t>
      </w:r>
      <w:r w:rsidRPr="002237C4">
        <w:rPr>
          <w:sz w:val="20"/>
          <w:szCs w:val="20"/>
          <w:vertAlign w:val="subscript"/>
          <w:lang w:val="en-US"/>
        </w:rPr>
        <w:t>3</w:t>
      </w:r>
      <w:r w:rsidRPr="002237C4">
        <w:rPr>
          <w:sz w:val="20"/>
          <w:szCs w:val="20"/>
          <w:lang w:val="en-US"/>
        </w:rPr>
        <w:t xml:space="preserve">S becomes </w:t>
      </w:r>
      <w:r w:rsidR="00E143B8" w:rsidRPr="002237C4">
        <w:rPr>
          <w:sz w:val="20"/>
          <w:szCs w:val="20"/>
          <w:lang w:val="en-US"/>
        </w:rPr>
        <w:t>deceleration period</w:t>
      </w:r>
      <w:r w:rsidRPr="002237C4">
        <w:rPr>
          <w:sz w:val="20"/>
          <w:szCs w:val="20"/>
          <w:lang w:val="en-US"/>
        </w:rPr>
        <w:t xml:space="preserve"> and slower hydrating phases (C</w:t>
      </w:r>
      <w:r w:rsidRPr="002237C4">
        <w:rPr>
          <w:sz w:val="20"/>
          <w:szCs w:val="20"/>
          <w:vertAlign w:val="subscript"/>
          <w:lang w:val="en-US"/>
        </w:rPr>
        <w:t>2</w:t>
      </w:r>
      <w:r w:rsidRPr="002237C4">
        <w:rPr>
          <w:sz w:val="20"/>
          <w:szCs w:val="20"/>
          <w:lang w:val="en-US"/>
        </w:rPr>
        <w:t>S, C</w:t>
      </w:r>
      <w:r w:rsidRPr="002237C4">
        <w:rPr>
          <w:sz w:val="20"/>
          <w:szCs w:val="20"/>
          <w:vertAlign w:val="subscript"/>
          <w:lang w:val="en-US"/>
        </w:rPr>
        <w:t>4</w:t>
      </w:r>
      <w:r w:rsidRPr="002237C4">
        <w:rPr>
          <w:sz w:val="20"/>
          <w:szCs w:val="20"/>
          <w:lang w:val="en-US"/>
        </w:rPr>
        <w:t>AF) contribute. The residual heat flow tail in PCE systems remains elevated, signifying ongoing C–S–H gel network densification. Comparative integration of the tail region reveals sustained pozzolanic interactions when SPs alter the local pH and availability of Ca</w:t>
      </w:r>
      <w:r w:rsidRPr="002237C4">
        <w:rPr>
          <w:sz w:val="20"/>
          <w:szCs w:val="20"/>
          <w:vertAlign w:val="superscript"/>
          <w:lang w:val="en-US"/>
        </w:rPr>
        <w:t>2+</w:t>
      </w:r>
      <w:r w:rsidRPr="002237C4">
        <w:rPr>
          <w:sz w:val="20"/>
          <w:szCs w:val="20"/>
          <w:lang w:val="en-US"/>
        </w:rPr>
        <w:t xml:space="preserve"> ions.</w:t>
      </w:r>
      <w:r w:rsidR="00E143B8" w:rsidRPr="002237C4">
        <w:rPr>
          <w:sz w:val="20"/>
          <w:szCs w:val="20"/>
          <w:lang w:val="en-US"/>
        </w:rPr>
        <w:t xml:space="preserve"> </w:t>
      </w:r>
    </w:p>
    <w:p w14:paraId="5595A235" w14:textId="751FB2D9" w:rsidR="000977A6" w:rsidRPr="002237C4" w:rsidRDefault="000977A6" w:rsidP="006F36CD">
      <w:pPr>
        <w:spacing w:after="0"/>
        <w:jc w:val="center"/>
        <w:rPr>
          <w:sz w:val="20"/>
          <w:szCs w:val="20"/>
          <w:lang w:val="en-US"/>
        </w:rPr>
      </w:pPr>
      <w:r w:rsidRPr="002237C4">
        <w:rPr>
          <w:noProof/>
          <w:sz w:val="20"/>
          <w:szCs w:val="20"/>
          <w:lang w:eastAsia="ru-RU"/>
        </w:rPr>
        <w:drawing>
          <wp:inline distT="0" distB="0" distL="0" distR="0" wp14:anchorId="18922685" wp14:editId="77EB9829">
            <wp:extent cx="2237740" cy="17983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37740" cy="1798320"/>
                    </a:xfrm>
                    <a:prstGeom prst="rect">
                      <a:avLst/>
                    </a:prstGeom>
                    <a:noFill/>
                  </pic:spPr>
                </pic:pic>
              </a:graphicData>
            </a:graphic>
          </wp:inline>
        </w:drawing>
      </w:r>
    </w:p>
    <w:p w14:paraId="5C1D2179" w14:textId="7E863722" w:rsidR="000977A6" w:rsidRPr="002237C4" w:rsidRDefault="00BF2DD3" w:rsidP="006F36CD">
      <w:pPr>
        <w:spacing w:after="120"/>
        <w:jc w:val="center"/>
        <w:rPr>
          <w:sz w:val="18"/>
          <w:szCs w:val="18"/>
          <w:lang w:val="en-US"/>
        </w:rPr>
      </w:pPr>
      <w:r w:rsidRPr="002237C4">
        <w:rPr>
          <w:b/>
          <w:bCs/>
          <w:sz w:val="18"/>
          <w:szCs w:val="18"/>
          <w:lang w:val="en-US"/>
        </w:rPr>
        <w:t>FIGURE 4</w:t>
      </w:r>
      <w:r w:rsidR="000977A6" w:rsidRPr="002237C4">
        <w:rPr>
          <w:b/>
          <w:bCs/>
          <w:sz w:val="18"/>
          <w:szCs w:val="18"/>
          <w:lang w:val="en-US"/>
        </w:rPr>
        <w:t>.</w:t>
      </w:r>
      <w:r w:rsidR="000977A6" w:rsidRPr="002237C4">
        <w:rPr>
          <w:sz w:val="18"/>
          <w:szCs w:val="18"/>
          <w:lang w:val="en-US"/>
        </w:rPr>
        <w:t xml:space="preserve"> Cumulative thermal energy of Portland cement with superplasticizers</w:t>
      </w:r>
    </w:p>
    <w:p w14:paraId="7237F338" w14:textId="7BDFD905" w:rsidR="00D05947" w:rsidRPr="002237C4" w:rsidRDefault="00D05947" w:rsidP="00BF2DD3">
      <w:pPr>
        <w:spacing w:after="0"/>
        <w:ind w:firstLine="284"/>
        <w:jc w:val="both"/>
        <w:rPr>
          <w:sz w:val="20"/>
          <w:szCs w:val="20"/>
          <w:lang w:val="en-US"/>
        </w:rPr>
      </w:pPr>
      <w:r w:rsidRPr="002237C4">
        <w:rPr>
          <w:sz w:val="20"/>
          <w:szCs w:val="20"/>
          <w:lang w:val="en-US"/>
        </w:rPr>
        <w:t>The analysis of cumulative thermal energy (Figure 4) accumulated during the hydration process allows quantification of the total heat evolved, serving as an indicator of the completeness of the hydration reactions.</w:t>
      </w:r>
    </w:p>
    <w:p w14:paraId="7CE1BEED" w14:textId="58057F9C" w:rsidR="00D05947" w:rsidRPr="002237C4" w:rsidRDefault="00D05947" w:rsidP="00BF2DD3">
      <w:pPr>
        <w:spacing w:after="0"/>
        <w:ind w:firstLine="284"/>
        <w:jc w:val="both"/>
        <w:rPr>
          <w:sz w:val="20"/>
          <w:szCs w:val="20"/>
          <w:lang w:val="en-US"/>
        </w:rPr>
      </w:pPr>
      <w:r w:rsidRPr="002237C4">
        <w:rPr>
          <w:sz w:val="20"/>
          <w:szCs w:val="20"/>
          <w:lang w:val="en-US"/>
        </w:rPr>
        <w:t>The control sample exhibits the lowest cumulative thermal energy</w:t>
      </w:r>
      <w:r w:rsidR="002B06C9" w:rsidRPr="002237C4">
        <w:rPr>
          <w:sz w:val="20"/>
          <w:szCs w:val="20"/>
          <w:lang w:val="en-US"/>
        </w:rPr>
        <w:t xml:space="preserve"> </w:t>
      </w:r>
      <w:r w:rsidRPr="002237C4">
        <w:rPr>
          <w:sz w:val="20"/>
          <w:szCs w:val="20"/>
          <w:lang w:val="en-US"/>
        </w:rPr>
        <w:t>approximately 1 300 J</w:t>
      </w:r>
      <w:r w:rsidR="002B06C9" w:rsidRPr="002237C4">
        <w:rPr>
          <w:sz w:val="20"/>
          <w:szCs w:val="20"/>
          <w:lang w:val="en-US"/>
        </w:rPr>
        <w:t>/</w:t>
      </w:r>
      <w:r w:rsidRPr="002237C4">
        <w:rPr>
          <w:sz w:val="20"/>
          <w:szCs w:val="20"/>
          <w:lang w:val="en-US"/>
        </w:rPr>
        <w:t>g after 70 h—which can be attributed to the absence of accelerating admixtures. Hydration proceeds in a slow, continuous manner without pronounced acceleration during the early stages.</w:t>
      </w:r>
    </w:p>
    <w:p w14:paraId="1D07524C" w14:textId="781E491F" w:rsidR="00D05947" w:rsidRPr="002237C4" w:rsidRDefault="00D05947" w:rsidP="00BF2DD3">
      <w:pPr>
        <w:spacing w:after="0"/>
        <w:ind w:firstLine="284"/>
        <w:jc w:val="both"/>
        <w:rPr>
          <w:sz w:val="20"/>
          <w:szCs w:val="20"/>
          <w:lang w:val="en-US"/>
        </w:rPr>
      </w:pPr>
      <w:r w:rsidRPr="002237C4">
        <w:rPr>
          <w:sz w:val="20"/>
          <w:szCs w:val="20"/>
          <w:lang w:val="en-US"/>
        </w:rPr>
        <w:t>RS‑1 exhibits the highest cumulative thermal energy, exceeding 1 350 J</w:t>
      </w:r>
      <w:r w:rsidR="008C5157" w:rsidRPr="002237C4">
        <w:rPr>
          <w:sz w:val="20"/>
          <w:szCs w:val="20"/>
          <w:lang w:val="en-US"/>
        </w:rPr>
        <w:t>/</w:t>
      </w:r>
      <w:r w:rsidRPr="002237C4">
        <w:rPr>
          <w:sz w:val="20"/>
          <w:szCs w:val="20"/>
          <w:lang w:val="en-US"/>
        </w:rPr>
        <w:t>g after 70 h. This confirms that polycarboxylate superplasticizers not only accelerate the initial stages of hydration but also promote more complete hydration of cement particles, thereby enhancing heat evolution throughout the entire process.</w:t>
      </w:r>
    </w:p>
    <w:p w14:paraId="7298AE80" w14:textId="46F2138A" w:rsidR="00D05947" w:rsidRPr="002237C4" w:rsidRDefault="00D05947" w:rsidP="00BF2DD3">
      <w:pPr>
        <w:spacing w:after="0"/>
        <w:ind w:firstLine="284"/>
        <w:jc w:val="both"/>
        <w:rPr>
          <w:sz w:val="20"/>
          <w:szCs w:val="20"/>
          <w:lang w:val="en-US"/>
        </w:rPr>
      </w:pPr>
      <w:proofErr w:type="spellStart"/>
      <w:r w:rsidRPr="002237C4">
        <w:rPr>
          <w:sz w:val="20"/>
          <w:szCs w:val="20"/>
          <w:lang w:val="en-US"/>
        </w:rPr>
        <w:t>Polyplast</w:t>
      </w:r>
      <w:proofErr w:type="spellEnd"/>
      <w:r w:rsidRPr="002237C4">
        <w:rPr>
          <w:sz w:val="20"/>
          <w:szCs w:val="20"/>
          <w:lang w:val="en-US"/>
        </w:rPr>
        <w:t> 956 displays cumulative thermal energy nearly equivalent to that of RS‑1, albeit with a slight onset delay. By the end of the experiment, its value approaches 1 350 J</w:t>
      </w:r>
      <w:r w:rsidR="008C5157" w:rsidRPr="002237C4">
        <w:rPr>
          <w:sz w:val="20"/>
          <w:szCs w:val="20"/>
          <w:lang w:val="en-US"/>
        </w:rPr>
        <w:t>/</w:t>
      </w:r>
      <w:r w:rsidRPr="002237C4">
        <w:rPr>
          <w:sz w:val="20"/>
          <w:szCs w:val="20"/>
          <w:lang w:val="en-US"/>
        </w:rPr>
        <w:t>g, indicating the high efficiency of this superplasticizer during the later stages of hydration.</w:t>
      </w:r>
    </w:p>
    <w:p w14:paraId="51BD8A60" w14:textId="48EED0AE" w:rsidR="00D05947" w:rsidRPr="002237C4" w:rsidRDefault="00D05947" w:rsidP="00BF2DD3">
      <w:pPr>
        <w:spacing w:after="0"/>
        <w:ind w:firstLine="284"/>
        <w:jc w:val="both"/>
        <w:rPr>
          <w:sz w:val="20"/>
          <w:szCs w:val="20"/>
          <w:lang w:val="en-US"/>
        </w:rPr>
      </w:pPr>
      <w:proofErr w:type="spellStart"/>
      <w:r w:rsidRPr="002237C4">
        <w:rPr>
          <w:sz w:val="20"/>
          <w:szCs w:val="20"/>
          <w:lang w:val="en-US"/>
        </w:rPr>
        <w:t>Chryso</w:t>
      </w:r>
      <w:proofErr w:type="spellEnd"/>
      <w:r w:rsidRPr="002237C4">
        <w:rPr>
          <w:sz w:val="20"/>
          <w:szCs w:val="20"/>
          <w:lang w:val="en-US"/>
        </w:rPr>
        <w:t> Delta 6328 also exhibits a high level of cumulative thermal energy (approximately 1 300 J</w:t>
      </w:r>
      <w:r w:rsidR="002B06C9" w:rsidRPr="002237C4">
        <w:rPr>
          <w:sz w:val="20"/>
          <w:szCs w:val="20"/>
          <w:lang w:val="en-US"/>
        </w:rPr>
        <w:t>/</w:t>
      </w:r>
      <w:r w:rsidRPr="002237C4">
        <w:rPr>
          <w:sz w:val="20"/>
          <w:szCs w:val="20"/>
          <w:lang w:val="en-US"/>
        </w:rPr>
        <w:t xml:space="preserve">g), albeit slightly lower than that of RS‑1 and </w:t>
      </w:r>
      <w:proofErr w:type="spellStart"/>
      <w:r w:rsidRPr="002237C4">
        <w:rPr>
          <w:sz w:val="20"/>
          <w:szCs w:val="20"/>
          <w:lang w:val="en-US"/>
        </w:rPr>
        <w:t>Polyplast</w:t>
      </w:r>
      <w:proofErr w:type="spellEnd"/>
      <w:r w:rsidRPr="002237C4">
        <w:rPr>
          <w:sz w:val="20"/>
          <w:szCs w:val="20"/>
          <w:lang w:val="en-US"/>
        </w:rPr>
        <w:t> 956. This behavior confirms the synergistic action of lignosulfonates and polycarboxylates: the lignosulfonate fraction retards the early hydration reactions, while the polycarboxylate chains compensate for this effect during the later stages.</w:t>
      </w:r>
    </w:p>
    <w:p w14:paraId="76A438D5" w14:textId="388CA42F" w:rsidR="008C5157" w:rsidRPr="002237C4" w:rsidRDefault="008C5157" w:rsidP="00BF2DD3">
      <w:pPr>
        <w:spacing w:after="0"/>
        <w:ind w:firstLine="284"/>
        <w:jc w:val="both"/>
        <w:rPr>
          <w:sz w:val="20"/>
          <w:szCs w:val="20"/>
          <w:lang w:val="en-US"/>
        </w:rPr>
      </w:pPr>
      <w:r w:rsidRPr="002237C4">
        <w:rPr>
          <w:sz w:val="20"/>
          <w:szCs w:val="20"/>
          <w:lang w:val="en-US"/>
        </w:rPr>
        <w:t>Cumulative heat evolution over 72 h demonstrates PCE systems accrue up to 14 % more heat than control. This parameter correlates with final degree of hydration and can be incorporated into predictive models for early strength development. Fitting cumulative Q vs. time curves to semi-empirical functions (e.g., power-law or exponential decay) enables estimation of reaction order and activation energy under different superplasticizer regimes.</w:t>
      </w:r>
    </w:p>
    <w:p w14:paraId="0683667C" w14:textId="70D3E256" w:rsidR="008C5157" w:rsidRPr="002237C4" w:rsidRDefault="008C5157" w:rsidP="00BF2DD3">
      <w:pPr>
        <w:spacing w:after="0"/>
        <w:ind w:firstLine="284"/>
        <w:jc w:val="both"/>
        <w:rPr>
          <w:sz w:val="20"/>
          <w:szCs w:val="20"/>
          <w:lang w:val="en-US"/>
        </w:rPr>
      </w:pPr>
      <w:r w:rsidRPr="002237C4">
        <w:rPr>
          <w:sz w:val="20"/>
          <w:szCs w:val="20"/>
          <w:lang w:val="en-US"/>
        </w:rPr>
        <w:t>Understanding detailed calorimetric profiles allows precise tailoring of SP dosages to balance early strength gain with control of exothermic heat release, mitigating thermal cracking risk in mass pours. RS‑1 offers a route to accelerated early strength without excessive heat gradients, while SNF-based SPs provide extended working time with moderated thermal output.</w:t>
      </w:r>
    </w:p>
    <w:p w14:paraId="74564087" w14:textId="66C99D3C" w:rsidR="00C93FB1" w:rsidRPr="002237C4" w:rsidRDefault="00BF2DD3" w:rsidP="006F36CD">
      <w:pPr>
        <w:spacing w:before="240" w:after="240"/>
        <w:jc w:val="center"/>
        <w:rPr>
          <w:b/>
          <w:bCs/>
          <w:sz w:val="24"/>
          <w:szCs w:val="24"/>
          <w:lang w:val="en-US"/>
        </w:rPr>
      </w:pPr>
      <w:r w:rsidRPr="002237C4">
        <w:rPr>
          <w:b/>
          <w:bCs/>
          <w:sz w:val="24"/>
          <w:szCs w:val="24"/>
          <w:lang w:val="en-US"/>
        </w:rPr>
        <w:t>CONCLUSION</w:t>
      </w:r>
    </w:p>
    <w:p w14:paraId="0F5CF82B" w14:textId="27F06D60" w:rsidR="00A70C1A" w:rsidRPr="002237C4" w:rsidRDefault="005F784B" w:rsidP="006F36CD">
      <w:pPr>
        <w:tabs>
          <w:tab w:val="left" w:pos="567"/>
        </w:tabs>
        <w:spacing w:after="0"/>
        <w:ind w:firstLine="284"/>
        <w:jc w:val="both"/>
        <w:rPr>
          <w:sz w:val="20"/>
          <w:szCs w:val="20"/>
          <w:lang w:val="en-US"/>
        </w:rPr>
      </w:pPr>
      <w:r w:rsidRPr="002237C4">
        <w:rPr>
          <w:sz w:val="20"/>
          <w:szCs w:val="20"/>
          <w:lang w:val="en-US"/>
        </w:rPr>
        <w:t>This study has demonstrated the utility of isothermal calorimetry as a quantitative tool for elucidating the effects of superplasticizers on the hydration kinetics of Portland cement. Compared to the unmodified reference paste, all three superplasticizers—polycarboxylate (RS‑1), sulfonated naphthalene‑formaldehyde (</w:t>
      </w:r>
      <w:proofErr w:type="spellStart"/>
      <w:r w:rsidRPr="002237C4">
        <w:rPr>
          <w:sz w:val="20"/>
          <w:szCs w:val="20"/>
          <w:lang w:val="en-US"/>
        </w:rPr>
        <w:t>Poliplast</w:t>
      </w:r>
      <w:proofErr w:type="spellEnd"/>
      <w:r w:rsidRPr="002237C4">
        <w:rPr>
          <w:sz w:val="20"/>
          <w:szCs w:val="20"/>
          <w:lang w:val="en-US"/>
        </w:rPr>
        <w:t> 956), and the hybrid lignosulfonate–polycarboxylate (</w:t>
      </w:r>
      <w:proofErr w:type="spellStart"/>
      <w:r w:rsidRPr="002237C4">
        <w:rPr>
          <w:sz w:val="20"/>
          <w:szCs w:val="20"/>
          <w:lang w:val="en-US"/>
        </w:rPr>
        <w:t>Chryso</w:t>
      </w:r>
      <w:proofErr w:type="spellEnd"/>
      <w:r w:rsidRPr="002237C4">
        <w:rPr>
          <w:sz w:val="20"/>
          <w:szCs w:val="20"/>
          <w:lang w:val="en-US"/>
        </w:rPr>
        <w:t> Delta 6328)—induced measurable changes at each stage of hydration. Specifically:</w:t>
      </w:r>
    </w:p>
    <w:p w14:paraId="4DA0B4AC" w14:textId="4B547311" w:rsidR="005F784B" w:rsidRPr="002237C4" w:rsidRDefault="00CC738D" w:rsidP="006F36CD">
      <w:pPr>
        <w:pStyle w:val="a6"/>
        <w:numPr>
          <w:ilvl w:val="0"/>
          <w:numId w:val="1"/>
        </w:numPr>
        <w:tabs>
          <w:tab w:val="left" w:pos="567"/>
        </w:tabs>
        <w:spacing w:after="0"/>
        <w:ind w:left="0" w:firstLine="284"/>
        <w:jc w:val="both"/>
        <w:rPr>
          <w:sz w:val="20"/>
          <w:szCs w:val="20"/>
          <w:lang w:val="en-US"/>
        </w:rPr>
      </w:pPr>
      <w:r w:rsidRPr="002237C4">
        <w:rPr>
          <w:sz w:val="20"/>
          <w:szCs w:val="20"/>
          <w:lang w:val="en-US"/>
        </w:rPr>
        <w:t xml:space="preserve">Induction Period Modification. RS‑1 shortened the induction period by approximately 12 %, reflecting its steric dispersion mechanism; </w:t>
      </w:r>
      <w:proofErr w:type="spellStart"/>
      <w:r w:rsidRPr="002237C4">
        <w:rPr>
          <w:sz w:val="20"/>
          <w:szCs w:val="20"/>
          <w:lang w:val="en-US"/>
        </w:rPr>
        <w:t>Poliplast</w:t>
      </w:r>
      <w:proofErr w:type="spellEnd"/>
      <w:r w:rsidRPr="002237C4">
        <w:rPr>
          <w:sz w:val="20"/>
          <w:szCs w:val="20"/>
          <w:lang w:val="en-US"/>
        </w:rPr>
        <w:t> 956 extended it by a similar magnitude due to electrostatic surface coverage; the combined formulation produced an intermediate delay.</w:t>
      </w:r>
    </w:p>
    <w:p w14:paraId="02A52AA1" w14:textId="05AACE62" w:rsidR="00202223" w:rsidRPr="002237C4" w:rsidRDefault="00CC738D" w:rsidP="006F36CD">
      <w:pPr>
        <w:pStyle w:val="a6"/>
        <w:numPr>
          <w:ilvl w:val="0"/>
          <w:numId w:val="1"/>
        </w:numPr>
        <w:tabs>
          <w:tab w:val="left" w:pos="567"/>
        </w:tabs>
        <w:spacing w:after="0"/>
        <w:ind w:left="0" w:firstLine="284"/>
        <w:jc w:val="both"/>
        <w:rPr>
          <w:sz w:val="20"/>
          <w:szCs w:val="20"/>
          <w:lang w:val="en-US"/>
        </w:rPr>
      </w:pPr>
      <w:r w:rsidRPr="002237C4">
        <w:rPr>
          <w:sz w:val="20"/>
          <w:szCs w:val="20"/>
          <w:lang w:val="en-US"/>
        </w:rPr>
        <w:t>Acceleration Peak Dynamics. RS‑1 accelerated the main C</w:t>
      </w:r>
      <w:r w:rsidRPr="002237C4">
        <w:rPr>
          <w:sz w:val="20"/>
          <w:szCs w:val="20"/>
          <w:vertAlign w:val="subscript"/>
          <w:lang w:val="en-US"/>
        </w:rPr>
        <w:t>3</w:t>
      </w:r>
      <w:r w:rsidRPr="002237C4">
        <w:rPr>
          <w:sz w:val="20"/>
          <w:szCs w:val="20"/>
          <w:lang w:val="en-US"/>
        </w:rPr>
        <w:t xml:space="preserve">S hydration peak, advancing its occurrence by </w:t>
      </w:r>
      <w:r w:rsidRPr="002237C4">
        <w:rPr>
          <w:rFonts w:ascii="Cambria Math" w:hAnsi="Cambria Math" w:cs="Cambria Math"/>
          <w:sz w:val="20"/>
          <w:szCs w:val="20"/>
          <w:lang w:val="en-US"/>
        </w:rPr>
        <w:t>∼</w:t>
      </w:r>
      <w:r w:rsidRPr="002237C4">
        <w:rPr>
          <w:sz w:val="20"/>
          <w:szCs w:val="20"/>
          <w:lang w:val="en-US"/>
        </w:rPr>
        <w:t>1.2</w:t>
      </w:r>
      <w:r w:rsidRPr="002237C4">
        <w:rPr>
          <w:rFonts w:cs="Times New Roman"/>
          <w:sz w:val="20"/>
          <w:szCs w:val="20"/>
          <w:lang w:val="en-US"/>
        </w:rPr>
        <w:t> </w:t>
      </w:r>
      <w:r w:rsidRPr="002237C4">
        <w:rPr>
          <w:sz w:val="20"/>
          <w:szCs w:val="20"/>
          <w:lang w:val="en-US"/>
        </w:rPr>
        <w:t xml:space="preserve">h and increasing its intensity by </w:t>
      </w:r>
      <w:r w:rsidRPr="002237C4">
        <w:rPr>
          <w:rFonts w:ascii="Cambria Math" w:hAnsi="Cambria Math" w:cs="Cambria Math"/>
          <w:sz w:val="20"/>
          <w:szCs w:val="20"/>
          <w:lang w:val="en-US"/>
        </w:rPr>
        <w:t>∼</w:t>
      </w:r>
      <w:r w:rsidRPr="002237C4">
        <w:rPr>
          <w:sz w:val="20"/>
          <w:szCs w:val="20"/>
          <w:lang w:val="en-US"/>
        </w:rPr>
        <w:t>18</w:t>
      </w:r>
      <w:r w:rsidRPr="002237C4">
        <w:rPr>
          <w:rFonts w:cs="Times New Roman"/>
          <w:sz w:val="20"/>
          <w:szCs w:val="20"/>
          <w:lang w:val="en-US"/>
        </w:rPr>
        <w:t> </w:t>
      </w:r>
      <w:r w:rsidRPr="002237C4">
        <w:rPr>
          <w:sz w:val="20"/>
          <w:szCs w:val="20"/>
          <w:lang w:val="en-US"/>
        </w:rPr>
        <w:t xml:space="preserve">%. </w:t>
      </w:r>
      <w:proofErr w:type="spellStart"/>
      <w:r w:rsidRPr="002237C4">
        <w:rPr>
          <w:sz w:val="20"/>
          <w:szCs w:val="20"/>
          <w:lang w:val="en-US"/>
        </w:rPr>
        <w:t>Poliplast</w:t>
      </w:r>
      <w:proofErr w:type="spellEnd"/>
      <w:r w:rsidRPr="002237C4">
        <w:rPr>
          <w:rFonts w:cs="Times New Roman"/>
          <w:sz w:val="20"/>
          <w:szCs w:val="20"/>
          <w:lang w:val="en-US"/>
        </w:rPr>
        <w:t> </w:t>
      </w:r>
      <w:r w:rsidRPr="002237C4">
        <w:rPr>
          <w:sz w:val="20"/>
          <w:szCs w:val="20"/>
          <w:lang w:val="en-US"/>
        </w:rPr>
        <w:t xml:space="preserve">956 retarded the peak by </w:t>
      </w:r>
      <w:r w:rsidRPr="002237C4">
        <w:rPr>
          <w:rFonts w:ascii="Cambria Math" w:hAnsi="Cambria Math" w:cs="Cambria Math"/>
          <w:sz w:val="20"/>
          <w:szCs w:val="20"/>
          <w:lang w:val="en-US"/>
        </w:rPr>
        <w:t>∼</w:t>
      </w:r>
      <w:r w:rsidRPr="002237C4">
        <w:rPr>
          <w:sz w:val="20"/>
          <w:szCs w:val="20"/>
          <w:lang w:val="en-US"/>
        </w:rPr>
        <w:t>0.7</w:t>
      </w:r>
      <w:r w:rsidRPr="002237C4">
        <w:rPr>
          <w:rFonts w:cs="Times New Roman"/>
          <w:sz w:val="20"/>
          <w:szCs w:val="20"/>
          <w:lang w:val="en-US"/>
        </w:rPr>
        <w:t> </w:t>
      </w:r>
      <w:r w:rsidRPr="002237C4">
        <w:rPr>
          <w:sz w:val="20"/>
          <w:szCs w:val="20"/>
          <w:lang w:val="en-US"/>
        </w:rPr>
        <w:t>h with a 17</w:t>
      </w:r>
      <w:r w:rsidRPr="002237C4">
        <w:rPr>
          <w:rFonts w:cs="Times New Roman"/>
          <w:sz w:val="20"/>
          <w:szCs w:val="20"/>
          <w:lang w:val="en-US"/>
        </w:rPr>
        <w:t> </w:t>
      </w:r>
      <w:r w:rsidRPr="002237C4">
        <w:rPr>
          <w:sz w:val="20"/>
          <w:szCs w:val="20"/>
          <w:lang w:val="en-US"/>
        </w:rPr>
        <w:t xml:space="preserve">% reduction in </w:t>
      </w:r>
      <w:r w:rsidRPr="002237C4">
        <w:rPr>
          <w:sz w:val="20"/>
          <w:szCs w:val="20"/>
          <w:lang w:val="en-US"/>
        </w:rPr>
        <w:lastRenderedPageBreak/>
        <w:t xml:space="preserve">amplitude, while </w:t>
      </w:r>
      <w:proofErr w:type="spellStart"/>
      <w:r w:rsidRPr="002237C4">
        <w:rPr>
          <w:sz w:val="20"/>
          <w:szCs w:val="20"/>
          <w:lang w:val="en-US"/>
        </w:rPr>
        <w:t>Chryso</w:t>
      </w:r>
      <w:proofErr w:type="spellEnd"/>
      <w:r w:rsidRPr="002237C4">
        <w:rPr>
          <w:sz w:val="20"/>
          <w:szCs w:val="20"/>
          <w:lang w:val="en-US"/>
        </w:rPr>
        <w:t> Delta 6328 exhibited a moderate shift (</w:t>
      </w:r>
      <w:r w:rsidRPr="002237C4">
        <w:rPr>
          <w:rFonts w:ascii="Cambria Math" w:hAnsi="Cambria Math" w:cs="Cambria Math"/>
          <w:sz w:val="20"/>
          <w:szCs w:val="20"/>
          <w:lang w:val="en-US"/>
        </w:rPr>
        <w:t>∼</w:t>
      </w:r>
      <w:r w:rsidRPr="002237C4">
        <w:rPr>
          <w:sz w:val="20"/>
          <w:szCs w:val="20"/>
          <w:lang w:val="en-US"/>
        </w:rPr>
        <w:t>+0.3</w:t>
      </w:r>
      <w:r w:rsidRPr="002237C4">
        <w:rPr>
          <w:rFonts w:cs="Times New Roman"/>
          <w:sz w:val="20"/>
          <w:szCs w:val="20"/>
          <w:lang w:val="en-US"/>
        </w:rPr>
        <w:t> </w:t>
      </w:r>
      <w:r w:rsidRPr="002237C4">
        <w:rPr>
          <w:sz w:val="20"/>
          <w:szCs w:val="20"/>
          <w:lang w:val="en-US"/>
        </w:rPr>
        <w:t>h) and an 8</w:t>
      </w:r>
      <w:r w:rsidRPr="002237C4">
        <w:rPr>
          <w:rFonts w:cs="Times New Roman"/>
          <w:sz w:val="20"/>
          <w:szCs w:val="20"/>
          <w:lang w:val="en-US"/>
        </w:rPr>
        <w:t> </w:t>
      </w:r>
      <w:r w:rsidRPr="002237C4">
        <w:rPr>
          <w:sz w:val="20"/>
          <w:szCs w:val="20"/>
          <w:lang w:val="en-US"/>
        </w:rPr>
        <w:t>% increase in peak heat flow relative to control.</w:t>
      </w:r>
    </w:p>
    <w:p w14:paraId="04BC2E11" w14:textId="62E1B993" w:rsidR="00CC738D" w:rsidRPr="002237C4" w:rsidRDefault="00CC738D" w:rsidP="006F36CD">
      <w:pPr>
        <w:pStyle w:val="a6"/>
        <w:numPr>
          <w:ilvl w:val="0"/>
          <w:numId w:val="1"/>
        </w:numPr>
        <w:tabs>
          <w:tab w:val="left" w:pos="567"/>
        </w:tabs>
        <w:spacing w:after="0"/>
        <w:ind w:left="0" w:firstLine="284"/>
        <w:jc w:val="both"/>
        <w:rPr>
          <w:sz w:val="20"/>
          <w:szCs w:val="20"/>
          <w:lang w:val="en-US"/>
        </w:rPr>
      </w:pPr>
      <w:r w:rsidRPr="002237C4">
        <w:rPr>
          <w:sz w:val="20"/>
          <w:szCs w:val="20"/>
          <w:lang w:val="en-US"/>
        </w:rPr>
        <w:t xml:space="preserve">Overall Heat Release. Over 72 h, cumulative heat evolved in RS‑1–modified pastes rose by 14 %, in </w:t>
      </w:r>
      <w:proofErr w:type="spellStart"/>
      <w:r w:rsidRPr="002237C4">
        <w:rPr>
          <w:sz w:val="20"/>
          <w:szCs w:val="20"/>
          <w:lang w:val="en-US"/>
        </w:rPr>
        <w:t>Poliplast</w:t>
      </w:r>
      <w:proofErr w:type="spellEnd"/>
      <w:r w:rsidRPr="002237C4">
        <w:rPr>
          <w:sz w:val="20"/>
          <w:szCs w:val="20"/>
          <w:lang w:val="en-US"/>
        </w:rPr>
        <w:t xml:space="preserve"> 956 by 9 %, and in </w:t>
      </w:r>
      <w:proofErr w:type="spellStart"/>
      <w:r w:rsidRPr="002237C4">
        <w:rPr>
          <w:sz w:val="20"/>
          <w:szCs w:val="20"/>
          <w:lang w:val="en-US"/>
        </w:rPr>
        <w:t>Chryso</w:t>
      </w:r>
      <w:proofErr w:type="spellEnd"/>
      <w:r w:rsidRPr="002237C4">
        <w:rPr>
          <w:sz w:val="20"/>
          <w:szCs w:val="20"/>
          <w:lang w:val="en-US"/>
        </w:rPr>
        <w:t> Delta 6328 by 5 % compared to the unplasticized system, indicating more complete hydration in PCE‑containing mixtures.</w:t>
      </w:r>
    </w:p>
    <w:p w14:paraId="08991F3D" w14:textId="5DE66DEF" w:rsidR="00CC738D" w:rsidRPr="002237C4" w:rsidRDefault="00CC738D" w:rsidP="006F36CD">
      <w:pPr>
        <w:pStyle w:val="a6"/>
        <w:numPr>
          <w:ilvl w:val="0"/>
          <w:numId w:val="1"/>
        </w:numPr>
        <w:tabs>
          <w:tab w:val="left" w:pos="567"/>
        </w:tabs>
        <w:spacing w:after="0"/>
        <w:ind w:left="0" w:firstLine="284"/>
        <w:jc w:val="both"/>
        <w:rPr>
          <w:sz w:val="20"/>
          <w:szCs w:val="20"/>
          <w:lang w:val="en-US"/>
        </w:rPr>
      </w:pPr>
      <w:r w:rsidRPr="002237C4">
        <w:rPr>
          <w:sz w:val="20"/>
          <w:szCs w:val="20"/>
          <w:lang w:val="en-US"/>
        </w:rPr>
        <w:t>Workability Tailoring. Delayed addition of polycarboxylate admixtures preserved fresh‑state rheology without unduly impeding hydration onset, offering a practical means to optimize both processing time and early mechanical development.</w:t>
      </w:r>
    </w:p>
    <w:p w14:paraId="6C144A68" w14:textId="024FF8D9" w:rsidR="00CC738D" w:rsidRPr="002237C4" w:rsidRDefault="00CC738D" w:rsidP="006F36CD">
      <w:pPr>
        <w:tabs>
          <w:tab w:val="left" w:pos="567"/>
        </w:tabs>
        <w:spacing w:after="0"/>
        <w:ind w:firstLine="284"/>
        <w:jc w:val="both"/>
        <w:rPr>
          <w:sz w:val="20"/>
          <w:szCs w:val="20"/>
          <w:lang w:val="en-US"/>
        </w:rPr>
      </w:pPr>
      <w:r w:rsidRPr="002237C4">
        <w:rPr>
          <w:sz w:val="20"/>
          <w:szCs w:val="20"/>
          <w:lang w:val="en-US"/>
        </w:rPr>
        <w:t>Taken together, these findings confirm that the molecular architecture of the admixture critically governs both the timing and magnitude of exothermic events during cement hydration. Polycarboxylate superplasticizers are most effective for accelerating early strength gain, whereas sulfonated condensates afford longer working times under hot‑weather or complex placing conditions. The hybrid lignosulfonate–polycarboxylate formulation achieves a compromise between these extremes. Ultimately, isothermal calorimetry provides a rigorous, data‑driven basis for selecting and dosing superplasticizers to achieve a targeted balance of fresh and hardened properties in cementitious materials.</w:t>
      </w:r>
    </w:p>
    <w:p w14:paraId="3611D4A5" w14:textId="4F5E2BF3" w:rsidR="00E069CA" w:rsidRPr="002237C4" w:rsidRDefault="00BF2DD3" w:rsidP="00BF2DD3">
      <w:pPr>
        <w:spacing w:before="240" w:after="240"/>
        <w:jc w:val="center"/>
        <w:rPr>
          <w:b/>
          <w:bCs/>
          <w:sz w:val="24"/>
          <w:szCs w:val="24"/>
          <w:lang w:val="en-US"/>
        </w:rPr>
      </w:pPr>
      <w:r w:rsidRPr="002237C4">
        <w:rPr>
          <w:b/>
          <w:bCs/>
          <w:sz w:val="24"/>
          <w:szCs w:val="24"/>
          <w:lang w:val="en-US"/>
        </w:rPr>
        <w:t>REFERENCES</w:t>
      </w:r>
    </w:p>
    <w:p w14:paraId="45B18D48" w14:textId="77777777" w:rsidR="00023E55" w:rsidRPr="00023E55" w:rsidRDefault="00023E55" w:rsidP="00023E55">
      <w:pPr>
        <w:pStyle w:val="a5"/>
        <w:numPr>
          <w:ilvl w:val="0"/>
          <w:numId w:val="2"/>
        </w:numPr>
        <w:spacing w:before="0" w:beforeAutospacing="0" w:after="0" w:afterAutospacing="0"/>
        <w:ind w:left="425" w:hanging="425"/>
        <w:jc w:val="both"/>
        <w:rPr>
          <w:color w:val="000000" w:themeColor="text1"/>
          <w:sz w:val="20"/>
          <w:szCs w:val="20"/>
          <w:lang w:val="en-US"/>
        </w:rPr>
      </w:pPr>
      <w:r w:rsidRPr="00023E55">
        <w:rPr>
          <w:color w:val="000000" w:themeColor="text1"/>
          <w:sz w:val="20"/>
          <w:szCs w:val="20"/>
          <w:lang w:val="en-US"/>
        </w:rPr>
        <w:t xml:space="preserve">A. </w:t>
      </w:r>
      <w:proofErr w:type="spellStart"/>
      <w:r w:rsidRPr="00023E55">
        <w:rPr>
          <w:color w:val="000000" w:themeColor="text1"/>
          <w:sz w:val="20"/>
          <w:szCs w:val="20"/>
          <w:lang w:val="en-US"/>
        </w:rPr>
        <w:t>Jagličić</w:t>
      </w:r>
      <w:proofErr w:type="spellEnd"/>
      <w:r w:rsidRPr="00023E55">
        <w:rPr>
          <w:color w:val="000000" w:themeColor="text1"/>
          <w:sz w:val="20"/>
          <w:szCs w:val="20"/>
          <w:lang w:val="en-US"/>
        </w:rPr>
        <w:t xml:space="preserve">, T. </w:t>
      </w:r>
      <w:proofErr w:type="spellStart"/>
      <w:r w:rsidRPr="00023E55">
        <w:rPr>
          <w:color w:val="000000" w:themeColor="text1"/>
          <w:sz w:val="20"/>
          <w:szCs w:val="20"/>
          <w:lang w:val="en-US"/>
        </w:rPr>
        <w:t>Gädt</w:t>
      </w:r>
      <w:proofErr w:type="spellEnd"/>
      <w:r w:rsidRPr="00023E55">
        <w:rPr>
          <w:color w:val="000000" w:themeColor="text1"/>
          <w:sz w:val="20"/>
          <w:szCs w:val="20"/>
          <w:lang w:val="en-US"/>
        </w:rPr>
        <w:t xml:space="preserve">, and M. Hofmann, </w:t>
      </w:r>
      <w:r w:rsidRPr="00023E55">
        <w:rPr>
          <w:rStyle w:val="a8"/>
          <w:color w:val="000000" w:themeColor="text1"/>
          <w:sz w:val="20"/>
          <w:szCs w:val="20"/>
          <w:lang w:val="en-US"/>
        </w:rPr>
        <w:t xml:space="preserve">J. Therm. Anal. </w:t>
      </w:r>
      <w:proofErr w:type="spellStart"/>
      <w:r w:rsidRPr="00023E55">
        <w:rPr>
          <w:rStyle w:val="a8"/>
          <w:color w:val="000000" w:themeColor="text1"/>
          <w:sz w:val="20"/>
          <w:szCs w:val="20"/>
          <w:lang w:val="en-US"/>
        </w:rPr>
        <w:t>Calorim</w:t>
      </w:r>
      <w:proofErr w:type="spellEnd"/>
      <w:r w:rsidRPr="00023E55">
        <w:rPr>
          <w:rStyle w:val="a8"/>
          <w:color w:val="000000" w:themeColor="text1"/>
          <w:sz w:val="20"/>
          <w:szCs w:val="20"/>
          <w:lang w:val="en-US"/>
        </w:rPr>
        <w:t>.</w:t>
      </w:r>
      <w:r w:rsidRPr="00023E55">
        <w:rPr>
          <w:color w:val="000000" w:themeColor="text1"/>
          <w:sz w:val="20"/>
          <w:szCs w:val="20"/>
          <w:lang w:val="en-US"/>
        </w:rPr>
        <w:t xml:space="preserve"> (2025, in press). </w:t>
      </w:r>
      <w:hyperlink r:id="rId16" w:tgtFrame="_new" w:history="1">
        <w:r w:rsidRPr="00023E55">
          <w:rPr>
            <w:rStyle w:val="a4"/>
            <w:color w:val="000000" w:themeColor="text1"/>
            <w:sz w:val="20"/>
            <w:szCs w:val="20"/>
            <w:u w:val="none"/>
            <w:lang w:val="en-US"/>
          </w:rPr>
          <w:t>https://doi.org/10.1007/s10973-025-14162-3</w:t>
        </w:r>
      </w:hyperlink>
    </w:p>
    <w:p w14:paraId="4785D9C6" w14:textId="77777777" w:rsidR="00023E55" w:rsidRPr="00023E55" w:rsidRDefault="00023E55" w:rsidP="00023E55">
      <w:pPr>
        <w:pStyle w:val="a5"/>
        <w:numPr>
          <w:ilvl w:val="0"/>
          <w:numId w:val="2"/>
        </w:numPr>
        <w:spacing w:before="0" w:beforeAutospacing="0" w:after="0" w:afterAutospacing="0"/>
        <w:ind w:left="425" w:hanging="425"/>
        <w:jc w:val="both"/>
        <w:rPr>
          <w:color w:val="000000" w:themeColor="text1"/>
          <w:sz w:val="20"/>
          <w:szCs w:val="20"/>
          <w:lang w:val="en-US"/>
        </w:rPr>
      </w:pPr>
      <w:r w:rsidRPr="00023E55">
        <w:rPr>
          <w:color w:val="000000" w:themeColor="text1"/>
          <w:sz w:val="20"/>
          <w:szCs w:val="20"/>
          <w:lang w:val="en-US"/>
        </w:rPr>
        <w:t xml:space="preserve">A. </w:t>
      </w:r>
      <w:proofErr w:type="spellStart"/>
      <w:r w:rsidRPr="00023E55">
        <w:rPr>
          <w:color w:val="000000" w:themeColor="text1"/>
          <w:sz w:val="20"/>
          <w:szCs w:val="20"/>
          <w:lang w:val="en-US"/>
        </w:rPr>
        <w:t>Dönmez</w:t>
      </w:r>
      <w:proofErr w:type="spellEnd"/>
      <w:r w:rsidRPr="00023E55">
        <w:rPr>
          <w:color w:val="000000" w:themeColor="text1"/>
          <w:sz w:val="20"/>
          <w:szCs w:val="20"/>
          <w:lang w:val="en-US"/>
        </w:rPr>
        <w:t xml:space="preserve">, A. </w:t>
      </w:r>
      <w:proofErr w:type="spellStart"/>
      <w:r w:rsidRPr="00023E55">
        <w:rPr>
          <w:color w:val="000000" w:themeColor="text1"/>
          <w:sz w:val="20"/>
          <w:szCs w:val="20"/>
          <w:lang w:val="en-US"/>
        </w:rPr>
        <w:t>Jagličić</w:t>
      </w:r>
      <w:proofErr w:type="spellEnd"/>
      <w:r w:rsidRPr="00023E55">
        <w:rPr>
          <w:color w:val="000000" w:themeColor="text1"/>
          <w:sz w:val="20"/>
          <w:szCs w:val="20"/>
          <w:lang w:val="en-US"/>
        </w:rPr>
        <w:t xml:space="preserve">, and T. </w:t>
      </w:r>
      <w:proofErr w:type="spellStart"/>
      <w:r w:rsidRPr="00023E55">
        <w:rPr>
          <w:color w:val="000000" w:themeColor="text1"/>
          <w:sz w:val="20"/>
          <w:szCs w:val="20"/>
          <w:lang w:val="en-US"/>
        </w:rPr>
        <w:t>Gädt</w:t>
      </w:r>
      <w:proofErr w:type="spellEnd"/>
      <w:r w:rsidRPr="00023E55">
        <w:rPr>
          <w:color w:val="000000" w:themeColor="text1"/>
          <w:sz w:val="20"/>
          <w:szCs w:val="20"/>
          <w:lang w:val="en-US"/>
        </w:rPr>
        <w:t xml:space="preserve">, </w:t>
      </w:r>
      <w:proofErr w:type="spellStart"/>
      <w:r w:rsidRPr="00023E55">
        <w:rPr>
          <w:rStyle w:val="a8"/>
          <w:color w:val="000000" w:themeColor="text1"/>
          <w:sz w:val="20"/>
          <w:szCs w:val="20"/>
          <w:lang w:val="en-US"/>
        </w:rPr>
        <w:t>ce</w:t>
      </w:r>
      <w:proofErr w:type="spellEnd"/>
      <w:r w:rsidRPr="00023E55">
        <w:rPr>
          <w:rStyle w:val="a8"/>
          <w:color w:val="000000" w:themeColor="text1"/>
          <w:sz w:val="20"/>
          <w:szCs w:val="20"/>
          <w:lang w:val="en-US"/>
        </w:rPr>
        <w:t>/papers</w:t>
      </w:r>
      <w:r w:rsidRPr="00023E55">
        <w:rPr>
          <w:color w:val="000000" w:themeColor="text1"/>
          <w:sz w:val="20"/>
          <w:szCs w:val="20"/>
          <w:lang w:val="en-US"/>
        </w:rPr>
        <w:t xml:space="preserve"> </w:t>
      </w:r>
      <w:r w:rsidRPr="00023E55">
        <w:rPr>
          <w:rStyle w:val="a9"/>
          <w:color w:val="000000" w:themeColor="text1"/>
          <w:sz w:val="20"/>
          <w:szCs w:val="20"/>
          <w:lang w:val="en-US"/>
        </w:rPr>
        <w:t>6</w:t>
      </w:r>
      <w:r w:rsidRPr="00023E55">
        <w:rPr>
          <w:color w:val="000000" w:themeColor="text1"/>
          <w:sz w:val="20"/>
          <w:szCs w:val="20"/>
          <w:lang w:val="en-US"/>
        </w:rPr>
        <w:t>, 93–100 (2023). https://doi.org/10.1002/cepa.2464</w:t>
      </w:r>
    </w:p>
    <w:p w14:paraId="750059DE" w14:textId="77777777" w:rsidR="00023E55" w:rsidRPr="00023E55" w:rsidRDefault="00023E55" w:rsidP="00023E55">
      <w:pPr>
        <w:pStyle w:val="a5"/>
        <w:numPr>
          <w:ilvl w:val="0"/>
          <w:numId w:val="2"/>
        </w:numPr>
        <w:spacing w:before="0" w:beforeAutospacing="0" w:after="0" w:afterAutospacing="0"/>
        <w:ind w:left="425" w:hanging="425"/>
        <w:jc w:val="both"/>
        <w:rPr>
          <w:color w:val="000000" w:themeColor="text1"/>
          <w:sz w:val="20"/>
          <w:szCs w:val="20"/>
        </w:rPr>
      </w:pPr>
      <w:r w:rsidRPr="00023E55">
        <w:rPr>
          <w:color w:val="000000" w:themeColor="text1"/>
          <w:sz w:val="20"/>
          <w:szCs w:val="20"/>
          <w:lang w:val="en-US"/>
        </w:rPr>
        <w:t xml:space="preserve">Y. Fang, Z. Wang, D. Yan, H. Lai, X. Ma, J. Lai, Y. Liu, L. Zhong, Z. Chen, X. Zhang, Z. Lin, and D. Wang, </w:t>
      </w:r>
      <w:r w:rsidRPr="00023E55">
        <w:rPr>
          <w:rStyle w:val="a8"/>
          <w:color w:val="000000" w:themeColor="text1"/>
          <w:sz w:val="20"/>
          <w:szCs w:val="20"/>
          <w:lang w:val="en-US"/>
        </w:rPr>
        <w:t xml:space="preserve">Front. </w:t>
      </w:r>
      <w:proofErr w:type="spellStart"/>
      <w:r w:rsidRPr="00023E55">
        <w:rPr>
          <w:rStyle w:val="a8"/>
          <w:color w:val="000000" w:themeColor="text1"/>
          <w:sz w:val="20"/>
          <w:szCs w:val="20"/>
        </w:rPr>
        <w:t>Mater</w:t>
      </w:r>
      <w:proofErr w:type="spellEnd"/>
      <w:r w:rsidRPr="00023E55">
        <w:rPr>
          <w:rStyle w:val="a8"/>
          <w:color w:val="000000" w:themeColor="text1"/>
          <w:sz w:val="20"/>
          <w:szCs w:val="20"/>
        </w:rPr>
        <w:t>.</w:t>
      </w:r>
      <w:r w:rsidRPr="00023E55">
        <w:rPr>
          <w:color w:val="000000" w:themeColor="text1"/>
          <w:sz w:val="20"/>
          <w:szCs w:val="20"/>
        </w:rPr>
        <w:t xml:space="preserve"> </w:t>
      </w:r>
      <w:r w:rsidRPr="00023E55">
        <w:rPr>
          <w:rStyle w:val="a9"/>
          <w:color w:val="000000" w:themeColor="text1"/>
          <w:sz w:val="20"/>
          <w:szCs w:val="20"/>
        </w:rPr>
        <w:t>11</w:t>
      </w:r>
      <w:r w:rsidRPr="00023E55">
        <w:rPr>
          <w:color w:val="000000" w:themeColor="text1"/>
          <w:sz w:val="20"/>
          <w:szCs w:val="20"/>
        </w:rPr>
        <w:t xml:space="preserve">, 1358630 (2024). </w:t>
      </w:r>
      <w:hyperlink r:id="rId17" w:tgtFrame="_new" w:history="1">
        <w:r w:rsidRPr="00023E55">
          <w:rPr>
            <w:rStyle w:val="a4"/>
            <w:color w:val="000000" w:themeColor="text1"/>
            <w:sz w:val="20"/>
            <w:szCs w:val="20"/>
            <w:u w:val="none"/>
          </w:rPr>
          <w:t>https://doi.org/10.3389/fmats.2024.1358630</w:t>
        </w:r>
      </w:hyperlink>
    </w:p>
    <w:p w14:paraId="29848ACB" w14:textId="77777777" w:rsidR="00023E55" w:rsidRPr="00023E55" w:rsidRDefault="00023E55" w:rsidP="00023E55">
      <w:pPr>
        <w:pStyle w:val="a5"/>
        <w:numPr>
          <w:ilvl w:val="0"/>
          <w:numId w:val="2"/>
        </w:numPr>
        <w:spacing w:before="0" w:beforeAutospacing="0" w:after="0" w:afterAutospacing="0"/>
        <w:ind w:left="425" w:hanging="425"/>
        <w:jc w:val="both"/>
        <w:rPr>
          <w:color w:val="000000" w:themeColor="text1"/>
          <w:sz w:val="20"/>
          <w:szCs w:val="20"/>
          <w:lang w:val="en-US"/>
        </w:rPr>
      </w:pPr>
      <w:r w:rsidRPr="00023E55">
        <w:rPr>
          <w:color w:val="000000" w:themeColor="text1"/>
          <w:sz w:val="20"/>
          <w:szCs w:val="20"/>
          <w:lang w:val="en-US"/>
        </w:rPr>
        <w:t xml:space="preserve">A. </w:t>
      </w:r>
      <w:proofErr w:type="spellStart"/>
      <w:r w:rsidRPr="00023E55">
        <w:rPr>
          <w:color w:val="000000" w:themeColor="text1"/>
          <w:sz w:val="20"/>
          <w:szCs w:val="20"/>
          <w:lang w:val="en-US"/>
        </w:rPr>
        <w:t>Mezhov</w:t>
      </w:r>
      <w:proofErr w:type="spellEnd"/>
      <w:r w:rsidRPr="00023E55">
        <w:rPr>
          <w:color w:val="000000" w:themeColor="text1"/>
          <w:sz w:val="20"/>
          <w:szCs w:val="20"/>
          <w:lang w:val="en-US"/>
        </w:rPr>
        <w:t xml:space="preserve"> and K. </w:t>
      </w:r>
      <w:proofErr w:type="spellStart"/>
      <w:r w:rsidRPr="00023E55">
        <w:rPr>
          <w:color w:val="000000" w:themeColor="text1"/>
          <w:sz w:val="20"/>
          <w:szCs w:val="20"/>
          <w:lang w:val="en-US"/>
        </w:rPr>
        <w:t>Kovler</w:t>
      </w:r>
      <w:proofErr w:type="spellEnd"/>
      <w:r w:rsidRPr="00023E55">
        <w:rPr>
          <w:color w:val="000000" w:themeColor="text1"/>
          <w:sz w:val="20"/>
          <w:szCs w:val="20"/>
          <w:lang w:val="en-US"/>
        </w:rPr>
        <w:t xml:space="preserve">, </w:t>
      </w:r>
      <w:r w:rsidRPr="00023E55">
        <w:rPr>
          <w:rStyle w:val="a8"/>
          <w:color w:val="000000" w:themeColor="text1"/>
          <w:sz w:val="20"/>
          <w:szCs w:val="20"/>
          <w:lang w:val="en-US"/>
        </w:rPr>
        <w:t>IOP Conf. Ser. Mater. Sci. Eng.</w:t>
      </w:r>
      <w:r w:rsidRPr="00023E55">
        <w:rPr>
          <w:color w:val="000000" w:themeColor="text1"/>
          <w:sz w:val="20"/>
          <w:szCs w:val="20"/>
          <w:lang w:val="en-US"/>
        </w:rPr>
        <w:t xml:space="preserve"> </w:t>
      </w:r>
      <w:r w:rsidRPr="00023E55">
        <w:rPr>
          <w:rStyle w:val="a9"/>
          <w:color w:val="000000" w:themeColor="text1"/>
          <w:sz w:val="20"/>
          <w:szCs w:val="20"/>
          <w:lang w:val="en-US"/>
        </w:rPr>
        <w:t>660</w:t>
      </w:r>
      <w:r w:rsidRPr="00023E55">
        <w:rPr>
          <w:color w:val="000000" w:themeColor="text1"/>
          <w:sz w:val="20"/>
          <w:szCs w:val="20"/>
          <w:lang w:val="en-US"/>
        </w:rPr>
        <w:t xml:space="preserve">, 012037 (2019). </w:t>
      </w:r>
      <w:hyperlink r:id="rId18" w:tgtFrame="_new" w:history="1">
        <w:r w:rsidRPr="00023E55">
          <w:rPr>
            <w:rStyle w:val="a4"/>
            <w:color w:val="000000" w:themeColor="text1"/>
            <w:sz w:val="20"/>
            <w:szCs w:val="20"/>
            <w:u w:val="none"/>
            <w:lang w:val="en-US"/>
          </w:rPr>
          <w:t>https://doi.org/10.1088/1757-899X/660/1/012037</w:t>
        </w:r>
      </w:hyperlink>
    </w:p>
    <w:p w14:paraId="5CCD4C03" w14:textId="77777777" w:rsidR="00023E55" w:rsidRPr="00023E55" w:rsidRDefault="00023E55" w:rsidP="00023E55">
      <w:pPr>
        <w:pStyle w:val="a5"/>
        <w:numPr>
          <w:ilvl w:val="0"/>
          <w:numId w:val="2"/>
        </w:numPr>
        <w:spacing w:before="0" w:beforeAutospacing="0" w:after="0" w:afterAutospacing="0"/>
        <w:ind w:left="425" w:hanging="425"/>
        <w:jc w:val="both"/>
        <w:rPr>
          <w:color w:val="000000" w:themeColor="text1"/>
          <w:sz w:val="20"/>
          <w:szCs w:val="20"/>
        </w:rPr>
      </w:pPr>
      <w:r w:rsidRPr="00023E55">
        <w:rPr>
          <w:color w:val="000000" w:themeColor="text1"/>
          <w:sz w:val="20"/>
          <w:szCs w:val="20"/>
          <w:lang w:val="en-US"/>
        </w:rPr>
        <w:t xml:space="preserve">P. </w:t>
      </w:r>
      <w:proofErr w:type="spellStart"/>
      <w:r w:rsidRPr="00023E55">
        <w:rPr>
          <w:color w:val="000000" w:themeColor="text1"/>
          <w:sz w:val="20"/>
          <w:szCs w:val="20"/>
          <w:lang w:val="en-US"/>
        </w:rPr>
        <w:t>Šiler</w:t>
      </w:r>
      <w:proofErr w:type="spellEnd"/>
      <w:r w:rsidRPr="00023E55">
        <w:rPr>
          <w:color w:val="000000" w:themeColor="text1"/>
          <w:sz w:val="20"/>
          <w:szCs w:val="20"/>
          <w:lang w:val="en-US"/>
        </w:rPr>
        <w:t xml:space="preserve">, I. </w:t>
      </w:r>
      <w:proofErr w:type="spellStart"/>
      <w:r w:rsidRPr="00023E55">
        <w:rPr>
          <w:color w:val="000000" w:themeColor="text1"/>
          <w:sz w:val="20"/>
          <w:szCs w:val="20"/>
          <w:lang w:val="en-US"/>
        </w:rPr>
        <w:t>Kolářová</w:t>
      </w:r>
      <w:proofErr w:type="spellEnd"/>
      <w:r w:rsidRPr="00023E55">
        <w:rPr>
          <w:color w:val="000000" w:themeColor="text1"/>
          <w:sz w:val="20"/>
          <w:szCs w:val="20"/>
          <w:lang w:val="en-US"/>
        </w:rPr>
        <w:t xml:space="preserve">, J. </w:t>
      </w:r>
      <w:proofErr w:type="spellStart"/>
      <w:r w:rsidRPr="00023E55">
        <w:rPr>
          <w:color w:val="000000" w:themeColor="text1"/>
          <w:sz w:val="20"/>
          <w:szCs w:val="20"/>
          <w:lang w:val="en-US"/>
        </w:rPr>
        <w:t>Krátký</w:t>
      </w:r>
      <w:proofErr w:type="spellEnd"/>
      <w:r w:rsidRPr="00023E55">
        <w:rPr>
          <w:color w:val="000000" w:themeColor="text1"/>
          <w:sz w:val="20"/>
          <w:szCs w:val="20"/>
          <w:lang w:val="en-US"/>
        </w:rPr>
        <w:t xml:space="preserve">, J. </w:t>
      </w:r>
      <w:proofErr w:type="spellStart"/>
      <w:r w:rsidRPr="00023E55">
        <w:rPr>
          <w:color w:val="000000" w:themeColor="text1"/>
          <w:sz w:val="20"/>
          <w:szCs w:val="20"/>
          <w:lang w:val="en-US"/>
        </w:rPr>
        <w:t>Havlica</w:t>
      </w:r>
      <w:proofErr w:type="spellEnd"/>
      <w:r w:rsidRPr="00023E55">
        <w:rPr>
          <w:color w:val="000000" w:themeColor="text1"/>
          <w:sz w:val="20"/>
          <w:szCs w:val="20"/>
          <w:lang w:val="en-US"/>
        </w:rPr>
        <w:t xml:space="preserve">, and J. </w:t>
      </w:r>
      <w:proofErr w:type="spellStart"/>
      <w:r w:rsidRPr="00023E55">
        <w:rPr>
          <w:color w:val="000000" w:themeColor="text1"/>
          <w:sz w:val="20"/>
          <w:szCs w:val="20"/>
          <w:lang w:val="en-US"/>
        </w:rPr>
        <w:t>Brandštetr</w:t>
      </w:r>
      <w:proofErr w:type="spellEnd"/>
      <w:r w:rsidRPr="00023E55">
        <w:rPr>
          <w:color w:val="000000" w:themeColor="text1"/>
          <w:sz w:val="20"/>
          <w:szCs w:val="20"/>
          <w:lang w:val="en-US"/>
        </w:rPr>
        <w:t xml:space="preserve">, </w:t>
      </w:r>
      <w:r w:rsidRPr="00023E55">
        <w:rPr>
          <w:rStyle w:val="a8"/>
          <w:color w:val="000000" w:themeColor="text1"/>
          <w:sz w:val="20"/>
          <w:szCs w:val="20"/>
          <w:lang w:val="en-US"/>
        </w:rPr>
        <w:t>Chem. Pap.</w:t>
      </w:r>
      <w:r w:rsidRPr="00023E55">
        <w:rPr>
          <w:color w:val="000000" w:themeColor="text1"/>
          <w:sz w:val="20"/>
          <w:szCs w:val="20"/>
          <w:lang w:val="en-US"/>
        </w:rPr>
        <w:t xml:space="preserve"> </w:t>
      </w:r>
      <w:r w:rsidRPr="00023E55">
        <w:rPr>
          <w:rStyle w:val="a9"/>
          <w:color w:val="000000" w:themeColor="text1"/>
          <w:sz w:val="20"/>
          <w:szCs w:val="20"/>
          <w:lang w:val="en-US"/>
        </w:rPr>
        <w:t>68</w:t>
      </w:r>
      <w:r w:rsidRPr="00023E55">
        <w:rPr>
          <w:color w:val="000000" w:themeColor="text1"/>
          <w:sz w:val="20"/>
          <w:szCs w:val="20"/>
          <w:lang w:val="en-US"/>
        </w:rPr>
        <w:t xml:space="preserve">, 90–97 (2014). </w:t>
      </w:r>
      <w:hyperlink r:id="rId19" w:tgtFrame="_new" w:history="1">
        <w:r w:rsidRPr="00023E55">
          <w:rPr>
            <w:rStyle w:val="a4"/>
            <w:color w:val="000000" w:themeColor="text1"/>
            <w:sz w:val="20"/>
            <w:szCs w:val="20"/>
            <w:u w:val="none"/>
          </w:rPr>
          <w:t>https://doi.org/10.2478/s11696-013-0413-x</w:t>
        </w:r>
      </w:hyperlink>
    </w:p>
    <w:p w14:paraId="4AE9E6C1" w14:textId="77777777" w:rsidR="00023E55" w:rsidRPr="00023E55" w:rsidRDefault="00023E55" w:rsidP="00023E55">
      <w:pPr>
        <w:pStyle w:val="a5"/>
        <w:numPr>
          <w:ilvl w:val="0"/>
          <w:numId w:val="2"/>
        </w:numPr>
        <w:spacing w:before="0" w:beforeAutospacing="0" w:after="0" w:afterAutospacing="0"/>
        <w:ind w:left="425" w:hanging="425"/>
        <w:jc w:val="both"/>
        <w:rPr>
          <w:color w:val="000000" w:themeColor="text1"/>
          <w:sz w:val="20"/>
          <w:szCs w:val="20"/>
        </w:rPr>
      </w:pPr>
      <w:r w:rsidRPr="00023E55">
        <w:rPr>
          <w:color w:val="000000" w:themeColor="text1"/>
          <w:sz w:val="20"/>
          <w:szCs w:val="20"/>
          <w:lang w:val="en-US"/>
        </w:rPr>
        <w:t xml:space="preserve">J. C. Taylor, I. </w:t>
      </w:r>
      <w:proofErr w:type="spellStart"/>
      <w:r w:rsidRPr="00023E55">
        <w:rPr>
          <w:color w:val="000000" w:themeColor="text1"/>
          <w:sz w:val="20"/>
          <w:szCs w:val="20"/>
          <w:lang w:val="en-US"/>
        </w:rPr>
        <w:t>Hinczak</w:t>
      </w:r>
      <w:proofErr w:type="spellEnd"/>
      <w:r w:rsidRPr="00023E55">
        <w:rPr>
          <w:color w:val="000000" w:themeColor="text1"/>
          <w:sz w:val="20"/>
          <w:szCs w:val="20"/>
          <w:lang w:val="en-US"/>
        </w:rPr>
        <w:t xml:space="preserve">, and C. E. Matulis, </w:t>
      </w:r>
      <w:r w:rsidRPr="00023E55">
        <w:rPr>
          <w:rStyle w:val="a8"/>
          <w:color w:val="000000" w:themeColor="text1"/>
          <w:sz w:val="20"/>
          <w:szCs w:val="20"/>
          <w:lang w:val="en-US"/>
        </w:rPr>
        <w:t xml:space="preserve">Powder </w:t>
      </w:r>
      <w:proofErr w:type="spellStart"/>
      <w:r w:rsidRPr="00023E55">
        <w:rPr>
          <w:rStyle w:val="a8"/>
          <w:color w:val="000000" w:themeColor="text1"/>
          <w:sz w:val="20"/>
          <w:szCs w:val="20"/>
          <w:lang w:val="en-US"/>
        </w:rPr>
        <w:t>Diffr</w:t>
      </w:r>
      <w:proofErr w:type="spellEnd"/>
      <w:r w:rsidRPr="00023E55">
        <w:rPr>
          <w:rStyle w:val="a8"/>
          <w:color w:val="000000" w:themeColor="text1"/>
          <w:sz w:val="20"/>
          <w:szCs w:val="20"/>
          <w:lang w:val="en-US"/>
        </w:rPr>
        <w:t>.</w:t>
      </w:r>
      <w:r w:rsidRPr="00023E55">
        <w:rPr>
          <w:color w:val="000000" w:themeColor="text1"/>
          <w:sz w:val="20"/>
          <w:szCs w:val="20"/>
          <w:lang w:val="en-US"/>
        </w:rPr>
        <w:t xml:space="preserve"> </w:t>
      </w:r>
      <w:r w:rsidRPr="00023E55">
        <w:rPr>
          <w:rStyle w:val="a9"/>
          <w:color w:val="000000" w:themeColor="text1"/>
          <w:sz w:val="20"/>
          <w:szCs w:val="20"/>
        </w:rPr>
        <w:t>15</w:t>
      </w:r>
      <w:r w:rsidRPr="00023E55">
        <w:rPr>
          <w:color w:val="000000" w:themeColor="text1"/>
          <w:sz w:val="20"/>
          <w:szCs w:val="20"/>
        </w:rPr>
        <w:t xml:space="preserve">, 7–18 (2000). </w:t>
      </w:r>
      <w:hyperlink r:id="rId20" w:tgtFrame="_new" w:history="1">
        <w:r w:rsidRPr="00023E55">
          <w:rPr>
            <w:rStyle w:val="a4"/>
            <w:color w:val="000000" w:themeColor="text1"/>
            <w:sz w:val="20"/>
            <w:szCs w:val="20"/>
            <w:u w:val="none"/>
          </w:rPr>
          <w:t>https://doi.org/10.1017/S0885715600010769</w:t>
        </w:r>
      </w:hyperlink>
    </w:p>
    <w:p w14:paraId="0A4667E3" w14:textId="77777777" w:rsidR="00023E55" w:rsidRPr="00023E55" w:rsidRDefault="00023E55" w:rsidP="00023E55">
      <w:pPr>
        <w:pStyle w:val="a5"/>
        <w:numPr>
          <w:ilvl w:val="0"/>
          <w:numId w:val="2"/>
        </w:numPr>
        <w:spacing w:before="0" w:beforeAutospacing="0" w:after="0" w:afterAutospacing="0"/>
        <w:ind w:left="425" w:hanging="425"/>
        <w:jc w:val="both"/>
        <w:rPr>
          <w:color w:val="000000" w:themeColor="text1"/>
          <w:sz w:val="20"/>
          <w:szCs w:val="20"/>
          <w:lang w:val="en-US"/>
        </w:rPr>
      </w:pPr>
      <w:r w:rsidRPr="00023E55">
        <w:rPr>
          <w:color w:val="000000" w:themeColor="text1"/>
          <w:sz w:val="20"/>
          <w:szCs w:val="20"/>
          <w:lang w:val="en-US"/>
        </w:rPr>
        <w:t xml:space="preserve">DIN EN 196-11:2019, </w:t>
      </w:r>
      <w:r w:rsidRPr="00023E55">
        <w:rPr>
          <w:rStyle w:val="a8"/>
          <w:color w:val="000000" w:themeColor="text1"/>
          <w:sz w:val="20"/>
          <w:szCs w:val="20"/>
          <w:lang w:val="en-US"/>
        </w:rPr>
        <w:t>Methods of testing cement – Part 11: Heat of hydration – Isothermal Conduction Calorimetry method</w:t>
      </w:r>
      <w:r w:rsidRPr="00023E55">
        <w:rPr>
          <w:color w:val="000000" w:themeColor="text1"/>
          <w:sz w:val="20"/>
          <w:szCs w:val="20"/>
          <w:lang w:val="en-US"/>
        </w:rPr>
        <w:t xml:space="preserve"> (</w:t>
      </w:r>
      <w:proofErr w:type="spellStart"/>
      <w:r w:rsidRPr="00023E55">
        <w:rPr>
          <w:color w:val="000000" w:themeColor="text1"/>
          <w:sz w:val="20"/>
          <w:szCs w:val="20"/>
          <w:lang w:val="en-US"/>
        </w:rPr>
        <w:t>Beuth</w:t>
      </w:r>
      <w:proofErr w:type="spellEnd"/>
      <w:r w:rsidRPr="00023E55">
        <w:rPr>
          <w:color w:val="000000" w:themeColor="text1"/>
          <w:sz w:val="20"/>
          <w:szCs w:val="20"/>
          <w:lang w:val="en-US"/>
        </w:rPr>
        <w:t xml:space="preserve"> Verlag GmbH, Berlin, 2019).</w:t>
      </w:r>
    </w:p>
    <w:p w14:paraId="4A0C26E9" w14:textId="77777777" w:rsidR="00023E55" w:rsidRPr="00023E55" w:rsidRDefault="00023E55" w:rsidP="00023E55">
      <w:pPr>
        <w:pStyle w:val="a5"/>
        <w:numPr>
          <w:ilvl w:val="0"/>
          <w:numId w:val="2"/>
        </w:numPr>
        <w:spacing w:before="0" w:beforeAutospacing="0" w:after="0" w:afterAutospacing="0"/>
        <w:ind w:left="425" w:hanging="425"/>
        <w:jc w:val="both"/>
        <w:rPr>
          <w:color w:val="000000" w:themeColor="text1"/>
          <w:sz w:val="20"/>
          <w:szCs w:val="20"/>
          <w:lang w:val="en-US"/>
        </w:rPr>
      </w:pPr>
      <w:r w:rsidRPr="00023E55">
        <w:rPr>
          <w:color w:val="000000" w:themeColor="text1"/>
          <w:sz w:val="20"/>
          <w:szCs w:val="20"/>
          <w:lang w:val="en-US"/>
        </w:rPr>
        <w:t xml:space="preserve">P. </w:t>
      </w:r>
      <w:proofErr w:type="spellStart"/>
      <w:r w:rsidRPr="00023E55">
        <w:rPr>
          <w:color w:val="000000" w:themeColor="text1"/>
          <w:sz w:val="20"/>
          <w:szCs w:val="20"/>
          <w:lang w:val="en-US"/>
        </w:rPr>
        <w:t>Šiler</w:t>
      </w:r>
      <w:proofErr w:type="spellEnd"/>
      <w:r w:rsidRPr="00023E55">
        <w:rPr>
          <w:color w:val="000000" w:themeColor="text1"/>
          <w:sz w:val="20"/>
          <w:szCs w:val="20"/>
          <w:lang w:val="en-US"/>
        </w:rPr>
        <w:t xml:space="preserve">, J. </w:t>
      </w:r>
      <w:proofErr w:type="spellStart"/>
      <w:r w:rsidRPr="00023E55">
        <w:rPr>
          <w:color w:val="000000" w:themeColor="text1"/>
          <w:sz w:val="20"/>
          <w:szCs w:val="20"/>
          <w:lang w:val="en-US"/>
        </w:rPr>
        <w:t>Krátký</w:t>
      </w:r>
      <w:proofErr w:type="spellEnd"/>
      <w:r w:rsidRPr="00023E55">
        <w:rPr>
          <w:color w:val="000000" w:themeColor="text1"/>
          <w:sz w:val="20"/>
          <w:szCs w:val="20"/>
          <w:lang w:val="en-US"/>
        </w:rPr>
        <w:t xml:space="preserve">, and N. De Belie, </w:t>
      </w:r>
      <w:r w:rsidRPr="00023E55">
        <w:rPr>
          <w:rStyle w:val="a8"/>
          <w:color w:val="000000" w:themeColor="text1"/>
          <w:sz w:val="20"/>
          <w:szCs w:val="20"/>
          <w:lang w:val="en-US"/>
        </w:rPr>
        <w:t xml:space="preserve">J. Therm. Anal. </w:t>
      </w:r>
      <w:proofErr w:type="spellStart"/>
      <w:r w:rsidRPr="00023E55">
        <w:rPr>
          <w:rStyle w:val="a8"/>
          <w:color w:val="000000" w:themeColor="text1"/>
          <w:sz w:val="20"/>
          <w:szCs w:val="20"/>
          <w:lang w:val="en-US"/>
        </w:rPr>
        <w:t>Calorim</w:t>
      </w:r>
      <w:proofErr w:type="spellEnd"/>
      <w:r w:rsidRPr="00023E55">
        <w:rPr>
          <w:rStyle w:val="a8"/>
          <w:color w:val="000000" w:themeColor="text1"/>
          <w:sz w:val="20"/>
          <w:szCs w:val="20"/>
          <w:lang w:val="en-US"/>
        </w:rPr>
        <w:t>.</w:t>
      </w:r>
      <w:r w:rsidRPr="00023E55">
        <w:rPr>
          <w:color w:val="000000" w:themeColor="text1"/>
          <w:sz w:val="20"/>
          <w:szCs w:val="20"/>
          <w:lang w:val="en-US"/>
        </w:rPr>
        <w:t xml:space="preserve"> </w:t>
      </w:r>
      <w:r w:rsidRPr="00023E55">
        <w:rPr>
          <w:rStyle w:val="a9"/>
          <w:color w:val="000000" w:themeColor="text1"/>
          <w:sz w:val="20"/>
          <w:szCs w:val="20"/>
          <w:lang w:val="en-US"/>
        </w:rPr>
        <w:t>107</w:t>
      </w:r>
      <w:r w:rsidRPr="00023E55">
        <w:rPr>
          <w:color w:val="000000" w:themeColor="text1"/>
          <w:sz w:val="20"/>
          <w:szCs w:val="20"/>
          <w:lang w:val="en-US"/>
        </w:rPr>
        <w:t xml:space="preserve">, 313–320 (2012). </w:t>
      </w:r>
      <w:hyperlink r:id="rId21" w:tgtFrame="_new" w:history="1">
        <w:r w:rsidRPr="00023E55">
          <w:rPr>
            <w:rStyle w:val="a4"/>
            <w:color w:val="000000" w:themeColor="text1"/>
            <w:sz w:val="20"/>
            <w:szCs w:val="20"/>
            <w:u w:val="none"/>
            <w:lang w:val="en-US"/>
          </w:rPr>
          <w:t>https://doi.org/10.1007/s10973-011-1479-8</w:t>
        </w:r>
      </w:hyperlink>
    </w:p>
    <w:p w14:paraId="4F3DA25E" w14:textId="77777777" w:rsidR="00023E55" w:rsidRPr="00023E55" w:rsidRDefault="00023E55" w:rsidP="00023E55">
      <w:pPr>
        <w:pStyle w:val="a5"/>
        <w:numPr>
          <w:ilvl w:val="0"/>
          <w:numId w:val="2"/>
        </w:numPr>
        <w:spacing w:before="0" w:beforeAutospacing="0" w:after="0" w:afterAutospacing="0"/>
        <w:ind w:left="425" w:hanging="425"/>
        <w:jc w:val="both"/>
        <w:rPr>
          <w:color w:val="000000" w:themeColor="text1"/>
          <w:sz w:val="20"/>
          <w:szCs w:val="20"/>
        </w:rPr>
      </w:pPr>
      <w:r w:rsidRPr="00023E55">
        <w:rPr>
          <w:color w:val="000000" w:themeColor="text1"/>
          <w:sz w:val="20"/>
          <w:szCs w:val="20"/>
          <w:lang w:val="en-US"/>
        </w:rPr>
        <w:t xml:space="preserve">J. Chen, Y. Zhu, W. Du, M. Li, Y. Wang, C. Zhang, M. Shi, and B. </w:t>
      </w:r>
      <w:proofErr w:type="spellStart"/>
      <w:r w:rsidRPr="00023E55">
        <w:rPr>
          <w:color w:val="000000" w:themeColor="text1"/>
          <w:sz w:val="20"/>
          <w:szCs w:val="20"/>
          <w:lang w:val="en-US"/>
        </w:rPr>
        <w:t>Xue</w:t>
      </w:r>
      <w:proofErr w:type="spellEnd"/>
      <w:r w:rsidRPr="00023E55">
        <w:rPr>
          <w:color w:val="000000" w:themeColor="text1"/>
          <w:sz w:val="20"/>
          <w:szCs w:val="20"/>
          <w:lang w:val="en-US"/>
        </w:rPr>
        <w:t xml:space="preserve">, </w:t>
      </w:r>
      <w:r w:rsidRPr="00023E55">
        <w:rPr>
          <w:rStyle w:val="a8"/>
          <w:color w:val="000000" w:themeColor="text1"/>
          <w:sz w:val="20"/>
          <w:szCs w:val="20"/>
          <w:lang w:val="en-US"/>
        </w:rPr>
        <w:t>Sustainability</w:t>
      </w:r>
      <w:r w:rsidRPr="00023E55">
        <w:rPr>
          <w:color w:val="000000" w:themeColor="text1"/>
          <w:sz w:val="20"/>
          <w:szCs w:val="20"/>
          <w:lang w:val="en-US"/>
        </w:rPr>
        <w:t xml:space="preserve"> </w:t>
      </w:r>
      <w:r w:rsidRPr="00023E55">
        <w:rPr>
          <w:rStyle w:val="a9"/>
          <w:color w:val="000000" w:themeColor="text1"/>
          <w:sz w:val="20"/>
          <w:szCs w:val="20"/>
          <w:lang w:val="en-US"/>
        </w:rPr>
        <w:t>14</w:t>
      </w:r>
      <w:r w:rsidRPr="00023E55">
        <w:rPr>
          <w:color w:val="000000" w:themeColor="text1"/>
          <w:sz w:val="20"/>
          <w:szCs w:val="20"/>
          <w:lang w:val="en-US"/>
        </w:rPr>
        <w:t xml:space="preserve">, 13440 (2022). </w:t>
      </w:r>
      <w:hyperlink r:id="rId22" w:tgtFrame="_new" w:history="1">
        <w:r w:rsidRPr="00023E55">
          <w:rPr>
            <w:rStyle w:val="a4"/>
            <w:color w:val="000000" w:themeColor="text1"/>
            <w:sz w:val="20"/>
            <w:szCs w:val="20"/>
            <w:u w:val="none"/>
          </w:rPr>
          <w:t>https://doi.org/10.3390/su142013440</w:t>
        </w:r>
      </w:hyperlink>
    </w:p>
    <w:p w14:paraId="0A8AD54E" w14:textId="77777777" w:rsidR="00023E55" w:rsidRPr="00023E55" w:rsidRDefault="00023E55" w:rsidP="00023E55">
      <w:pPr>
        <w:pStyle w:val="a5"/>
        <w:numPr>
          <w:ilvl w:val="0"/>
          <w:numId w:val="2"/>
        </w:numPr>
        <w:spacing w:before="0" w:beforeAutospacing="0" w:after="0" w:afterAutospacing="0"/>
        <w:ind w:left="425" w:hanging="425"/>
        <w:jc w:val="both"/>
        <w:rPr>
          <w:color w:val="000000" w:themeColor="text1"/>
          <w:sz w:val="20"/>
          <w:szCs w:val="20"/>
          <w:lang w:val="en-US"/>
        </w:rPr>
      </w:pPr>
      <w:r w:rsidRPr="00023E55">
        <w:rPr>
          <w:color w:val="000000" w:themeColor="text1"/>
          <w:sz w:val="20"/>
          <w:szCs w:val="20"/>
          <w:lang w:val="en-US"/>
        </w:rPr>
        <w:t xml:space="preserve">M. Schmid, C. Pichler, and R. Lackner, </w:t>
      </w:r>
      <w:r w:rsidRPr="00023E55">
        <w:rPr>
          <w:rStyle w:val="a8"/>
          <w:color w:val="000000" w:themeColor="text1"/>
          <w:sz w:val="20"/>
          <w:szCs w:val="20"/>
          <w:lang w:val="en-US"/>
        </w:rPr>
        <w:t>Mater. Struct.</w:t>
      </w:r>
      <w:r w:rsidRPr="00023E55">
        <w:rPr>
          <w:color w:val="000000" w:themeColor="text1"/>
          <w:sz w:val="20"/>
          <w:szCs w:val="20"/>
          <w:lang w:val="en-US"/>
        </w:rPr>
        <w:t xml:space="preserve"> </w:t>
      </w:r>
      <w:r w:rsidRPr="00023E55">
        <w:rPr>
          <w:rStyle w:val="a9"/>
          <w:color w:val="000000" w:themeColor="text1"/>
          <w:sz w:val="20"/>
          <w:szCs w:val="20"/>
          <w:lang w:val="en-US"/>
        </w:rPr>
        <w:t>52</w:t>
      </w:r>
      <w:r w:rsidRPr="00023E55">
        <w:rPr>
          <w:color w:val="000000" w:themeColor="text1"/>
          <w:sz w:val="20"/>
          <w:szCs w:val="20"/>
          <w:lang w:val="en-US"/>
        </w:rPr>
        <w:t xml:space="preserve">, 45 (2019). </w:t>
      </w:r>
      <w:hyperlink r:id="rId23" w:tgtFrame="_new" w:history="1">
        <w:r w:rsidRPr="00023E55">
          <w:rPr>
            <w:rStyle w:val="a4"/>
            <w:color w:val="000000" w:themeColor="text1"/>
            <w:sz w:val="20"/>
            <w:szCs w:val="20"/>
            <w:u w:val="none"/>
            <w:lang w:val="en-US"/>
          </w:rPr>
          <w:t>https://doi.org/10.1617/s11527-019-1371-2</w:t>
        </w:r>
      </w:hyperlink>
    </w:p>
    <w:p w14:paraId="0B25CD0F" w14:textId="77777777" w:rsidR="00023E55" w:rsidRPr="00023E55" w:rsidRDefault="00023E55" w:rsidP="00023E55">
      <w:pPr>
        <w:pStyle w:val="a5"/>
        <w:numPr>
          <w:ilvl w:val="0"/>
          <w:numId w:val="2"/>
        </w:numPr>
        <w:spacing w:before="0" w:beforeAutospacing="0" w:after="0" w:afterAutospacing="0"/>
        <w:ind w:left="425" w:hanging="425"/>
        <w:jc w:val="both"/>
        <w:rPr>
          <w:color w:val="000000" w:themeColor="text1"/>
          <w:sz w:val="20"/>
          <w:szCs w:val="20"/>
        </w:rPr>
      </w:pPr>
      <w:r w:rsidRPr="00023E55">
        <w:rPr>
          <w:color w:val="000000" w:themeColor="text1"/>
          <w:sz w:val="20"/>
          <w:szCs w:val="20"/>
          <w:lang w:val="en-US"/>
        </w:rPr>
        <w:t xml:space="preserve">R. Mokoena, T. </w:t>
      </w:r>
      <w:proofErr w:type="spellStart"/>
      <w:r w:rsidRPr="00023E55">
        <w:rPr>
          <w:color w:val="000000" w:themeColor="text1"/>
          <w:sz w:val="20"/>
          <w:szCs w:val="20"/>
          <w:lang w:val="en-US"/>
        </w:rPr>
        <w:t>Motau</w:t>
      </w:r>
      <w:proofErr w:type="spellEnd"/>
      <w:r w:rsidRPr="00023E55">
        <w:rPr>
          <w:color w:val="000000" w:themeColor="text1"/>
          <w:sz w:val="20"/>
          <w:szCs w:val="20"/>
          <w:lang w:val="en-US"/>
        </w:rPr>
        <w:t xml:space="preserve">, and G. </w:t>
      </w:r>
      <w:proofErr w:type="spellStart"/>
      <w:r w:rsidRPr="00023E55">
        <w:rPr>
          <w:color w:val="000000" w:themeColor="text1"/>
          <w:sz w:val="20"/>
          <w:szCs w:val="20"/>
          <w:lang w:val="en-US"/>
        </w:rPr>
        <w:t>Mturi</w:t>
      </w:r>
      <w:proofErr w:type="spellEnd"/>
      <w:r w:rsidRPr="00023E55">
        <w:rPr>
          <w:color w:val="000000" w:themeColor="text1"/>
          <w:sz w:val="20"/>
          <w:szCs w:val="20"/>
          <w:lang w:val="en-US"/>
        </w:rPr>
        <w:t xml:space="preserve">, in </w:t>
      </w:r>
      <w:r w:rsidRPr="00023E55">
        <w:rPr>
          <w:rStyle w:val="a8"/>
          <w:color w:val="000000" w:themeColor="text1"/>
          <w:sz w:val="20"/>
          <w:szCs w:val="20"/>
          <w:lang w:val="en-US"/>
        </w:rPr>
        <w:t xml:space="preserve">Proc. </w:t>
      </w:r>
      <w:proofErr w:type="spellStart"/>
      <w:r w:rsidRPr="00023E55">
        <w:rPr>
          <w:rStyle w:val="a8"/>
          <w:color w:val="000000" w:themeColor="text1"/>
          <w:sz w:val="20"/>
          <w:szCs w:val="20"/>
        </w:rPr>
        <w:t>Conf</w:t>
      </w:r>
      <w:proofErr w:type="spellEnd"/>
      <w:r w:rsidRPr="00023E55">
        <w:rPr>
          <w:rStyle w:val="a8"/>
          <w:color w:val="000000" w:themeColor="text1"/>
          <w:sz w:val="20"/>
          <w:szCs w:val="20"/>
        </w:rPr>
        <w:t>.</w:t>
      </w:r>
      <w:r w:rsidRPr="00023E55">
        <w:rPr>
          <w:color w:val="000000" w:themeColor="text1"/>
          <w:sz w:val="20"/>
          <w:szCs w:val="20"/>
        </w:rPr>
        <w:t xml:space="preserve">, </w:t>
      </w:r>
      <w:proofErr w:type="spellStart"/>
      <w:r w:rsidRPr="00023E55">
        <w:rPr>
          <w:color w:val="000000" w:themeColor="text1"/>
          <w:sz w:val="20"/>
          <w:szCs w:val="20"/>
        </w:rPr>
        <w:t>pp</w:t>
      </w:r>
      <w:proofErr w:type="spellEnd"/>
      <w:r w:rsidRPr="00023E55">
        <w:rPr>
          <w:color w:val="000000" w:themeColor="text1"/>
          <w:sz w:val="20"/>
          <w:szCs w:val="20"/>
        </w:rPr>
        <w:t>. 8–14 (2021).</w:t>
      </w:r>
    </w:p>
    <w:p w14:paraId="44386302" w14:textId="77777777" w:rsidR="00023E55" w:rsidRPr="00023E55" w:rsidRDefault="00023E55" w:rsidP="00023E55">
      <w:pPr>
        <w:pStyle w:val="a5"/>
        <w:numPr>
          <w:ilvl w:val="0"/>
          <w:numId w:val="2"/>
        </w:numPr>
        <w:spacing w:before="0" w:beforeAutospacing="0" w:after="0" w:afterAutospacing="0"/>
        <w:ind w:left="425" w:hanging="425"/>
        <w:jc w:val="both"/>
        <w:rPr>
          <w:color w:val="000000" w:themeColor="text1"/>
          <w:sz w:val="20"/>
          <w:szCs w:val="20"/>
          <w:lang w:val="en-US"/>
        </w:rPr>
      </w:pPr>
      <w:r w:rsidRPr="00023E55">
        <w:rPr>
          <w:color w:val="000000" w:themeColor="text1"/>
          <w:sz w:val="20"/>
          <w:szCs w:val="20"/>
          <w:lang w:val="en-US"/>
        </w:rPr>
        <w:t xml:space="preserve">X. Li, H. </w:t>
      </w:r>
      <w:proofErr w:type="spellStart"/>
      <w:r w:rsidRPr="00023E55">
        <w:rPr>
          <w:color w:val="000000" w:themeColor="text1"/>
          <w:sz w:val="20"/>
          <w:szCs w:val="20"/>
          <w:lang w:val="en-US"/>
        </w:rPr>
        <w:t>Grassl</w:t>
      </w:r>
      <w:proofErr w:type="spellEnd"/>
      <w:r w:rsidRPr="00023E55">
        <w:rPr>
          <w:color w:val="000000" w:themeColor="text1"/>
          <w:sz w:val="20"/>
          <w:szCs w:val="20"/>
          <w:lang w:val="en-US"/>
        </w:rPr>
        <w:t xml:space="preserve">, C. Hesse, et al., </w:t>
      </w:r>
      <w:proofErr w:type="spellStart"/>
      <w:r w:rsidRPr="00023E55">
        <w:rPr>
          <w:rStyle w:val="a8"/>
          <w:color w:val="000000" w:themeColor="text1"/>
          <w:sz w:val="20"/>
          <w:szCs w:val="20"/>
          <w:lang w:val="en-US"/>
        </w:rPr>
        <w:t>Commun</w:t>
      </w:r>
      <w:proofErr w:type="spellEnd"/>
      <w:r w:rsidRPr="00023E55">
        <w:rPr>
          <w:rStyle w:val="a8"/>
          <w:color w:val="000000" w:themeColor="text1"/>
          <w:sz w:val="20"/>
          <w:szCs w:val="20"/>
          <w:lang w:val="en-US"/>
        </w:rPr>
        <w:t>. Mater.</w:t>
      </w:r>
      <w:r w:rsidRPr="00023E55">
        <w:rPr>
          <w:color w:val="000000" w:themeColor="text1"/>
          <w:sz w:val="20"/>
          <w:szCs w:val="20"/>
          <w:lang w:val="en-US"/>
        </w:rPr>
        <w:t xml:space="preserve"> </w:t>
      </w:r>
      <w:r w:rsidRPr="00023E55">
        <w:rPr>
          <w:rStyle w:val="a9"/>
          <w:color w:val="000000" w:themeColor="text1"/>
          <w:sz w:val="20"/>
          <w:szCs w:val="20"/>
          <w:lang w:val="en-US"/>
        </w:rPr>
        <w:t>5</w:t>
      </w:r>
      <w:r w:rsidRPr="00023E55">
        <w:rPr>
          <w:color w:val="000000" w:themeColor="text1"/>
          <w:sz w:val="20"/>
          <w:szCs w:val="20"/>
          <w:lang w:val="en-US"/>
        </w:rPr>
        <w:t xml:space="preserve">, 1 (2024). </w:t>
      </w:r>
      <w:hyperlink r:id="rId24" w:tgtFrame="_new" w:history="1">
        <w:r w:rsidRPr="00023E55">
          <w:rPr>
            <w:rStyle w:val="a4"/>
            <w:color w:val="000000" w:themeColor="text1"/>
            <w:sz w:val="20"/>
            <w:szCs w:val="20"/>
            <w:u w:val="none"/>
            <w:lang w:val="en-US"/>
          </w:rPr>
          <w:t>https://doi.org/10.1038/s43246-023-00441-9</w:t>
        </w:r>
      </w:hyperlink>
    </w:p>
    <w:p w14:paraId="423B2429" w14:textId="77777777" w:rsidR="00023E55" w:rsidRPr="00023E55" w:rsidRDefault="00023E55" w:rsidP="00023E55">
      <w:pPr>
        <w:pStyle w:val="a5"/>
        <w:numPr>
          <w:ilvl w:val="0"/>
          <w:numId w:val="2"/>
        </w:numPr>
        <w:spacing w:before="0" w:beforeAutospacing="0" w:after="0" w:afterAutospacing="0"/>
        <w:ind w:left="425" w:hanging="425"/>
        <w:jc w:val="both"/>
        <w:rPr>
          <w:color w:val="000000" w:themeColor="text1"/>
          <w:sz w:val="20"/>
          <w:szCs w:val="20"/>
          <w:lang w:val="en-US"/>
        </w:rPr>
      </w:pPr>
      <w:proofErr w:type="spellStart"/>
      <w:r w:rsidRPr="00023E55">
        <w:rPr>
          <w:color w:val="000000" w:themeColor="text1"/>
          <w:sz w:val="20"/>
          <w:szCs w:val="20"/>
          <w:lang w:val="en-US"/>
        </w:rPr>
        <w:t>Kh</w:t>
      </w:r>
      <w:proofErr w:type="spellEnd"/>
      <w:r w:rsidRPr="00023E55">
        <w:rPr>
          <w:color w:val="000000" w:themeColor="text1"/>
          <w:sz w:val="20"/>
          <w:szCs w:val="20"/>
          <w:lang w:val="en-US"/>
        </w:rPr>
        <w:t xml:space="preserve">. </w:t>
      </w:r>
      <w:proofErr w:type="spellStart"/>
      <w:r w:rsidRPr="00023E55">
        <w:rPr>
          <w:color w:val="000000" w:themeColor="text1"/>
          <w:sz w:val="20"/>
          <w:szCs w:val="20"/>
          <w:lang w:val="en-US"/>
        </w:rPr>
        <w:t>Kamilov</w:t>
      </w:r>
      <w:proofErr w:type="spellEnd"/>
      <w:r w:rsidRPr="00023E55">
        <w:rPr>
          <w:color w:val="000000" w:themeColor="text1"/>
          <w:sz w:val="20"/>
          <w:szCs w:val="20"/>
          <w:lang w:val="en-US"/>
        </w:rPr>
        <w:t xml:space="preserve">, A. </w:t>
      </w:r>
      <w:proofErr w:type="spellStart"/>
      <w:r w:rsidRPr="00023E55">
        <w:rPr>
          <w:color w:val="000000" w:themeColor="text1"/>
          <w:sz w:val="20"/>
          <w:szCs w:val="20"/>
          <w:lang w:val="en-US"/>
        </w:rPr>
        <w:t>Zaitov</w:t>
      </w:r>
      <w:proofErr w:type="spellEnd"/>
      <w:r w:rsidRPr="00023E55">
        <w:rPr>
          <w:color w:val="000000" w:themeColor="text1"/>
          <w:sz w:val="20"/>
          <w:szCs w:val="20"/>
          <w:lang w:val="en-US"/>
        </w:rPr>
        <w:t xml:space="preserve">, and A. </w:t>
      </w:r>
      <w:proofErr w:type="spellStart"/>
      <w:r w:rsidRPr="00023E55">
        <w:rPr>
          <w:color w:val="000000" w:themeColor="text1"/>
          <w:sz w:val="20"/>
          <w:szCs w:val="20"/>
          <w:lang w:val="en-US"/>
        </w:rPr>
        <w:t>Tulaganov</w:t>
      </w:r>
      <w:proofErr w:type="spellEnd"/>
      <w:r w:rsidRPr="00023E55">
        <w:rPr>
          <w:color w:val="000000" w:themeColor="text1"/>
          <w:sz w:val="20"/>
          <w:szCs w:val="20"/>
          <w:lang w:val="en-US"/>
        </w:rPr>
        <w:t xml:space="preserve">, </w:t>
      </w:r>
      <w:r w:rsidRPr="00023E55">
        <w:rPr>
          <w:rStyle w:val="a8"/>
          <w:color w:val="000000" w:themeColor="text1"/>
          <w:sz w:val="20"/>
          <w:szCs w:val="20"/>
          <w:lang w:val="en-US"/>
        </w:rPr>
        <w:t>Arch. Mater. Sci. Eng.</w:t>
      </w:r>
      <w:r w:rsidRPr="00023E55">
        <w:rPr>
          <w:color w:val="000000" w:themeColor="text1"/>
          <w:sz w:val="20"/>
          <w:szCs w:val="20"/>
          <w:lang w:val="en-US"/>
        </w:rPr>
        <w:t xml:space="preserve"> </w:t>
      </w:r>
      <w:r w:rsidRPr="00023E55">
        <w:rPr>
          <w:rStyle w:val="a9"/>
          <w:color w:val="000000" w:themeColor="text1"/>
          <w:sz w:val="20"/>
          <w:szCs w:val="20"/>
          <w:lang w:val="en-US"/>
        </w:rPr>
        <w:t>1</w:t>
      </w:r>
      <w:r w:rsidRPr="00023E55">
        <w:rPr>
          <w:color w:val="000000" w:themeColor="text1"/>
          <w:sz w:val="20"/>
          <w:szCs w:val="20"/>
          <w:lang w:val="en-US"/>
        </w:rPr>
        <w:t xml:space="preserve">, 19–22 (2020). </w:t>
      </w:r>
      <w:hyperlink r:id="rId25" w:tgtFrame="_new" w:history="1">
        <w:r w:rsidRPr="00023E55">
          <w:rPr>
            <w:rStyle w:val="a4"/>
            <w:color w:val="000000" w:themeColor="text1"/>
            <w:sz w:val="20"/>
            <w:szCs w:val="20"/>
            <w:u w:val="none"/>
            <w:lang w:val="en-US"/>
          </w:rPr>
          <w:t>https://doi.org/10.5604/01.3001.0014.3865</w:t>
        </w:r>
      </w:hyperlink>
    </w:p>
    <w:p w14:paraId="71E709F7" w14:textId="77777777" w:rsidR="00023E55" w:rsidRPr="00023E55" w:rsidRDefault="00023E55" w:rsidP="00023E55">
      <w:pPr>
        <w:pStyle w:val="a5"/>
        <w:numPr>
          <w:ilvl w:val="0"/>
          <w:numId w:val="2"/>
        </w:numPr>
        <w:spacing w:before="0" w:beforeAutospacing="0" w:after="0" w:afterAutospacing="0"/>
        <w:ind w:left="425" w:hanging="425"/>
        <w:jc w:val="both"/>
        <w:rPr>
          <w:color w:val="000000" w:themeColor="text1"/>
          <w:sz w:val="20"/>
          <w:szCs w:val="20"/>
          <w:lang w:val="en-US"/>
        </w:rPr>
      </w:pPr>
      <w:r w:rsidRPr="00023E55">
        <w:rPr>
          <w:color w:val="000000" w:themeColor="text1"/>
          <w:sz w:val="20"/>
          <w:szCs w:val="20"/>
          <w:lang w:val="en-US"/>
        </w:rPr>
        <w:t xml:space="preserve">L. </w:t>
      </w:r>
      <w:proofErr w:type="spellStart"/>
      <w:r w:rsidRPr="00023E55">
        <w:rPr>
          <w:color w:val="000000" w:themeColor="text1"/>
          <w:sz w:val="20"/>
          <w:szCs w:val="20"/>
          <w:lang w:val="en-US"/>
        </w:rPr>
        <w:t>Wadsö</w:t>
      </w:r>
      <w:proofErr w:type="spellEnd"/>
      <w:r w:rsidRPr="00023E55">
        <w:rPr>
          <w:color w:val="000000" w:themeColor="text1"/>
          <w:sz w:val="20"/>
          <w:szCs w:val="20"/>
          <w:lang w:val="en-US"/>
        </w:rPr>
        <w:t xml:space="preserve">, </w:t>
      </w:r>
      <w:r w:rsidRPr="00023E55">
        <w:rPr>
          <w:rStyle w:val="a8"/>
          <w:color w:val="000000" w:themeColor="text1"/>
          <w:sz w:val="20"/>
          <w:szCs w:val="20"/>
          <w:lang w:val="en-US"/>
        </w:rPr>
        <w:t>Evaluation of isothermal calorimetry for characterization of very early and early cement reactions: a critical literature review</w:t>
      </w:r>
      <w:r w:rsidRPr="00023E55">
        <w:rPr>
          <w:color w:val="000000" w:themeColor="text1"/>
          <w:sz w:val="20"/>
          <w:szCs w:val="20"/>
          <w:lang w:val="en-US"/>
        </w:rPr>
        <w:t>, Report TVBM Intern 7000, Lund University (1995).</w:t>
      </w:r>
    </w:p>
    <w:p w14:paraId="4776371A" w14:textId="77777777" w:rsidR="00023E55" w:rsidRPr="00023E55" w:rsidRDefault="00023E55" w:rsidP="00023E55">
      <w:pPr>
        <w:pStyle w:val="a5"/>
        <w:numPr>
          <w:ilvl w:val="0"/>
          <w:numId w:val="2"/>
        </w:numPr>
        <w:spacing w:before="0" w:beforeAutospacing="0" w:after="0" w:afterAutospacing="0"/>
        <w:ind w:left="425" w:hanging="425"/>
        <w:jc w:val="both"/>
        <w:rPr>
          <w:color w:val="000000" w:themeColor="text1"/>
          <w:sz w:val="20"/>
          <w:szCs w:val="20"/>
          <w:lang w:val="en-US"/>
        </w:rPr>
      </w:pPr>
      <w:r w:rsidRPr="00023E55">
        <w:rPr>
          <w:color w:val="000000" w:themeColor="text1"/>
          <w:sz w:val="20"/>
          <w:szCs w:val="20"/>
          <w:lang w:val="en-US"/>
        </w:rPr>
        <w:t xml:space="preserve">O. </w:t>
      </w:r>
      <w:proofErr w:type="spellStart"/>
      <w:r w:rsidRPr="00023E55">
        <w:rPr>
          <w:color w:val="000000" w:themeColor="text1"/>
          <w:sz w:val="20"/>
          <w:szCs w:val="20"/>
          <w:lang w:val="en-US"/>
        </w:rPr>
        <w:t>Linderoth</w:t>
      </w:r>
      <w:proofErr w:type="spellEnd"/>
      <w:r w:rsidRPr="00023E55">
        <w:rPr>
          <w:color w:val="000000" w:themeColor="text1"/>
          <w:sz w:val="20"/>
          <w:szCs w:val="20"/>
          <w:lang w:val="en-US"/>
        </w:rPr>
        <w:t xml:space="preserve">, L. </w:t>
      </w:r>
      <w:proofErr w:type="spellStart"/>
      <w:r w:rsidRPr="00023E55">
        <w:rPr>
          <w:color w:val="000000" w:themeColor="text1"/>
          <w:sz w:val="20"/>
          <w:szCs w:val="20"/>
          <w:lang w:val="en-US"/>
        </w:rPr>
        <w:t>Wadsö</w:t>
      </w:r>
      <w:proofErr w:type="spellEnd"/>
      <w:r w:rsidRPr="00023E55">
        <w:rPr>
          <w:color w:val="000000" w:themeColor="text1"/>
          <w:sz w:val="20"/>
          <w:szCs w:val="20"/>
          <w:lang w:val="en-US"/>
        </w:rPr>
        <w:t xml:space="preserve">, and D. Jansen, </w:t>
      </w:r>
      <w:proofErr w:type="spellStart"/>
      <w:r w:rsidRPr="00023E55">
        <w:rPr>
          <w:rStyle w:val="a8"/>
          <w:color w:val="000000" w:themeColor="text1"/>
          <w:sz w:val="20"/>
          <w:szCs w:val="20"/>
          <w:lang w:val="en-US"/>
        </w:rPr>
        <w:t>Cem</w:t>
      </w:r>
      <w:proofErr w:type="spellEnd"/>
      <w:r w:rsidRPr="00023E55">
        <w:rPr>
          <w:rStyle w:val="a8"/>
          <w:color w:val="000000" w:themeColor="text1"/>
          <w:sz w:val="20"/>
          <w:szCs w:val="20"/>
          <w:lang w:val="en-US"/>
        </w:rPr>
        <w:t xml:space="preserve">. </w:t>
      </w:r>
      <w:proofErr w:type="spellStart"/>
      <w:r w:rsidRPr="00023E55">
        <w:rPr>
          <w:rStyle w:val="a8"/>
          <w:color w:val="000000" w:themeColor="text1"/>
          <w:sz w:val="20"/>
          <w:szCs w:val="20"/>
          <w:lang w:val="en-US"/>
        </w:rPr>
        <w:t>Concr</w:t>
      </w:r>
      <w:proofErr w:type="spellEnd"/>
      <w:r w:rsidRPr="00023E55">
        <w:rPr>
          <w:rStyle w:val="a8"/>
          <w:color w:val="000000" w:themeColor="text1"/>
          <w:sz w:val="20"/>
          <w:szCs w:val="20"/>
          <w:lang w:val="en-US"/>
        </w:rPr>
        <w:t>. Res.</w:t>
      </w:r>
      <w:r w:rsidRPr="00023E55">
        <w:rPr>
          <w:color w:val="000000" w:themeColor="text1"/>
          <w:sz w:val="20"/>
          <w:szCs w:val="20"/>
          <w:lang w:val="en-US"/>
        </w:rPr>
        <w:t xml:space="preserve"> </w:t>
      </w:r>
      <w:r w:rsidRPr="00023E55">
        <w:rPr>
          <w:rStyle w:val="a9"/>
          <w:color w:val="000000" w:themeColor="text1"/>
          <w:sz w:val="20"/>
          <w:szCs w:val="20"/>
          <w:lang w:val="en-US"/>
        </w:rPr>
        <w:t>141</w:t>
      </w:r>
      <w:r w:rsidRPr="00023E55">
        <w:rPr>
          <w:color w:val="000000" w:themeColor="text1"/>
          <w:sz w:val="20"/>
          <w:szCs w:val="20"/>
          <w:lang w:val="en-US"/>
        </w:rPr>
        <w:t xml:space="preserve">, 106344 (2021). </w:t>
      </w:r>
      <w:hyperlink r:id="rId26" w:tgtFrame="_new" w:history="1">
        <w:r w:rsidRPr="00023E55">
          <w:rPr>
            <w:rStyle w:val="a4"/>
            <w:color w:val="000000" w:themeColor="text1"/>
            <w:sz w:val="20"/>
            <w:szCs w:val="20"/>
            <w:u w:val="none"/>
            <w:lang w:val="en-US"/>
          </w:rPr>
          <w:t>https://doi.org/10.1016/j.cemconres.2020.106344</w:t>
        </w:r>
      </w:hyperlink>
    </w:p>
    <w:p w14:paraId="1D2CA95A" w14:textId="77777777" w:rsidR="00023E55" w:rsidRPr="00023E55" w:rsidRDefault="00023E55" w:rsidP="00023E55">
      <w:pPr>
        <w:pStyle w:val="a5"/>
        <w:numPr>
          <w:ilvl w:val="0"/>
          <w:numId w:val="2"/>
        </w:numPr>
        <w:spacing w:before="0" w:beforeAutospacing="0" w:after="0" w:afterAutospacing="0"/>
        <w:ind w:left="425" w:hanging="425"/>
        <w:jc w:val="both"/>
        <w:rPr>
          <w:color w:val="000000" w:themeColor="text1"/>
          <w:sz w:val="20"/>
          <w:szCs w:val="20"/>
        </w:rPr>
      </w:pPr>
      <w:r w:rsidRPr="00023E55">
        <w:rPr>
          <w:color w:val="000000" w:themeColor="text1"/>
          <w:sz w:val="20"/>
          <w:szCs w:val="20"/>
          <w:lang w:val="en-US"/>
        </w:rPr>
        <w:t xml:space="preserve">K. </w:t>
      </w:r>
      <w:proofErr w:type="spellStart"/>
      <w:r w:rsidRPr="00023E55">
        <w:rPr>
          <w:color w:val="000000" w:themeColor="text1"/>
          <w:sz w:val="20"/>
          <w:szCs w:val="20"/>
          <w:lang w:val="en-US"/>
        </w:rPr>
        <w:t>Kh</w:t>
      </w:r>
      <w:proofErr w:type="spellEnd"/>
      <w:r w:rsidRPr="00023E55">
        <w:rPr>
          <w:color w:val="000000" w:themeColor="text1"/>
          <w:sz w:val="20"/>
          <w:szCs w:val="20"/>
          <w:lang w:val="en-US"/>
        </w:rPr>
        <w:t xml:space="preserve">. </w:t>
      </w:r>
      <w:proofErr w:type="spellStart"/>
      <w:r w:rsidRPr="00023E55">
        <w:rPr>
          <w:color w:val="000000" w:themeColor="text1"/>
          <w:sz w:val="20"/>
          <w:szCs w:val="20"/>
          <w:lang w:val="en-US"/>
        </w:rPr>
        <w:t>Kamilov</w:t>
      </w:r>
      <w:proofErr w:type="spellEnd"/>
      <w:r w:rsidRPr="00023E55">
        <w:rPr>
          <w:color w:val="000000" w:themeColor="text1"/>
          <w:sz w:val="20"/>
          <w:szCs w:val="20"/>
          <w:lang w:val="en-US"/>
        </w:rPr>
        <w:t xml:space="preserve">, T. T. </w:t>
      </w:r>
      <w:proofErr w:type="spellStart"/>
      <w:r w:rsidRPr="00023E55">
        <w:rPr>
          <w:color w:val="000000" w:themeColor="text1"/>
          <w:sz w:val="20"/>
          <w:szCs w:val="20"/>
          <w:lang w:val="en-US"/>
        </w:rPr>
        <w:t>Shakirov</w:t>
      </w:r>
      <w:proofErr w:type="spellEnd"/>
      <w:r w:rsidRPr="00023E55">
        <w:rPr>
          <w:color w:val="000000" w:themeColor="text1"/>
          <w:sz w:val="20"/>
          <w:szCs w:val="20"/>
          <w:lang w:val="en-US"/>
        </w:rPr>
        <w:t xml:space="preserve">, N. A. </w:t>
      </w:r>
      <w:proofErr w:type="spellStart"/>
      <w:r w:rsidRPr="00023E55">
        <w:rPr>
          <w:color w:val="000000" w:themeColor="text1"/>
          <w:sz w:val="20"/>
          <w:szCs w:val="20"/>
          <w:lang w:val="en-US"/>
        </w:rPr>
        <w:t>Muminova</w:t>
      </w:r>
      <w:proofErr w:type="spellEnd"/>
      <w:r w:rsidRPr="00023E55">
        <w:rPr>
          <w:color w:val="000000" w:themeColor="text1"/>
          <w:sz w:val="20"/>
          <w:szCs w:val="20"/>
          <w:lang w:val="en-US"/>
        </w:rPr>
        <w:t xml:space="preserve">, and D. R. </w:t>
      </w:r>
      <w:proofErr w:type="spellStart"/>
      <w:r w:rsidRPr="00023E55">
        <w:rPr>
          <w:color w:val="000000" w:themeColor="text1"/>
          <w:sz w:val="20"/>
          <w:szCs w:val="20"/>
          <w:lang w:val="en-US"/>
        </w:rPr>
        <w:t>Abdazov</w:t>
      </w:r>
      <w:proofErr w:type="spellEnd"/>
      <w:r w:rsidRPr="00023E55">
        <w:rPr>
          <w:color w:val="000000" w:themeColor="text1"/>
          <w:sz w:val="20"/>
          <w:szCs w:val="20"/>
          <w:lang w:val="en-US"/>
        </w:rPr>
        <w:t xml:space="preserve">, </w:t>
      </w:r>
      <w:proofErr w:type="spellStart"/>
      <w:r w:rsidRPr="00023E55">
        <w:rPr>
          <w:rStyle w:val="a8"/>
          <w:color w:val="000000" w:themeColor="text1"/>
          <w:sz w:val="20"/>
          <w:szCs w:val="20"/>
          <w:lang w:val="en-US"/>
        </w:rPr>
        <w:t>Izv</w:t>
      </w:r>
      <w:proofErr w:type="spellEnd"/>
      <w:r w:rsidRPr="00023E55">
        <w:rPr>
          <w:rStyle w:val="a8"/>
          <w:color w:val="000000" w:themeColor="text1"/>
          <w:sz w:val="20"/>
          <w:szCs w:val="20"/>
          <w:lang w:val="en-US"/>
        </w:rPr>
        <w:t xml:space="preserve">. </w:t>
      </w:r>
      <w:r w:rsidRPr="00023E55">
        <w:rPr>
          <w:rStyle w:val="a8"/>
          <w:color w:val="000000" w:themeColor="text1"/>
          <w:sz w:val="20"/>
          <w:szCs w:val="20"/>
        </w:rPr>
        <w:t>TPU</w:t>
      </w:r>
      <w:r w:rsidRPr="00023E55">
        <w:rPr>
          <w:color w:val="000000" w:themeColor="text1"/>
          <w:sz w:val="20"/>
          <w:szCs w:val="20"/>
        </w:rPr>
        <w:t xml:space="preserve"> </w:t>
      </w:r>
      <w:r w:rsidRPr="00023E55">
        <w:rPr>
          <w:rStyle w:val="a9"/>
          <w:color w:val="000000" w:themeColor="text1"/>
          <w:sz w:val="20"/>
          <w:szCs w:val="20"/>
        </w:rPr>
        <w:t>11</w:t>
      </w:r>
      <w:r w:rsidRPr="00023E55">
        <w:rPr>
          <w:color w:val="000000" w:themeColor="text1"/>
          <w:sz w:val="20"/>
          <w:szCs w:val="20"/>
        </w:rPr>
        <w:t xml:space="preserve"> (2024).</w:t>
      </w:r>
    </w:p>
    <w:p w14:paraId="5569B16B" w14:textId="77777777" w:rsidR="00023E55" w:rsidRPr="00023E55" w:rsidRDefault="00023E55" w:rsidP="00023E55">
      <w:pPr>
        <w:pStyle w:val="a5"/>
        <w:numPr>
          <w:ilvl w:val="0"/>
          <w:numId w:val="2"/>
        </w:numPr>
        <w:spacing w:before="0" w:beforeAutospacing="0" w:after="0" w:afterAutospacing="0"/>
        <w:ind w:left="425" w:hanging="425"/>
        <w:jc w:val="both"/>
        <w:rPr>
          <w:color w:val="000000" w:themeColor="text1"/>
          <w:sz w:val="20"/>
          <w:szCs w:val="20"/>
          <w:lang w:val="en-US"/>
        </w:rPr>
      </w:pPr>
      <w:proofErr w:type="spellStart"/>
      <w:r w:rsidRPr="00023E55">
        <w:rPr>
          <w:color w:val="000000" w:themeColor="text1"/>
          <w:sz w:val="20"/>
          <w:szCs w:val="20"/>
          <w:lang w:val="en-US"/>
        </w:rPr>
        <w:t>Kh</w:t>
      </w:r>
      <w:proofErr w:type="spellEnd"/>
      <w:r w:rsidRPr="00023E55">
        <w:rPr>
          <w:color w:val="000000" w:themeColor="text1"/>
          <w:sz w:val="20"/>
          <w:szCs w:val="20"/>
          <w:lang w:val="en-US"/>
        </w:rPr>
        <w:t xml:space="preserve">. </w:t>
      </w:r>
      <w:proofErr w:type="spellStart"/>
      <w:r w:rsidRPr="00023E55">
        <w:rPr>
          <w:color w:val="000000" w:themeColor="text1"/>
          <w:sz w:val="20"/>
          <w:szCs w:val="20"/>
          <w:lang w:val="en-US"/>
        </w:rPr>
        <w:t>Kh</w:t>
      </w:r>
      <w:proofErr w:type="spellEnd"/>
      <w:r w:rsidRPr="00023E55">
        <w:rPr>
          <w:color w:val="000000" w:themeColor="text1"/>
          <w:sz w:val="20"/>
          <w:szCs w:val="20"/>
          <w:lang w:val="en-US"/>
        </w:rPr>
        <w:t xml:space="preserve">. </w:t>
      </w:r>
      <w:proofErr w:type="spellStart"/>
      <w:r w:rsidRPr="00023E55">
        <w:rPr>
          <w:color w:val="000000" w:themeColor="text1"/>
          <w:sz w:val="20"/>
          <w:szCs w:val="20"/>
          <w:lang w:val="en-US"/>
        </w:rPr>
        <w:t>Kamilov</w:t>
      </w:r>
      <w:proofErr w:type="spellEnd"/>
      <w:r w:rsidRPr="00023E55">
        <w:rPr>
          <w:color w:val="000000" w:themeColor="text1"/>
          <w:sz w:val="20"/>
          <w:szCs w:val="20"/>
          <w:lang w:val="en-US"/>
        </w:rPr>
        <w:t xml:space="preserve"> and D. R. </w:t>
      </w:r>
      <w:proofErr w:type="spellStart"/>
      <w:r w:rsidRPr="00023E55">
        <w:rPr>
          <w:color w:val="000000" w:themeColor="text1"/>
          <w:sz w:val="20"/>
          <w:szCs w:val="20"/>
          <w:lang w:val="en-US"/>
        </w:rPr>
        <w:t>Abdazov</w:t>
      </w:r>
      <w:proofErr w:type="spellEnd"/>
      <w:r w:rsidRPr="00023E55">
        <w:rPr>
          <w:color w:val="000000" w:themeColor="text1"/>
          <w:sz w:val="20"/>
          <w:szCs w:val="20"/>
          <w:lang w:val="en-US"/>
        </w:rPr>
        <w:t xml:space="preserve">, </w:t>
      </w:r>
      <w:proofErr w:type="spellStart"/>
      <w:r w:rsidRPr="00023E55">
        <w:rPr>
          <w:rStyle w:val="a8"/>
          <w:color w:val="000000" w:themeColor="text1"/>
          <w:sz w:val="20"/>
          <w:szCs w:val="20"/>
          <w:lang w:val="en-US"/>
        </w:rPr>
        <w:t>Universum</w:t>
      </w:r>
      <w:proofErr w:type="spellEnd"/>
      <w:r w:rsidRPr="00023E55">
        <w:rPr>
          <w:rStyle w:val="a8"/>
          <w:color w:val="000000" w:themeColor="text1"/>
          <w:sz w:val="20"/>
          <w:szCs w:val="20"/>
          <w:lang w:val="en-US"/>
        </w:rPr>
        <w:t xml:space="preserve">: </w:t>
      </w:r>
      <w:proofErr w:type="spellStart"/>
      <w:r w:rsidRPr="00023E55">
        <w:rPr>
          <w:rStyle w:val="a8"/>
          <w:color w:val="000000" w:themeColor="text1"/>
          <w:sz w:val="20"/>
          <w:szCs w:val="20"/>
          <w:lang w:val="en-US"/>
        </w:rPr>
        <w:t>Tekhnicheskie</w:t>
      </w:r>
      <w:proofErr w:type="spellEnd"/>
      <w:r w:rsidRPr="00023E55">
        <w:rPr>
          <w:rStyle w:val="a8"/>
          <w:color w:val="000000" w:themeColor="text1"/>
          <w:sz w:val="20"/>
          <w:szCs w:val="20"/>
          <w:lang w:val="en-US"/>
        </w:rPr>
        <w:t xml:space="preserve"> </w:t>
      </w:r>
      <w:proofErr w:type="spellStart"/>
      <w:r w:rsidRPr="00023E55">
        <w:rPr>
          <w:rStyle w:val="a8"/>
          <w:color w:val="000000" w:themeColor="text1"/>
          <w:sz w:val="20"/>
          <w:szCs w:val="20"/>
          <w:lang w:val="en-US"/>
        </w:rPr>
        <w:t>Nauki</w:t>
      </w:r>
      <w:proofErr w:type="spellEnd"/>
      <w:r w:rsidRPr="00023E55">
        <w:rPr>
          <w:color w:val="000000" w:themeColor="text1"/>
          <w:sz w:val="20"/>
          <w:szCs w:val="20"/>
          <w:lang w:val="en-US"/>
        </w:rPr>
        <w:t xml:space="preserve"> </w:t>
      </w:r>
      <w:r w:rsidRPr="00023E55">
        <w:rPr>
          <w:rStyle w:val="a9"/>
          <w:color w:val="000000" w:themeColor="text1"/>
          <w:sz w:val="20"/>
          <w:szCs w:val="20"/>
          <w:lang w:val="en-US"/>
        </w:rPr>
        <w:t>12</w:t>
      </w:r>
      <w:r w:rsidRPr="00023E55">
        <w:rPr>
          <w:color w:val="000000" w:themeColor="text1"/>
          <w:sz w:val="20"/>
          <w:szCs w:val="20"/>
          <w:lang w:val="en-US"/>
        </w:rPr>
        <w:t>(129), 50–54 (2024). https://doi.org/10.32743/UniTech.2024.129.12.18870</w:t>
      </w:r>
    </w:p>
    <w:p w14:paraId="52C839E6" w14:textId="77777777" w:rsidR="00023E55" w:rsidRPr="00023E55" w:rsidRDefault="00023E55" w:rsidP="00023E55">
      <w:pPr>
        <w:pStyle w:val="a5"/>
        <w:numPr>
          <w:ilvl w:val="0"/>
          <w:numId w:val="2"/>
        </w:numPr>
        <w:spacing w:before="0" w:beforeAutospacing="0" w:after="0" w:afterAutospacing="0"/>
        <w:ind w:left="425" w:hanging="425"/>
        <w:jc w:val="both"/>
        <w:rPr>
          <w:color w:val="000000" w:themeColor="text1"/>
          <w:sz w:val="20"/>
          <w:szCs w:val="20"/>
          <w:lang w:val="en-US"/>
        </w:rPr>
      </w:pPr>
      <w:r w:rsidRPr="00023E55">
        <w:rPr>
          <w:color w:val="000000" w:themeColor="text1"/>
          <w:sz w:val="20"/>
          <w:szCs w:val="20"/>
          <w:lang w:val="en-US"/>
        </w:rPr>
        <w:t xml:space="preserve">D. R. </w:t>
      </w:r>
      <w:proofErr w:type="spellStart"/>
      <w:r w:rsidRPr="00023E55">
        <w:rPr>
          <w:color w:val="000000" w:themeColor="text1"/>
          <w:sz w:val="20"/>
          <w:szCs w:val="20"/>
          <w:lang w:val="en-US"/>
        </w:rPr>
        <w:t>Abdazov</w:t>
      </w:r>
      <w:proofErr w:type="spellEnd"/>
      <w:r w:rsidRPr="00023E55">
        <w:rPr>
          <w:color w:val="000000" w:themeColor="text1"/>
          <w:sz w:val="20"/>
          <w:szCs w:val="20"/>
          <w:lang w:val="en-US"/>
        </w:rPr>
        <w:t xml:space="preserve"> and </w:t>
      </w:r>
      <w:proofErr w:type="spellStart"/>
      <w:r w:rsidRPr="00023E55">
        <w:rPr>
          <w:color w:val="000000" w:themeColor="text1"/>
          <w:sz w:val="20"/>
          <w:szCs w:val="20"/>
          <w:lang w:val="en-US"/>
        </w:rPr>
        <w:t>Kh</w:t>
      </w:r>
      <w:proofErr w:type="spellEnd"/>
      <w:r w:rsidRPr="00023E55">
        <w:rPr>
          <w:color w:val="000000" w:themeColor="text1"/>
          <w:sz w:val="20"/>
          <w:szCs w:val="20"/>
          <w:lang w:val="en-US"/>
        </w:rPr>
        <w:t xml:space="preserve">. </w:t>
      </w:r>
      <w:proofErr w:type="spellStart"/>
      <w:r w:rsidRPr="00023E55">
        <w:rPr>
          <w:color w:val="000000" w:themeColor="text1"/>
          <w:sz w:val="20"/>
          <w:szCs w:val="20"/>
          <w:lang w:val="en-US"/>
        </w:rPr>
        <w:t>Kh</w:t>
      </w:r>
      <w:proofErr w:type="spellEnd"/>
      <w:r w:rsidRPr="00023E55">
        <w:rPr>
          <w:color w:val="000000" w:themeColor="text1"/>
          <w:sz w:val="20"/>
          <w:szCs w:val="20"/>
          <w:lang w:val="en-US"/>
        </w:rPr>
        <w:t xml:space="preserve">. </w:t>
      </w:r>
      <w:proofErr w:type="spellStart"/>
      <w:r w:rsidRPr="00023E55">
        <w:rPr>
          <w:color w:val="000000" w:themeColor="text1"/>
          <w:sz w:val="20"/>
          <w:szCs w:val="20"/>
          <w:lang w:val="en-US"/>
        </w:rPr>
        <w:t>Kamilov</w:t>
      </w:r>
      <w:proofErr w:type="spellEnd"/>
      <w:r w:rsidRPr="00023E55">
        <w:rPr>
          <w:color w:val="000000" w:themeColor="text1"/>
          <w:sz w:val="20"/>
          <w:szCs w:val="20"/>
          <w:lang w:val="en-US"/>
        </w:rPr>
        <w:t xml:space="preserve">, </w:t>
      </w:r>
      <w:proofErr w:type="spellStart"/>
      <w:r w:rsidRPr="00023E55">
        <w:rPr>
          <w:rStyle w:val="a8"/>
          <w:color w:val="000000" w:themeColor="text1"/>
          <w:sz w:val="20"/>
          <w:szCs w:val="20"/>
          <w:lang w:val="en-US"/>
        </w:rPr>
        <w:t>Universum</w:t>
      </w:r>
      <w:proofErr w:type="spellEnd"/>
      <w:r w:rsidRPr="00023E55">
        <w:rPr>
          <w:rStyle w:val="a8"/>
          <w:color w:val="000000" w:themeColor="text1"/>
          <w:sz w:val="20"/>
          <w:szCs w:val="20"/>
          <w:lang w:val="en-US"/>
        </w:rPr>
        <w:t xml:space="preserve">: </w:t>
      </w:r>
      <w:proofErr w:type="spellStart"/>
      <w:r w:rsidRPr="00023E55">
        <w:rPr>
          <w:rStyle w:val="a8"/>
          <w:color w:val="000000" w:themeColor="text1"/>
          <w:sz w:val="20"/>
          <w:szCs w:val="20"/>
          <w:lang w:val="en-US"/>
        </w:rPr>
        <w:t>Tekhnicheskie</w:t>
      </w:r>
      <w:proofErr w:type="spellEnd"/>
      <w:r w:rsidRPr="00023E55">
        <w:rPr>
          <w:rStyle w:val="a8"/>
          <w:color w:val="000000" w:themeColor="text1"/>
          <w:sz w:val="20"/>
          <w:szCs w:val="20"/>
          <w:lang w:val="en-US"/>
        </w:rPr>
        <w:t xml:space="preserve"> </w:t>
      </w:r>
      <w:proofErr w:type="spellStart"/>
      <w:r w:rsidRPr="00023E55">
        <w:rPr>
          <w:rStyle w:val="a8"/>
          <w:color w:val="000000" w:themeColor="text1"/>
          <w:sz w:val="20"/>
          <w:szCs w:val="20"/>
          <w:lang w:val="en-US"/>
        </w:rPr>
        <w:t>Nauki</w:t>
      </w:r>
      <w:proofErr w:type="spellEnd"/>
      <w:r w:rsidRPr="00023E55">
        <w:rPr>
          <w:color w:val="000000" w:themeColor="text1"/>
          <w:sz w:val="20"/>
          <w:szCs w:val="20"/>
          <w:lang w:val="en-US"/>
        </w:rPr>
        <w:t xml:space="preserve"> </w:t>
      </w:r>
      <w:r w:rsidRPr="00023E55">
        <w:rPr>
          <w:rStyle w:val="a9"/>
          <w:color w:val="000000" w:themeColor="text1"/>
          <w:sz w:val="20"/>
          <w:szCs w:val="20"/>
          <w:lang w:val="en-US"/>
        </w:rPr>
        <w:t>12</w:t>
      </w:r>
      <w:r w:rsidRPr="00023E55">
        <w:rPr>
          <w:color w:val="000000" w:themeColor="text1"/>
          <w:sz w:val="20"/>
          <w:szCs w:val="20"/>
          <w:lang w:val="en-US"/>
        </w:rPr>
        <w:t>(129) (2024). https://doi.org/10.32743/UniTech.2024.129.12.18890</w:t>
      </w:r>
    </w:p>
    <w:p w14:paraId="66621933" w14:textId="77777777" w:rsidR="00023E55" w:rsidRPr="00023E55" w:rsidRDefault="00023E55" w:rsidP="00023E55">
      <w:pPr>
        <w:pStyle w:val="a5"/>
        <w:numPr>
          <w:ilvl w:val="0"/>
          <w:numId w:val="2"/>
        </w:numPr>
        <w:spacing w:before="0" w:beforeAutospacing="0" w:after="0" w:afterAutospacing="0"/>
        <w:ind w:left="425" w:hanging="425"/>
        <w:jc w:val="both"/>
        <w:rPr>
          <w:color w:val="000000" w:themeColor="text1"/>
          <w:sz w:val="20"/>
          <w:szCs w:val="20"/>
          <w:lang w:val="en-US"/>
        </w:rPr>
      </w:pPr>
      <w:proofErr w:type="spellStart"/>
      <w:r w:rsidRPr="00023E55">
        <w:rPr>
          <w:color w:val="000000" w:themeColor="text1"/>
          <w:sz w:val="20"/>
          <w:szCs w:val="20"/>
          <w:lang w:val="en-US"/>
        </w:rPr>
        <w:t>Kh</w:t>
      </w:r>
      <w:proofErr w:type="spellEnd"/>
      <w:r w:rsidRPr="00023E55">
        <w:rPr>
          <w:color w:val="000000" w:themeColor="text1"/>
          <w:sz w:val="20"/>
          <w:szCs w:val="20"/>
          <w:lang w:val="en-US"/>
        </w:rPr>
        <w:t xml:space="preserve">. </w:t>
      </w:r>
      <w:proofErr w:type="spellStart"/>
      <w:r w:rsidRPr="00023E55">
        <w:rPr>
          <w:color w:val="000000" w:themeColor="text1"/>
          <w:sz w:val="20"/>
          <w:szCs w:val="20"/>
          <w:lang w:val="en-US"/>
        </w:rPr>
        <w:t>Kh</w:t>
      </w:r>
      <w:proofErr w:type="spellEnd"/>
      <w:r w:rsidRPr="00023E55">
        <w:rPr>
          <w:color w:val="000000" w:themeColor="text1"/>
          <w:sz w:val="20"/>
          <w:szCs w:val="20"/>
          <w:lang w:val="en-US"/>
        </w:rPr>
        <w:t xml:space="preserve">. </w:t>
      </w:r>
      <w:proofErr w:type="spellStart"/>
      <w:r w:rsidRPr="00023E55">
        <w:rPr>
          <w:color w:val="000000" w:themeColor="text1"/>
          <w:sz w:val="20"/>
          <w:szCs w:val="20"/>
          <w:lang w:val="en-US"/>
        </w:rPr>
        <w:t>Kamilov</w:t>
      </w:r>
      <w:proofErr w:type="spellEnd"/>
      <w:r w:rsidRPr="00023E55">
        <w:rPr>
          <w:color w:val="000000" w:themeColor="text1"/>
          <w:sz w:val="20"/>
          <w:szCs w:val="20"/>
          <w:lang w:val="en-US"/>
        </w:rPr>
        <w:t xml:space="preserve"> and D. R. </w:t>
      </w:r>
      <w:proofErr w:type="spellStart"/>
      <w:r w:rsidRPr="00023E55">
        <w:rPr>
          <w:color w:val="000000" w:themeColor="text1"/>
          <w:sz w:val="20"/>
          <w:szCs w:val="20"/>
          <w:lang w:val="en-US"/>
        </w:rPr>
        <w:t>Abdazov</w:t>
      </w:r>
      <w:proofErr w:type="spellEnd"/>
      <w:r w:rsidRPr="00023E55">
        <w:rPr>
          <w:color w:val="000000" w:themeColor="text1"/>
          <w:sz w:val="20"/>
          <w:szCs w:val="20"/>
          <w:lang w:val="en-US"/>
        </w:rPr>
        <w:t xml:space="preserve">, in </w:t>
      </w:r>
      <w:r w:rsidRPr="00023E55">
        <w:rPr>
          <w:rStyle w:val="a8"/>
          <w:color w:val="000000" w:themeColor="text1"/>
          <w:sz w:val="20"/>
          <w:szCs w:val="20"/>
          <w:lang w:val="en-US"/>
        </w:rPr>
        <w:t>Proc. Int. Sci.-</w:t>
      </w:r>
      <w:proofErr w:type="spellStart"/>
      <w:r w:rsidRPr="00023E55">
        <w:rPr>
          <w:rStyle w:val="a8"/>
          <w:color w:val="000000" w:themeColor="text1"/>
          <w:sz w:val="20"/>
          <w:szCs w:val="20"/>
          <w:lang w:val="en-US"/>
        </w:rPr>
        <w:t>Pract</w:t>
      </w:r>
      <w:proofErr w:type="spellEnd"/>
      <w:r w:rsidRPr="00023E55">
        <w:rPr>
          <w:rStyle w:val="a8"/>
          <w:color w:val="000000" w:themeColor="text1"/>
          <w:sz w:val="20"/>
          <w:szCs w:val="20"/>
          <w:lang w:val="en-US"/>
        </w:rPr>
        <w:t>. Conf. “</w:t>
      </w:r>
      <w:proofErr w:type="spellStart"/>
      <w:r w:rsidRPr="00023E55">
        <w:rPr>
          <w:rStyle w:val="a8"/>
          <w:color w:val="000000" w:themeColor="text1"/>
          <w:sz w:val="20"/>
          <w:szCs w:val="20"/>
          <w:lang w:val="en-US"/>
        </w:rPr>
        <w:t>Mahalliy</w:t>
      </w:r>
      <w:proofErr w:type="spellEnd"/>
      <w:r w:rsidRPr="00023E55">
        <w:rPr>
          <w:rStyle w:val="a8"/>
          <w:color w:val="000000" w:themeColor="text1"/>
          <w:sz w:val="20"/>
          <w:szCs w:val="20"/>
          <w:lang w:val="en-US"/>
        </w:rPr>
        <w:t xml:space="preserve"> </w:t>
      </w:r>
      <w:proofErr w:type="spellStart"/>
      <w:r w:rsidRPr="00023E55">
        <w:rPr>
          <w:rStyle w:val="a8"/>
          <w:color w:val="000000" w:themeColor="text1"/>
          <w:sz w:val="20"/>
          <w:szCs w:val="20"/>
          <w:lang w:val="en-US"/>
        </w:rPr>
        <w:t>xom</w:t>
      </w:r>
      <w:proofErr w:type="spellEnd"/>
      <w:r w:rsidRPr="00023E55">
        <w:rPr>
          <w:rStyle w:val="a8"/>
          <w:color w:val="000000" w:themeColor="text1"/>
          <w:sz w:val="20"/>
          <w:szCs w:val="20"/>
          <w:lang w:val="en-US"/>
        </w:rPr>
        <w:t xml:space="preserve"> </w:t>
      </w:r>
      <w:proofErr w:type="spellStart"/>
      <w:r w:rsidRPr="00023E55">
        <w:rPr>
          <w:rStyle w:val="a8"/>
          <w:color w:val="000000" w:themeColor="text1"/>
          <w:sz w:val="20"/>
          <w:szCs w:val="20"/>
          <w:lang w:val="en-US"/>
        </w:rPr>
        <w:t>shyolar</w:t>
      </w:r>
      <w:proofErr w:type="spellEnd"/>
      <w:r w:rsidRPr="00023E55">
        <w:rPr>
          <w:rStyle w:val="a8"/>
          <w:color w:val="000000" w:themeColor="text1"/>
          <w:sz w:val="20"/>
          <w:szCs w:val="20"/>
          <w:lang w:val="en-US"/>
        </w:rPr>
        <w:t xml:space="preserve"> </w:t>
      </w:r>
      <w:proofErr w:type="spellStart"/>
      <w:r w:rsidRPr="00023E55">
        <w:rPr>
          <w:rStyle w:val="a8"/>
          <w:color w:val="000000" w:themeColor="text1"/>
          <w:sz w:val="20"/>
          <w:szCs w:val="20"/>
          <w:lang w:val="en-US"/>
        </w:rPr>
        <w:t>asosida</w:t>
      </w:r>
      <w:proofErr w:type="spellEnd"/>
      <w:r w:rsidRPr="00023E55">
        <w:rPr>
          <w:rStyle w:val="a8"/>
          <w:color w:val="000000" w:themeColor="text1"/>
          <w:sz w:val="20"/>
          <w:szCs w:val="20"/>
          <w:lang w:val="en-US"/>
        </w:rPr>
        <w:t xml:space="preserve"> </w:t>
      </w:r>
      <w:proofErr w:type="spellStart"/>
      <w:r w:rsidRPr="00023E55">
        <w:rPr>
          <w:rStyle w:val="a8"/>
          <w:color w:val="000000" w:themeColor="text1"/>
          <w:sz w:val="20"/>
          <w:szCs w:val="20"/>
          <w:lang w:val="en-US"/>
        </w:rPr>
        <w:t>innovatsion</w:t>
      </w:r>
      <w:proofErr w:type="spellEnd"/>
      <w:r w:rsidRPr="00023E55">
        <w:rPr>
          <w:rStyle w:val="a8"/>
          <w:color w:val="000000" w:themeColor="text1"/>
          <w:sz w:val="20"/>
          <w:szCs w:val="20"/>
          <w:lang w:val="en-US"/>
        </w:rPr>
        <w:t xml:space="preserve"> </w:t>
      </w:r>
      <w:proofErr w:type="spellStart"/>
      <w:r w:rsidRPr="00023E55">
        <w:rPr>
          <w:rStyle w:val="a8"/>
          <w:color w:val="000000" w:themeColor="text1"/>
          <w:sz w:val="20"/>
          <w:szCs w:val="20"/>
          <w:lang w:val="en-US"/>
        </w:rPr>
        <w:t>qurilish</w:t>
      </w:r>
      <w:proofErr w:type="spellEnd"/>
      <w:r w:rsidRPr="00023E55">
        <w:rPr>
          <w:rStyle w:val="a8"/>
          <w:color w:val="000000" w:themeColor="text1"/>
          <w:sz w:val="20"/>
          <w:szCs w:val="20"/>
          <w:lang w:val="en-US"/>
        </w:rPr>
        <w:t xml:space="preserve"> </w:t>
      </w:r>
      <w:proofErr w:type="spellStart"/>
      <w:r w:rsidRPr="00023E55">
        <w:rPr>
          <w:rStyle w:val="a8"/>
          <w:color w:val="000000" w:themeColor="text1"/>
          <w:sz w:val="20"/>
          <w:szCs w:val="20"/>
          <w:lang w:val="en-US"/>
        </w:rPr>
        <w:t>materiallarini</w:t>
      </w:r>
      <w:proofErr w:type="spellEnd"/>
      <w:r w:rsidRPr="00023E55">
        <w:rPr>
          <w:rStyle w:val="a8"/>
          <w:color w:val="000000" w:themeColor="text1"/>
          <w:sz w:val="20"/>
          <w:szCs w:val="20"/>
          <w:lang w:val="en-US"/>
        </w:rPr>
        <w:t xml:space="preserve"> </w:t>
      </w:r>
      <w:proofErr w:type="spellStart"/>
      <w:r w:rsidRPr="00023E55">
        <w:rPr>
          <w:rStyle w:val="a8"/>
          <w:color w:val="000000" w:themeColor="text1"/>
          <w:sz w:val="20"/>
          <w:szCs w:val="20"/>
          <w:lang w:val="en-US"/>
        </w:rPr>
        <w:t>ishlab</w:t>
      </w:r>
      <w:proofErr w:type="spellEnd"/>
      <w:r w:rsidRPr="00023E55">
        <w:rPr>
          <w:rStyle w:val="a8"/>
          <w:color w:val="000000" w:themeColor="text1"/>
          <w:sz w:val="20"/>
          <w:szCs w:val="20"/>
          <w:lang w:val="en-US"/>
        </w:rPr>
        <w:t xml:space="preserve"> </w:t>
      </w:r>
      <w:proofErr w:type="spellStart"/>
      <w:r w:rsidRPr="00023E55">
        <w:rPr>
          <w:rStyle w:val="a8"/>
          <w:color w:val="000000" w:themeColor="text1"/>
          <w:sz w:val="20"/>
          <w:szCs w:val="20"/>
          <w:lang w:val="en-US"/>
        </w:rPr>
        <w:t>chiqarish</w:t>
      </w:r>
      <w:proofErr w:type="spellEnd"/>
      <w:r w:rsidRPr="00023E55">
        <w:rPr>
          <w:rStyle w:val="a8"/>
          <w:color w:val="000000" w:themeColor="text1"/>
          <w:sz w:val="20"/>
          <w:szCs w:val="20"/>
          <w:lang w:val="en-US"/>
        </w:rPr>
        <w:t>”</w:t>
      </w:r>
      <w:r w:rsidRPr="00023E55">
        <w:rPr>
          <w:color w:val="000000" w:themeColor="text1"/>
          <w:sz w:val="20"/>
          <w:szCs w:val="20"/>
          <w:lang w:val="en-US"/>
        </w:rPr>
        <w:t>, TASU, pp. 272–278 (2024).</w:t>
      </w:r>
    </w:p>
    <w:p w14:paraId="673CB14A" w14:textId="77777777" w:rsidR="00EA4C1B" w:rsidRPr="00023E55" w:rsidRDefault="00EA4C1B" w:rsidP="00202223">
      <w:pPr>
        <w:spacing w:after="0"/>
        <w:jc w:val="both"/>
        <w:rPr>
          <w:color w:val="000000" w:themeColor="text1"/>
          <w:sz w:val="20"/>
          <w:szCs w:val="20"/>
          <w:lang w:val="en-US"/>
        </w:rPr>
      </w:pPr>
    </w:p>
    <w:sectPr w:rsidR="00EA4C1B" w:rsidRPr="00023E55" w:rsidSect="0012775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00CEA"/>
    <w:multiLevelType w:val="hybridMultilevel"/>
    <w:tmpl w:val="046C16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38CC20F2"/>
    <w:multiLevelType w:val="multilevel"/>
    <w:tmpl w:val="2494C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1A1"/>
    <w:rsid w:val="00023E55"/>
    <w:rsid w:val="00075486"/>
    <w:rsid w:val="000811BB"/>
    <w:rsid w:val="00084D04"/>
    <w:rsid w:val="000977A6"/>
    <w:rsid w:val="000B756C"/>
    <w:rsid w:val="00100BA7"/>
    <w:rsid w:val="00115038"/>
    <w:rsid w:val="001251E6"/>
    <w:rsid w:val="00127752"/>
    <w:rsid w:val="0016326E"/>
    <w:rsid w:val="00180E18"/>
    <w:rsid w:val="001D2DC5"/>
    <w:rsid w:val="001E271C"/>
    <w:rsid w:val="00202223"/>
    <w:rsid w:val="002057AC"/>
    <w:rsid w:val="00220D75"/>
    <w:rsid w:val="002237C4"/>
    <w:rsid w:val="00255A52"/>
    <w:rsid w:val="002B0051"/>
    <w:rsid w:val="002B06C9"/>
    <w:rsid w:val="00364745"/>
    <w:rsid w:val="003738F2"/>
    <w:rsid w:val="003829E8"/>
    <w:rsid w:val="00396A09"/>
    <w:rsid w:val="00396C7D"/>
    <w:rsid w:val="003A3476"/>
    <w:rsid w:val="003C4FA6"/>
    <w:rsid w:val="003E5421"/>
    <w:rsid w:val="0040551F"/>
    <w:rsid w:val="00423F0B"/>
    <w:rsid w:val="00430F0E"/>
    <w:rsid w:val="00477899"/>
    <w:rsid w:val="00487030"/>
    <w:rsid w:val="004A44F5"/>
    <w:rsid w:val="004B556B"/>
    <w:rsid w:val="004D3629"/>
    <w:rsid w:val="004D75BB"/>
    <w:rsid w:val="005104DB"/>
    <w:rsid w:val="005211B6"/>
    <w:rsid w:val="00586D5A"/>
    <w:rsid w:val="00591FA5"/>
    <w:rsid w:val="005D009B"/>
    <w:rsid w:val="005D733E"/>
    <w:rsid w:val="005F7412"/>
    <w:rsid w:val="005F784B"/>
    <w:rsid w:val="006C0B77"/>
    <w:rsid w:val="006F0609"/>
    <w:rsid w:val="006F36CD"/>
    <w:rsid w:val="0074054E"/>
    <w:rsid w:val="0078716D"/>
    <w:rsid w:val="008242FF"/>
    <w:rsid w:val="008629D4"/>
    <w:rsid w:val="00870751"/>
    <w:rsid w:val="00880A3F"/>
    <w:rsid w:val="0088724D"/>
    <w:rsid w:val="008B35CA"/>
    <w:rsid w:val="008B5A91"/>
    <w:rsid w:val="008C128D"/>
    <w:rsid w:val="008C5157"/>
    <w:rsid w:val="008D341E"/>
    <w:rsid w:val="008E7D16"/>
    <w:rsid w:val="008F0ABC"/>
    <w:rsid w:val="008F526A"/>
    <w:rsid w:val="009216C2"/>
    <w:rsid w:val="00922C48"/>
    <w:rsid w:val="00934556"/>
    <w:rsid w:val="00936D8A"/>
    <w:rsid w:val="009B5845"/>
    <w:rsid w:val="00A346B7"/>
    <w:rsid w:val="00A559FA"/>
    <w:rsid w:val="00A575EE"/>
    <w:rsid w:val="00A70C1A"/>
    <w:rsid w:val="00A8254C"/>
    <w:rsid w:val="00AA4A81"/>
    <w:rsid w:val="00AE19D3"/>
    <w:rsid w:val="00B915B7"/>
    <w:rsid w:val="00BD3392"/>
    <w:rsid w:val="00BF2DD3"/>
    <w:rsid w:val="00C050D9"/>
    <w:rsid w:val="00C11D17"/>
    <w:rsid w:val="00C613BA"/>
    <w:rsid w:val="00C93FB1"/>
    <w:rsid w:val="00CA567B"/>
    <w:rsid w:val="00CC738D"/>
    <w:rsid w:val="00D05947"/>
    <w:rsid w:val="00D10F1C"/>
    <w:rsid w:val="00D54078"/>
    <w:rsid w:val="00D65DC7"/>
    <w:rsid w:val="00D77A4A"/>
    <w:rsid w:val="00D841A1"/>
    <w:rsid w:val="00DA5B03"/>
    <w:rsid w:val="00DC2B0A"/>
    <w:rsid w:val="00DE5BB8"/>
    <w:rsid w:val="00E069CA"/>
    <w:rsid w:val="00E143B8"/>
    <w:rsid w:val="00E2696C"/>
    <w:rsid w:val="00E41FF8"/>
    <w:rsid w:val="00EA4C1B"/>
    <w:rsid w:val="00EA59DF"/>
    <w:rsid w:val="00EB60F3"/>
    <w:rsid w:val="00EE4070"/>
    <w:rsid w:val="00EF0A66"/>
    <w:rsid w:val="00F12C76"/>
    <w:rsid w:val="00FC1328"/>
    <w:rsid w:val="00FC1B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3561F"/>
  <w15:chartTrackingRefBased/>
  <w15:docId w15:val="{536E5E1B-D925-4087-A001-77F0EF682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D2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8629D4"/>
    <w:rPr>
      <w:color w:val="0563C1" w:themeColor="hyperlink"/>
      <w:u w:val="single"/>
    </w:rPr>
  </w:style>
  <w:style w:type="character" w:customStyle="1" w:styleId="1">
    <w:name w:val="Неразрешенное упоминание1"/>
    <w:basedOn w:val="a0"/>
    <w:uiPriority w:val="99"/>
    <w:semiHidden/>
    <w:unhideWhenUsed/>
    <w:rsid w:val="008629D4"/>
    <w:rPr>
      <w:color w:val="605E5C"/>
      <w:shd w:val="clear" w:color="auto" w:fill="E1DFDD"/>
    </w:rPr>
  </w:style>
  <w:style w:type="paragraph" w:styleId="a5">
    <w:name w:val="Normal (Web)"/>
    <w:basedOn w:val="a"/>
    <w:uiPriority w:val="99"/>
    <w:semiHidden/>
    <w:unhideWhenUsed/>
    <w:rsid w:val="00D05947"/>
    <w:pPr>
      <w:spacing w:before="100" w:beforeAutospacing="1" w:after="100" w:afterAutospacing="1"/>
    </w:pPr>
    <w:rPr>
      <w:rFonts w:eastAsia="Times New Roman" w:cs="Times New Roman"/>
      <w:sz w:val="24"/>
      <w:szCs w:val="24"/>
      <w:lang w:eastAsia="ru-RU"/>
    </w:rPr>
  </w:style>
  <w:style w:type="paragraph" w:styleId="a6">
    <w:name w:val="List Paragraph"/>
    <w:basedOn w:val="a"/>
    <w:uiPriority w:val="34"/>
    <w:qFormat/>
    <w:rsid w:val="00CC738D"/>
    <w:pPr>
      <w:ind w:left="720"/>
      <w:contextualSpacing/>
    </w:pPr>
  </w:style>
  <w:style w:type="character" w:styleId="a7">
    <w:name w:val="Unresolved Mention"/>
    <w:basedOn w:val="a0"/>
    <w:uiPriority w:val="99"/>
    <w:semiHidden/>
    <w:unhideWhenUsed/>
    <w:rsid w:val="006F36CD"/>
    <w:rPr>
      <w:color w:val="605E5C"/>
      <w:shd w:val="clear" w:color="auto" w:fill="E1DFDD"/>
    </w:rPr>
  </w:style>
  <w:style w:type="character" w:styleId="a8">
    <w:name w:val="Emphasis"/>
    <w:basedOn w:val="a0"/>
    <w:uiPriority w:val="20"/>
    <w:qFormat/>
    <w:rsid w:val="00023E55"/>
    <w:rPr>
      <w:i/>
      <w:iCs/>
    </w:rPr>
  </w:style>
  <w:style w:type="character" w:styleId="a9">
    <w:name w:val="Strong"/>
    <w:basedOn w:val="a0"/>
    <w:uiPriority w:val="22"/>
    <w:qFormat/>
    <w:rsid w:val="00023E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43993">
      <w:bodyDiv w:val="1"/>
      <w:marLeft w:val="0"/>
      <w:marRight w:val="0"/>
      <w:marTop w:val="0"/>
      <w:marBottom w:val="0"/>
      <w:divBdr>
        <w:top w:val="none" w:sz="0" w:space="0" w:color="auto"/>
        <w:left w:val="none" w:sz="0" w:space="0" w:color="auto"/>
        <w:bottom w:val="none" w:sz="0" w:space="0" w:color="auto"/>
        <w:right w:val="none" w:sz="0" w:space="0" w:color="auto"/>
      </w:divBdr>
    </w:div>
    <w:div w:id="357702169">
      <w:bodyDiv w:val="1"/>
      <w:marLeft w:val="0"/>
      <w:marRight w:val="0"/>
      <w:marTop w:val="0"/>
      <w:marBottom w:val="0"/>
      <w:divBdr>
        <w:top w:val="none" w:sz="0" w:space="0" w:color="auto"/>
        <w:left w:val="none" w:sz="0" w:space="0" w:color="auto"/>
        <w:bottom w:val="none" w:sz="0" w:space="0" w:color="auto"/>
        <w:right w:val="none" w:sz="0" w:space="0" w:color="auto"/>
      </w:divBdr>
    </w:div>
    <w:div w:id="124591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babakulova78@gmail.com" TargetMode="External"/><Relationship Id="rId13" Type="http://schemas.openxmlformats.org/officeDocument/2006/relationships/image" Target="media/image4.png"/><Relationship Id="rId18" Type="http://schemas.openxmlformats.org/officeDocument/2006/relationships/hyperlink" Target="https://doi.org/10.1088/1757-899X/660/1/012037" TargetMode="External"/><Relationship Id="rId26" Type="http://schemas.openxmlformats.org/officeDocument/2006/relationships/hyperlink" Target="https://doi.org/10.1016/j.cemconres.2020.106344" TargetMode="External"/><Relationship Id="rId3" Type="http://schemas.openxmlformats.org/officeDocument/2006/relationships/settings" Target="settings.xml"/><Relationship Id="rId21" Type="http://schemas.openxmlformats.org/officeDocument/2006/relationships/hyperlink" Target="https://doi.org/10.1007/s10973-011-1479-8" TargetMode="External"/><Relationship Id="rId7" Type="http://schemas.openxmlformats.org/officeDocument/2006/relationships/hyperlink" Target="mailto:s.turakhanov@taqu.uz" TargetMode="External"/><Relationship Id="rId12" Type="http://schemas.openxmlformats.org/officeDocument/2006/relationships/image" Target="media/image3.png"/><Relationship Id="rId17" Type="http://schemas.openxmlformats.org/officeDocument/2006/relationships/hyperlink" Target="https://doi.org/10.3389/fmats.2024.1358630" TargetMode="External"/><Relationship Id="rId25" Type="http://schemas.openxmlformats.org/officeDocument/2006/relationships/hyperlink" Target="https://doi.org/10.5604/01.3001.0014.3865" TargetMode="External"/><Relationship Id="rId2" Type="http://schemas.openxmlformats.org/officeDocument/2006/relationships/styles" Target="styles.xml"/><Relationship Id="rId16" Type="http://schemas.openxmlformats.org/officeDocument/2006/relationships/hyperlink" Target="https://doi.org/10.1007/s10973-025-14162-3" TargetMode="External"/><Relationship Id="rId20" Type="http://schemas.openxmlformats.org/officeDocument/2006/relationships/hyperlink" Target="https://doi.org/10.1017/S0885715600010769" TargetMode="External"/><Relationship Id="rId1" Type="http://schemas.openxmlformats.org/officeDocument/2006/relationships/numbering" Target="numbering.xml"/><Relationship Id="rId6" Type="http://schemas.openxmlformats.org/officeDocument/2006/relationships/hyperlink" Target="mailto:d.abdazov@taqu.uz" TargetMode="External"/><Relationship Id="rId11" Type="http://schemas.openxmlformats.org/officeDocument/2006/relationships/image" Target="media/image2.png"/><Relationship Id="rId24" Type="http://schemas.openxmlformats.org/officeDocument/2006/relationships/hyperlink" Target="https://doi.org/10.1038/s43246-023-00441-9" TargetMode="External"/><Relationship Id="rId5" Type="http://schemas.openxmlformats.org/officeDocument/2006/relationships/hyperlink" Target="mailto:x.kamilov@taqu.uz" TargetMode="External"/><Relationship Id="rId15" Type="http://schemas.openxmlformats.org/officeDocument/2006/relationships/image" Target="media/image6.png"/><Relationship Id="rId23" Type="http://schemas.openxmlformats.org/officeDocument/2006/relationships/hyperlink" Target="https://doi.org/10.1617/s11527-019-1371-2" TargetMode="Externa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doi.org/10.2478/s11696-013-0413-x" TargetMode="External"/><Relationship Id="rId4" Type="http://schemas.openxmlformats.org/officeDocument/2006/relationships/webSettings" Target="webSettings.xml"/><Relationship Id="rId9" Type="http://schemas.openxmlformats.org/officeDocument/2006/relationships/hyperlink" Target="mailto:sabirovfurxat@gmail.com" TargetMode="External"/><Relationship Id="rId14" Type="http://schemas.openxmlformats.org/officeDocument/2006/relationships/image" Target="media/image5.emf"/><Relationship Id="rId22" Type="http://schemas.openxmlformats.org/officeDocument/2006/relationships/hyperlink" Target="https://doi.org/10.3390/su142013440"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769</TotalTime>
  <Pages>5</Pages>
  <Words>3094</Words>
  <Characters>17638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dilshod.abdazov@outlook.com</dc:creator>
  <cp:keywords/>
  <dc:description/>
  <cp:lastModifiedBy>Talipov Miraziz</cp:lastModifiedBy>
  <cp:revision>55</cp:revision>
  <dcterms:created xsi:type="dcterms:W3CDTF">2025-07-06T13:18:00Z</dcterms:created>
  <dcterms:modified xsi:type="dcterms:W3CDTF">2025-09-15T10:47:00Z</dcterms:modified>
</cp:coreProperties>
</file>