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2B7CE5" w14:textId="5D41CF44" w:rsidR="00274BE6" w:rsidRPr="00CD01ED" w:rsidRDefault="007B1282" w:rsidP="00CD01ED">
      <w:pPr>
        <w:keepNext/>
        <w:keepLines/>
        <w:tabs>
          <w:tab w:val="left" w:pos="284"/>
        </w:tabs>
        <w:spacing w:before="1200" w:after="360"/>
        <w:jc w:val="center"/>
        <w:rPr>
          <w:sz w:val="36"/>
          <w:szCs w:val="36"/>
        </w:rPr>
      </w:pPr>
      <w:r w:rsidRPr="00CD01ED">
        <w:rPr>
          <w:rFonts w:eastAsia="Times"/>
          <w:b/>
          <w:sz w:val="36"/>
          <w:szCs w:val="36"/>
        </w:rPr>
        <w:t>Influence of Lane-Based Traffic Flow and Speed on Urban Air Pollution Levels: A Case Study from Tashkent</w:t>
      </w:r>
    </w:p>
    <w:p w14:paraId="0963565B" w14:textId="3BB94BA1" w:rsidR="00274BE6" w:rsidRPr="00CD01ED" w:rsidRDefault="007B1282" w:rsidP="00CD01ED">
      <w:pPr>
        <w:spacing w:after="360"/>
        <w:jc w:val="center"/>
        <w:rPr>
          <w:sz w:val="28"/>
          <w:szCs w:val="28"/>
        </w:rPr>
      </w:pPr>
      <w:r w:rsidRPr="00CD01ED">
        <w:rPr>
          <w:rFonts w:eastAsia="Times"/>
          <w:sz w:val="28"/>
          <w:szCs w:val="28"/>
        </w:rPr>
        <w:t>Kudratulla Azizov</w:t>
      </w:r>
      <w:r w:rsidR="009809A4" w:rsidRPr="00CD01ED">
        <w:rPr>
          <w:rFonts w:eastAsia="Times"/>
          <w:sz w:val="28"/>
          <w:szCs w:val="28"/>
          <w:vertAlign w:val="superscript"/>
        </w:rPr>
        <w:t>1</w:t>
      </w:r>
      <w:r w:rsidR="00CD01ED">
        <w:rPr>
          <w:rFonts w:eastAsia="Times"/>
          <w:sz w:val="28"/>
          <w:szCs w:val="28"/>
          <w:vertAlign w:val="superscript"/>
        </w:rPr>
        <w:t>, a)</w:t>
      </w:r>
      <w:r w:rsidR="00CD01ED">
        <w:rPr>
          <w:rFonts w:eastAsia="Times"/>
          <w:sz w:val="28"/>
          <w:szCs w:val="28"/>
        </w:rPr>
        <w:t xml:space="preserve"> and</w:t>
      </w:r>
      <w:r w:rsidR="008153B4" w:rsidRPr="00CD01ED">
        <w:rPr>
          <w:rFonts w:eastAsia="Times"/>
          <w:sz w:val="28"/>
          <w:szCs w:val="28"/>
        </w:rPr>
        <w:t xml:space="preserve"> </w:t>
      </w:r>
      <w:r w:rsidRPr="00CD01ED">
        <w:rPr>
          <w:rFonts w:eastAsia="Times"/>
          <w:sz w:val="28"/>
          <w:szCs w:val="28"/>
        </w:rPr>
        <w:t>Amir Beketov</w:t>
      </w:r>
      <w:r w:rsidR="00CD01ED">
        <w:rPr>
          <w:rFonts w:eastAsia="Times"/>
          <w:sz w:val="28"/>
          <w:szCs w:val="28"/>
          <w:vertAlign w:val="superscript"/>
        </w:rPr>
        <w:t>1, b)</w:t>
      </w:r>
    </w:p>
    <w:p w14:paraId="1A84DCEE" w14:textId="4C9571C0" w:rsidR="00CD01ED" w:rsidRPr="00CD01ED" w:rsidRDefault="00CD01ED" w:rsidP="00CD01ED">
      <w:pPr>
        <w:spacing w:after="360"/>
        <w:jc w:val="center"/>
        <w:rPr>
          <w:bCs/>
          <w:i/>
          <w:iCs/>
          <w:lang w:val="en-US"/>
        </w:rPr>
      </w:pPr>
      <w:bookmarkStart w:id="0" w:name="_Hlk207025474"/>
      <w:bookmarkStart w:id="1" w:name="_Hlk207101151"/>
      <w:r w:rsidRPr="00CD01ED">
        <w:rPr>
          <w:bCs/>
          <w:vertAlign w:val="superscript"/>
          <w:lang w:val="en-US"/>
        </w:rPr>
        <w:t>1</w:t>
      </w:r>
      <w:r w:rsidRPr="00CD01ED">
        <w:rPr>
          <w:bCs/>
          <w:i/>
          <w:iCs/>
          <w:lang w:val="en-US"/>
        </w:rPr>
        <w:t xml:space="preserve">Tashkent State Transport University, 1 </w:t>
      </w:r>
      <w:proofErr w:type="spellStart"/>
      <w:r w:rsidRPr="00CD01ED">
        <w:rPr>
          <w:bCs/>
          <w:i/>
          <w:iCs/>
          <w:lang w:val="en-US"/>
        </w:rPr>
        <w:t>Temiryulchilar</w:t>
      </w:r>
      <w:proofErr w:type="spellEnd"/>
      <w:r w:rsidRPr="00CD01ED">
        <w:rPr>
          <w:bCs/>
          <w:i/>
          <w:iCs/>
          <w:lang w:val="en-US"/>
        </w:rPr>
        <w:t xml:space="preserve"> St., Tashkent 100167, Uzbekistan</w:t>
      </w:r>
      <w:bookmarkEnd w:id="0"/>
    </w:p>
    <w:p w14:paraId="63984313" w14:textId="55F0BCC9" w:rsidR="00CD01ED" w:rsidRPr="00CD01ED" w:rsidRDefault="00CD01ED" w:rsidP="00CD01ED">
      <w:pPr>
        <w:jc w:val="center"/>
        <w:rPr>
          <w:i/>
          <w:iCs/>
        </w:rPr>
      </w:pPr>
      <w:r>
        <w:rPr>
          <w:rFonts w:eastAsia="Times"/>
          <w:i/>
          <w:iCs/>
          <w:vertAlign w:val="superscript"/>
        </w:rPr>
        <w:t xml:space="preserve">a) </w:t>
      </w:r>
      <w:r w:rsidRPr="00CD01ED">
        <w:rPr>
          <w:rFonts w:eastAsia="Times"/>
          <w:i/>
          <w:iCs/>
        </w:rPr>
        <w:t xml:space="preserve">azizov_q@tstu.uz </w:t>
      </w:r>
      <w:r w:rsidRPr="00CD01ED">
        <w:rPr>
          <w:rFonts w:eastAsia="Times"/>
          <w:i/>
          <w:iCs/>
        </w:rPr>
        <w:br/>
      </w:r>
      <w:r w:rsidRPr="00CD01ED">
        <w:rPr>
          <w:rFonts w:eastAsia="Times"/>
          <w:i/>
          <w:iCs/>
          <w:vertAlign w:val="superscript"/>
        </w:rPr>
        <w:t>b</w:t>
      </w:r>
      <w:r w:rsidRPr="00CD01ED">
        <w:rPr>
          <w:i/>
          <w:iCs/>
          <w:color w:val="000000" w:themeColor="text1"/>
          <w:vertAlign w:val="superscript"/>
          <w:lang w:val="en-US"/>
        </w:rPr>
        <w:t xml:space="preserve">) </w:t>
      </w:r>
      <w:r w:rsidRPr="00CD01ED">
        <w:rPr>
          <w:i/>
          <w:iCs/>
          <w:color w:val="000000" w:themeColor="text1"/>
          <w:lang w:val="en-US"/>
        </w:rPr>
        <w:t>Corresponding author:</w:t>
      </w:r>
      <w:r w:rsidRPr="00CD01ED">
        <w:rPr>
          <w:i/>
          <w:iCs/>
          <w:color w:val="000000" w:themeColor="text1"/>
          <w:vertAlign w:val="superscript"/>
          <w:lang w:val="en-US"/>
        </w:rPr>
        <w:t xml:space="preserve"> </w:t>
      </w:r>
      <w:r w:rsidRPr="00CD01ED">
        <w:rPr>
          <w:rFonts w:eastAsia="Times"/>
          <w:i/>
          <w:iCs/>
        </w:rPr>
        <w:t>beketovamir@tstu.uz</w:t>
      </w:r>
    </w:p>
    <w:bookmarkEnd w:id="1"/>
    <w:p w14:paraId="30646CAC" w14:textId="77777777" w:rsidR="00274BE6" w:rsidRPr="0042530D" w:rsidRDefault="008153B4" w:rsidP="00CD01ED">
      <w:pPr>
        <w:spacing w:before="360" w:after="360"/>
        <w:ind w:left="289" w:right="289"/>
        <w:jc w:val="both"/>
      </w:pPr>
      <w:r w:rsidRPr="0042530D">
        <w:rPr>
          <w:rFonts w:eastAsia="Times"/>
          <w:b/>
          <w:sz w:val="18"/>
          <w:szCs w:val="18"/>
        </w:rPr>
        <w:t>Abstract.</w:t>
      </w:r>
      <w:r w:rsidRPr="0042530D">
        <w:rPr>
          <w:rFonts w:eastAsia="Times"/>
          <w:sz w:val="18"/>
          <w:szCs w:val="18"/>
        </w:rPr>
        <w:t xml:space="preserve"> </w:t>
      </w:r>
      <w:r w:rsidR="000D4997" w:rsidRPr="000D4997">
        <w:rPr>
          <w:rFonts w:eastAsia="Times"/>
          <w:sz w:val="18"/>
          <w:szCs w:val="18"/>
        </w:rPr>
        <w:t>This study explores the influence of traffic lane position and average vehicular speed on the concentrations of key air pollutants (CO, NO, NO₂, SO₂) within an urban street environment. Empirical data were obtained during the spring of 2025 through field measurements carried out on smooth, defect-free sections of 4-, 6-, and 8-lane urban roads in Tashkent under favorable weather conditions. The analysis focuses on how pollutant levels vary across different traffic lanes—from the outermost right to the innermost left—relative to their average speed. Results indicate a clear gradient: the highest pollution levels occur in the right-most lanes, where traffic tends to be slower and less consistent, particularly due to public transport stops and vehicle loading/unloading. Pollutant concentrations decline progressively in the central and left lanes, where speed and flow are more stable. This effect was most pronounced for nitrogen oxides (NO and NO₂), which frequently surpassed the allowed limits, whereas CO and SO₂ typically remained within acceptable thresholds. The findings point to the significant role of interrupted traffic flow in exacerbating local air pollution. Policy recommendations include minimizing heavy-duty vehicle presence in curbside lanes during peak hours and optimizing traffic fluidity to reduce localized emissions. These insights support the development of more environmentally informed street planning and urban traffic control strategies.</w:t>
      </w:r>
    </w:p>
    <w:p w14:paraId="17A9DDAD" w14:textId="72CA503E" w:rsidR="00274BE6" w:rsidRPr="0042530D" w:rsidRDefault="008153B4" w:rsidP="00CD01ED">
      <w:pPr>
        <w:ind w:left="289" w:right="289"/>
        <w:jc w:val="both"/>
      </w:pPr>
      <w:r w:rsidRPr="0042530D">
        <w:rPr>
          <w:rFonts w:eastAsia="Times"/>
          <w:b/>
          <w:sz w:val="18"/>
          <w:szCs w:val="18"/>
        </w:rPr>
        <w:t xml:space="preserve">Keywords: </w:t>
      </w:r>
      <w:r w:rsidR="000D4997" w:rsidRPr="000D4997">
        <w:rPr>
          <w:rFonts w:eastAsia="Times"/>
          <w:sz w:val="18"/>
          <w:szCs w:val="18"/>
        </w:rPr>
        <w:t>urban air quality, traffic speed, lane configuration, emission patterns, nitrogen oxides, carbon monoxide, sulfur dioxide, field measurement, traffic control, Tashkent</w:t>
      </w:r>
    </w:p>
    <w:p w14:paraId="6AA9EB7E" w14:textId="4A8BA59C" w:rsidR="00274BE6" w:rsidRPr="0042530D" w:rsidRDefault="00CD01ED" w:rsidP="00CD01ED">
      <w:pPr>
        <w:keepNext/>
        <w:keepLines/>
        <w:tabs>
          <w:tab w:val="left" w:pos="454"/>
        </w:tabs>
        <w:spacing w:before="240" w:after="240"/>
        <w:jc w:val="center"/>
      </w:pPr>
      <w:r w:rsidRPr="0042530D">
        <w:rPr>
          <w:rFonts w:eastAsia="Times"/>
          <w:b/>
          <w:sz w:val="24"/>
          <w:szCs w:val="24"/>
        </w:rPr>
        <w:t>INTRODUCTION</w:t>
      </w:r>
    </w:p>
    <w:p w14:paraId="13BC4314" w14:textId="77777777" w:rsidR="000A3C6A" w:rsidRPr="000A3C6A" w:rsidRDefault="000A3C6A" w:rsidP="00CD01ED">
      <w:pPr>
        <w:ind w:firstLine="284"/>
        <w:jc w:val="both"/>
        <w:rPr>
          <w:rFonts w:eastAsia="Times"/>
        </w:rPr>
      </w:pPr>
      <w:r w:rsidRPr="000A3C6A">
        <w:rPr>
          <w:rFonts w:eastAsia="Times"/>
        </w:rPr>
        <w:t>Air pollution stemming from vehicle emissions remains a critical environmental concern in densely populated urban areas with high traffic intensity. A substantial share of harmful pollutants—such as carbon monoxide (CO), nitrogen oxides (NO and NO₂), and sulfur dioxide (SO₂)—is emitted at street level, directly affecting the environment in which city residents live and move.</w:t>
      </w:r>
    </w:p>
    <w:p w14:paraId="386604DF" w14:textId="77777777" w:rsidR="000A3C6A" w:rsidRPr="000A3C6A" w:rsidRDefault="000A3C6A" w:rsidP="00CD01ED">
      <w:pPr>
        <w:ind w:firstLine="284"/>
        <w:jc w:val="both"/>
        <w:rPr>
          <w:rFonts w:eastAsia="Times"/>
        </w:rPr>
      </w:pPr>
      <w:r w:rsidRPr="000A3C6A">
        <w:rPr>
          <w:rFonts w:eastAsia="Times"/>
        </w:rPr>
        <w:t>Numerous research efforts have emphasized that traffic parameters—particularly vehicle speed and lane usage—exert a notable influence on the concentration of airborne pollutants. Variations in speed and lane distribution shape the emission rates of nitrogen oxides, fine particulate matter (PM2.5), and other pollutants prevalent in the urban atmosphere [1, 2]. For instance, elevated speeds may contribute to increased emissions due to greater fuel consumption, whereas uneven lane distribution can exacerbate congestion, thereby intensifying pollutant accumulation [3, 4]. Additionally, meteorological conditions such as wind direction and speed significantly affect the dispersion patterns of pollutants, altering local exposure levels [1, 5]. Some studies have also pointed out that traffic-generated micropollutants like polycyclic aromatic hydrocarbons (PAHs) are prone to accumulating in heavily congested areas, reinforcing the importance of lane allocation in pollutant dispersion dynamics [6].</w:t>
      </w:r>
    </w:p>
    <w:p w14:paraId="3CD5B81A" w14:textId="77777777" w:rsidR="000A3C6A" w:rsidRPr="000A3C6A" w:rsidRDefault="000A3C6A" w:rsidP="00CD01ED">
      <w:pPr>
        <w:ind w:firstLine="284"/>
        <w:jc w:val="both"/>
        <w:rPr>
          <w:rFonts w:eastAsia="Times"/>
        </w:rPr>
      </w:pPr>
      <w:r w:rsidRPr="000A3C6A">
        <w:rPr>
          <w:rFonts w:eastAsia="Times"/>
        </w:rPr>
        <w:t>It is therefore evident that factors beyond traffic volume and vehicle type—such as the spatial distribution of lanes and the prevailing travel speeds—are crucial determinants of air quality along urban streets. Notably, edge lanes, particularly the rightmost lanes, often experience reduced speeds, more frequent acceleration and deceleration, and a higher presence of heavy-duty and public transport vehicles. In contrast, central and left-hand lanes tend to support smoother and faster traffic flow.</w:t>
      </w:r>
    </w:p>
    <w:p w14:paraId="6E049628" w14:textId="77777777" w:rsidR="00274BE6" w:rsidRPr="0042530D" w:rsidRDefault="000A3C6A" w:rsidP="00CD01ED">
      <w:pPr>
        <w:ind w:firstLine="284"/>
        <w:jc w:val="both"/>
      </w:pPr>
      <w:r w:rsidRPr="000A3C6A">
        <w:rPr>
          <w:rFonts w:eastAsia="Times"/>
        </w:rPr>
        <w:t>In light of these considerations, the present study investigates how lane positioning and average vehicle speeds influence the distribution of air pollutants along urban road sections with different lane configurations (4, 6, and 8 lanes). The fieldwork was conducted in spring 2025 under meteorologically favorable conditions, specifically on straight and well-maintained road segments, to minimize external variables and isolate the effects of traffic flow characteristics.</w:t>
      </w:r>
    </w:p>
    <w:p w14:paraId="41017F22" w14:textId="3448D148" w:rsidR="00274BE6" w:rsidRPr="00B43A19" w:rsidRDefault="00CD01ED" w:rsidP="00CD01ED">
      <w:pPr>
        <w:keepNext/>
        <w:keepLines/>
        <w:tabs>
          <w:tab w:val="left" w:pos="454"/>
        </w:tabs>
        <w:spacing w:before="240" w:after="240"/>
        <w:jc w:val="center"/>
        <w:rPr>
          <w:rFonts w:eastAsia="Times"/>
          <w:b/>
          <w:sz w:val="24"/>
          <w:szCs w:val="24"/>
        </w:rPr>
      </w:pPr>
      <w:r w:rsidRPr="00B43A19">
        <w:rPr>
          <w:rFonts w:eastAsia="Times"/>
          <w:b/>
          <w:sz w:val="24"/>
          <w:szCs w:val="24"/>
        </w:rPr>
        <w:lastRenderedPageBreak/>
        <w:t>METHODOLOGY</w:t>
      </w:r>
    </w:p>
    <w:p w14:paraId="717705E7" w14:textId="77777777" w:rsidR="000C4DCB" w:rsidRPr="000C4DCB" w:rsidRDefault="000C4DCB" w:rsidP="00CD01ED">
      <w:pPr>
        <w:tabs>
          <w:tab w:val="left" w:pos="567"/>
        </w:tabs>
        <w:ind w:firstLine="284"/>
        <w:jc w:val="both"/>
        <w:rPr>
          <w:rFonts w:eastAsia="Times"/>
          <w:lang w:val="en-US"/>
        </w:rPr>
      </w:pPr>
      <w:r w:rsidRPr="000C4DCB">
        <w:rPr>
          <w:rFonts w:eastAsia="Times"/>
          <w:lang w:val="en-US"/>
        </w:rPr>
        <w:t xml:space="preserve">This research was carried out in Tashkent on level, straight urban street segments with differing lane configurations, specifically those featuring 4, 6, and 8 traffic lanes. The selected study sites included: </w:t>
      </w:r>
      <w:proofErr w:type="spellStart"/>
      <w:r w:rsidRPr="000C4DCB">
        <w:rPr>
          <w:rFonts w:eastAsia="Times"/>
          <w:lang w:val="en-US"/>
        </w:rPr>
        <w:t>Sarikul</w:t>
      </w:r>
      <w:proofErr w:type="spellEnd"/>
      <w:r w:rsidRPr="000C4DCB">
        <w:rPr>
          <w:rFonts w:eastAsia="Times"/>
          <w:lang w:val="en-US"/>
        </w:rPr>
        <w:t xml:space="preserve"> Street, </w:t>
      </w:r>
      <w:proofErr w:type="spellStart"/>
      <w:r w:rsidRPr="000C4DCB">
        <w:rPr>
          <w:rFonts w:eastAsia="Times"/>
          <w:lang w:val="en-US"/>
        </w:rPr>
        <w:t>Eski-Sarikul</w:t>
      </w:r>
      <w:proofErr w:type="spellEnd"/>
      <w:r w:rsidRPr="000C4DCB">
        <w:rPr>
          <w:rFonts w:eastAsia="Times"/>
          <w:lang w:val="en-US"/>
        </w:rPr>
        <w:t xml:space="preserve"> Street, </w:t>
      </w:r>
      <w:proofErr w:type="spellStart"/>
      <w:r w:rsidRPr="000C4DCB">
        <w:rPr>
          <w:rFonts w:eastAsia="Times"/>
          <w:lang w:val="en-US"/>
        </w:rPr>
        <w:t>Beruniy</w:t>
      </w:r>
      <w:proofErr w:type="spellEnd"/>
      <w:r w:rsidRPr="000C4DCB">
        <w:rPr>
          <w:rFonts w:eastAsia="Times"/>
          <w:lang w:val="en-US"/>
        </w:rPr>
        <w:t xml:space="preserve"> Street, </w:t>
      </w:r>
      <w:proofErr w:type="spellStart"/>
      <w:r w:rsidRPr="000C4DCB">
        <w:rPr>
          <w:rFonts w:eastAsia="Times"/>
          <w:lang w:val="en-US"/>
        </w:rPr>
        <w:t>Nurafshon</w:t>
      </w:r>
      <w:proofErr w:type="spellEnd"/>
      <w:r w:rsidRPr="000C4DCB">
        <w:rPr>
          <w:rFonts w:eastAsia="Times"/>
          <w:lang w:val="en-US"/>
        </w:rPr>
        <w:t xml:space="preserve"> Street, Nukus Street, Amir Temur Avenue, </w:t>
      </w:r>
      <w:proofErr w:type="spellStart"/>
      <w:r w:rsidRPr="000C4DCB">
        <w:rPr>
          <w:rFonts w:eastAsia="Times"/>
          <w:lang w:val="en-US"/>
        </w:rPr>
        <w:t>Shakhrisabz</w:t>
      </w:r>
      <w:proofErr w:type="spellEnd"/>
      <w:r w:rsidRPr="000C4DCB">
        <w:rPr>
          <w:rFonts w:eastAsia="Times"/>
          <w:lang w:val="en-US"/>
        </w:rPr>
        <w:t xml:space="preserve"> Street, </w:t>
      </w:r>
      <w:proofErr w:type="spellStart"/>
      <w:r w:rsidRPr="000C4DCB">
        <w:rPr>
          <w:rFonts w:eastAsia="Times"/>
          <w:lang w:val="en-US"/>
        </w:rPr>
        <w:t>Makhtumkuli</w:t>
      </w:r>
      <w:proofErr w:type="spellEnd"/>
      <w:r w:rsidRPr="000C4DCB">
        <w:rPr>
          <w:rFonts w:eastAsia="Times"/>
          <w:lang w:val="en-US"/>
        </w:rPr>
        <w:t xml:space="preserve"> Street, Alisher </w:t>
      </w:r>
      <w:proofErr w:type="spellStart"/>
      <w:r w:rsidRPr="000C4DCB">
        <w:rPr>
          <w:rFonts w:eastAsia="Times"/>
          <w:lang w:val="en-US"/>
        </w:rPr>
        <w:t>Navoi</w:t>
      </w:r>
      <w:proofErr w:type="spellEnd"/>
      <w:r w:rsidRPr="000C4DCB">
        <w:rPr>
          <w:rFonts w:eastAsia="Times"/>
          <w:lang w:val="en-US"/>
        </w:rPr>
        <w:t xml:space="preserve"> Street, </w:t>
      </w:r>
      <w:proofErr w:type="spellStart"/>
      <w:r w:rsidRPr="000C4DCB">
        <w:rPr>
          <w:rFonts w:eastAsia="Times"/>
          <w:lang w:val="en-US"/>
        </w:rPr>
        <w:t>Mukimiy</w:t>
      </w:r>
      <w:proofErr w:type="spellEnd"/>
      <w:r w:rsidRPr="000C4DCB">
        <w:rPr>
          <w:rFonts w:eastAsia="Times"/>
          <w:lang w:val="en-US"/>
        </w:rPr>
        <w:t xml:space="preserve"> Street, Shota Rustaveli Street, </w:t>
      </w:r>
      <w:proofErr w:type="spellStart"/>
      <w:r w:rsidRPr="000C4DCB">
        <w:rPr>
          <w:rFonts w:eastAsia="Times"/>
          <w:lang w:val="en-US"/>
        </w:rPr>
        <w:t>Fargona</w:t>
      </w:r>
      <w:proofErr w:type="spellEnd"/>
      <w:r w:rsidRPr="000C4DCB">
        <w:rPr>
          <w:rFonts w:eastAsia="Times"/>
          <w:lang w:val="en-US"/>
        </w:rPr>
        <w:t xml:space="preserve"> </w:t>
      </w:r>
      <w:proofErr w:type="spellStart"/>
      <w:r w:rsidRPr="000C4DCB">
        <w:rPr>
          <w:rFonts w:eastAsia="Times"/>
          <w:lang w:val="en-US"/>
        </w:rPr>
        <w:t>Yuli</w:t>
      </w:r>
      <w:proofErr w:type="spellEnd"/>
      <w:r w:rsidRPr="000C4DCB">
        <w:rPr>
          <w:rFonts w:eastAsia="Times"/>
          <w:lang w:val="en-US"/>
        </w:rPr>
        <w:t xml:space="preserve"> Street, and </w:t>
      </w:r>
      <w:proofErr w:type="spellStart"/>
      <w:r w:rsidRPr="000C4DCB">
        <w:rPr>
          <w:rFonts w:eastAsia="Times"/>
          <w:lang w:val="en-US"/>
        </w:rPr>
        <w:t>Mirzo</w:t>
      </w:r>
      <w:proofErr w:type="spellEnd"/>
      <w:r w:rsidRPr="000C4DCB">
        <w:rPr>
          <w:rFonts w:eastAsia="Times"/>
          <w:lang w:val="en-US"/>
        </w:rPr>
        <w:t xml:space="preserve"> Ulugbek Street.</w:t>
      </w:r>
    </w:p>
    <w:p w14:paraId="7E2A64DA" w14:textId="77777777" w:rsidR="000C4DCB" w:rsidRPr="000C4DCB" w:rsidRDefault="000C4DCB" w:rsidP="00CD01ED">
      <w:pPr>
        <w:tabs>
          <w:tab w:val="left" w:pos="567"/>
        </w:tabs>
        <w:ind w:firstLine="284"/>
        <w:jc w:val="both"/>
        <w:rPr>
          <w:rFonts w:eastAsia="Times"/>
          <w:lang w:val="en-US"/>
        </w:rPr>
      </w:pPr>
      <w:r w:rsidRPr="000C4DCB">
        <w:rPr>
          <w:rFonts w:eastAsia="Times"/>
          <w:lang w:val="en-US"/>
        </w:rPr>
        <w:t>Each location was chosen based on a consistent set of selection criteria designed to reduce external influencing factors and ensure uniform measurement conditions:</w:t>
      </w:r>
    </w:p>
    <w:p w14:paraId="3B6BFBCD" w14:textId="77777777" w:rsidR="000C4DCB" w:rsidRPr="000C4DCB" w:rsidRDefault="000C4DCB" w:rsidP="00CD01ED">
      <w:pPr>
        <w:numPr>
          <w:ilvl w:val="0"/>
          <w:numId w:val="5"/>
        </w:numPr>
        <w:tabs>
          <w:tab w:val="left" w:pos="567"/>
        </w:tabs>
        <w:ind w:left="0" w:firstLine="284"/>
        <w:jc w:val="both"/>
        <w:rPr>
          <w:rFonts w:eastAsia="Times"/>
          <w:lang w:val="en-US"/>
        </w:rPr>
      </w:pPr>
      <w:r w:rsidRPr="000C4DCB">
        <w:rPr>
          <w:rFonts w:eastAsia="Times"/>
          <w:lang w:val="en-US"/>
        </w:rPr>
        <w:t>absence of road surface defects such as potholes, cracks, or deformations;</w:t>
      </w:r>
    </w:p>
    <w:p w14:paraId="38A7C403" w14:textId="77777777" w:rsidR="000C4DCB" w:rsidRPr="000C4DCB" w:rsidRDefault="000C4DCB" w:rsidP="00CD01ED">
      <w:pPr>
        <w:numPr>
          <w:ilvl w:val="0"/>
          <w:numId w:val="5"/>
        </w:numPr>
        <w:tabs>
          <w:tab w:val="left" w:pos="567"/>
        </w:tabs>
        <w:ind w:left="0" w:firstLine="284"/>
        <w:jc w:val="both"/>
        <w:rPr>
          <w:rFonts w:eastAsia="Times"/>
          <w:lang w:val="en-US"/>
        </w:rPr>
      </w:pPr>
      <w:r w:rsidRPr="000C4DCB">
        <w:rPr>
          <w:rFonts w:eastAsia="Times"/>
          <w:lang w:val="en-US"/>
        </w:rPr>
        <w:t>smooth pavement quality to support uninterrupted vehicle flow;</w:t>
      </w:r>
    </w:p>
    <w:p w14:paraId="17176715" w14:textId="77777777" w:rsidR="000C4DCB" w:rsidRPr="000C4DCB" w:rsidRDefault="000C4DCB" w:rsidP="00CD01ED">
      <w:pPr>
        <w:numPr>
          <w:ilvl w:val="0"/>
          <w:numId w:val="5"/>
        </w:numPr>
        <w:tabs>
          <w:tab w:val="left" w:pos="567"/>
        </w:tabs>
        <w:ind w:left="0" w:firstLine="284"/>
        <w:jc w:val="both"/>
        <w:rPr>
          <w:rFonts w:eastAsia="Times"/>
          <w:lang w:val="en-US"/>
        </w:rPr>
      </w:pPr>
      <w:r w:rsidRPr="000C4DCB">
        <w:rPr>
          <w:rFonts w:eastAsia="Times"/>
          <w:lang w:val="en-US"/>
        </w:rPr>
        <w:t>lack of intersections, bus stops, and traffic signals within the measured segment;</w:t>
      </w:r>
    </w:p>
    <w:p w14:paraId="77DA48BF" w14:textId="77777777" w:rsidR="000C4DCB" w:rsidRPr="000C4DCB" w:rsidRDefault="000C4DCB" w:rsidP="00CD01ED">
      <w:pPr>
        <w:numPr>
          <w:ilvl w:val="0"/>
          <w:numId w:val="5"/>
        </w:numPr>
        <w:tabs>
          <w:tab w:val="left" w:pos="567"/>
        </w:tabs>
        <w:ind w:left="0" w:firstLine="284"/>
        <w:jc w:val="both"/>
        <w:rPr>
          <w:rFonts w:eastAsia="Times"/>
          <w:lang w:val="en-US"/>
        </w:rPr>
      </w:pPr>
      <w:r w:rsidRPr="000C4DCB">
        <w:rPr>
          <w:rFonts w:eastAsia="Times"/>
          <w:lang w:val="en-US"/>
        </w:rPr>
        <w:t>favorable meteorological conditions, with ambient temperatures ranging from +15 °C to +25 °C, no precipitation, and light wind;</w:t>
      </w:r>
    </w:p>
    <w:p w14:paraId="0C25C977" w14:textId="77777777" w:rsidR="000C4DCB" w:rsidRPr="000C4DCB" w:rsidRDefault="000C4DCB" w:rsidP="00CD01ED">
      <w:pPr>
        <w:numPr>
          <w:ilvl w:val="0"/>
          <w:numId w:val="5"/>
        </w:numPr>
        <w:tabs>
          <w:tab w:val="left" w:pos="567"/>
        </w:tabs>
        <w:ind w:left="0" w:firstLine="284"/>
        <w:jc w:val="both"/>
        <w:rPr>
          <w:rFonts w:eastAsia="Times"/>
          <w:lang w:val="en-US"/>
        </w:rPr>
      </w:pPr>
      <w:r w:rsidRPr="000C4DCB">
        <w:rPr>
          <w:rFonts w:eastAsia="Times"/>
          <w:lang w:val="en-US"/>
        </w:rPr>
        <w:t>all measurements were conducted in April 2025 during the spring season.</w:t>
      </w:r>
    </w:p>
    <w:p w14:paraId="20AE9A4C" w14:textId="77777777" w:rsidR="000C4DCB" w:rsidRPr="000C4DCB" w:rsidRDefault="000C4DCB" w:rsidP="00CD01ED">
      <w:pPr>
        <w:tabs>
          <w:tab w:val="left" w:pos="567"/>
        </w:tabs>
        <w:ind w:firstLine="284"/>
        <w:jc w:val="both"/>
        <w:rPr>
          <w:rFonts w:eastAsia="Times"/>
          <w:lang w:val="en-US"/>
        </w:rPr>
      </w:pPr>
      <w:r w:rsidRPr="000C4DCB">
        <w:rPr>
          <w:rFonts w:eastAsia="Times"/>
          <w:lang w:val="en-US"/>
        </w:rPr>
        <w:t>The objective of these criteria was to establish comparable baseline conditions across all lanes and street types.</w:t>
      </w:r>
    </w:p>
    <w:p w14:paraId="656214B2" w14:textId="77777777" w:rsidR="000C4DCB" w:rsidRPr="000C4DCB" w:rsidRDefault="000C4DCB" w:rsidP="00CD01ED">
      <w:pPr>
        <w:tabs>
          <w:tab w:val="left" w:pos="567"/>
        </w:tabs>
        <w:ind w:firstLine="284"/>
        <w:jc w:val="both"/>
        <w:rPr>
          <w:rFonts w:eastAsia="Times"/>
          <w:lang w:val="en-US"/>
        </w:rPr>
      </w:pPr>
      <w:r w:rsidRPr="000C4DCB">
        <w:rPr>
          <w:rFonts w:eastAsia="Times"/>
          <w:lang w:val="en-US"/>
        </w:rPr>
        <w:t>Pollutant concentrations and traffic characteristics were recorded separately for each traffic lane, with specific attention to average speed and lane location:</w:t>
      </w:r>
    </w:p>
    <w:p w14:paraId="7EC0EE9D" w14:textId="77777777" w:rsidR="000C4DCB" w:rsidRPr="008F49DA" w:rsidRDefault="000C4DCB" w:rsidP="00CD01ED">
      <w:pPr>
        <w:numPr>
          <w:ilvl w:val="0"/>
          <w:numId w:val="6"/>
        </w:numPr>
        <w:tabs>
          <w:tab w:val="left" w:pos="567"/>
        </w:tabs>
        <w:ind w:left="0" w:firstLine="284"/>
        <w:jc w:val="both"/>
        <w:rPr>
          <w:rFonts w:eastAsia="Times"/>
          <w:lang w:val="en-US"/>
        </w:rPr>
      </w:pPr>
      <w:r w:rsidRPr="008F49DA">
        <w:rPr>
          <w:rFonts w:eastAsia="Times"/>
          <w:bCs/>
          <w:lang w:val="en-US"/>
        </w:rPr>
        <w:t>Lane 1 (outer/rightmost)</w:t>
      </w:r>
      <w:r w:rsidRPr="008F49DA">
        <w:rPr>
          <w:rFonts w:eastAsia="Times"/>
          <w:lang w:val="en-US"/>
        </w:rPr>
        <w:t xml:space="preserve">: </w:t>
      </w:r>
      <w:r w:rsidR="008F49DA" w:rsidRPr="008F49DA">
        <w:rPr>
          <w:rFonts w:eastAsia="Times"/>
          <w:lang w:val="en-US"/>
        </w:rPr>
        <w:t>typically,</w:t>
      </w:r>
      <w:r w:rsidRPr="008F49DA">
        <w:rPr>
          <w:rFonts w:eastAsia="Times"/>
          <w:lang w:val="en-US"/>
        </w:rPr>
        <w:t xml:space="preserve"> the most congested and slow-moving;</w:t>
      </w:r>
    </w:p>
    <w:p w14:paraId="4A8F0A33" w14:textId="77777777" w:rsidR="000C4DCB" w:rsidRPr="008F49DA" w:rsidRDefault="000C4DCB" w:rsidP="00CD01ED">
      <w:pPr>
        <w:numPr>
          <w:ilvl w:val="0"/>
          <w:numId w:val="6"/>
        </w:numPr>
        <w:tabs>
          <w:tab w:val="left" w:pos="567"/>
        </w:tabs>
        <w:ind w:left="0" w:firstLine="284"/>
        <w:jc w:val="both"/>
        <w:rPr>
          <w:rFonts w:eastAsia="Times"/>
          <w:lang w:val="en-US"/>
        </w:rPr>
      </w:pPr>
      <w:r w:rsidRPr="008F49DA">
        <w:rPr>
          <w:rFonts w:eastAsia="Times"/>
          <w:bCs/>
          <w:lang w:val="en-US"/>
        </w:rPr>
        <w:t>Lane 2</w:t>
      </w:r>
      <w:r w:rsidRPr="008F49DA">
        <w:rPr>
          <w:rFonts w:eastAsia="Times"/>
          <w:lang w:val="en-US"/>
        </w:rPr>
        <w:t>: moderate flow with increased average speed;</w:t>
      </w:r>
    </w:p>
    <w:p w14:paraId="6C872875" w14:textId="77777777" w:rsidR="000C4DCB" w:rsidRPr="008F49DA" w:rsidRDefault="000C4DCB" w:rsidP="00CD01ED">
      <w:pPr>
        <w:numPr>
          <w:ilvl w:val="0"/>
          <w:numId w:val="6"/>
        </w:numPr>
        <w:tabs>
          <w:tab w:val="left" w:pos="567"/>
        </w:tabs>
        <w:ind w:left="0" w:firstLine="284"/>
        <w:jc w:val="both"/>
        <w:rPr>
          <w:rFonts w:eastAsia="Times"/>
          <w:lang w:val="en-US"/>
        </w:rPr>
      </w:pPr>
      <w:r w:rsidRPr="008F49DA">
        <w:rPr>
          <w:rFonts w:eastAsia="Times"/>
          <w:bCs/>
          <w:lang w:val="en-US"/>
        </w:rPr>
        <w:t>Lanes 3 and 4</w:t>
      </w:r>
      <w:r w:rsidRPr="008F49DA">
        <w:rPr>
          <w:rFonts w:eastAsia="Times"/>
          <w:lang w:val="en-US"/>
        </w:rPr>
        <w:t xml:space="preserve"> (where applicable): highest speeds and minimal interruptions.</w:t>
      </w:r>
    </w:p>
    <w:p w14:paraId="1827F9DB" w14:textId="77777777" w:rsidR="000C4DCB" w:rsidRPr="000C4DCB" w:rsidRDefault="000C4DCB" w:rsidP="00CD01ED">
      <w:pPr>
        <w:tabs>
          <w:tab w:val="left" w:pos="567"/>
        </w:tabs>
        <w:ind w:firstLine="284"/>
        <w:jc w:val="both"/>
        <w:rPr>
          <w:rFonts w:eastAsia="Times"/>
          <w:lang w:val="en-US"/>
        </w:rPr>
      </w:pPr>
      <w:r w:rsidRPr="000C4DCB">
        <w:rPr>
          <w:rFonts w:eastAsia="Times"/>
          <w:lang w:val="en-US"/>
        </w:rPr>
        <w:t>For each lane, the following parameters were collected:</w:t>
      </w:r>
    </w:p>
    <w:p w14:paraId="50A90905" w14:textId="77777777" w:rsidR="000C4DCB" w:rsidRPr="000C4DCB" w:rsidRDefault="000C4DCB" w:rsidP="00CD01ED">
      <w:pPr>
        <w:numPr>
          <w:ilvl w:val="0"/>
          <w:numId w:val="7"/>
        </w:numPr>
        <w:tabs>
          <w:tab w:val="left" w:pos="567"/>
        </w:tabs>
        <w:ind w:left="0" w:firstLine="284"/>
        <w:jc w:val="both"/>
        <w:rPr>
          <w:rFonts w:eastAsia="Times"/>
          <w:lang w:val="en-US"/>
        </w:rPr>
      </w:pPr>
      <w:r w:rsidRPr="000C4DCB">
        <w:rPr>
          <w:rFonts w:eastAsia="Times"/>
          <w:lang w:val="en-US"/>
        </w:rPr>
        <w:t>levels of air pollutants (CO, NO, NO₂, SO₂), measured using a portable gas analyzer (</w:t>
      </w:r>
      <w:proofErr w:type="spellStart"/>
      <w:r w:rsidRPr="000C4DCB">
        <w:rPr>
          <w:rFonts w:eastAsia="Times"/>
          <w:lang w:val="en-US"/>
        </w:rPr>
        <w:t>Harwest</w:t>
      </w:r>
      <w:proofErr w:type="spellEnd"/>
      <w:r w:rsidRPr="000C4DCB">
        <w:rPr>
          <w:rFonts w:eastAsia="Times"/>
          <w:lang w:val="en-US"/>
        </w:rPr>
        <w:t xml:space="preserve"> E4000 model);</w:t>
      </w:r>
    </w:p>
    <w:p w14:paraId="7FCBE313" w14:textId="77777777" w:rsidR="000C4DCB" w:rsidRPr="000C4DCB" w:rsidRDefault="000C4DCB" w:rsidP="00CD01ED">
      <w:pPr>
        <w:numPr>
          <w:ilvl w:val="0"/>
          <w:numId w:val="7"/>
        </w:numPr>
        <w:tabs>
          <w:tab w:val="left" w:pos="567"/>
        </w:tabs>
        <w:ind w:left="0" w:firstLine="284"/>
        <w:jc w:val="both"/>
        <w:rPr>
          <w:rFonts w:eastAsia="Times"/>
          <w:lang w:val="en-US"/>
        </w:rPr>
      </w:pPr>
      <w:r w:rsidRPr="000C4DCB">
        <w:rPr>
          <w:rFonts w:eastAsia="Times"/>
          <w:lang w:val="en-US"/>
        </w:rPr>
        <w:t>average traffic speed, calculated using stopwatch timing in combination with video analysis;</w:t>
      </w:r>
    </w:p>
    <w:p w14:paraId="4BD33D13" w14:textId="77777777" w:rsidR="000C4DCB" w:rsidRPr="000C4DCB" w:rsidRDefault="000C4DCB" w:rsidP="00CD01ED">
      <w:pPr>
        <w:numPr>
          <w:ilvl w:val="0"/>
          <w:numId w:val="7"/>
        </w:numPr>
        <w:tabs>
          <w:tab w:val="left" w:pos="567"/>
        </w:tabs>
        <w:ind w:left="0" w:firstLine="284"/>
        <w:jc w:val="both"/>
        <w:rPr>
          <w:rFonts w:eastAsia="Times"/>
          <w:lang w:val="en-US"/>
        </w:rPr>
      </w:pPr>
      <w:r w:rsidRPr="000C4DCB">
        <w:rPr>
          <w:rFonts w:eastAsia="Times"/>
          <w:lang w:val="en-US"/>
        </w:rPr>
        <w:t>time of day and observation duration, with measurements primarily occurring during peak traffic periods (morning and daytime hours).</w:t>
      </w:r>
    </w:p>
    <w:p w14:paraId="01DACE69" w14:textId="77777777" w:rsidR="000C4DCB" w:rsidRPr="000C4DCB" w:rsidRDefault="000C4DCB" w:rsidP="00CD01ED">
      <w:pPr>
        <w:tabs>
          <w:tab w:val="left" w:pos="567"/>
        </w:tabs>
        <w:ind w:firstLine="284"/>
        <w:jc w:val="both"/>
        <w:rPr>
          <w:rFonts w:eastAsia="Times"/>
          <w:lang w:val="en-US"/>
        </w:rPr>
      </w:pPr>
      <w:r w:rsidRPr="000C4DCB">
        <w:rPr>
          <w:rFonts w:eastAsia="Times"/>
          <w:lang w:val="en-US"/>
        </w:rPr>
        <w:t>The resulting dataset was categorized by road type (based on the number of lanes), individual lane number, and pollutant type. Graphical analysis was used to illustrate the correlation between pollutant concentrations and vehicle speeds for each lane, with linear trend lines applied to support both qualitative observation and quantitative evaluation.</w:t>
      </w:r>
    </w:p>
    <w:p w14:paraId="422D30B7" w14:textId="77777777" w:rsidR="000C4DCB" w:rsidRPr="000C4DCB" w:rsidRDefault="000C4DCB" w:rsidP="00CD01ED">
      <w:pPr>
        <w:tabs>
          <w:tab w:val="left" w:pos="567"/>
        </w:tabs>
        <w:ind w:firstLine="284"/>
        <w:jc w:val="both"/>
        <w:rPr>
          <w:rFonts w:eastAsia="Times"/>
          <w:lang w:val="en-US"/>
        </w:rPr>
      </w:pPr>
      <w:r w:rsidRPr="000C4DCB">
        <w:rPr>
          <w:rFonts w:eastAsia="Times"/>
          <w:lang w:val="en-US"/>
        </w:rPr>
        <w:t>This methodological approach made it possible to identify intra-road variations in pollution levels depending on traffic lane characteristics and vehicle speed, enabling deeper insights into localized emission patterns within urban traffic flows.</w:t>
      </w:r>
    </w:p>
    <w:p w14:paraId="5AB2BA84" w14:textId="0E506D8E" w:rsidR="008F49DA" w:rsidRPr="00B43A19" w:rsidRDefault="00CD01ED" w:rsidP="00CD01ED">
      <w:pPr>
        <w:keepNext/>
        <w:keepLines/>
        <w:tabs>
          <w:tab w:val="left" w:pos="454"/>
        </w:tabs>
        <w:spacing w:before="240" w:after="240"/>
        <w:jc w:val="center"/>
        <w:rPr>
          <w:rFonts w:eastAsia="Times"/>
          <w:b/>
          <w:sz w:val="24"/>
          <w:szCs w:val="24"/>
        </w:rPr>
      </w:pPr>
      <w:r w:rsidRPr="00D83282">
        <w:rPr>
          <w:rFonts w:eastAsia="Times"/>
          <w:b/>
          <w:sz w:val="24"/>
          <w:szCs w:val="24"/>
        </w:rPr>
        <w:t>RESULTS AND DISCUSSION</w:t>
      </w:r>
    </w:p>
    <w:p w14:paraId="15AA4939" w14:textId="77777777" w:rsidR="00E65611" w:rsidRPr="00E65611" w:rsidRDefault="00E65611" w:rsidP="00CD01ED">
      <w:pPr>
        <w:tabs>
          <w:tab w:val="left" w:pos="567"/>
        </w:tabs>
        <w:ind w:firstLine="284"/>
        <w:jc w:val="both"/>
        <w:rPr>
          <w:rFonts w:eastAsia="Times"/>
          <w:lang w:val="en-US"/>
        </w:rPr>
      </w:pPr>
      <w:r w:rsidRPr="00E65611">
        <w:rPr>
          <w:rFonts w:eastAsia="Times"/>
          <w:lang w:val="en-US"/>
        </w:rPr>
        <w:t>The analysis demonstrated that pollutant levels are influenced not only by the overall volume of traffic but also by the specific lane position and the average travel speed within each lane. Across all studied street types, a consistent pattern emerged: lower average speeds—typically recorded in the outermost (first) lane—correspond with elevated pollutant concentrations.</w:t>
      </w:r>
    </w:p>
    <w:p w14:paraId="40C7DF6E" w14:textId="77777777" w:rsidR="00E65611" w:rsidRPr="00E65611" w:rsidRDefault="00E65611" w:rsidP="00CD01ED">
      <w:pPr>
        <w:tabs>
          <w:tab w:val="left" w:pos="567"/>
        </w:tabs>
        <w:ind w:firstLine="284"/>
        <w:jc w:val="both"/>
        <w:rPr>
          <w:rFonts w:eastAsia="Times"/>
          <w:lang w:val="en-US"/>
        </w:rPr>
      </w:pPr>
      <w:r w:rsidRPr="00E65611">
        <w:rPr>
          <w:rFonts w:eastAsia="Times"/>
          <w:lang w:val="en-US"/>
        </w:rPr>
        <w:t xml:space="preserve">As shown in </w:t>
      </w:r>
      <w:r w:rsidRPr="00E65611">
        <w:rPr>
          <w:rFonts w:eastAsia="Times"/>
          <w:bCs/>
          <w:lang w:val="en-US"/>
        </w:rPr>
        <w:t>Figure 1</w:t>
      </w:r>
      <w:r w:rsidRPr="00E65611">
        <w:rPr>
          <w:rFonts w:eastAsia="Times"/>
          <w:lang w:val="en-US"/>
        </w:rPr>
        <w:t>, which depicts the relationship between CO concentration and average vehicle speed across lanes for streets with 4, 6, and 8 lanes, the following trends were observed:</w:t>
      </w:r>
    </w:p>
    <w:p w14:paraId="4ED362FD" w14:textId="77777777" w:rsidR="00E65611" w:rsidRPr="00E65611" w:rsidRDefault="00E65611" w:rsidP="00CD01ED">
      <w:pPr>
        <w:numPr>
          <w:ilvl w:val="0"/>
          <w:numId w:val="9"/>
        </w:numPr>
        <w:tabs>
          <w:tab w:val="left" w:pos="567"/>
        </w:tabs>
        <w:ind w:left="0" w:firstLine="284"/>
        <w:jc w:val="both"/>
        <w:rPr>
          <w:rFonts w:eastAsia="Times"/>
          <w:lang w:val="en-US"/>
        </w:rPr>
      </w:pPr>
      <w:r w:rsidRPr="00E65611">
        <w:rPr>
          <w:rFonts w:eastAsia="Times"/>
          <w:bCs/>
          <w:lang w:val="en-US"/>
        </w:rPr>
        <w:t>Lane 1 (rightmost)</w:t>
      </w:r>
      <w:r w:rsidRPr="00E65611">
        <w:rPr>
          <w:rFonts w:eastAsia="Times"/>
          <w:lang w:val="en-US"/>
        </w:rPr>
        <w:t xml:space="preserve"> exhibited the highest levels of carbon monoxide, corresponding to the slowest traffic speeds, generally within the </w:t>
      </w:r>
      <w:r w:rsidRPr="00E65611">
        <w:rPr>
          <w:rFonts w:eastAsia="Times"/>
          <w:bCs/>
          <w:lang w:val="en-US"/>
        </w:rPr>
        <w:t>25–40 km/h</w:t>
      </w:r>
      <w:r w:rsidRPr="00E65611">
        <w:rPr>
          <w:rFonts w:eastAsia="Times"/>
          <w:lang w:val="en-US"/>
        </w:rPr>
        <w:t xml:space="preserve"> range;</w:t>
      </w:r>
    </w:p>
    <w:p w14:paraId="1E89708F" w14:textId="77777777" w:rsidR="00E65611" w:rsidRPr="00E65611" w:rsidRDefault="00E65611" w:rsidP="00CD01ED">
      <w:pPr>
        <w:numPr>
          <w:ilvl w:val="0"/>
          <w:numId w:val="9"/>
        </w:numPr>
        <w:tabs>
          <w:tab w:val="left" w:pos="567"/>
        </w:tabs>
        <w:ind w:left="0" w:firstLine="284"/>
        <w:jc w:val="both"/>
        <w:rPr>
          <w:rFonts w:eastAsia="Times"/>
          <w:lang w:val="en-US"/>
        </w:rPr>
      </w:pPr>
      <w:r w:rsidRPr="00E65611">
        <w:rPr>
          <w:rFonts w:eastAsia="Times"/>
          <w:bCs/>
          <w:lang w:val="en-US"/>
        </w:rPr>
        <w:t>Lane 2</w:t>
      </w:r>
      <w:r w:rsidRPr="00E65611">
        <w:rPr>
          <w:rFonts w:eastAsia="Times"/>
          <w:lang w:val="en-US"/>
        </w:rPr>
        <w:t xml:space="preserve"> displayed moderate CO concentrations;</w:t>
      </w:r>
    </w:p>
    <w:p w14:paraId="19AFDFF7" w14:textId="77777777" w:rsidR="00E65611" w:rsidRPr="00E65611" w:rsidRDefault="00E65611" w:rsidP="00CD01ED">
      <w:pPr>
        <w:numPr>
          <w:ilvl w:val="0"/>
          <w:numId w:val="9"/>
        </w:numPr>
        <w:tabs>
          <w:tab w:val="left" w:pos="567"/>
        </w:tabs>
        <w:ind w:left="0" w:firstLine="284"/>
        <w:jc w:val="both"/>
        <w:rPr>
          <w:rFonts w:eastAsia="Times"/>
          <w:lang w:val="en-US"/>
        </w:rPr>
      </w:pPr>
      <w:r w:rsidRPr="00E65611">
        <w:rPr>
          <w:rFonts w:eastAsia="Times"/>
          <w:bCs/>
          <w:lang w:val="en-US"/>
        </w:rPr>
        <w:t>Lanes 3 and 4</w:t>
      </w:r>
      <w:r w:rsidRPr="00E65611">
        <w:rPr>
          <w:rFonts w:eastAsia="Times"/>
          <w:lang w:val="en-US"/>
        </w:rPr>
        <w:t xml:space="preserve">, where applicable, registered the lowest CO levels, with traffic moving at higher speeds between </w:t>
      </w:r>
      <w:r w:rsidRPr="00E65611">
        <w:rPr>
          <w:rFonts w:eastAsia="Times"/>
          <w:bCs/>
          <w:lang w:val="en-US"/>
        </w:rPr>
        <w:t>45–60 km/h</w:t>
      </w:r>
      <w:r w:rsidRPr="00E65611">
        <w:rPr>
          <w:rFonts w:eastAsia="Times"/>
          <w:lang w:val="en-US"/>
        </w:rPr>
        <w:t>.</w:t>
      </w:r>
    </w:p>
    <w:p w14:paraId="0B2FBB2F" w14:textId="77777777" w:rsidR="00E65611" w:rsidRPr="00E65611" w:rsidRDefault="00E65611" w:rsidP="00CD01ED">
      <w:pPr>
        <w:tabs>
          <w:tab w:val="left" w:pos="567"/>
        </w:tabs>
        <w:ind w:firstLine="284"/>
        <w:jc w:val="both"/>
        <w:rPr>
          <w:rFonts w:eastAsia="Times"/>
          <w:lang w:val="en-US"/>
        </w:rPr>
      </w:pPr>
      <w:r w:rsidRPr="00E65611">
        <w:rPr>
          <w:rFonts w:eastAsia="Times"/>
          <w:lang w:val="en-US"/>
        </w:rPr>
        <w:t xml:space="preserve">Although a noticeable rise in CO concentration was identified in the right-hand lanes, the measured values in most instances did not exceed the </w:t>
      </w:r>
      <w:r w:rsidRPr="00E65611">
        <w:rPr>
          <w:rFonts w:eastAsia="Times"/>
          <w:bCs/>
          <w:lang w:val="en-US"/>
        </w:rPr>
        <w:t>Maximum Permissible Concentration (MPC)</w:t>
      </w:r>
      <w:r w:rsidRPr="00E65611">
        <w:rPr>
          <w:rFonts w:eastAsia="Times"/>
          <w:lang w:val="en-US"/>
        </w:rPr>
        <w:t xml:space="preserve"> limit of </w:t>
      </w:r>
      <w:r w:rsidRPr="00E65611">
        <w:rPr>
          <w:rFonts w:eastAsia="Times"/>
          <w:bCs/>
          <w:lang w:val="en-US"/>
        </w:rPr>
        <w:t>5.0 mg/m³</w:t>
      </w:r>
      <w:r w:rsidRPr="00E65611">
        <w:rPr>
          <w:rFonts w:eastAsia="Times"/>
          <w:lang w:val="en-US"/>
        </w:rPr>
        <w:t>. This finding may be attributed to the relatively efficient combustion of fuel at moderate engine loads and smoother vehicle operation at consistent speeds.</w:t>
      </w:r>
    </w:p>
    <w:p w14:paraId="412CB33F" w14:textId="77777777" w:rsidR="00E65611" w:rsidRPr="00E65611" w:rsidRDefault="00E65611" w:rsidP="00CD01ED">
      <w:pPr>
        <w:tabs>
          <w:tab w:val="left" w:pos="567"/>
        </w:tabs>
        <w:ind w:firstLine="284"/>
        <w:jc w:val="both"/>
        <w:rPr>
          <w:rFonts w:eastAsia="Times"/>
          <w:lang w:val="en-US"/>
        </w:rPr>
      </w:pPr>
      <w:r w:rsidRPr="00E65611">
        <w:rPr>
          <w:rFonts w:eastAsia="Times"/>
          <w:lang w:val="en-US"/>
        </w:rPr>
        <w:t>These results highlight the significance of lane-specific traffic dynamics in shaping localized air quality conditions. Slower speeds and frequent decelerations—characteristic of curbside lanes—contribute to pollutant buildup, while higher and more stable speeds in central lanes help reduce emission intensity. This underscores the need for targeted traffic management measures that consider intra-road variations in speed and flow to mitigate urban air pollution more effectively.</w:t>
      </w:r>
    </w:p>
    <w:p w14:paraId="6AE54210" w14:textId="77777777" w:rsidR="00D83282" w:rsidRPr="0042530D" w:rsidRDefault="00D83282" w:rsidP="00CD01ED">
      <w:pPr>
        <w:jc w:val="center"/>
      </w:pPr>
      <w:r w:rsidRPr="007540A5">
        <w:rPr>
          <w:b/>
          <w:bCs/>
          <w:noProof/>
          <w:lang w:val="ru-RU" w:eastAsia="ru-RU"/>
        </w:rPr>
        <w:lastRenderedPageBreak/>
        <w:drawing>
          <wp:inline distT="0" distB="0" distL="0" distR="0" wp14:anchorId="00841689" wp14:editId="3F0AD48B">
            <wp:extent cx="5247640" cy="1383389"/>
            <wp:effectExtent l="0" t="0" r="0" b="7620"/>
            <wp:docPr id="3" name="Рисунок 3" descr="C:\Users\Тимур Бекетов\OneDrive\Документы\1706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имур Бекетов\OneDrive\Документы\1706_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84756" cy="1393174"/>
                    </a:xfrm>
                    <a:prstGeom prst="rect">
                      <a:avLst/>
                    </a:prstGeom>
                    <a:noFill/>
                    <a:ln>
                      <a:noFill/>
                    </a:ln>
                  </pic:spPr>
                </pic:pic>
              </a:graphicData>
            </a:graphic>
          </wp:inline>
        </w:drawing>
      </w:r>
    </w:p>
    <w:p w14:paraId="78245945" w14:textId="6745AB7A" w:rsidR="00D83282" w:rsidRPr="0042530D" w:rsidRDefault="00CD01ED" w:rsidP="00CD01ED">
      <w:pPr>
        <w:keepNext/>
        <w:keepLines/>
        <w:spacing w:after="120"/>
        <w:jc w:val="center"/>
      </w:pPr>
      <w:r w:rsidRPr="0042530D">
        <w:rPr>
          <w:rFonts w:eastAsia="Times"/>
          <w:b/>
          <w:sz w:val="18"/>
          <w:szCs w:val="18"/>
        </w:rPr>
        <w:t>FIG</w:t>
      </w:r>
      <w:r>
        <w:rPr>
          <w:rFonts w:eastAsia="Times"/>
          <w:b/>
          <w:sz w:val="18"/>
          <w:szCs w:val="18"/>
        </w:rPr>
        <w:t>URE</w:t>
      </w:r>
      <w:r w:rsidR="00D83282" w:rsidRPr="0042530D">
        <w:rPr>
          <w:rFonts w:eastAsia="Times"/>
          <w:b/>
          <w:sz w:val="18"/>
          <w:szCs w:val="18"/>
        </w:rPr>
        <w:t xml:space="preserve"> 1.</w:t>
      </w:r>
      <w:r w:rsidR="00D83282" w:rsidRPr="0042530D">
        <w:rPr>
          <w:rFonts w:eastAsia="Times"/>
          <w:sz w:val="18"/>
          <w:szCs w:val="18"/>
        </w:rPr>
        <w:t xml:space="preserve"> </w:t>
      </w:r>
      <w:r w:rsidR="00D83282" w:rsidRPr="00D83282">
        <w:rPr>
          <w:rFonts w:eastAsia="Times"/>
          <w:sz w:val="18"/>
          <w:szCs w:val="18"/>
        </w:rPr>
        <w:t>Relationship between carbon monoxide (CO) concentration and average vehicle speed across traffic lanes on urban streets with 4, 6, and 8 lanes</w:t>
      </w:r>
    </w:p>
    <w:p w14:paraId="258196D7" w14:textId="77777777" w:rsidR="00D5611D" w:rsidRPr="00D5611D" w:rsidRDefault="00D5611D" w:rsidP="00CD01ED">
      <w:pPr>
        <w:tabs>
          <w:tab w:val="left" w:pos="567"/>
        </w:tabs>
        <w:ind w:firstLine="284"/>
        <w:jc w:val="both"/>
        <w:rPr>
          <w:rFonts w:eastAsia="Times"/>
          <w:lang w:val="en-US"/>
        </w:rPr>
      </w:pPr>
      <w:r w:rsidRPr="00D5611D">
        <w:rPr>
          <w:rFonts w:eastAsia="Times"/>
          <w:lang w:val="en-US"/>
        </w:rPr>
        <w:t>Figures 2 through 4 reveal patterns similar to those observed for CO, further emphasizing the impact of lane-specific vehicle speeds on pollutant accumulation.</w:t>
      </w:r>
    </w:p>
    <w:p w14:paraId="778489CC" w14:textId="77777777" w:rsidR="00D5611D" w:rsidRPr="00D5611D" w:rsidRDefault="00D5611D" w:rsidP="00CD01ED">
      <w:pPr>
        <w:tabs>
          <w:tab w:val="left" w:pos="567"/>
        </w:tabs>
        <w:ind w:firstLine="284"/>
        <w:jc w:val="both"/>
        <w:rPr>
          <w:rFonts w:eastAsia="Times"/>
          <w:lang w:val="en-US"/>
        </w:rPr>
      </w:pPr>
      <w:r w:rsidRPr="00D5611D">
        <w:rPr>
          <w:rFonts w:eastAsia="Times"/>
          <w:lang w:val="en-US"/>
        </w:rPr>
        <w:t xml:space="preserve">For </w:t>
      </w:r>
      <w:r w:rsidRPr="00D5611D">
        <w:rPr>
          <w:rFonts w:eastAsia="Times"/>
          <w:bCs/>
          <w:lang w:val="en-US"/>
        </w:rPr>
        <w:t>nitric oxide (NO)</w:t>
      </w:r>
      <w:r w:rsidRPr="00D5611D">
        <w:rPr>
          <w:rFonts w:eastAsia="Times"/>
          <w:lang w:val="en-US"/>
        </w:rPr>
        <w:t xml:space="preserve"> and </w:t>
      </w:r>
      <w:r w:rsidRPr="00D5611D">
        <w:rPr>
          <w:rFonts w:eastAsia="Times"/>
          <w:bCs/>
          <w:lang w:val="en-US"/>
        </w:rPr>
        <w:t>nitrogen dioxide (NO₂)</w:t>
      </w:r>
      <w:r w:rsidRPr="00D5611D">
        <w:rPr>
          <w:rFonts w:eastAsia="Times"/>
          <w:lang w:val="en-US"/>
        </w:rPr>
        <w:t>, the data show frequent and substantial exceedances of their respective Maximum Permissible Concentration (MPC) limits across nearly all measured segments.</w:t>
      </w:r>
    </w:p>
    <w:p w14:paraId="32A75331" w14:textId="77777777" w:rsidR="00D5611D" w:rsidRPr="00D5611D" w:rsidRDefault="00D5611D" w:rsidP="00CD01ED">
      <w:pPr>
        <w:numPr>
          <w:ilvl w:val="0"/>
          <w:numId w:val="12"/>
        </w:numPr>
        <w:tabs>
          <w:tab w:val="left" w:pos="567"/>
        </w:tabs>
        <w:ind w:left="0" w:firstLine="284"/>
        <w:jc w:val="both"/>
        <w:rPr>
          <w:rFonts w:eastAsia="Times"/>
          <w:lang w:val="en-US"/>
        </w:rPr>
      </w:pPr>
      <w:r w:rsidRPr="00D5611D">
        <w:rPr>
          <w:rFonts w:eastAsia="Times"/>
          <w:bCs/>
          <w:lang w:val="en-US"/>
        </w:rPr>
        <w:t>NO</w:t>
      </w:r>
      <w:r w:rsidRPr="00D5611D">
        <w:rPr>
          <w:rFonts w:eastAsia="Times"/>
          <w:lang w:val="en-US"/>
        </w:rPr>
        <w:t xml:space="preserve"> consistently surpasses the </w:t>
      </w:r>
      <w:r w:rsidRPr="00D5611D">
        <w:rPr>
          <w:rFonts w:eastAsia="Times"/>
          <w:bCs/>
          <w:lang w:val="en-US"/>
        </w:rPr>
        <w:t>0.6 mg/m³</w:t>
      </w:r>
      <w:r w:rsidRPr="00D5611D">
        <w:rPr>
          <w:rFonts w:eastAsia="Times"/>
          <w:lang w:val="en-US"/>
        </w:rPr>
        <w:t xml:space="preserve"> threshold, especially in right-hand lanes where speeds are lower and traffic interruptions are frequent.</w:t>
      </w:r>
    </w:p>
    <w:p w14:paraId="582F50D9" w14:textId="77777777" w:rsidR="00D5611D" w:rsidRPr="00D5611D" w:rsidRDefault="00D5611D" w:rsidP="00CD01ED">
      <w:pPr>
        <w:numPr>
          <w:ilvl w:val="0"/>
          <w:numId w:val="12"/>
        </w:numPr>
        <w:tabs>
          <w:tab w:val="left" w:pos="567"/>
        </w:tabs>
        <w:ind w:left="0" w:firstLine="284"/>
        <w:jc w:val="both"/>
        <w:rPr>
          <w:rFonts w:eastAsia="Times"/>
          <w:lang w:val="en-US"/>
        </w:rPr>
      </w:pPr>
      <w:r w:rsidRPr="00D5611D">
        <w:rPr>
          <w:rFonts w:eastAsia="Times"/>
          <w:bCs/>
          <w:lang w:val="en-US"/>
        </w:rPr>
        <w:t>NO₂</w:t>
      </w:r>
      <w:r w:rsidRPr="00D5611D">
        <w:rPr>
          <w:rFonts w:eastAsia="Times"/>
          <w:lang w:val="en-US"/>
        </w:rPr>
        <w:t xml:space="preserve">, with a stricter MPC of </w:t>
      </w:r>
      <w:r w:rsidRPr="00D5611D">
        <w:rPr>
          <w:rFonts w:eastAsia="Times"/>
          <w:bCs/>
          <w:lang w:val="en-US"/>
        </w:rPr>
        <w:t>0.085 mg/m³</w:t>
      </w:r>
      <w:r w:rsidRPr="00D5611D">
        <w:rPr>
          <w:rFonts w:eastAsia="Times"/>
          <w:lang w:val="en-US"/>
        </w:rPr>
        <w:t>, demonstrates even more widespread exceedances, highlighting its greater toxicity and the sensitivity of urban environments to this pollutant, even under moderate emission rates.</w:t>
      </w:r>
    </w:p>
    <w:p w14:paraId="2A3D6AB4" w14:textId="77777777" w:rsidR="00D5611D" w:rsidRPr="00D5611D" w:rsidRDefault="00D5611D" w:rsidP="00CD01ED">
      <w:pPr>
        <w:tabs>
          <w:tab w:val="left" w:pos="567"/>
        </w:tabs>
        <w:ind w:firstLine="284"/>
        <w:jc w:val="both"/>
        <w:rPr>
          <w:rFonts w:eastAsia="Times"/>
          <w:lang w:val="en-US"/>
        </w:rPr>
      </w:pPr>
      <w:r w:rsidRPr="00D5611D">
        <w:rPr>
          <w:rFonts w:eastAsia="Times"/>
          <w:lang w:val="en-US"/>
        </w:rPr>
        <w:t xml:space="preserve">In contrast, the distribution pattern for </w:t>
      </w:r>
      <w:r w:rsidRPr="00D5611D">
        <w:rPr>
          <w:rFonts w:eastAsia="Times"/>
          <w:bCs/>
          <w:lang w:val="en-US"/>
        </w:rPr>
        <w:t>sulfur dioxide (SO₂)</w:t>
      </w:r>
      <w:r w:rsidRPr="00D5611D">
        <w:rPr>
          <w:rFonts w:eastAsia="Times"/>
          <w:lang w:val="en-US"/>
        </w:rPr>
        <w:t xml:space="preserve"> is more variable. Elevated concentrations primarily occur in </w:t>
      </w:r>
      <w:r w:rsidRPr="00D5611D">
        <w:rPr>
          <w:rFonts w:eastAsia="Times"/>
          <w:bCs/>
          <w:lang w:val="en-US"/>
        </w:rPr>
        <w:t>first-lane segments</w:t>
      </w:r>
      <w:r w:rsidRPr="00D5611D">
        <w:rPr>
          <w:rFonts w:eastAsia="Times"/>
          <w:lang w:val="en-US"/>
        </w:rPr>
        <w:t xml:space="preserve">, where the presence of </w:t>
      </w:r>
      <w:r w:rsidRPr="00D5611D">
        <w:rPr>
          <w:rFonts w:eastAsia="Times"/>
          <w:bCs/>
          <w:lang w:val="en-US"/>
        </w:rPr>
        <w:t>heavy vehicles</w:t>
      </w:r>
      <w:r w:rsidRPr="00D5611D">
        <w:rPr>
          <w:rFonts w:eastAsia="Times"/>
          <w:lang w:val="en-US"/>
        </w:rPr>
        <w:t xml:space="preserve"> is more pronounced.</w:t>
      </w:r>
    </w:p>
    <w:p w14:paraId="11333503" w14:textId="77777777" w:rsidR="00D5611D" w:rsidRPr="00D5611D" w:rsidRDefault="00D5611D" w:rsidP="00CD01ED">
      <w:pPr>
        <w:numPr>
          <w:ilvl w:val="0"/>
          <w:numId w:val="12"/>
        </w:numPr>
        <w:tabs>
          <w:tab w:val="left" w:pos="567"/>
        </w:tabs>
        <w:ind w:left="0" w:firstLine="284"/>
        <w:jc w:val="both"/>
        <w:rPr>
          <w:rFonts w:eastAsia="Times"/>
          <w:lang w:val="en-US"/>
        </w:rPr>
      </w:pPr>
      <w:r w:rsidRPr="00D5611D">
        <w:rPr>
          <w:rFonts w:eastAsia="Times"/>
          <w:lang w:val="en-US"/>
        </w:rPr>
        <w:t xml:space="preserve">While the outer lanes occasionally record values above the permissible limit, </w:t>
      </w:r>
      <w:r w:rsidRPr="00D5611D">
        <w:rPr>
          <w:rFonts w:eastAsia="Times"/>
          <w:bCs/>
          <w:lang w:val="en-US"/>
        </w:rPr>
        <w:t>left and center lanes</w:t>
      </w:r>
      <w:r w:rsidRPr="00D5611D">
        <w:rPr>
          <w:rFonts w:eastAsia="Times"/>
          <w:lang w:val="en-US"/>
        </w:rPr>
        <w:t xml:space="preserve"> generally maintain SO₂ concentrations within regulatory standards.</w:t>
      </w:r>
    </w:p>
    <w:p w14:paraId="748581B6" w14:textId="77777777" w:rsidR="00D5611D" w:rsidRPr="00D5611D" w:rsidRDefault="00D5611D" w:rsidP="00CD01ED">
      <w:pPr>
        <w:numPr>
          <w:ilvl w:val="0"/>
          <w:numId w:val="12"/>
        </w:numPr>
        <w:tabs>
          <w:tab w:val="left" w:pos="567"/>
        </w:tabs>
        <w:ind w:left="0" w:firstLine="284"/>
        <w:jc w:val="both"/>
        <w:rPr>
          <w:rFonts w:eastAsia="Times"/>
          <w:lang w:val="en-US"/>
        </w:rPr>
      </w:pPr>
      <w:r w:rsidRPr="00D5611D">
        <w:rPr>
          <w:rFonts w:eastAsia="Times"/>
          <w:lang w:val="en-US"/>
        </w:rPr>
        <w:t xml:space="preserve">Overall, the data suggest a </w:t>
      </w:r>
      <w:r w:rsidRPr="00D5611D">
        <w:rPr>
          <w:rFonts w:eastAsia="Times"/>
          <w:bCs/>
          <w:lang w:val="en-US"/>
        </w:rPr>
        <w:t>balanced distribution</w:t>
      </w:r>
      <w:r w:rsidRPr="00D5611D">
        <w:rPr>
          <w:rFonts w:eastAsia="Times"/>
          <w:lang w:val="en-US"/>
        </w:rPr>
        <w:t xml:space="preserve"> for SO₂, with exceedances noted in approximately half of the observed cases.</w:t>
      </w:r>
    </w:p>
    <w:p w14:paraId="40CE2A37" w14:textId="77777777" w:rsidR="00D5611D" w:rsidRPr="00D5611D" w:rsidRDefault="00D5611D" w:rsidP="00CD01ED">
      <w:pPr>
        <w:tabs>
          <w:tab w:val="left" w:pos="567"/>
        </w:tabs>
        <w:ind w:firstLine="284"/>
        <w:jc w:val="both"/>
        <w:rPr>
          <w:rFonts w:eastAsia="Times"/>
          <w:lang w:val="en-US"/>
        </w:rPr>
      </w:pPr>
      <w:r w:rsidRPr="00D5611D">
        <w:rPr>
          <w:rFonts w:eastAsia="Times"/>
          <w:lang w:val="en-US"/>
        </w:rPr>
        <w:t>These findings reinforce the importance of lane-specific traffic characteristics in shaping the spatial distribution of air pollutants. They also emphasize the need for targeted emission mitigation strategies, particularly in rightmost lanes where pollutant buildup is most acute.</w:t>
      </w:r>
    </w:p>
    <w:p w14:paraId="403646A3" w14:textId="77777777" w:rsidR="009C6438" w:rsidRPr="0042530D" w:rsidRDefault="009C6438" w:rsidP="00CD01ED">
      <w:pPr>
        <w:spacing w:before="120"/>
        <w:jc w:val="center"/>
      </w:pPr>
      <w:r w:rsidRPr="007540A5">
        <w:rPr>
          <w:b/>
          <w:bCs/>
          <w:noProof/>
          <w:lang w:val="ru-RU" w:eastAsia="ru-RU"/>
        </w:rPr>
        <w:drawing>
          <wp:inline distT="0" distB="0" distL="0" distR="0" wp14:anchorId="3B6DB118" wp14:editId="39EADE8C">
            <wp:extent cx="5097585" cy="1319917"/>
            <wp:effectExtent l="0" t="0" r="8255" b="0"/>
            <wp:docPr id="6" name="Рисунок 6" descr="C:\Users\Тимур Бекетов\OneDrive\Документы\1706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Тимур Бекетов\OneDrive\Документы\1706_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5102" cy="1327042"/>
                    </a:xfrm>
                    <a:prstGeom prst="rect">
                      <a:avLst/>
                    </a:prstGeom>
                    <a:noFill/>
                    <a:ln>
                      <a:noFill/>
                    </a:ln>
                  </pic:spPr>
                </pic:pic>
              </a:graphicData>
            </a:graphic>
          </wp:inline>
        </w:drawing>
      </w:r>
    </w:p>
    <w:p w14:paraId="7D40C011" w14:textId="43E0840F" w:rsidR="009C6438" w:rsidRPr="0042530D" w:rsidRDefault="00CD01ED" w:rsidP="00CD01ED">
      <w:pPr>
        <w:keepNext/>
        <w:keepLines/>
        <w:spacing w:after="120"/>
        <w:jc w:val="center"/>
      </w:pPr>
      <w:r>
        <w:rPr>
          <w:rFonts w:eastAsia="Times"/>
          <w:b/>
          <w:sz w:val="18"/>
          <w:szCs w:val="18"/>
        </w:rPr>
        <w:t>FIGURE</w:t>
      </w:r>
      <w:r w:rsidR="009C6438">
        <w:rPr>
          <w:rFonts w:eastAsia="Times"/>
          <w:b/>
          <w:sz w:val="18"/>
          <w:szCs w:val="18"/>
        </w:rPr>
        <w:t xml:space="preserve"> 2</w:t>
      </w:r>
      <w:r w:rsidR="009C6438" w:rsidRPr="0042530D">
        <w:rPr>
          <w:rFonts w:eastAsia="Times"/>
          <w:b/>
          <w:sz w:val="18"/>
          <w:szCs w:val="18"/>
        </w:rPr>
        <w:t>.</w:t>
      </w:r>
      <w:r w:rsidR="009C6438" w:rsidRPr="0042530D">
        <w:rPr>
          <w:rFonts w:eastAsia="Times"/>
          <w:sz w:val="18"/>
          <w:szCs w:val="18"/>
        </w:rPr>
        <w:t xml:space="preserve"> </w:t>
      </w:r>
      <w:r w:rsidR="009C6438" w:rsidRPr="009C6438">
        <w:rPr>
          <w:rFonts w:eastAsia="Times"/>
          <w:sz w:val="18"/>
          <w:szCs w:val="18"/>
        </w:rPr>
        <w:t>Relationship between NO concentration and average traffic speed by lane (4-, 6-, and 8-lane roads)</w:t>
      </w:r>
    </w:p>
    <w:p w14:paraId="381538BF" w14:textId="77777777" w:rsidR="006B3D0E" w:rsidRPr="0042530D" w:rsidRDefault="006B3D0E" w:rsidP="00CD01ED">
      <w:pPr>
        <w:jc w:val="center"/>
      </w:pPr>
      <w:r w:rsidRPr="007540A5">
        <w:rPr>
          <w:b/>
          <w:bCs/>
          <w:noProof/>
          <w:lang w:val="ru-RU" w:eastAsia="ru-RU"/>
        </w:rPr>
        <w:drawing>
          <wp:inline distT="0" distB="0" distL="0" distR="0" wp14:anchorId="1459082F" wp14:editId="4FE767AC">
            <wp:extent cx="5238925" cy="1287780"/>
            <wp:effectExtent l="0" t="0" r="0" b="7620"/>
            <wp:docPr id="4" name="Рисунок 4" descr="C:\Users\Тимур Бекетов\OneDrive\Документы\170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Тимур Бекетов\OneDrive\Документы\1706_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63295" cy="1293770"/>
                    </a:xfrm>
                    <a:prstGeom prst="rect">
                      <a:avLst/>
                    </a:prstGeom>
                    <a:noFill/>
                    <a:ln>
                      <a:noFill/>
                    </a:ln>
                  </pic:spPr>
                </pic:pic>
              </a:graphicData>
            </a:graphic>
          </wp:inline>
        </w:drawing>
      </w:r>
    </w:p>
    <w:p w14:paraId="212ED8DF" w14:textId="6BC77EAB" w:rsidR="006B3D0E" w:rsidRPr="0042530D" w:rsidRDefault="00CD01ED" w:rsidP="00CD01ED">
      <w:pPr>
        <w:keepNext/>
        <w:keepLines/>
        <w:spacing w:after="120"/>
        <w:jc w:val="center"/>
      </w:pPr>
      <w:r>
        <w:rPr>
          <w:rFonts w:eastAsia="Times"/>
          <w:b/>
          <w:sz w:val="18"/>
          <w:szCs w:val="18"/>
        </w:rPr>
        <w:t xml:space="preserve">FIGURE </w:t>
      </w:r>
      <w:r w:rsidR="006B3D0E">
        <w:rPr>
          <w:rFonts w:eastAsia="Times"/>
          <w:b/>
          <w:sz w:val="18"/>
          <w:szCs w:val="18"/>
        </w:rPr>
        <w:t>3</w:t>
      </w:r>
      <w:r w:rsidR="006B3D0E" w:rsidRPr="0042530D">
        <w:rPr>
          <w:rFonts w:eastAsia="Times"/>
          <w:b/>
          <w:sz w:val="18"/>
          <w:szCs w:val="18"/>
        </w:rPr>
        <w:t>.</w:t>
      </w:r>
      <w:r w:rsidR="006B3D0E" w:rsidRPr="0042530D">
        <w:rPr>
          <w:rFonts w:eastAsia="Times"/>
          <w:sz w:val="18"/>
          <w:szCs w:val="18"/>
        </w:rPr>
        <w:t xml:space="preserve"> </w:t>
      </w:r>
      <w:r w:rsidR="006B3D0E" w:rsidRPr="006B3D0E">
        <w:rPr>
          <w:rFonts w:eastAsia="Times"/>
          <w:sz w:val="18"/>
          <w:szCs w:val="18"/>
        </w:rPr>
        <w:t>NO₂ concentration trends versus vehicle speed and lane position across urban street types</w:t>
      </w:r>
    </w:p>
    <w:p w14:paraId="5F6BFB8B" w14:textId="77777777" w:rsidR="00B379FD" w:rsidRDefault="006B3D0E" w:rsidP="00B379FD">
      <w:pPr>
        <w:spacing w:before="120"/>
        <w:jc w:val="center"/>
      </w:pPr>
      <w:r w:rsidRPr="007540A5">
        <w:rPr>
          <w:b/>
          <w:bCs/>
          <w:noProof/>
          <w:lang w:val="ru-RU" w:eastAsia="ru-RU"/>
        </w:rPr>
        <w:drawing>
          <wp:inline distT="0" distB="0" distL="0" distR="0" wp14:anchorId="0FD2188C" wp14:editId="79F4170A">
            <wp:extent cx="5221748" cy="1240155"/>
            <wp:effectExtent l="0" t="0" r="0" b="0"/>
            <wp:docPr id="5" name="Рисунок 5" descr="C:\Users\Тимур Бекетов\OneDrive\Документы\1706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Тимур Бекетов\OneDrive\Документы\1706_8.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48861" cy="1246594"/>
                    </a:xfrm>
                    <a:prstGeom prst="rect">
                      <a:avLst/>
                    </a:prstGeom>
                    <a:noFill/>
                    <a:ln>
                      <a:noFill/>
                    </a:ln>
                  </pic:spPr>
                </pic:pic>
              </a:graphicData>
            </a:graphic>
          </wp:inline>
        </w:drawing>
      </w:r>
    </w:p>
    <w:p w14:paraId="5B6E7020" w14:textId="0A404A38" w:rsidR="00B379FD" w:rsidRPr="00B379FD" w:rsidRDefault="00CD01ED" w:rsidP="00B379FD">
      <w:pPr>
        <w:spacing w:before="120"/>
        <w:jc w:val="center"/>
      </w:pPr>
      <w:r>
        <w:rPr>
          <w:rFonts w:eastAsia="Times"/>
          <w:b/>
          <w:sz w:val="18"/>
          <w:szCs w:val="18"/>
        </w:rPr>
        <w:t>FIGURE</w:t>
      </w:r>
      <w:r w:rsidR="006B3D0E">
        <w:rPr>
          <w:rFonts w:eastAsia="Times"/>
          <w:b/>
          <w:sz w:val="18"/>
          <w:szCs w:val="18"/>
        </w:rPr>
        <w:t xml:space="preserve"> 4</w:t>
      </w:r>
      <w:r w:rsidR="006B3D0E" w:rsidRPr="0042530D">
        <w:rPr>
          <w:rFonts w:eastAsia="Times"/>
          <w:b/>
          <w:sz w:val="18"/>
          <w:szCs w:val="18"/>
        </w:rPr>
        <w:t>.</w:t>
      </w:r>
      <w:r w:rsidR="006B3D0E" w:rsidRPr="0042530D">
        <w:rPr>
          <w:rFonts w:eastAsia="Times"/>
          <w:sz w:val="18"/>
          <w:szCs w:val="18"/>
        </w:rPr>
        <w:t xml:space="preserve"> </w:t>
      </w:r>
      <w:r w:rsidR="006B3D0E" w:rsidRPr="006B3D0E">
        <w:rPr>
          <w:rFonts w:eastAsia="Times"/>
          <w:sz w:val="18"/>
          <w:szCs w:val="18"/>
        </w:rPr>
        <w:t>SO₂ concentration by lane and speed, highlighting heavy vehicle influence in outer lanes</w:t>
      </w:r>
    </w:p>
    <w:p w14:paraId="0AC2966B" w14:textId="541BB39B" w:rsidR="00274BE6" w:rsidRPr="0042530D" w:rsidRDefault="00B379FD" w:rsidP="00B379FD">
      <w:pPr>
        <w:keepNext/>
        <w:keepLines/>
        <w:spacing w:before="120"/>
        <w:jc w:val="center"/>
      </w:pPr>
      <w:r w:rsidRPr="00B379FD">
        <w:rPr>
          <w:rFonts w:eastAsia="Times"/>
          <w:b/>
          <w:bCs/>
          <w:sz w:val="18"/>
          <w:szCs w:val="18"/>
        </w:rPr>
        <w:lastRenderedPageBreak/>
        <w:t>TABLE</w:t>
      </w:r>
      <w:r w:rsidR="008153B4" w:rsidRPr="00B379FD">
        <w:rPr>
          <w:rFonts w:eastAsia="Times"/>
          <w:b/>
          <w:bCs/>
          <w:sz w:val="18"/>
          <w:szCs w:val="18"/>
        </w:rPr>
        <w:t xml:space="preserve"> 1.</w:t>
      </w:r>
      <w:r w:rsidR="008153B4" w:rsidRPr="00B379FD">
        <w:rPr>
          <w:rFonts w:eastAsia="Times"/>
          <w:sz w:val="18"/>
          <w:szCs w:val="18"/>
        </w:rPr>
        <w:t xml:space="preserve">  </w:t>
      </w:r>
      <w:r w:rsidR="00FC4BE3" w:rsidRPr="00B379FD">
        <w:rPr>
          <w:rFonts w:eastAsia="Times"/>
          <w:sz w:val="18"/>
          <w:szCs w:val="18"/>
        </w:rPr>
        <w:t>Mean concentrations of major air pollutants (CO, NO, NO₂, SO₂) recorded by lane number across streets with 4-, 6-,</w:t>
      </w:r>
      <w:r w:rsidR="00FC4BE3" w:rsidRPr="00FC4BE3">
        <w:rPr>
          <w:rFonts w:eastAsia="Times"/>
          <w:sz w:val="18"/>
          <w:szCs w:val="18"/>
        </w:rPr>
        <w:t xml:space="preserve"> and 8-lane configurations in Tashkent.</w:t>
      </w:r>
    </w:p>
    <w:tbl>
      <w:tblPr>
        <w:tblStyle w:val="a5"/>
        <w:tblW w:w="5000" w:type="pct"/>
        <w:jc w:val="center"/>
        <w:tblLook w:val="0000" w:firstRow="0" w:lastRow="0" w:firstColumn="0" w:lastColumn="0" w:noHBand="0" w:noVBand="0"/>
      </w:tblPr>
      <w:tblGrid>
        <w:gridCol w:w="1670"/>
        <w:gridCol w:w="1437"/>
        <w:gridCol w:w="1306"/>
        <w:gridCol w:w="1205"/>
        <w:gridCol w:w="1216"/>
        <w:gridCol w:w="1278"/>
        <w:gridCol w:w="1244"/>
      </w:tblGrid>
      <w:tr w:rsidR="00566228" w:rsidRPr="00B379FD" w14:paraId="6E4EA518" w14:textId="77777777" w:rsidTr="005D25FA">
        <w:trPr>
          <w:jc w:val="center"/>
        </w:trPr>
        <w:tc>
          <w:tcPr>
            <w:tcW w:w="892" w:type="pct"/>
            <w:tcBorders>
              <w:top w:val="single" w:sz="12" w:space="0" w:color="000000"/>
              <w:bottom w:val="single" w:sz="6" w:space="0" w:color="000000"/>
            </w:tcBorders>
            <w:vAlign w:val="center"/>
          </w:tcPr>
          <w:p w14:paraId="661144AF" w14:textId="77777777" w:rsidR="00566228" w:rsidRPr="00B379FD" w:rsidRDefault="00566228" w:rsidP="00B379FD">
            <w:pPr>
              <w:rPr>
                <w:sz w:val="18"/>
                <w:szCs w:val="18"/>
              </w:rPr>
            </w:pPr>
            <w:r w:rsidRPr="00B379FD">
              <w:rPr>
                <w:sz w:val="18"/>
                <w:szCs w:val="18"/>
              </w:rPr>
              <w:t>Number of lanes</w:t>
            </w:r>
          </w:p>
        </w:tc>
        <w:tc>
          <w:tcPr>
            <w:tcW w:w="768" w:type="pct"/>
            <w:tcBorders>
              <w:top w:val="single" w:sz="12" w:space="0" w:color="000000"/>
              <w:bottom w:val="single" w:sz="6" w:space="0" w:color="000000"/>
            </w:tcBorders>
            <w:vAlign w:val="center"/>
          </w:tcPr>
          <w:p w14:paraId="3F84E828" w14:textId="77777777" w:rsidR="00566228" w:rsidRPr="00B379FD" w:rsidRDefault="00566228" w:rsidP="00B379FD">
            <w:pPr>
              <w:rPr>
                <w:sz w:val="18"/>
                <w:szCs w:val="18"/>
              </w:rPr>
            </w:pPr>
            <w:r w:rsidRPr="00B379FD">
              <w:rPr>
                <w:sz w:val="18"/>
                <w:szCs w:val="18"/>
              </w:rPr>
              <w:t>Lane Number</w:t>
            </w:r>
          </w:p>
        </w:tc>
        <w:tc>
          <w:tcPr>
            <w:tcW w:w="698" w:type="pct"/>
            <w:tcBorders>
              <w:top w:val="single" w:sz="12" w:space="0" w:color="000000"/>
              <w:bottom w:val="single" w:sz="6" w:space="0" w:color="000000"/>
            </w:tcBorders>
            <w:vAlign w:val="center"/>
          </w:tcPr>
          <w:p w14:paraId="68CB26A9" w14:textId="77777777" w:rsidR="00566228" w:rsidRPr="00B379FD" w:rsidRDefault="00566228" w:rsidP="00B379FD">
            <w:pPr>
              <w:rPr>
                <w:sz w:val="18"/>
                <w:szCs w:val="18"/>
              </w:rPr>
            </w:pPr>
            <w:r w:rsidRPr="00B379FD">
              <w:rPr>
                <w:sz w:val="18"/>
                <w:szCs w:val="18"/>
              </w:rPr>
              <w:t>Speed, km/h</w:t>
            </w:r>
          </w:p>
        </w:tc>
        <w:tc>
          <w:tcPr>
            <w:tcW w:w="644" w:type="pct"/>
            <w:tcBorders>
              <w:top w:val="single" w:sz="12" w:space="0" w:color="000000"/>
              <w:bottom w:val="single" w:sz="6" w:space="0" w:color="000000"/>
            </w:tcBorders>
            <w:vAlign w:val="center"/>
          </w:tcPr>
          <w:p w14:paraId="54972352" w14:textId="77777777" w:rsidR="00566228" w:rsidRPr="00B379FD" w:rsidRDefault="00566228" w:rsidP="00B379FD">
            <w:pPr>
              <w:rPr>
                <w:sz w:val="18"/>
                <w:szCs w:val="18"/>
              </w:rPr>
            </w:pPr>
            <w:r w:rsidRPr="00B379FD">
              <w:rPr>
                <w:sz w:val="18"/>
                <w:szCs w:val="18"/>
              </w:rPr>
              <w:t>CO, mg/m³</w:t>
            </w:r>
          </w:p>
        </w:tc>
        <w:tc>
          <w:tcPr>
            <w:tcW w:w="650" w:type="pct"/>
            <w:tcBorders>
              <w:top w:val="single" w:sz="12" w:space="0" w:color="000000"/>
              <w:bottom w:val="single" w:sz="6" w:space="0" w:color="000000"/>
            </w:tcBorders>
            <w:vAlign w:val="center"/>
          </w:tcPr>
          <w:p w14:paraId="4532D948" w14:textId="77777777" w:rsidR="00566228" w:rsidRPr="00B379FD" w:rsidRDefault="00566228" w:rsidP="00B379FD">
            <w:pPr>
              <w:rPr>
                <w:sz w:val="18"/>
                <w:szCs w:val="18"/>
              </w:rPr>
            </w:pPr>
            <w:r w:rsidRPr="00B379FD">
              <w:rPr>
                <w:sz w:val="18"/>
                <w:szCs w:val="18"/>
              </w:rPr>
              <w:t>NO, mg/m³</w:t>
            </w:r>
          </w:p>
        </w:tc>
        <w:tc>
          <w:tcPr>
            <w:tcW w:w="683" w:type="pct"/>
            <w:tcBorders>
              <w:top w:val="single" w:sz="12" w:space="0" w:color="000000"/>
              <w:bottom w:val="single" w:sz="6" w:space="0" w:color="000000"/>
            </w:tcBorders>
            <w:vAlign w:val="center"/>
          </w:tcPr>
          <w:p w14:paraId="4AC6667D" w14:textId="77777777" w:rsidR="00566228" w:rsidRPr="00B379FD" w:rsidRDefault="00566228" w:rsidP="00B379FD">
            <w:pPr>
              <w:rPr>
                <w:sz w:val="18"/>
                <w:szCs w:val="18"/>
              </w:rPr>
            </w:pPr>
            <w:r w:rsidRPr="00B379FD">
              <w:rPr>
                <w:sz w:val="18"/>
                <w:szCs w:val="18"/>
              </w:rPr>
              <w:t>NO₂, mg/m³</w:t>
            </w:r>
          </w:p>
        </w:tc>
        <w:tc>
          <w:tcPr>
            <w:tcW w:w="665" w:type="pct"/>
            <w:tcBorders>
              <w:top w:val="single" w:sz="12" w:space="0" w:color="000000"/>
              <w:bottom w:val="single" w:sz="6" w:space="0" w:color="000000"/>
            </w:tcBorders>
            <w:vAlign w:val="center"/>
          </w:tcPr>
          <w:p w14:paraId="3856A041" w14:textId="77777777" w:rsidR="00566228" w:rsidRPr="00B379FD" w:rsidRDefault="00566228" w:rsidP="00B379FD">
            <w:pPr>
              <w:rPr>
                <w:sz w:val="18"/>
                <w:szCs w:val="18"/>
              </w:rPr>
            </w:pPr>
            <w:r w:rsidRPr="00B379FD">
              <w:rPr>
                <w:sz w:val="18"/>
                <w:szCs w:val="18"/>
              </w:rPr>
              <w:t>SO₂, mg/m³</w:t>
            </w:r>
          </w:p>
        </w:tc>
      </w:tr>
      <w:tr w:rsidR="00532EAF" w:rsidRPr="00B379FD" w14:paraId="27699229" w14:textId="77777777" w:rsidTr="005D25FA">
        <w:trPr>
          <w:jc w:val="center"/>
        </w:trPr>
        <w:tc>
          <w:tcPr>
            <w:tcW w:w="892" w:type="pct"/>
          </w:tcPr>
          <w:p w14:paraId="5A206E7F" w14:textId="77777777" w:rsidR="00532EAF" w:rsidRPr="00B379FD" w:rsidRDefault="00532EAF" w:rsidP="00B379FD">
            <w:pPr>
              <w:rPr>
                <w:sz w:val="18"/>
                <w:szCs w:val="18"/>
              </w:rPr>
            </w:pPr>
            <w:r w:rsidRPr="00B379FD">
              <w:rPr>
                <w:sz w:val="18"/>
                <w:szCs w:val="18"/>
              </w:rPr>
              <w:t>4</w:t>
            </w:r>
          </w:p>
        </w:tc>
        <w:tc>
          <w:tcPr>
            <w:tcW w:w="768" w:type="pct"/>
          </w:tcPr>
          <w:p w14:paraId="293BE3D1" w14:textId="77777777" w:rsidR="00532EAF" w:rsidRPr="00B379FD" w:rsidRDefault="00532EAF" w:rsidP="00B379FD">
            <w:pPr>
              <w:rPr>
                <w:sz w:val="18"/>
                <w:szCs w:val="18"/>
              </w:rPr>
            </w:pPr>
            <w:r w:rsidRPr="00B379FD">
              <w:rPr>
                <w:sz w:val="18"/>
                <w:szCs w:val="18"/>
              </w:rPr>
              <w:t>1</w:t>
            </w:r>
          </w:p>
        </w:tc>
        <w:tc>
          <w:tcPr>
            <w:tcW w:w="698" w:type="pct"/>
          </w:tcPr>
          <w:p w14:paraId="799F8F0E" w14:textId="77777777" w:rsidR="00532EAF" w:rsidRPr="00B379FD" w:rsidRDefault="00532EAF" w:rsidP="00B379FD">
            <w:pPr>
              <w:rPr>
                <w:sz w:val="18"/>
                <w:szCs w:val="18"/>
              </w:rPr>
            </w:pPr>
            <w:r w:rsidRPr="00B379FD">
              <w:rPr>
                <w:sz w:val="18"/>
                <w:szCs w:val="18"/>
              </w:rPr>
              <w:t>45.2</w:t>
            </w:r>
          </w:p>
        </w:tc>
        <w:tc>
          <w:tcPr>
            <w:tcW w:w="644" w:type="pct"/>
          </w:tcPr>
          <w:p w14:paraId="79400CE2" w14:textId="77777777" w:rsidR="00532EAF" w:rsidRPr="00B379FD" w:rsidRDefault="00532EAF" w:rsidP="00B379FD">
            <w:pPr>
              <w:rPr>
                <w:sz w:val="18"/>
                <w:szCs w:val="18"/>
              </w:rPr>
            </w:pPr>
            <w:r w:rsidRPr="00B379FD">
              <w:rPr>
                <w:sz w:val="18"/>
                <w:szCs w:val="18"/>
              </w:rPr>
              <w:t>1.301</w:t>
            </w:r>
          </w:p>
        </w:tc>
        <w:tc>
          <w:tcPr>
            <w:tcW w:w="650" w:type="pct"/>
          </w:tcPr>
          <w:p w14:paraId="293B4399" w14:textId="77777777" w:rsidR="00532EAF" w:rsidRPr="00B379FD" w:rsidRDefault="00532EAF" w:rsidP="00B379FD">
            <w:pPr>
              <w:rPr>
                <w:b/>
                <w:color w:val="FF0000"/>
                <w:sz w:val="18"/>
                <w:szCs w:val="18"/>
              </w:rPr>
            </w:pPr>
            <w:r w:rsidRPr="00B379FD">
              <w:rPr>
                <w:b/>
                <w:color w:val="FF0000"/>
                <w:sz w:val="18"/>
                <w:szCs w:val="18"/>
              </w:rPr>
              <w:t>0.828</w:t>
            </w:r>
          </w:p>
        </w:tc>
        <w:tc>
          <w:tcPr>
            <w:tcW w:w="683" w:type="pct"/>
          </w:tcPr>
          <w:p w14:paraId="619D040B" w14:textId="77777777" w:rsidR="00532EAF" w:rsidRPr="00B379FD" w:rsidRDefault="00532EAF" w:rsidP="00B379FD">
            <w:pPr>
              <w:rPr>
                <w:b/>
                <w:color w:val="FF0000"/>
                <w:sz w:val="18"/>
                <w:szCs w:val="18"/>
              </w:rPr>
            </w:pPr>
            <w:r w:rsidRPr="00B379FD">
              <w:rPr>
                <w:b/>
                <w:color w:val="FF0000"/>
                <w:sz w:val="18"/>
                <w:szCs w:val="18"/>
              </w:rPr>
              <w:t>0.574</w:t>
            </w:r>
          </w:p>
        </w:tc>
        <w:tc>
          <w:tcPr>
            <w:tcW w:w="665" w:type="pct"/>
          </w:tcPr>
          <w:p w14:paraId="5FB1146D" w14:textId="77777777" w:rsidR="00532EAF" w:rsidRPr="00B379FD" w:rsidRDefault="00532EAF" w:rsidP="00B379FD">
            <w:pPr>
              <w:rPr>
                <w:sz w:val="18"/>
                <w:szCs w:val="18"/>
              </w:rPr>
            </w:pPr>
            <w:r w:rsidRPr="00B379FD">
              <w:rPr>
                <w:sz w:val="18"/>
                <w:szCs w:val="18"/>
              </w:rPr>
              <w:t>0.149</w:t>
            </w:r>
          </w:p>
        </w:tc>
      </w:tr>
      <w:tr w:rsidR="00532EAF" w:rsidRPr="00B379FD" w14:paraId="677AE6F8" w14:textId="77777777" w:rsidTr="005D25FA">
        <w:trPr>
          <w:jc w:val="center"/>
        </w:trPr>
        <w:tc>
          <w:tcPr>
            <w:tcW w:w="892" w:type="pct"/>
          </w:tcPr>
          <w:p w14:paraId="1818EC57" w14:textId="77777777" w:rsidR="00532EAF" w:rsidRPr="00B379FD" w:rsidRDefault="00532EAF" w:rsidP="00B379FD">
            <w:pPr>
              <w:rPr>
                <w:sz w:val="18"/>
                <w:szCs w:val="18"/>
              </w:rPr>
            </w:pPr>
            <w:r w:rsidRPr="00B379FD">
              <w:rPr>
                <w:sz w:val="18"/>
                <w:szCs w:val="18"/>
              </w:rPr>
              <w:t>4</w:t>
            </w:r>
          </w:p>
        </w:tc>
        <w:tc>
          <w:tcPr>
            <w:tcW w:w="768" w:type="pct"/>
          </w:tcPr>
          <w:p w14:paraId="0F2F76FD" w14:textId="77777777" w:rsidR="00532EAF" w:rsidRPr="00B379FD" w:rsidRDefault="00532EAF" w:rsidP="00B379FD">
            <w:pPr>
              <w:rPr>
                <w:sz w:val="18"/>
                <w:szCs w:val="18"/>
              </w:rPr>
            </w:pPr>
            <w:r w:rsidRPr="00B379FD">
              <w:rPr>
                <w:sz w:val="18"/>
                <w:szCs w:val="18"/>
              </w:rPr>
              <w:t>2</w:t>
            </w:r>
          </w:p>
        </w:tc>
        <w:tc>
          <w:tcPr>
            <w:tcW w:w="698" w:type="pct"/>
          </w:tcPr>
          <w:p w14:paraId="2AF46FEC" w14:textId="77777777" w:rsidR="00532EAF" w:rsidRPr="00B379FD" w:rsidRDefault="00532EAF" w:rsidP="00B379FD">
            <w:pPr>
              <w:rPr>
                <w:sz w:val="18"/>
                <w:szCs w:val="18"/>
              </w:rPr>
            </w:pPr>
            <w:r w:rsidRPr="00B379FD">
              <w:rPr>
                <w:sz w:val="18"/>
                <w:szCs w:val="18"/>
              </w:rPr>
              <w:t>54.2</w:t>
            </w:r>
          </w:p>
        </w:tc>
        <w:tc>
          <w:tcPr>
            <w:tcW w:w="644" w:type="pct"/>
          </w:tcPr>
          <w:p w14:paraId="7E768A6C" w14:textId="77777777" w:rsidR="00532EAF" w:rsidRPr="00B379FD" w:rsidRDefault="00532EAF" w:rsidP="00B379FD">
            <w:pPr>
              <w:rPr>
                <w:sz w:val="18"/>
                <w:szCs w:val="18"/>
              </w:rPr>
            </w:pPr>
            <w:r w:rsidRPr="00B379FD">
              <w:rPr>
                <w:sz w:val="18"/>
                <w:szCs w:val="18"/>
              </w:rPr>
              <w:t>0.807</w:t>
            </w:r>
          </w:p>
        </w:tc>
        <w:tc>
          <w:tcPr>
            <w:tcW w:w="650" w:type="pct"/>
          </w:tcPr>
          <w:p w14:paraId="24A93B56" w14:textId="77777777" w:rsidR="00532EAF" w:rsidRPr="00B379FD" w:rsidRDefault="00532EAF" w:rsidP="00B379FD">
            <w:pPr>
              <w:rPr>
                <w:sz w:val="18"/>
                <w:szCs w:val="18"/>
              </w:rPr>
            </w:pPr>
            <w:r w:rsidRPr="00B379FD">
              <w:rPr>
                <w:sz w:val="18"/>
                <w:szCs w:val="18"/>
              </w:rPr>
              <w:t>0.510</w:t>
            </w:r>
          </w:p>
        </w:tc>
        <w:tc>
          <w:tcPr>
            <w:tcW w:w="683" w:type="pct"/>
          </w:tcPr>
          <w:p w14:paraId="0B560D84" w14:textId="77777777" w:rsidR="00532EAF" w:rsidRPr="00B379FD" w:rsidRDefault="00532EAF" w:rsidP="00B379FD">
            <w:pPr>
              <w:rPr>
                <w:b/>
                <w:color w:val="FF0000"/>
                <w:sz w:val="18"/>
                <w:szCs w:val="18"/>
              </w:rPr>
            </w:pPr>
            <w:r w:rsidRPr="00B379FD">
              <w:rPr>
                <w:b/>
                <w:color w:val="FF0000"/>
                <w:sz w:val="18"/>
                <w:szCs w:val="18"/>
              </w:rPr>
              <w:t>0.351</w:t>
            </w:r>
          </w:p>
        </w:tc>
        <w:tc>
          <w:tcPr>
            <w:tcW w:w="665" w:type="pct"/>
          </w:tcPr>
          <w:p w14:paraId="7F512810" w14:textId="77777777" w:rsidR="00532EAF" w:rsidRPr="00B379FD" w:rsidRDefault="00532EAF" w:rsidP="00B379FD">
            <w:pPr>
              <w:rPr>
                <w:sz w:val="18"/>
                <w:szCs w:val="18"/>
              </w:rPr>
            </w:pPr>
            <w:r w:rsidRPr="00B379FD">
              <w:rPr>
                <w:sz w:val="18"/>
                <w:szCs w:val="18"/>
              </w:rPr>
              <w:t>0.091</w:t>
            </w:r>
          </w:p>
        </w:tc>
      </w:tr>
      <w:tr w:rsidR="00532EAF" w:rsidRPr="00B379FD" w14:paraId="47559F52" w14:textId="77777777" w:rsidTr="005D25FA">
        <w:trPr>
          <w:jc w:val="center"/>
        </w:trPr>
        <w:tc>
          <w:tcPr>
            <w:tcW w:w="892" w:type="pct"/>
          </w:tcPr>
          <w:p w14:paraId="70FBAD5B" w14:textId="77777777" w:rsidR="00532EAF" w:rsidRPr="00B379FD" w:rsidRDefault="00532EAF" w:rsidP="00B379FD">
            <w:pPr>
              <w:rPr>
                <w:sz w:val="18"/>
                <w:szCs w:val="18"/>
              </w:rPr>
            </w:pPr>
            <w:r w:rsidRPr="00B379FD">
              <w:rPr>
                <w:sz w:val="18"/>
                <w:szCs w:val="18"/>
              </w:rPr>
              <w:t>6</w:t>
            </w:r>
          </w:p>
        </w:tc>
        <w:tc>
          <w:tcPr>
            <w:tcW w:w="768" w:type="pct"/>
          </w:tcPr>
          <w:p w14:paraId="0236602B" w14:textId="77777777" w:rsidR="00532EAF" w:rsidRPr="00B379FD" w:rsidRDefault="00532EAF" w:rsidP="00B379FD">
            <w:pPr>
              <w:rPr>
                <w:sz w:val="18"/>
                <w:szCs w:val="18"/>
              </w:rPr>
            </w:pPr>
            <w:r w:rsidRPr="00B379FD">
              <w:rPr>
                <w:sz w:val="18"/>
                <w:szCs w:val="18"/>
              </w:rPr>
              <w:t>1</w:t>
            </w:r>
          </w:p>
        </w:tc>
        <w:tc>
          <w:tcPr>
            <w:tcW w:w="698" w:type="pct"/>
          </w:tcPr>
          <w:p w14:paraId="7B13F881" w14:textId="77777777" w:rsidR="00532EAF" w:rsidRPr="00B379FD" w:rsidRDefault="00532EAF" w:rsidP="00B379FD">
            <w:pPr>
              <w:rPr>
                <w:sz w:val="18"/>
                <w:szCs w:val="18"/>
              </w:rPr>
            </w:pPr>
            <w:r w:rsidRPr="00B379FD">
              <w:rPr>
                <w:sz w:val="18"/>
                <w:szCs w:val="18"/>
              </w:rPr>
              <w:t>32.7</w:t>
            </w:r>
          </w:p>
        </w:tc>
        <w:tc>
          <w:tcPr>
            <w:tcW w:w="644" w:type="pct"/>
          </w:tcPr>
          <w:p w14:paraId="4831777C" w14:textId="77777777" w:rsidR="00532EAF" w:rsidRPr="00B379FD" w:rsidRDefault="00532EAF" w:rsidP="00B379FD">
            <w:pPr>
              <w:rPr>
                <w:sz w:val="18"/>
                <w:szCs w:val="18"/>
              </w:rPr>
            </w:pPr>
            <w:r w:rsidRPr="00B379FD">
              <w:rPr>
                <w:sz w:val="18"/>
                <w:szCs w:val="18"/>
              </w:rPr>
              <w:t>3.130</w:t>
            </w:r>
          </w:p>
        </w:tc>
        <w:tc>
          <w:tcPr>
            <w:tcW w:w="650" w:type="pct"/>
          </w:tcPr>
          <w:p w14:paraId="2CC19BF3" w14:textId="77777777" w:rsidR="00532EAF" w:rsidRPr="00B379FD" w:rsidRDefault="00532EAF" w:rsidP="00B379FD">
            <w:pPr>
              <w:rPr>
                <w:b/>
                <w:color w:val="FF0000"/>
                <w:sz w:val="18"/>
                <w:szCs w:val="18"/>
              </w:rPr>
            </w:pPr>
            <w:r w:rsidRPr="00B379FD">
              <w:rPr>
                <w:b/>
                <w:color w:val="FF0000"/>
                <w:sz w:val="18"/>
                <w:szCs w:val="18"/>
              </w:rPr>
              <w:t>2.126</w:t>
            </w:r>
          </w:p>
        </w:tc>
        <w:tc>
          <w:tcPr>
            <w:tcW w:w="683" w:type="pct"/>
          </w:tcPr>
          <w:p w14:paraId="1A889332" w14:textId="77777777" w:rsidR="00532EAF" w:rsidRPr="00B379FD" w:rsidRDefault="00532EAF" w:rsidP="00B379FD">
            <w:pPr>
              <w:rPr>
                <w:b/>
                <w:color w:val="FF0000"/>
                <w:sz w:val="18"/>
                <w:szCs w:val="18"/>
              </w:rPr>
            </w:pPr>
            <w:r w:rsidRPr="00B379FD">
              <w:rPr>
                <w:b/>
                <w:color w:val="FF0000"/>
                <w:sz w:val="18"/>
                <w:szCs w:val="18"/>
              </w:rPr>
              <w:t>1.380</w:t>
            </w:r>
          </w:p>
        </w:tc>
        <w:tc>
          <w:tcPr>
            <w:tcW w:w="665" w:type="pct"/>
          </w:tcPr>
          <w:p w14:paraId="04839772" w14:textId="77777777" w:rsidR="00532EAF" w:rsidRPr="00B379FD" w:rsidRDefault="00532EAF" w:rsidP="00B379FD">
            <w:pPr>
              <w:rPr>
                <w:sz w:val="18"/>
                <w:szCs w:val="18"/>
              </w:rPr>
            </w:pPr>
            <w:r w:rsidRPr="00B379FD">
              <w:rPr>
                <w:sz w:val="18"/>
                <w:szCs w:val="18"/>
              </w:rPr>
              <w:t>0.400</w:t>
            </w:r>
          </w:p>
        </w:tc>
      </w:tr>
      <w:tr w:rsidR="00532EAF" w:rsidRPr="00B379FD" w14:paraId="55507525" w14:textId="77777777" w:rsidTr="005D25FA">
        <w:trPr>
          <w:jc w:val="center"/>
        </w:trPr>
        <w:tc>
          <w:tcPr>
            <w:tcW w:w="892" w:type="pct"/>
          </w:tcPr>
          <w:p w14:paraId="3ACDDB64" w14:textId="77777777" w:rsidR="00532EAF" w:rsidRPr="00B379FD" w:rsidRDefault="00532EAF" w:rsidP="00B379FD">
            <w:pPr>
              <w:rPr>
                <w:sz w:val="18"/>
                <w:szCs w:val="18"/>
              </w:rPr>
            </w:pPr>
            <w:r w:rsidRPr="00B379FD">
              <w:rPr>
                <w:sz w:val="18"/>
                <w:szCs w:val="18"/>
              </w:rPr>
              <w:t>6</w:t>
            </w:r>
          </w:p>
        </w:tc>
        <w:tc>
          <w:tcPr>
            <w:tcW w:w="768" w:type="pct"/>
          </w:tcPr>
          <w:p w14:paraId="06665390" w14:textId="77777777" w:rsidR="00532EAF" w:rsidRPr="00B379FD" w:rsidRDefault="00532EAF" w:rsidP="00B379FD">
            <w:pPr>
              <w:rPr>
                <w:sz w:val="18"/>
                <w:szCs w:val="18"/>
              </w:rPr>
            </w:pPr>
            <w:r w:rsidRPr="00B379FD">
              <w:rPr>
                <w:sz w:val="18"/>
                <w:szCs w:val="18"/>
              </w:rPr>
              <w:t>2</w:t>
            </w:r>
          </w:p>
        </w:tc>
        <w:tc>
          <w:tcPr>
            <w:tcW w:w="698" w:type="pct"/>
          </w:tcPr>
          <w:p w14:paraId="1EA072B0" w14:textId="77777777" w:rsidR="00532EAF" w:rsidRPr="00B379FD" w:rsidRDefault="00532EAF" w:rsidP="00B379FD">
            <w:pPr>
              <w:rPr>
                <w:sz w:val="18"/>
                <w:szCs w:val="18"/>
              </w:rPr>
            </w:pPr>
            <w:r w:rsidRPr="00B379FD">
              <w:rPr>
                <w:sz w:val="18"/>
                <w:szCs w:val="18"/>
              </w:rPr>
              <w:t>39.0</w:t>
            </w:r>
          </w:p>
        </w:tc>
        <w:tc>
          <w:tcPr>
            <w:tcW w:w="644" w:type="pct"/>
          </w:tcPr>
          <w:p w14:paraId="0C5C8655" w14:textId="77777777" w:rsidR="00532EAF" w:rsidRPr="00B379FD" w:rsidRDefault="00532EAF" w:rsidP="00B379FD">
            <w:pPr>
              <w:rPr>
                <w:sz w:val="18"/>
                <w:szCs w:val="18"/>
              </w:rPr>
            </w:pPr>
            <w:r w:rsidRPr="00B379FD">
              <w:rPr>
                <w:sz w:val="18"/>
                <w:szCs w:val="18"/>
              </w:rPr>
              <w:t>2.940</w:t>
            </w:r>
          </w:p>
        </w:tc>
        <w:tc>
          <w:tcPr>
            <w:tcW w:w="650" w:type="pct"/>
          </w:tcPr>
          <w:p w14:paraId="549A2DCA" w14:textId="77777777" w:rsidR="00532EAF" w:rsidRPr="00B379FD" w:rsidRDefault="00532EAF" w:rsidP="00B379FD">
            <w:pPr>
              <w:rPr>
                <w:b/>
                <w:color w:val="FF0000"/>
                <w:sz w:val="18"/>
                <w:szCs w:val="18"/>
              </w:rPr>
            </w:pPr>
            <w:r w:rsidRPr="00B379FD">
              <w:rPr>
                <w:b/>
                <w:color w:val="FF0000"/>
                <w:sz w:val="18"/>
                <w:szCs w:val="18"/>
              </w:rPr>
              <w:t>1.542</w:t>
            </w:r>
          </w:p>
        </w:tc>
        <w:tc>
          <w:tcPr>
            <w:tcW w:w="683" w:type="pct"/>
          </w:tcPr>
          <w:p w14:paraId="39DB8017" w14:textId="77777777" w:rsidR="00532EAF" w:rsidRPr="00B379FD" w:rsidRDefault="00532EAF" w:rsidP="00B379FD">
            <w:pPr>
              <w:rPr>
                <w:b/>
                <w:color w:val="FF0000"/>
                <w:sz w:val="18"/>
                <w:szCs w:val="18"/>
              </w:rPr>
            </w:pPr>
            <w:r w:rsidRPr="00B379FD">
              <w:rPr>
                <w:b/>
                <w:color w:val="FF0000"/>
                <w:sz w:val="18"/>
                <w:szCs w:val="18"/>
              </w:rPr>
              <w:t>1.053</w:t>
            </w:r>
          </w:p>
        </w:tc>
        <w:tc>
          <w:tcPr>
            <w:tcW w:w="665" w:type="pct"/>
          </w:tcPr>
          <w:p w14:paraId="34CDC6CD" w14:textId="77777777" w:rsidR="00532EAF" w:rsidRPr="00B379FD" w:rsidRDefault="00532EAF" w:rsidP="00B379FD">
            <w:pPr>
              <w:rPr>
                <w:sz w:val="18"/>
                <w:szCs w:val="18"/>
              </w:rPr>
            </w:pPr>
            <w:r w:rsidRPr="00B379FD">
              <w:rPr>
                <w:sz w:val="18"/>
                <w:szCs w:val="18"/>
              </w:rPr>
              <w:t>0.277</w:t>
            </w:r>
          </w:p>
        </w:tc>
      </w:tr>
      <w:tr w:rsidR="00532EAF" w:rsidRPr="00B379FD" w14:paraId="27FDA37B" w14:textId="77777777" w:rsidTr="005D25FA">
        <w:trPr>
          <w:jc w:val="center"/>
        </w:trPr>
        <w:tc>
          <w:tcPr>
            <w:tcW w:w="892" w:type="pct"/>
          </w:tcPr>
          <w:p w14:paraId="0AAB0202" w14:textId="77777777" w:rsidR="00532EAF" w:rsidRPr="00B379FD" w:rsidRDefault="00532EAF" w:rsidP="00B379FD">
            <w:pPr>
              <w:rPr>
                <w:sz w:val="18"/>
                <w:szCs w:val="18"/>
              </w:rPr>
            </w:pPr>
            <w:r w:rsidRPr="00B379FD">
              <w:rPr>
                <w:sz w:val="18"/>
                <w:szCs w:val="18"/>
              </w:rPr>
              <w:t>6</w:t>
            </w:r>
          </w:p>
        </w:tc>
        <w:tc>
          <w:tcPr>
            <w:tcW w:w="768" w:type="pct"/>
          </w:tcPr>
          <w:p w14:paraId="5D78B9FA" w14:textId="77777777" w:rsidR="00532EAF" w:rsidRPr="00B379FD" w:rsidRDefault="00532EAF" w:rsidP="00B379FD">
            <w:pPr>
              <w:rPr>
                <w:sz w:val="18"/>
                <w:szCs w:val="18"/>
              </w:rPr>
            </w:pPr>
            <w:r w:rsidRPr="00B379FD">
              <w:rPr>
                <w:sz w:val="18"/>
                <w:szCs w:val="18"/>
              </w:rPr>
              <w:t>3</w:t>
            </w:r>
          </w:p>
        </w:tc>
        <w:tc>
          <w:tcPr>
            <w:tcW w:w="698" w:type="pct"/>
          </w:tcPr>
          <w:p w14:paraId="7B838EF2" w14:textId="77777777" w:rsidR="00532EAF" w:rsidRPr="00B379FD" w:rsidRDefault="00532EAF" w:rsidP="00B379FD">
            <w:pPr>
              <w:rPr>
                <w:sz w:val="18"/>
                <w:szCs w:val="18"/>
              </w:rPr>
            </w:pPr>
            <w:r w:rsidRPr="00B379FD">
              <w:rPr>
                <w:sz w:val="18"/>
                <w:szCs w:val="18"/>
              </w:rPr>
              <w:t>45.8</w:t>
            </w:r>
          </w:p>
        </w:tc>
        <w:tc>
          <w:tcPr>
            <w:tcW w:w="644" w:type="pct"/>
          </w:tcPr>
          <w:p w14:paraId="010FE609" w14:textId="77777777" w:rsidR="00532EAF" w:rsidRPr="00B379FD" w:rsidRDefault="00532EAF" w:rsidP="00B379FD">
            <w:pPr>
              <w:rPr>
                <w:sz w:val="18"/>
                <w:szCs w:val="18"/>
              </w:rPr>
            </w:pPr>
            <w:r w:rsidRPr="00B379FD">
              <w:rPr>
                <w:sz w:val="18"/>
                <w:szCs w:val="18"/>
              </w:rPr>
              <w:t>1.570</w:t>
            </w:r>
          </w:p>
        </w:tc>
        <w:tc>
          <w:tcPr>
            <w:tcW w:w="650" w:type="pct"/>
          </w:tcPr>
          <w:p w14:paraId="59F88E28" w14:textId="77777777" w:rsidR="00532EAF" w:rsidRPr="00B379FD" w:rsidRDefault="00532EAF" w:rsidP="00B379FD">
            <w:pPr>
              <w:rPr>
                <w:b/>
                <w:color w:val="FF0000"/>
                <w:sz w:val="18"/>
                <w:szCs w:val="18"/>
              </w:rPr>
            </w:pPr>
            <w:r w:rsidRPr="00B379FD">
              <w:rPr>
                <w:b/>
                <w:color w:val="FF0000"/>
                <w:sz w:val="18"/>
                <w:szCs w:val="18"/>
              </w:rPr>
              <w:t>1.219</w:t>
            </w:r>
          </w:p>
        </w:tc>
        <w:tc>
          <w:tcPr>
            <w:tcW w:w="683" w:type="pct"/>
          </w:tcPr>
          <w:p w14:paraId="2F7278CA" w14:textId="77777777" w:rsidR="00532EAF" w:rsidRPr="00B379FD" w:rsidRDefault="00532EAF" w:rsidP="00B379FD">
            <w:pPr>
              <w:rPr>
                <w:b/>
                <w:color w:val="FF0000"/>
                <w:sz w:val="18"/>
                <w:szCs w:val="18"/>
              </w:rPr>
            </w:pPr>
            <w:r w:rsidRPr="00B379FD">
              <w:rPr>
                <w:b/>
                <w:color w:val="FF0000"/>
                <w:sz w:val="18"/>
                <w:szCs w:val="18"/>
              </w:rPr>
              <w:t>0.836</w:t>
            </w:r>
          </w:p>
        </w:tc>
        <w:tc>
          <w:tcPr>
            <w:tcW w:w="665" w:type="pct"/>
          </w:tcPr>
          <w:p w14:paraId="55909DAC" w14:textId="77777777" w:rsidR="00532EAF" w:rsidRPr="00B379FD" w:rsidRDefault="00532EAF" w:rsidP="00B379FD">
            <w:pPr>
              <w:rPr>
                <w:sz w:val="18"/>
                <w:szCs w:val="18"/>
              </w:rPr>
            </w:pPr>
            <w:r w:rsidRPr="00B379FD">
              <w:rPr>
                <w:sz w:val="18"/>
                <w:szCs w:val="18"/>
              </w:rPr>
              <w:t>0.217</w:t>
            </w:r>
          </w:p>
        </w:tc>
      </w:tr>
      <w:tr w:rsidR="00532EAF" w:rsidRPr="00B379FD" w14:paraId="19FD4565" w14:textId="77777777" w:rsidTr="005D25FA">
        <w:trPr>
          <w:jc w:val="center"/>
        </w:trPr>
        <w:tc>
          <w:tcPr>
            <w:tcW w:w="892" w:type="pct"/>
          </w:tcPr>
          <w:p w14:paraId="487570E9" w14:textId="77777777" w:rsidR="00532EAF" w:rsidRPr="00B379FD" w:rsidRDefault="00532EAF" w:rsidP="00B379FD">
            <w:pPr>
              <w:rPr>
                <w:sz w:val="18"/>
                <w:szCs w:val="18"/>
              </w:rPr>
            </w:pPr>
            <w:r w:rsidRPr="00B379FD">
              <w:rPr>
                <w:sz w:val="18"/>
                <w:szCs w:val="18"/>
              </w:rPr>
              <w:t>8</w:t>
            </w:r>
          </w:p>
        </w:tc>
        <w:tc>
          <w:tcPr>
            <w:tcW w:w="768" w:type="pct"/>
          </w:tcPr>
          <w:p w14:paraId="5C798292" w14:textId="77777777" w:rsidR="00532EAF" w:rsidRPr="00B379FD" w:rsidRDefault="00532EAF" w:rsidP="00B379FD">
            <w:pPr>
              <w:rPr>
                <w:sz w:val="18"/>
                <w:szCs w:val="18"/>
              </w:rPr>
            </w:pPr>
            <w:r w:rsidRPr="00B379FD">
              <w:rPr>
                <w:sz w:val="18"/>
                <w:szCs w:val="18"/>
              </w:rPr>
              <w:t>1</w:t>
            </w:r>
          </w:p>
        </w:tc>
        <w:tc>
          <w:tcPr>
            <w:tcW w:w="698" w:type="pct"/>
          </w:tcPr>
          <w:p w14:paraId="3C92F268" w14:textId="77777777" w:rsidR="00532EAF" w:rsidRPr="00B379FD" w:rsidRDefault="00532EAF" w:rsidP="00B379FD">
            <w:pPr>
              <w:rPr>
                <w:sz w:val="18"/>
                <w:szCs w:val="18"/>
              </w:rPr>
            </w:pPr>
            <w:r w:rsidRPr="00B379FD">
              <w:rPr>
                <w:sz w:val="18"/>
                <w:szCs w:val="18"/>
              </w:rPr>
              <w:t>31.9</w:t>
            </w:r>
          </w:p>
        </w:tc>
        <w:tc>
          <w:tcPr>
            <w:tcW w:w="644" w:type="pct"/>
          </w:tcPr>
          <w:p w14:paraId="6C6A51AD" w14:textId="77777777" w:rsidR="00532EAF" w:rsidRPr="00B379FD" w:rsidRDefault="00532EAF" w:rsidP="00B379FD">
            <w:pPr>
              <w:rPr>
                <w:sz w:val="18"/>
                <w:szCs w:val="18"/>
              </w:rPr>
            </w:pPr>
            <w:r w:rsidRPr="00B379FD">
              <w:rPr>
                <w:sz w:val="18"/>
                <w:szCs w:val="18"/>
              </w:rPr>
              <w:t>3.940</w:t>
            </w:r>
          </w:p>
        </w:tc>
        <w:tc>
          <w:tcPr>
            <w:tcW w:w="650" w:type="pct"/>
          </w:tcPr>
          <w:p w14:paraId="45CC4824" w14:textId="77777777" w:rsidR="00532EAF" w:rsidRPr="00B379FD" w:rsidRDefault="00532EAF" w:rsidP="00B379FD">
            <w:pPr>
              <w:rPr>
                <w:b/>
                <w:color w:val="FF0000"/>
                <w:sz w:val="18"/>
                <w:szCs w:val="18"/>
              </w:rPr>
            </w:pPr>
            <w:r w:rsidRPr="00B379FD">
              <w:rPr>
                <w:b/>
                <w:color w:val="FF0000"/>
                <w:sz w:val="18"/>
                <w:szCs w:val="18"/>
              </w:rPr>
              <w:t>2.532</w:t>
            </w:r>
          </w:p>
        </w:tc>
        <w:tc>
          <w:tcPr>
            <w:tcW w:w="683" w:type="pct"/>
          </w:tcPr>
          <w:p w14:paraId="48F8754E" w14:textId="77777777" w:rsidR="00532EAF" w:rsidRPr="00B379FD" w:rsidRDefault="00532EAF" w:rsidP="00B379FD">
            <w:pPr>
              <w:rPr>
                <w:b/>
                <w:color w:val="FF0000"/>
                <w:sz w:val="18"/>
                <w:szCs w:val="18"/>
              </w:rPr>
            </w:pPr>
            <w:r w:rsidRPr="00B379FD">
              <w:rPr>
                <w:b/>
                <w:color w:val="FF0000"/>
                <w:sz w:val="18"/>
                <w:szCs w:val="18"/>
              </w:rPr>
              <w:t>1.735</w:t>
            </w:r>
          </w:p>
        </w:tc>
        <w:tc>
          <w:tcPr>
            <w:tcW w:w="665" w:type="pct"/>
          </w:tcPr>
          <w:p w14:paraId="7EB8FE35" w14:textId="77777777" w:rsidR="00532EAF" w:rsidRPr="00B379FD" w:rsidRDefault="00532EAF" w:rsidP="00B379FD">
            <w:pPr>
              <w:rPr>
                <w:sz w:val="18"/>
                <w:szCs w:val="18"/>
              </w:rPr>
            </w:pPr>
            <w:r w:rsidRPr="00B379FD">
              <w:rPr>
                <w:sz w:val="18"/>
                <w:szCs w:val="18"/>
              </w:rPr>
              <w:t>0.452</w:t>
            </w:r>
          </w:p>
        </w:tc>
      </w:tr>
      <w:tr w:rsidR="00532EAF" w:rsidRPr="00B379FD" w14:paraId="64F1D7B1" w14:textId="77777777" w:rsidTr="005D25FA">
        <w:trPr>
          <w:jc w:val="center"/>
        </w:trPr>
        <w:tc>
          <w:tcPr>
            <w:tcW w:w="892" w:type="pct"/>
          </w:tcPr>
          <w:p w14:paraId="245BFD33" w14:textId="77777777" w:rsidR="00532EAF" w:rsidRPr="00B379FD" w:rsidRDefault="00532EAF" w:rsidP="00B379FD">
            <w:pPr>
              <w:rPr>
                <w:sz w:val="18"/>
                <w:szCs w:val="18"/>
              </w:rPr>
            </w:pPr>
            <w:r w:rsidRPr="00B379FD">
              <w:rPr>
                <w:sz w:val="18"/>
                <w:szCs w:val="18"/>
              </w:rPr>
              <w:t>8</w:t>
            </w:r>
          </w:p>
        </w:tc>
        <w:tc>
          <w:tcPr>
            <w:tcW w:w="768" w:type="pct"/>
          </w:tcPr>
          <w:p w14:paraId="780D4845" w14:textId="77777777" w:rsidR="00532EAF" w:rsidRPr="00B379FD" w:rsidRDefault="00532EAF" w:rsidP="00B379FD">
            <w:pPr>
              <w:rPr>
                <w:sz w:val="18"/>
                <w:szCs w:val="18"/>
              </w:rPr>
            </w:pPr>
            <w:r w:rsidRPr="00B379FD">
              <w:rPr>
                <w:sz w:val="18"/>
                <w:szCs w:val="18"/>
              </w:rPr>
              <w:t>2</w:t>
            </w:r>
          </w:p>
        </w:tc>
        <w:tc>
          <w:tcPr>
            <w:tcW w:w="698" w:type="pct"/>
          </w:tcPr>
          <w:p w14:paraId="309A687E" w14:textId="77777777" w:rsidR="00532EAF" w:rsidRPr="00B379FD" w:rsidRDefault="00532EAF" w:rsidP="00B379FD">
            <w:pPr>
              <w:rPr>
                <w:sz w:val="18"/>
                <w:szCs w:val="18"/>
              </w:rPr>
            </w:pPr>
            <w:r w:rsidRPr="00B379FD">
              <w:rPr>
                <w:sz w:val="18"/>
                <w:szCs w:val="18"/>
              </w:rPr>
              <w:t>40.6</w:t>
            </w:r>
          </w:p>
        </w:tc>
        <w:tc>
          <w:tcPr>
            <w:tcW w:w="644" w:type="pct"/>
          </w:tcPr>
          <w:p w14:paraId="2EA77321" w14:textId="77777777" w:rsidR="00532EAF" w:rsidRPr="00B379FD" w:rsidRDefault="00532EAF" w:rsidP="00B379FD">
            <w:pPr>
              <w:rPr>
                <w:sz w:val="18"/>
                <w:szCs w:val="18"/>
              </w:rPr>
            </w:pPr>
            <w:r w:rsidRPr="00B379FD">
              <w:rPr>
                <w:sz w:val="18"/>
                <w:szCs w:val="18"/>
              </w:rPr>
              <w:t>3.156</w:t>
            </w:r>
          </w:p>
        </w:tc>
        <w:tc>
          <w:tcPr>
            <w:tcW w:w="650" w:type="pct"/>
          </w:tcPr>
          <w:p w14:paraId="68F88C28" w14:textId="77777777" w:rsidR="00532EAF" w:rsidRPr="00B379FD" w:rsidRDefault="00532EAF" w:rsidP="00B379FD">
            <w:pPr>
              <w:rPr>
                <w:b/>
                <w:color w:val="FF0000"/>
                <w:sz w:val="18"/>
                <w:szCs w:val="18"/>
              </w:rPr>
            </w:pPr>
            <w:r w:rsidRPr="00B379FD">
              <w:rPr>
                <w:b/>
                <w:color w:val="FF0000"/>
                <w:sz w:val="18"/>
                <w:szCs w:val="18"/>
              </w:rPr>
              <w:t>2.027</w:t>
            </w:r>
          </w:p>
        </w:tc>
        <w:tc>
          <w:tcPr>
            <w:tcW w:w="683" w:type="pct"/>
          </w:tcPr>
          <w:p w14:paraId="2225CC33" w14:textId="77777777" w:rsidR="00532EAF" w:rsidRPr="00B379FD" w:rsidRDefault="00532EAF" w:rsidP="00B379FD">
            <w:pPr>
              <w:rPr>
                <w:b/>
                <w:color w:val="FF0000"/>
                <w:sz w:val="18"/>
                <w:szCs w:val="18"/>
              </w:rPr>
            </w:pPr>
            <w:r w:rsidRPr="00B379FD">
              <w:rPr>
                <w:b/>
                <w:color w:val="FF0000"/>
                <w:sz w:val="18"/>
                <w:szCs w:val="18"/>
              </w:rPr>
              <w:t>1.398</w:t>
            </w:r>
          </w:p>
        </w:tc>
        <w:tc>
          <w:tcPr>
            <w:tcW w:w="665" w:type="pct"/>
          </w:tcPr>
          <w:p w14:paraId="1F17890F" w14:textId="77777777" w:rsidR="00532EAF" w:rsidRPr="00B379FD" w:rsidRDefault="00532EAF" w:rsidP="00B379FD">
            <w:pPr>
              <w:rPr>
                <w:sz w:val="18"/>
                <w:szCs w:val="18"/>
              </w:rPr>
            </w:pPr>
            <w:r w:rsidRPr="00B379FD">
              <w:rPr>
                <w:sz w:val="18"/>
                <w:szCs w:val="18"/>
              </w:rPr>
              <w:t>0.369</w:t>
            </w:r>
          </w:p>
        </w:tc>
      </w:tr>
      <w:tr w:rsidR="00532EAF" w:rsidRPr="00B379FD" w14:paraId="3810B668" w14:textId="77777777" w:rsidTr="005D25FA">
        <w:trPr>
          <w:jc w:val="center"/>
        </w:trPr>
        <w:tc>
          <w:tcPr>
            <w:tcW w:w="892" w:type="pct"/>
          </w:tcPr>
          <w:p w14:paraId="2CEC99F0" w14:textId="77777777" w:rsidR="00532EAF" w:rsidRPr="00B379FD" w:rsidRDefault="00532EAF" w:rsidP="00B379FD">
            <w:pPr>
              <w:rPr>
                <w:sz w:val="18"/>
                <w:szCs w:val="18"/>
              </w:rPr>
            </w:pPr>
            <w:r w:rsidRPr="00B379FD">
              <w:rPr>
                <w:sz w:val="18"/>
                <w:szCs w:val="18"/>
              </w:rPr>
              <w:t>8</w:t>
            </w:r>
          </w:p>
        </w:tc>
        <w:tc>
          <w:tcPr>
            <w:tcW w:w="768" w:type="pct"/>
          </w:tcPr>
          <w:p w14:paraId="0BDA509A" w14:textId="77777777" w:rsidR="00532EAF" w:rsidRPr="00B379FD" w:rsidRDefault="00532EAF" w:rsidP="00B379FD">
            <w:pPr>
              <w:rPr>
                <w:sz w:val="18"/>
                <w:szCs w:val="18"/>
              </w:rPr>
            </w:pPr>
            <w:r w:rsidRPr="00B379FD">
              <w:rPr>
                <w:sz w:val="18"/>
                <w:szCs w:val="18"/>
              </w:rPr>
              <w:t>3</w:t>
            </w:r>
          </w:p>
        </w:tc>
        <w:tc>
          <w:tcPr>
            <w:tcW w:w="698" w:type="pct"/>
          </w:tcPr>
          <w:p w14:paraId="5152D134" w14:textId="77777777" w:rsidR="00532EAF" w:rsidRPr="00B379FD" w:rsidRDefault="00532EAF" w:rsidP="00B379FD">
            <w:pPr>
              <w:rPr>
                <w:sz w:val="18"/>
                <w:szCs w:val="18"/>
              </w:rPr>
            </w:pPr>
            <w:r w:rsidRPr="00B379FD">
              <w:rPr>
                <w:sz w:val="18"/>
                <w:szCs w:val="18"/>
              </w:rPr>
              <w:t>44.2</w:t>
            </w:r>
          </w:p>
        </w:tc>
        <w:tc>
          <w:tcPr>
            <w:tcW w:w="644" w:type="pct"/>
          </w:tcPr>
          <w:p w14:paraId="713086A3" w14:textId="77777777" w:rsidR="00532EAF" w:rsidRPr="00B379FD" w:rsidRDefault="00532EAF" w:rsidP="00B379FD">
            <w:pPr>
              <w:rPr>
                <w:sz w:val="18"/>
                <w:szCs w:val="18"/>
              </w:rPr>
            </w:pPr>
            <w:r w:rsidRPr="00B379FD">
              <w:rPr>
                <w:sz w:val="18"/>
                <w:szCs w:val="18"/>
              </w:rPr>
              <w:t>2.702</w:t>
            </w:r>
          </w:p>
        </w:tc>
        <w:tc>
          <w:tcPr>
            <w:tcW w:w="650" w:type="pct"/>
          </w:tcPr>
          <w:p w14:paraId="6DAA17BE" w14:textId="77777777" w:rsidR="00532EAF" w:rsidRPr="00B379FD" w:rsidRDefault="00532EAF" w:rsidP="00B379FD">
            <w:pPr>
              <w:rPr>
                <w:b/>
                <w:color w:val="FF0000"/>
                <w:sz w:val="18"/>
                <w:szCs w:val="18"/>
              </w:rPr>
            </w:pPr>
            <w:r w:rsidRPr="00B379FD">
              <w:rPr>
                <w:b/>
                <w:color w:val="FF0000"/>
                <w:sz w:val="18"/>
                <w:szCs w:val="18"/>
              </w:rPr>
              <w:t>1.725</w:t>
            </w:r>
          </w:p>
        </w:tc>
        <w:tc>
          <w:tcPr>
            <w:tcW w:w="683" w:type="pct"/>
          </w:tcPr>
          <w:p w14:paraId="315DD008" w14:textId="77777777" w:rsidR="00532EAF" w:rsidRPr="00B379FD" w:rsidRDefault="00532EAF" w:rsidP="00B379FD">
            <w:pPr>
              <w:rPr>
                <w:b/>
                <w:color w:val="FF0000"/>
                <w:sz w:val="18"/>
                <w:szCs w:val="18"/>
              </w:rPr>
            </w:pPr>
            <w:r w:rsidRPr="00B379FD">
              <w:rPr>
                <w:b/>
                <w:color w:val="FF0000"/>
                <w:sz w:val="18"/>
                <w:szCs w:val="18"/>
              </w:rPr>
              <w:t>1.181</w:t>
            </w:r>
          </w:p>
        </w:tc>
        <w:tc>
          <w:tcPr>
            <w:tcW w:w="665" w:type="pct"/>
          </w:tcPr>
          <w:p w14:paraId="77028E0E" w14:textId="77777777" w:rsidR="00532EAF" w:rsidRPr="00B379FD" w:rsidRDefault="00532EAF" w:rsidP="00B379FD">
            <w:pPr>
              <w:rPr>
                <w:sz w:val="18"/>
                <w:szCs w:val="18"/>
              </w:rPr>
            </w:pPr>
            <w:r w:rsidRPr="00B379FD">
              <w:rPr>
                <w:sz w:val="18"/>
                <w:szCs w:val="18"/>
              </w:rPr>
              <w:t>0.309</w:t>
            </w:r>
          </w:p>
        </w:tc>
      </w:tr>
      <w:tr w:rsidR="00532EAF" w:rsidRPr="00B379FD" w14:paraId="632738D2" w14:textId="77777777" w:rsidTr="005D25FA">
        <w:trPr>
          <w:jc w:val="center"/>
        </w:trPr>
        <w:tc>
          <w:tcPr>
            <w:tcW w:w="892" w:type="pct"/>
          </w:tcPr>
          <w:p w14:paraId="74328F6A" w14:textId="77777777" w:rsidR="00532EAF" w:rsidRPr="00B379FD" w:rsidRDefault="00532EAF" w:rsidP="00B379FD">
            <w:pPr>
              <w:rPr>
                <w:sz w:val="18"/>
                <w:szCs w:val="18"/>
              </w:rPr>
            </w:pPr>
            <w:r w:rsidRPr="00B379FD">
              <w:rPr>
                <w:sz w:val="18"/>
                <w:szCs w:val="18"/>
              </w:rPr>
              <w:t>8</w:t>
            </w:r>
          </w:p>
        </w:tc>
        <w:tc>
          <w:tcPr>
            <w:tcW w:w="768" w:type="pct"/>
          </w:tcPr>
          <w:p w14:paraId="52B4DB54" w14:textId="77777777" w:rsidR="00532EAF" w:rsidRPr="00B379FD" w:rsidRDefault="00532EAF" w:rsidP="00B379FD">
            <w:pPr>
              <w:rPr>
                <w:sz w:val="18"/>
                <w:szCs w:val="18"/>
              </w:rPr>
            </w:pPr>
            <w:r w:rsidRPr="00B379FD">
              <w:rPr>
                <w:sz w:val="18"/>
                <w:szCs w:val="18"/>
              </w:rPr>
              <w:t>4</w:t>
            </w:r>
          </w:p>
        </w:tc>
        <w:tc>
          <w:tcPr>
            <w:tcW w:w="698" w:type="pct"/>
          </w:tcPr>
          <w:p w14:paraId="7F4F0F3C" w14:textId="77777777" w:rsidR="00532EAF" w:rsidRPr="00B379FD" w:rsidRDefault="00532EAF" w:rsidP="00B379FD">
            <w:pPr>
              <w:rPr>
                <w:sz w:val="18"/>
                <w:szCs w:val="18"/>
              </w:rPr>
            </w:pPr>
            <w:r w:rsidRPr="00B379FD">
              <w:rPr>
                <w:sz w:val="18"/>
                <w:szCs w:val="18"/>
              </w:rPr>
              <w:t>50.1</w:t>
            </w:r>
          </w:p>
        </w:tc>
        <w:tc>
          <w:tcPr>
            <w:tcW w:w="644" w:type="pct"/>
          </w:tcPr>
          <w:p w14:paraId="17087C51" w14:textId="77777777" w:rsidR="00532EAF" w:rsidRPr="00B379FD" w:rsidRDefault="00532EAF" w:rsidP="00B379FD">
            <w:pPr>
              <w:rPr>
                <w:sz w:val="18"/>
                <w:szCs w:val="18"/>
              </w:rPr>
            </w:pPr>
            <w:r w:rsidRPr="00B379FD">
              <w:rPr>
                <w:sz w:val="18"/>
                <w:szCs w:val="18"/>
              </w:rPr>
              <w:t>2.113</w:t>
            </w:r>
          </w:p>
        </w:tc>
        <w:tc>
          <w:tcPr>
            <w:tcW w:w="650" w:type="pct"/>
          </w:tcPr>
          <w:p w14:paraId="3B95EB4B" w14:textId="77777777" w:rsidR="00532EAF" w:rsidRPr="00B379FD" w:rsidRDefault="00532EAF" w:rsidP="00B379FD">
            <w:pPr>
              <w:rPr>
                <w:b/>
                <w:color w:val="FF0000"/>
                <w:sz w:val="18"/>
                <w:szCs w:val="18"/>
              </w:rPr>
            </w:pPr>
            <w:r w:rsidRPr="00B379FD">
              <w:rPr>
                <w:b/>
                <w:color w:val="FF0000"/>
                <w:sz w:val="18"/>
                <w:szCs w:val="18"/>
              </w:rPr>
              <w:t>1.353</w:t>
            </w:r>
          </w:p>
        </w:tc>
        <w:tc>
          <w:tcPr>
            <w:tcW w:w="683" w:type="pct"/>
          </w:tcPr>
          <w:p w14:paraId="01707B1C" w14:textId="77777777" w:rsidR="00532EAF" w:rsidRPr="00B379FD" w:rsidRDefault="00532EAF" w:rsidP="00B379FD">
            <w:pPr>
              <w:rPr>
                <w:b/>
                <w:color w:val="FF0000"/>
                <w:sz w:val="18"/>
                <w:szCs w:val="18"/>
              </w:rPr>
            </w:pPr>
            <w:r w:rsidRPr="00B379FD">
              <w:rPr>
                <w:b/>
                <w:color w:val="FF0000"/>
                <w:sz w:val="18"/>
                <w:szCs w:val="18"/>
              </w:rPr>
              <w:t>0.938</w:t>
            </w:r>
          </w:p>
        </w:tc>
        <w:tc>
          <w:tcPr>
            <w:tcW w:w="665" w:type="pct"/>
          </w:tcPr>
          <w:p w14:paraId="532F9300" w14:textId="77777777" w:rsidR="00532EAF" w:rsidRPr="00B379FD" w:rsidRDefault="00532EAF" w:rsidP="00B379FD">
            <w:pPr>
              <w:rPr>
                <w:sz w:val="18"/>
                <w:szCs w:val="18"/>
              </w:rPr>
            </w:pPr>
            <w:r w:rsidRPr="00B379FD">
              <w:rPr>
                <w:sz w:val="18"/>
                <w:szCs w:val="18"/>
              </w:rPr>
              <w:t>0.246</w:t>
            </w:r>
          </w:p>
        </w:tc>
      </w:tr>
      <w:tr w:rsidR="00532EAF" w:rsidRPr="00B379FD" w14:paraId="78B823D1" w14:textId="77777777" w:rsidTr="005D25FA">
        <w:trPr>
          <w:jc w:val="center"/>
        </w:trPr>
        <w:tc>
          <w:tcPr>
            <w:tcW w:w="892" w:type="pct"/>
            <w:tcBorders>
              <w:bottom w:val="single" w:sz="12" w:space="0" w:color="000000"/>
            </w:tcBorders>
          </w:tcPr>
          <w:p w14:paraId="72BBC314" w14:textId="77777777" w:rsidR="00532EAF" w:rsidRPr="00B379FD" w:rsidRDefault="00532EAF" w:rsidP="00B379FD">
            <w:pPr>
              <w:rPr>
                <w:sz w:val="18"/>
                <w:szCs w:val="18"/>
              </w:rPr>
            </w:pPr>
            <w:r w:rsidRPr="00B379FD">
              <w:rPr>
                <w:sz w:val="18"/>
                <w:szCs w:val="18"/>
              </w:rPr>
              <w:t>etc.</w:t>
            </w:r>
          </w:p>
        </w:tc>
        <w:tc>
          <w:tcPr>
            <w:tcW w:w="768" w:type="pct"/>
            <w:tcBorders>
              <w:bottom w:val="single" w:sz="12" w:space="0" w:color="000000"/>
            </w:tcBorders>
          </w:tcPr>
          <w:p w14:paraId="2837BA99" w14:textId="77777777" w:rsidR="00532EAF" w:rsidRPr="00B379FD" w:rsidRDefault="00532EAF" w:rsidP="00B379FD">
            <w:pPr>
              <w:rPr>
                <w:sz w:val="18"/>
                <w:szCs w:val="18"/>
              </w:rPr>
            </w:pPr>
            <w:r w:rsidRPr="00B379FD">
              <w:rPr>
                <w:sz w:val="18"/>
                <w:szCs w:val="18"/>
              </w:rPr>
              <w:t>—</w:t>
            </w:r>
          </w:p>
        </w:tc>
        <w:tc>
          <w:tcPr>
            <w:tcW w:w="698" w:type="pct"/>
            <w:tcBorders>
              <w:bottom w:val="single" w:sz="12" w:space="0" w:color="000000"/>
            </w:tcBorders>
          </w:tcPr>
          <w:p w14:paraId="7CFE3B72" w14:textId="77777777" w:rsidR="00532EAF" w:rsidRPr="00B379FD" w:rsidRDefault="00532EAF" w:rsidP="00B379FD">
            <w:pPr>
              <w:rPr>
                <w:sz w:val="18"/>
                <w:szCs w:val="18"/>
              </w:rPr>
            </w:pPr>
            <w:r w:rsidRPr="00B379FD">
              <w:rPr>
                <w:sz w:val="18"/>
                <w:szCs w:val="18"/>
              </w:rPr>
              <w:t>—</w:t>
            </w:r>
          </w:p>
        </w:tc>
        <w:tc>
          <w:tcPr>
            <w:tcW w:w="644" w:type="pct"/>
            <w:tcBorders>
              <w:bottom w:val="single" w:sz="12" w:space="0" w:color="000000"/>
            </w:tcBorders>
          </w:tcPr>
          <w:p w14:paraId="403B89A3" w14:textId="77777777" w:rsidR="00532EAF" w:rsidRPr="00B379FD" w:rsidRDefault="00532EAF" w:rsidP="00B379FD">
            <w:pPr>
              <w:rPr>
                <w:sz w:val="18"/>
                <w:szCs w:val="18"/>
              </w:rPr>
            </w:pPr>
            <w:r w:rsidRPr="00B379FD">
              <w:rPr>
                <w:sz w:val="18"/>
                <w:szCs w:val="18"/>
              </w:rPr>
              <w:t>—</w:t>
            </w:r>
          </w:p>
        </w:tc>
        <w:tc>
          <w:tcPr>
            <w:tcW w:w="650" w:type="pct"/>
            <w:tcBorders>
              <w:bottom w:val="single" w:sz="12" w:space="0" w:color="000000"/>
            </w:tcBorders>
          </w:tcPr>
          <w:p w14:paraId="471C0A8E" w14:textId="77777777" w:rsidR="00532EAF" w:rsidRPr="00B379FD" w:rsidRDefault="00532EAF" w:rsidP="00B379FD">
            <w:pPr>
              <w:rPr>
                <w:sz w:val="18"/>
                <w:szCs w:val="18"/>
              </w:rPr>
            </w:pPr>
            <w:r w:rsidRPr="00B379FD">
              <w:rPr>
                <w:sz w:val="18"/>
                <w:szCs w:val="18"/>
              </w:rPr>
              <w:t>—</w:t>
            </w:r>
          </w:p>
        </w:tc>
        <w:tc>
          <w:tcPr>
            <w:tcW w:w="683" w:type="pct"/>
            <w:tcBorders>
              <w:bottom w:val="single" w:sz="12" w:space="0" w:color="000000"/>
            </w:tcBorders>
          </w:tcPr>
          <w:p w14:paraId="19CDC959" w14:textId="77777777" w:rsidR="00532EAF" w:rsidRPr="00B379FD" w:rsidRDefault="00532EAF" w:rsidP="00B379FD">
            <w:pPr>
              <w:rPr>
                <w:sz w:val="18"/>
                <w:szCs w:val="18"/>
              </w:rPr>
            </w:pPr>
            <w:r w:rsidRPr="00B379FD">
              <w:rPr>
                <w:sz w:val="18"/>
                <w:szCs w:val="18"/>
              </w:rPr>
              <w:t>—</w:t>
            </w:r>
          </w:p>
        </w:tc>
        <w:tc>
          <w:tcPr>
            <w:tcW w:w="665" w:type="pct"/>
            <w:tcBorders>
              <w:bottom w:val="single" w:sz="12" w:space="0" w:color="000000"/>
            </w:tcBorders>
          </w:tcPr>
          <w:p w14:paraId="06B2140E" w14:textId="77777777" w:rsidR="00532EAF" w:rsidRPr="00B379FD" w:rsidRDefault="00532EAF" w:rsidP="00B379FD">
            <w:pPr>
              <w:rPr>
                <w:sz w:val="18"/>
                <w:szCs w:val="18"/>
              </w:rPr>
            </w:pPr>
            <w:r w:rsidRPr="00B379FD">
              <w:rPr>
                <w:sz w:val="18"/>
                <w:szCs w:val="18"/>
              </w:rPr>
              <w:t>—</w:t>
            </w:r>
          </w:p>
        </w:tc>
      </w:tr>
    </w:tbl>
    <w:p w14:paraId="4B42F4BF" w14:textId="77777777" w:rsidR="007F4866" w:rsidRPr="007F4866" w:rsidRDefault="007F4866" w:rsidP="00B379FD">
      <w:pPr>
        <w:tabs>
          <w:tab w:val="left" w:pos="567"/>
        </w:tabs>
        <w:spacing w:before="120"/>
        <w:ind w:firstLine="284"/>
        <w:jc w:val="both"/>
        <w:rPr>
          <w:rFonts w:eastAsia="Times"/>
          <w:i/>
          <w:lang w:val="en-US"/>
        </w:rPr>
      </w:pPr>
      <w:r>
        <w:rPr>
          <w:rFonts w:eastAsia="Times"/>
          <w:i/>
          <w:iCs/>
          <w:lang w:val="en-US"/>
        </w:rPr>
        <w:t xml:space="preserve">Note: </w:t>
      </w:r>
      <w:r w:rsidRPr="007F4866">
        <w:rPr>
          <w:rFonts w:eastAsia="Times"/>
          <w:i/>
          <w:iCs/>
          <w:lang w:val="en-US"/>
        </w:rPr>
        <w:t>The table displays average pollutant concentrations calculated per lane across different street types. While simplified for clarity, the full dataset comprises more than 20 unique combinations of lane positions and corresponding average vehicle speeds, providing a comprehensive foundation for statistical and graphical analysis.</w:t>
      </w:r>
    </w:p>
    <w:p w14:paraId="62B42BE9" w14:textId="77777777" w:rsidR="00EE404B" w:rsidRPr="00EE404B" w:rsidRDefault="00EE404B" w:rsidP="00B379FD">
      <w:pPr>
        <w:tabs>
          <w:tab w:val="left" w:pos="567"/>
        </w:tabs>
        <w:ind w:firstLine="284"/>
        <w:jc w:val="both"/>
        <w:rPr>
          <w:rFonts w:eastAsia="Times"/>
          <w:lang w:val="en-US"/>
        </w:rPr>
      </w:pPr>
      <w:r w:rsidRPr="00EE404B">
        <w:rPr>
          <w:rFonts w:eastAsia="Times"/>
          <w:lang w:val="en-US"/>
        </w:rPr>
        <w:t xml:space="preserve">The findings confirm that both </w:t>
      </w:r>
      <w:r w:rsidRPr="00EE404B">
        <w:rPr>
          <w:rFonts w:eastAsia="Times"/>
          <w:bCs/>
          <w:lang w:val="en-US"/>
        </w:rPr>
        <w:t>lane position</w:t>
      </w:r>
      <w:r w:rsidRPr="00EE404B">
        <w:rPr>
          <w:rFonts w:eastAsia="Times"/>
          <w:lang w:val="en-US"/>
        </w:rPr>
        <w:t xml:space="preserve"> and </w:t>
      </w:r>
      <w:r w:rsidRPr="00EE404B">
        <w:rPr>
          <w:rFonts w:eastAsia="Times"/>
          <w:bCs/>
          <w:lang w:val="en-US"/>
        </w:rPr>
        <w:t>average vehicle speed</w:t>
      </w:r>
      <w:r w:rsidRPr="00EE404B">
        <w:rPr>
          <w:rFonts w:eastAsia="Times"/>
          <w:lang w:val="en-US"/>
        </w:rPr>
        <w:t xml:space="preserve"> exert a significant influence on the distribution of urban air pollutants.</w:t>
      </w:r>
    </w:p>
    <w:p w14:paraId="35057265" w14:textId="77777777" w:rsidR="00EE404B" w:rsidRPr="00EE404B" w:rsidRDefault="00EE404B" w:rsidP="00B379FD">
      <w:pPr>
        <w:tabs>
          <w:tab w:val="left" w:pos="567"/>
        </w:tabs>
        <w:ind w:firstLine="284"/>
        <w:jc w:val="both"/>
        <w:rPr>
          <w:rFonts w:eastAsia="Times"/>
          <w:lang w:val="ru-RU"/>
        </w:rPr>
      </w:pPr>
      <w:r w:rsidRPr="00EE404B">
        <w:rPr>
          <w:rFonts w:eastAsia="Times"/>
          <w:lang w:val="en-US"/>
        </w:rPr>
        <w:t xml:space="preserve">Across all road types—4, 6, and 8 lanes—the </w:t>
      </w:r>
      <w:r w:rsidRPr="00EE404B">
        <w:rPr>
          <w:rFonts w:eastAsia="Times"/>
          <w:bCs/>
          <w:lang w:val="en-US"/>
        </w:rPr>
        <w:t>first (rightmost) lane</w:t>
      </w:r>
      <w:r w:rsidRPr="00EE404B">
        <w:rPr>
          <w:rFonts w:eastAsia="Times"/>
          <w:lang w:val="en-US"/>
        </w:rPr>
        <w:t xml:space="preserve"> consistently recorded the </w:t>
      </w:r>
      <w:r w:rsidRPr="00EE404B">
        <w:rPr>
          <w:rFonts w:eastAsia="Times"/>
          <w:bCs/>
          <w:lang w:val="en-US"/>
        </w:rPr>
        <w:t>highest concentrations</w:t>
      </w:r>
      <w:r w:rsidRPr="00EE404B">
        <w:rPr>
          <w:rFonts w:eastAsia="Times"/>
          <w:lang w:val="en-US"/>
        </w:rPr>
        <w:t xml:space="preserve"> of measured pollutants. </w:t>
      </w:r>
      <w:proofErr w:type="spellStart"/>
      <w:r w:rsidRPr="00EE404B">
        <w:rPr>
          <w:rFonts w:eastAsia="Times"/>
          <w:lang w:val="ru-RU"/>
        </w:rPr>
        <w:t>Several</w:t>
      </w:r>
      <w:proofErr w:type="spellEnd"/>
      <w:r w:rsidRPr="00EE404B">
        <w:rPr>
          <w:rFonts w:eastAsia="Times"/>
          <w:lang w:val="ru-RU"/>
        </w:rPr>
        <w:t xml:space="preserve"> </w:t>
      </w:r>
      <w:proofErr w:type="spellStart"/>
      <w:r w:rsidRPr="00EE404B">
        <w:rPr>
          <w:rFonts w:eastAsia="Times"/>
          <w:lang w:val="ru-RU"/>
        </w:rPr>
        <w:t>contributing</w:t>
      </w:r>
      <w:proofErr w:type="spellEnd"/>
      <w:r w:rsidRPr="00EE404B">
        <w:rPr>
          <w:rFonts w:eastAsia="Times"/>
          <w:lang w:val="ru-RU"/>
        </w:rPr>
        <w:t xml:space="preserve"> </w:t>
      </w:r>
      <w:proofErr w:type="spellStart"/>
      <w:r w:rsidRPr="00EE404B">
        <w:rPr>
          <w:rFonts w:eastAsia="Times"/>
          <w:lang w:val="ru-RU"/>
        </w:rPr>
        <w:t>factors</w:t>
      </w:r>
      <w:proofErr w:type="spellEnd"/>
      <w:r w:rsidRPr="00EE404B">
        <w:rPr>
          <w:rFonts w:eastAsia="Times"/>
          <w:lang w:val="ru-RU"/>
        </w:rPr>
        <w:t xml:space="preserve"> </w:t>
      </w:r>
      <w:proofErr w:type="spellStart"/>
      <w:r w:rsidRPr="00EE404B">
        <w:rPr>
          <w:rFonts w:eastAsia="Times"/>
          <w:lang w:val="ru-RU"/>
        </w:rPr>
        <w:t>likely</w:t>
      </w:r>
      <w:proofErr w:type="spellEnd"/>
      <w:r w:rsidRPr="00EE404B">
        <w:rPr>
          <w:rFonts w:eastAsia="Times"/>
          <w:lang w:val="ru-RU"/>
        </w:rPr>
        <w:t xml:space="preserve"> </w:t>
      </w:r>
      <w:proofErr w:type="spellStart"/>
      <w:r w:rsidRPr="00EE404B">
        <w:rPr>
          <w:rFonts w:eastAsia="Times"/>
          <w:lang w:val="ru-RU"/>
        </w:rPr>
        <w:t>explain</w:t>
      </w:r>
      <w:proofErr w:type="spellEnd"/>
      <w:r w:rsidRPr="00EE404B">
        <w:rPr>
          <w:rFonts w:eastAsia="Times"/>
          <w:lang w:val="ru-RU"/>
        </w:rPr>
        <w:t xml:space="preserve"> </w:t>
      </w:r>
      <w:proofErr w:type="spellStart"/>
      <w:r w:rsidRPr="00EE404B">
        <w:rPr>
          <w:rFonts w:eastAsia="Times"/>
          <w:lang w:val="ru-RU"/>
        </w:rPr>
        <w:t>this</w:t>
      </w:r>
      <w:proofErr w:type="spellEnd"/>
      <w:r w:rsidRPr="00EE404B">
        <w:rPr>
          <w:rFonts w:eastAsia="Times"/>
          <w:lang w:val="ru-RU"/>
        </w:rPr>
        <w:t xml:space="preserve"> </w:t>
      </w:r>
      <w:proofErr w:type="spellStart"/>
      <w:r w:rsidRPr="00EE404B">
        <w:rPr>
          <w:rFonts w:eastAsia="Times"/>
          <w:lang w:val="ru-RU"/>
        </w:rPr>
        <w:t>pattern</w:t>
      </w:r>
      <w:proofErr w:type="spellEnd"/>
      <w:r w:rsidRPr="00EE404B">
        <w:rPr>
          <w:rFonts w:eastAsia="Times"/>
          <w:lang w:val="ru-RU"/>
        </w:rPr>
        <w:t>:</w:t>
      </w:r>
    </w:p>
    <w:p w14:paraId="2D0263FC" w14:textId="77777777" w:rsidR="00EE404B" w:rsidRPr="00EE404B" w:rsidRDefault="00EE404B" w:rsidP="00B379FD">
      <w:pPr>
        <w:numPr>
          <w:ilvl w:val="0"/>
          <w:numId w:val="16"/>
        </w:numPr>
        <w:tabs>
          <w:tab w:val="left" w:pos="567"/>
        </w:tabs>
        <w:ind w:left="0" w:firstLine="284"/>
        <w:jc w:val="both"/>
        <w:rPr>
          <w:rFonts w:eastAsia="Times"/>
          <w:lang w:val="en-US"/>
        </w:rPr>
      </w:pPr>
      <w:r w:rsidRPr="00EE404B">
        <w:rPr>
          <w:rFonts w:eastAsia="Times"/>
          <w:lang w:val="en-US"/>
        </w:rPr>
        <w:t>lower average travel speeds observed in curbside lanes;</w:t>
      </w:r>
    </w:p>
    <w:p w14:paraId="4FC28579" w14:textId="77777777" w:rsidR="00EE404B" w:rsidRPr="00EE404B" w:rsidRDefault="00EE404B" w:rsidP="00B379FD">
      <w:pPr>
        <w:numPr>
          <w:ilvl w:val="0"/>
          <w:numId w:val="16"/>
        </w:numPr>
        <w:tabs>
          <w:tab w:val="left" w:pos="567"/>
        </w:tabs>
        <w:ind w:left="0" w:firstLine="284"/>
        <w:jc w:val="both"/>
        <w:rPr>
          <w:rFonts w:eastAsia="Times"/>
          <w:lang w:val="en-US"/>
        </w:rPr>
      </w:pPr>
      <w:r w:rsidRPr="00EE404B">
        <w:rPr>
          <w:rFonts w:eastAsia="Times"/>
          <w:lang w:val="en-US"/>
        </w:rPr>
        <w:t xml:space="preserve">increased frequency of </w:t>
      </w:r>
      <w:r w:rsidRPr="00EE404B">
        <w:rPr>
          <w:rFonts w:eastAsia="Times"/>
          <w:bCs/>
          <w:lang w:val="en-US"/>
        </w:rPr>
        <w:t>stop-and-go conditions</w:t>
      </w:r>
      <w:r w:rsidRPr="00EE404B">
        <w:rPr>
          <w:rFonts w:eastAsia="Times"/>
          <w:lang w:val="en-US"/>
        </w:rPr>
        <w:t>, braking, and lane-changing maneuvers;</w:t>
      </w:r>
    </w:p>
    <w:p w14:paraId="7487655F" w14:textId="77777777" w:rsidR="00EE404B" w:rsidRPr="00EE404B" w:rsidRDefault="00EE404B" w:rsidP="00B379FD">
      <w:pPr>
        <w:numPr>
          <w:ilvl w:val="0"/>
          <w:numId w:val="16"/>
        </w:numPr>
        <w:tabs>
          <w:tab w:val="left" w:pos="567"/>
        </w:tabs>
        <w:ind w:left="0" w:firstLine="284"/>
        <w:jc w:val="both"/>
        <w:rPr>
          <w:rFonts w:eastAsia="Times"/>
          <w:lang w:val="en-US"/>
        </w:rPr>
      </w:pPr>
      <w:r w:rsidRPr="00EE404B">
        <w:rPr>
          <w:rFonts w:eastAsia="Times"/>
          <w:lang w:val="en-US"/>
        </w:rPr>
        <w:t xml:space="preserve">a </w:t>
      </w:r>
      <w:r w:rsidRPr="00EE404B">
        <w:rPr>
          <w:rFonts w:eastAsia="Times"/>
          <w:bCs/>
          <w:lang w:val="en-US"/>
        </w:rPr>
        <w:t>higher proportion of heavy-duty and public transport vehicles</w:t>
      </w:r>
      <w:r w:rsidRPr="00EE404B">
        <w:rPr>
          <w:rFonts w:eastAsia="Times"/>
          <w:lang w:val="en-US"/>
        </w:rPr>
        <w:t>, which are known to emit larger volumes of pollutants compared to light-duty vehicles.</w:t>
      </w:r>
    </w:p>
    <w:p w14:paraId="0948D55E" w14:textId="77777777" w:rsidR="00EE404B" w:rsidRPr="00EE404B" w:rsidRDefault="00EE404B" w:rsidP="00B379FD">
      <w:pPr>
        <w:tabs>
          <w:tab w:val="left" w:pos="567"/>
        </w:tabs>
        <w:ind w:firstLine="284"/>
        <w:jc w:val="both"/>
        <w:rPr>
          <w:rFonts w:eastAsia="Times"/>
          <w:lang w:val="ru-RU"/>
        </w:rPr>
      </w:pPr>
      <w:r w:rsidRPr="00EE404B">
        <w:rPr>
          <w:rFonts w:eastAsia="Times"/>
          <w:lang w:val="en-US"/>
        </w:rPr>
        <w:t xml:space="preserve">As traffic speed increases progressively toward the center and leftmost lanes, a </w:t>
      </w:r>
      <w:r w:rsidRPr="00EE404B">
        <w:rPr>
          <w:rFonts w:eastAsia="Times"/>
          <w:bCs/>
          <w:lang w:val="en-US"/>
        </w:rPr>
        <w:t>notable reduction in pollutant concentrations</w:t>
      </w:r>
      <w:r w:rsidRPr="00EE404B">
        <w:rPr>
          <w:rFonts w:eastAsia="Times"/>
          <w:lang w:val="en-US"/>
        </w:rPr>
        <w:t xml:space="preserve"> is observed. </w:t>
      </w:r>
      <w:proofErr w:type="spellStart"/>
      <w:r w:rsidRPr="00EE404B">
        <w:rPr>
          <w:rFonts w:eastAsia="Times"/>
          <w:lang w:val="ru-RU"/>
        </w:rPr>
        <w:t>This</w:t>
      </w:r>
      <w:proofErr w:type="spellEnd"/>
      <w:r w:rsidRPr="00EE404B">
        <w:rPr>
          <w:rFonts w:eastAsia="Times"/>
          <w:lang w:val="ru-RU"/>
        </w:rPr>
        <w:t xml:space="preserve"> </w:t>
      </w:r>
      <w:proofErr w:type="spellStart"/>
      <w:r w:rsidRPr="00EE404B">
        <w:rPr>
          <w:rFonts w:eastAsia="Times"/>
          <w:lang w:val="ru-RU"/>
        </w:rPr>
        <w:t>supports</w:t>
      </w:r>
      <w:proofErr w:type="spellEnd"/>
      <w:r w:rsidRPr="00EE404B">
        <w:rPr>
          <w:rFonts w:eastAsia="Times"/>
          <w:lang w:val="ru-RU"/>
        </w:rPr>
        <w:t xml:space="preserve"> </w:t>
      </w:r>
      <w:proofErr w:type="spellStart"/>
      <w:r w:rsidRPr="00EE404B">
        <w:rPr>
          <w:rFonts w:eastAsia="Times"/>
          <w:lang w:val="ru-RU"/>
        </w:rPr>
        <w:t>two</w:t>
      </w:r>
      <w:proofErr w:type="spellEnd"/>
      <w:r w:rsidRPr="00EE404B">
        <w:rPr>
          <w:rFonts w:eastAsia="Times"/>
          <w:lang w:val="ru-RU"/>
        </w:rPr>
        <w:t xml:space="preserve"> </w:t>
      </w:r>
      <w:proofErr w:type="spellStart"/>
      <w:r w:rsidRPr="00EE404B">
        <w:rPr>
          <w:rFonts w:eastAsia="Times"/>
          <w:lang w:val="ru-RU"/>
        </w:rPr>
        <w:t>key</w:t>
      </w:r>
      <w:proofErr w:type="spellEnd"/>
      <w:r w:rsidRPr="00EE404B">
        <w:rPr>
          <w:rFonts w:eastAsia="Times"/>
          <w:lang w:val="ru-RU"/>
        </w:rPr>
        <w:t xml:space="preserve"> </w:t>
      </w:r>
      <w:proofErr w:type="spellStart"/>
      <w:r w:rsidRPr="00EE404B">
        <w:rPr>
          <w:rFonts w:eastAsia="Times"/>
          <w:lang w:val="ru-RU"/>
        </w:rPr>
        <w:t>conclusions</w:t>
      </w:r>
      <w:proofErr w:type="spellEnd"/>
      <w:r w:rsidRPr="00EE404B">
        <w:rPr>
          <w:rFonts w:eastAsia="Times"/>
          <w:lang w:val="ru-RU"/>
        </w:rPr>
        <w:t>:</w:t>
      </w:r>
    </w:p>
    <w:p w14:paraId="4A2E2155" w14:textId="77777777" w:rsidR="00EE404B" w:rsidRPr="00EE404B" w:rsidRDefault="00EE404B" w:rsidP="00B379FD">
      <w:pPr>
        <w:numPr>
          <w:ilvl w:val="0"/>
          <w:numId w:val="16"/>
        </w:numPr>
        <w:tabs>
          <w:tab w:val="left" w:pos="567"/>
        </w:tabs>
        <w:ind w:left="0" w:firstLine="284"/>
        <w:jc w:val="both"/>
        <w:rPr>
          <w:rFonts w:eastAsia="Times"/>
          <w:lang w:val="en-US"/>
        </w:rPr>
      </w:pPr>
      <w:r w:rsidRPr="00EE404B">
        <w:rPr>
          <w:rFonts w:eastAsia="Times"/>
          <w:bCs/>
          <w:lang w:val="en-US"/>
        </w:rPr>
        <w:t>slower, inconsistent traffic flow contributes to elevated emission levels</w:t>
      </w:r>
      <w:r w:rsidRPr="00EE404B">
        <w:rPr>
          <w:rFonts w:eastAsia="Times"/>
          <w:lang w:val="en-US"/>
        </w:rPr>
        <w:t>;</w:t>
      </w:r>
    </w:p>
    <w:p w14:paraId="66C19DD5" w14:textId="77777777" w:rsidR="00EE404B" w:rsidRPr="00EE404B" w:rsidRDefault="00EE404B" w:rsidP="00B379FD">
      <w:pPr>
        <w:numPr>
          <w:ilvl w:val="0"/>
          <w:numId w:val="16"/>
        </w:numPr>
        <w:tabs>
          <w:tab w:val="left" w:pos="567"/>
        </w:tabs>
        <w:ind w:left="0" w:firstLine="284"/>
        <w:jc w:val="both"/>
        <w:rPr>
          <w:rFonts w:eastAsia="Times"/>
          <w:lang w:val="en-US"/>
        </w:rPr>
      </w:pPr>
      <w:r w:rsidRPr="00EE404B">
        <w:rPr>
          <w:rFonts w:eastAsia="Times"/>
          <w:bCs/>
          <w:lang w:val="en-US"/>
        </w:rPr>
        <w:t>faster and more uniform movement in inner lanes (2nd, 3rd, and 4th)</w:t>
      </w:r>
      <w:r w:rsidRPr="00EE404B">
        <w:rPr>
          <w:rFonts w:eastAsia="Times"/>
          <w:lang w:val="en-US"/>
        </w:rPr>
        <w:t xml:space="preserve"> corresponds to improved air quality, assuming other conditions are held constant.</w:t>
      </w:r>
    </w:p>
    <w:p w14:paraId="2CD0DA0F" w14:textId="77777777" w:rsidR="00EE404B" w:rsidRPr="00EE404B" w:rsidRDefault="00EE404B" w:rsidP="00B379FD">
      <w:pPr>
        <w:tabs>
          <w:tab w:val="left" w:pos="567"/>
        </w:tabs>
        <w:ind w:firstLine="284"/>
        <w:jc w:val="both"/>
        <w:rPr>
          <w:rFonts w:eastAsia="Times"/>
          <w:lang w:val="ru-RU"/>
        </w:rPr>
      </w:pPr>
      <w:r w:rsidRPr="00EE404B">
        <w:rPr>
          <w:rFonts w:eastAsia="Times"/>
          <w:lang w:val="en-US"/>
        </w:rPr>
        <w:t xml:space="preserve">The contrast is most pronounced on </w:t>
      </w:r>
      <w:r w:rsidRPr="00EE404B">
        <w:rPr>
          <w:rFonts w:eastAsia="Times"/>
          <w:bCs/>
          <w:lang w:val="en-US"/>
        </w:rPr>
        <w:t>8-lane roadways</w:t>
      </w:r>
      <w:r w:rsidRPr="00EE404B">
        <w:rPr>
          <w:rFonts w:eastAsia="Times"/>
          <w:lang w:val="en-US"/>
        </w:rPr>
        <w:t xml:space="preserve">, where, for instance, </w:t>
      </w:r>
      <w:r w:rsidRPr="00EE404B">
        <w:rPr>
          <w:rFonts w:eastAsia="Times"/>
          <w:bCs/>
          <w:lang w:val="en-US"/>
        </w:rPr>
        <w:t>CO concentrations</w:t>
      </w:r>
      <w:r w:rsidRPr="00EE404B">
        <w:rPr>
          <w:rFonts w:eastAsia="Times"/>
          <w:lang w:val="en-US"/>
        </w:rPr>
        <w:t xml:space="preserve"> differ by up to </w:t>
      </w:r>
      <w:r w:rsidRPr="00EE404B">
        <w:rPr>
          <w:rFonts w:eastAsia="Times"/>
          <w:bCs/>
          <w:lang w:val="en-US"/>
        </w:rPr>
        <w:t>0.45 mg/m³</w:t>
      </w:r>
      <w:r w:rsidRPr="00EE404B">
        <w:rPr>
          <w:rFonts w:eastAsia="Times"/>
          <w:lang w:val="en-US"/>
        </w:rPr>
        <w:t xml:space="preserve"> between the 1st and 3rd lanes. </w:t>
      </w:r>
      <w:proofErr w:type="spellStart"/>
      <w:r w:rsidRPr="00EE404B">
        <w:rPr>
          <w:rFonts w:eastAsia="Times"/>
          <w:lang w:val="ru-RU"/>
        </w:rPr>
        <w:t>This</w:t>
      </w:r>
      <w:proofErr w:type="spellEnd"/>
      <w:r w:rsidRPr="00EE404B">
        <w:rPr>
          <w:rFonts w:eastAsia="Times"/>
          <w:lang w:val="ru-RU"/>
        </w:rPr>
        <w:t xml:space="preserve"> </w:t>
      </w:r>
      <w:proofErr w:type="spellStart"/>
      <w:r w:rsidRPr="00EE404B">
        <w:rPr>
          <w:rFonts w:eastAsia="Times"/>
          <w:lang w:val="ru-RU"/>
        </w:rPr>
        <w:t>may</w:t>
      </w:r>
      <w:proofErr w:type="spellEnd"/>
      <w:r w:rsidRPr="00EE404B">
        <w:rPr>
          <w:rFonts w:eastAsia="Times"/>
          <w:lang w:val="ru-RU"/>
        </w:rPr>
        <w:t xml:space="preserve"> </w:t>
      </w:r>
      <w:proofErr w:type="spellStart"/>
      <w:r w:rsidRPr="00EE404B">
        <w:rPr>
          <w:rFonts w:eastAsia="Times"/>
          <w:lang w:val="ru-RU"/>
        </w:rPr>
        <w:t>be</w:t>
      </w:r>
      <w:proofErr w:type="spellEnd"/>
      <w:r w:rsidRPr="00EE404B">
        <w:rPr>
          <w:rFonts w:eastAsia="Times"/>
          <w:lang w:val="ru-RU"/>
        </w:rPr>
        <w:t xml:space="preserve"> </w:t>
      </w:r>
      <w:proofErr w:type="spellStart"/>
      <w:r w:rsidRPr="00EE404B">
        <w:rPr>
          <w:rFonts w:eastAsia="Times"/>
          <w:lang w:val="ru-RU"/>
        </w:rPr>
        <w:t>attributed</w:t>
      </w:r>
      <w:proofErr w:type="spellEnd"/>
      <w:r w:rsidRPr="00EE404B">
        <w:rPr>
          <w:rFonts w:eastAsia="Times"/>
          <w:lang w:val="ru-RU"/>
        </w:rPr>
        <w:t xml:space="preserve"> </w:t>
      </w:r>
      <w:proofErr w:type="spellStart"/>
      <w:r w:rsidRPr="00EE404B">
        <w:rPr>
          <w:rFonts w:eastAsia="Times"/>
          <w:lang w:val="ru-RU"/>
        </w:rPr>
        <w:t>to</w:t>
      </w:r>
      <w:proofErr w:type="spellEnd"/>
      <w:r w:rsidRPr="00EE404B">
        <w:rPr>
          <w:rFonts w:eastAsia="Times"/>
          <w:lang w:val="ru-RU"/>
        </w:rPr>
        <w:t>:</w:t>
      </w:r>
    </w:p>
    <w:p w14:paraId="634A3795" w14:textId="77777777" w:rsidR="00EE404B" w:rsidRPr="00EE404B" w:rsidRDefault="00EE404B" w:rsidP="00B379FD">
      <w:pPr>
        <w:numPr>
          <w:ilvl w:val="0"/>
          <w:numId w:val="16"/>
        </w:numPr>
        <w:tabs>
          <w:tab w:val="left" w:pos="567"/>
        </w:tabs>
        <w:ind w:left="0" w:firstLine="284"/>
        <w:jc w:val="both"/>
        <w:rPr>
          <w:rFonts w:eastAsia="Times"/>
          <w:lang w:val="en-US"/>
        </w:rPr>
      </w:pPr>
      <w:r w:rsidRPr="00EE404B">
        <w:rPr>
          <w:rFonts w:eastAsia="Times"/>
          <w:bCs/>
          <w:lang w:val="en-US"/>
        </w:rPr>
        <w:t>greater overall traffic density</w:t>
      </w:r>
      <w:r w:rsidRPr="00EE404B">
        <w:rPr>
          <w:rFonts w:eastAsia="Times"/>
          <w:lang w:val="en-US"/>
        </w:rPr>
        <w:t xml:space="preserve"> and complexity of lane usage;</w:t>
      </w:r>
    </w:p>
    <w:p w14:paraId="31432992" w14:textId="77777777" w:rsidR="00EE404B" w:rsidRPr="00EE404B" w:rsidRDefault="00EE404B" w:rsidP="00B379FD">
      <w:pPr>
        <w:numPr>
          <w:ilvl w:val="0"/>
          <w:numId w:val="16"/>
        </w:numPr>
        <w:tabs>
          <w:tab w:val="left" w:pos="567"/>
        </w:tabs>
        <w:ind w:left="0" w:firstLine="284"/>
        <w:jc w:val="both"/>
        <w:rPr>
          <w:rFonts w:eastAsia="Times"/>
          <w:lang w:val="en-US"/>
        </w:rPr>
      </w:pPr>
      <w:r w:rsidRPr="00EE404B">
        <w:rPr>
          <w:rFonts w:eastAsia="Times"/>
          <w:bCs/>
          <w:lang w:val="en-US"/>
        </w:rPr>
        <w:t>higher volumes of freight and transit vehicles</w:t>
      </w:r>
      <w:r w:rsidRPr="00EE404B">
        <w:rPr>
          <w:rFonts w:eastAsia="Times"/>
          <w:lang w:val="en-US"/>
        </w:rPr>
        <w:t xml:space="preserve"> in outer lanes;</w:t>
      </w:r>
    </w:p>
    <w:p w14:paraId="789E82BA" w14:textId="77777777" w:rsidR="00EE404B" w:rsidRPr="00EE404B" w:rsidRDefault="00EE404B" w:rsidP="00B379FD">
      <w:pPr>
        <w:numPr>
          <w:ilvl w:val="0"/>
          <w:numId w:val="16"/>
        </w:numPr>
        <w:tabs>
          <w:tab w:val="left" w:pos="567"/>
        </w:tabs>
        <w:ind w:left="0" w:firstLine="284"/>
        <w:jc w:val="both"/>
        <w:rPr>
          <w:rFonts w:eastAsia="Times"/>
          <w:lang w:val="en-US"/>
        </w:rPr>
      </w:pPr>
      <w:r w:rsidRPr="00EE404B">
        <w:rPr>
          <w:rFonts w:eastAsia="Times"/>
          <w:bCs/>
          <w:lang w:val="en-US"/>
        </w:rPr>
        <w:t>reduced pollutant dispersion capacity</w:t>
      </w:r>
      <w:r w:rsidRPr="00EE404B">
        <w:rPr>
          <w:rFonts w:eastAsia="Times"/>
          <w:lang w:val="en-US"/>
        </w:rPr>
        <w:t xml:space="preserve"> in areas with dense urban infrastructure—an effect commonly known as the </w:t>
      </w:r>
      <w:r w:rsidRPr="00EE404B">
        <w:rPr>
          <w:rFonts w:eastAsia="Times"/>
          <w:bCs/>
          <w:lang w:val="en-US"/>
        </w:rPr>
        <w:t>"urban canyon" phenomenon</w:t>
      </w:r>
      <w:r w:rsidRPr="00EE404B">
        <w:rPr>
          <w:rFonts w:eastAsia="Times"/>
          <w:lang w:val="en-US"/>
        </w:rPr>
        <w:t>.</w:t>
      </w:r>
    </w:p>
    <w:p w14:paraId="740A1EB7" w14:textId="77777777" w:rsidR="00EE404B" w:rsidRPr="00EE404B" w:rsidRDefault="00EE404B" w:rsidP="00B379FD">
      <w:pPr>
        <w:tabs>
          <w:tab w:val="left" w:pos="567"/>
        </w:tabs>
        <w:ind w:firstLine="284"/>
        <w:jc w:val="both"/>
        <w:rPr>
          <w:rFonts w:eastAsia="Times"/>
          <w:lang w:val="en-US"/>
        </w:rPr>
      </w:pPr>
      <w:r w:rsidRPr="00EE404B">
        <w:rPr>
          <w:rFonts w:eastAsia="Times"/>
          <w:lang w:val="en-US"/>
        </w:rPr>
        <w:t xml:space="preserve">These results reinforce the necessity of accounting for </w:t>
      </w:r>
      <w:r w:rsidRPr="00EE404B">
        <w:rPr>
          <w:rFonts w:eastAsia="Times"/>
          <w:bCs/>
          <w:lang w:val="en-US"/>
        </w:rPr>
        <w:t>lane-specific traffic patterns</w:t>
      </w:r>
      <w:r w:rsidRPr="00EE404B">
        <w:rPr>
          <w:rFonts w:eastAsia="Times"/>
          <w:lang w:val="en-US"/>
        </w:rPr>
        <w:t xml:space="preserve"> when designing urban air quality mitigation strategies.</w:t>
      </w:r>
    </w:p>
    <w:p w14:paraId="43494A24" w14:textId="786E19AA" w:rsidR="00EE404B" w:rsidRPr="00B43A19" w:rsidRDefault="00B379FD" w:rsidP="00B379FD">
      <w:pPr>
        <w:keepNext/>
        <w:keepLines/>
        <w:tabs>
          <w:tab w:val="left" w:pos="454"/>
        </w:tabs>
        <w:spacing w:before="240" w:after="240"/>
        <w:jc w:val="center"/>
        <w:rPr>
          <w:rFonts w:eastAsia="Times"/>
          <w:b/>
          <w:sz w:val="24"/>
          <w:szCs w:val="24"/>
        </w:rPr>
      </w:pPr>
      <w:r w:rsidRPr="0001130F">
        <w:rPr>
          <w:rFonts w:eastAsia="Times"/>
          <w:b/>
          <w:sz w:val="24"/>
          <w:szCs w:val="24"/>
          <w:lang w:val="en-GB"/>
        </w:rPr>
        <w:t>CONCLUSION</w:t>
      </w:r>
    </w:p>
    <w:p w14:paraId="6DAE2410" w14:textId="77777777" w:rsidR="00541610" w:rsidRPr="00541610" w:rsidRDefault="00541610" w:rsidP="00E16002">
      <w:pPr>
        <w:tabs>
          <w:tab w:val="left" w:pos="567"/>
        </w:tabs>
        <w:ind w:firstLine="284"/>
        <w:jc w:val="both"/>
        <w:rPr>
          <w:rFonts w:eastAsia="Times"/>
          <w:lang w:val="en-US"/>
        </w:rPr>
      </w:pPr>
      <w:r w:rsidRPr="00541610">
        <w:rPr>
          <w:rFonts w:eastAsia="Times"/>
          <w:lang w:val="en-US"/>
        </w:rPr>
        <w:t xml:space="preserve">The analysis confirmed that the </w:t>
      </w:r>
      <w:r w:rsidRPr="00541610">
        <w:rPr>
          <w:rFonts w:eastAsia="Times"/>
          <w:bCs/>
          <w:lang w:val="en-US"/>
        </w:rPr>
        <w:t>highest concentrations of air pollutants</w:t>
      </w:r>
      <w:r w:rsidRPr="00541610">
        <w:rPr>
          <w:rFonts w:eastAsia="Times"/>
          <w:lang w:val="en-US"/>
        </w:rPr>
        <w:t xml:space="preserve">—including CO, NO, NO₂, and SO₂—are consistently observed in the </w:t>
      </w:r>
      <w:r w:rsidRPr="00541610">
        <w:rPr>
          <w:rFonts w:eastAsia="Times"/>
          <w:bCs/>
          <w:lang w:val="en-US"/>
        </w:rPr>
        <w:t>first (rightmost) traffic lane</w:t>
      </w:r>
      <w:r w:rsidRPr="00541610">
        <w:rPr>
          <w:rFonts w:eastAsia="Times"/>
          <w:lang w:val="en-US"/>
        </w:rPr>
        <w:t>, irrespective of whether the road consists of 4, 6, or 8 lanes.</w:t>
      </w:r>
    </w:p>
    <w:p w14:paraId="4CAA639C" w14:textId="77777777" w:rsidR="00541610" w:rsidRPr="00541610" w:rsidRDefault="00541610" w:rsidP="00E16002">
      <w:pPr>
        <w:tabs>
          <w:tab w:val="left" w:pos="567"/>
        </w:tabs>
        <w:ind w:firstLine="284"/>
        <w:jc w:val="both"/>
        <w:rPr>
          <w:rFonts w:eastAsia="Times"/>
          <w:bCs/>
          <w:lang w:val="ru-RU"/>
        </w:rPr>
      </w:pPr>
      <w:r w:rsidRPr="00541610">
        <w:rPr>
          <w:rFonts w:eastAsia="Times"/>
          <w:bCs/>
          <w:lang w:val="ru-RU"/>
        </w:rPr>
        <w:t xml:space="preserve">Core </w:t>
      </w:r>
      <w:proofErr w:type="spellStart"/>
      <w:r w:rsidRPr="00541610">
        <w:rPr>
          <w:rFonts w:eastAsia="Times"/>
          <w:bCs/>
          <w:lang w:val="ru-RU"/>
        </w:rPr>
        <w:t>observations</w:t>
      </w:r>
      <w:proofErr w:type="spellEnd"/>
      <w:r w:rsidRPr="00541610">
        <w:rPr>
          <w:rFonts w:eastAsia="Times"/>
          <w:bCs/>
          <w:lang w:val="ru-RU"/>
        </w:rPr>
        <w:t>:</w:t>
      </w:r>
    </w:p>
    <w:p w14:paraId="3FBC43CB" w14:textId="77777777" w:rsidR="00541610" w:rsidRPr="00541610" w:rsidRDefault="00541610" w:rsidP="00E16002">
      <w:pPr>
        <w:numPr>
          <w:ilvl w:val="0"/>
          <w:numId w:val="17"/>
        </w:numPr>
        <w:tabs>
          <w:tab w:val="clear" w:pos="720"/>
          <w:tab w:val="num" w:pos="426"/>
          <w:tab w:val="left" w:pos="567"/>
        </w:tabs>
        <w:ind w:left="0" w:firstLine="284"/>
        <w:jc w:val="both"/>
        <w:rPr>
          <w:rFonts w:eastAsia="Times"/>
          <w:lang w:val="en-US"/>
        </w:rPr>
      </w:pPr>
      <w:r w:rsidRPr="00541610">
        <w:rPr>
          <w:rFonts w:eastAsia="Times"/>
          <w:bCs/>
          <w:lang w:val="en-US"/>
        </w:rPr>
        <w:t>An inverse relationship</w:t>
      </w:r>
      <w:r w:rsidRPr="00541610">
        <w:rPr>
          <w:rFonts w:eastAsia="Times"/>
          <w:lang w:val="en-US"/>
        </w:rPr>
        <w:t xml:space="preserve"> was found between </w:t>
      </w:r>
      <w:r w:rsidRPr="00541610">
        <w:rPr>
          <w:rFonts w:eastAsia="Times"/>
          <w:bCs/>
          <w:lang w:val="en-US"/>
        </w:rPr>
        <w:t>average vehicle speed and pollutant levels</w:t>
      </w:r>
      <w:r w:rsidRPr="00541610">
        <w:rPr>
          <w:rFonts w:eastAsia="Times"/>
          <w:lang w:val="en-US"/>
        </w:rPr>
        <w:t xml:space="preserve">: when speeds decline from approximately </w:t>
      </w:r>
      <w:r w:rsidRPr="00541610">
        <w:rPr>
          <w:rFonts w:eastAsia="Times"/>
          <w:bCs/>
          <w:lang w:val="en-US"/>
        </w:rPr>
        <w:t>55–60 km/h to 25–30 km/h</w:t>
      </w:r>
      <w:r w:rsidRPr="00541610">
        <w:rPr>
          <w:rFonts w:eastAsia="Times"/>
          <w:lang w:val="en-US"/>
        </w:rPr>
        <w:t xml:space="preserve">, the measured pollutant concentrations </w:t>
      </w:r>
      <w:r w:rsidRPr="00541610">
        <w:rPr>
          <w:rFonts w:eastAsia="Times"/>
          <w:bCs/>
          <w:lang w:val="en-US"/>
        </w:rPr>
        <w:t>increase by a factor of 1.5 to 2</w:t>
      </w:r>
      <w:r w:rsidRPr="00541610">
        <w:rPr>
          <w:rFonts w:eastAsia="Times"/>
          <w:lang w:val="en-US"/>
        </w:rPr>
        <w:t>, indicating the sensitivity of emissions to traffic flow efficiency.</w:t>
      </w:r>
    </w:p>
    <w:p w14:paraId="3481A0B5" w14:textId="77777777" w:rsidR="00541610" w:rsidRPr="00541610" w:rsidRDefault="00541610" w:rsidP="00E16002">
      <w:pPr>
        <w:numPr>
          <w:ilvl w:val="0"/>
          <w:numId w:val="17"/>
        </w:numPr>
        <w:tabs>
          <w:tab w:val="clear" w:pos="720"/>
          <w:tab w:val="num" w:pos="426"/>
          <w:tab w:val="left" w:pos="567"/>
        </w:tabs>
        <w:ind w:left="0" w:firstLine="284"/>
        <w:jc w:val="both"/>
        <w:rPr>
          <w:rFonts w:eastAsia="Times"/>
          <w:lang w:val="en-US"/>
        </w:rPr>
      </w:pPr>
      <w:r w:rsidRPr="00541610">
        <w:rPr>
          <w:rFonts w:eastAsia="Times"/>
          <w:bCs/>
          <w:lang w:val="en-US"/>
        </w:rPr>
        <w:t>Inner lanes</w:t>
      </w:r>
      <w:r w:rsidRPr="00541610">
        <w:rPr>
          <w:rFonts w:eastAsia="Times"/>
          <w:lang w:val="en-US"/>
        </w:rPr>
        <w:t xml:space="preserve"> (particularly the </w:t>
      </w:r>
      <w:r w:rsidRPr="00541610">
        <w:rPr>
          <w:rFonts w:eastAsia="Times"/>
          <w:bCs/>
          <w:lang w:val="en-US"/>
        </w:rPr>
        <w:t>2nd, 3rd, and 4th lanes</w:t>
      </w:r>
      <w:r w:rsidRPr="00541610">
        <w:rPr>
          <w:rFonts w:eastAsia="Times"/>
          <w:lang w:val="en-US"/>
        </w:rPr>
        <w:t xml:space="preserve">) offer </w:t>
      </w:r>
      <w:r w:rsidRPr="00541610">
        <w:rPr>
          <w:rFonts w:eastAsia="Times"/>
          <w:bCs/>
          <w:lang w:val="en-US"/>
        </w:rPr>
        <w:t>more stable traffic conditions</w:t>
      </w:r>
      <w:r w:rsidRPr="00541610">
        <w:rPr>
          <w:rFonts w:eastAsia="Times"/>
          <w:lang w:val="en-US"/>
        </w:rPr>
        <w:t xml:space="preserve">, with </w:t>
      </w:r>
      <w:r w:rsidRPr="00541610">
        <w:rPr>
          <w:rFonts w:eastAsia="Times"/>
          <w:bCs/>
          <w:lang w:val="en-US"/>
        </w:rPr>
        <w:t>fewer stops and higher, more uniform speeds</w:t>
      </w:r>
      <w:r w:rsidRPr="00541610">
        <w:rPr>
          <w:rFonts w:eastAsia="Times"/>
          <w:lang w:val="en-US"/>
        </w:rPr>
        <w:t xml:space="preserve">, thereby contributing to </w:t>
      </w:r>
      <w:r w:rsidRPr="00541610">
        <w:rPr>
          <w:rFonts w:eastAsia="Times"/>
          <w:bCs/>
          <w:lang w:val="en-US"/>
        </w:rPr>
        <w:t>lower emission levels</w:t>
      </w:r>
      <w:r w:rsidRPr="00541610">
        <w:rPr>
          <w:rFonts w:eastAsia="Times"/>
          <w:lang w:val="en-US"/>
        </w:rPr>
        <w:t xml:space="preserve"> under similar external conditions.</w:t>
      </w:r>
    </w:p>
    <w:p w14:paraId="333DFCA3" w14:textId="61700123" w:rsidR="00274BE6" w:rsidRPr="0042530D" w:rsidRDefault="00E16002" w:rsidP="00E16002">
      <w:pPr>
        <w:tabs>
          <w:tab w:val="left" w:pos="1361"/>
          <w:tab w:val="left" w:pos="1531"/>
          <w:tab w:val="left" w:pos="1701"/>
          <w:tab w:val="left" w:pos="1871"/>
          <w:tab w:val="left" w:pos="2041"/>
          <w:tab w:val="left" w:pos="2211"/>
          <w:tab w:val="left" w:pos="2381"/>
          <w:tab w:val="left" w:pos="2552"/>
        </w:tabs>
        <w:spacing w:before="240" w:after="240"/>
        <w:jc w:val="center"/>
      </w:pPr>
      <w:r w:rsidRPr="0042530D">
        <w:rPr>
          <w:rFonts w:eastAsia="Times"/>
          <w:b/>
          <w:sz w:val="24"/>
          <w:szCs w:val="24"/>
        </w:rPr>
        <w:t>REFERENCES</w:t>
      </w:r>
    </w:p>
    <w:p w14:paraId="15758982" w14:textId="77777777" w:rsidR="00E16002" w:rsidRPr="00E16002" w:rsidRDefault="00E16002" w:rsidP="00E16002">
      <w:pPr>
        <w:pStyle w:val="ae"/>
        <w:numPr>
          <w:ilvl w:val="0"/>
          <w:numId w:val="19"/>
        </w:numPr>
        <w:spacing w:before="0" w:beforeAutospacing="0" w:after="0" w:afterAutospacing="0"/>
        <w:ind w:left="425" w:hanging="425"/>
        <w:jc w:val="both"/>
        <w:rPr>
          <w:sz w:val="20"/>
          <w:szCs w:val="20"/>
          <w:lang w:val="en-US"/>
        </w:rPr>
      </w:pPr>
      <w:r w:rsidRPr="00E16002">
        <w:rPr>
          <w:sz w:val="20"/>
          <w:szCs w:val="20"/>
          <w:lang w:val="en-US"/>
        </w:rPr>
        <w:t xml:space="preserve">L. Li, J. Wu, N. </w:t>
      </w:r>
      <w:proofErr w:type="spellStart"/>
      <w:r w:rsidRPr="00E16002">
        <w:rPr>
          <w:sz w:val="20"/>
          <w:szCs w:val="20"/>
          <w:lang w:val="en-US"/>
        </w:rPr>
        <w:t>Hudda</w:t>
      </w:r>
      <w:proofErr w:type="spellEnd"/>
      <w:r w:rsidRPr="00E16002">
        <w:rPr>
          <w:sz w:val="20"/>
          <w:szCs w:val="20"/>
          <w:lang w:val="en-US"/>
        </w:rPr>
        <w:t xml:space="preserve">, C. </w:t>
      </w:r>
      <w:proofErr w:type="spellStart"/>
      <w:r w:rsidRPr="00E16002">
        <w:rPr>
          <w:sz w:val="20"/>
          <w:szCs w:val="20"/>
          <w:lang w:val="en-US"/>
        </w:rPr>
        <w:t>Sioutas</w:t>
      </w:r>
      <w:proofErr w:type="spellEnd"/>
      <w:r w:rsidRPr="00E16002">
        <w:rPr>
          <w:sz w:val="20"/>
          <w:szCs w:val="20"/>
          <w:lang w:val="en-US"/>
        </w:rPr>
        <w:t xml:space="preserve">, S. A. </w:t>
      </w:r>
      <w:proofErr w:type="spellStart"/>
      <w:r w:rsidRPr="00E16002">
        <w:rPr>
          <w:sz w:val="20"/>
          <w:szCs w:val="20"/>
          <w:lang w:val="en-US"/>
        </w:rPr>
        <w:t>Fruin</w:t>
      </w:r>
      <w:proofErr w:type="spellEnd"/>
      <w:r w:rsidRPr="00E16002">
        <w:rPr>
          <w:sz w:val="20"/>
          <w:szCs w:val="20"/>
          <w:lang w:val="en-US"/>
        </w:rPr>
        <w:t xml:space="preserve">, and R. J. Delfino, “Modeling the concentrations of on-road air pollutants in southern California,” </w:t>
      </w:r>
      <w:r w:rsidRPr="00E16002">
        <w:rPr>
          <w:rStyle w:val="af"/>
          <w:sz w:val="20"/>
          <w:szCs w:val="20"/>
          <w:lang w:val="en-US"/>
        </w:rPr>
        <w:t>Environ. Sci. Technol.</w:t>
      </w:r>
      <w:r w:rsidRPr="00E16002">
        <w:rPr>
          <w:sz w:val="20"/>
          <w:szCs w:val="20"/>
          <w:lang w:val="en-US"/>
        </w:rPr>
        <w:t xml:space="preserve"> </w:t>
      </w:r>
      <w:r w:rsidRPr="00E16002">
        <w:rPr>
          <w:rStyle w:val="af0"/>
          <w:sz w:val="20"/>
          <w:szCs w:val="20"/>
          <w:lang w:val="en-US"/>
        </w:rPr>
        <w:t>47</w:t>
      </w:r>
      <w:r w:rsidRPr="00E16002">
        <w:rPr>
          <w:sz w:val="20"/>
          <w:szCs w:val="20"/>
          <w:lang w:val="en-US"/>
        </w:rPr>
        <w:t>(16), 9291–9299 (2013).</w:t>
      </w:r>
    </w:p>
    <w:p w14:paraId="59290C0E" w14:textId="77777777" w:rsidR="00E16002" w:rsidRPr="00E16002" w:rsidRDefault="00E16002" w:rsidP="00E16002">
      <w:pPr>
        <w:pStyle w:val="ae"/>
        <w:numPr>
          <w:ilvl w:val="0"/>
          <w:numId w:val="19"/>
        </w:numPr>
        <w:spacing w:before="0" w:beforeAutospacing="0" w:after="0" w:afterAutospacing="0"/>
        <w:ind w:left="425" w:hanging="425"/>
        <w:jc w:val="both"/>
        <w:rPr>
          <w:sz w:val="20"/>
          <w:szCs w:val="20"/>
          <w:lang w:val="en-US"/>
        </w:rPr>
      </w:pPr>
      <w:r w:rsidRPr="00E16002">
        <w:rPr>
          <w:sz w:val="20"/>
          <w:szCs w:val="20"/>
          <w:lang w:val="en-US"/>
        </w:rPr>
        <w:t xml:space="preserve">S. Zhang, Y. Wu, R. Huang, J. Wang, H. Yan, Y. Zheng, and J. Hao, “High-resolution simulation of link-level vehicle emissions and concentrations for air pollutants in a traffic-populated eastern Asian city,” </w:t>
      </w:r>
      <w:r w:rsidRPr="00E16002">
        <w:rPr>
          <w:rStyle w:val="af"/>
          <w:sz w:val="20"/>
          <w:szCs w:val="20"/>
          <w:lang w:val="en-US"/>
        </w:rPr>
        <w:t>Atmos. Chem. Phys.</w:t>
      </w:r>
      <w:r w:rsidRPr="00E16002">
        <w:rPr>
          <w:sz w:val="20"/>
          <w:szCs w:val="20"/>
          <w:lang w:val="en-US"/>
        </w:rPr>
        <w:t xml:space="preserve"> </w:t>
      </w:r>
      <w:r w:rsidRPr="00E16002">
        <w:rPr>
          <w:rStyle w:val="af0"/>
          <w:sz w:val="20"/>
          <w:szCs w:val="20"/>
          <w:lang w:val="en-US"/>
        </w:rPr>
        <w:t>16</w:t>
      </w:r>
      <w:r w:rsidRPr="00E16002">
        <w:rPr>
          <w:sz w:val="20"/>
          <w:szCs w:val="20"/>
          <w:lang w:val="en-US"/>
        </w:rPr>
        <w:t>(15), 9965–9981 (2016).</w:t>
      </w:r>
    </w:p>
    <w:p w14:paraId="16C04809" w14:textId="77777777" w:rsidR="00E16002" w:rsidRPr="00E16002" w:rsidRDefault="00E16002" w:rsidP="00E16002">
      <w:pPr>
        <w:pStyle w:val="ae"/>
        <w:numPr>
          <w:ilvl w:val="0"/>
          <w:numId w:val="19"/>
        </w:numPr>
        <w:spacing w:before="0" w:beforeAutospacing="0" w:after="0" w:afterAutospacing="0"/>
        <w:ind w:left="425" w:hanging="425"/>
        <w:jc w:val="both"/>
        <w:rPr>
          <w:sz w:val="20"/>
          <w:szCs w:val="20"/>
          <w:lang w:val="en-US"/>
        </w:rPr>
      </w:pPr>
      <w:r w:rsidRPr="00E16002">
        <w:rPr>
          <w:sz w:val="20"/>
          <w:szCs w:val="20"/>
          <w:lang w:val="en-US"/>
        </w:rPr>
        <w:t xml:space="preserve">Y. Zhang, X. Ye, S. Wang, X. He, L. Dong, N. Zhang, … and Y. Xiao, “Large-eddy simulation of traffic-related air pollution at a very high resolution in a mega-city: evaluation against mobile sensors and insights for influencing factors,” </w:t>
      </w:r>
      <w:r w:rsidRPr="00E16002">
        <w:rPr>
          <w:rStyle w:val="af"/>
          <w:sz w:val="20"/>
          <w:szCs w:val="20"/>
          <w:lang w:val="en-US"/>
        </w:rPr>
        <w:t>Atmos. Chem. Phys.</w:t>
      </w:r>
      <w:r w:rsidRPr="00E16002">
        <w:rPr>
          <w:sz w:val="20"/>
          <w:szCs w:val="20"/>
          <w:lang w:val="en-US"/>
        </w:rPr>
        <w:t xml:space="preserve"> </w:t>
      </w:r>
      <w:r w:rsidRPr="00E16002">
        <w:rPr>
          <w:rStyle w:val="af0"/>
          <w:sz w:val="20"/>
          <w:szCs w:val="20"/>
          <w:lang w:val="en-US"/>
        </w:rPr>
        <w:t>21</w:t>
      </w:r>
      <w:r w:rsidRPr="00E16002">
        <w:rPr>
          <w:sz w:val="20"/>
          <w:szCs w:val="20"/>
          <w:lang w:val="en-US"/>
        </w:rPr>
        <w:t>(4), 2917–2929 (2021).</w:t>
      </w:r>
    </w:p>
    <w:p w14:paraId="699837AA" w14:textId="77777777" w:rsidR="00E16002" w:rsidRPr="00E16002" w:rsidRDefault="00E16002" w:rsidP="00E16002">
      <w:pPr>
        <w:pStyle w:val="ae"/>
        <w:numPr>
          <w:ilvl w:val="0"/>
          <w:numId w:val="19"/>
        </w:numPr>
        <w:spacing w:before="0" w:beforeAutospacing="0" w:after="0" w:afterAutospacing="0"/>
        <w:ind w:left="425" w:hanging="425"/>
        <w:jc w:val="both"/>
        <w:rPr>
          <w:sz w:val="20"/>
          <w:szCs w:val="20"/>
          <w:lang w:val="en-US"/>
        </w:rPr>
      </w:pPr>
      <w:r w:rsidRPr="00E16002">
        <w:rPr>
          <w:sz w:val="20"/>
          <w:szCs w:val="20"/>
          <w:lang w:val="en-US"/>
        </w:rPr>
        <w:t xml:space="preserve">K. H. </w:t>
      </w:r>
      <w:proofErr w:type="spellStart"/>
      <w:r w:rsidRPr="00E16002">
        <w:rPr>
          <w:sz w:val="20"/>
          <w:szCs w:val="20"/>
          <w:lang w:val="en-US"/>
        </w:rPr>
        <w:t>Azizov</w:t>
      </w:r>
      <w:proofErr w:type="spellEnd"/>
      <w:r w:rsidRPr="00E16002">
        <w:rPr>
          <w:sz w:val="20"/>
          <w:szCs w:val="20"/>
          <w:lang w:val="en-US"/>
        </w:rPr>
        <w:t xml:space="preserve">, </w:t>
      </w:r>
      <w:r w:rsidRPr="00E16002">
        <w:rPr>
          <w:rStyle w:val="af"/>
          <w:sz w:val="20"/>
          <w:szCs w:val="20"/>
          <w:lang w:val="en-US"/>
        </w:rPr>
        <w:t>Fundamentals of Traffic Safety Organization: Textbook for Universities</w:t>
      </w:r>
      <w:r w:rsidRPr="00E16002">
        <w:rPr>
          <w:sz w:val="20"/>
          <w:szCs w:val="20"/>
          <w:lang w:val="en-US"/>
        </w:rPr>
        <w:t xml:space="preserve"> (Fan </w:t>
      </w:r>
      <w:proofErr w:type="spellStart"/>
      <w:r w:rsidRPr="00E16002">
        <w:rPr>
          <w:sz w:val="20"/>
          <w:szCs w:val="20"/>
          <w:lang w:val="en-US"/>
        </w:rPr>
        <w:t>va</w:t>
      </w:r>
      <w:proofErr w:type="spellEnd"/>
      <w:r w:rsidRPr="00E16002">
        <w:rPr>
          <w:sz w:val="20"/>
          <w:szCs w:val="20"/>
          <w:lang w:val="en-US"/>
        </w:rPr>
        <w:t xml:space="preserve"> </w:t>
      </w:r>
      <w:proofErr w:type="spellStart"/>
      <w:r w:rsidRPr="00E16002">
        <w:rPr>
          <w:sz w:val="20"/>
          <w:szCs w:val="20"/>
          <w:lang w:val="en-US"/>
        </w:rPr>
        <w:t>Texnologiya</w:t>
      </w:r>
      <w:proofErr w:type="spellEnd"/>
      <w:r w:rsidRPr="00E16002">
        <w:rPr>
          <w:sz w:val="20"/>
          <w:szCs w:val="20"/>
          <w:lang w:val="en-US"/>
        </w:rPr>
        <w:t>, Tashkent, 2012), p. 272. ISBN 978-9943-10-775-5.</w:t>
      </w:r>
    </w:p>
    <w:p w14:paraId="0F9C7005" w14:textId="77777777" w:rsidR="00E16002" w:rsidRPr="00E16002" w:rsidRDefault="00E16002" w:rsidP="00E16002">
      <w:pPr>
        <w:pStyle w:val="ae"/>
        <w:numPr>
          <w:ilvl w:val="0"/>
          <w:numId w:val="19"/>
        </w:numPr>
        <w:spacing w:before="0" w:beforeAutospacing="0" w:after="0" w:afterAutospacing="0"/>
        <w:ind w:left="425" w:hanging="425"/>
        <w:jc w:val="both"/>
        <w:rPr>
          <w:sz w:val="20"/>
          <w:szCs w:val="20"/>
          <w:lang w:val="en-US"/>
        </w:rPr>
      </w:pPr>
      <w:r w:rsidRPr="00E16002">
        <w:rPr>
          <w:sz w:val="20"/>
          <w:szCs w:val="20"/>
          <w:lang w:val="en-US"/>
        </w:rPr>
        <w:lastRenderedPageBreak/>
        <w:t xml:space="preserve">J. Coria, J. Bonilla, M. </w:t>
      </w:r>
      <w:proofErr w:type="spellStart"/>
      <w:r w:rsidRPr="00E16002">
        <w:rPr>
          <w:sz w:val="20"/>
          <w:szCs w:val="20"/>
          <w:lang w:val="en-US"/>
        </w:rPr>
        <w:t>Grundström</w:t>
      </w:r>
      <w:proofErr w:type="spellEnd"/>
      <w:r w:rsidRPr="00E16002">
        <w:rPr>
          <w:sz w:val="20"/>
          <w:szCs w:val="20"/>
          <w:lang w:val="en-US"/>
        </w:rPr>
        <w:t xml:space="preserve">, and H. </w:t>
      </w:r>
      <w:proofErr w:type="spellStart"/>
      <w:r w:rsidRPr="00E16002">
        <w:rPr>
          <w:sz w:val="20"/>
          <w:szCs w:val="20"/>
          <w:lang w:val="en-US"/>
        </w:rPr>
        <w:t>Pleijel</w:t>
      </w:r>
      <w:proofErr w:type="spellEnd"/>
      <w:r w:rsidRPr="00E16002">
        <w:rPr>
          <w:sz w:val="20"/>
          <w:szCs w:val="20"/>
          <w:lang w:val="en-US"/>
        </w:rPr>
        <w:t xml:space="preserve">, “Air pollution dynamics and the need for temporally differentiated road pricing,” </w:t>
      </w:r>
      <w:r w:rsidRPr="00E16002">
        <w:rPr>
          <w:rStyle w:val="af"/>
          <w:sz w:val="20"/>
          <w:szCs w:val="20"/>
          <w:lang w:val="en-US"/>
        </w:rPr>
        <w:t xml:space="preserve">Transp. Res. A Policy </w:t>
      </w:r>
      <w:proofErr w:type="spellStart"/>
      <w:r w:rsidRPr="00E16002">
        <w:rPr>
          <w:rStyle w:val="af"/>
          <w:sz w:val="20"/>
          <w:szCs w:val="20"/>
          <w:lang w:val="en-US"/>
        </w:rPr>
        <w:t>Pract</w:t>
      </w:r>
      <w:proofErr w:type="spellEnd"/>
      <w:r w:rsidRPr="00E16002">
        <w:rPr>
          <w:rStyle w:val="af"/>
          <w:sz w:val="20"/>
          <w:szCs w:val="20"/>
          <w:lang w:val="en-US"/>
        </w:rPr>
        <w:t>.</w:t>
      </w:r>
      <w:r w:rsidRPr="00E16002">
        <w:rPr>
          <w:sz w:val="20"/>
          <w:szCs w:val="20"/>
          <w:lang w:val="en-US"/>
        </w:rPr>
        <w:t xml:space="preserve"> </w:t>
      </w:r>
      <w:r w:rsidRPr="00E16002">
        <w:rPr>
          <w:rStyle w:val="af0"/>
          <w:sz w:val="20"/>
          <w:szCs w:val="20"/>
          <w:lang w:val="en-US"/>
        </w:rPr>
        <w:t>75</w:t>
      </w:r>
      <w:r w:rsidRPr="00E16002">
        <w:rPr>
          <w:sz w:val="20"/>
          <w:szCs w:val="20"/>
          <w:lang w:val="en-US"/>
        </w:rPr>
        <w:t>, 178–195 (2015).</w:t>
      </w:r>
    </w:p>
    <w:p w14:paraId="7F821B92" w14:textId="77777777" w:rsidR="00E16002" w:rsidRPr="00E16002" w:rsidRDefault="00E16002" w:rsidP="00E16002">
      <w:pPr>
        <w:pStyle w:val="ae"/>
        <w:numPr>
          <w:ilvl w:val="0"/>
          <w:numId w:val="19"/>
        </w:numPr>
        <w:spacing w:before="0" w:beforeAutospacing="0" w:after="0" w:afterAutospacing="0"/>
        <w:ind w:left="425" w:hanging="425"/>
        <w:jc w:val="both"/>
        <w:rPr>
          <w:sz w:val="20"/>
          <w:szCs w:val="20"/>
          <w:lang w:val="en-US"/>
        </w:rPr>
      </w:pPr>
      <w:r w:rsidRPr="00E16002">
        <w:rPr>
          <w:sz w:val="20"/>
          <w:szCs w:val="20"/>
          <w:lang w:val="en-US"/>
        </w:rPr>
        <w:t xml:space="preserve">J. </w:t>
      </w:r>
      <w:proofErr w:type="spellStart"/>
      <w:r w:rsidRPr="00E16002">
        <w:rPr>
          <w:sz w:val="20"/>
          <w:szCs w:val="20"/>
          <w:lang w:val="en-US"/>
        </w:rPr>
        <w:t>Gasperi</w:t>
      </w:r>
      <w:proofErr w:type="spellEnd"/>
      <w:r w:rsidRPr="00E16002">
        <w:rPr>
          <w:sz w:val="20"/>
          <w:szCs w:val="20"/>
          <w:lang w:val="en-US"/>
        </w:rPr>
        <w:t xml:space="preserve">, J. Le Roux, S. </w:t>
      </w:r>
      <w:proofErr w:type="spellStart"/>
      <w:r w:rsidRPr="00E16002">
        <w:rPr>
          <w:sz w:val="20"/>
          <w:szCs w:val="20"/>
          <w:lang w:val="en-US"/>
        </w:rPr>
        <w:t>Deshayes</w:t>
      </w:r>
      <w:proofErr w:type="spellEnd"/>
      <w:r w:rsidRPr="00E16002">
        <w:rPr>
          <w:sz w:val="20"/>
          <w:szCs w:val="20"/>
          <w:lang w:val="en-US"/>
        </w:rPr>
        <w:t xml:space="preserve">, S. Ayrault, L. </w:t>
      </w:r>
      <w:proofErr w:type="spellStart"/>
      <w:r w:rsidRPr="00E16002">
        <w:rPr>
          <w:sz w:val="20"/>
          <w:szCs w:val="20"/>
          <w:lang w:val="en-US"/>
        </w:rPr>
        <w:t>Bordier</w:t>
      </w:r>
      <w:proofErr w:type="spellEnd"/>
      <w:r w:rsidRPr="00E16002">
        <w:rPr>
          <w:sz w:val="20"/>
          <w:szCs w:val="20"/>
          <w:lang w:val="en-US"/>
        </w:rPr>
        <w:t xml:space="preserve">, L. </w:t>
      </w:r>
      <w:proofErr w:type="spellStart"/>
      <w:r w:rsidRPr="00E16002">
        <w:rPr>
          <w:sz w:val="20"/>
          <w:szCs w:val="20"/>
          <w:lang w:val="en-US"/>
        </w:rPr>
        <w:t>Boudahmane</w:t>
      </w:r>
      <w:proofErr w:type="spellEnd"/>
      <w:r w:rsidRPr="00E16002">
        <w:rPr>
          <w:sz w:val="20"/>
          <w:szCs w:val="20"/>
          <w:lang w:val="en-US"/>
        </w:rPr>
        <w:t xml:space="preserve">, … and M. C. </w:t>
      </w:r>
      <w:proofErr w:type="spellStart"/>
      <w:r w:rsidRPr="00E16002">
        <w:rPr>
          <w:sz w:val="20"/>
          <w:szCs w:val="20"/>
          <w:lang w:val="en-US"/>
        </w:rPr>
        <w:t>Gromaire</w:t>
      </w:r>
      <w:proofErr w:type="spellEnd"/>
      <w:r w:rsidRPr="00E16002">
        <w:rPr>
          <w:sz w:val="20"/>
          <w:szCs w:val="20"/>
          <w:lang w:val="en-US"/>
        </w:rPr>
        <w:t xml:space="preserve">, “Micropollutants in urban runoff from traffic areas: target and non-target screening on four contrasted sites,” </w:t>
      </w:r>
      <w:r w:rsidRPr="00E16002">
        <w:rPr>
          <w:rStyle w:val="af"/>
          <w:sz w:val="20"/>
          <w:szCs w:val="20"/>
          <w:lang w:val="en-US"/>
        </w:rPr>
        <w:t>Water</w:t>
      </w:r>
      <w:r w:rsidRPr="00E16002">
        <w:rPr>
          <w:sz w:val="20"/>
          <w:szCs w:val="20"/>
          <w:lang w:val="en-US"/>
        </w:rPr>
        <w:t xml:space="preserve"> </w:t>
      </w:r>
      <w:r w:rsidRPr="00E16002">
        <w:rPr>
          <w:rStyle w:val="af0"/>
          <w:sz w:val="20"/>
          <w:szCs w:val="20"/>
          <w:lang w:val="en-US"/>
        </w:rPr>
        <w:t>14</w:t>
      </w:r>
      <w:r w:rsidRPr="00E16002">
        <w:rPr>
          <w:sz w:val="20"/>
          <w:szCs w:val="20"/>
          <w:lang w:val="en-US"/>
        </w:rPr>
        <w:t>(3), 394 (2022).</w:t>
      </w:r>
    </w:p>
    <w:sectPr w:rsidR="00E16002" w:rsidRPr="00E16002" w:rsidSect="00CD01ED">
      <w:pgSz w:w="11907" w:h="16840"/>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5EC0D" w14:textId="77777777" w:rsidR="00595BEE" w:rsidRDefault="00595BEE">
      <w:r>
        <w:separator/>
      </w:r>
    </w:p>
  </w:endnote>
  <w:endnote w:type="continuationSeparator" w:id="0">
    <w:p w14:paraId="6AE06A9F" w14:textId="77777777" w:rsidR="00595BEE" w:rsidRDefault="005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7F698" w14:textId="77777777" w:rsidR="00595BEE" w:rsidRDefault="00595BEE">
      <w:r>
        <w:separator/>
      </w:r>
    </w:p>
  </w:footnote>
  <w:footnote w:type="continuationSeparator" w:id="0">
    <w:p w14:paraId="0D998769" w14:textId="77777777" w:rsidR="00595BEE" w:rsidRDefault="00595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3BD2"/>
    <w:multiLevelType w:val="multilevel"/>
    <w:tmpl w:val="3B825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123E95"/>
    <w:multiLevelType w:val="multilevel"/>
    <w:tmpl w:val="45EC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B666E3"/>
    <w:multiLevelType w:val="multilevel"/>
    <w:tmpl w:val="E0248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CC046B"/>
    <w:multiLevelType w:val="hybridMultilevel"/>
    <w:tmpl w:val="4F9EE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1A11A9"/>
    <w:multiLevelType w:val="multilevel"/>
    <w:tmpl w:val="51883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C215CA"/>
    <w:multiLevelType w:val="multilevel"/>
    <w:tmpl w:val="2C2CF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9669D2"/>
    <w:multiLevelType w:val="multilevel"/>
    <w:tmpl w:val="CFF6B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C56220"/>
    <w:multiLevelType w:val="multilevel"/>
    <w:tmpl w:val="6DB2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453948"/>
    <w:multiLevelType w:val="multilevel"/>
    <w:tmpl w:val="92DA5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2C2E82"/>
    <w:multiLevelType w:val="multilevel"/>
    <w:tmpl w:val="BFEEA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AE6E7C"/>
    <w:multiLevelType w:val="multilevel"/>
    <w:tmpl w:val="910E4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C43B57"/>
    <w:multiLevelType w:val="hybridMultilevel"/>
    <w:tmpl w:val="8AA0A0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540A12"/>
    <w:multiLevelType w:val="multilevel"/>
    <w:tmpl w:val="07D4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156DC9"/>
    <w:multiLevelType w:val="multilevel"/>
    <w:tmpl w:val="2224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8500786"/>
    <w:multiLevelType w:val="multilevel"/>
    <w:tmpl w:val="B0FA1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607669"/>
    <w:multiLevelType w:val="multilevel"/>
    <w:tmpl w:val="E522E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93D1E47"/>
    <w:multiLevelType w:val="multilevel"/>
    <w:tmpl w:val="7724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EF66A78"/>
    <w:multiLevelType w:val="multilevel"/>
    <w:tmpl w:val="B1408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0"/>
  </w:num>
  <w:num w:numId="4">
    <w:abstractNumId w:val="10"/>
  </w:num>
  <w:num w:numId="5">
    <w:abstractNumId w:val="14"/>
  </w:num>
  <w:num w:numId="6">
    <w:abstractNumId w:val="18"/>
  </w:num>
  <w:num w:numId="7">
    <w:abstractNumId w:val="13"/>
  </w:num>
  <w:num w:numId="8">
    <w:abstractNumId w:val="16"/>
  </w:num>
  <w:num w:numId="9">
    <w:abstractNumId w:val="6"/>
  </w:num>
  <w:num w:numId="10">
    <w:abstractNumId w:val="1"/>
  </w:num>
  <w:num w:numId="11">
    <w:abstractNumId w:val="8"/>
  </w:num>
  <w:num w:numId="12">
    <w:abstractNumId w:val="2"/>
  </w:num>
  <w:num w:numId="13">
    <w:abstractNumId w:val="5"/>
  </w:num>
  <w:num w:numId="14">
    <w:abstractNumId w:val="4"/>
  </w:num>
  <w:num w:numId="15">
    <w:abstractNumId w:val="7"/>
  </w:num>
  <w:num w:numId="16">
    <w:abstractNumId w:val="12"/>
  </w:num>
  <w:num w:numId="17">
    <w:abstractNumId w:val="15"/>
  </w:num>
  <w:num w:numId="18">
    <w:abstractNumId w:val="1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1130F"/>
    <w:rsid w:val="000A3C6A"/>
    <w:rsid w:val="000C4DCB"/>
    <w:rsid w:val="000D4997"/>
    <w:rsid w:val="001920AD"/>
    <w:rsid w:val="001F3B10"/>
    <w:rsid w:val="00235403"/>
    <w:rsid w:val="00274BE6"/>
    <w:rsid w:val="00296E08"/>
    <w:rsid w:val="002B4056"/>
    <w:rsid w:val="002F5A43"/>
    <w:rsid w:val="0042530D"/>
    <w:rsid w:val="004555AD"/>
    <w:rsid w:val="00457DF3"/>
    <w:rsid w:val="00472F54"/>
    <w:rsid w:val="004D4207"/>
    <w:rsid w:val="004D5774"/>
    <w:rsid w:val="004D6820"/>
    <w:rsid w:val="00532EAF"/>
    <w:rsid w:val="00541610"/>
    <w:rsid w:val="00566228"/>
    <w:rsid w:val="00595BEE"/>
    <w:rsid w:val="005D25FA"/>
    <w:rsid w:val="006B3D0E"/>
    <w:rsid w:val="006F477D"/>
    <w:rsid w:val="00702420"/>
    <w:rsid w:val="007B1282"/>
    <w:rsid w:val="007F4866"/>
    <w:rsid w:val="008153B4"/>
    <w:rsid w:val="00824D1D"/>
    <w:rsid w:val="00870FC2"/>
    <w:rsid w:val="008F49DA"/>
    <w:rsid w:val="009809A4"/>
    <w:rsid w:val="009C6438"/>
    <w:rsid w:val="00A1438B"/>
    <w:rsid w:val="00A8113D"/>
    <w:rsid w:val="00B17912"/>
    <w:rsid w:val="00B359FC"/>
    <w:rsid w:val="00B379FD"/>
    <w:rsid w:val="00B43A19"/>
    <w:rsid w:val="00C30339"/>
    <w:rsid w:val="00C30CDC"/>
    <w:rsid w:val="00CC5038"/>
    <w:rsid w:val="00CD01ED"/>
    <w:rsid w:val="00D5611D"/>
    <w:rsid w:val="00D83282"/>
    <w:rsid w:val="00DA1F38"/>
    <w:rsid w:val="00E16002"/>
    <w:rsid w:val="00E50C53"/>
    <w:rsid w:val="00E65611"/>
    <w:rsid w:val="00EE404B"/>
    <w:rsid w:val="00EE4FD7"/>
    <w:rsid w:val="00F70079"/>
    <w:rsid w:val="00FB4063"/>
    <w:rsid w:val="00FC4B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ABCC5"/>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paragraph" w:styleId="a9">
    <w:name w:val="List Paragraph"/>
    <w:basedOn w:val="a"/>
    <w:uiPriority w:val="34"/>
    <w:qFormat/>
    <w:rsid w:val="00CD01ED"/>
    <w:pPr>
      <w:ind w:left="720"/>
      <w:contextualSpacing/>
    </w:pPr>
  </w:style>
  <w:style w:type="paragraph" w:styleId="aa">
    <w:name w:val="header"/>
    <w:basedOn w:val="a"/>
    <w:link w:val="ab"/>
    <w:uiPriority w:val="99"/>
    <w:unhideWhenUsed/>
    <w:rsid w:val="00CD01ED"/>
    <w:pPr>
      <w:tabs>
        <w:tab w:val="center" w:pos="4677"/>
        <w:tab w:val="right" w:pos="9355"/>
      </w:tabs>
    </w:pPr>
  </w:style>
  <w:style w:type="character" w:customStyle="1" w:styleId="ab">
    <w:name w:val="Верхний колонтитул Знак"/>
    <w:basedOn w:val="a0"/>
    <w:link w:val="aa"/>
    <w:uiPriority w:val="99"/>
    <w:rsid w:val="00CD01ED"/>
  </w:style>
  <w:style w:type="paragraph" w:styleId="ac">
    <w:name w:val="footer"/>
    <w:basedOn w:val="a"/>
    <w:link w:val="ad"/>
    <w:uiPriority w:val="99"/>
    <w:unhideWhenUsed/>
    <w:rsid w:val="00CD01ED"/>
    <w:pPr>
      <w:tabs>
        <w:tab w:val="center" w:pos="4677"/>
        <w:tab w:val="right" w:pos="9355"/>
      </w:tabs>
    </w:pPr>
  </w:style>
  <w:style w:type="character" w:customStyle="1" w:styleId="ad">
    <w:name w:val="Нижний колонтитул Знак"/>
    <w:basedOn w:val="a0"/>
    <w:link w:val="ac"/>
    <w:uiPriority w:val="99"/>
    <w:rsid w:val="00CD01ED"/>
  </w:style>
  <w:style w:type="paragraph" w:styleId="ae">
    <w:name w:val="Normal (Web)"/>
    <w:basedOn w:val="a"/>
    <w:uiPriority w:val="99"/>
    <w:semiHidden/>
    <w:unhideWhenUsed/>
    <w:rsid w:val="00E16002"/>
    <w:pPr>
      <w:spacing w:before="100" w:beforeAutospacing="1" w:after="100" w:afterAutospacing="1"/>
    </w:pPr>
    <w:rPr>
      <w:color w:val="auto"/>
      <w:sz w:val="24"/>
      <w:szCs w:val="24"/>
      <w:lang w:val="ru-RU" w:eastAsia="ru-RU"/>
    </w:rPr>
  </w:style>
  <w:style w:type="character" w:styleId="af">
    <w:name w:val="Emphasis"/>
    <w:basedOn w:val="a0"/>
    <w:uiPriority w:val="20"/>
    <w:qFormat/>
    <w:rsid w:val="00E16002"/>
    <w:rPr>
      <w:i/>
      <w:iCs/>
    </w:rPr>
  </w:style>
  <w:style w:type="character" w:styleId="af0">
    <w:name w:val="Strong"/>
    <w:basedOn w:val="a0"/>
    <w:uiPriority w:val="22"/>
    <w:qFormat/>
    <w:rsid w:val="00E160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41422">
      <w:bodyDiv w:val="1"/>
      <w:marLeft w:val="0"/>
      <w:marRight w:val="0"/>
      <w:marTop w:val="0"/>
      <w:marBottom w:val="0"/>
      <w:divBdr>
        <w:top w:val="none" w:sz="0" w:space="0" w:color="auto"/>
        <w:left w:val="none" w:sz="0" w:space="0" w:color="auto"/>
        <w:bottom w:val="none" w:sz="0" w:space="0" w:color="auto"/>
        <w:right w:val="none" w:sz="0" w:space="0" w:color="auto"/>
      </w:divBdr>
    </w:div>
    <w:div w:id="299070524">
      <w:bodyDiv w:val="1"/>
      <w:marLeft w:val="0"/>
      <w:marRight w:val="0"/>
      <w:marTop w:val="0"/>
      <w:marBottom w:val="0"/>
      <w:divBdr>
        <w:top w:val="none" w:sz="0" w:space="0" w:color="auto"/>
        <w:left w:val="none" w:sz="0" w:space="0" w:color="auto"/>
        <w:bottom w:val="none" w:sz="0" w:space="0" w:color="auto"/>
        <w:right w:val="none" w:sz="0" w:space="0" w:color="auto"/>
      </w:divBdr>
    </w:div>
    <w:div w:id="415791298">
      <w:bodyDiv w:val="1"/>
      <w:marLeft w:val="0"/>
      <w:marRight w:val="0"/>
      <w:marTop w:val="0"/>
      <w:marBottom w:val="0"/>
      <w:divBdr>
        <w:top w:val="none" w:sz="0" w:space="0" w:color="auto"/>
        <w:left w:val="none" w:sz="0" w:space="0" w:color="auto"/>
        <w:bottom w:val="none" w:sz="0" w:space="0" w:color="auto"/>
        <w:right w:val="none" w:sz="0" w:space="0" w:color="auto"/>
      </w:divBdr>
    </w:div>
    <w:div w:id="470176962">
      <w:bodyDiv w:val="1"/>
      <w:marLeft w:val="0"/>
      <w:marRight w:val="0"/>
      <w:marTop w:val="0"/>
      <w:marBottom w:val="0"/>
      <w:divBdr>
        <w:top w:val="none" w:sz="0" w:space="0" w:color="auto"/>
        <w:left w:val="none" w:sz="0" w:space="0" w:color="auto"/>
        <w:bottom w:val="none" w:sz="0" w:space="0" w:color="auto"/>
        <w:right w:val="none" w:sz="0" w:space="0" w:color="auto"/>
      </w:divBdr>
    </w:div>
    <w:div w:id="562565340">
      <w:bodyDiv w:val="1"/>
      <w:marLeft w:val="0"/>
      <w:marRight w:val="0"/>
      <w:marTop w:val="0"/>
      <w:marBottom w:val="0"/>
      <w:divBdr>
        <w:top w:val="none" w:sz="0" w:space="0" w:color="auto"/>
        <w:left w:val="none" w:sz="0" w:space="0" w:color="auto"/>
        <w:bottom w:val="none" w:sz="0" w:space="0" w:color="auto"/>
        <w:right w:val="none" w:sz="0" w:space="0" w:color="auto"/>
      </w:divBdr>
    </w:div>
    <w:div w:id="571308416">
      <w:bodyDiv w:val="1"/>
      <w:marLeft w:val="0"/>
      <w:marRight w:val="0"/>
      <w:marTop w:val="0"/>
      <w:marBottom w:val="0"/>
      <w:divBdr>
        <w:top w:val="none" w:sz="0" w:space="0" w:color="auto"/>
        <w:left w:val="none" w:sz="0" w:space="0" w:color="auto"/>
        <w:bottom w:val="none" w:sz="0" w:space="0" w:color="auto"/>
        <w:right w:val="none" w:sz="0" w:space="0" w:color="auto"/>
      </w:divBdr>
    </w:div>
    <w:div w:id="593519748">
      <w:bodyDiv w:val="1"/>
      <w:marLeft w:val="0"/>
      <w:marRight w:val="0"/>
      <w:marTop w:val="0"/>
      <w:marBottom w:val="0"/>
      <w:divBdr>
        <w:top w:val="none" w:sz="0" w:space="0" w:color="auto"/>
        <w:left w:val="none" w:sz="0" w:space="0" w:color="auto"/>
        <w:bottom w:val="none" w:sz="0" w:space="0" w:color="auto"/>
        <w:right w:val="none" w:sz="0" w:space="0" w:color="auto"/>
      </w:divBdr>
    </w:div>
    <w:div w:id="830946960">
      <w:bodyDiv w:val="1"/>
      <w:marLeft w:val="0"/>
      <w:marRight w:val="0"/>
      <w:marTop w:val="0"/>
      <w:marBottom w:val="0"/>
      <w:divBdr>
        <w:top w:val="none" w:sz="0" w:space="0" w:color="auto"/>
        <w:left w:val="none" w:sz="0" w:space="0" w:color="auto"/>
        <w:bottom w:val="none" w:sz="0" w:space="0" w:color="auto"/>
        <w:right w:val="none" w:sz="0" w:space="0" w:color="auto"/>
      </w:divBdr>
    </w:div>
    <w:div w:id="939528448">
      <w:bodyDiv w:val="1"/>
      <w:marLeft w:val="0"/>
      <w:marRight w:val="0"/>
      <w:marTop w:val="0"/>
      <w:marBottom w:val="0"/>
      <w:divBdr>
        <w:top w:val="none" w:sz="0" w:space="0" w:color="auto"/>
        <w:left w:val="none" w:sz="0" w:space="0" w:color="auto"/>
        <w:bottom w:val="none" w:sz="0" w:space="0" w:color="auto"/>
        <w:right w:val="none" w:sz="0" w:space="0" w:color="auto"/>
      </w:divBdr>
    </w:div>
    <w:div w:id="946887487">
      <w:bodyDiv w:val="1"/>
      <w:marLeft w:val="0"/>
      <w:marRight w:val="0"/>
      <w:marTop w:val="0"/>
      <w:marBottom w:val="0"/>
      <w:divBdr>
        <w:top w:val="none" w:sz="0" w:space="0" w:color="auto"/>
        <w:left w:val="none" w:sz="0" w:space="0" w:color="auto"/>
        <w:bottom w:val="none" w:sz="0" w:space="0" w:color="auto"/>
        <w:right w:val="none" w:sz="0" w:space="0" w:color="auto"/>
      </w:divBdr>
    </w:div>
    <w:div w:id="1091926342">
      <w:bodyDiv w:val="1"/>
      <w:marLeft w:val="0"/>
      <w:marRight w:val="0"/>
      <w:marTop w:val="0"/>
      <w:marBottom w:val="0"/>
      <w:divBdr>
        <w:top w:val="none" w:sz="0" w:space="0" w:color="auto"/>
        <w:left w:val="none" w:sz="0" w:space="0" w:color="auto"/>
        <w:bottom w:val="none" w:sz="0" w:space="0" w:color="auto"/>
        <w:right w:val="none" w:sz="0" w:space="0" w:color="auto"/>
      </w:divBdr>
    </w:div>
    <w:div w:id="1160655739">
      <w:bodyDiv w:val="1"/>
      <w:marLeft w:val="0"/>
      <w:marRight w:val="0"/>
      <w:marTop w:val="0"/>
      <w:marBottom w:val="0"/>
      <w:divBdr>
        <w:top w:val="none" w:sz="0" w:space="0" w:color="auto"/>
        <w:left w:val="none" w:sz="0" w:space="0" w:color="auto"/>
        <w:bottom w:val="none" w:sz="0" w:space="0" w:color="auto"/>
        <w:right w:val="none" w:sz="0" w:space="0" w:color="auto"/>
      </w:divBdr>
    </w:div>
    <w:div w:id="1567300335">
      <w:bodyDiv w:val="1"/>
      <w:marLeft w:val="0"/>
      <w:marRight w:val="0"/>
      <w:marTop w:val="0"/>
      <w:marBottom w:val="0"/>
      <w:divBdr>
        <w:top w:val="none" w:sz="0" w:space="0" w:color="auto"/>
        <w:left w:val="none" w:sz="0" w:space="0" w:color="auto"/>
        <w:bottom w:val="none" w:sz="0" w:space="0" w:color="auto"/>
        <w:right w:val="none" w:sz="0" w:space="0" w:color="auto"/>
      </w:divBdr>
    </w:div>
    <w:div w:id="1583753244">
      <w:bodyDiv w:val="1"/>
      <w:marLeft w:val="0"/>
      <w:marRight w:val="0"/>
      <w:marTop w:val="0"/>
      <w:marBottom w:val="0"/>
      <w:divBdr>
        <w:top w:val="none" w:sz="0" w:space="0" w:color="auto"/>
        <w:left w:val="none" w:sz="0" w:space="0" w:color="auto"/>
        <w:bottom w:val="none" w:sz="0" w:space="0" w:color="auto"/>
        <w:right w:val="none" w:sz="0" w:space="0" w:color="auto"/>
      </w:divBdr>
    </w:div>
    <w:div w:id="1899507298">
      <w:bodyDiv w:val="1"/>
      <w:marLeft w:val="0"/>
      <w:marRight w:val="0"/>
      <w:marTop w:val="0"/>
      <w:marBottom w:val="0"/>
      <w:divBdr>
        <w:top w:val="none" w:sz="0" w:space="0" w:color="auto"/>
        <w:left w:val="none" w:sz="0" w:space="0" w:color="auto"/>
        <w:bottom w:val="none" w:sz="0" w:space="0" w:color="auto"/>
        <w:right w:val="none" w:sz="0" w:space="0" w:color="auto"/>
      </w:divBdr>
    </w:div>
    <w:div w:id="2052801588">
      <w:bodyDiv w:val="1"/>
      <w:marLeft w:val="0"/>
      <w:marRight w:val="0"/>
      <w:marTop w:val="0"/>
      <w:marBottom w:val="0"/>
      <w:divBdr>
        <w:top w:val="none" w:sz="0" w:space="0" w:color="auto"/>
        <w:left w:val="none" w:sz="0" w:space="0" w:color="auto"/>
        <w:bottom w:val="none" w:sz="0" w:space="0" w:color="auto"/>
        <w:right w:val="none" w:sz="0" w:space="0" w:color="auto"/>
      </w:divBdr>
    </w:div>
    <w:div w:id="2107771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5</Pages>
  <Words>2270</Words>
  <Characters>12944</Characters>
  <Application>Microsoft Office Word</Application>
  <DocSecurity>0</DocSecurity>
  <Lines>107</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4</cp:revision>
  <dcterms:created xsi:type="dcterms:W3CDTF">2022-08-29T01:40:00Z</dcterms:created>
  <dcterms:modified xsi:type="dcterms:W3CDTF">2025-09-26T10:33:00Z</dcterms:modified>
</cp:coreProperties>
</file>