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A4286" w:rsidRPr="0032126A" w:rsidRDefault="00441837" w:rsidP="00997267">
      <w:pPr>
        <w:spacing w:before="1200" w:line="240" w:lineRule="auto"/>
        <w:ind w:firstLine="567"/>
        <w:contextualSpacing/>
        <w:jc w:val="center"/>
        <w:rPr>
          <w:rFonts w:ascii="Times New Roman" w:hAnsi="Times New Roman"/>
          <w:b/>
          <w:sz w:val="36"/>
          <w:szCs w:val="36"/>
          <w:lang w:val="en-US"/>
        </w:rPr>
      </w:pPr>
      <w:r w:rsidRPr="0032126A">
        <w:rPr>
          <w:rFonts w:ascii="Times New Roman" w:hAnsi="Times New Roman"/>
          <w:b/>
          <w:sz w:val="36"/>
          <w:szCs w:val="36"/>
          <w:lang w:val="en-US"/>
        </w:rPr>
        <w:t xml:space="preserve">Modern </w:t>
      </w:r>
      <w:r w:rsidR="001B50FB" w:rsidRPr="0032126A">
        <w:rPr>
          <w:rFonts w:ascii="Times New Roman" w:hAnsi="Times New Roman"/>
          <w:b/>
          <w:sz w:val="36"/>
          <w:szCs w:val="36"/>
          <w:lang w:val="en-US"/>
        </w:rPr>
        <w:t xml:space="preserve">digital interpretation </w:t>
      </w:r>
      <w:r w:rsidRPr="0032126A">
        <w:rPr>
          <w:rFonts w:ascii="Times New Roman" w:hAnsi="Times New Roman"/>
          <w:b/>
          <w:sz w:val="36"/>
          <w:szCs w:val="36"/>
          <w:lang w:val="en-US"/>
        </w:rPr>
        <w:t xml:space="preserve">of </w:t>
      </w:r>
      <w:r w:rsidR="001B50FB" w:rsidRPr="0032126A">
        <w:rPr>
          <w:rFonts w:ascii="Times New Roman" w:hAnsi="Times New Roman"/>
          <w:b/>
          <w:sz w:val="36"/>
          <w:szCs w:val="36"/>
          <w:lang w:val="en-US"/>
        </w:rPr>
        <w:t>granitoid massifs</w:t>
      </w:r>
    </w:p>
    <w:p w:rsidR="0032126A" w:rsidRPr="0032126A" w:rsidRDefault="0032126A" w:rsidP="0099304F">
      <w:pPr>
        <w:spacing w:before="240" w:line="240" w:lineRule="auto"/>
        <w:ind w:firstLine="567"/>
        <w:contextualSpacing/>
        <w:jc w:val="center"/>
        <w:rPr>
          <w:rFonts w:ascii="Times New Roman" w:hAnsi="Times New Roman"/>
          <w:sz w:val="24"/>
          <w:szCs w:val="24"/>
          <w:lang w:val="en-US"/>
        </w:rPr>
      </w:pPr>
    </w:p>
    <w:p w:rsidR="00CA4286" w:rsidRDefault="00441837" w:rsidP="00F74122">
      <w:pPr>
        <w:spacing w:before="240" w:line="240" w:lineRule="auto"/>
        <w:ind w:firstLine="567"/>
        <w:contextualSpacing/>
        <w:jc w:val="center"/>
        <w:rPr>
          <w:rFonts w:ascii="Times New Roman" w:hAnsi="Times New Roman"/>
          <w:sz w:val="28"/>
          <w:szCs w:val="28"/>
          <w:lang w:val="en-US"/>
        </w:rPr>
      </w:pPr>
      <w:r w:rsidRPr="0032126A">
        <w:rPr>
          <w:rFonts w:ascii="Times New Roman" w:hAnsi="Times New Roman"/>
          <w:sz w:val="28"/>
          <w:szCs w:val="28"/>
          <w:lang w:val="en-US"/>
        </w:rPr>
        <w:t>Otabek Zokirov¹</w:t>
      </w:r>
      <w:r w:rsidR="001004E5" w:rsidRPr="001004E5">
        <w:rPr>
          <w:rFonts w:ascii="Times New Roman" w:hAnsi="Times New Roman"/>
          <w:sz w:val="28"/>
          <w:szCs w:val="28"/>
          <w:vertAlign w:val="superscript"/>
          <w:lang w:val="en-US"/>
        </w:rPr>
        <w:t>,a)</w:t>
      </w:r>
      <w:r w:rsidRPr="0032126A">
        <w:rPr>
          <w:rFonts w:ascii="Times New Roman" w:hAnsi="Times New Roman"/>
          <w:sz w:val="28"/>
          <w:szCs w:val="28"/>
          <w:lang w:val="en-US"/>
        </w:rPr>
        <w:t>, Nargiza Tulyaganova², Nilufar Khamidova²,</w:t>
      </w:r>
      <w:r w:rsidR="0032126A" w:rsidRPr="0032126A">
        <w:rPr>
          <w:rFonts w:ascii="Times New Roman" w:hAnsi="Times New Roman"/>
          <w:sz w:val="28"/>
          <w:szCs w:val="28"/>
          <w:lang w:val="en-US"/>
        </w:rPr>
        <w:t xml:space="preserve"> </w:t>
      </w:r>
      <w:r w:rsidRPr="0032126A">
        <w:rPr>
          <w:rFonts w:ascii="Times New Roman" w:hAnsi="Times New Roman"/>
          <w:sz w:val="28"/>
          <w:szCs w:val="28"/>
          <w:lang w:val="en-US"/>
        </w:rPr>
        <w:t>Dilfuza Makhamadsabirova², Gulnara Arslonkhonova²</w:t>
      </w:r>
    </w:p>
    <w:p w:rsidR="0032126A" w:rsidRPr="0032126A" w:rsidRDefault="0032126A" w:rsidP="0032126A">
      <w:pPr>
        <w:spacing w:before="240" w:line="240" w:lineRule="auto"/>
        <w:contextualSpacing/>
        <w:jc w:val="center"/>
        <w:rPr>
          <w:rFonts w:ascii="Times New Roman" w:hAnsi="Times New Roman"/>
          <w:bCs/>
          <w:sz w:val="20"/>
          <w:szCs w:val="20"/>
          <w:lang w:val="en-US"/>
        </w:rPr>
      </w:pPr>
    </w:p>
    <w:p w:rsidR="00BB0E13" w:rsidRPr="0032126A" w:rsidRDefault="002A4C9B" w:rsidP="0032126A">
      <w:pPr>
        <w:spacing w:before="200" w:after="0" w:line="240" w:lineRule="auto"/>
        <w:contextualSpacing/>
        <w:jc w:val="center"/>
        <w:rPr>
          <w:rFonts w:ascii="Times New Roman" w:hAnsi="Times New Roman"/>
          <w:b/>
          <w:i/>
          <w:iCs/>
          <w:sz w:val="20"/>
          <w:szCs w:val="20"/>
          <w:lang w:val="uz-Cyrl-UZ"/>
        </w:rPr>
      </w:pPr>
      <w:r w:rsidRPr="0032126A">
        <w:rPr>
          <w:rFonts w:ascii="Times New Roman" w:hAnsi="Times New Roman"/>
          <w:i/>
          <w:iCs/>
          <w:sz w:val="20"/>
          <w:szCs w:val="20"/>
          <w:vertAlign w:val="superscript"/>
          <w:lang w:val="uz-Cyrl-UZ"/>
        </w:rPr>
        <w:t>1</w:t>
      </w:r>
      <w:r w:rsidRPr="0032126A">
        <w:rPr>
          <w:rFonts w:ascii="Times New Roman" w:hAnsi="Times New Roman"/>
          <w:i/>
          <w:iCs/>
          <w:sz w:val="20"/>
          <w:szCs w:val="20"/>
          <w:lang w:val="en-US"/>
        </w:rPr>
        <w:t>Tashkent state transport university, Tashkent, Uzbekistan</w:t>
      </w:r>
      <w:r w:rsidR="009A1926" w:rsidRPr="0032126A">
        <w:rPr>
          <w:rFonts w:ascii="Times New Roman" w:hAnsi="Times New Roman"/>
          <w:b/>
          <w:i/>
          <w:iCs/>
          <w:sz w:val="20"/>
          <w:szCs w:val="20"/>
          <w:lang w:val="uz-Cyrl-UZ"/>
        </w:rPr>
        <w:t xml:space="preserve"> </w:t>
      </w:r>
    </w:p>
    <w:p w:rsidR="002A4C9B" w:rsidRPr="0032126A" w:rsidRDefault="002A4C9B" w:rsidP="0032126A">
      <w:pPr>
        <w:pStyle w:val="AuthorAffiliation"/>
        <w:rPr>
          <w:iCs/>
          <w:lang w:val="uz-Cyrl-UZ"/>
        </w:rPr>
      </w:pPr>
      <w:r w:rsidRPr="0032126A">
        <w:rPr>
          <w:iCs/>
          <w:vertAlign w:val="superscript"/>
          <w:lang w:val="uz-Cyrl-UZ"/>
        </w:rPr>
        <w:t>2</w:t>
      </w:r>
      <w:r w:rsidRPr="0032126A">
        <w:rPr>
          <w:iCs/>
        </w:rPr>
        <w:t>Tashkent state technical university named after Islam Karimov, Tashkent, Uzbekistan</w:t>
      </w:r>
      <w:r w:rsidRPr="0032126A">
        <w:rPr>
          <w:iCs/>
          <w:lang w:val="uz-Cyrl-UZ"/>
        </w:rPr>
        <w:t xml:space="preserve"> </w:t>
      </w:r>
    </w:p>
    <w:p w:rsidR="00815C3E" w:rsidRPr="0032126A" w:rsidRDefault="0032126A" w:rsidP="0099304F">
      <w:pPr>
        <w:pStyle w:val="AuthorAffiliation"/>
        <w:spacing w:before="200" w:after="200"/>
        <w:rPr>
          <w:szCs w:val="18"/>
        </w:rPr>
      </w:pPr>
      <w:r>
        <w:rPr>
          <w:szCs w:val="18"/>
          <w:vertAlign w:val="superscript"/>
        </w:rPr>
        <w:t>a</w:t>
      </w:r>
      <w:r w:rsidR="005B27A2" w:rsidRPr="0032126A">
        <w:rPr>
          <w:szCs w:val="18"/>
          <w:vertAlign w:val="superscript"/>
        </w:rPr>
        <w:t>)</w:t>
      </w:r>
      <w:r>
        <w:rPr>
          <w:szCs w:val="18"/>
          <w:vertAlign w:val="superscript"/>
        </w:rPr>
        <w:t xml:space="preserve"> </w:t>
      </w:r>
      <w:r w:rsidR="00815C3E" w:rsidRPr="0032126A">
        <w:rPr>
          <w:szCs w:val="18"/>
        </w:rPr>
        <w:t>Corresponding author:</w:t>
      </w:r>
      <w:r w:rsidR="005B27A2" w:rsidRPr="0032126A">
        <w:rPr>
          <w:szCs w:val="18"/>
        </w:rPr>
        <w:t xml:space="preserve"> </w:t>
      </w:r>
      <w:hyperlink r:id="rId7" w:history="1">
        <w:r w:rsidR="005B27A2" w:rsidRPr="0032126A">
          <w:rPr>
            <w:rStyle w:val="ac"/>
            <w:szCs w:val="18"/>
          </w:rPr>
          <w:t>zokirov-otabek@mail.ru</w:t>
        </w:r>
      </w:hyperlink>
    </w:p>
    <w:p w:rsidR="00015D08" w:rsidRDefault="00400B6A" w:rsidP="0099304F">
      <w:pPr>
        <w:spacing w:before="360" w:after="360" w:line="240" w:lineRule="auto"/>
        <w:ind w:left="284" w:right="284"/>
        <w:contextualSpacing/>
        <w:jc w:val="both"/>
        <w:rPr>
          <w:rFonts w:ascii="Times New Roman" w:hAnsi="Times New Roman"/>
          <w:sz w:val="20"/>
          <w:szCs w:val="20"/>
          <w:lang w:val="en-US"/>
        </w:rPr>
      </w:pPr>
      <w:r w:rsidRPr="0032126A">
        <w:rPr>
          <w:rFonts w:ascii="Times New Roman" w:hAnsi="Times New Roman"/>
          <w:b/>
          <w:sz w:val="20"/>
          <w:szCs w:val="20"/>
          <w:lang w:val="en-US"/>
        </w:rPr>
        <w:t>Abstract.</w:t>
      </w:r>
      <w:r w:rsidRPr="0032126A">
        <w:rPr>
          <w:rFonts w:ascii="Times New Roman" w:hAnsi="Times New Roman"/>
          <w:sz w:val="20"/>
          <w:szCs w:val="20"/>
          <w:lang w:val="uz-Cyrl-UZ"/>
        </w:rPr>
        <w:t xml:space="preserve"> </w:t>
      </w:r>
      <w:r w:rsidR="003E7C74" w:rsidRPr="0032126A">
        <w:rPr>
          <w:rFonts w:ascii="Times New Roman" w:hAnsi="Times New Roman"/>
          <w:sz w:val="20"/>
          <w:szCs w:val="20"/>
          <w:lang w:val="en-US"/>
        </w:rPr>
        <w:t>The article presents materials on granitoid massifs obtained from Landsat satellite images, their distance indicators and characteristics, a comparison of their location on a geological map, as well as their interpretation features and analysis results.</w:t>
      </w:r>
    </w:p>
    <w:p w:rsidR="0032126A" w:rsidRPr="0032126A" w:rsidRDefault="0032126A" w:rsidP="0032126A">
      <w:pPr>
        <w:spacing w:before="360" w:after="360" w:line="240" w:lineRule="auto"/>
        <w:ind w:left="284" w:right="284"/>
        <w:contextualSpacing/>
        <w:jc w:val="both"/>
        <w:rPr>
          <w:rFonts w:ascii="Times New Roman" w:hAnsi="Times New Roman"/>
          <w:sz w:val="36"/>
          <w:szCs w:val="36"/>
          <w:lang w:val="uz-Cyrl-UZ"/>
        </w:rPr>
      </w:pPr>
    </w:p>
    <w:p w:rsidR="002F609D" w:rsidRPr="0032126A" w:rsidRDefault="002F609D" w:rsidP="0099304F">
      <w:pPr>
        <w:spacing w:before="240" w:after="240" w:line="240" w:lineRule="auto"/>
        <w:ind w:firstLine="284"/>
        <w:jc w:val="center"/>
        <w:rPr>
          <w:rFonts w:ascii="Times New Roman" w:hAnsi="Times New Roman"/>
          <w:b/>
          <w:sz w:val="24"/>
          <w:szCs w:val="24"/>
          <w:lang w:val="uz-Cyrl-UZ"/>
        </w:rPr>
      </w:pPr>
      <w:r w:rsidRPr="0032126A">
        <w:rPr>
          <w:rFonts w:ascii="Times New Roman" w:hAnsi="Times New Roman"/>
          <w:b/>
          <w:sz w:val="24"/>
          <w:szCs w:val="24"/>
          <w:lang w:val="en-US"/>
        </w:rPr>
        <w:t>INTRODUCTION</w:t>
      </w:r>
    </w:p>
    <w:p w:rsidR="00400B6A" w:rsidRPr="0032126A" w:rsidRDefault="00400B6A" w:rsidP="0032126A">
      <w:pPr>
        <w:pStyle w:val="ae"/>
        <w:spacing w:before="0" w:beforeAutospacing="0" w:after="0" w:afterAutospacing="0"/>
        <w:ind w:firstLine="284"/>
        <w:jc w:val="both"/>
        <w:rPr>
          <w:sz w:val="20"/>
          <w:szCs w:val="20"/>
          <w:lang w:val="uz-Cyrl-UZ"/>
        </w:rPr>
      </w:pPr>
      <w:r w:rsidRPr="0032126A">
        <w:rPr>
          <w:sz w:val="20"/>
          <w:szCs w:val="20"/>
          <w:lang w:val="en-US"/>
        </w:rPr>
        <w:t>Remote sensing is the study of the Earth’s surface using various types of imagery in different ranges of the electromagnetic spectrum acquired from aerospace vehicles. A detector installed on artificial satellites, interplanetary automatic stations, and other carriers transmits information to Earth in digital form.</w:t>
      </w:r>
      <w:r w:rsidRPr="0032126A">
        <w:rPr>
          <w:sz w:val="20"/>
          <w:szCs w:val="20"/>
          <w:lang w:val="uz-Cyrl-UZ"/>
        </w:rPr>
        <w:t xml:space="preserve"> </w:t>
      </w:r>
      <w:r w:rsidRPr="0032126A">
        <w:rPr>
          <w:sz w:val="20"/>
          <w:szCs w:val="20"/>
          <w:lang w:val="en-US"/>
        </w:rPr>
        <w:t>It should be emphasized that in remote sensing, due to the imaging of the Earth’s surface in different ranges of the electromagnetic spectrum, various geological formations appear in satellite images against backgrounds of different types. As a result, it becomes possible to delineate their distribution boundaries and to refine existing geological maps. For example, information on the geological and remote-sensing criteria obtained from cosmogeological studies of the Karnab, Akmazar, Guzhak, Maizak, Koshkuduk, and Chaydaroz granitoid massifs in the Ziyovutdin Mountains can serve as such an example [1,7,8].</w:t>
      </w:r>
    </w:p>
    <w:p w:rsidR="002F609D" w:rsidRPr="0032126A" w:rsidRDefault="002F609D" w:rsidP="0099304F">
      <w:pPr>
        <w:pStyle w:val="a3"/>
        <w:keepNext/>
        <w:overflowPunct w:val="0"/>
        <w:autoSpaceDE w:val="0"/>
        <w:autoSpaceDN w:val="0"/>
        <w:adjustRightInd w:val="0"/>
        <w:spacing w:before="240" w:after="240" w:line="240" w:lineRule="auto"/>
        <w:ind w:left="0" w:firstLine="284"/>
        <w:jc w:val="center"/>
        <w:textAlignment w:val="baseline"/>
        <w:outlineLvl w:val="5"/>
        <w:rPr>
          <w:rFonts w:ascii="Times New Roman" w:hAnsi="Times New Roman"/>
          <w:b/>
          <w:sz w:val="24"/>
          <w:szCs w:val="24"/>
          <w:lang w:val="uz-Cyrl-UZ"/>
        </w:rPr>
      </w:pPr>
      <w:r w:rsidRPr="0032126A">
        <w:rPr>
          <w:rFonts w:ascii="Times New Roman" w:hAnsi="Times New Roman"/>
          <w:b/>
          <w:sz w:val="24"/>
          <w:szCs w:val="24"/>
          <w:lang w:val="uz-Cyrl-UZ"/>
        </w:rPr>
        <w:t>EXPERIMENTAL RESEARCH</w:t>
      </w:r>
    </w:p>
    <w:p w:rsidR="00400B6A" w:rsidRPr="0032126A" w:rsidRDefault="00400B6A" w:rsidP="0032126A">
      <w:pPr>
        <w:pStyle w:val="ae"/>
        <w:spacing w:before="0" w:beforeAutospacing="0" w:after="0" w:afterAutospacing="0"/>
        <w:ind w:firstLine="284"/>
        <w:jc w:val="both"/>
        <w:rPr>
          <w:sz w:val="20"/>
          <w:szCs w:val="20"/>
          <w:lang w:val="uz-Cyrl-UZ"/>
        </w:rPr>
      </w:pPr>
      <w:r w:rsidRPr="0032126A">
        <w:rPr>
          <w:sz w:val="20"/>
          <w:szCs w:val="20"/>
          <w:lang w:val="en-US"/>
        </w:rPr>
        <w:t>The use of digital satellite images in geological studies makes it possible to delineate geological bodies, to detail the structural characteristics of tectonic deformations, and to update the level of geoinformation on existing maps by identifying structures, photo-anomalies, and other objects of various configurations that were previously overlooked or difficult to detect during earlier geological surveys [8].</w:t>
      </w:r>
      <w:r w:rsidRPr="0032126A">
        <w:rPr>
          <w:sz w:val="20"/>
          <w:szCs w:val="20"/>
          <w:lang w:val="uz-Cyrl-UZ"/>
        </w:rPr>
        <w:t xml:space="preserve"> </w:t>
      </w:r>
      <w:r w:rsidRPr="0032126A">
        <w:rPr>
          <w:sz w:val="20"/>
          <w:szCs w:val="20"/>
          <w:lang w:val="en-US"/>
        </w:rPr>
        <w:t>In the analysis of satellite images, stereoscopes and interpretoscopes were used, and both direct indicators (distinct boundaries, specific image appearance, color, size, geometric shape or configuration, tone, shadow, texture, structure, etc.) and indirect indicators (soils, vegetation, etc.) were applied.</w:t>
      </w:r>
      <w:r w:rsidRPr="0032126A">
        <w:rPr>
          <w:sz w:val="20"/>
          <w:szCs w:val="20"/>
          <w:lang w:val="uz-Cyrl-UZ"/>
        </w:rPr>
        <w:t xml:space="preserve"> </w:t>
      </w:r>
      <w:r w:rsidRPr="0032126A">
        <w:rPr>
          <w:sz w:val="20"/>
          <w:szCs w:val="20"/>
          <w:lang w:val="en-US"/>
        </w:rPr>
        <w:t>Experimental results showed that there are considerable differences between geological data on granitoid massifs—including their contours and distribution areas—and the analytical information obtained from digital satellite images (Figure 1). This demonstrates the advisability of a broader use of modern methods in scientific and applied research.</w:t>
      </w:r>
    </w:p>
    <w:p w:rsidR="00654077" w:rsidRPr="0032126A" w:rsidRDefault="00654077" w:rsidP="0099304F">
      <w:pPr>
        <w:tabs>
          <w:tab w:val="left" w:pos="284"/>
        </w:tabs>
        <w:spacing w:before="240" w:after="240" w:line="240" w:lineRule="auto"/>
        <w:ind w:firstLine="284"/>
        <w:jc w:val="center"/>
        <w:rPr>
          <w:rFonts w:ascii="Times New Roman" w:eastAsia="Times New Roman" w:hAnsi="Times New Roman"/>
          <w:b/>
          <w:sz w:val="24"/>
          <w:szCs w:val="24"/>
          <w:lang w:val="uz-Cyrl-UZ" w:eastAsia="de-DE"/>
        </w:rPr>
      </w:pPr>
      <w:r w:rsidRPr="0032126A">
        <w:rPr>
          <w:rFonts w:ascii="Times New Roman" w:eastAsia="Times New Roman" w:hAnsi="Times New Roman"/>
          <w:b/>
          <w:sz w:val="24"/>
          <w:szCs w:val="24"/>
          <w:lang w:val="uz-Cyrl-UZ" w:eastAsia="de-DE"/>
        </w:rPr>
        <w:t>RESEARCH RESULTS</w:t>
      </w:r>
    </w:p>
    <w:p w:rsidR="00400B6A" w:rsidRPr="0032126A" w:rsidRDefault="00400B6A" w:rsidP="0032126A">
      <w:pPr>
        <w:pStyle w:val="ae"/>
        <w:spacing w:before="0" w:beforeAutospacing="0" w:after="0" w:afterAutospacing="0"/>
        <w:ind w:firstLine="284"/>
        <w:jc w:val="both"/>
        <w:rPr>
          <w:sz w:val="20"/>
          <w:szCs w:val="20"/>
          <w:lang w:val="en-US"/>
        </w:rPr>
      </w:pPr>
      <w:r w:rsidRPr="0032126A">
        <w:rPr>
          <w:sz w:val="20"/>
          <w:szCs w:val="20"/>
          <w:lang w:val="en-US"/>
        </w:rPr>
        <w:t xml:space="preserve">A complex analysis of granitoid massifs based on geological data and digital satellite imagery produced new findings: the remote-sensing criteria for the Karnab, Akmazar, Guzhak, Maizak, Koshkuduk, and Chaydaroz massifs were established, and previously unknown subsurface and surface boundaries and shapes were identified (Figure 2). Satellite images were processed using the well-known “Erdas Imagine” and “Multispec” software packages from the USA and Europe. This in turn made a significant contribution to improving the quality and efficiency of the research </w:t>
      </w:r>
      <w:r w:rsidRPr="0032126A">
        <w:rPr>
          <w:sz w:val="20"/>
          <w:szCs w:val="20"/>
          <w:lang w:val="en-US"/>
        </w:rPr>
        <w:lastRenderedPageBreak/>
        <w:t>results.</w:t>
      </w:r>
      <w:r w:rsidRPr="0032126A">
        <w:rPr>
          <w:sz w:val="20"/>
          <w:szCs w:val="20"/>
          <w:lang w:val="uz-Cyrl-UZ"/>
        </w:rPr>
        <w:t xml:space="preserve"> </w:t>
      </w:r>
      <w:r w:rsidRPr="0032126A">
        <w:rPr>
          <w:sz w:val="20"/>
          <w:szCs w:val="20"/>
          <w:lang w:val="en-US"/>
        </w:rPr>
        <w:t xml:space="preserve">Below we provide brief descriptions of the remote-sensing criteria and their comparison </w:t>
      </w:r>
      <w:r w:rsidR="00257098" w:rsidRPr="0032126A">
        <w:rPr>
          <w:sz w:val="20"/>
          <w:szCs w:val="20"/>
          <w:lang w:val="en-US"/>
        </w:rPr>
        <w:t>with geological information [1–10</w:t>
      </w:r>
      <w:r w:rsidRPr="0032126A">
        <w:rPr>
          <w:sz w:val="20"/>
          <w:szCs w:val="20"/>
          <w:lang w:val="en-US"/>
        </w:rPr>
        <w:t>].</w:t>
      </w:r>
    </w:p>
    <w:p w:rsidR="008F6397" w:rsidRPr="0032126A" w:rsidRDefault="008F6397" w:rsidP="0032126A">
      <w:pPr>
        <w:spacing w:after="0" w:line="240" w:lineRule="auto"/>
        <w:ind w:firstLine="284"/>
        <w:jc w:val="both"/>
        <w:outlineLvl w:val="2"/>
        <w:rPr>
          <w:rFonts w:ascii="Times New Roman" w:eastAsia="Times New Roman" w:hAnsi="Times New Roman"/>
          <w:sz w:val="20"/>
          <w:szCs w:val="20"/>
          <w:lang w:val="en-US" w:eastAsia="ru-RU"/>
        </w:rPr>
      </w:pPr>
      <w:r w:rsidRPr="0032126A">
        <w:rPr>
          <w:rFonts w:ascii="Times New Roman" w:eastAsia="Times New Roman" w:hAnsi="Times New Roman"/>
          <w:b/>
          <w:bCs/>
          <w:sz w:val="20"/>
          <w:szCs w:val="20"/>
          <w:lang w:val="en-US" w:eastAsia="ru-RU"/>
        </w:rPr>
        <w:t>Karnab Intrusive Body</w:t>
      </w:r>
      <w:r w:rsidRPr="0032126A">
        <w:rPr>
          <w:rFonts w:ascii="Times New Roman" w:eastAsia="Times New Roman" w:hAnsi="Times New Roman"/>
          <w:b/>
          <w:bCs/>
          <w:sz w:val="20"/>
          <w:szCs w:val="20"/>
          <w:lang w:val="uz-Cyrl-UZ" w:eastAsia="ru-RU"/>
        </w:rPr>
        <w:t xml:space="preserve">. </w:t>
      </w:r>
      <w:r w:rsidRPr="0032126A">
        <w:rPr>
          <w:rFonts w:ascii="Times New Roman" w:eastAsia="Times New Roman" w:hAnsi="Times New Roman"/>
          <w:sz w:val="20"/>
          <w:szCs w:val="20"/>
          <w:lang w:val="en-US" w:eastAsia="ru-RU"/>
        </w:rPr>
        <w:t>The Karnab intrusion is situated at the eastern termination of the Ziyaetdin Mountains, within the core of an anticlinal structure. It contacts marbleized limestones in the south and Upper Silurian limestones and shales in the north. The intrusion represents a relatively small (approximately 21 km²), steeply dipping stock. It is predominantly composed of coarse-grained biotite granites, commonly containing porphyritic microcline phenocrysts.</w:t>
      </w:r>
    </w:p>
    <w:p w:rsidR="00AF5C15" w:rsidRPr="0032126A" w:rsidRDefault="00AF5C15" w:rsidP="00AB502D">
      <w:pPr>
        <w:spacing w:after="0" w:line="240" w:lineRule="auto"/>
        <w:jc w:val="both"/>
        <w:rPr>
          <w:rFonts w:ascii="Times New Roman" w:eastAsia="Times New Roman" w:hAnsi="Times New Roman"/>
          <w:sz w:val="20"/>
          <w:szCs w:val="20"/>
          <w:lang w:val="en-US" w:eastAsia="ru-RU"/>
        </w:rPr>
      </w:pPr>
    </w:p>
    <w:p w:rsidR="00F74122" w:rsidRDefault="0083437E" w:rsidP="00F74122">
      <w:pPr>
        <w:pStyle w:val="a3"/>
        <w:keepNext/>
        <w:overflowPunct w:val="0"/>
        <w:autoSpaceDE w:val="0"/>
        <w:autoSpaceDN w:val="0"/>
        <w:adjustRightInd w:val="0"/>
        <w:spacing w:after="0" w:line="240" w:lineRule="auto"/>
        <w:ind w:left="0"/>
        <w:jc w:val="center"/>
        <w:textAlignment w:val="baseline"/>
        <w:outlineLvl w:val="5"/>
        <w:rPr>
          <w:rFonts w:ascii="Times New Roman" w:eastAsia="Times New Roman" w:hAnsi="Times New Roman"/>
          <w:b/>
          <w:sz w:val="20"/>
          <w:szCs w:val="20"/>
          <w:lang w:eastAsia="ru-RU"/>
        </w:rPr>
      </w:pPr>
      <w:r w:rsidRPr="0032126A">
        <w:rPr>
          <w:rFonts w:ascii="Times New Roman" w:eastAsia="Times New Roman" w:hAnsi="Times New Roman"/>
          <w:b/>
          <w:noProof/>
          <w:sz w:val="20"/>
          <w:szCs w:val="20"/>
          <w:lang w:eastAsia="ru-RU"/>
        </w:rPr>
        <w:drawing>
          <wp:inline distT="0" distB="0" distL="0" distR="0">
            <wp:extent cx="3952875" cy="2790825"/>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lum contrast="20000"/>
                      <a:extLst>
                        <a:ext uri="{28A0092B-C50C-407E-A947-70E740481C1C}">
                          <a14:useLocalDpi xmlns:a14="http://schemas.microsoft.com/office/drawing/2010/main" val="0"/>
                        </a:ext>
                      </a:extLst>
                    </a:blip>
                    <a:srcRect/>
                    <a:stretch>
                      <a:fillRect/>
                    </a:stretch>
                  </pic:blipFill>
                  <pic:spPr bwMode="auto">
                    <a:xfrm>
                      <a:off x="0" y="0"/>
                      <a:ext cx="3952875" cy="2790825"/>
                    </a:xfrm>
                    <a:prstGeom prst="rect">
                      <a:avLst/>
                    </a:prstGeom>
                    <a:noFill/>
                    <a:ln>
                      <a:noFill/>
                    </a:ln>
                  </pic:spPr>
                </pic:pic>
              </a:graphicData>
            </a:graphic>
          </wp:inline>
        </w:drawing>
      </w:r>
    </w:p>
    <w:p w:rsidR="00AB502D" w:rsidRDefault="00AF5C15" w:rsidP="00F74122">
      <w:pPr>
        <w:pStyle w:val="a3"/>
        <w:keepNext/>
        <w:overflowPunct w:val="0"/>
        <w:autoSpaceDE w:val="0"/>
        <w:autoSpaceDN w:val="0"/>
        <w:adjustRightInd w:val="0"/>
        <w:spacing w:after="0" w:line="240" w:lineRule="auto"/>
        <w:ind w:left="0"/>
        <w:jc w:val="center"/>
        <w:textAlignment w:val="baseline"/>
        <w:outlineLvl w:val="5"/>
        <w:rPr>
          <w:rFonts w:ascii="Times New Roman" w:eastAsia="Times New Roman" w:hAnsi="Times New Roman"/>
          <w:sz w:val="20"/>
          <w:szCs w:val="20"/>
          <w:lang w:val="uz-Cyrl-UZ" w:eastAsia="ru-RU"/>
        </w:rPr>
      </w:pPr>
      <w:r w:rsidRPr="00AF5C15">
        <w:rPr>
          <w:rFonts w:ascii="Times New Roman" w:eastAsia="Times New Roman" w:hAnsi="Times New Roman"/>
          <w:b/>
          <w:sz w:val="20"/>
          <w:szCs w:val="20"/>
          <w:lang w:val="en-US" w:eastAsia="ru-RU"/>
        </w:rPr>
        <w:t xml:space="preserve">FIGURE 1. </w:t>
      </w:r>
      <w:r w:rsidRPr="00AF5C15">
        <w:rPr>
          <w:rFonts w:ascii="Times New Roman" w:eastAsia="Times New Roman" w:hAnsi="Times New Roman"/>
          <w:sz w:val="20"/>
          <w:szCs w:val="20"/>
          <w:lang w:val="en-US" w:eastAsia="ru-RU"/>
        </w:rPr>
        <w:t>Geological and digital space image processing and complex deciphering process</w:t>
      </w:r>
      <w:r w:rsidRPr="00AF5C15">
        <w:rPr>
          <w:rFonts w:ascii="Times New Roman" w:eastAsia="Times New Roman" w:hAnsi="Times New Roman"/>
          <w:sz w:val="20"/>
          <w:szCs w:val="20"/>
          <w:lang w:val="uz-Cyrl-UZ" w:eastAsia="ru-RU"/>
        </w:rPr>
        <w:t xml:space="preserve"> </w:t>
      </w:r>
    </w:p>
    <w:p w:rsidR="00AF5C15" w:rsidRPr="00AB502D" w:rsidRDefault="00AF5C15" w:rsidP="00F74122">
      <w:pPr>
        <w:pStyle w:val="a3"/>
        <w:keepNext/>
        <w:overflowPunct w:val="0"/>
        <w:autoSpaceDE w:val="0"/>
        <w:autoSpaceDN w:val="0"/>
        <w:adjustRightInd w:val="0"/>
        <w:spacing w:after="0" w:line="240" w:lineRule="auto"/>
        <w:ind w:left="0"/>
        <w:jc w:val="center"/>
        <w:textAlignment w:val="baseline"/>
        <w:outlineLvl w:val="5"/>
        <w:rPr>
          <w:rFonts w:ascii="Times New Roman" w:eastAsia="Times New Roman" w:hAnsi="Times New Roman"/>
          <w:b/>
          <w:sz w:val="24"/>
          <w:szCs w:val="24"/>
          <w:lang w:val="en-US" w:eastAsia="ru-RU"/>
        </w:rPr>
      </w:pPr>
      <w:r w:rsidRPr="00AF5C15">
        <w:rPr>
          <w:rFonts w:ascii="Times New Roman" w:eastAsia="Times New Roman" w:hAnsi="Times New Roman"/>
          <w:sz w:val="20"/>
          <w:szCs w:val="20"/>
          <w:lang w:val="uz-Cyrl-UZ" w:eastAsia="ru-RU"/>
        </w:rPr>
        <w:t>(</w:t>
      </w:r>
      <w:r w:rsidRPr="00AF5C15">
        <w:rPr>
          <w:rFonts w:ascii="Times New Roman" w:eastAsia="Times New Roman" w:hAnsi="Times New Roman"/>
          <w:sz w:val="20"/>
          <w:szCs w:val="20"/>
          <w:lang w:val="en-US" w:eastAsia="ru-RU"/>
        </w:rPr>
        <w:t>Based on the data of O</w:t>
      </w:r>
      <w:r w:rsidRPr="00AF5C15">
        <w:rPr>
          <w:rFonts w:ascii="Times New Roman" w:eastAsia="Times New Roman" w:hAnsi="Times New Roman"/>
          <w:sz w:val="20"/>
          <w:szCs w:val="20"/>
          <w:lang w:val="uz-Cyrl-UZ" w:eastAsia="ru-RU"/>
        </w:rPr>
        <w:t>.</w:t>
      </w:r>
      <w:r w:rsidRPr="00AF5C15">
        <w:rPr>
          <w:rFonts w:ascii="Times New Roman" w:eastAsia="Times New Roman" w:hAnsi="Times New Roman"/>
          <w:sz w:val="20"/>
          <w:szCs w:val="20"/>
          <w:lang w:val="en-US" w:eastAsia="ru-RU"/>
        </w:rPr>
        <w:t>Zokirov</w:t>
      </w:r>
      <w:r w:rsidRPr="00AF5C15">
        <w:rPr>
          <w:rFonts w:ascii="Times New Roman" w:eastAsia="Times New Roman" w:hAnsi="Times New Roman"/>
          <w:sz w:val="20"/>
          <w:szCs w:val="20"/>
          <w:lang w:val="uz-Cyrl-UZ" w:eastAsia="ru-RU"/>
        </w:rPr>
        <w:t xml:space="preserve">, </w:t>
      </w:r>
      <w:r w:rsidRPr="00AF5C15">
        <w:rPr>
          <w:rFonts w:ascii="Times New Roman" w:eastAsia="Times New Roman" w:hAnsi="Times New Roman"/>
          <w:sz w:val="20"/>
          <w:szCs w:val="20"/>
          <w:lang w:val="en-US" w:eastAsia="ru-RU"/>
        </w:rPr>
        <w:t>V.Mikhailov and others</w:t>
      </w:r>
      <w:r w:rsidRPr="00AF5C15">
        <w:rPr>
          <w:rFonts w:ascii="Times New Roman" w:eastAsia="Times New Roman" w:hAnsi="Times New Roman"/>
          <w:sz w:val="20"/>
          <w:szCs w:val="20"/>
          <w:lang w:val="uz-Cyrl-UZ" w:eastAsia="ru-RU"/>
        </w:rPr>
        <w:t>).</w:t>
      </w:r>
    </w:p>
    <w:p w:rsidR="008F6397" w:rsidRPr="00AF5C15" w:rsidRDefault="008F6397" w:rsidP="0032126A">
      <w:pPr>
        <w:pStyle w:val="ae"/>
        <w:spacing w:before="0" w:beforeAutospacing="0" w:after="0" w:afterAutospacing="0"/>
        <w:rPr>
          <w:sz w:val="20"/>
          <w:szCs w:val="20"/>
          <w:lang w:val="uz-Cyrl-UZ"/>
        </w:rPr>
      </w:pPr>
    </w:p>
    <w:p w:rsidR="00F803A3" w:rsidRPr="0032126A" w:rsidRDefault="0083437E" w:rsidP="0032126A">
      <w:pPr>
        <w:spacing w:after="0" w:line="240" w:lineRule="auto"/>
        <w:contextualSpacing/>
        <w:jc w:val="center"/>
        <w:rPr>
          <w:rFonts w:ascii="Times New Roman" w:hAnsi="Times New Roman"/>
          <w:sz w:val="20"/>
          <w:szCs w:val="20"/>
        </w:rPr>
      </w:pPr>
      <w:r w:rsidRPr="0032126A">
        <w:rPr>
          <w:rFonts w:ascii="Times New Roman" w:hAnsi="Times New Roman"/>
          <w:noProof/>
          <w:sz w:val="20"/>
          <w:szCs w:val="20"/>
        </w:rPr>
        <w:drawing>
          <wp:inline distT="0" distB="0" distL="0" distR="0">
            <wp:extent cx="3762375" cy="2857500"/>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62375" cy="2857500"/>
                    </a:xfrm>
                    <a:prstGeom prst="rect">
                      <a:avLst/>
                    </a:prstGeom>
                    <a:noFill/>
                    <a:ln>
                      <a:noFill/>
                    </a:ln>
                  </pic:spPr>
                </pic:pic>
              </a:graphicData>
            </a:graphic>
          </wp:inline>
        </w:drawing>
      </w:r>
    </w:p>
    <w:p w:rsidR="00F803A3" w:rsidRPr="0032126A" w:rsidRDefault="00F803A3" w:rsidP="0032126A">
      <w:pPr>
        <w:spacing w:after="0" w:line="240" w:lineRule="auto"/>
        <w:contextualSpacing/>
        <w:jc w:val="center"/>
        <w:rPr>
          <w:rFonts w:ascii="Times New Roman" w:hAnsi="Times New Roman"/>
          <w:sz w:val="20"/>
          <w:szCs w:val="20"/>
        </w:rPr>
      </w:pPr>
    </w:p>
    <w:p w:rsidR="00F803A3" w:rsidRPr="0032126A" w:rsidRDefault="00EE01D1" w:rsidP="0032126A">
      <w:pPr>
        <w:spacing w:after="0" w:line="240" w:lineRule="auto"/>
        <w:contextualSpacing/>
        <w:jc w:val="center"/>
        <w:rPr>
          <w:rFonts w:ascii="Times New Roman" w:hAnsi="Times New Roman"/>
          <w:b/>
          <w:sz w:val="18"/>
          <w:szCs w:val="18"/>
          <w:lang w:val="en-US"/>
        </w:rPr>
      </w:pPr>
      <w:r w:rsidRPr="0032126A">
        <w:rPr>
          <w:rFonts w:ascii="Times New Roman" w:hAnsi="Times New Roman"/>
          <w:b/>
          <w:sz w:val="18"/>
          <w:szCs w:val="18"/>
        </w:rPr>
        <w:t>FIGURE 2</w:t>
      </w:r>
      <w:r w:rsidR="00F803A3" w:rsidRPr="0032126A">
        <w:rPr>
          <w:rFonts w:ascii="Times New Roman" w:hAnsi="Times New Roman"/>
          <w:b/>
          <w:sz w:val="18"/>
          <w:szCs w:val="18"/>
        </w:rPr>
        <w:t xml:space="preserve">. </w:t>
      </w:r>
      <w:r w:rsidR="00400B6A" w:rsidRPr="0032126A">
        <w:rPr>
          <w:rFonts w:ascii="Times New Roman" w:hAnsi="Times New Roman"/>
          <w:sz w:val="18"/>
          <w:szCs w:val="18"/>
          <w:lang w:val="en-US"/>
        </w:rPr>
        <w:t>Interpretation of Granitoid Massifs Using Traditional and Non-Traditional Materials</w:t>
      </w:r>
      <w:r w:rsidR="00D81AB5" w:rsidRPr="0032126A">
        <w:rPr>
          <w:rFonts w:ascii="Times New Roman" w:hAnsi="Times New Roman"/>
          <w:sz w:val="18"/>
          <w:szCs w:val="18"/>
          <w:lang w:val="uz-Cyrl-UZ"/>
        </w:rPr>
        <w:br/>
        <w:t>(</w:t>
      </w:r>
      <w:r w:rsidR="00D81AB5" w:rsidRPr="0032126A">
        <w:rPr>
          <w:rFonts w:ascii="Times New Roman" w:hAnsi="Times New Roman"/>
          <w:sz w:val="18"/>
          <w:szCs w:val="18"/>
          <w:lang w:val="en-US"/>
        </w:rPr>
        <w:t>Based on the data of O</w:t>
      </w:r>
      <w:r w:rsidR="00D81AB5" w:rsidRPr="0032126A">
        <w:rPr>
          <w:rFonts w:ascii="Times New Roman" w:hAnsi="Times New Roman"/>
          <w:sz w:val="18"/>
          <w:szCs w:val="18"/>
          <w:lang w:val="uz-Cyrl-UZ"/>
        </w:rPr>
        <w:t>.</w:t>
      </w:r>
      <w:r w:rsidR="00D81AB5" w:rsidRPr="0032126A">
        <w:rPr>
          <w:rFonts w:ascii="Times New Roman" w:hAnsi="Times New Roman"/>
          <w:sz w:val="18"/>
          <w:szCs w:val="18"/>
          <w:lang w:val="en-US"/>
        </w:rPr>
        <w:t xml:space="preserve">Zokirov </w:t>
      </w:r>
      <w:r w:rsidR="00D81AB5" w:rsidRPr="0032126A">
        <w:rPr>
          <w:rStyle w:val="ypks7kbdpwfgdykd3qb9"/>
          <w:rFonts w:ascii="Times New Roman" w:hAnsi="Times New Roman"/>
          <w:sz w:val="18"/>
          <w:szCs w:val="18"/>
          <w:lang w:val="en-US"/>
        </w:rPr>
        <w:t>and</w:t>
      </w:r>
      <w:r w:rsidR="00D81AB5" w:rsidRPr="0032126A">
        <w:rPr>
          <w:rFonts w:ascii="Times New Roman" w:hAnsi="Times New Roman"/>
          <w:sz w:val="18"/>
          <w:szCs w:val="18"/>
          <w:lang w:val="en-US"/>
        </w:rPr>
        <w:t xml:space="preserve"> </w:t>
      </w:r>
      <w:r w:rsidR="00D81AB5" w:rsidRPr="0032126A">
        <w:rPr>
          <w:rStyle w:val="ypks7kbdpwfgdykd3qb9"/>
          <w:rFonts w:ascii="Times New Roman" w:hAnsi="Times New Roman"/>
          <w:sz w:val="18"/>
          <w:szCs w:val="18"/>
          <w:lang w:val="en-US"/>
        </w:rPr>
        <w:t>others</w:t>
      </w:r>
      <w:r w:rsidR="00D81AB5" w:rsidRPr="0032126A">
        <w:rPr>
          <w:rFonts w:ascii="Times New Roman" w:hAnsi="Times New Roman"/>
          <w:sz w:val="18"/>
          <w:szCs w:val="18"/>
          <w:lang w:val="uz-Cyrl-UZ"/>
        </w:rPr>
        <w:t>)</w:t>
      </w:r>
      <w:r w:rsidR="00D81AB5" w:rsidRPr="0032126A">
        <w:rPr>
          <w:rFonts w:ascii="Times New Roman" w:hAnsi="Times New Roman"/>
          <w:sz w:val="18"/>
          <w:szCs w:val="18"/>
          <w:lang w:val="en-US"/>
        </w:rPr>
        <w:t>.</w:t>
      </w:r>
    </w:p>
    <w:p w:rsidR="00F803A3" w:rsidRPr="0032126A" w:rsidRDefault="00F803A3" w:rsidP="0032126A">
      <w:pPr>
        <w:spacing w:after="0" w:line="240" w:lineRule="auto"/>
        <w:contextualSpacing/>
        <w:jc w:val="both"/>
        <w:rPr>
          <w:rFonts w:ascii="Times New Roman" w:hAnsi="Times New Roman"/>
          <w:b/>
          <w:sz w:val="20"/>
          <w:szCs w:val="20"/>
          <w:lang w:val="uz-Cyrl-UZ"/>
        </w:rPr>
      </w:pPr>
    </w:p>
    <w:p w:rsidR="00AB502D" w:rsidRDefault="00AB502D" w:rsidP="00AB502D">
      <w:pPr>
        <w:spacing w:after="0" w:line="240" w:lineRule="auto"/>
        <w:ind w:firstLine="284"/>
        <w:jc w:val="both"/>
        <w:rPr>
          <w:rFonts w:ascii="Times New Roman" w:eastAsia="Times New Roman" w:hAnsi="Times New Roman"/>
          <w:sz w:val="20"/>
          <w:szCs w:val="20"/>
          <w:lang w:val="en-US" w:eastAsia="ru-RU"/>
        </w:rPr>
      </w:pPr>
      <w:r w:rsidRPr="0032126A">
        <w:rPr>
          <w:rFonts w:ascii="Times New Roman" w:eastAsia="Times New Roman" w:hAnsi="Times New Roman"/>
          <w:b/>
          <w:bCs/>
          <w:sz w:val="20"/>
          <w:szCs w:val="20"/>
          <w:lang w:val="en-US" w:eastAsia="ru-RU"/>
        </w:rPr>
        <w:lastRenderedPageBreak/>
        <w:t>Remote-sensing criteria</w:t>
      </w:r>
      <w:r w:rsidRPr="0032126A">
        <w:rPr>
          <w:rFonts w:ascii="Times New Roman" w:eastAsia="Times New Roman" w:hAnsi="Times New Roman"/>
          <w:b/>
          <w:bCs/>
          <w:sz w:val="20"/>
          <w:szCs w:val="20"/>
          <w:lang w:val="uz-Cyrl-UZ" w:eastAsia="ru-RU"/>
        </w:rPr>
        <w:t xml:space="preserve">. </w:t>
      </w:r>
      <w:r w:rsidRPr="0032126A">
        <w:rPr>
          <w:rFonts w:ascii="Times New Roman" w:eastAsia="Times New Roman" w:hAnsi="Times New Roman"/>
          <w:sz w:val="20"/>
          <w:szCs w:val="20"/>
          <w:lang w:val="en-US" w:eastAsia="ru-RU"/>
        </w:rPr>
        <w:t>The intrusion is characterized by a yellow–green background with numerous small red points forming a speckled pattern. The photo-boundaries and tones of the sub-latitudinal carbonate strata north and south of the intrusion are clearly defined. Areas with greater rock exposure show numerous red points interspersed with small yellow spots. Mesozoic–Cenozoic deposits between the carbonate and shale units on the northern and eastern margins are easily recognized by yellow and yellow-light-violet tonalities. A fault, 2–3 mm thick on 1:50,000-scale imagery, appears as a burgundy line trending from northeast to west for several tens of kilometers.</w:t>
      </w:r>
    </w:p>
    <w:p w:rsidR="009B45CA" w:rsidRPr="0032126A" w:rsidRDefault="009B45CA" w:rsidP="0032126A">
      <w:pPr>
        <w:spacing w:after="0" w:line="240" w:lineRule="auto"/>
        <w:ind w:firstLine="284"/>
        <w:jc w:val="both"/>
        <w:outlineLvl w:val="2"/>
        <w:rPr>
          <w:rFonts w:ascii="Times New Roman" w:eastAsia="Times New Roman" w:hAnsi="Times New Roman"/>
          <w:sz w:val="20"/>
          <w:szCs w:val="20"/>
          <w:lang w:val="en-US" w:eastAsia="ru-RU"/>
        </w:rPr>
      </w:pPr>
      <w:r w:rsidRPr="0032126A">
        <w:rPr>
          <w:rFonts w:ascii="Times New Roman" w:eastAsia="Times New Roman" w:hAnsi="Times New Roman"/>
          <w:b/>
          <w:bCs/>
          <w:sz w:val="20"/>
          <w:szCs w:val="20"/>
          <w:lang w:val="en-US" w:eastAsia="ru-RU"/>
        </w:rPr>
        <w:t>Akmazar Intrusive Body</w:t>
      </w:r>
      <w:r w:rsidR="003552FD" w:rsidRPr="0032126A">
        <w:rPr>
          <w:rFonts w:ascii="Times New Roman" w:eastAsia="Times New Roman" w:hAnsi="Times New Roman"/>
          <w:b/>
          <w:bCs/>
          <w:sz w:val="20"/>
          <w:szCs w:val="20"/>
          <w:lang w:val="uz-Cyrl-UZ" w:eastAsia="ru-RU"/>
        </w:rPr>
        <w:t xml:space="preserve">. </w:t>
      </w:r>
      <w:r w:rsidRPr="0032126A">
        <w:rPr>
          <w:rFonts w:ascii="Times New Roman" w:eastAsia="Times New Roman" w:hAnsi="Times New Roman"/>
          <w:sz w:val="20"/>
          <w:szCs w:val="20"/>
          <w:lang w:val="en-US" w:eastAsia="ru-RU"/>
        </w:rPr>
        <w:t>The Akmazar intrusion is located 8 km northwest of the Karnab massif. It intrudes Silurian shales and is overlain by Cretaceous deposits to the southeast and northwest. The body occupies the core of an anticline and is elongated northwestward. Its exposed area in the present erosional level is 22 km². It consists of biotite granites, including porphyritic and leucocratic varieties.</w:t>
      </w:r>
    </w:p>
    <w:p w:rsidR="009B45CA" w:rsidRPr="0032126A" w:rsidRDefault="003552FD" w:rsidP="0032126A">
      <w:pPr>
        <w:spacing w:after="0" w:line="240" w:lineRule="auto"/>
        <w:ind w:firstLine="284"/>
        <w:jc w:val="both"/>
        <w:rPr>
          <w:rFonts w:ascii="Times New Roman" w:eastAsia="Times New Roman" w:hAnsi="Times New Roman"/>
          <w:sz w:val="20"/>
          <w:szCs w:val="20"/>
          <w:lang w:val="en-US" w:eastAsia="ru-RU"/>
        </w:rPr>
      </w:pPr>
      <w:r w:rsidRPr="0032126A">
        <w:rPr>
          <w:rFonts w:ascii="Times New Roman" w:eastAsia="Times New Roman" w:hAnsi="Times New Roman"/>
          <w:b/>
          <w:bCs/>
          <w:sz w:val="20"/>
          <w:szCs w:val="20"/>
          <w:lang w:val="en-US" w:eastAsia="ru-RU"/>
        </w:rPr>
        <w:t>Remote-sensing criteria</w:t>
      </w:r>
      <w:r w:rsidRPr="0032126A">
        <w:rPr>
          <w:rFonts w:ascii="Times New Roman" w:eastAsia="Times New Roman" w:hAnsi="Times New Roman"/>
          <w:b/>
          <w:bCs/>
          <w:sz w:val="20"/>
          <w:szCs w:val="20"/>
          <w:lang w:val="uz-Cyrl-UZ" w:eastAsia="ru-RU"/>
        </w:rPr>
        <w:t xml:space="preserve">. </w:t>
      </w:r>
      <w:r w:rsidR="009B45CA" w:rsidRPr="0032126A">
        <w:rPr>
          <w:rFonts w:ascii="Times New Roman" w:eastAsia="Times New Roman" w:hAnsi="Times New Roman"/>
          <w:sz w:val="20"/>
          <w:szCs w:val="20"/>
          <w:lang w:val="en-US" w:eastAsia="ru-RU"/>
        </w:rPr>
        <w:t>The massif exhibits a yellow-green tone with numerous fine light-red points. In zones of newly identified small-scale faults, the concentration of red points forms thin strokes, lines, and narrow bands. The western part shows a reddish background, whereas the eastern part exhibits a yellow-green tone, producing an overall mottled image. Multispectral remote-sensing analysis identified diagnostic criteria, revealed new ring structures, and allowed refinement of earlier interpretations. These results confirm the high scientific value of digital satellite data for studying intrusive bodies and justify its use in petrographic and mineralogical–geochemical investigations.</w:t>
      </w:r>
    </w:p>
    <w:p w:rsidR="009B45CA" w:rsidRPr="0032126A" w:rsidRDefault="009B45CA" w:rsidP="0032126A">
      <w:pPr>
        <w:spacing w:after="0" w:line="240" w:lineRule="auto"/>
        <w:ind w:firstLine="284"/>
        <w:jc w:val="both"/>
        <w:outlineLvl w:val="2"/>
        <w:rPr>
          <w:rFonts w:ascii="Times New Roman" w:eastAsia="Times New Roman" w:hAnsi="Times New Roman"/>
          <w:sz w:val="20"/>
          <w:szCs w:val="20"/>
          <w:lang w:val="en-US" w:eastAsia="ru-RU"/>
        </w:rPr>
      </w:pPr>
      <w:r w:rsidRPr="0032126A">
        <w:rPr>
          <w:rFonts w:ascii="Times New Roman" w:eastAsia="Times New Roman" w:hAnsi="Times New Roman"/>
          <w:b/>
          <w:bCs/>
          <w:sz w:val="20"/>
          <w:szCs w:val="20"/>
          <w:lang w:val="en-US" w:eastAsia="ru-RU"/>
        </w:rPr>
        <w:t>Gujak Intrusive Body</w:t>
      </w:r>
      <w:r w:rsidR="003552FD" w:rsidRPr="0032126A">
        <w:rPr>
          <w:rFonts w:ascii="Times New Roman" w:eastAsia="Times New Roman" w:hAnsi="Times New Roman"/>
          <w:b/>
          <w:bCs/>
          <w:sz w:val="20"/>
          <w:szCs w:val="20"/>
          <w:lang w:val="uz-Cyrl-UZ" w:eastAsia="ru-RU"/>
        </w:rPr>
        <w:t xml:space="preserve">. </w:t>
      </w:r>
      <w:r w:rsidRPr="0032126A">
        <w:rPr>
          <w:rFonts w:ascii="Times New Roman" w:eastAsia="Times New Roman" w:hAnsi="Times New Roman"/>
          <w:sz w:val="20"/>
          <w:szCs w:val="20"/>
          <w:lang w:val="en-US" w:eastAsia="ru-RU"/>
        </w:rPr>
        <w:t>The Gujak intrusion lies 15 km west of the Karnab massif. It contacts shale formations to the north and northwest, while its southwestern portion is overlain by Mesozoic–Cenozoic deposits. The intrusion is associated with an anticlinal fold and has a present-day exposed area of 5 km². It consists of porphyritic biotite granites that gradually transition into granodiorites, adamellites, and alaskites in endocontact zones.</w:t>
      </w:r>
    </w:p>
    <w:p w:rsidR="009B45CA" w:rsidRPr="0032126A" w:rsidRDefault="003552FD" w:rsidP="0032126A">
      <w:pPr>
        <w:spacing w:after="0" w:line="240" w:lineRule="auto"/>
        <w:ind w:firstLine="284"/>
        <w:jc w:val="both"/>
        <w:rPr>
          <w:rFonts w:ascii="Times New Roman" w:eastAsia="Times New Roman" w:hAnsi="Times New Roman"/>
          <w:sz w:val="20"/>
          <w:szCs w:val="20"/>
          <w:lang w:val="en-US" w:eastAsia="ru-RU"/>
        </w:rPr>
      </w:pPr>
      <w:r w:rsidRPr="0032126A">
        <w:rPr>
          <w:rFonts w:ascii="Times New Roman" w:eastAsia="Times New Roman" w:hAnsi="Times New Roman"/>
          <w:b/>
          <w:bCs/>
          <w:sz w:val="20"/>
          <w:szCs w:val="20"/>
          <w:lang w:val="en-US" w:eastAsia="ru-RU"/>
        </w:rPr>
        <w:t>Remote-sensing criteria</w:t>
      </w:r>
      <w:r w:rsidRPr="0032126A">
        <w:rPr>
          <w:rFonts w:ascii="Times New Roman" w:eastAsia="Times New Roman" w:hAnsi="Times New Roman"/>
          <w:b/>
          <w:bCs/>
          <w:sz w:val="20"/>
          <w:szCs w:val="20"/>
          <w:lang w:val="uz-Cyrl-UZ" w:eastAsia="ru-RU"/>
        </w:rPr>
        <w:t xml:space="preserve">. </w:t>
      </w:r>
      <w:r w:rsidR="009B45CA" w:rsidRPr="0032126A">
        <w:rPr>
          <w:rFonts w:ascii="Times New Roman" w:eastAsia="Times New Roman" w:hAnsi="Times New Roman"/>
          <w:sz w:val="20"/>
          <w:szCs w:val="20"/>
          <w:lang w:val="en-US" w:eastAsia="ru-RU"/>
        </w:rPr>
        <w:t>On geometrically corrected satellite images at 1:50,000 scale, the porphyritic biotite granites exhibit dark-red and light-green color tones.</w:t>
      </w:r>
    </w:p>
    <w:p w:rsidR="009B45CA" w:rsidRPr="0032126A" w:rsidRDefault="009B45CA" w:rsidP="0032126A">
      <w:pPr>
        <w:spacing w:after="0" w:line="240" w:lineRule="auto"/>
        <w:ind w:firstLine="284"/>
        <w:jc w:val="both"/>
        <w:outlineLvl w:val="2"/>
        <w:rPr>
          <w:rFonts w:ascii="Times New Roman" w:eastAsia="Times New Roman" w:hAnsi="Times New Roman"/>
          <w:sz w:val="20"/>
          <w:szCs w:val="20"/>
          <w:lang w:val="en-US" w:eastAsia="ru-RU"/>
        </w:rPr>
      </w:pPr>
      <w:r w:rsidRPr="0032126A">
        <w:rPr>
          <w:rFonts w:ascii="Times New Roman" w:eastAsia="Times New Roman" w:hAnsi="Times New Roman"/>
          <w:b/>
          <w:bCs/>
          <w:sz w:val="20"/>
          <w:szCs w:val="20"/>
          <w:lang w:val="en-US" w:eastAsia="ru-RU"/>
        </w:rPr>
        <w:t>Maizak Intrusive Body</w:t>
      </w:r>
      <w:r w:rsidR="003552FD" w:rsidRPr="0032126A">
        <w:rPr>
          <w:rFonts w:ascii="Times New Roman" w:eastAsia="Times New Roman" w:hAnsi="Times New Roman"/>
          <w:b/>
          <w:bCs/>
          <w:sz w:val="20"/>
          <w:szCs w:val="20"/>
          <w:lang w:val="uz-Cyrl-UZ" w:eastAsia="ru-RU"/>
        </w:rPr>
        <w:t xml:space="preserve">. </w:t>
      </w:r>
      <w:r w:rsidRPr="0032126A">
        <w:rPr>
          <w:rFonts w:ascii="Times New Roman" w:eastAsia="Times New Roman" w:hAnsi="Times New Roman"/>
          <w:sz w:val="20"/>
          <w:szCs w:val="20"/>
          <w:lang w:val="en-US" w:eastAsia="ru-RU"/>
        </w:rPr>
        <w:t>The Maizak intrusion is situated in the central part of the Ziyaetdin Mountains, northeast of the Koshkuduk massif, and represents one of the domal structures of the Ziyaetdin pluton. It contacts marbleized Lower Silurian limestones in the southeast and is overlain by Cretaceous deposits in the northwest. The visible outcrop area is 6 km². The massif consists of porphyritic biotite granites and alaskites.</w:t>
      </w:r>
    </w:p>
    <w:p w:rsidR="009B45CA" w:rsidRPr="0032126A" w:rsidRDefault="009B45CA" w:rsidP="0032126A">
      <w:pPr>
        <w:spacing w:after="0" w:line="240" w:lineRule="auto"/>
        <w:ind w:firstLine="284"/>
        <w:jc w:val="both"/>
        <w:rPr>
          <w:rFonts w:ascii="Times New Roman" w:eastAsia="Times New Roman" w:hAnsi="Times New Roman"/>
          <w:sz w:val="20"/>
          <w:szCs w:val="20"/>
          <w:lang w:val="en-US" w:eastAsia="ru-RU"/>
        </w:rPr>
      </w:pPr>
      <w:r w:rsidRPr="0032126A">
        <w:rPr>
          <w:rFonts w:ascii="Times New Roman" w:eastAsia="Times New Roman" w:hAnsi="Times New Roman"/>
          <w:b/>
          <w:bCs/>
          <w:sz w:val="20"/>
          <w:szCs w:val="20"/>
          <w:lang w:val="en-US" w:eastAsia="ru-RU"/>
        </w:rPr>
        <w:t>Remote-sensing criteria.</w:t>
      </w:r>
      <w:r w:rsidR="003552FD" w:rsidRPr="0032126A">
        <w:rPr>
          <w:rFonts w:ascii="Times New Roman" w:eastAsia="Times New Roman" w:hAnsi="Times New Roman"/>
          <w:b/>
          <w:bCs/>
          <w:sz w:val="20"/>
          <w:szCs w:val="20"/>
          <w:lang w:val="uz-Cyrl-UZ" w:eastAsia="ru-RU"/>
        </w:rPr>
        <w:t xml:space="preserve"> </w:t>
      </w:r>
      <w:r w:rsidRPr="0032126A">
        <w:rPr>
          <w:rFonts w:ascii="Times New Roman" w:eastAsia="Times New Roman" w:hAnsi="Times New Roman"/>
          <w:sz w:val="20"/>
          <w:szCs w:val="20"/>
          <w:lang w:val="en-US" w:eastAsia="ru-RU"/>
        </w:rPr>
        <w:t xml:space="preserve">A distinctive mottled tonal pattern and speckled photo-texture clearly differentiate the intrusion from its surroundings. Diagnostic characteristics include its oval shape, sharp photo-boundaries, relatively depressed photo-relief, and lineaments trending north and east. Ring structures are identified through rounded shapes and yellowish internal coloration. Biotite granite exposures exhibit dark-violet tones due to numerous colored points, whereas granodiorite exposures show yellow–red–green tones with fewer dark points. Principal Component Analysis (PCA) products are recommended as primary remote-sensing materials, enabling detailed mapping of lithological varieties irrespective of composition, age, or elevation. They allow confident identification of contact zones and intraformational alteration areas. Importantly, PCA revealed a new photo-interpretation criterion for single- and multi-zonal ring structures: </w:t>
      </w:r>
      <w:r w:rsidRPr="0032126A">
        <w:rPr>
          <w:rFonts w:ascii="Times New Roman" w:eastAsia="Times New Roman" w:hAnsi="Times New Roman"/>
          <w:bCs/>
          <w:sz w:val="20"/>
          <w:szCs w:val="20"/>
          <w:lang w:val="en-US" w:eastAsia="ru-RU"/>
        </w:rPr>
        <w:t>phototonal zoning</w:t>
      </w:r>
      <w:r w:rsidRPr="0032126A">
        <w:rPr>
          <w:rFonts w:ascii="Times New Roman" w:eastAsia="Times New Roman" w:hAnsi="Times New Roman"/>
          <w:sz w:val="20"/>
          <w:szCs w:val="20"/>
          <w:lang w:val="en-US" w:eastAsia="ru-RU"/>
        </w:rPr>
        <w:t>, where each zone is marked by distinctive color patterns likely reflecting mineralogical or structural-textural variations.</w:t>
      </w:r>
    </w:p>
    <w:p w:rsidR="009B45CA" w:rsidRPr="0032126A" w:rsidRDefault="009B45CA" w:rsidP="0032126A">
      <w:pPr>
        <w:spacing w:after="0" w:line="240" w:lineRule="auto"/>
        <w:ind w:firstLine="284"/>
        <w:jc w:val="both"/>
        <w:outlineLvl w:val="2"/>
        <w:rPr>
          <w:rFonts w:ascii="Times New Roman" w:eastAsia="Times New Roman" w:hAnsi="Times New Roman"/>
          <w:sz w:val="20"/>
          <w:szCs w:val="20"/>
          <w:lang w:val="en-US" w:eastAsia="ru-RU"/>
        </w:rPr>
      </w:pPr>
      <w:r w:rsidRPr="0032126A">
        <w:rPr>
          <w:rFonts w:ascii="Times New Roman" w:eastAsia="Times New Roman" w:hAnsi="Times New Roman"/>
          <w:b/>
          <w:bCs/>
          <w:sz w:val="20"/>
          <w:szCs w:val="20"/>
          <w:lang w:val="en-US" w:eastAsia="ru-RU"/>
        </w:rPr>
        <w:t>Koshkuduk Intrusive Body</w:t>
      </w:r>
      <w:r w:rsidR="003552FD" w:rsidRPr="0032126A">
        <w:rPr>
          <w:rFonts w:ascii="Times New Roman" w:eastAsia="Times New Roman" w:hAnsi="Times New Roman"/>
          <w:b/>
          <w:bCs/>
          <w:sz w:val="20"/>
          <w:szCs w:val="20"/>
          <w:lang w:val="uz-Cyrl-UZ" w:eastAsia="ru-RU"/>
        </w:rPr>
        <w:t xml:space="preserve">. </w:t>
      </w:r>
      <w:r w:rsidRPr="0032126A">
        <w:rPr>
          <w:rFonts w:ascii="Times New Roman" w:eastAsia="Times New Roman" w:hAnsi="Times New Roman"/>
          <w:sz w:val="20"/>
          <w:szCs w:val="20"/>
          <w:lang w:val="en-US" w:eastAsia="ru-RU"/>
        </w:rPr>
        <w:t>The Koshkuduk intrusion lies between the Maizak and Chaydaroz massifs. It contacts marbleized limestones in the east and Lower Paleozoic shales in the west, and is overlain by Cretaceous deposits in the southwest and northwest. Its area is 34 km², elongated west–east. It comprises porphyritic granites, leucocratic granites, granite-aplites, pegmatites, and pegmatite-like lithologies.</w:t>
      </w:r>
    </w:p>
    <w:p w:rsidR="009B45CA" w:rsidRPr="0032126A" w:rsidRDefault="009B45CA" w:rsidP="0032126A">
      <w:pPr>
        <w:spacing w:after="0" w:line="240" w:lineRule="auto"/>
        <w:ind w:firstLine="284"/>
        <w:jc w:val="both"/>
        <w:rPr>
          <w:rFonts w:ascii="Times New Roman" w:eastAsia="Times New Roman" w:hAnsi="Times New Roman"/>
          <w:sz w:val="20"/>
          <w:szCs w:val="20"/>
          <w:lang w:val="uz-Cyrl-UZ" w:eastAsia="ru-RU"/>
        </w:rPr>
      </w:pPr>
      <w:r w:rsidRPr="0032126A">
        <w:rPr>
          <w:rFonts w:ascii="Times New Roman" w:eastAsia="Times New Roman" w:hAnsi="Times New Roman"/>
          <w:b/>
          <w:bCs/>
          <w:sz w:val="20"/>
          <w:szCs w:val="20"/>
          <w:lang w:val="en-US" w:eastAsia="ru-RU"/>
        </w:rPr>
        <w:t>Remote-sensing criteria.</w:t>
      </w:r>
      <w:r w:rsidR="003552FD" w:rsidRPr="0032126A">
        <w:rPr>
          <w:rFonts w:ascii="Times New Roman" w:eastAsia="Times New Roman" w:hAnsi="Times New Roman"/>
          <w:b/>
          <w:bCs/>
          <w:sz w:val="20"/>
          <w:szCs w:val="20"/>
          <w:lang w:val="uz-Cyrl-UZ" w:eastAsia="ru-RU"/>
        </w:rPr>
        <w:t xml:space="preserve"> </w:t>
      </w:r>
      <w:r w:rsidRPr="0032126A">
        <w:rPr>
          <w:rFonts w:ascii="Times New Roman" w:eastAsia="Times New Roman" w:hAnsi="Times New Roman"/>
          <w:sz w:val="20"/>
          <w:szCs w:val="20"/>
          <w:lang w:val="en-US" w:eastAsia="ru-RU"/>
        </w:rPr>
        <w:t>The massif displays a highly distinctive linear-ribbed pattern and variegated tonal contrast, setting it apart from both the sedimentary–metamorphic country rocks and adjacent granitoid massifs. The pattern corresponds to narrow ridges and relief contrasts, appearing as straight reddish lines 1–7 cm long and up to 3–4 mm wide on imagery, separated by yellow–green–violet bands up to 1 cm wide. In the southeastern portion, the lineaments trend northeast, northwest, north, and north-northeast. The western half shows a yellow–green background, whereas the eastern half displays violet-greenish tones with yellowish hues toward the southeast. Phototonal zones form circular shapes in the center and semicircular shapes along the margins. Concentric anomalies—clearly multi-zonal—together with tonal variations indicate localized compositional changes, likely formed during different stages of geological evolution.</w:t>
      </w:r>
    </w:p>
    <w:p w:rsidR="009B45CA" w:rsidRPr="0032126A" w:rsidRDefault="009B45CA" w:rsidP="0032126A">
      <w:pPr>
        <w:spacing w:after="0" w:line="240" w:lineRule="auto"/>
        <w:ind w:firstLine="284"/>
        <w:jc w:val="both"/>
        <w:outlineLvl w:val="2"/>
        <w:rPr>
          <w:rFonts w:ascii="Times New Roman" w:eastAsia="Times New Roman" w:hAnsi="Times New Roman"/>
          <w:sz w:val="20"/>
          <w:szCs w:val="20"/>
          <w:lang w:val="en-US" w:eastAsia="ru-RU"/>
        </w:rPr>
      </w:pPr>
      <w:r w:rsidRPr="0032126A">
        <w:rPr>
          <w:rFonts w:ascii="Times New Roman" w:eastAsia="Times New Roman" w:hAnsi="Times New Roman"/>
          <w:b/>
          <w:bCs/>
          <w:sz w:val="20"/>
          <w:szCs w:val="20"/>
          <w:lang w:val="en-US" w:eastAsia="ru-RU"/>
        </w:rPr>
        <w:t>Chaydaroz Intrusive Body</w:t>
      </w:r>
      <w:r w:rsidR="003552FD" w:rsidRPr="0032126A">
        <w:rPr>
          <w:rFonts w:ascii="Times New Roman" w:eastAsia="Times New Roman" w:hAnsi="Times New Roman"/>
          <w:b/>
          <w:bCs/>
          <w:sz w:val="20"/>
          <w:szCs w:val="20"/>
          <w:lang w:val="uz-Cyrl-UZ" w:eastAsia="ru-RU"/>
        </w:rPr>
        <w:t xml:space="preserve">. </w:t>
      </w:r>
      <w:r w:rsidRPr="0032126A">
        <w:rPr>
          <w:rFonts w:ascii="Times New Roman" w:eastAsia="Times New Roman" w:hAnsi="Times New Roman"/>
          <w:sz w:val="20"/>
          <w:szCs w:val="20"/>
          <w:lang w:val="en-US" w:eastAsia="ru-RU"/>
        </w:rPr>
        <w:t>The Chaydaroz intrusion forms the western extension of the Ziyaetdin Mountains and represents the northwestern continuation of the Koshkuduk massif, being one of the exposures of the Ziyaetdin pluton. It contacts shales in the east and is overlain by Cretaceous deposits in the west and southwest. Its exposed area is 12 km², and it is composed of biotite granites and alaskites.</w:t>
      </w:r>
    </w:p>
    <w:p w:rsidR="009B45CA" w:rsidRPr="0032126A" w:rsidRDefault="009B45CA" w:rsidP="0032126A">
      <w:pPr>
        <w:spacing w:after="0" w:line="240" w:lineRule="auto"/>
        <w:ind w:firstLine="284"/>
        <w:jc w:val="both"/>
        <w:rPr>
          <w:rFonts w:ascii="Times New Roman" w:eastAsia="Times New Roman" w:hAnsi="Times New Roman"/>
          <w:sz w:val="20"/>
          <w:szCs w:val="20"/>
          <w:lang w:val="en-US" w:eastAsia="ru-RU"/>
        </w:rPr>
      </w:pPr>
      <w:r w:rsidRPr="0032126A">
        <w:rPr>
          <w:rFonts w:ascii="Times New Roman" w:eastAsia="Times New Roman" w:hAnsi="Times New Roman"/>
          <w:b/>
          <w:bCs/>
          <w:sz w:val="20"/>
          <w:szCs w:val="20"/>
          <w:lang w:val="en-US" w:eastAsia="ru-RU"/>
        </w:rPr>
        <w:lastRenderedPageBreak/>
        <w:t>Remote-sensing criteria.</w:t>
      </w:r>
      <w:r w:rsidR="003552FD" w:rsidRPr="0032126A">
        <w:rPr>
          <w:rFonts w:ascii="Times New Roman" w:eastAsia="Times New Roman" w:hAnsi="Times New Roman"/>
          <w:b/>
          <w:bCs/>
          <w:sz w:val="20"/>
          <w:szCs w:val="20"/>
          <w:lang w:val="uz-Cyrl-UZ" w:eastAsia="ru-RU"/>
        </w:rPr>
        <w:t xml:space="preserve"> </w:t>
      </w:r>
      <w:r w:rsidRPr="0032126A">
        <w:rPr>
          <w:rFonts w:ascii="Times New Roman" w:eastAsia="Times New Roman" w:hAnsi="Times New Roman"/>
          <w:sz w:val="20"/>
          <w:szCs w:val="20"/>
          <w:lang w:val="en-US" w:eastAsia="ru-RU"/>
        </w:rPr>
        <w:t>The intrusion is strongly distinguished on imagery by its linear-ribbed pattern. The western half and southern portion, dominated by coarse-grained granites, exhibit yellow–red–rusty tones, whereas the eastern part, containing fine- and medium-grained granites and alaskites, shows yellow-rusty tones. The massif is defined by alternating dark and light narrow bands trending northeast, and less frequently north–south and northwest. In the field these correspond to sinuous short displacements, faults, and fractures with widths of 2–4 mm.</w:t>
      </w:r>
    </w:p>
    <w:p w:rsidR="003A6F5C" w:rsidRPr="0032126A" w:rsidRDefault="003A6F5C" w:rsidP="00F74122">
      <w:pPr>
        <w:overflowPunct w:val="0"/>
        <w:autoSpaceDE w:val="0"/>
        <w:autoSpaceDN w:val="0"/>
        <w:adjustRightInd w:val="0"/>
        <w:spacing w:before="240" w:after="240" w:line="240" w:lineRule="auto"/>
        <w:ind w:firstLine="284"/>
        <w:jc w:val="center"/>
        <w:textAlignment w:val="baseline"/>
        <w:rPr>
          <w:rFonts w:ascii="Times New Roman" w:hAnsi="Times New Roman"/>
          <w:b/>
          <w:sz w:val="24"/>
          <w:szCs w:val="24"/>
          <w:lang w:val="uz-Cyrl-UZ"/>
        </w:rPr>
      </w:pPr>
      <w:r w:rsidRPr="0032126A">
        <w:rPr>
          <w:rFonts w:ascii="Times New Roman" w:hAnsi="Times New Roman"/>
          <w:b/>
          <w:sz w:val="24"/>
          <w:szCs w:val="24"/>
        </w:rPr>
        <w:t>CONCLUSIONS</w:t>
      </w:r>
    </w:p>
    <w:p w:rsidR="00624B5C" w:rsidRPr="0032126A" w:rsidRDefault="009B45CA" w:rsidP="001004E5">
      <w:pPr>
        <w:spacing w:after="0" w:line="240" w:lineRule="auto"/>
        <w:ind w:firstLine="284"/>
        <w:contextualSpacing/>
        <w:jc w:val="both"/>
        <w:rPr>
          <w:rFonts w:ascii="Times New Roman" w:hAnsi="Times New Roman"/>
          <w:sz w:val="20"/>
          <w:szCs w:val="20"/>
          <w:lang w:val="en-US"/>
        </w:rPr>
      </w:pPr>
      <w:r w:rsidRPr="0032126A">
        <w:rPr>
          <w:rFonts w:ascii="Times New Roman" w:hAnsi="Times New Roman"/>
          <w:sz w:val="20"/>
          <w:szCs w:val="20"/>
          <w:lang w:val="en-US"/>
        </w:rPr>
        <w:t>Thus, it can be concluded that rock formations are expressed vividly and with strong contrast in digital satellite imagery, regardless of their hypsometric position, age, or lithological composition. Contact zones and photo-boundaries of their distribution are confidently identified. The informativeness and quality of interpreting geological, material, and structural features always depend on the method applied for processing remote-sensing data.</w:t>
      </w:r>
    </w:p>
    <w:p w:rsidR="00093919" w:rsidRPr="0032126A" w:rsidRDefault="00093919" w:rsidP="00F74122">
      <w:pPr>
        <w:overflowPunct w:val="0"/>
        <w:autoSpaceDE w:val="0"/>
        <w:autoSpaceDN w:val="0"/>
        <w:adjustRightInd w:val="0"/>
        <w:spacing w:before="240" w:after="240" w:line="240" w:lineRule="auto"/>
        <w:ind w:firstLine="284"/>
        <w:jc w:val="center"/>
        <w:textAlignment w:val="baseline"/>
        <w:rPr>
          <w:rFonts w:ascii="Times New Roman" w:hAnsi="Times New Roman"/>
          <w:b/>
          <w:sz w:val="24"/>
          <w:szCs w:val="24"/>
          <w:lang w:val="uz-Cyrl-UZ"/>
        </w:rPr>
      </w:pPr>
      <w:r w:rsidRPr="0032126A">
        <w:rPr>
          <w:rFonts w:ascii="Times New Roman" w:hAnsi="Times New Roman"/>
          <w:b/>
          <w:sz w:val="24"/>
          <w:szCs w:val="24"/>
        </w:rPr>
        <w:t>REFERENCES</w:t>
      </w:r>
    </w:p>
    <w:p w:rsidR="00800DA1" w:rsidRPr="0032126A" w:rsidRDefault="00800DA1" w:rsidP="0032126A">
      <w:pPr>
        <w:pStyle w:val="ae"/>
        <w:numPr>
          <w:ilvl w:val="0"/>
          <w:numId w:val="3"/>
        </w:numPr>
        <w:tabs>
          <w:tab w:val="left" w:pos="284"/>
        </w:tabs>
        <w:spacing w:before="0" w:beforeAutospacing="0" w:after="0" w:afterAutospacing="0"/>
        <w:ind w:left="0" w:firstLine="0"/>
        <w:jc w:val="both"/>
        <w:rPr>
          <w:sz w:val="20"/>
          <w:szCs w:val="20"/>
          <w:lang w:val="en-US"/>
        </w:rPr>
      </w:pPr>
      <w:r w:rsidRPr="0032126A">
        <w:rPr>
          <w:rStyle w:val="ad"/>
          <w:b w:val="0"/>
          <w:bCs w:val="0"/>
          <w:sz w:val="20"/>
          <w:szCs w:val="20"/>
          <w:lang w:val="en-US"/>
        </w:rPr>
        <w:t>Ergashev, Sh.E., &amp; Zokirov, O.T.</w:t>
      </w:r>
      <w:r w:rsidRPr="0032126A">
        <w:rPr>
          <w:sz w:val="20"/>
          <w:szCs w:val="20"/>
          <w:lang w:val="en-US"/>
        </w:rPr>
        <w:t xml:space="preserve"> </w:t>
      </w:r>
      <w:r w:rsidRPr="0032126A">
        <w:rPr>
          <w:rStyle w:val="af"/>
          <w:sz w:val="20"/>
          <w:szCs w:val="20"/>
          <w:lang w:val="en-US"/>
        </w:rPr>
        <w:t>Modern Methods for Prospecting Ore Mineralization in Low-Mountain Conditions.</w:t>
      </w:r>
      <w:r w:rsidRPr="0032126A">
        <w:rPr>
          <w:sz w:val="20"/>
          <w:szCs w:val="20"/>
          <w:lang w:val="en-US"/>
        </w:rPr>
        <w:t xml:space="preserve"> Tashkent: State Enterprise “Research Institute of Mineral Resources (NIIMR)”, 2009. 115 p.</w:t>
      </w:r>
    </w:p>
    <w:p w:rsidR="00800DA1" w:rsidRPr="0032126A" w:rsidRDefault="00800DA1" w:rsidP="0032126A">
      <w:pPr>
        <w:pStyle w:val="ae"/>
        <w:numPr>
          <w:ilvl w:val="0"/>
          <w:numId w:val="3"/>
        </w:numPr>
        <w:tabs>
          <w:tab w:val="left" w:pos="284"/>
        </w:tabs>
        <w:spacing w:before="0" w:beforeAutospacing="0" w:after="0" w:afterAutospacing="0"/>
        <w:ind w:left="0" w:firstLine="0"/>
        <w:jc w:val="both"/>
        <w:rPr>
          <w:sz w:val="20"/>
          <w:szCs w:val="20"/>
          <w:lang w:val="en-US"/>
        </w:rPr>
      </w:pPr>
      <w:r w:rsidRPr="0032126A">
        <w:rPr>
          <w:rStyle w:val="ad"/>
          <w:b w:val="0"/>
          <w:bCs w:val="0"/>
          <w:sz w:val="20"/>
          <w:szCs w:val="20"/>
          <w:lang w:val="en-US"/>
        </w:rPr>
        <w:t>Goipov, A.B., Akhmadov, Sh.I., &amp; Yusupov, V.R.</w:t>
      </w:r>
      <w:r w:rsidRPr="0032126A">
        <w:rPr>
          <w:sz w:val="20"/>
          <w:szCs w:val="20"/>
          <w:lang w:val="en-US"/>
        </w:rPr>
        <w:t xml:space="preserve"> </w:t>
      </w:r>
      <w:r w:rsidRPr="0032126A">
        <w:rPr>
          <w:rStyle w:val="af"/>
          <w:sz w:val="20"/>
          <w:szCs w:val="20"/>
          <w:lang w:val="en-US"/>
        </w:rPr>
        <w:t>Characteristics of Geophysical Fields and Geophysical Signs of Mineralization in the Bo‘kantov Mountains in the Southern Tien Shan.</w:t>
      </w:r>
      <w:r w:rsidRPr="0032126A">
        <w:rPr>
          <w:sz w:val="20"/>
          <w:szCs w:val="20"/>
          <w:lang w:val="en-US"/>
        </w:rPr>
        <w:t xml:space="preserve"> ANAS Transactions, Earth Sciences, No. 2, 2024, pp. 77–91.</w:t>
      </w:r>
    </w:p>
    <w:p w:rsidR="00800DA1" w:rsidRPr="0032126A" w:rsidRDefault="00800DA1" w:rsidP="0032126A">
      <w:pPr>
        <w:pStyle w:val="ae"/>
        <w:numPr>
          <w:ilvl w:val="0"/>
          <w:numId w:val="3"/>
        </w:numPr>
        <w:tabs>
          <w:tab w:val="left" w:pos="284"/>
        </w:tabs>
        <w:spacing w:before="0" w:beforeAutospacing="0" w:after="0" w:afterAutospacing="0"/>
        <w:ind w:left="0" w:firstLine="0"/>
        <w:jc w:val="both"/>
        <w:rPr>
          <w:sz w:val="20"/>
          <w:szCs w:val="20"/>
          <w:lang w:val="en-US"/>
        </w:rPr>
      </w:pPr>
      <w:r w:rsidRPr="0032126A">
        <w:rPr>
          <w:rStyle w:val="ad"/>
          <w:b w:val="0"/>
          <w:bCs w:val="0"/>
          <w:sz w:val="20"/>
          <w:szCs w:val="20"/>
          <w:lang w:val="en-US"/>
        </w:rPr>
        <w:t>Goipov, A.B., Akhmadov, Sh.I., Tevelev, A.V., Musakhonov, Z.M., &amp; Mirsayapov, R.I.</w:t>
      </w:r>
      <w:r w:rsidRPr="0032126A">
        <w:rPr>
          <w:sz w:val="20"/>
          <w:szCs w:val="20"/>
          <w:lang w:val="en-US"/>
        </w:rPr>
        <w:t xml:space="preserve"> </w:t>
      </w:r>
      <w:r w:rsidRPr="0032126A">
        <w:rPr>
          <w:rStyle w:val="af"/>
          <w:sz w:val="20"/>
          <w:szCs w:val="20"/>
          <w:lang w:val="en-US"/>
        </w:rPr>
        <w:t>Application of Innovative Methods of Spectral and Structural Interpretation to Solving Geological Problems and Searching for Deposits (Based on the Example of the Auminzatau–Beltau Ore District of the Republic of Uzbekistan).</w:t>
      </w:r>
      <w:r w:rsidRPr="0032126A">
        <w:rPr>
          <w:sz w:val="20"/>
          <w:szCs w:val="20"/>
          <w:lang w:val="en-US"/>
        </w:rPr>
        <w:t xml:space="preserve"> Moscow University Geology Bulletin, 2024, Vol. 79, No. 6, pp. 798–809. ISSN 0145-8752.</w:t>
      </w:r>
    </w:p>
    <w:p w:rsidR="00800DA1" w:rsidRPr="0032126A" w:rsidRDefault="00800DA1" w:rsidP="0032126A">
      <w:pPr>
        <w:pStyle w:val="ae"/>
        <w:numPr>
          <w:ilvl w:val="0"/>
          <w:numId w:val="3"/>
        </w:numPr>
        <w:tabs>
          <w:tab w:val="left" w:pos="284"/>
        </w:tabs>
        <w:spacing w:before="0" w:beforeAutospacing="0" w:after="0" w:afterAutospacing="0"/>
        <w:ind w:left="0" w:firstLine="0"/>
        <w:jc w:val="both"/>
        <w:rPr>
          <w:sz w:val="20"/>
          <w:szCs w:val="20"/>
          <w:lang w:val="en-US"/>
        </w:rPr>
      </w:pPr>
      <w:r w:rsidRPr="0032126A">
        <w:rPr>
          <w:rStyle w:val="ad"/>
          <w:b w:val="0"/>
          <w:bCs w:val="0"/>
          <w:sz w:val="20"/>
          <w:szCs w:val="20"/>
          <w:lang w:val="en-US"/>
        </w:rPr>
        <w:t>Goipov, A.B., Ashurov, A.U., &amp; Atabaev, D.Kh.</w:t>
      </w:r>
      <w:r w:rsidRPr="0032126A">
        <w:rPr>
          <w:sz w:val="20"/>
          <w:szCs w:val="20"/>
          <w:lang w:val="en-US"/>
        </w:rPr>
        <w:t xml:space="preserve"> </w:t>
      </w:r>
      <w:r w:rsidRPr="0032126A">
        <w:rPr>
          <w:rStyle w:val="af"/>
          <w:sz w:val="20"/>
          <w:szCs w:val="20"/>
          <w:lang w:val="en-US"/>
        </w:rPr>
        <w:t>Interpretation of Airborne Electrical Exploration Data in the Search for Gold-Ore Objects and Geodynamic Zoning of the Bukan-Tau Mountains (Southern Tien Shan).</w:t>
      </w:r>
      <w:r w:rsidRPr="0032126A">
        <w:rPr>
          <w:sz w:val="20"/>
          <w:szCs w:val="20"/>
          <w:lang w:val="en-US"/>
        </w:rPr>
        <w:t xml:space="preserve"> Journal of Geophysical Research, 2025, No. 1, pp. 79–97.</w:t>
      </w:r>
    </w:p>
    <w:p w:rsidR="00800DA1" w:rsidRPr="0032126A" w:rsidRDefault="00800DA1" w:rsidP="0032126A">
      <w:pPr>
        <w:pStyle w:val="ae"/>
        <w:numPr>
          <w:ilvl w:val="0"/>
          <w:numId w:val="3"/>
        </w:numPr>
        <w:tabs>
          <w:tab w:val="left" w:pos="284"/>
        </w:tabs>
        <w:spacing w:before="0" w:beforeAutospacing="0" w:after="0" w:afterAutospacing="0"/>
        <w:ind w:left="0" w:firstLine="0"/>
        <w:jc w:val="both"/>
        <w:rPr>
          <w:sz w:val="20"/>
          <w:szCs w:val="20"/>
          <w:lang w:val="en-US"/>
        </w:rPr>
      </w:pPr>
      <w:r w:rsidRPr="0032126A">
        <w:rPr>
          <w:rStyle w:val="ad"/>
          <w:b w:val="0"/>
          <w:bCs w:val="0"/>
          <w:sz w:val="20"/>
          <w:szCs w:val="20"/>
          <w:lang w:val="en-US"/>
        </w:rPr>
        <w:t>Khamidova, N., Dadasheva, A., &amp; Ashurova, Sh.</w:t>
      </w:r>
      <w:r w:rsidRPr="0032126A">
        <w:rPr>
          <w:sz w:val="20"/>
          <w:szCs w:val="20"/>
          <w:lang w:val="en-US"/>
        </w:rPr>
        <w:t xml:space="preserve"> </w:t>
      </w:r>
      <w:r w:rsidRPr="0032126A">
        <w:rPr>
          <w:rStyle w:val="af"/>
          <w:sz w:val="20"/>
          <w:szCs w:val="20"/>
          <w:lang w:val="en-US"/>
        </w:rPr>
        <w:t>Workforce Reskilling and Economic Shifts in Automation with Eco-Skills Monitoring.</w:t>
      </w:r>
      <w:r w:rsidRPr="0032126A">
        <w:rPr>
          <w:sz w:val="20"/>
          <w:szCs w:val="20"/>
          <w:lang w:val="en-US"/>
        </w:rPr>
        <w:t xml:space="preserve"> International Conference on Civil, Environmental, and Applied Sciences (ICCEAS 2025), pp. 85–91.</w:t>
      </w:r>
    </w:p>
    <w:p w:rsidR="00800DA1" w:rsidRPr="0032126A" w:rsidRDefault="00800DA1" w:rsidP="0032126A">
      <w:pPr>
        <w:pStyle w:val="ae"/>
        <w:numPr>
          <w:ilvl w:val="0"/>
          <w:numId w:val="3"/>
        </w:numPr>
        <w:tabs>
          <w:tab w:val="left" w:pos="284"/>
        </w:tabs>
        <w:spacing w:before="0" w:beforeAutospacing="0" w:after="0" w:afterAutospacing="0"/>
        <w:ind w:left="0" w:firstLine="0"/>
        <w:jc w:val="both"/>
        <w:rPr>
          <w:sz w:val="20"/>
          <w:szCs w:val="20"/>
          <w:lang w:val="en-US"/>
        </w:rPr>
      </w:pPr>
      <w:r w:rsidRPr="0032126A">
        <w:rPr>
          <w:rStyle w:val="ad"/>
          <w:b w:val="0"/>
          <w:bCs w:val="0"/>
          <w:sz w:val="20"/>
          <w:szCs w:val="20"/>
          <w:lang w:val="en-US"/>
        </w:rPr>
        <w:t>Urinov, U., Hamidova, N., &amp; Mirzakulov, I.</w:t>
      </w:r>
      <w:r w:rsidRPr="0032126A">
        <w:rPr>
          <w:sz w:val="20"/>
          <w:szCs w:val="20"/>
          <w:lang w:val="en-US"/>
        </w:rPr>
        <w:t xml:space="preserve"> </w:t>
      </w:r>
      <w:r w:rsidRPr="0032126A">
        <w:rPr>
          <w:rStyle w:val="af"/>
          <w:sz w:val="20"/>
          <w:szCs w:val="20"/>
          <w:lang w:val="en-US"/>
        </w:rPr>
        <w:t>Chemical Technology of Oligomers Production from Homopolymer Based on Epichlorohydrin and Morpholine.</w:t>
      </w:r>
      <w:r w:rsidRPr="0032126A">
        <w:rPr>
          <w:sz w:val="20"/>
          <w:szCs w:val="20"/>
          <w:lang w:val="en-US"/>
        </w:rPr>
        <w:t xml:space="preserve"> E3S Web of Conferences, 497, 03030 (ICECAE 2024), pp. 1–6.</w:t>
      </w:r>
    </w:p>
    <w:p w:rsidR="00800DA1" w:rsidRPr="0032126A" w:rsidRDefault="00800DA1" w:rsidP="0032126A">
      <w:pPr>
        <w:pStyle w:val="ae"/>
        <w:numPr>
          <w:ilvl w:val="0"/>
          <w:numId w:val="3"/>
        </w:numPr>
        <w:tabs>
          <w:tab w:val="left" w:pos="284"/>
        </w:tabs>
        <w:spacing w:before="0" w:beforeAutospacing="0" w:after="0" w:afterAutospacing="0"/>
        <w:ind w:left="0" w:firstLine="0"/>
        <w:jc w:val="both"/>
        <w:rPr>
          <w:sz w:val="20"/>
          <w:szCs w:val="20"/>
          <w:lang w:val="en-US"/>
        </w:rPr>
      </w:pPr>
      <w:r w:rsidRPr="0032126A">
        <w:rPr>
          <w:rStyle w:val="ad"/>
          <w:b w:val="0"/>
          <w:bCs w:val="0"/>
          <w:sz w:val="20"/>
          <w:szCs w:val="20"/>
          <w:lang w:val="en-US"/>
        </w:rPr>
        <w:t>Zokirov, O.T.</w:t>
      </w:r>
      <w:r w:rsidRPr="0032126A">
        <w:rPr>
          <w:sz w:val="20"/>
          <w:szCs w:val="20"/>
          <w:lang w:val="en-US"/>
        </w:rPr>
        <w:t xml:space="preserve"> </w:t>
      </w:r>
      <w:r w:rsidRPr="0032126A">
        <w:rPr>
          <w:rStyle w:val="af"/>
          <w:sz w:val="20"/>
          <w:szCs w:val="20"/>
          <w:lang w:val="en-US"/>
        </w:rPr>
        <w:t>Cosmo-Structural Model of the Ziaetdin Mountains and Its Significance in Studying the Patterns of Gold Mineralization Distribution (Based on Digital Space Remote Sensing Data),</w:t>
      </w:r>
      <w:r w:rsidRPr="0032126A">
        <w:rPr>
          <w:sz w:val="20"/>
          <w:szCs w:val="20"/>
          <w:lang w:val="en-US"/>
        </w:rPr>
        <w:t xml:space="preserve"> PhD Dissertation. Tashkent, 2012. 118 p.</w:t>
      </w:r>
    </w:p>
    <w:p w:rsidR="009F068E" w:rsidRPr="0032126A" w:rsidRDefault="00800DA1" w:rsidP="0032126A">
      <w:pPr>
        <w:pStyle w:val="ae"/>
        <w:numPr>
          <w:ilvl w:val="0"/>
          <w:numId w:val="3"/>
        </w:numPr>
        <w:tabs>
          <w:tab w:val="left" w:pos="284"/>
        </w:tabs>
        <w:spacing w:before="0" w:beforeAutospacing="0" w:after="0" w:afterAutospacing="0"/>
        <w:ind w:left="0" w:firstLine="0"/>
        <w:jc w:val="both"/>
        <w:rPr>
          <w:sz w:val="20"/>
          <w:szCs w:val="20"/>
          <w:lang w:val="en-US"/>
        </w:rPr>
      </w:pPr>
      <w:r w:rsidRPr="0032126A">
        <w:rPr>
          <w:rStyle w:val="ad"/>
          <w:b w:val="0"/>
          <w:bCs w:val="0"/>
          <w:sz w:val="20"/>
          <w:szCs w:val="20"/>
          <w:lang w:val="en-US"/>
        </w:rPr>
        <w:t>Zokirov, O.T.</w:t>
      </w:r>
      <w:r w:rsidRPr="0032126A">
        <w:rPr>
          <w:sz w:val="20"/>
          <w:szCs w:val="20"/>
          <w:lang w:val="en-US"/>
        </w:rPr>
        <w:t xml:space="preserve"> </w:t>
      </w:r>
      <w:r w:rsidRPr="0032126A">
        <w:rPr>
          <w:rStyle w:val="af"/>
          <w:sz w:val="20"/>
          <w:szCs w:val="20"/>
          <w:lang w:val="en-US"/>
        </w:rPr>
        <w:t>Cosmo-Structural Objects of Central Asia and Their Importance in the Localization of Mineral Deposits,</w:t>
      </w:r>
      <w:r w:rsidRPr="0032126A">
        <w:rPr>
          <w:sz w:val="20"/>
          <w:szCs w:val="20"/>
          <w:lang w:val="en-US"/>
        </w:rPr>
        <w:t xml:space="preserve"> DSc Dissertation. Tashkent, 2019. 198 p.</w:t>
      </w:r>
      <w:r w:rsidR="009F068E" w:rsidRPr="0032126A">
        <w:rPr>
          <w:sz w:val="20"/>
          <w:szCs w:val="20"/>
          <w:lang w:val="uz-Cyrl-UZ"/>
        </w:rPr>
        <w:t xml:space="preserve"> </w:t>
      </w:r>
    </w:p>
    <w:p w:rsidR="0009392A" w:rsidRPr="0032126A" w:rsidRDefault="009F068E" w:rsidP="0032126A">
      <w:pPr>
        <w:pStyle w:val="ae"/>
        <w:numPr>
          <w:ilvl w:val="0"/>
          <w:numId w:val="3"/>
        </w:numPr>
        <w:tabs>
          <w:tab w:val="left" w:pos="284"/>
        </w:tabs>
        <w:spacing w:before="0" w:beforeAutospacing="0" w:after="0" w:afterAutospacing="0"/>
        <w:ind w:left="0" w:firstLine="0"/>
        <w:jc w:val="both"/>
        <w:rPr>
          <w:sz w:val="20"/>
          <w:szCs w:val="20"/>
          <w:lang w:val="en-US"/>
        </w:rPr>
      </w:pPr>
      <w:r w:rsidRPr="0032126A">
        <w:rPr>
          <w:rFonts w:eastAsia="Calibri"/>
          <w:iCs/>
          <w:sz w:val="20"/>
          <w:szCs w:val="20"/>
          <w:lang w:val="en-US"/>
        </w:rPr>
        <w:t>Raximov Z</w:t>
      </w:r>
      <w:r w:rsidRPr="0032126A">
        <w:rPr>
          <w:rFonts w:eastAsia="Calibri"/>
          <w:iCs/>
          <w:sz w:val="20"/>
          <w:szCs w:val="20"/>
          <w:lang w:val="uz-Cyrl-UZ"/>
        </w:rPr>
        <w:t xml:space="preserve">, </w:t>
      </w:r>
      <w:r w:rsidRPr="0032126A">
        <w:rPr>
          <w:rFonts w:eastAsia="Calibri"/>
          <w:iCs/>
          <w:sz w:val="20"/>
          <w:szCs w:val="20"/>
          <w:lang w:val="en-US"/>
        </w:rPr>
        <w:t>Zokirov O</w:t>
      </w:r>
      <w:r w:rsidRPr="0032126A">
        <w:rPr>
          <w:rFonts w:eastAsia="Calibri"/>
          <w:iCs/>
          <w:sz w:val="20"/>
          <w:szCs w:val="20"/>
          <w:lang w:val="uz-Cyrl-UZ"/>
        </w:rPr>
        <w:t xml:space="preserve">. </w:t>
      </w:r>
      <w:r w:rsidRPr="0032126A">
        <w:rPr>
          <w:sz w:val="20"/>
          <w:szCs w:val="20"/>
          <w:lang w:val="en-US"/>
        </w:rPr>
        <w:t>Digital space imagery, space infrastructure and metasomatic changes</w:t>
      </w:r>
      <w:r w:rsidRPr="0032126A">
        <w:rPr>
          <w:sz w:val="20"/>
          <w:szCs w:val="20"/>
          <w:lang w:val="uz-Cyrl-UZ"/>
        </w:rPr>
        <w:t>/</w:t>
      </w:r>
      <w:r w:rsidRPr="0032126A">
        <w:rPr>
          <w:rFonts w:eastAsia="Calibri"/>
          <w:color w:val="000000"/>
          <w:sz w:val="20"/>
          <w:szCs w:val="20"/>
          <w:lang w:val="en-US"/>
        </w:rPr>
        <w:t>4th International Conference Series on Science, Engineering, and Technology (ICSSET) 2024</w:t>
      </w:r>
      <w:r w:rsidR="0009392A" w:rsidRPr="0032126A">
        <w:rPr>
          <w:rFonts w:eastAsia="Calibri"/>
          <w:color w:val="000000"/>
          <w:sz w:val="20"/>
          <w:szCs w:val="20"/>
          <w:lang w:val="uz-Cyrl-UZ"/>
        </w:rPr>
        <w:t xml:space="preserve">, </w:t>
      </w:r>
      <w:r w:rsidR="0009392A" w:rsidRPr="0032126A">
        <w:rPr>
          <w:sz w:val="20"/>
          <w:szCs w:val="20"/>
          <w:lang w:val="en-US"/>
        </w:rPr>
        <w:t>Indonesian</w:t>
      </w:r>
      <w:r w:rsidR="0009392A" w:rsidRPr="0032126A">
        <w:rPr>
          <w:sz w:val="20"/>
          <w:szCs w:val="20"/>
          <w:lang w:val="uz-Cyrl-UZ"/>
        </w:rPr>
        <w:t xml:space="preserve">, </w:t>
      </w:r>
      <w:r w:rsidR="0009392A" w:rsidRPr="0032126A">
        <w:rPr>
          <w:sz w:val="20"/>
          <w:szCs w:val="20"/>
          <w:lang w:val="en-US"/>
        </w:rPr>
        <w:t>pp.171-178</w:t>
      </w:r>
    </w:p>
    <w:p w:rsidR="0009392A" w:rsidRPr="0032126A" w:rsidRDefault="0009392A" w:rsidP="0032126A">
      <w:pPr>
        <w:pStyle w:val="ae"/>
        <w:numPr>
          <w:ilvl w:val="0"/>
          <w:numId w:val="3"/>
        </w:numPr>
        <w:tabs>
          <w:tab w:val="left" w:pos="284"/>
        </w:tabs>
        <w:spacing w:before="0" w:beforeAutospacing="0" w:after="0" w:afterAutospacing="0"/>
        <w:ind w:left="0" w:firstLine="0"/>
        <w:jc w:val="both"/>
        <w:rPr>
          <w:sz w:val="20"/>
          <w:szCs w:val="20"/>
          <w:lang w:val="en-US"/>
        </w:rPr>
      </w:pPr>
      <w:r w:rsidRPr="0032126A">
        <w:rPr>
          <w:rFonts w:eastAsia="Calibri"/>
          <w:iCs/>
          <w:sz w:val="20"/>
          <w:szCs w:val="20"/>
          <w:lang w:val="en-US"/>
        </w:rPr>
        <w:t>Zokirov O</w:t>
      </w:r>
      <w:r w:rsidRPr="0032126A">
        <w:rPr>
          <w:rFonts w:eastAsia="Calibri"/>
          <w:iCs/>
          <w:sz w:val="20"/>
          <w:szCs w:val="20"/>
          <w:lang w:val="uz-Cyrl-UZ"/>
        </w:rPr>
        <w:t>.</w:t>
      </w:r>
      <w:r w:rsidRPr="0032126A">
        <w:rPr>
          <w:rFonts w:eastAsia="Calibri"/>
          <w:iCs/>
          <w:sz w:val="20"/>
          <w:szCs w:val="20"/>
          <w:lang w:val="en-US"/>
        </w:rPr>
        <w:t>T.</w:t>
      </w:r>
      <w:r w:rsidRPr="0032126A">
        <w:rPr>
          <w:rFonts w:eastAsia="Calibri"/>
          <w:iCs/>
          <w:sz w:val="20"/>
          <w:szCs w:val="20"/>
          <w:lang w:val="uz-Cyrl-UZ"/>
        </w:rPr>
        <w:t xml:space="preserve"> </w:t>
      </w:r>
      <w:r w:rsidRPr="0032126A">
        <w:rPr>
          <w:rFonts w:eastAsia="Calibri"/>
          <w:iCs/>
          <w:sz w:val="20"/>
          <w:szCs w:val="20"/>
          <w:lang w:val="en-US"/>
        </w:rPr>
        <w:t>Raximov Z.Z.</w:t>
      </w:r>
      <w:r w:rsidRPr="0032126A">
        <w:rPr>
          <w:sz w:val="20"/>
          <w:szCs w:val="20"/>
          <w:lang w:val="en-US"/>
        </w:rPr>
        <w:t xml:space="preserve"> Methods of interpreting digital space images/</w:t>
      </w:r>
      <w:r w:rsidRPr="0032126A">
        <w:rPr>
          <w:rFonts w:eastAsia="Calibri"/>
          <w:color w:val="000000"/>
          <w:sz w:val="20"/>
          <w:szCs w:val="20"/>
          <w:lang w:val="en-US"/>
        </w:rPr>
        <w:t>4th International Conference Series on Science, Engineering, and Technology (ICSSET) 2024</w:t>
      </w:r>
      <w:r w:rsidRPr="0032126A">
        <w:rPr>
          <w:rFonts w:eastAsia="Calibri"/>
          <w:color w:val="000000"/>
          <w:sz w:val="20"/>
          <w:szCs w:val="20"/>
          <w:lang w:val="uz-Cyrl-UZ"/>
        </w:rPr>
        <w:t xml:space="preserve">, </w:t>
      </w:r>
      <w:r w:rsidRPr="0032126A">
        <w:rPr>
          <w:sz w:val="20"/>
          <w:szCs w:val="20"/>
          <w:lang w:val="en-US"/>
        </w:rPr>
        <w:t>Indonesian</w:t>
      </w:r>
      <w:r w:rsidRPr="0032126A">
        <w:rPr>
          <w:sz w:val="20"/>
          <w:szCs w:val="20"/>
          <w:lang w:val="uz-Cyrl-UZ"/>
        </w:rPr>
        <w:t xml:space="preserve">, </w:t>
      </w:r>
      <w:r w:rsidRPr="0032126A">
        <w:rPr>
          <w:sz w:val="20"/>
          <w:szCs w:val="20"/>
          <w:lang w:val="en-US"/>
        </w:rPr>
        <w:t>pp.103-109</w:t>
      </w:r>
    </w:p>
    <w:p w:rsidR="003864A1" w:rsidRPr="001004E5" w:rsidRDefault="003864A1">
      <w:pPr>
        <w:pStyle w:val="a3"/>
        <w:numPr>
          <w:ilvl w:val="0"/>
          <w:numId w:val="3"/>
        </w:numPr>
        <w:shd w:val="clear" w:color="auto" w:fill="FFFFFF"/>
        <w:tabs>
          <w:tab w:val="left" w:pos="284"/>
        </w:tabs>
        <w:spacing w:after="0" w:line="240" w:lineRule="auto"/>
        <w:ind w:left="0" w:firstLine="0"/>
        <w:jc w:val="both"/>
        <w:outlineLvl w:val="3"/>
        <w:rPr>
          <w:rFonts w:ascii="Times New Roman" w:eastAsia="Times New Roman" w:hAnsi="Times New Roman"/>
          <w:color w:val="2E2E2E"/>
          <w:sz w:val="20"/>
          <w:szCs w:val="20"/>
          <w:shd w:val="clear" w:color="auto" w:fill="FFFFFF"/>
          <w:lang w:val="en-US" w:eastAsia="ru-RU"/>
        </w:rPr>
      </w:pPr>
      <w:r w:rsidRPr="001004E5">
        <w:rPr>
          <w:rFonts w:ascii="Times New Roman" w:eastAsia="Times New Roman" w:hAnsi="Times New Roman"/>
          <w:color w:val="2E2E2E"/>
          <w:sz w:val="20"/>
          <w:szCs w:val="20"/>
          <w:lang w:val="en-US" w:eastAsia="ru-RU"/>
        </w:rPr>
        <w:t>Janibekov, B., Turapov, M., Tulyaganova, N., Zokirov, O., Abdurasulov, D.</w:t>
      </w:r>
      <w:r w:rsidR="001004E5" w:rsidRPr="001004E5">
        <w:rPr>
          <w:rFonts w:ascii="Times New Roman" w:eastAsia="Times New Roman" w:hAnsi="Times New Roman"/>
          <w:color w:val="2E2E2E"/>
          <w:sz w:val="20"/>
          <w:szCs w:val="20"/>
          <w:lang w:val="en-US" w:eastAsia="ru-RU"/>
        </w:rPr>
        <w:t xml:space="preserve"> </w:t>
      </w:r>
      <w:hyperlink r:id="rId10" w:history="1">
        <w:r w:rsidRPr="001004E5">
          <w:rPr>
            <w:rFonts w:ascii="Times New Roman" w:eastAsia="Times New Roman" w:hAnsi="Times New Roman"/>
            <w:i/>
            <w:color w:val="2E2E2E"/>
            <w:sz w:val="20"/>
            <w:szCs w:val="20"/>
            <w:lang w:val="en-US" w:eastAsia="ru-RU"/>
          </w:rPr>
          <w:t>Study on Interplay of tension, deformation, and ore formation</w:t>
        </w:r>
      </w:hyperlink>
      <w:r w:rsidRPr="001004E5">
        <w:rPr>
          <w:rFonts w:ascii="Times New Roman" w:eastAsia="Times New Roman" w:hAnsi="Times New Roman"/>
          <w:i/>
          <w:color w:val="505050"/>
          <w:sz w:val="20"/>
          <w:szCs w:val="20"/>
          <w:lang w:val="uz-Cyrl-UZ" w:eastAsia="ru-RU"/>
        </w:rPr>
        <w:t>.</w:t>
      </w:r>
      <w:r w:rsidRPr="001004E5">
        <w:rPr>
          <w:rFonts w:ascii="Times New Roman" w:eastAsia="Times New Roman" w:hAnsi="Times New Roman"/>
          <w:color w:val="505050"/>
          <w:sz w:val="20"/>
          <w:szCs w:val="20"/>
          <w:lang w:val="uz-Cyrl-UZ" w:eastAsia="ru-RU"/>
        </w:rPr>
        <w:t xml:space="preserve"> </w:t>
      </w:r>
      <w:hyperlink r:id="rId11" w:history="1">
        <w:r w:rsidRPr="001004E5">
          <w:rPr>
            <w:rFonts w:ascii="Times New Roman" w:eastAsia="Times New Roman" w:hAnsi="Times New Roman"/>
            <w:color w:val="2E2E2E"/>
            <w:sz w:val="20"/>
            <w:szCs w:val="20"/>
            <w:bdr w:val="none" w:sz="0" w:space="0" w:color="auto" w:frame="1"/>
            <w:shd w:val="clear" w:color="auto" w:fill="FFFFFF"/>
            <w:lang w:val="en-US" w:eastAsia="ru-RU"/>
          </w:rPr>
          <w:t xml:space="preserve">E3s Web of Conferences </w:t>
        </w:r>
        <w:r w:rsidR="001004E5" w:rsidRPr="001004E5">
          <w:rPr>
            <w:rFonts w:ascii="Times New Roman" w:eastAsia="Times New Roman" w:hAnsi="Times New Roman"/>
            <w:color w:val="2E2E2E"/>
            <w:sz w:val="20"/>
            <w:szCs w:val="20"/>
            <w:bdr w:val="none" w:sz="0" w:space="0" w:color="auto" w:frame="1"/>
            <w:shd w:val="clear" w:color="auto" w:fill="FFFFFF"/>
            <w:lang w:val="en-US" w:eastAsia="ru-RU"/>
          </w:rPr>
          <w:t>Open-source</w:t>
        </w:r>
        <w:r w:rsidRPr="001004E5">
          <w:rPr>
            <w:rFonts w:ascii="Times New Roman" w:eastAsia="Times New Roman" w:hAnsi="Times New Roman"/>
            <w:color w:val="2E2E2E"/>
            <w:sz w:val="20"/>
            <w:szCs w:val="20"/>
            <w:bdr w:val="none" w:sz="0" w:space="0" w:color="auto" w:frame="1"/>
            <w:shd w:val="clear" w:color="auto" w:fill="FFFFFF"/>
            <w:lang w:val="en-US" w:eastAsia="ru-RU"/>
          </w:rPr>
          <w:t xml:space="preserve"> preview</w:t>
        </w:r>
      </w:hyperlink>
      <w:r w:rsidRPr="001004E5">
        <w:rPr>
          <w:rFonts w:ascii="Times New Roman" w:eastAsia="Times New Roman" w:hAnsi="Times New Roman"/>
          <w:color w:val="2E2E2E"/>
          <w:sz w:val="20"/>
          <w:szCs w:val="20"/>
          <w:shd w:val="clear" w:color="auto" w:fill="FFFFFF"/>
          <w:lang w:val="en-US" w:eastAsia="ru-RU"/>
        </w:rPr>
        <w:t>, 2023, 434, 02028</w:t>
      </w:r>
    </w:p>
    <w:p w:rsidR="00707445" w:rsidRPr="001004E5" w:rsidRDefault="003864A1" w:rsidP="0032126A">
      <w:pPr>
        <w:numPr>
          <w:ilvl w:val="0"/>
          <w:numId w:val="3"/>
        </w:numPr>
        <w:shd w:val="clear" w:color="auto" w:fill="FFFFFF"/>
        <w:tabs>
          <w:tab w:val="left" w:pos="284"/>
        </w:tabs>
        <w:spacing w:after="0" w:line="240" w:lineRule="auto"/>
        <w:ind w:left="0" w:firstLine="0"/>
        <w:jc w:val="both"/>
        <w:outlineLvl w:val="3"/>
        <w:rPr>
          <w:rFonts w:ascii="Times New Roman" w:eastAsia="Times New Roman" w:hAnsi="Times New Roman"/>
          <w:color w:val="2E2E2E"/>
          <w:sz w:val="20"/>
          <w:szCs w:val="20"/>
          <w:shd w:val="clear" w:color="auto" w:fill="FFFFFF"/>
          <w:lang w:val="uz-Cyrl-UZ" w:eastAsia="ru-RU"/>
        </w:rPr>
      </w:pPr>
      <w:r w:rsidRPr="001004E5">
        <w:rPr>
          <w:rFonts w:ascii="Times New Roman" w:eastAsia="Times New Roman" w:hAnsi="Times New Roman"/>
          <w:color w:val="2E2E2E"/>
          <w:sz w:val="20"/>
          <w:szCs w:val="20"/>
          <w:lang w:val="en-US" w:eastAsia="ru-RU"/>
        </w:rPr>
        <w:t>Turapov, M.K., Akbarov, H.A., Tulyaganova, N.S.,  Ummatov, N., Raxmatullayeva</w:t>
      </w:r>
      <w:r w:rsidRPr="001004E5">
        <w:rPr>
          <w:rFonts w:ascii="Times New Roman" w:eastAsia="Times New Roman" w:hAnsi="Times New Roman"/>
          <w:color w:val="2E2E2E"/>
          <w:sz w:val="20"/>
          <w:szCs w:val="20"/>
          <w:lang w:val="uz-Cyrl-UZ" w:eastAsia="ru-RU"/>
        </w:rPr>
        <w:t xml:space="preserve">. </w:t>
      </w:r>
      <w:r w:rsidRPr="001004E5">
        <w:rPr>
          <w:rFonts w:ascii="Times New Roman" w:eastAsia="Times New Roman" w:hAnsi="Times New Roman"/>
          <w:color w:val="2E2E2E"/>
          <w:sz w:val="20"/>
          <w:szCs w:val="20"/>
          <w:lang w:val="en-US" w:eastAsia="ru-RU"/>
        </w:rPr>
        <w:t xml:space="preserve"> S.D.</w:t>
      </w:r>
      <w:r w:rsidRPr="001004E5">
        <w:rPr>
          <w:rFonts w:ascii="Times New Roman" w:eastAsia="Times New Roman" w:hAnsi="Times New Roman"/>
          <w:color w:val="505050"/>
          <w:sz w:val="20"/>
          <w:szCs w:val="20"/>
          <w:lang w:val="uz-Cyrl-UZ" w:eastAsia="ru-RU"/>
        </w:rPr>
        <w:t xml:space="preserve"> </w:t>
      </w:r>
      <w:hyperlink r:id="rId12" w:history="1">
        <w:r w:rsidRPr="001004E5">
          <w:rPr>
            <w:rFonts w:ascii="Times New Roman" w:eastAsia="Times New Roman" w:hAnsi="Times New Roman"/>
            <w:i/>
            <w:color w:val="2E2E2E"/>
            <w:sz w:val="20"/>
            <w:szCs w:val="20"/>
            <w:lang w:val="en-US" w:eastAsia="ru-RU"/>
          </w:rPr>
          <w:t>Role of regional faults in the formation and placement of gold ore objects in</w:t>
        </w:r>
        <w:r w:rsidR="001004E5" w:rsidRPr="001004E5">
          <w:rPr>
            <w:rFonts w:ascii="Times New Roman" w:eastAsia="Times New Roman" w:hAnsi="Times New Roman"/>
            <w:i/>
            <w:color w:val="2E2E2E"/>
            <w:sz w:val="20"/>
            <w:szCs w:val="20"/>
            <w:lang w:val="en-US" w:eastAsia="ru-RU"/>
          </w:rPr>
          <w:t xml:space="preserve"> </w:t>
        </w:r>
        <w:r w:rsidRPr="001004E5">
          <w:rPr>
            <w:rFonts w:ascii="Times New Roman" w:eastAsia="Times New Roman" w:hAnsi="Times New Roman"/>
            <w:i/>
            <w:color w:val="2E2E2E"/>
            <w:sz w:val="20"/>
            <w:szCs w:val="20"/>
            <w:lang w:val="en-US" w:eastAsia="ru-RU"/>
          </w:rPr>
          <w:t>western Uzbekistan</w:t>
        </w:r>
      </w:hyperlink>
      <w:r w:rsidRPr="001004E5">
        <w:rPr>
          <w:rFonts w:ascii="Times New Roman" w:eastAsia="Times New Roman" w:hAnsi="Times New Roman"/>
          <w:color w:val="505050"/>
          <w:sz w:val="20"/>
          <w:szCs w:val="20"/>
          <w:lang w:val="uz-Cyrl-UZ" w:eastAsia="ru-RU"/>
        </w:rPr>
        <w:t xml:space="preserve">. </w:t>
      </w:r>
      <w:hyperlink r:id="rId13" w:history="1">
        <w:r w:rsidRPr="001004E5">
          <w:rPr>
            <w:rFonts w:ascii="Times New Roman" w:eastAsia="Times New Roman" w:hAnsi="Times New Roman"/>
            <w:color w:val="2E2E2E"/>
            <w:sz w:val="20"/>
            <w:szCs w:val="20"/>
            <w:bdr w:val="none" w:sz="0" w:space="0" w:color="auto" w:frame="1"/>
            <w:shd w:val="clear" w:color="auto" w:fill="FFFFFF"/>
            <w:lang w:val="en-US" w:eastAsia="ru-RU"/>
          </w:rPr>
          <w:t>E3s Web of Conferences</w:t>
        </w:r>
        <w:r w:rsidRPr="001004E5">
          <w:rPr>
            <w:rFonts w:ascii="Times New Roman" w:eastAsia="Times New Roman" w:hAnsi="Times New Roman"/>
            <w:color w:val="2E2E2E"/>
            <w:sz w:val="20"/>
            <w:szCs w:val="20"/>
            <w:bdr w:val="none" w:sz="0" w:space="0" w:color="auto" w:frame="1"/>
            <w:shd w:val="clear" w:color="auto" w:fill="FFFFFF"/>
            <w:lang w:val="uz-Cyrl-UZ" w:eastAsia="ru-RU"/>
          </w:rPr>
          <w:t xml:space="preserve"> </w:t>
        </w:r>
        <w:r w:rsidRPr="001004E5">
          <w:rPr>
            <w:rFonts w:ascii="Times New Roman" w:eastAsia="Times New Roman" w:hAnsi="Times New Roman"/>
            <w:color w:val="2E2E2E"/>
            <w:sz w:val="20"/>
            <w:szCs w:val="20"/>
            <w:bdr w:val="none" w:sz="0" w:space="0" w:color="auto" w:frame="1"/>
            <w:shd w:val="clear" w:color="auto" w:fill="FFFFFF"/>
            <w:lang w:val="en-US" w:eastAsia="ru-RU"/>
          </w:rPr>
          <w:t>Open source preview</w:t>
        </w:r>
      </w:hyperlink>
      <w:r w:rsidRPr="001004E5">
        <w:rPr>
          <w:rFonts w:ascii="Times New Roman" w:eastAsia="Times New Roman" w:hAnsi="Times New Roman"/>
          <w:color w:val="2E2E2E"/>
          <w:sz w:val="20"/>
          <w:szCs w:val="20"/>
          <w:shd w:val="clear" w:color="auto" w:fill="FFFFFF"/>
          <w:lang w:val="en-US" w:eastAsia="ru-RU"/>
        </w:rPr>
        <w:t>, 2023, 371, 01022</w:t>
      </w:r>
    </w:p>
    <w:sectPr w:rsidR="00707445" w:rsidRPr="001004E5" w:rsidSect="00997267">
      <w:footerReference w:type="default" r:id="rId14"/>
      <w:pgSz w:w="12242" w:h="15842"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8731C" w:rsidRDefault="0008731C">
      <w:pPr>
        <w:spacing w:after="0" w:line="240" w:lineRule="auto"/>
      </w:pPr>
      <w:r>
        <w:separator/>
      </w:r>
    </w:p>
  </w:endnote>
  <w:endnote w:type="continuationSeparator" w:id="0">
    <w:p w:rsidR="0008731C" w:rsidRDefault="000873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XOKJNQ+Times-New-Roman,Italic">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911E7D" w:rsidRPr="0032126A" w:rsidRDefault="00911E7D">
    <w:pPr>
      <w:pStyle w:val="a7"/>
      <w:jc w:val="center"/>
      <w:rPr>
        <w:lang w:val="en-US"/>
      </w:rPr>
    </w:pPr>
  </w:p>
  <w:p w:rsidR="00911E7D" w:rsidRDefault="00911E7D">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8731C" w:rsidRDefault="0008731C">
      <w:pPr>
        <w:spacing w:after="0" w:line="240" w:lineRule="auto"/>
      </w:pPr>
      <w:r>
        <w:separator/>
      </w:r>
    </w:p>
  </w:footnote>
  <w:footnote w:type="continuationSeparator" w:id="0">
    <w:p w:rsidR="0008731C" w:rsidRDefault="0008731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6D1DAB"/>
    <w:multiLevelType w:val="hybridMultilevel"/>
    <w:tmpl w:val="C4AA23FC"/>
    <w:lvl w:ilvl="0" w:tplc="BF48BE7A">
      <w:start w:val="1"/>
      <w:numFmt w:val="decimal"/>
      <w:lvlText w:val="%1."/>
      <w:lvlJc w:val="left"/>
      <w:pPr>
        <w:ind w:left="720" w:hanging="360"/>
      </w:pPr>
      <w:rPr>
        <w:rFonts w:cs="Times New Roman" w:hint="default"/>
        <w:color w:val="auto"/>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15:restartNumberingAfterBreak="0">
    <w:nsid w:val="3D4D6905"/>
    <w:multiLevelType w:val="hybridMultilevel"/>
    <w:tmpl w:val="E2EAF194"/>
    <w:lvl w:ilvl="0" w:tplc="5BA0641E">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49477E12"/>
    <w:multiLevelType w:val="hybridMultilevel"/>
    <w:tmpl w:val="8F1A56C8"/>
    <w:lvl w:ilvl="0" w:tplc="B75E3AD6">
      <w:start w:val="1"/>
      <w:numFmt w:val="lowerLetter"/>
      <w:lvlText w:val="%1)"/>
      <w:lvlJc w:val="left"/>
      <w:pPr>
        <w:ind w:left="720" w:hanging="360"/>
      </w:pPr>
      <w:rPr>
        <w:rFonts w:hint="default"/>
        <w:vertAlign w:val="superscrip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77E13AA7"/>
    <w:multiLevelType w:val="hybridMultilevel"/>
    <w:tmpl w:val="C5644966"/>
    <w:lvl w:ilvl="0" w:tplc="360CBF3A">
      <w:start w:val="12"/>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C547564"/>
    <w:multiLevelType w:val="hybridMultilevel"/>
    <w:tmpl w:val="F83E2E02"/>
    <w:lvl w:ilvl="0" w:tplc="35F4186A">
      <w:numFmt w:val="bullet"/>
      <w:lvlText w:val=""/>
      <w:lvlJc w:val="left"/>
      <w:pPr>
        <w:ind w:left="720" w:hanging="360"/>
      </w:pPr>
      <w:rPr>
        <w:rFonts w:ascii="Symbol" w:eastAsia="Times New Roman" w:hAnsi="Symbol" w:cs="Times New Roman"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7CBE5377"/>
    <w:multiLevelType w:val="hybridMultilevel"/>
    <w:tmpl w:val="8AB4B1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421028791">
    <w:abstractNumId w:val="0"/>
  </w:num>
  <w:num w:numId="2" w16cid:durableId="510031301">
    <w:abstractNumId w:val="2"/>
  </w:num>
  <w:num w:numId="3" w16cid:durableId="1193692299">
    <w:abstractNumId w:val="1"/>
  </w:num>
  <w:num w:numId="4" w16cid:durableId="598948410">
    <w:abstractNumId w:val="4"/>
  </w:num>
  <w:num w:numId="5" w16cid:durableId="2034190347">
    <w:abstractNumId w:val="5"/>
  </w:num>
  <w:num w:numId="6" w16cid:durableId="8292246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24CA"/>
    <w:rsid w:val="00015D08"/>
    <w:rsid w:val="00051E26"/>
    <w:rsid w:val="0008731C"/>
    <w:rsid w:val="00093919"/>
    <w:rsid w:val="0009392A"/>
    <w:rsid w:val="000A668F"/>
    <w:rsid w:val="000F0B3D"/>
    <w:rsid w:val="000F309E"/>
    <w:rsid w:val="001004E5"/>
    <w:rsid w:val="0011058B"/>
    <w:rsid w:val="00123EDF"/>
    <w:rsid w:val="00132865"/>
    <w:rsid w:val="001623C7"/>
    <w:rsid w:val="001A2E9E"/>
    <w:rsid w:val="001B50FB"/>
    <w:rsid w:val="001F43CD"/>
    <w:rsid w:val="00223806"/>
    <w:rsid w:val="002244BB"/>
    <w:rsid w:val="002307F1"/>
    <w:rsid w:val="00256C35"/>
    <w:rsid w:val="00257098"/>
    <w:rsid w:val="00274BFA"/>
    <w:rsid w:val="00275258"/>
    <w:rsid w:val="002A4C9B"/>
    <w:rsid w:val="002A65CA"/>
    <w:rsid w:val="002B7E31"/>
    <w:rsid w:val="002D0D73"/>
    <w:rsid w:val="002E03D1"/>
    <w:rsid w:val="002E050E"/>
    <w:rsid w:val="002F0D86"/>
    <w:rsid w:val="002F609D"/>
    <w:rsid w:val="003005CD"/>
    <w:rsid w:val="00320549"/>
    <w:rsid w:val="0032126A"/>
    <w:rsid w:val="00341BFA"/>
    <w:rsid w:val="00344AAF"/>
    <w:rsid w:val="003552FD"/>
    <w:rsid w:val="003864A1"/>
    <w:rsid w:val="00393847"/>
    <w:rsid w:val="003A6F5C"/>
    <w:rsid w:val="003E7C74"/>
    <w:rsid w:val="00400B6A"/>
    <w:rsid w:val="00402F2B"/>
    <w:rsid w:val="0041339C"/>
    <w:rsid w:val="00434CC3"/>
    <w:rsid w:val="00436E67"/>
    <w:rsid w:val="00441837"/>
    <w:rsid w:val="0044185D"/>
    <w:rsid w:val="00475DF4"/>
    <w:rsid w:val="00480031"/>
    <w:rsid w:val="004935C5"/>
    <w:rsid w:val="004A71E4"/>
    <w:rsid w:val="004C679D"/>
    <w:rsid w:val="004D697B"/>
    <w:rsid w:val="004D71C0"/>
    <w:rsid w:val="005011D7"/>
    <w:rsid w:val="00534508"/>
    <w:rsid w:val="00542223"/>
    <w:rsid w:val="00556323"/>
    <w:rsid w:val="00560CC2"/>
    <w:rsid w:val="005B27A2"/>
    <w:rsid w:val="005C1A32"/>
    <w:rsid w:val="005F0857"/>
    <w:rsid w:val="005F72EA"/>
    <w:rsid w:val="00606690"/>
    <w:rsid w:val="006076B7"/>
    <w:rsid w:val="00607746"/>
    <w:rsid w:val="00624B5C"/>
    <w:rsid w:val="006318FB"/>
    <w:rsid w:val="0064161A"/>
    <w:rsid w:val="00654077"/>
    <w:rsid w:val="0067548A"/>
    <w:rsid w:val="006828FA"/>
    <w:rsid w:val="00684F46"/>
    <w:rsid w:val="006A5181"/>
    <w:rsid w:val="006E2C5F"/>
    <w:rsid w:val="00701A2B"/>
    <w:rsid w:val="00707445"/>
    <w:rsid w:val="00794892"/>
    <w:rsid w:val="007A7081"/>
    <w:rsid w:val="007E1386"/>
    <w:rsid w:val="007E25CF"/>
    <w:rsid w:val="007E68A6"/>
    <w:rsid w:val="007F35BC"/>
    <w:rsid w:val="00800DA1"/>
    <w:rsid w:val="008124CA"/>
    <w:rsid w:val="00815C3E"/>
    <w:rsid w:val="0083437E"/>
    <w:rsid w:val="00876B4C"/>
    <w:rsid w:val="00896DDD"/>
    <w:rsid w:val="008C36A9"/>
    <w:rsid w:val="008C632D"/>
    <w:rsid w:val="008E3382"/>
    <w:rsid w:val="008F6397"/>
    <w:rsid w:val="00911E7D"/>
    <w:rsid w:val="00916300"/>
    <w:rsid w:val="00947A70"/>
    <w:rsid w:val="00956422"/>
    <w:rsid w:val="00986D34"/>
    <w:rsid w:val="0099304F"/>
    <w:rsid w:val="00997267"/>
    <w:rsid w:val="009A1926"/>
    <w:rsid w:val="009B123F"/>
    <w:rsid w:val="009B45CA"/>
    <w:rsid w:val="009C0BF8"/>
    <w:rsid w:val="009E6403"/>
    <w:rsid w:val="009E67D1"/>
    <w:rsid w:val="009F068E"/>
    <w:rsid w:val="009F341D"/>
    <w:rsid w:val="009F7E59"/>
    <w:rsid w:val="00A01449"/>
    <w:rsid w:val="00A560E6"/>
    <w:rsid w:val="00AB502D"/>
    <w:rsid w:val="00AC477A"/>
    <w:rsid w:val="00AF5C15"/>
    <w:rsid w:val="00B1506C"/>
    <w:rsid w:val="00B40A25"/>
    <w:rsid w:val="00BB0E13"/>
    <w:rsid w:val="00C25977"/>
    <w:rsid w:val="00C3331D"/>
    <w:rsid w:val="00C40930"/>
    <w:rsid w:val="00C4507C"/>
    <w:rsid w:val="00C62E07"/>
    <w:rsid w:val="00C65208"/>
    <w:rsid w:val="00C771CA"/>
    <w:rsid w:val="00C81E96"/>
    <w:rsid w:val="00C8595B"/>
    <w:rsid w:val="00CA4286"/>
    <w:rsid w:val="00CA50E2"/>
    <w:rsid w:val="00CC4080"/>
    <w:rsid w:val="00CE0FEF"/>
    <w:rsid w:val="00CE5527"/>
    <w:rsid w:val="00D03C6E"/>
    <w:rsid w:val="00D04EC2"/>
    <w:rsid w:val="00D105F4"/>
    <w:rsid w:val="00D1525C"/>
    <w:rsid w:val="00D204A4"/>
    <w:rsid w:val="00D24F72"/>
    <w:rsid w:val="00D33EF9"/>
    <w:rsid w:val="00D4705E"/>
    <w:rsid w:val="00D81AB5"/>
    <w:rsid w:val="00DD7CE4"/>
    <w:rsid w:val="00DE5950"/>
    <w:rsid w:val="00DF1D2B"/>
    <w:rsid w:val="00E41C69"/>
    <w:rsid w:val="00E6496A"/>
    <w:rsid w:val="00E670D9"/>
    <w:rsid w:val="00E8602E"/>
    <w:rsid w:val="00EE01D1"/>
    <w:rsid w:val="00F2580F"/>
    <w:rsid w:val="00F275F0"/>
    <w:rsid w:val="00F43A07"/>
    <w:rsid w:val="00F71BB4"/>
    <w:rsid w:val="00F74122"/>
    <w:rsid w:val="00F803A3"/>
    <w:rsid w:val="00FA00A8"/>
    <w:rsid w:val="00FA5070"/>
    <w:rsid w:val="00FB5ED4"/>
    <w:rsid w:val="00FB697E"/>
    <w:rsid w:val="00FE404B"/>
    <w:rsid w:val="00FF768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chartTrackingRefBased/>
  <w15:docId w15:val="{E5A23A47-7694-4105-8117-95C99F5AE4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9"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124CA"/>
    <w:pPr>
      <w:spacing w:after="200" w:line="276" w:lineRule="auto"/>
    </w:pPr>
    <w:rPr>
      <w:sz w:val="22"/>
      <w:szCs w:val="22"/>
      <w:lang w:eastAsia="en-US"/>
    </w:rPr>
  </w:style>
  <w:style w:type="paragraph" w:styleId="3">
    <w:name w:val="heading 3"/>
    <w:basedOn w:val="a"/>
    <w:link w:val="30"/>
    <w:uiPriority w:val="9"/>
    <w:qFormat/>
    <w:locked/>
    <w:rsid w:val="009B45CA"/>
    <w:pPr>
      <w:spacing w:before="100" w:beforeAutospacing="1" w:after="100" w:afterAutospacing="1" w:line="240" w:lineRule="auto"/>
      <w:outlineLvl w:val="2"/>
    </w:pPr>
    <w:rPr>
      <w:rFonts w:ascii="Times New Roman" w:eastAsia="Times New Roman" w:hAnsi="Times New Roman"/>
      <w:b/>
      <w:bCs/>
      <w:sz w:val="27"/>
      <w:szCs w:val="27"/>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Абзац вправо-1,List Paragraph1"/>
    <w:basedOn w:val="a"/>
    <w:link w:val="a4"/>
    <w:uiPriority w:val="34"/>
    <w:qFormat/>
    <w:rsid w:val="008124CA"/>
    <w:pPr>
      <w:ind w:left="720"/>
      <w:contextualSpacing/>
    </w:pPr>
  </w:style>
  <w:style w:type="paragraph" w:styleId="a5">
    <w:name w:val="header"/>
    <w:basedOn w:val="a"/>
    <w:link w:val="a6"/>
    <w:uiPriority w:val="99"/>
    <w:rsid w:val="008124CA"/>
    <w:pPr>
      <w:tabs>
        <w:tab w:val="center" w:pos="4677"/>
        <w:tab w:val="right" w:pos="9355"/>
      </w:tabs>
      <w:spacing w:after="0" w:line="240" w:lineRule="auto"/>
    </w:pPr>
  </w:style>
  <w:style w:type="character" w:customStyle="1" w:styleId="a6">
    <w:name w:val="Верхний колонтитул Знак"/>
    <w:link w:val="a5"/>
    <w:uiPriority w:val="99"/>
    <w:locked/>
    <w:rsid w:val="008124CA"/>
    <w:rPr>
      <w:rFonts w:eastAsia="Times New Roman" w:cs="Times New Roman"/>
    </w:rPr>
  </w:style>
  <w:style w:type="paragraph" w:styleId="a7">
    <w:name w:val="footer"/>
    <w:basedOn w:val="a"/>
    <w:link w:val="a8"/>
    <w:uiPriority w:val="99"/>
    <w:rsid w:val="008124CA"/>
    <w:pPr>
      <w:tabs>
        <w:tab w:val="center" w:pos="4677"/>
        <w:tab w:val="right" w:pos="9355"/>
      </w:tabs>
      <w:spacing w:after="0" w:line="240" w:lineRule="auto"/>
    </w:pPr>
  </w:style>
  <w:style w:type="character" w:customStyle="1" w:styleId="a8">
    <w:name w:val="Нижний колонтитул Знак"/>
    <w:link w:val="a7"/>
    <w:uiPriority w:val="99"/>
    <w:locked/>
    <w:rsid w:val="008124CA"/>
    <w:rPr>
      <w:rFonts w:eastAsia="Times New Roman" w:cs="Times New Roman"/>
    </w:rPr>
  </w:style>
  <w:style w:type="paragraph" w:styleId="a9">
    <w:name w:val="Balloon Text"/>
    <w:basedOn w:val="a"/>
    <w:link w:val="aa"/>
    <w:uiPriority w:val="99"/>
    <w:semiHidden/>
    <w:rsid w:val="008124CA"/>
    <w:pPr>
      <w:spacing w:after="0" w:line="240" w:lineRule="auto"/>
    </w:pPr>
    <w:rPr>
      <w:rFonts w:ascii="Tahoma" w:hAnsi="Tahoma" w:cs="Tahoma"/>
      <w:sz w:val="16"/>
      <w:szCs w:val="16"/>
    </w:rPr>
  </w:style>
  <w:style w:type="character" w:customStyle="1" w:styleId="aa">
    <w:name w:val="Текст выноски Знак"/>
    <w:link w:val="a9"/>
    <w:uiPriority w:val="99"/>
    <w:semiHidden/>
    <w:locked/>
    <w:rsid w:val="008124CA"/>
    <w:rPr>
      <w:rFonts w:ascii="Tahoma" w:eastAsia="Times New Roman" w:hAnsi="Tahoma" w:cs="Tahoma"/>
      <w:sz w:val="16"/>
      <w:szCs w:val="16"/>
    </w:rPr>
  </w:style>
  <w:style w:type="table" w:styleId="ab">
    <w:name w:val="Table Grid"/>
    <w:basedOn w:val="a1"/>
    <w:locked/>
    <w:rsid w:val="000F309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uthorAffiliation">
    <w:name w:val="Author Affiliation"/>
    <w:basedOn w:val="a"/>
    <w:rsid w:val="002A4C9B"/>
    <w:pPr>
      <w:spacing w:after="0" w:line="240" w:lineRule="auto"/>
      <w:jc w:val="center"/>
    </w:pPr>
    <w:rPr>
      <w:rFonts w:ascii="Times New Roman" w:eastAsia="Times New Roman" w:hAnsi="Times New Roman"/>
      <w:i/>
      <w:sz w:val="20"/>
      <w:szCs w:val="20"/>
      <w:lang w:val="en-US"/>
    </w:rPr>
  </w:style>
  <w:style w:type="character" w:styleId="ac">
    <w:name w:val="Hyperlink"/>
    <w:uiPriority w:val="99"/>
    <w:unhideWhenUsed/>
    <w:rsid w:val="005B27A2"/>
    <w:rPr>
      <w:color w:val="0000FF"/>
      <w:u w:val="single"/>
    </w:rPr>
  </w:style>
  <w:style w:type="character" w:customStyle="1" w:styleId="ypks7kbdpwfgdykd3qb9">
    <w:name w:val="ypks7kbdpwfgdykd3qb9"/>
    <w:rsid w:val="00701A2B"/>
  </w:style>
  <w:style w:type="character" w:customStyle="1" w:styleId="a4">
    <w:name w:val="Абзац списка Знак"/>
    <w:aliases w:val="Абзац вправо-1 Знак,List Paragraph1 Знак"/>
    <w:link w:val="a3"/>
    <w:uiPriority w:val="34"/>
    <w:locked/>
    <w:rsid w:val="002F609D"/>
    <w:rPr>
      <w:sz w:val="22"/>
      <w:szCs w:val="22"/>
      <w:lang w:eastAsia="en-US"/>
    </w:rPr>
  </w:style>
  <w:style w:type="paragraph" w:customStyle="1" w:styleId="Default">
    <w:name w:val="Default"/>
    <w:rsid w:val="00402F2B"/>
    <w:pPr>
      <w:autoSpaceDE w:val="0"/>
      <w:autoSpaceDN w:val="0"/>
      <w:adjustRightInd w:val="0"/>
    </w:pPr>
    <w:rPr>
      <w:rFonts w:ascii="XOKJNQ+Times-New-Roman,Italic" w:hAnsi="XOKJNQ+Times-New-Roman,Italic" w:cs="XOKJNQ+Times-New-Roman,Italic"/>
      <w:color w:val="000000"/>
      <w:sz w:val="24"/>
      <w:szCs w:val="24"/>
    </w:rPr>
  </w:style>
  <w:style w:type="character" w:styleId="ad">
    <w:name w:val="Strong"/>
    <w:uiPriority w:val="22"/>
    <w:qFormat/>
    <w:locked/>
    <w:rsid w:val="006076B7"/>
    <w:rPr>
      <w:b/>
      <w:bCs/>
    </w:rPr>
  </w:style>
  <w:style w:type="paragraph" w:styleId="ae">
    <w:name w:val="Обычный (веб)"/>
    <w:basedOn w:val="a"/>
    <w:uiPriority w:val="99"/>
    <w:unhideWhenUsed/>
    <w:rsid w:val="0067548A"/>
    <w:pPr>
      <w:spacing w:before="100" w:beforeAutospacing="1" w:after="100" w:afterAutospacing="1" w:line="240" w:lineRule="auto"/>
    </w:pPr>
    <w:rPr>
      <w:rFonts w:ascii="Times New Roman" w:eastAsia="Times New Roman" w:hAnsi="Times New Roman"/>
      <w:sz w:val="24"/>
      <w:szCs w:val="24"/>
      <w:lang w:eastAsia="ru-RU"/>
    </w:rPr>
  </w:style>
  <w:style w:type="character" w:styleId="af">
    <w:name w:val="Emphasis"/>
    <w:uiPriority w:val="20"/>
    <w:qFormat/>
    <w:locked/>
    <w:rsid w:val="0067548A"/>
    <w:rPr>
      <w:i/>
      <w:iCs/>
    </w:rPr>
  </w:style>
  <w:style w:type="character" w:customStyle="1" w:styleId="30">
    <w:name w:val="Заголовок 3 Знак"/>
    <w:link w:val="3"/>
    <w:uiPriority w:val="9"/>
    <w:rsid w:val="009B45CA"/>
    <w:rPr>
      <w:rFonts w:ascii="Times New Roman" w:eastAsia="Times New Roman" w:hAnsi="Times New Roman"/>
      <w:b/>
      <w:bCs/>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60619">
      <w:bodyDiv w:val="1"/>
      <w:marLeft w:val="0"/>
      <w:marRight w:val="0"/>
      <w:marTop w:val="0"/>
      <w:marBottom w:val="0"/>
      <w:divBdr>
        <w:top w:val="none" w:sz="0" w:space="0" w:color="auto"/>
        <w:left w:val="none" w:sz="0" w:space="0" w:color="auto"/>
        <w:bottom w:val="none" w:sz="0" w:space="0" w:color="auto"/>
        <w:right w:val="none" w:sz="0" w:space="0" w:color="auto"/>
      </w:divBdr>
    </w:div>
    <w:div w:id="479537291">
      <w:bodyDiv w:val="1"/>
      <w:marLeft w:val="0"/>
      <w:marRight w:val="0"/>
      <w:marTop w:val="0"/>
      <w:marBottom w:val="0"/>
      <w:divBdr>
        <w:top w:val="none" w:sz="0" w:space="0" w:color="auto"/>
        <w:left w:val="none" w:sz="0" w:space="0" w:color="auto"/>
        <w:bottom w:val="none" w:sz="0" w:space="0" w:color="auto"/>
        <w:right w:val="none" w:sz="0" w:space="0" w:color="auto"/>
      </w:divBdr>
    </w:div>
    <w:div w:id="643513343">
      <w:bodyDiv w:val="1"/>
      <w:marLeft w:val="0"/>
      <w:marRight w:val="0"/>
      <w:marTop w:val="0"/>
      <w:marBottom w:val="0"/>
      <w:divBdr>
        <w:top w:val="none" w:sz="0" w:space="0" w:color="auto"/>
        <w:left w:val="none" w:sz="0" w:space="0" w:color="auto"/>
        <w:bottom w:val="none" w:sz="0" w:space="0" w:color="auto"/>
        <w:right w:val="none" w:sz="0" w:space="0" w:color="auto"/>
      </w:divBdr>
    </w:div>
    <w:div w:id="728186346">
      <w:bodyDiv w:val="1"/>
      <w:marLeft w:val="0"/>
      <w:marRight w:val="0"/>
      <w:marTop w:val="0"/>
      <w:marBottom w:val="0"/>
      <w:divBdr>
        <w:top w:val="none" w:sz="0" w:space="0" w:color="auto"/>
        <w:left w:val="none" w:sz="0" w:space="0" w:color="auto"/>
        <w:bottom w:val="none" w:sz="0" w:space="0" w:color="auto"/>
        <w:right w:val="none" w:sz="0" w:space="0" w:color="auto"/>
      </w:divBdr>
    </w:div>
    <w:div w:id="1020399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scopus.com/authid/detail.uri?authorId=58134879900" TargetMode="External"/><Relationship Id="rId3" Type="http://schemas.openxmlformats.org/officeDocument/2006/relationships/settings" Target="settings.xml"/><Relationship Id="rId7" Type="http://schemas.openxmlformats.org/officeDocument/2006/relationships/hyperlink" Target="mailto:zokirov-otabek@mail.ru" TargetMode="External"/><Relationship Id="rId12" Type="http://schemas.openxmlformats.org/officeDocument/2006/relationships/hyperlink" Target="https://www.scopus.com/pages/publications/85149688588?origin=resultslist"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scopus.com/authid/detail.uri?authorId=58134879900"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scopus.com/pages/publications/85174578071?origin=resultslist"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2088</Words>
  <Characters>11906</Characters>
  <Application>Microsoft Office Word</Application>
  <DocSecurity>0</DocSecurity>
  <Lines>99</Lines>
  <Paragraphs>27</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13967</CharactersWithSpaces>
  <SharedDoc>false</SharedDoc>
  <HLinks>
    <vt:vector size="30" baseType="variant">
      <vt:variant>
        <vt:i4>1376273</vt:i4>
      </vt:variant>
      <vt:variant>
        <vt:i4>12</vt:i4>
      </vt:variant>
      <vt:variant>
        <vt:i4>0</vt:i4>
      </vt:variant>
      <vt:variant>
        <vt:i4>5</vt:i4>
      </vt:variant>
      <vt:variant>
        <vt:lpwstr>https://www.scopus.com/authid/detail.uri?authorId=58134879900</vt:lpwstr>
      </vt:variant>
      <vt:variant>
        <vt:lpwstr/>
      </vt:variant>
      <vt:variant>
        <vt:i4>82</vt:i4>
      </vt:variant>
      <vt:variant>
        <vt:i4>9</vt:i4>
      </vt:variant>
      <vt:variant>
        <vt:i4>0</vt:i4>
      </vt:variant>
      <vt:variant>
        <vt:i4>5</vt:i4>
      </vt:variant>
      <vt:variant>
        <vt:lpwstr>https://www.scopus.com/pages/publications/85149688588?origin=resultslist</vt:lpwstr>
      </vt:variant>
      <vt:variant>
        <vt:lpwstr/>
      </vt:variant>
      <vt:variant>
        <vt:i4>1376273</vt:i4>
      </vt:variant>
      <vt:variant>
        <vt:i4>6</vt:i4>
      </vt:variant>
      <vt:variant>
        <vt:i4>0</vt:i4>
      </vt:variant>
      <vt:variant>
        <vt:i4>5</vt:i4>
      </vt:variant>
      <vt:variant>
        <vt:lpwstr>https://www.scopus.com/authid/detail.uri?authorId=58134879900</vt:lpwstr>
      </vt:variant>
      <vt:variant>
        <vt:lpwstr/>
      </vt:variant>
      <vt:variant>
        <vt:i4>983132</vt:i4>
      </vt:variant>
      <vt:variant>
        <vt:i4>3</vt:i4>
      </vt:variant>
      <vt:variant>
        <vt:i4>0</vt:i4>
      </vt:variant>
      <vt:variant>
        <vt:i4>5</vt:i4>
      </vt:variant>
      <vt:variant>
        <vt:lpwstr>https://www.scopus.com/pages/publications/85174578071?origin=resultslist</vt:lpwstr>
      </vt:variant>
      <vt:variant>
        <vt:lpwstr/>
      </vt:variant>
      <vt:variant>
        <vt:i4>2293849</vt:i4>
      </vt:variant>
      <vt:variant>
        <vt:i4>0</vt:i4>
      </vt:variant>
      <vt:variant>
        <vt:i4>0</vt:i4>
      </vt:variant>
      <vt:variant>
        <vt:i4>5</vt:i4>
      </vt:variant>
      <vt:variant>
        <vt:lpwstr>mailto:zokirov-otabek@mail.ru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Intel</dc:creator>
  <cp:keywords/>
  <dc:description/>
  <cp:lastModifiedBy>Пользователь</cp:lastModifiedBy>
  <cp:revision>2</cp:revision>
  <dcterms:created xsi:type="dcterms:W3CDTF">2026-01-09T15:48:00Z</dcterms:created>
  <dcterms:modified xsi:type="dcterms:W3CDTF">2026-01-09T15:48:00Z</dcterms:modified>
</cp:coreProperties>
</file>