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60D96" w:rsidRPr="00974376" w:rsidRDefault="00974376" w:rsidP="007639CA">
      <w:pPr>
        <w:spacing w:before="1200" w:line="240" w:lineRule="auto"/>
        <w:jc w:val="center"/>
        <w:rPr>
          <w:rFonts w:ascii="Times New Roman" w:eastAsia="Times New Roman" w:hAnsi="Times New Roman" w:cs="Times New Roman"/>
          <w:b/>
          <w:bCs/>
          <w:sz w:val="36"/>
          <w:szCs w:val="36"/>
          <w:lang w:val="en-US"/>
        </w:rPr>
      </w:pPr>
      <w:r w:rsidRPr="00974376">
        <w:rPr>
          <w:rFonts w:ascii="Times New Roman" w:eastAsia="Times New Roman" w:hAnsi="Times New Roman" w:cs="Times New Roman"/>
          <w:b/>
          <w:bCs/>
          <w:sz w:val="36"/>
          <w:szCs w:val="36"/>
          <w:lang w:val="en-US"/>
        </w:rPr>
        <w:t xml:space="preserve">Methodology for applying pedagogical and virtual modeling technologies in the training of professionally competent </w:t>
      </w:r>
      <w:r w:rsidRPr="00974376">
        <w:rPr>
          <w:rFonts w:ascii="Times New Roman" w:hAnsi="Times New Roman" w:cs="Times New Roman"/>
          <w:b/>
          <w:sz w:val="36"/>
          <w:szCs w:val="36"/>
          <w:lang w:val="en-US"/>
        </w:rPr>
        <w:t>specialists</w:t>
      </w:r>
    </w:p>
    <w:p w:rsidR="00360D96" w:rsidRPr="009722C0" w:rsidRDefault="00556263" w:rsidP="007639CA">
      <w:pPr>
        <w:spacing w:before="240" w:line="240" w:lineRule="auto"/>
        <w:ind w:firstLine="284"/>
        <w:jc w:val="center"/>
        <w:rPr>
          <w:rFonts w:ascii="Times New Roman" w:hAnsi="Times New Roman" w:cs="Times New Roman"/>
          <w:bCs/>
          <w:sz w:val="28"/>
          <w:szCs w:val="28"/>
          <w:vertAlign w:val="superscript"/>
          <w:lang w:val="en-US"/>
        </w:rPr>
      </w:pPr>
      <w:r>
        <w:rPr>
          <w:rFonts w:ascii="Times New Roman" w:hAnsi="Times New Roman" w:cs="Times New Roman"/>
          <w:bCs/>
          <w:sz w:val="28"/>
          <w:szCs w:val="28"/>
          <w:lang w:val="en-US"/>
        </w:rPr>
        <w:t>Sevara Tura</w:t>
      </w:r>
      <w:r w:rsidR="00E026D5" w:rsidRPr="00556263">
        <w:rPr>
          <w:rFonts w:ascii="Times New Roman" w:hAnsi="Times New Roman" w:cs="Times New Roman"/>
          <w:bCs/>
          <w:sz w:val="28"/>
          <w:szCs w:val="28"/>
          <w:lang w:val="en-US"/>
        </w:rPr>
        <w:t>eva</w:t>
      </w:r>
      <w:r w:rsidR="007639CA">
        <w:rPr>
          <w:rFonts w:ascii="Times New Roman" w:hAnsi="Times New Roman" w:cs="Times New Roman"/>
          <w:bCs/>
          <w:sz w:val="28"/>
          <w:szCs w:val="28"/>
          <w:lang w:val="en-US"/>
        </w:rPr>
        <w:t xml:space="preserve"> </w:t>
      </w:r>
      <w:r w:rsidR="00E026D5" w:rsidRPr="00556263">
        <w:rPr>
          <w:rFonts w:ascii="Times New Roman" w:eastAsia="Cambria Math" w:hAnsi="Times New Roman" w:cs="Times New Roman"/>
          <w:bCs/>
          <w:sz w:val="28"/>
          <w:szCs w:val="28"/>
          <w:lang w:val="en-US"/>
        </w:rPr>
        <w:t>¹</w:t>
      </w:r>
      <w:r w:rsidR="002A3A3C">
        <w:rPr>
          <w:rFonts w:ascii="Times New Roman" w:eastAsia="Cambria Math" w:hAnsi="Times New Roman" w:cs="Times New Roman"/>
          <w:bCs/>
          <w:sz w:val="28"/>
          <w:szCs w:val="28"/>
          <w:vertAlign w:val="superscript"/>
          <w:lang w:val="en-US"/>
        </w:rPr>
        <w:t>,</w:t>
      </w:r>
      <w:r w:rsidR="00E026D5" w:rsidRPr="00556263">
        <w:rPr>
          <w:rFonts w:ascii="Times New Roman" w:eastAsia="Times New Roman" w:hAnsi="Times New Roman" w:cs="Times New Roman"/>
          <w:sz w:val="28"/>
          <w:szCs w:val="28"/>
          <w:vertAlign w:val="superscript"/>
          <w:lang w:val="en-US"/>
        </w:rPr>
        <w:t>a)</w:t>
      </w:r>
      <w:r w:rsidR="00E026D5" w:rsidRPr="00556263">
        <w:rPr>
          <w:rFonts w:ascii="Times New Roman" w:hAnsi="Times New Roman" w:cs="Times New Roman"/>
          <w:bCs/>
          <w:sz w:val="28"/>
          <w:szCs w:val="28"/>
          <w:lang w:val="en-US"/>
        </w:rPr>
        <w:t>, Farxodjon Parmankulov</w:t>
      </w:r>
      <w:r w:rsidR="00E026D5" w:rsidRPr="00556263">
        <w:rPr>
          <w:rFonts w:ascii="Times New Roman" w:eastAsia="Cambria Math" w:hAnsi="Times New Roman" w:cs="Times New Roman"/>
          <w:bCs/>
          <w:sz w:val="28"/>
          <w:szCs w:val="28"/>
          <w:lang w:val="en-US"/>
        </w:rPr>
        <w:t>¹</w:t>
      </w:r>
      <w:r w:rsidRPr="00556263">
        <w:rPr>
          <w:rFonts w:ascii="Times New Roman" w:eastAsia="Cambria Math" w:hAnsi="Times New Roman" w:cs="Times New Roman"/>
          <w:bCs/>
          <w:sz w:val="28"/>
          <w:szCs w:val="28"/>
          <w:lang w:val="en-US"/>
        </w:rPr>
        <w:t>,</w:t>
      </w:r>
      <w:r>
        <w:rPr>
          <w:rFonts w:ascii="Times New Roman" w:eastAsia="Cambria Math" w:hAnsi="Times New Roman" w:cs="Times New Roman"/>
          <w:bCs/>
          <w:sz w:val="28"/>
          <w:szCs w:val="28"/>
          <w:lang w:val="en-US"/>
        </w:rPr>
        <w:t xml:space="preserve"> </w:t>
      </w:r>
      <w:r w:rsidR="002A3A3C" w:rsidRPr="002A3A3C">
        <w:rPr>
          <w:rFonts w:ascii="Times New Roman" w:hAnsi="Times New Roman" w:cs="Times New Roman"/>
          <w:bCs/>
          <w:sz w:val="28"/>
          <w:szCs w:val="28"/>
          <w:lang w:val="en-US"/>
        </w:rPr>
        <w:t>Gulmira Pardaeva</w:t>
      </w:r>
      <w:r w:rsidR="00DD012C">
        <w:rPr>
          <w:rFonts w:ascii="Times New Roman" w:hAnsi="Times New Roman" w:cs="Times New Roman"/>
          <w:bCs/>
          <w:sz w:val="28"/>
          <w:szCs w:val="28"/>
          <w:vertAlign w:val="superscript"/>
          <w:lang w:val="en-US"/>
        </w:rPr>
        <w:t>2</w:t>
      </w:r>
      <w:r w:rsidR="002A3A3C" w:rsidRPr="002A3A3C">
        <w:rPr>
          <w:rFonts w:ascii="Times New Roman" w:hAnsi="Times New Roman" w:cs="Times New Roman"/>
          <w:bCs/>
          <w:sz w:val="28"/>
          <w:szCs w:val="28"/>
          <w:lang w:val="en-US"/>
        </w:rPr>
        <w:t>, Aziza Akmalova</w:t>
      </w:r>
      <w:r w:rsidR="00DD012C">
        <w:rPr>
          <w:rFonts w:ascii="Times New Roman" w:hAnsi="Times New Roman" w:cs="Times New Roman"/>
          <w:bCs/>
          <w:sz w:val="28"/>
          <w:szCs w:val="28"/>
          <w:vertAlign w:val="superscript"/>
          <w:lang w:val="en-US"/>
        </w:rPr>
        <w:t>3</w:t>
      </w:r>
      <w:r w:rsidR="002A3A3C" w:rsidRPr="002A3A3C">
        <w:rPr>
          <w:rFonts w:ascii="Times New Roman" w:hAnsi="Times New Roman" w:cs="Times New Roman"/>
          <w:bCs/>
          <w:sz w:val="28"/>
          <w:szCs w:val="28"/>
          <w:lang w:val="en-US"/>
        </w:rPr>
        <w:t xml:space="preserve">, </w:t>
      </w:r>
      <w:r w:rsidR="009722C0">
        <w:rPr>
          <w:rFonts w:ascii="Times New Roman" w:hAnsi="Times New Roman" w:cs="Times New Roman"/>
          <w:bCs/>
          <w:sz w:val="28"/>
          <w:szCs w:val="28"/>
          <w:lang w:val="en-US"/>
        </w:rPr>
        <w:t>Sulaymonova Dilnoza</w:t>
      </w:r>
      <w:r w:rsidR="009722C0">
        <w:rPr>
          <w:rFonts w:ascii="Times New Roman" w:hAnsi="Times New Roman" w:cs="Times New Roman"/>
          <w:bCs/>
          <w:sz w:val="28"/>
          <w:szCs w:val="28"/>
          <w:vertAlign w:val="superscript"/>
          <w:lang w:val="en-US"/>
        </w:rPr>
        <w:t>4</w:t>
      </w:r>
    </w:p>
    <w:p w:rsidR="00360D96" w:rsidRPr="00AF638D" w:rsidRDefault="00E026D5" w:rsidP="00AF638D">
      <w:pPr>
        <w:spacing w:after="0" w:line="240" w:lineRule="auto"/>
        <w:ind w:firstLine="284"/>
        <w:jc w:val="center"/>
        <w:rPr>
          <w:rFonts w:ascii="Times New Roman" w:eastAsia="Calibri" w:hAnsi="Times New Roman" w:cs="Times New Roman"/>
          <w:i/>
          <w:sz w:val="20"/>
          <w:szCs w:val="20"/>
          <w:lang w:val="en-US"/>
        </w:rPr>
      </w:pPr>
      <w:r w:rsidRPr="00AF638D">
        <w:rPr>
          <w:rFonts w:ascii="Times New Roman" w:eastAsia="Cambria Math" w:hAnsi="Times New Roman" w:cs="Times New Roman"/>
          <w:bCs/>
          <w:i/>
          <w:iCs/>
          <w:sz w:val="20"/>
          <w:szCs w:val="20"/>
          <w:lang w:val="en-US"/>
        </w:rPr>
        <w:t>¹</w:t>
      </w:r>
      <w:r w:rsidR="007639CA">
        <w:rPr>
          <w:rFonts w:ascii="Times New Roman" w:eastAsia="Cambria Math" w:hAnsi="Times New Roman" w:cs="Times New Roman"/>
          <w:bCs/>
          <w:i/>
          <w:iCs/>
          <w:sz w:val="20"/>
          <w:szCs w:val="20"/>
          <w:lang w:val="en-US"/>
        </w:rPr>
        <w:t xml:space="preserve"> </w:t>
      </w:r>
      <w:r w:rsidRPr="00AF638D">
        <w:rPr>
          <w:rFonts w:ascii="Times New Roman" w:hAnsi="Times New Roman" w:cs="Times New Roman"/>
          <w:bCs/>
          <w:i/>
          <w:iCs/>
          <w:sz w:val="20"/>
          <w:szCs w:val="20"/>
          <w:lang w:val="en-US"/>
        </w:rPr>
        <w:t>Belarusian-Uzbekistan Institute of Intersectoral Practical Technical Qualifications in Tashkent</w:t>
      </w:r>
      <w:r w:rsidR="00974376" w:rsidRPr="00AF638D">
        <w:rPr>
          <w:rFonts w:ascii="Times New Roman" w:hAnsi="Times New Roman" w:cs="Times New Roman"/>
          <w:bCs/>
          <w:i/>
          <w:iCs/>
          <w:sz w:val="20"/>
          <w:szCs w:val="20"/>
          <w:lang w:val="en-US"/>
        </w:rPr>
        <w:t xml:space="preserve">, </w:t>
      </w:r>
      <w:r w:rsidR="00974376" w:rsidRPr="00AF638D">
        <w:rPr>
          <w:rFonts w:ascii="Times New Roman" w:eastAsia="Calibri" w:hAnsi="Times New Roman" w:cs="Times New Roman"/>
          <w:i/>
          <w:sz w:val="20"/>
          <w:szCs w:val="20"/>
          <w:lang w:val="en-US"/>
        </w:rPr>
        <w:t>Tashkent, Uzbekistan</w:t>
      </w:r>
    </w:p>
    <w:p w:rsidR="00DD012C" w:rsidRPr="00AF638D" w:rsidRDefault="00DD012C" w:rsidP="00AF638D">
      <w:pPr>
        <w:spacing w:after="0" w:line="240" w:lineRule="auto"/>
        <w:ind w:firstLine="284"/>
        <w:jc w:val="center"/>
        <w:rPr>
          <w:rFonts w:ascii="Times New Roman" w:eastAsia="Cambria Math" w:hAnsi="Times New Roman" w:cs="Times New Roman"/>
          <w:bCs/>
          <w:i/>
          <w:iCs/>
          <w:sz w:val="20"/>
          <w:szCs w:val="20"/>
          <w:lang w:val="en-US"/>
        </w:rPr>
      </w:pPr>
      <w:r w:rsidRPr="00AF638D">
        <w:rPr>
          <w:rFonts w:ascii="Times New Roman" w:eastAsia="Cambria Math" w:hAnsi="Times New Roman" w:cs="Times New Roman"/>
          <w:bCs/>
          <w:i/>
          <w:iCs/>
          <w:sz w:val="20"/>
          <w:szCs w:val="20"/>
          <w:vertAlign w:val="superscript"/>
          <w:lang w:val="en-US"/>
        </w:rPr>
        <w:t>2</w:t>
      </w:r>
      <w:r w:rsidR="007639CA">
        <w:rPr>
          <w:rFonts w:ascii="Times New Roman" w:eastAsia="Cambria Math" w:hAnsi="Times New Roman" w:cs="Times New Roman"/>
          <w:bCs/>
          <w:i/>
          <w:iCs/>
          <w:sz w:val="20"/>
          <w:szCs w:val="20"/>
          <w:vertAlign w:val="superscript"/>
          <w:lang w:val="en-US"/>
        </w:rPr>
        <w:t xml:space="preserve"> </w:t>
      </w:r>
      <w:r w:rsidRPr="00AF638D">
        <w:rPr>
          <w:rFonts w:ascii="Times New Roman" w:eastAsia="Cambria Math" w:hAnsi="Times New Roman" w:cs="Times New Roman"/>
          <w:bCs/>
          <w:i/>
          <w:iCs/>
          <w:sz w:val="20"/>
          <w:szCs w:val="20"/>
          <w:lang w:val="en-US"/>
        </w:rPr>
        <w:t>University of information technology and management,</w:t>
      </w:r>
      <w:r w:rsidR="00C15464" w:rsidRPr="00AF638D">
        <w:rPr>
          <w:rFonts w:ascii="Times New Roman" w:eastAsia="Cambria Math" w:hAnsi="Times New Roman" w:cs="Times New Roman"/>
          <w:bCs/>
          <w:i/>
          <w:iCs/>
          <w:sz w:val="20"/>
          <w:szCs w:val="20"/>
          <w:lang w:val="en-US"/>
        </w:rPr>
        <w:t xml:space="preserve"> Karshi,</w:t>
      </w:r>
      <w:r w:rsidRPr="00AF638D">
        <w:rPr>
          <w:rFonts w:ascii="Times New Roman" w:eastAsia="Cambria Math" w:hAnsi="Times New Roman" w:cs="Times New Roman"/>
          <w:bCs/>
          <w:i/>
          <w:iCs/>
          <w:sz w:val="20"/>
          <w:szCs w:val="20"/>
          <w:lang w:val="en-US"/>
        </w:rPr>
        <w:t xml:space="preserve"> Uzbekistan</w:t>
      </w:r>
    </w:p>
    <w:p w:rsidR="00DD012C" w:rsidRPr="00AF638D" w:rsidRDefault="00DD012C" w:rsidP="00AF638D">
      <w:pPr>
        <w:spacing w:after="0" w:line="240" w:lineRule="auto"/>
        <w:ind w:firstLine="284"/>
        <w:jc w:val="center"/>
        <w:rPr>
          <w:rFonts w:ascii="Times New Roman" w:eastAsia="Cambria Math" w:hAnsi="Times New Roman" w:cs="Times New Roman"/>
          <w:bCs/>
          <w:i/>
          <w:iCs/>
          <w:sz w:val="20"/>
          <w:szCs w:val="20"/>
          <w:lang w:val="en-US"/>
        </w:rPr>
      </w:pPr>
      <w:r w:rsidRPr="00AF638D">
        <w:rPr>
          <w:rFonts w:ascii="Times New Roman" w:eastAsia="Cambria Math" w:hAnsi="Times New Roman" w:cs="Times New Roman"/>
          <w:bCs/>
          <w:i/>
          <w:iCs/>
          <w:sz w:val="20"/>
          <w:szCs w:val="20"/>
          <w:vertAlign w:val="superscript"/>
          <w:lang w:val="en-US"/>
        </w:rPr>
        <w:t>3</w:t>
      </w:r>
      <w:r w:rsidR="007639CA">
        <w:rPr>
          <w:rFonts w:ascii="Times New Roman" w:eastAsia="Cambria Math" w:hAnsi="Times New Roman" w:cs="Times New Roman"/>
          <w:bCs/>
          <w:i/>
          <w:iCs/>
          <w:sz w:val="20"/>
          <w:szCs w:val="20"/>
          <w:vertAlign w:val="superscript"/>
          <w:lang w:val="en-US"/>
        </w:rPr>
        <w:t xml:space="preserve"> </w:t>
      </w:r>
      <w:r w:rsidRPr="00AF638D">
        <w:rPr>
          <w:rFonts w:ascii="Times New Roman" w:eastAsia="Cambria Math" w:hAnsi="Times New Roman" w:cs="Times New Roman"/>
          <w:bCs/>
          <w:i/>
          <w:iCs/>
          <w:sz w:val="20"/>
          <w:szCs w:val="20"/>
          <w:lang w:val="en-US"/>
        </w:rPr>
        <w:t xml:space="preserve">National University of Uzbekistan named after Mirzo Ulugbek, </w:t>
      </w:r>
      <w:r w:rsidR="007639CA">
        <w:rPr>
          <w:rFonts w:ascii="Times New Roman" w:eastAsia="Cambria Math" w:hAnsi="Times New Roman" w:cs="Times New Roman"/>
          <w:bCs/>
          <w:i/>
          <w:iCs/>
          <w:sz w:val="20"/>
          <w:szCs w:val="20"/>
          <w:lang w:val="en-US"/>
        </w:rPr>
        <w:t xml:space="preserve">Tashkent, </w:t>
      </w:r>
      <w:r w:rsidRPr="00AF638D">
        <w:rPr>
          <w:rFonts w:ascii="Times New Roman" w:eastAsia="Cambria Math" w:hAnsi="Times New Roman" w:cs="Times New Roman"/>
          <w:bCs/>
          <w:i/>
          <w:iCs/>
          <w:sz w:val="20"/>
          <w:szCs w:val="20"/>
          <w:lang w:val="en-US"/>
        </w:rPr>
        <w:t>Uzbekistan</w:t>
      </w:r>
    </w:p>
    <w:p w:rsidR="009722C0" w:rsidRPr="00AF638D" w:rsidRDefault="009722C0" w:rsidP="00AF638D">
      <w:pPr>
        <w:spacing w:line="240" w:lineRule="auto"/>
        <w:ind w:firstLine="284"/>
        <w:jc w:val="center"/>
        <w:rPr>
          <w:rFonts w:ascii="Times New Roman" w:eastAsia="Cambria Math" w:hAnsi="Times New Roman" w:cs="Times New Roman"/>
          <w:bCs/>
          <w:i/>
          <w:iCs/>
          <w:sz w:val="20"/>
          <w:szCs w:val="20"/>
          <w:lang w:val="en-US"/>
        </w:rPr>
      </w:pPr>
      <w:r w:rsidRPr="00AF638D">
        <w:rPr>
          <w:rFonts w:ascii="Times New Roman" w:eastAsia="Cambria Math" w:hAnsi="Times New Roman" w:cs="Times New Roman"/>
          <w:bCs/>
          <w:i/>
          <w:iCs/>
          <w:sz w:val="20"/>
          <w:szCs w:val="20"/>
          <w:vertAlign w:val="superscript"/>
          <w:lang w:val="en-US"/>
        </w:rPr>
        <w:t>4</w:t>
      </w:r>
      <w:r w:rsidR="007639CA">
        <w:rPr>
          <w:rFonts w:ascii="Times New Roman" w:eastAsia="Cambria Math" w:hAnsi="Times New Roman" w:cs="Times New Roman"/>
          <w:bCs/>
          <w:i/>
          <w:iCs/>
          <w:sz w:val="20"/>
          <w:szCs w:val="20"/>
          <w:vertAlign w:val="superscript"/>
          <w:lang w:val="en-US"/>
        </w:rPr>
        <w:t xml:space="preserve"> </w:t>
      </w:r>
      <w:r w:rsidRPr="00AF638D">
        <w:rPr>
          <w:rFonts w:ascii="Times New Roman" w:eastAsia="Cambria Math" w:hAnsi="Times New Roman" w:cs="Times New Roman"/>
          <w:bCs/>
          <w:i/>
          <w:iCs/>
          <w:sz w:val="20"/>
          <w:szCs w:val="20"/>
          <w:lang w:val="en-US"/>
        </w:rPr>
        <w:t>Karshi State Technical University,</w:t>
      </w:r>
      <w:r w:rsidR="00C15464" w:rsidRPr="00AF638D">
        <w:rPr>
          <w:rFonts w:ascii="Times New Roman" w:eastAsia="Cambria Math" w:hAnsi="Times New Roman" w:cs="Times New Roman"/>
          <w:bCs/>
          <w:i/>
          <w:iCs/>
          <w:sz w:val="20"/>
          <w:szCs w:val="20"/>
          <w:lang w:val="en-US"/>
        </w:rPr>
        <w:t xml:space="preserve"> Karshi,</w:t>
      </w:r>
      <w:r w:rsidRPr="00AF638D">
        <w:rPr>
          <w:rFonts w:ascii="Times New Roman" w:eastAsia="Cambria Math" w:hAnsi="Times New Roman" w:cs="Times New Roman"/>
          <w:bCs/>
          <w:i/>
          <w:iCs/>
          <w:sz w:val="20"/>
          <w:szCs w:val="20"/>
          <w:lang w:val="en-US"/>
        </w:rPr>
        <w:t xml:space="preserve"> Uzbekistan</w:t>
      </w:r>
    </w:p>
    <w:p w:rsidR="00703DBE" w:rsidRPr="00703DBE" w:rsidRDefault="00703DBE" w:rsidP="007639CA">
      <w:pPr>
        <w:spacing w:before="200" w:line="240" w:lineRule="auto"/>
        <w:ind w:firstLine="284"/>
        <w:jc w:val="center"/>
        <w:rPr>
          <w:rFonts w:ascii="Times New Roman" w:hAnsi="Times New Roman" w:cs="Times New Roman"/>
          <w:i/>
          <w:lang w:val="en-US"/>
        </w:rPr>
      </w:pPr>
      <w:r w:rsidRPr="00703DBE">
        <w:rPr>
          <w:rFonts w:ascii="Times New Roman" w:hAnsi="Times New Roman" w:cs="Times New Roman"/>
          <w:i/>
          <w:vertAlign w:val="superscript"/>
          <w:lang w:val="en-US"/>
        </w:rPr>
        <w:t>a)</w:t>
      </w:r>
      <w:r w:rsidRPr="00703DBE">
        <w:rPr>
          <w:rFonts w:ascii="Times New Roman" w:hAnsi="Times New Roman" w:cs="Times New Roman"/>
          <w:i/>
          <w:lang w:val="en-US"/>
        </w:rPr>
        <w:t xml:space="preserve"> </w:t>
      </w:r>
      <w:r w:rsidRPr="00AF638D">
        <w:rPr>
          <w:rFonts w:ascii="Times New Roman" w:eastAsia="Times New Roman" w:hAnsi="Times New Roman" w:cs="Times New Roman"/>
          <w:i/>
          <w:sz w:val="20"/>
          <w:szCs w:val="18"/>
          <w:lang w:val="en-US"/>
        </w:rPr>
        <w:t>Corresponding author</w:t>
      </w:r>
      <w:r w:rsidRPr="00703DBE">
        <w:rPr>
          <w:rFonts w:ascii="Times New Roman" w:hAnsi="Times New Roman" w:cs="Times New Roman"/>
          <w:i/>
          <w:lang w:val="en-US"/>
        </w:rPr>
        <w:t xml:space="preserve">: </w:t>
      </w:r>
      <w:r w:rsidR="00DD012C" w:rsidRPr="00AF638D">
        <w:rPr>
          <w:rFonts w:ascii="Times New Roman" w:hAnsi="Times New Roman" w:cs="Times New Roman"/>
          <w:i/>
          <w:color w:val="0563C1" w:themeColor="hyperlink"/>
          <w:sz w:val="20"/>
          <w:szCs w:val="20"/>
          <w:u w:val="single"/>
          <w:lang w:val="en-US"/>
        </w:rPr>
        <w:t>sevara08.90@mail.ru</w:t>
      </w:r>
    </w:p>
    <w:p w:rsidR="00360D96" w:rsidRPr="00703DBE" w:rsidRDefault="00E026D5" w:rsidP="007639CA">
      <w:pPr>
        <w:pBdr>
          <w:top w:val="none" w:sz="4" w:space="0" w:color="000000"/>
          <w:left w:val="none" w:sz="4" w:space="0" w:color="000000"/>
          <w:bottom w:val="none" w:sz="4" w:space="0" w:color="000000"/>
          <w:right w:val="none" w:sz="4" w:space="0" w:color="000000"/>
        </w:pBdr>
        <w:spacing w:before="360" w:after="360" w:line="240" w:lineRule="auto"/>
        <w:ind w:left="284" w:right="284"/>
        <w:jc w:val="both"/>
        <w:rPr>
          <w:rFonts w:ascii="Times New Roman" w:hAnsi="Times New Roman" w:cs="Times New Roman"/>
          <w:sz w:val="18"/>
          <w:szCs w:val="28"/>
          <w:lang w:val="en-US"/>
        </w:rPr>
      </w:pPr>
      <w:bookmarkStart w:id="0" w:name="_GoBack"/>
      <w:r w:rsidRPr="00703DBE">
        <w:rPr>
          <w:rFonts w:ascii="Times New Roman" w:eastAsia="Times New Roman" w:hAnsi="Times New Roman" w:cs="Times New Roman"/>
          <w:b/>
          <w:bCs/>
          <w:sz w:val="18"/>
          <w:szCs w:val="28"/>
          <w:lang w:val="en-US"/>
        </w:rPr>
        <w:t>Abstract.</w:t>
      </w:r>
      <w:r w:rsidRPr="00703DBE">
        <w:rPr>
          <w:rFonts w:ascii="Times New Roman" w:eastAsia="Times New Roman" w:hAnsi="Times New Roman" w:cs="Times New Roman"/>
          <w:sz w:val="18"/>
          <w:szCs w:val="28"/>
          <w:lang w:val="en-US"/>
        </w:rPr>
        <w:t xml:space="preserve"> This study presents an integrated instructional methodology that combines pedagogical technologies with virtual modeling tools to enhance the professional competencies of pre-service physics teachers. The proposed approach is grounded in a competence-oriented framework and incorporates problem-based learning, interactive instructional strategies, project-based activities, and the systematic use of virtual laboratories and 2D/3D simulation environments. Digital modeling tools such as PhET, Algodoo, Labster, and Blender were employed to support conceptual understanding, experimental reasoning, and modeling skills development.</w:t>
      </w:r>
      <w:r w:rsidR="00AF638D">
        <w:rPr>
          <w:rFonts w:ascii="Times New Roman" w:eastAsia="Times New Roman" w:hAnsi="Times New Roman" w:cs="Times New Roman"/>
          <w:sz w:val="18"/>
          <w:szCs w:val="28"/>
          <w:lang w:val="en-US"/>
        </w:rPr>
        <w:t xml:space="preserve"> </w:t>
      </w:r>
      <w:r w:rsidRPr="00703DBE">
        <w:rPr>
          <w:rFonts w:ascii="Times New Roman" w:eastAsia="Times New Roman" w:hAnsi="Times New Roman" w:cs="Times New Roman"/>
          <w:sz w:val="18"/>
          <w:szCs w:val="28"/>
          <w:lang w:val="en-US"/>
        </w:rPr>
        <w:t>The research adopted a quasi-experimental design and was conducted at two higher education institutions, involving pre-service physics teachers assigned to experimental and control groups. The experimental group was instructed using the integrated pedagogical–virtual modeling methodology, while the control group followed traditional instructional practices. Data were collected through theoretical knowledge assessments, rubric-based evaluation of practical skills, and analysis of students’ modeling portfolios. The effectiveness of the methodology was examined using comparative analysis of pre- and post-instruction outcomes.</w:t>
      </w:r>
      <w:r w:rsidR="00AF638D">
        <w:rPr>
          <w:rFonts w:ascii="Times New Roman" w:eastAsia="Times New Roman" w:hAnsi="Times New Roman" w:cs="Times New Roman"/>
          <w:sz w:val="18"/>
          <w:szCs w:val="28"/>
          <w:lang w:val="en-US"/>
        </w:rPr>
        <w:t xml:space="preserve"> </w:t>
      </w:r>
      <w:r w:rsidRPr="00703DBE">
        <w:rPr>
          <w:rFonts w:ascii="Times New Roman" w:eastAsia="Times New Roman" w:hAnsi="Times New Roman" w:cs="Times New Roman"/>
          <w:sz w:val="18"/>
          <w:szCs w:val="28"/>
          <w:lang w:val="en-US"/>
        </w:rPr>
        <w:t>The findings demonstrate that the integrated use of pedagogical technologies and virtual modeling tools leads to substantial improvements in professional competence, conceptual understanding, practical experimentation skills, and modeling-based analytical thinking. The results confirm that the functional integration of instructional strategies with digital simulation environments enhances learning effectiveness and supports the development of technologically and pedagogically competent future physics teachers. The study contributes a validated methodological framework that can be applied in higher education institutions to modernize physics teacher education and strengthen competence-based training.</w:t>
      </w:r>
    </w:p>
    <w:bookmarkEnd w:id="0"/>
    <w:p w:rsidR="00360D96" w:rsidRPr="00703DBE" w:rsidRDefault="00E026D5" w:rsidP="00AF638D">
      <w:pPr>
        <w:spacing w:before="240" w:line="240" w:lineRule="auto"/>
        <w:ind w:firstLine="284"/>
        <w:jc w:val="center"/>
        <w:rPr>
          <w:sz w:val="24"/>
          <w:szCs w:val="28"/>
          <w:lang w:val="en-US"/>
        </w:rPr>
      </w:pPr>
      <w:r w:rsidRPr="00703DBE">
        <w:rPr>
          <w:rFonts w:ascii="Times New Roman" w:eastAsia="Times New Roman" w:hAnsi="Times New Roman" w:cs="Times New Roman"/>
          <w:b/>
          <w:color w:val="000000"/>
          <w:sz w:val="24"/>
          <w:szCs w:val="28"/>
          <w:lang w:val="en-US"/>
        </w:rPr>
        <w:t>INTRODUCTION</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In contemporary higher education, the preparation of professionally competent specialists has become one of the central priorities of educational reforms. The rapid advancement of digital technologies, virtual environments, and modeling tools is transforming the content, structure, and methods of teaching and learning. In particular, the training of pre-service physics teachers requires the integration of theoretical knowledge with practical application, the visualization of complex physical processes, and the development of students’ technological competencies and scientific reasoning skills.</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Virtual laboratories, 2D/3D simulation tools, and modeling platforms such as PhET, Algodoo, Labster, and Blender provide opportunities to enhance students’ investigative abilities, analyze phenomena in depth, and explore physical processes in realistic and interactive environments [18]. When these tools are combined with pedagogical technologies — including problem-based learning, interactive methods, project-based approaches, and integrative instructional models — the learning process becomes significantly more effective and engaging [5].</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lastRenderedPageBreak/>
        <w:t>Although recent educational reforms in Uzbekistan emphasize the implementation of innovative methods and digital resources in higher education, there remains a lack of systematically developed methodologies that integrate pedagogical technologies with virtual modeling to enhance professional competence. In particular, comprehensive methodological approaches aimed at fostering pre-service physics teachers’ professional, pedagogical, and technological competencies are still insufficiently explored.</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Therefore, this study aims to develop, implement, and experimentally evaluate a methodology based on the integrated application of pedagogical technologies and virtual modeling tools. The novelty of the research lies in proposing a competence-oriented instructional model that integrates modern simulation platforms, 3D modeling tools, and digital resources with various stages of the didactic process in physics education.</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rFonts w:ascii="Times New Roman" w:hAnsi="Times New Roman" w:cs="Times New Roman"/>
          <w:sz w:val="20"/>
          <w:szCs w:val="28"/>
          <w:lang w:val="en-US"/>
        </w:rPr>
      </w:pPr>
      <w:r w:rsidRPr="00703DBE">
        <w:rPr>
          <w:rFonts w:ascii="Times New Roman" w:eastAsia="Times New Roman" w:hAnsi="Times New Roman" w:cs="Times New Roman"/>
          <w:sz w:val="20"/>
          <w:szCs w:val="28"/>
          <w:lang w:val="en-US"/>
        </w:rPr>
        <w:t>In contrast to existing studies that examine pedagogical technologies or virtual modeling tools separately, this research offers an empirically validated integrated pedagogical–virtual modeling methodology that aligns instructional strategies with 2D/3D simulations and virtual laboratories to support competence-based training. The originality of the proposed approach lies in its systematic structure and experimental verification within real higher education settings, demonstrating its effectiveness in preparing professionally competent pre-service physics teachers.</w:t>
      </w:r>
    </w:p>
    <w:p w:rsidR="00360D96" w:rsidRPr="00703DBE" w:rsidRDefault="00E026D5" w:rsidP="00AF638D">
      <w:pPr>
        <w:spacing w:before="240" w:line="240" w:lineRule="auto"/>
        <w:ind w:right="-330" w:firstLine="284"/>
        <w:jc w:val="center"/>
        <w:rPr>
          <w:rFonts w:ascii="Times New Roman" w:eastAsia="Times New Roman" w:hAnsi="Times New Roman" w:cs="Times New Roman"/>
          <w:color w:val="000000"/>
          <w:sz w:val="24"/>
          <w:szCs w:val="28"/>
          <w:lang w:val="en-US"/>
        </w:rPr>
      </w:pPr>
      <w:r w:rsidRPr="00703DBE">
        <w:rPr>
          <w:rFonts w:ascii="Times New Roman" w:eastAsia="Times New Roman" w:hAnsi="Times New Roman" w:cs="Times New Roman"/>
          <w:b/>
          <w:color w:val="000000"/>
          <w:sz w:val="24"/>
          <w:szCs w:val="28"/>
          <w:lang w:val="en-US"/>
        </w:rPr>
        <w:t>LITERATURE REVIEW</w:t>
      </w:r>
    </w:p>
    <w:p w:rsidR="00360D96" w:rsidRPr="00703DBE" w:rsidRDefault="00E026D5" w:rsidP="00AF638D">
      <w:pPr>
        <w:pBdr>
          <w:top w:val="none" w:sz="4" w:space="0" w:color="000000"/>
          <w:left w:val="none" w:sz="4" w:space="0" w:color="000000"/>
          <w:bottom w:val="none" w:sz="4" w:space="0" w:color="000000"/>
          <w:right w:val="none" w:sz="4" w:space="0" w:color="000000"/>
        </w:pBdr>
        <w:spacing w:after="0" w:line="240" w:lineRule="auto"/>
        <w:ind w:right="-330"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color w:val="000000"/>
          <w:sz w:val="20"/>
          <w:szCs w:val="28"/>
          <w:lang w:val="en-US"/>
        </w:rPr>
        <w:t>A broad range of international and regional studies has examined the integration of pedagogical technologies and virtual modeling tools in the preparation of professionally competent specialists. The competency-based approach [9; 12] is recognized as one of the key methodological foundations of contemporary higher education, emphasizing the development of not only theoretical knowledge but also practical skills, communication abilities, problem-solving, and technological literacy among students.</w:t>
      </w:r>
    </w:p>
    <w:p w:rsidR="00360D96" w:rsidRPr="00703DBE" w:rsidRDefault="00E026D5" w:rsidP="00AF638D">
      <w:pPr>
        <w:pBdr>
          <w:top w:val="none" w:sz="4" w:space="0" w:color="000000"/>
          <w:left w:val="none" w:sz="4" w:space="0" w:color="000000"/>
          <w:bottom w:val="none" w:sz="4" w:space="0" w:color="000000"/>
          <w:right w:val="none" w:sz="4" w:space="0" w:color="000000"/>
        </w:pBdr>
        <w:spacing w:after="0" w:line="240" w:lineRule="auto"/>
        <w:ind w:right="-330"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color w:val="000000"/>
          <w:sz w:val="20"/>
          <w:szCs w:val="28"/>
          <w:lang w:val="en-US"/>
        </w:rPr>
        <w:t>Numerous studies have demonstrated the effectiveness of virtual laboratories and simulation platforms in physics education. For example, PhET simulations [15] significantly enhance conceptual understanding, foster student engagement, and improve motivation by visualizing abstract physical processes. Algodoo provides an interactive environment for modeling mechanical phenomena and has been shown to support creative thinking and experimental reasoning [13]. Labster virtual labs allow students to explore molecular and microscopic processes in safe, cost-effective, and repeatable conditions [7].</w:t>
      </w:r>
    </w:p>
    <w:p w:rsidR="00360D96" w:rsidRPr="00703DBE" w:rsidRDefault="00E026D5" w:rsidP="00AF638D">
      <w:pPr>
        <w:pBdr>
          <w:top w:val="none" w:sz="4" w:space="0" w:color="000000"/>
          <w:left w:val="none" w:sz="4" w:space="0" w:color="000000"/>
          <w:bottom w:val="none" w:sz="4" w:space="0" w:color="000000"/>
          <w:right w:val="none" w:sz="4" w:space="0" w:color="000000"/>
        </w:pBdr>
        <w:spacing w:after="0" w:line="240" w:lineRule="auto"/>
        <w:ind w:right="-330"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color w:val="000000"/>
          <w:sz w:val="20"/>
          <w:szCs w:val="28"/>
          <w:lang w:val="en-US"/>
        </w:rPr>
        <w:t>Research on the use of 3D modeling tools—particularly Blender—has expanded in recent years. Blender’s capabilities for visualizing physical systems in three dimensions, simulating object dynamics, and modeling particle interactions make it an effective instructional tool in STEM education [10].</w:t>
      </w:r>
    </w:p>
    <w:p w:rsidR="00360D96" w:rsidRPr="00703DBE" w:rsidRDefault="00E026D5" w:rsidP="00AF638D">
      <w:pPr>
        <w:pBdr>
          <w:top w:val="none" w:sz="4" w:space="0" w:color="000000"/>
          <w:left w:val="none" w:sz="4" w:space="0" w:color="000000"/>
          <w:bottom w:val="none" w:sz="4" w:space="0" w:color="000000"/>
          <w:right w:val="none" w:sz="4" w:space="0" w:color="000000"/>
        </w:pBdr>
        <w:spacing w:after="0" w:line="240" w:lineRule="auto"/>
        <w:ind w:right="-330"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color w:val="000000"/>
          <w:sz w:val="20"/>
          <w:szCs w:val="28"/>
          <w:lang w:val="en-US"/>
        </w:rPr>
        <w:t>Regional studies have also explored the use of pedagogical technologies [16;11], the integration of multimedia and digital resources in teaching [14], and the role of virtual laboratories in science education [8]. However, the literature indicates a significant gap regarding comprehensive methodologies that systematically integrate pedagogical technologies with 2D/3D modeling tools to enhance professional competence.</w:t>
      </w:r>
    </w:p>
    <w:p w:rsidR="00360D96" w:rsidRPr="00703DBE" w:rsidRDefault="00E026D5" w:rsidP="00AF638D">
      <w:pPr>
        <w:pBdr>
          <w:top w:val="none" w:sz="4" w:space="0" w:color="000000"/>
          <w:left w:val="none" w:sz="4" w:space="0" w:color="000000"/>
          <w:bottom w:val="none" w:sz="4" w:space="0" w:color="000000"/>
          <w:right w:val="none" w:sz="4" w:space="0" w:color="000000"/>
        </w:pBdr>
        <w:spacing w:after="0" w:line="240" w:lineRule="auto"/>
        <w:ind w:right="-330"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color w:val="000000"/>
          <w:sz w:val="20"/>
          <w:szCs w:val="28"/>
          <w:lang w:val="en-US"/>
        </w:rPr>
        <w:t>Thus, while existing research highlights the individual benefits of virtual modeling tools, there is limited work on developing an integrative methodology that combines these tools with pedagogical technologies to effectively support the professional development of pre-service physics teachers.</w:t>
      </w:r>
    </w:p>
    <w:p w:rsidR="00360D96" w:rsidRDefault="00E026D5" w:rsidP="00AF638D">
      <w:pPr>
        <w:spacing w:before="240" w:line="240" w:lineRule="auto"/>
        <w:ind w:right="-330" w:firstLine="284"/>
        <w:jc w:val="center"/>
        <w:rPr>
          <w:rFonts w:ascii="Times New Roman" w:eastAsia="Times New Roman" w:hAnsi="Times New Roman" w:cs="Times New Roman"/>
          <w:b/>
          <w:bCs/>
          <w:color w:val="000000"/>
          <w:sz w:val="28"/>
          <w:szCs w:val="28"/>
          <w:lang w:val="en-US"/>
        </w:rPr>
      </w:pPr>
      <w:r w:rsidRPr="00703DBE">
        <w:rPr>
          <w:rFonts w:ascii="Times New Roman" w:eastAsia="Times New Roman" w:hAnsi="Times New Roman" w:cs="Times New Roman"/>
          <w:b/>
          <w:color w:val="000000"/>
          <w:sz w:val="24"/>
          <w:szCs w:val="28"/>
          <w:lang w:val="en-US"/>
        </w:rPr>
        <w:t>RESEARCH METHODOLOGY</w:t>
      </w:r>
    </w:p>
    <w:p w:rsidR="00360D96" w:rsidRPr="00703DBE" w:rsidRDefault="00E026D5" w:rsidP="00AF638D">
      <w:pPr>
        <w:pBdr>
          <w:top w:val="none" w:sz="4" w:space="0" w:color="000000"/>
          <w:left w:val="none" w:sz="4" w:space="0" w:color="000000"/>
          <w:bottom w:val="none" w:sz="4" w:space="0" w:color="000000"/>
          <w:right w:val="none" w:sz="4" w:space="0" w:color="000000"/>
        </w:pBdr>
        <w:spacing w:after="0" w:line="240" w:lineRule="auto"/>
        <w:ind w:right="-330"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color w:val="000000"/>
          <w:sz w:val="20"/>
          <w:szCs w:val="28"/>
          <w:lang w:val="en-US"/>
        </w:rPr>
        <w:t>The methodology of this study was designed to evaluate the effectiveness of integrating pedagogical technologies with virtual modeling tools in the preparation of professionally competent specialists. A quasi-experimental research design was employed and conducted at two higher education institutions in Uzbekistan, involving a total of 104 pre-service physics teacher students. Participants were randomly assigned to experimental and control groups in equal numbers.</w:t>
      </w:r>
    </w:p>
    <w:p w:rsidR="00360D96" w:rsidRPr="00703DBE" w:rsidRDefault="00E026D5" w:rsidP="00AF638D">
      <w:pPr>
        <w:pBdr>
          <w:top w:val="none" w:sz="4" w:space="0" w:color="000000"/>
          <w:left w:val="none" w:sz="4" w:space="0" w:color="000000"/>
          <w:bottom w:val="none" w:sz="4" w:space="0" w:color="000000"/>
          <w:right w:val="none" w:sz="4" w:space="0" w:color="000000"/>
        </w:pBdr>
        <w:spacing w:after="0" w:line="240" w:lineRule="auto"/>
        <w:ind w:right="-330"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color w:val="000000"/>
          <w:sz w:val="20"/>
          <w:szCs w:val="28"/>
          <w:lang w:val="en-US"/>
        </w:rPr>
        <w:t>The research consisted of three major phases: pre-testing, instructional intervention, and post-testing. Initially, the professional competence levels of both groups were assessed using diagnostic instruments. During the 14-week intervention phase, the experimental group received instruction based on an integrated methodology combining problem-based learning, project-based learning, and interactive teaching methods with 2D/3D simulations created through PhET, Algodoo, Labster, and Blender. The instructional process focused on strengthening theoretical understanding, enhancing practical skills, and developing modeling competencies through specially designed competence-oriented learning tasks. The control group continued with traditional instructional methods.</w:t>
      </w:r>
    </w:p>
    <w:p w:rsidR="00360D96" w:rsidRPr="00703DBE" w:rsidRDefault="00E026D5" w:rsidP="00AF638D">
      <w:pPr>
        <w:pBdr>
          <w:top w:val="none" w:sz="4" w:space="0" w:color="000000"/>
          <w:left w:val="none" w:sz="4" w:space="0" w:color="000000"/>
          <w:bottom w:val="none" w:sz="4" w:space="0" w:color="000000"/>
          <w:right w:val="none" w:sz="4" w:space="0" w:color="000000"/>
        </w:pBdr>
        <w:spacing w:after="0" w:line="240" w:lineRule="auto"/>
        <w:ind w:right="-330"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color w:val="000000"/>
          <w:sz w:val="20"/>
          <w:szCs w:val="28"/>
          <w:lang w:val="en-US"/>
        </w:rPr>
        <w:t xml:space="preserve">Data collection included a professional competence index, a 40-item theoretical knowledge test, a rubric-based assessment of practical skills, and an analysis of students’ modeling portfolios. The reliability and content validity of the diagnostic instruments were ensured through expert review by physics education specialists and pilot testing prior to the </w:t>
      </w:r>
      <w:r w:rsidRPr="00703DBE">
        <w:rPr>
          <w:rFonts w:ascii="Times New Roman" w:eastAsia="Times New Roman" w:hAnsi="Times New Roman" w:cs="Times New Roman"/>
          <w:color w:val="000000"/>
          <w:sz w:val="20"/>
          <w:szCs w:val="28"/>
          <w:lang w:val="en-US"/>
        </w:rPr>
        <w:lastRenderedPageBreak/>
        <w:t>main experimental implementation. Statistical processing of the results was carried out using mean scores, standard deviations, and Student’s t-test to determine the significance of differences between groups, with the significance threshold set at p &lt; 0.01. Ethical considerations were strictly observed throughout the study, with informed consent obtained from all participants and full confidentiality ensured.</w:t>
      </w:r>
    </w:p>
    <w:p w:rsidR="00360D96" w:rsidRDefault="00E026D5" w:rsidP="00AF638D">
      <w:pPr>
        <w:pBdr>
          <w:top w:val="none" w:sz="4" w:space="0" w:color="000000"/>
          <w:left w:val="none" w:sz="4" w:space="0" w:color="000000"/>
          <w:bottom w:val="none" w:sz="4" w:space="0" w:color="000000"/>
          <w:right w:val="none" w:sz="4" w:space="0" w:color="000000"/>
        </w:pBdr>
        <w:spacing w:after="0" w:line="240" w:lineRule="auto"/>
        <w:ind w:right="-330"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b/>
          <w:i/>
          <w:color w:val="000000"/>
          <w:sz w:val="20"/>
          <w:szCs w:val="28"/>
          <w:lang w:val="en-US"/>
        </w:rPr>
        <w:t>Model Description and Rationale.</w:t>
      </w:r>
      <w:r w:rsidRPr="00703DBE">
        <w:rPr>
          <w:rFonts w:ascii="Times New Roman" w:eastAsia="Times New Roman" w:hAnsi="Times New Roman" w:cs="Times New Roman"/>
          <w:color w:val="000000"/>
          <w:sz w:val="20"/>
          <w:szCs w:val="28"/>
          <w:lang w:val="en-US"/>
        </w:rPr>
        <w:t xml:space="preserve"> In the course of the research, an integrated pedagogical–virtual modeling framework was developed to enhance the competencies of pre-service physics teachers (Figure 1). The model consists of five core components and ensures the functional integration of pedagogical technologies with digital modeling tools [17].</w:t>
      </w:r>
    </w:p>
    <w:p w:rsidR="00213842" w:rsidRPr="00703DBE" w:rsidRDefault="00213842" w:rsidP="00AF638D">
      <w:pPr>
        <w:pBdr>
          <w:top w:val="none" w:sz="4" w:space="0" w:color="000000"/>
          <w:left w:val="none" w:sz="4" w:space="0" w:color="000000"/>
          <w:bottom w:val="none" w:sz="4" w:space="0" w:color="000000"/>
          <w:right w:val="none" w:sz="4" w:space="0" w:color="000000"/>
        </w:pBdr>
        <w:spacing w:after="0" w:line="240" w:lineRule="auto"/>
        <w:ind w:right="-330" w:firstLine="284"/>
        <w:jc w:val="both"/>
        <w:rPr>
          <w:rFonts w:ascii="Times New Roman" w:eastAsia="Times New Roman" w:hAnsi="Times New Roman" w:cs="Times New Roman"/>
          <w:color w:val="000000"/>
          <w:sz w:val="20"/>
          <w:szCs w:val="28"/>
          <w:lang w:val="en-US"/>
        </w:rPr>
      </w:pP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jc w:val="center"/>
        <w:rPr>
          <w:sz w:val="32"/>
          <w:szCs w:val="28"/>
        </w:rPr>
      </w:pPr>
      <w:r w:rsidRPr="00703DBE">
        <w:rPr>
          <w:noProof/>
          <w:sz w:val="24"/>
          <w:lang w:val="en-US"/>
        </w:rPr>
        <w:drawing>
          <wp:inline distT="0" distB="0" distL="0" distR="0">
            <wp:extent cx="5090194" cy="33242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300575" name=""/>
                    <pic:cNvPicPr>
                      <a:picLocks noChangeAspect="1"/>
                    </pic:cNvPicPr>
                  </pic:nvPicPr>
                  <pic:blipFill rotWithShape="1">
                    <a:blip r:embed="rId8"/>
                    <a:stretch/>
                  </pic:blipFill>
                  <pic:spPr bwMode="auto">
                    <a:xfrm>
                      <a:off x="0" y="0"/>
                      <a:ext cx="5211357" cy="3403352"/>
                    </a:xfrm>
                    <a:prstGeom prst="rect">
                      <a:avLst/>
                    </a:prstGeom>
                  </pic:spPr>
                </pic:pic>
              </a:graphicData>
            </a:graphic>
          </wp:inline>
        </w:drawing>
      </w:r>
    </w:p>
    <w:p w:rsidR="00360D96" w:rsidRPr="00703DBE" w:rsidRDefault="00703DBE" w:rsidP="007639CA">
      <w:pPr>
        <w:spacing w:after="0" w:line="240" w:lineRule="auto"/>
        <w:ind w:firstLine="284"/>
        <w:jc w:val="center"/>
        <w:rPr>
          <w:rFonts w:ascii="Times New Roman" w:hAnsi="Times New Roman" w:cs="Times New Roman"/>
          <w:sz w:val="20"/>
          <w:szCs w:val="28"/>
          <w:lang w:val="en-US"/>
        </w:rPr>
      </w:pPr>
      <w:r w:rsidRPr="00703DBE">
        <w:rPr>
          <w:rFonts w:ascii="Times New Roman" w:eastAsia="Times New Roman" w:hAnsi="Times New Roman" w:cs="Times New Roman"/>
          <w:b/>
          <w:bCs/>
          <w:sz w:val="20"/>
          <w:szCs w:val="28"/>
          <w:lang w:val="en-US"/>
        </w:rPr>
        <w:t>FIGURE</w:t>
      </w:r>
      <w:r w:rsidR="00E026D5" w:rsidRPr="00703DBE">
        <w:rPr>
          <w:rFonts w:ascii="Times New Roman" w:eastAsia="Times New Roman" w:hAnsi="Times New Roman" w:cs="Times New Roman"/>
          <w:b/>
          <w:bCs/>
          <w:sz w:val="20"/>
          <w:szCs w:val="28"/>
          <w:lang w:val="en-US"/>
        </w:rPr>
        <w:t xml:space="preserve"> 1.  </w:t>
      </w:r>
      <w:r w:rsidR="00E026D5" w:rsidRPr="00703DBE">
        <w:rPr>
          <w:rFonts w:ascii="Times New Roman" w:eastAsia="Times New Roman" w:hAnsi="Times New Roman" w:cs="Times New Roman"/>
          <w:sz w:val="20"/>
          <w:szCs w:val="28"/>
          <w:lang w:val="en-US"/>
        </w:rPr>
        <w:t>Integrated Pedagogical-Virtual Modeling Framework</w:t>
      </w:r>
    </w:p>
    <w:p w:rsidR="007639CA" w:rsidRDefault="007639CA" w:rsidP="00AF638D">
      <w:pPr>
        <w:pBdr>
          <w:top w:val="none" w:sz="4" w:space="0" w:color="000000"/>
          <w:left w:val="none" w:sz="4" w:space="0" w:color="000000"/>
          <w:bottom w:val="none" w:sz="4" w:space="0" w:color="000000"/>
          <w:right w:val="none" w:sz="4" w:space="0" w:color="000000"/>
        </w:pBdr>
        <w:spacing w:after="0" w:line="240" w:lineRule="auto"/>
        <w:ind w:right="-330" w:firstLine="284"/>
        <w:jc w:val="both"/>
        <w:rPr>
          <w:rFonts w:ascii="Times New Roman" w:eastAsia="Times New Roman" w:hAnsi="Times New Roman" w:cs="Times New Roman"/>
          <w:i/>
          <w:iCs/>
          <w:color w:val="000000"/>
          <w:sz w:val="20"/>
          <w:szCs w:val="28"/>
          <w:lang w:val="en-US"/>
        </w:rPr>
      </w:pP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right="-329" w:firstLine="284"/>
        <w:jc w:val="both"/>
        <w:rPr>
          <w:sz w:val="20"/>
          <w:szCs w:val="28"/>
          <w:lang w:val="en-US"/>
        </w:rPr>
      </w:pPr>
      <w:r w:rsidRPr="00703DBE">
        <w:rPr>
          <w:rFonts w:ascii="Times New Roman" w:eastAsia="Times New Roman" w:hAnsi="Times New Roman" w:cs="Times New Roman"/>
          <w:i/>
          <w:iCs/>
          <w:color w:val="000000"/>
          <w:sz w:val="20"/>
          <w:szCs w:val="28"/>
          <w:lang w:val="en-US"/>
        </w:rPr>
        <w:t>I. The Introductory Component.</w:t>
      </w:r>
      <w:r w:rsidRPr="00703DBE">
        <w:rPr>
          <w:rFonts w:ascii="Times New Roman" w:eastAsia="Times New Roman" w:hAnsi="Times New Roman" w:cs="Times New Roman"/>
          <w:color w:val="000000"/>
          <w:sz w:val="20"/>
          <w:szCs w:val="28"/>
          <w:lang w:val="en-US"/>
        </w:rPr>
        <w:t xml:space="preserve"> This component involves identifying methodological objectives based on an assessment of students’ initial preparedness, existing competency indicators, and diagnostic results related to expected learning outcomes [1].</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right="-329" w:firstLine="284"/>
        <w:jc w:val="both"/>
        <w:rPr>
          <w:sz w:val="20"/>
          <w:szCs w:val="28"/>
          <w:lang w:val="en-US"/>
        </w:rPr>
      </w:pPr>
      <w:r w:rsidRPr="00703DBE">
        <w:rPr>
          <w:rFonts w:ascii="Times New Roman" w:eastAsia="Times New Roman" w:hAnsi="Times New Roman" w:cs="Times New Roman"/>
          <w:i/>
          <w:iCs/>
          <w:color w:val="000000"/>
          <w:sz w:val="20"/>
          <w:szCs w:val="28"/>
          <w:lang w:val="en-US"/>
        </w:rPr>
        <w:t>II. The Pedagogical Technologies Component.</w:t>
      </w:r>
      <w:r w:rsidRPr="00703DBE">
        <w:rPr>
          <w:rFonts w:ascii="Times New Roman" w:eastAsia="Times New Roman" w:hAnsi="Times New Roman" w:cs="Times New Roman"/>
          <w:color w:val="000000"/>
          <w:sz w:val="20"/>
          <w:szCs w:val="28"/>
          <w:lang w:val="en-US"/>
        </w:rPr>
        <w:t xml:space="preserve"> This part establishes the didactic basis of the instructional process through problem-based learning, interactive methods, group activities, and practice-oriented tasks [20].</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right="-329" w:firstLine="284"/>
        <w:jc w:val="both"/>
        <w:rPr>
          <w:sz w:val="16"/>
          <w:lang w:val="en-US"/>
        </w:rPr>
      </w:pPr>
      <w:r w:rsidRPr="00703DBE">
        <w:rPr>
          <w:rFonts w:ascii="Times New Roman" w:eastAsia="Times New Roman" w:hAnsi="Times New Roman" w:cs="Times New Roman"/>
          <w:i/>
          <w:iCs/>
          <w:color w:val="000000"/>
          <w:sz w:val="20"/>
          <w:szCs w:val="28"/>
          <w:lang w:val="en-US"/>
        </w:rPr>
        <w:t>III. The Virtual Modeling Component.</w:t>
      </w:r>
      <w:r w:rsidRPr="00703DBE">
        <w:rPr>
          <w:rFonts w:ascii="Times New Roman" w:eastAsia="Times New Roman" w:hAnsi="Times New Roman" w:cs="Times New Roman"/>
          <w:color w:val="000000"/>
          <w:sz w:val="20"/>
          <w:szCs w:val="28"/>
          <w:lang w:val="en-US"/>
        </w:rPr>
        <w:t xml:space="preserve"> This component provides visual and interactive analysis of physical processes using 2D simulations, 3D models, and virtual laboratory environments. As part of the research, the specially designed platform </w:t>
      </w:r>
      <w:r w:rsidRPr="00703DBE">
        <w:rPr>
          <w:rFonts w:ascii="Times New Roman" w:eastAsia="Times New Roman" w:hAnsi="Times New Roman" w:cs="Times New Roman"/>
          <w:i/>
          <w:color w:val="000000"/>
          <w:sz w:val="20"/>
          <w:szCs w:val="28"/>
          <w:lang w:val="en-US"/>
        </w:rPr>
        <w:t>“Virtual Developments for Enhancing Creative Thinking in Physics”</w:t>
      </w:r>
      <w:r w:rsidRPr="00703DBE">
        <w:rPr>
          <w:rFonts w:ascii="Times New Roman" w:eastAsia="Times New Roman" w:hAnsi="Times New Roman" w:cs="Times New Roman"/>
          <w:color w:val="000000"/>
          <w:sz w:val="20"/>
          <w:szCs w:val="28"/>
          <w:lang w:val="en-US"/>
        </w:rPr>
        <w:t xml:space="preserve"> was used to develop students’ modeling competencies. The platform includes interactive 2D/3D simulations, virtual laboratory tasks, and visually enriched models of physical phenomena [2; 6].</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right="-329"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color w:val="000000"/>
          <w:sz w:val="20"/>
          <w:szCs w:val="28"/>
          <w:lang w:val="en-US"/>
        </w:rPr>
        <w:t>These virtual modeling tools enhanced pre-service teachers’ spatial reasoning, algorithmic process analysis, and physics-based model construction skills. In particular, the interactive 3D simulation illustrating the operational stages of the Carnot engine played a significant role in improving students’ conceptual understanding of thermodynamic processes (Figure 2).</w:t>
      </w:r>
    </w:p>
    <w:p w:rsidR="00360D96" w:rsidRDefault="00E026D5" w:rsidP="007639CA">
      <w:pPr>
        <w:pBdr>
          <w:top w:val="none" w:sz="4" w:space="0" w:color="000000"/>
          <w:left w:val="none" w:sz="4" w:space="0" w:color="000000"/>
          <w:bottom w:val="none" w:sz="4" w:space="0" w:color="000000"/>
          <w:right w:val="none" w:sz="4" w:space="0" w:color="000000"/>
        </w:pBdr>
        <w:spacing w:after="0" w:line="240" w:lineRule="auto"/>
        <w:ind w:right="-329" w:firstLine="284"/>
        <w:jc w:val="center"/>
        <w:rPr>
          <w:rFonts w:ascii="Times New Roman" w:eastAsia="Times New Roman" w:hAnsi="Times New Roman" w:cs="Times New Roman"/>
          <w:sz w:val="28"/>
          <w:szCs w:val="28"/>
        </w:rPr>
      </w:pPr>
      <w:r>
        <w:rPr>
          <w:noProof/>
          <w:lang w:val="en-US"/>
        </w:rPr>
        <w:lastRenderedPageBreak/>
        <w:drawing>
          <wp:inline distT="0" distB="0" distL="0" distR="0">
            <wp:extent cx="4381995" cy="242429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633403" name=""/>
                    <pic:cNvPicPr>
                      <a:picLocks noChangeAspect="1"/>
                    </pic:cNvPicPr>
                  </pic:nvPicPr>
                  <pic:blipFill rotWithShape="1">
                    <a:blip r:embed="rId9"/>
                    <a:stretch/>
                  </pic:blipFill>
                  <pic:spPr bwMode="auto">
                    <a:xfrm>
                      <a:off x="0" y="0"/>
                      <a:ext cx="4496332" cy="2487546"/>
                    </a:xfrm>
                    <a:prstGeom prst="rect">
                      <a:avLst/>
                    </a:prstGeom>
                  </pic:spPr>
                </pic:pic>
              </a:graphicData>
            </a:graphic>
          </wp:inline>
        </w:drawing>
      </w:r>
    </w:p>
    <w:p w:rsidR="00360D96" w:rsidRDefault="00703DBE" w:rsidP="007639CA">
      <w:pPr>
        <w:spacing w:after="0" w:line="240" w:lineRule="auto"/>
        <w:ind w:right="-329" w:firstLine="284"/>
        <w:jc w:val="center"/>
        <w:rPr>
          <w:rFonts w:ascii="Times New Roman" w:eastAsia="Times New Roman" w:hAnsi="Times New Roman" w:cs="Times New Roman"/>
          <w:color w:val="000000"/>
          <w:sz w:val="20"/>
          <w:lang w:val="en-US"/>
        </w:rPr>
      </w:pPr>
      <w:r w:rsidRPr="00703DBE">
        <w:rPr>
          <w:rFonts w:ascii="Times New Roman" w:eastAsia="Times New Roman" w:hAnsi="Times New Roman" w:cs="Times New Roman"/>
          <w:b/>
          <w:color w:val="000000"/>
          <w:sz w:val="20"/>
          <w:lang w:val="en-US"/>
        </w:rPr>
        <w:t>FIGURE 2</w:t>
      </w:r>
      <w:r w:rsidR="00E026D5" w:rsidRPr="00703DBE">
        <w:rPr>
          <w:rFonts w:ascii="Times New Roman" w:eastAsia="Times New Roman" w:hAnsi="Times New Roman" w:cs="Times New Roman"/>
          <w:b/>
          <w:color w:val="000000"/>
          <w:sz w:val="20"/>
          <w:lang w:val="en-US"/>
        </w:rPr>
        <w:t xml:space="preserve">. </w:t>
      </w:r>
      <w:r w:rsidR="00E026D5" w:rsidRPr="00703DBE">
        <w:rPr>
          <w:rFonts w:ascii="Times New Roman" w:eastAsia="Times New Roman" w:hAnsi="Times New Roman" w:cs="Times New Roman"/>
          <w:color w:val="000000"/>
          <w:sz w:val="20"/>
          <w:lang w:val="en-US"/>
        </w:rPr>
        <w:t xml:space="preserve">Example of a virtual simulation developed within the platform </w:t>
      </w:r>
      <w:r w:rsidR="00E026D5" w:rsidRPr="00703DBE">
        <w:rPr>
          <w:rFonts w:ascii="Times New Roman" w:eastAsia="Times New Roman" w:hAnsi="Times New Roman" w:cs="Times New Roman"/>
          <w:i/>
          <w:color w:val="000000"/>
          <w:sz w:val="20"/>
          <w:lang w:val="en-US"/>
        </w:rPr>
        <w:t>“Virtual Developments for Enhancing Creative Thinking in Physics.”</w:t>
      </w:r>
      <w:r w:rsidR="00E026D5" w:rsidRPr="00703DBE">
        <w:rPr>
          <w:rFonts w:ascii="Times New Roman" w:eastAsia="Times New Roman" w:hAnsi="Times New Roman" w:cs="Times New Roman"/>
          <w:color w:val="000000"/>
          <w:sz w:val="20"/>
          <w:lang w:val="en-US"/>
        </w:rPr>
        <w:t xml:space="preserve"> The figure illustrates the operational stages of a Carnot engine using interactive 2D/3D animations.</w:t>
      </w:r>
    </w:p>
    <w:p w:rsidR="007639CA" w:rsidRDefault="007639CA" w:rsidP="007639CA">
      <w:pPr>
        <w:pBdr>
          <w:top w:val="none" w:sz="4" w:space="0" w:color="000000"/>
          <w:left w:val="none" w:sz="4" w:space="0" w:color="000000"/>
          <w:bottom w:val="none" w:sz="4" w:space="0" w:color="000000"/>
          <w:right w:val="none" w:sz="4" w:space="0" w:color="000000"/>
        </w:pBdr>
        <w:spacing w:after="0" w:line="240" w:lineRule="auto"/>
        <w:ind w:right="-329" w:firstLine="284"/>
        <w:jc w:val="both"/>
        <w:rPr>
          <w:rFonts w:ascii="Times New Roman" w:eastAsia="Times New Roman" w:hAnsi="Times New Roman" w:cs="Times New Roman"/>
          <w:i/>
          <w:iCs/>
          <w:color w:val="000000"/>
          <w:sz w:val="20"/>
          <w:szCs w:val="28"/>
          <w:lang w:val="en-US"/>
        </w:rPr>
      </w:pP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right="-329" w:firstLine="284"/>
        <w:jc w:val="both"/>
        <w:rPr>
          <w:sz w:val="20"/>
          <w:szCs w:val="28"/>
          <w:lang w:val="en-US"/>
        </w:rPr>
      </w:pPr>
      <w:r w:rsidRPr="00703DBE">
        <w:rPr>
          <w:rFonts w:ascii="Times New Roman" w:eastAsia="Times New Roman" w:hAnsi="Times New Roman" w:cs="Times New Roman"/>
          <w:i/>
          <w:iCs/>
          <w:color w:val="000000"/>
          <w:sz w:val="20"/>
          <w:szCs w:val="28"/>
          <w:lang w:val="en-US"/>
        </w:rPr>
        <w:t>IV. The Integration Component.</w:t>
      </w:r>
      <w:r w:rsidRPr="00703DBE">
        <w:rPr>
          <w:rFonts w:ascii="Times New Roman" w:eastAsia="Times New Roman" w:hAnsi="Times New Roman" w:cs="Times New Roman"/>
          <w:color w:val="000000"/>
          <w:sz w:val="20"/>
          <w:szCs w:val="28"/>
          <w:lang w:val="en-US"/>
        </w:rPr>
        <w:t xml:space="preserve"> This component ensures the functional merging of pedagogical methods with virtual modeling tools. Problem-based learning is combined with 3D simulations, interactive teaching strategies with 2D models, while experimental approaches are integrated with virtual laboratory activities [3; 4].</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right="-329" w:firstLine="284"/>
        <w:jc w:val="both"/>
        <w:rPr>
          <w:sz w:val="20"/>
          <w:szCs w:val="28"/>
          <w:lang w:val="en-US"/>
        </w:rPr>
      </w:pPr>
      <w:r w:rsidRPr="00703DBE">
        <w:rPr>
          <w:rFonts w:ascii="Times New Roman" w:eastAsia="Times New Roman" w:hAnsi="Times New Roman" w:cs="Times New Roman"/>
          <w:i/>
          <w:iCs/>
          <w:color w:val="000000"/>
          <w:sz w:val="20"/>
          <w:szCs w:val="28"/>
          <w:lang w:val="en-US"/>
        </w:rPr>
        <w:t>V. The Outcome Component.</w:t>
      </w:r>
      <w:r w:rsidRPr="00703DBE">
        <w:rPr>
          <w:rFonts w:ascii="Times New Roman" w:eastAsia="Times New Roman" w:hAnsi="Times New Roman" w:cs="Times New Roman"/>
          <w:color w:val="000000"/>
          <w:sz w:val="20"/>
          <w:szCs w:val="28"/>
          <w:lang w:val="en-US"/>
        </w:rPr>
        <w:t xml:space="preserve"> The model concludes with the development of professional competencies, the formation of analytical thinking based on modeling, and the emergence of a pre-service teacher capable of effectively explaining physical phenomena [5; 19].</w:t>
      </w:r>
    </w:p>
    <w:p w:rsidR="00360D96" w:rsidRPr="00703DBE" w:rsidRDefault="00E026D5" w:rsidP="00AF638D">
      <w:pPr>
        <w:spacing w:before="240" w:line="240" w:lineRule="auto"/>
        <w:ind w:right="-330" w:firstLine="284"/>
        <w:jc w:val="center"/>
        <w:rPr>
          <w:rFonts w:ascii="Times New Roman" w:eastAsia="Times New Roman" w:hAnsi="Times New Roman" w:cs="Times New Roman"/>
          <w:b/>
          <w:color w:val="000000"/>
          <w:sz w:val="24"/>
          <w:szCs w:val="28"/>
          <w:lang w:val="en-US"/>
        </w:rPr>
      </w:pPr>
      <w:r w:rsidRPr="00703DBE">
        <w:rPr>
          <w:rFonts w:ascii="Times New Roman" w:eastAsia="Times New Roman" w:hAnsi="Times New Roman" w:cs="Times New Roman"/>
          <w:b/>
          <w:color w:val="000000"/>
          <w:sz w:val="24"/>
          <w:szCs w:val="28"/>
          <w:lang w:val="en-US"/>
        </w:rPr>
        <w:t>RESULTS</w:t>
      </w:r>
    </w:p>
    <w:p w:rsidR="00360D96" w:rsidRPr="00703DBE" w:rsidRDefault="00E026D5" w:rsidP="00AF638D">
      <w:pPr>
        <w:pBdr>
          <w:top w:val="none" w:sz="4" w:space="0" w:color="000000"/>
          <w:left w:val="none" w:sz="4" w:space="0" w:color="000000"/>
          <w:bottom w:val="none" w:sz="4" w:space="0" w:color="000000"/>
          <w:right w:val="none" w:sz="4" w:space="0" w:color="000000"/>
        </w:pBdr>
        <w:spacing w:after="0" w:line="240" w:lineRule="auto"/>
        <w:ind w:right="-330"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color w:val="000000"/>
          <w:sz w:val="20"/>
          <w:szCs w:val="28"/>
          <w:lang w:val="en-US"/>
        </w:rPr>
        <w:t>The results of the quasi-experimental study revealed statistically significant improvements in the professional competencies of pre-service physics teachers who were instructed using the integrated pedagogical–virtual modeling methodology.</w:t>
      </w:r>
    </w:p>
    <w:p w:rsidR="00360D96" w:rsidRPr="00703DBE" w:rsidRDefault="00E026D5" w:rsidP="00AF638D">
      <w:pPr>
        <w:pBdr>
          <w:top w:val="none" w:sz="4" w:space="0" w:color="000000"/>
          <w:left w:val="none" w:sz="4" w:space="0" w:color="000000"/>
          <w:bottom w:val="none" w:sz="4" w:space="0" w:color="000000"/>
          <w:right w:val="none" w:sz="4" w:space="0" w:color="000000"/>
        </w:pBdr>
        <w:spacing w:after="0" w:line="240" w:lineRule="auto"/>
        <w:ind w:right="-330"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b/>
          <w:i/>
          <w:color w:val="000000"/>
          <w:sz w:val="20"/>
          <w:szCs w:val="28"/>
          <w:lang w:val="en-US"/>
        </w:rPr>
        <w:t>1. Professional Competence Index.</w:t>
      </w:r>
      <w:r w:rsidRPr="00703DBE">
        <w:rPr>
          <w:rFonts w:ascii="Times New Roman" w:eastAsia="Times New Roman" w:hAnsi="Times New Roman" w:cs="Times New Roman"/>
          <w:color w:val="000000"/>
          <w:sz w:val="20"/>
          <w:szCs w:val="28"/>
          <w:lang w:val="en-US"/>
        </w:rPr>
        <w:t xml:space="preserve"> The pre-test results indicated no statistically significant difference between the experimental and control groups (p &gt; 0.05), confirming initial homogeneity. However, post-test measurements demonstrated a substantial increase in the competence scores of the experimental group.</w:t>
      </w:r>
    </w:p>
    <w:p w:rsidR="00703DBE" w:rsidRDefault="00703DBE" w:rsidP="00AF638D">
      <w:pPr>
        <w:spacing w:line="240" w:lineRule="auto"/>
        <w:ind w:right="-330" w:firstLine="284"/>
        <w:jc w:val="center"/>
        <w:rPr>
          <w:rFonts w:ascii="Times New Roman" w:eastAsia="Times New Roman" w:hAnsi="Times New Roman" w:cs="Times New Roman"/>
          <w:b/>
          <w:bCs/>
          <w:sz w:val="20"/>
          <w:szCs w:val="28"/>
          <w:lang w:val="en-US"/>
        </w:rPr>
      </w:pPr>
    </w:p>
    <w:p w:rsidR="00703DBE" w:rsidRPr="00974376" w:rsidRDefault="00703DBE" w:rsidP="00AF638D">
      <w:pPr>
        <w:spacing w:line="240" w:lineRule="auto"/>
        <w:ind w:right="-330" w:firstLine="284"/>
        <w:jc w:val="center"/>
        <w:rPr>
          <w:rFonts w:ascii="Times New Roman" w:hAnsi="Times New Roman" w:cs="Times New Roman"/>
          <w:sz w:val="28"/>
          <w:szCs w:val="28"/>
          <w:lang w:val="en-US"/>
        </w:rPr>
      </w:pPr>
      <w:r w:rsidRPr="00703DBE">
        <w:rPr>
          <w:rFonts w:ascii="Times New Roman" w:eastAsia="Times New Roman" w:hAnsi="Times New Roman" w:cs="Times New Roman"/>
          <w:b/>
          <w:bCs/>
          <w:sz w:val="20"/>
          <w:szCs w:val="28"/>
          <w:lang w:val="en-US"/>
        </w:rPr>
        <w:t>TABLE 1.</w:t>
      </w:r>
      <w:r w:rsidRPr="00703DBE">
        <w:rPr>
          <w:rFonts w:ascii="Times New Roman" w:eastAsia="Times New Roman" w:hAnsi="Times New Roman" w:cs="Times New Roman"/>
          <w:sz w:val="20"/>
          <w:szCs w:val="28"/>
          <w:lang w:val="en-US"/>
        </w:rPr>
        <w:t xml:space="preserve"> Comparison of professional competence indicators of experimental and control groups</w:t>
      </w:r>
    </w:p>
    <w:tbl>
      <w:tblPr>
        <w:tblStyle w:val="a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8"/>
        <w:gridCol w:w="1640"/>
        <w:gridCol w:w="1725"/>
        <w:gridCol w:w="1310"/>
        <w:gridCol w:w="1276"/>
        <w:gridCol w:w="1134"/>
      </w:tblGrid>
      <w:tr w:rsidR="00360D96" w:rsidRPr="00703DBE" w:rsidTr="007639CA">
        <w:tc>
          <w:tcPr>
            <w:tcW w:w="2128"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b/>
                <w:color w:val="000000"/>
                <w:sz w:val="20"/>
                <w:szCs w:val="28"/>
              </w:rPr>
              <w:t>Group</w:t>
            </w:r>
          </w:p>
        </w:tc>
        <w:tc>
          <w:tcPr>
            <w:tcW w:w="1640" w:type="dxa"/>
            <w:tcMar>
              <w:top w:w="15" w:type="dxa"/>
              <w:left w:w="15" w:type="dxa"/>
              <w:bottom w:w="15" w:type="dxa"/>
              <w:right w:w="15" w:type="dxa"/>
            </w:tcMar>
            <w:vAlign w:val="center"/>
          </w:tcPr>
          <w:p w:rsidR="00360D96" w:rsidRPr="00703DBE" w:rsidRDefault="00E026D5" w:rsidP="007639CA">
            <w:pPr>
              <w:jc w:val="center"/>
              <w:rPr>
                <w:rFonts w:ascii="Times New Roman" w:eastAsia="Times New Roman" w:hAnsi="Times New Roman" w:cs="Times New Roman"/>
                <w:b/>
                <w:bCs/>
                <w:color w:val="000000"/>
                <w:sz w:val="20"/>
                <w:szCs w:val="28"/>
              </w:rPr>
            </w:pPr>
            <w:r w:rsidRPr="00703DBE">
              <w:rPr>
                <w:rFonts w:ascii="Times New Roman" w:eastAsia="Times New Roman" w:hAnsi="Times New Roman" w:cs="Times New Roman"/>
                <w:b/>
                <w:color w:val="000000"/>
                <w:sz w:val="20"/>
                <w:szCs w:val="28"/>
              </w:rPr>
              <w:t>Pre-test</w:t>
            </w:r>
          </w:p>
          <w:p w:rsidR="00360D96" w:rsidRPr="00703DBE" w:rsidRDefault="00E026D5" w:rsidP="007639CA">
            <w:pPr>
              <w:jc w:val="center"/>
              <w:rPr>
                <w:sz w:val="20"/>
                <w:szCs w:val="28"/>
              </w:rPr>
            </w:pPr>
            <w:r w:rsidRPr="00703DBE">
              <w:rPr>
                <w:rFonts w:ascii="Times New Roman" w:eastAsia="Times New Roman" w:hAnsi="Times New Roman" w:cs="Times New Roman"/>
                <w:b/>
                <w:color w:val="000000"/>
                <w:sz w:val="20"/>
                <w:szCs w:val="28"/>
              </w:rPr>
              <w:t>M ± SD</w:t>
            </w:r>
          </w:p>
        </w:tc>
        <w:tc>
          <w:tcPr>
            <w:tcW w:w="1725" w:type="dxa"/>
            <w:tcMar>
              <w:top w:w="15" w:type="dxa"/>
              <w:left w:w="15" w:type="dxa"/>
              <w:bottom w:w="15" w:type="dxa"/>
              <w:right w:w="15" w:type="dxa"/>
            </w:tcMar>
            <w:vAlign w:val="center"/>
          </w:tcPr>
          <w:p w:rsidR="00360D96" w:rsidRPr="00703DBE" w:rsidRDefault="00E026D5" w:rsidP="007639CA">
            <w:pPr>
              <w:jc w:val="center"/>
              <w:rPr>
                <w:rFonts w:ascii="Times New Roman" w:eastAsia="Times New Roman" w:hAnsi="Times New Roman" w:cs="Times New Roman"/>
                <w:b/>
                <w:bCs/>
                <w:color w:val="000000"/>
                <w:sz w:val="20"/>
                <w:szCs w:val="28"/>
              </w:rPr>
            </w:pPr>
            <w:r w:rsidRPr="00703DBE">
              <w:rPr>
                <w:rFonts w:ascii="Times New Roman" w:eastAsia="Times New Roman" w:hAnsi="Times New Roman" w:cs="Times New Roman"/>
                <w:b/>
                <w:color w:val="000000"/>
                <w:sz w:val="20"/>
                <w:szCs w:val="28"/>
              </w:rPr>
              <w:t>Post-test</w:t>
            </w:r>
          </w:p>
          <w:p w:rsidR="00360D96" w:rsidRPr="00703DBE" w:rsidRDefault="00E026D5" w:rsidP="007639CA">
            <w:pPr>
              <w:jc w:val="center"/>
              <w:rPr>
                <w:sz w:val="20"/>
                <w:szCs w:val="28"/>
              </w:rPr>
            </w:pPr>
            <w:r w:rsidRPr="00703DBE">
              <w:rPr>
                <w:rFonts w:ascii="Times New Roman" w:eastAsia="Times New Roman" w:hAnsi="Times New Roman" w:cs="Times New Roman"/>
                <w:b/>
                <w:color w:val="000000"/>
                <w:sz w:val="20"/>
                <w:szCs w:val="28"/>
              </w:rPr>
              <w:t>M ± SD</w:t>
            </w:r>
          </w:p>
        </w:tc>
        <w:tc>
          <w:tcPr>
            <w:tcW w:w="1310"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b/>
                <w:color w:val="000000"/>
                <w:sz w:val="20"/>
                <w:szCs w:val="28"/>
              </w:rPr>
              <w:t>Δ Growth</w:t>
            </w:r>
          </w:p>
        </w:tc>
        <w:tc>
          <w:tcPr>
            <w:tcW w:w="1276"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b/>
                <w:color w:val="000000"/>
                <w:sz w:val="20"/>
                <w:szCs w:val="28"/>
              </w:rPr>
              <w:t>t-value</w:t>
            </w:r>
          </w:p>
        </w:tc>
        <w:tc>
          <w:tcPr>
            <w:tcW w:w="1134"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b/>
                <w:color w:val="000000"/>
                <w:sz w:val="20"/>
                <w:szCs w:val="28"/>
              </w:rPr>
              <w:t>p-value</w:t>
            </w:r>
          </w:p>
        </w:tc>
      </w:tr>
      <w:tr w:rsidR="00360D96" w:rsidRPr="00703DBE" w:rsidTr="007639CA">
        <w:tc>
          <w:tcPr>
            <w:tcW w:w="2128" w:type="dxa"/>
            <w:tcMar>
              <w:top w:w="15" w:type="dxa"/>
              <w:left w:w="15" w:type="dxa"/>
              <w:bottom w:w="15" w:type="dxa"/>
              <w:right w:w="15" w:type="dxa"/>
            </w:tcMar>
            <w:vAlign w:val="center"/>
          </w:tcPr>
          <w:p w:rsidR="00360D96" w:rsidRPr="00703DBE" w:rsidRDefault="00E026D5" w:rsidP="007639CA">
            <w:pPr>
              <w:jc w:val="center"/>
              <w:rPr>
                <w:rFonts w:ascii="Times New Roman" w:eastAsia="Times New Roman" w:hAnsi="Times New Roman" w:cs="Times New Roman"/>
                <w:color w:val="000000"/>
                <w:sz w:val="20"/>
                <w:szCs w:val="28"/>
              </w:rPr>
            </w:pPr>
            <w:r w:rsidRPr="00703DBE">
              <w:rPr>
                <w:rFonts w:ascii="Times New Roman" w:eastAsia="Times New Roman" w:hAnsi="Times New Roman" w:cs="Times New Roman"/>
                <w:color w:val="000000"/>
                <w:sz w:val="20"/>
                <w:szCs w:val="28"/>
              </w:rPr>
              <w:t>Experimental</w:t>
            </w:r>
          </w:p>
          <w:p w:rsidR="00360D96" w:rsidRPr="00703DBE" w:rsidRDefault="00E026D5" w:rsidP="007639CA">
            <w:pPr>
              <w:jc w:val="center"/>
              <w:rPr>
                <w:sz w:val="20"/>
                <w:szCs w:val="28"/>
              </w:rPr>
            </w:pPr>
            <w:r w:rsidRPr="00703DBE">
              <w:rPr>
                <w:rFonts w:ascii="Times New Roman" w:eastAsia="Times New Roman" w:hAnsi="Times New Roman" w:cs="Times New Roman"/>
                <w:color w:val="000000"/>
                <w:sz w:val="20"/>
                <w:szCs w:val="28"/>
              </w:rPr>
              <w:t>(n = 52)</w:t>
            </w:r>
          </w:p>
        </w:tc>
        <w:tc>
          <w:tcPr>
            <w:tcW w:w="1640"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color w:val="000000"/>
                <w:sz w:val="20"/>
                <w:szCs w:val="28"/>
              </w:rPr>
              <w:t>42.6 ± 6.8</w:t>
            </w:r>
          </w:p>
        </w:tc>
        <w:tc>
          <w:tcPr>
            <w:tcW w:w="1725"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color w:val="000000"/>
                <w:sz w:val="20"/>
                <w:szCs w:val="28"/>
              </w:rPr>
              <w:t>78.4 ± 7.1</w:t>
            </w:r>
          </w:p>
        </w:tc>
        <w:tc>
          <w:tcPr>
            <w:tcW w:w="1310"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color w:val="000000"/>
                <w:sz w:val="20"/>
                <w:szCs w:val="28"/>
              </w:rPr>
              <w:t>+35.8</w:t>
            </w:r>
          </w:p>
        </w:tc>
        <w:tc>
          <w:tcPr>
            <w:tcW w:w="1276"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color w:val="000000"/>
                <w:sz w:val="20"/>
                <w:szCs w:val="28"/>
              </w:rPr>
              <w:t>12.47</w:t>
            </w:r>
          </w:p>
        </w:tc>
        <w:tc>
          <w:tcPr>
            <w:tcW w:w="1134"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color w:val="000000"/>
                <w:sz w:val="20"/>
                <w:szCs w:val="28"/>
              </w:rPr>
              <w:t>p &lt; 0.01</w:t>
            </w:r>
          </w:p>
        </w:tc>
      </w:tr>
      <w:tr w:rsidR="00360D96" w:rsidRPr="00703DBE" w:rsidTr="007639CA">
        <w:tc>
          <w:tcPr>
            <w:tcW w:w="2128" w:type="dxa"/>
            <w:tcMar>
              <w:top w:w="15" w:type="dxa"/>
              <w:left w:w="15" w:type="dxa"/>
              <w:bottom w:w="15" w:type="dxa"/>
              <w:right w:w="15" w:type="dxa"/>
            </w:tcMar>
            <w:vAlign w:val="center"/>
          </w:tcPr>
          <w:p w:rsidR="00360D96" w:rsidRPr="00703DBE" w:rsidRDefault="00E026D5" w:rsidP="007639CA">
            <w:pPr>
              <w:jc w:val="center"/>
              <w:rPr>
                <w:rFonts w:ascii="Times New Roman" w:eastAsia="Times New Roman" w:hAnsi="Times New Roman" w:cs="Times New Roman"/>
                <w:color w:val="000000"/>
                <w:sz w:val="20"/>
                <w:szCs w:val="28"/>
              </w:rPr>
            </w:pPr>
            <w:r w:rsidRPr="00703DBE">
              <w:rPr>
                <w:rFonts w:ascii="Times New Roman" w:eastAsia="Times New Roman" w:hAnsi="Times New Roman" w:cs="Times New Roman"/>
                <w:color w:val="000000"/>
                <w:sz w:val="20"/>
                <w:szCs w:val="28"/>
              </w:rPr>
              <w:t>Control</w:t>
            </w:r>
          </w:p>
          <w:p w:rsidR="00360D96" w:rsidRPr="00703DBE" w:rsidRDefault="00E026D5" w:rsidP="007639CA">
            <w:pPr>
              <w:jc w:val="center"/>
              <w:rPr>
                <w:sz w:val="20"/>
                <w:szCs w:val="28"/>
              </w:rPr>
            </w:pPr>
            <w:r w:rsidRPr="00703DBE">
              <w:rPr>
                <w:rFonts w:ascii="Times New Roman" w:eastAsia="Times New Roman" w:hAnsi="Times New Roman" w:cs="Times New Roman"/>
                <w:color w:val="000000"/>
                <w:sz w:val="20"/>
                <w:szCs w:val="28"/>
              </w:rPr>
              <w:t>(n = 52)</w:t>
            </w:r>
          </w:p>
        </w:tc>
        <w:tc>
          <w:tcPr>
            <w:tcW w:w="1640"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color w:val="000000"/>
                <w:sz w:val="20"/>
                <w:szCs w:val="28"/>
              </w:rPr>
              <w:t>43.1 ± 7.2</w:t>
            </w:r>
          </w:p>
        </w:tc>
        <w:tc>
          <w:tcPr>
            <w:tcW w:w="1725"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color w:val="000000"/>
                <w:sz w:val="20"/>
                <w:szCs w:val="28"/>
              </w:rPr>
              <w:t>56.3 ± 6.5</w:t>
            </w:r>
          </w:p>
        </w:tc>
        <w:tc>
          <w:tcPr>
            <w:tcW w:w="1310"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color w:val="000000"/>
                <w:sz w:val="20"/>
                <w:szCs w:val="28"/>
              </w:rPr>
              <w:t>+13.2</w:t>
            </w:r>
          </w:p>
        </w:tc>
        <w:tc>
          <w:tcPr>
            <w:tcW w:w="1276"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color w:val="000000"/>
                <w:sz w:val="20"/>
                <w:szCs w:val="28"/>
              </w:rPr>
              <w:t>4.28</w:t>
            </w:r>
          </w:p>
        </w:tc>
        <w:tc>
          <w:tcPr>
            <w:tcW w:w="1134" w:type="dxa"/>
            <w:tcMar>
              <w:top w:w="15" w:type="dxa"/>
              <w:left w:w="15" w:type="dxa"/>
              <w:bottom w:w="15" w:type="dxa"/>
              <w:right w:w="15" w:type="dxa"/>
            </w:tcMar>
            <w:vAlign w:val="center"/>
          </w:tcPr>
          <w:p w:rsidR="00360D96" w:rsidRPr="00703DBE" w:rsidRDefault="00E026D5" w:rsidP="007639CA">
            <w:pPr>
              <w:jc w:val="center"/>
              <w:rPr>
                <w:sz w:val="20"/>
                <w:szCs w:val="28"/>
              </w:rPr>
            </w:pPr>
            <w:r w:rsidRPr="00703DBE">
              <w:rPr>
                <w:rFonts w:ascii="Times New Roman" w:eastAsia="Times New Roman" w:hAnsi="Times New Roman" w:cs="Times New Roman"/>
                <w:color w:val="000000"/>
                <w:sz w:val="20"/>
                <w:szCs w:val="28"/>
              </w:rPr>
              <w:t>p &lt; 0.01</w:t>
            </w:r>
          </w:p>
        </w:tc>
      </w:tr>
    </w:tbl>
    <w:p w:rsidR="007639CA" w:rsidRDefault="007639CA" w:rsidP="007639CA">
      <w:pPr>
        <w:pBdr>
          <w:top w:val="none" w:sz="4" w:space="0" w:color="000000"/>
          <w:left w:val="none" w:sz="4" w:space="0" w:color="000000"/>
          <w:bottom w:val="none" w:sz="4" w:space="0" w:color="000000"/>
          <w:right w:val="none" w:sz="4" w:space="0" w:color="000000"/>
        </w:pBdr>
        <w:spacing w:after="0" w:line="240" w:lineRule="auto"/>
        <w:ind w:firstLine="284"/>
        <w:jc w:val="both"/>
        <w:rPr>
          <w:rFonts w:ascii="Times New Roman" w:eastAsia="Times New Roman" w:hAnsi="Times New Roman" w:cs="Times New Roman"/>
          <w:sz w:val="20"/>
          <w:szCs w:val="28"/>
          <w:lang w:val="en-US"/>
        </w:rPr>
      </w:pP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sz w:val="20"/>
          <w:szCs w:val="28"/>
          <w:lang w:val="en-US"/>
        </w:rPr>
        <w:t>As shown in Table 1, the experimental group demonstrated a substantially higher increase in professional competence compared to the control group.</w:t>
      </w:r>
      <w:r w:rsidRPr="00703DBE">
        <w:rPr>
          <w:rFonts w:ascii="Times New Roman" w:eastAsia="Times New Roman" w:hAnsi="Times New Roman" w:cs="Times New Roman"/>
          <w:color w:val="000000"/>
          <w:sz w:val="20"/>
          <w:szCs w:val="28"/>
          <w:lang w:val="en-US"/>
        </w:rPr>
        <w:t xml:space="preserve"> The growth in competence indicators in the experimental group was more than twice that of the control group.</w:t>
      </w:r>
    </w:p>
    <w:p w:rsidR="00360D96" w:rsidRPr="00703DBE" w:rsidRDefault="00E026D5" w:rsidP="007639CA">
      <w:pPr>
        <w:spacing w:after="0" w:line="240" w:lineRule="auto"/>
        <w:ind w:firstLine="284"/>
        <w:rPr>
          <w:sz w:val="20"/>
          <w:lang w:val="en-US"/>
        </w:rPr>
      </w:pPr>
      <w:r w:rsidRPr="00703DBE">
        <w:rPr>
          <w:rFonts w:ascii="Times New Roman" w:eastAsia="Times New Roman" w:hAnsi="Times New Roman" w:cs="Times New Roman"/>
          <w:b/>
          <w:i/>
          <w:iCs/>
          <w:color w:val="000000"/>
          <w:sz w:val="20"/>
          <w:lang w:val="en-US"/>
        </w:rPr>
        <w:t xml:space="preserve">2. Theoretical Knowledge Test (40 items). </w:t>
      </w:r>
      <w:r w:rsidRPr="00703DBE">
        <w:rPr>
          <w:rFonts w:ascii="Times New Roman" w:eastAsia="Times New Roman" w:hAnsi="Times New Roman" w:cs="Times New Roman"/>
          <w:color w:val="000000"/>
          <w:sz w:val="20"/>
          <w:lang w:val="en-US"/>
        </w:rPr>
        <w:t>A t-test of the post-test scores showed a strong statistically significant difference:</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Experimental group: M = 33.2, SD = 3.4</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Control group: M = 26.8, SD = 4.1</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t = 8.95, p &lt; 0.01</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lastRenderedPageBreak/>
        <w:t>This indicates that integrating virtual modeling tools (PhET, Algodoo, Labster, Blender) with pedagogical technologies significantly enhanced conceptual understanding.</w:t>
      </w:r>
    </w:p>
    <w:p w:rsidR="00360D96" w:rsidRPr="00703DBE" w:rsidRDefault="00E026D5" w:rsidP="007639CA">
      <w:pPr>
        <w:spacing w:after="0" w:line="240" w:lineRule="auto"/>
        <w:ind w:firstLine="284"/>
        <w:rPr>
          <w:sz w:val="20"/>
          <w:lang w:val="en-US"/>
        </w:rPr>
      </w:pPr>
      <w:r w:rsidRPr="00703DBE">
        <w:rPr>
          <w:rFonts w:ascii="Times New Roman" w:eastAsia="Times New Roman" w:hAnsi="Times New Roman" w:cs="Times New Roman"/>
          <w:b/>
          <w:i/>
          <w:iCs/>
          <w:color w:val="000000"/>
          <w:sz w:val="20"/>
          <w:lang w:val="en-US"/>
        </w:rPr>
        <w:t>3. Practical Skills Assessment.</w:t>
      </w:r>
      <w:r w:rsidRPr="00703DBE">
        <w:rPr>
          <w:rFonts w:ascii="Times New Roman" w:eastAsia="Times New Roman" w:hAnsi="Times New Roman" w:cs="Times New Roman"/>
          <w:b/>
          <w:color w:val="000000"/>
          <w:sz w:val="20"/>
          <w:lang w:val="en-US"/>
        </w:rPr>
        <w:t xml:space="preserve"> </w:t>
      </w:r>
      <w:r w:rsidRPr="00703DBE">
        <w:rPr>
          <w:rFonts w:ascii="Times New Roman" w:eastAsia="Times New Roman" w:hAnsi="Times New Roman" w:cs="Times New Roman"/>
          <w:color w:val="000000"/>
          <w:sz w:val="20"/>
          <w:lang w:val="en-US"/>
        </w:rPr>
        <w:t>A rubric-based analysis demonstrated considerable improvement in the ability of students to:</w:t>
      </w:r>
    </w:p>
    <w:p w:rsidR="00360D96" w:rsidRPr="00703DBE" w:rsidRDefault="00E026D5" w:rsidP="007639CA">
      <w:pPr>
        <w:pStyle w:val="aff2"/>
        <w:numPr>
          <w:ilvl w:val="0"/>
          <w:numId w:val="8"/>
        </w:numPr>
        <w:pBdr>
          <w:top w:val="none" w:sz="4" w:space="0" w:color="000000"/>
          <w:left w:val="none" w:sz="4" w:space="0" w:color="000000"/>
          <w:bottom w:val="none" w:sz="4" w:space="0" w:color="000000"/>
          <w:right w:val="none" w:sz="4" w:space="0" w:color="000000"/>
        </w:pBdr>
        <w:spacing w:after="0" w:line="240" w:lineRule="auto"/>
        <w:ind w:left="0" w:firstLine="284"/>
        <w:jc w:val="both"/>
        <w:rPr>
          <w:sz w:val="20"/>
          <w:szCs w:val="28"/>
        </w:rPr>
      </w:pPr>
      <w:r w:rsidRPr="00703DBE">
        <w:rPr>
          <w:rFonts w:ascii="Times New Roman" w:eastAsia="Times New Roman" w:hAnsi="Times New Roman" w:cs="Times New Roman"/>
          <w:color w:val="000000"/>
          <w:sz w:val="20"/>
          <w:szCs w:val="28"/>
        </w:rPr>
        <w:t>conduct virtual experiments,</w:t>
      </w:r>
    </w:p>
    <w:p w:rsidR="00360D96" w:rsidRPr="00703DBE" w:rsidRDefault="00E026D5" w:rsidP="007639CA">
      <w:pPr>
        <w:pStyle w:val="aff2"/>
        <w:numPr>
          <w:ilvl w:val="0"/>
          <w:numId w:val="8"/>
        </w:numPr>
        <w:pBdr>
          <w:top w:val="none" w:sz="4" w:space="0" w:color="000000"/>
          <w:left w:val="none" w:sz="4" w:space="0" w:color="000000"/>
          <w:bottom w:val="none" w:sz="4" w:space="0" w:color="000000"/>
          <w:right w:val="none" w:sz="4" w:space="0" w:color="000000"/>
        </w:pBdr>
        <w:spacing w:after="0" w:line="240" w:lineRule="auto"/>
        <w:ind w:left="0" w:firstLine="284"/>
        <w:jc w:val="both"/>
        <w:rPr>
          <w:sz w:val="20"/>
          <w:szCs w:val="28"/>
        </w:rPr>
      </w:pPr>
      <w:r w:rsidRPr="00703DBE">
        <w:rPr>
          <w:rFonts w:ascii="Times New Roman" w:eastAsia="Times New Roman" w:hAnsi="Times New Roman" w:cs="Times New Roman"/>
          <w:color w:val="000000"/>
          <w:sz w:val="20"/>
          <w:szCs w:val="28"/>
        </w:rPr>
        <w:t>build 2D/3D models,</w:t>
      </w:r>
    </w:p>
    <w:p w:rsidR="00360D96" w:rsidRPr="00703DBE" w:rsidRDefault="00E026D5" w:rsidP="007639CA">
      <w:pPr>
        <w:pStyle w:val="aff2"/>
        <w:numPr>
          <w:ilvl w:val="0"/>
          <w:numId w:val="8"/>
        </w:numPr>
        <w:pBdr>
          <w:top w:val="none" w:sz="4" w:space="0" w:color="000000"/>
          <w:left w:val="none" w:sz="4" w:space="0" w:color="000000"/>
          <w:bottom w:val="none" w:sz="4" w:space="0" w:color="000000"/>
          <w:right w:val="none" w:sz="4" w:space="0" w:color="000000"/>
        </w:pBdr>
        <w:spacing w:after="0" w:line="240" w:lineRule="auto"/>
        <w:ind w:left="0" w:firstLine="284"/>
        <w:jc w:val="both"/>
        <w:rPr>
          <w:sz w:val="20"/>
          <w:szCs w:val="28"/>
        </w:rPr>
      </w:pPr>
      <w:r w:rsidRPr="00703DBE">
        <w:rPr>
          <w:rFonts w:ascii="Times New Roman" w:eastAsia="Times New Roman" w:hAnsi="Times New Roman" w:cs="Times New Roman"/>
          <w:color w:val="000000"/>
          <w:sz w:val="20"/>
          <w:szCs w:val="28"/>
        </w:rPr>
        <w:t>interpret simulation data,</w:t>
      </w:r>
    </w:p>
    <w:p w:rsidR="00360D96" w:rsidRPr="00703DBE" w:rsidRDefault="00E026D5" w:rsidP="007639CA">
      <w:pPr>
        <w:pStyle w:val="aff2"/>
        <w:numPr>
          <w:ilvl w:val="0"/>
          <w:numId w:val="8"/>
        </w:numPr>
        <w:pBdr>
          <w:top w:val="none" w:sz="4" w:space="0" w:color="000000"/>
          <w:left w:val="none" w:sz="4" w:space="0" w:color="000000"/>
          <w:bottom w:val="none" w:sz="4" w:space="0" w:color="000000"/>
          <w:right w:val="none" w:sz="4" w:space="0" w:color="000000"/>
        </w:pBdr>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describe physical processes through evidence-based explanations.</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bCs/>
          <w:i/>
          <w:sz w:val="20"/>
          <w:szCs w:val="28"/>
          <w:lang w:val="en-US"/>
        </w:rPr>
      </w:pPr>
      <w:r w:rsidRPr="00703DBE">
        <w:rPr>
          <w:rFonts w:ascii="Times New Roman" w:eastAsia="Times New Roman" w:hAnsi="Times New Roman" w:cs="Times New Roman"/>
          <w:b/>
          <w:i/>
          <w:iCs/>
          <w:color w:val="000000"/>
          <w:sz w:val="20"/>
          <w:szCs w:val="28"/>
          <w:lang w:val="en-US"/>
        </w:rPr>
        <w:t>Mean rubric score (max 10):</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Experimental: 8.7 ± 0.9</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Control: 6.1 ± 1.2</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t = 10.21, p &lt; 0.01</w:t>
      </w:r>
    </w:p>
    <w:p w:rsidR="00360D96" w:rsidRPr="00703DBE" w:rsidRDefault="00E026D5" w:rsidP="007639CA">
      <w:pPr>
        <w:spacing w:after="0" w:line="240" w:lineRule="auto"/>
        <w:ind w:firstLine="284"/>
        <w:rPr>
          <w:sz w:val="20"/>
          <w:lang w:val="en-US"/>
        </w:rPr>
      </w:pPr>
      <w:r w:rsidRPr="00703DBE">
        <w:rPr>
          <w:rFonts w:ascii="Times New Roman" w:eastAsia="Times New Roman" w:hAnsi="Times New Roman" w:cs="Times New Roman"/>
          <w:b/>
          <w:i/>
          <w:iCs/>
          <w:color w:val="000000"/>
          <w:sz w:val="20"/>
          <w:lang w:val="en-US"/>
        </w:rPr>
        <w:t>4. Modeling Competence (Portfolio Analysis).</w:t>
      </w:r>
      <w:r w:rsidRPr="00703DBE">
        <w:rPr>
          <w:rFonts w:ascii="Times New Roman" w:eastAsia="Times New Roman" w:hAnsi="Times New Roman" w:cs="Times New Roman"/>
          <w:b/>
          <w:color w:val="000000"/>
          <w:sz w:val="20"/>
          <w:lang w:val="en-US"/>
        </w:rPr>
        <w:t xml:space="preserve"> </w:t>
      </w:r>
      <w:r w:rsidRPr="00703DBE">
        <w:rPr>
          <w:rFonts w:ascii="Times New Roman" w:eastAsia="Times New Roman" w:hAnsi="Times New Roman" w:cs="Times New Roman"/>
          <w:color w:val="000000"/>
          <w:sz w:val="20"/>
          <w:lang w:val="en-US"/>
        </w:rPr>
        <w:t>Students in the experimental group successfully developed more complex and scientifically grounded modeling projects, including:</w:t>
      </w:r>
    </w:p>
    <w:p w:rsidR="00360D96" w:rsidRPr="00703DBE" w:rsidRDefault="00E026D5" w:rsidP="007639CA">
      <w:pPr>
        <w:pStyle w:val="aff2"/>
        <w:numPr>
          <w:ilvl w:val="0"/>
          <w:numId w:val="7"/>
        </w:numPr>
        <w:pBdr>
          <w:top w:val="none" w:sz="4" w:space="0" w:color="000000"/>
          <w:left w:val="none" w:sz="4" w:space="0" w:color="000000"/>
          <w:bottom w:val="none" w:sz="4" w:space="0" w:color="000000"/>
          <w:right w:val="none" w:sz="4" w:space="0" w:color="000000"/>
        </w:pBdr>
        <w:spacing w:after="0" w:line="240" w:lineRule="auto"/>
        <w:ind w:left="0" w:firstLine="284"/>
        <w:jc w:val="both"/>
        <w:rPr>
          <w:sz w:val="20"/>
          <w:szCs w:val="28"/>
        </w:rPr>
      </w:pPr>
      <w:r w:rsidRPr="00703DBE">
        <w:rPr>
          <w:rFonts w:ascii="Times New Roman" w:eastAsia="Times New Roman" w:hAnsi="Times New Roman" w:cs="Times New Roman"/>
          <w:color w:val="000000"/>
          <w:sz w:val="20"/>
          <w:szCs w:val="28"/>
        </w:rPr>
        <w:t>simulations of oscillatory motion,</w:t>
      </w:r>
    </w:p>
    <w:p w:rsidR="00360D96" w:rsidRPr="00703DBE" w:rsidRDefault="00E026D5" w:rsidP="007639CA">
      <w:pPr>
        <w:pStyle w:val="aff2"/>
        <w:numPr>
          <w:ilvl w:val="0"/>
          <w:numId w:val="7"/>
        </w:numPr>
        <w:pBdr>
          <w:top w:val="none" w:sz="4" w:space="0" w:color="000000"/>
          <w:left w:val="none" w:sz="4" w:space="0" w:color="000000"/>
          <w:bottom w:val="none" w:sz="4" w:space="0" w:color="000000"/>
          <w:right w:val="none" w:sz="4" w:space="0" w:color="000000"/>
        </w:pBdr>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3D visualization of electromagnetic processes,</w:t>
      </w:r>
    </w:p>
    <w:p w:rsidR="00360D96" w:rsidRPr="00703DBE" w:rsidRDefault="00E026D5" w:rsidP="007639CA">
      <w:pPr>
        <w:pStyle w:val="aff2"/>
        <w:numPr>
          <w:ilvl w:val="0"/>
          <w:numId w:val="7"/>
        </w:numPr>
        <w:pBdr>
          <w:top w:val="none" w:sz="4" w:space="0" w:color="000000"/>
          <w:left w:val="none" w:sz="4" w:space="0" w:color="000000"/>
          <w:bottom w:val="none" w:sz="4" w:space="0" w:color="000000"/>
          <w:right w:val="none" w:sz="4" w:space="0" w:color="000000"/>
        </w:pBdr>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virtual laboratory reconstructions of classical experiments.</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Portfolio quality scoring also showed a significant difference (p &lt; 0.01), confirming that integrated instruction contributes to the formation of higher-order modeling skills.</w:t>
      </w:r>
    </w:p>
    <w:p w:rsidR="00360D96"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rFonts w:ascii="Times New Roman" w:eastAsia="Times New Roman" w:hAnsi="Times New Roman" w:cs="Times New Roman"/>
          <w:sz w:val="20"/>
          <w:szCs w:val="28"/>
          <w:lang w:val="en-US"/>
        </w:rPr>
      </w:pPr>
      <w:r w:rsidRPr="00703DBE">
        <w:rPr>
          <w:rFonts w:ascii="Times New Roman" w:eastAsia="Times New Roman" w:hAnsi="Times New Roman" w:cs="Times New Roman"/>
          <w:sz w:val="20"/>
          <w:szCs w:val="28"/>
          <w:lang w:val="en-US"/>
        </w:rPr>
        <w:t>The quantitative results of the experimental study are presented in Figure 3, which compares the professional competence scores of the control and experimental groups.</w:t>
      </w:r>
    </w:p>
    <w:p w:rsidR="007639CA" w:rsidRPr="00703DBE" w:rsidRDefault="007639CA" w:rsidP="007639CA">
      <w:pPr>
        <w:pBdr>
          <w:top w:val="none" w:sz="4" w:space="0" w:color="000000"/>
          <w:left w:val="none" w:sz="4" w:space="0" w:color="000000"/>
          <w:bottom w:val="none" w:sz="4" w:space="0" w:color="000000"/>
          <w:right w:val="none" w:sz="4" w:space="0" w:color="000000"/>
        </w:pBdr>
        <w:spacing w:after="0" w:line="240" w:lineRule="auto"/>
        <w:ind w:firstLine="284"/>
        <w:jc w:val="both"/>
        <w:rPr>
          <w:rFonts w:ascii="Times New Roman" w:hAnsi="Times New Roman" w:cs="Times New Roman"/>
          <w:sz w:val="20"/>
          <w:szCs w:val="28"/>
          <w:lang w:val="en-US"/>
        </w:rPr>
      </w:pPr>
    </w:p>
    <w:p w:rsidR="00360D96"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center"/>
        <w:rPr>
          <w:sz w:val="28"/>
          <w:szCs w:val="28"/>
        </w:rPr>
      </w:pPr>
      <w:r>
        <w:rPr>
          <w:noProof/>
          <w:lang w:val="en-US"/>
        </w:rPr>
        <w:drawing>
          <wp:inline distT="0" distB="0" distL="0" distR="0">
            <wp:extent cx="4719863" cy="3457575"/>
            <wp:effectExtent l="0" t="0" r="508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494161" name=""/>
                    <pic:cNvPicPr>
                      <a:picLocks noChangeAspect="1"/>
                    </pic:cNvPicPr>
                  </pic:nvPicPr>
                  <pic:blipFill rotWithShape="1">
                    <a:blip r:embed="rId10"/>
                    <a:stretch/>
                  </pic:blipFill>
                  <pic:spPr bwMode="auto">
                    <a:xfrm>
                      <a:off x="0" y="0"/>
                      <a:ext cx="4723647" cy="3460347"/>
                    </a:xfrm>
                    <a:prstGeom prst="rect">
                      <a:avLst/>
                    </a:prstGeom>
                  </pic:spPr>
                </pic:pic>
              </a:graphicData>
            </a:graphic>
          </wp:inline>
        </w:drawing>
      </w:r>
    </w:p>
    <w:p w:rsidR="00360D96" w:rsidRPr="00703DBE" w:rsidRDefault="00703DBE" w:rsidP="007639CA">
      <w:pPr>
        <w:pBdr>
          <w:top w:val="none" w:sz="4" w:space="0" w:color="000000"/>
          <w:left w:val="none" w:sz="4" w:space="0" w:color="000000"/>
          <w:bottom w:val="none" w:sz="4" w:space="0" w:color="000000"/>
          <w:right w:val="none" w:sz="4" w:space="0" w:color="000000"/>
        </w:pBdr>
        <w:spacing w:after="0" w:line="240" w:lineRule="auto"/>
        <w:ind w:firstLine="284"/>
        <w:jc w:val="center"/>
        <w:rPr>
          <w:rFonts w:ascii="Times New Roman" w:hAnsi="Times New Roman" w:cs="Times New Roman"/>
          <w:b/>
          <w:bCs/>
          <w:sz w:val="20"/>
          <w:szCs w:val="28"/>
          <w:lang w:val="en-US"/>
        </w:rPr>
      </w:pPr>
      <w:r w:rsidRPr="00703DBE">
        <w:rPr>
          <w:rFonts w:ascii="Times New Roman" w:eastAsia="Times New Roman" w:hAnsi="Times New Roman" w:cs="Times New Roman"/>
          <w:b/>
          <w:bCs/>
          <w:sz w:val="20"/>
          <w:szCs w:val="28"/>
          <w:lang w:val="en-US"/>
        </w:rPr>
        <w:t>FIGURE 3</w:t>
      </w:r>
      <w:r w:rsidRPr="00703DBE">
        <w:rPr>
          <w:rFonts w:ascii="Times New Roman" w:hAnsi="Times New Roman" w:cs="Times New Roman"/>
          <w:b/>
          <w:bCs/>
          <w:sz w:val="20"/>
          <w:szCs w:val="28"/>
          <w:lang w:val="en-US"/>
        </w:rPr>
        <w:t xml:space="preserve">. </w:t>
      </w:r>
      <w:r w:rsidR="00E026D5" w:rsidRPr="00703DBE">
        <w:rPr>
          <w:rFonts w:ascii="Times New Roman" w:eastAsia="Times New Roman" w:hAnsi="Times New Roman" w:cs="Times New Roman"/>
          <w:sz w:val="20"/>
          <w:szCs w:val="28"/>
          <w:lang w:val="en-US"/>
        </w:rPr>
        <w:t>Professional competence scores before and after the intervention</w:t>
      </w:r>
    </w:p>
    <w:p w:rsidR="007639CA" w:rsidRDefault="007639CA" w:rsidP="007639CA">
      <w:pPr>
        <w:spacing w:after="0" w:line="240" w:lineRule="auto"/>
        <w:ind w:firstLine="284"/>
        <w:rPr>
          <w:rFonts w:ascii="Times New Roman" w:eastAsia="Times New Roman" w:hAnsi="Times New Roman" w:cs="Times New Roman"/>
          <w:b/>
          <w:i/>
          <w:iCs/>
          <w:color w:val="000000"/>
          <w:sz w:val="20"/>
          <w:lang w:val="en-US"/>
        </w:rPr>
      </w:pPr>
    </w:p>
    <w:p w:rsidR="00360D96" w:rsidRPr="00703DBE" w:rsidRDefault="00E026D5" w:rsidP="007639CA">
      <w:pPr>
        <w:spacing w:after="0" w:line="240" w:lineRule="auto"/>
        <w:ind w:firstLine="284"/>
        <w:rPr>
          <w:sz w:val="20"/>
          <w:lang w:val="en-US"/>
        </w:rPr>
      </w:pPr>
      <w:r w:rsidRPr="00703DBE">
        <w:rPr>
          <w:rFonts w:ascii="Times New Roman" w:eastAsia="Times New Roman" w:hAnsi="Times New Roman" w:cs="Times New Roman"/>
          <w:b/>
          <w:i/>
          <w:iCs/>
          <w:color w:val="000000"/>
          <w:sz w:val="20"/>
          <w:lang w:val="en-US"/>
        </w:rPr>
        <w:t>Overall Result.</w:t>
      </w:r>
      <w:r w:rsidRPr="00703DBE">
        <w:rPr>
          <w:rFonts w:ascii="Times New Roman" w:eastAsia="Times New Roman" w:hAnsi="Times New Roman" w:cs="Times New Roman"/>
          <w:b/>
          <w:color w:val="000000"/>
          <w:sz w:val="20"/>
          <w:lang w:val="en-US"/>
        </w:rPr>
        <w:t xml:space="preserve"> </w:t>
      </w:r>
      <w:r w:rsidRPr="00703DBE">
        <w:rPr>
          <w:rFonts w:ascii="Times New Roman" w:eastAsia="Times New Roman" w:hAnsi="Times New Roman" w:cs="Times New Roman"/>
          <w:color w:val="000000"/>
          <w:sz w:val="20"/>
          <w:lang w:val="en-US"/>
        </w:rPr>
        <w:t>The integrated model had a strong positive effect on:</w:t>
      </w:r>
    </w:p>
    <w:p w:rsidR="00360D96" w:rsidRPr="00703DBE" w:rsidRDefault="00E026D5" w:rsidP="007639CA">
      <w:pPr>
        <w:pStyle w:val="aff2"/>
        <w:numPr>
          <w:ilvl w:val="0"/>
          <w:numId w:val="6"/>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rPr>
      </w:pPr>
      <w:r w:rsidRPr="00703DBE">
        <w:rPr>
          <w:rFonts w:ascii="Times New Roman" w:eastAsia="Times New Roman" w:hAnsi="Times New Roman" w:cs="Times New Roman"/>
          <w:color w:val="000000"/>
          <w:sz w:val="20"/>
          <w:szCs w:val="28"/>
        </w:rPr>
        <w:t>professional competence formation,</w:t>
      </w:r>
    </w:p>
    <w:p w:rsidR="00360D96" w:rsidRPr="00703DBE" w:rsidRDefault="00E026D5" w:rsidP="007639CA">
      <w:pPr>
        <w:pStyle w:val="aff2"/>
        <w:numPr>
          <w:ilvl w:val="0"/>
          <w:numId w:val="6"/>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rPr>
      </w:pPr>
      <w:r w:rsidRPr="00703DBE">
        <w:rPr>
          <w:rFonts w:ascii="Times New Roman" w:eastAsia="Times New Roman" w:hAnsi="Times New Roman" w:cs="Times New Roman"/>
          <w:color w:val="000000"/>
          <w:sz w:val="20"/>
          <w:szCs w:val="28"/>
        </w:rPr>
        <w:t>theoretical knowledge acquisition,</w:t>
      </w:r>
    </w:p>
    <w:p w:rsidR="00360D96" w:rsidRPr="00703DBE" w:rsidRDefault="00E026D5" w:rsidP="007639CA">
      <w:pPr>
        <w:pStyle w:val="aff2"/>
        <w:numPr>
          <w:ilvl w:val="0"/>
          <w:numId w:val="6"/>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rPr>
      </w:pPr>
      <w:r w:rsidRPr="00703DBE">
        <w:rPr>
          <w:rFonts w:ascii="Times New Roman" w:eastAsia="Times New Roman" w:hAnsi="Times New Roman" w:cs="Times New Roman"/>
          <w:color w:val="000000"/>
          <w:sz w:val="20"/>
          <w:szCs w:val="28"/>
        </w:rPr>
        <w:t>practical and experimental skills,</w:t>
      </w:r>
    </w:p>
    <w:p w:rsidR="00360D96" w:rsidRPr="00703DBE" w:rsidRDefault="00E026D5" w:rsidP="007639CA">
      <w:pPr>
        <w:pStyle w:val="aff2"/>
        <w:numPr>
          <w:ilvl w:val="0"/>
          <w:numId w:val="6"/>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rPr>
      </w:pPr>
      <w:r w:rsidRPr="00703DBE">
        <w:rPr>
          <w:rFonts w:ascii="Times New Roman" w:eastAsia="Times New Roman" w:hAnsi="Times New Roman" w:cs="Times New Roman"/>
          <w:color w:val="000000"/>
          <w:sz w:val="20"/>
          <w:szCs w:val="28"/>
        </w:rPr>
        <w:t>modeling-based analytical thinking.</w:t>
      </w:r>
    </w:p>
    <w:p w:rsidR="00360D96" w:rsidRPr="00703DBE"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rFonts w:ascii="Times New Roman" w:eastAsia="Times New Roman" w:hAnsi="Times New Roman" w:cs="Times New Roman"/>
          <w:color w:val="000000"/>
          <w:sz w:val="20"/>
          <w:szCs w:val="28"/>
          <w:lang w:val="en-US"/>
        </w:rPr>
      </w:pPr>
      <w:r w:rsidRPr="00703DBE">
        <w:rPr>
          <w:rFonts w:ascii="Times New Roman" w:eastAsia="Times New Roman" w:hAnsi="Times New Roman" w:cs="Times New Roman"/>
          <w:color w:val="000000"/>
          <w:sz w:val="20"/>
          <w:szCs w:val="28"/>
          <w:lang w:val="en-US"/>
        </w:rPr>
        <w:t>These findings empirically validate the effectiveness of combining pedagogical technologies with virtual modeling environments in the preparation of professionally competent specialists.</w:t>
      </w:r>
    </w:p>
    <w:p w:rsidR="00360D96" w:rsidRPr="00703DBE" w:rsidRDefault="00E026D5" w:rsidP="00AF638D">
      <w:pPr>
        <w:spacing w:before="240" w:line="240" w:lineRule="auto"/>
        <w:ind w:right="-330" w:firstLine="284"/>
        <w:jc w:val="center"/>
        <w:rPr>
          <w:rFonts w:ascii="Times New Roman" w:eastAsia="Times New Roman" w:hAnsi="Times New Roman" w:cs="Times New Roman"/>
          <w:b/>
          <w:color w:val="000000"/>
          <w:sz w:val="24"/>
          <w:szCs w:val="28"/>
          <w:lang w:val="en-US"/>
        </w:rPr>
      </w:pPr>
      <w:r w:rsidRPr="00703DBE">
        <w:rPr>
          <w:rFonts w:ascii="Times New Roman" w:eastAsia="Times New Roman" w:hAnsi="Times New Roman" w:cs="Times New Roman"/>
          <w:b/>
          <w:color w:val="000000"/>
          <w:sz w:val="24"/>
          <w:szCs w:val="28"/>
          <w:lang w:val="en-US"/>
        </w:rPr>
        <w:lastRenderedPageBreak/>
        <w:t>DISCUSSION</w:t>
      </w:r>
    </w:p>
    <w:p w:rsidR="00360D96" w:rsidRPr="00703DBE" w:rsidRDefault="00E026D5" w:rsidP="007639CA">
      <w:pPr>
        <w:pBdr>
          <w:top w:val="none" w:sz="4" w:space="0" w:color="000000"/>
          <w:left w:val="none" w:sz="4" w:space="0" w:color="000000"/>
          <w:bottom w:val="none" w:sz="4" w:space="0" w:color="000000"/>
          <w:right w:val="none" w:sz="4" w:space="0" w:color="000000"/>
        </w:pBdr>
        <w:tabs>
          <w:tab w:val="left" w:pos="426"/>
        </w:tabs>
        <w:spacing w:after="0" w:line="240" w:lineRule="auto"/>
        <w:ind w:firstLine="284"/>
        <w:jc w:val="both"/>
        <w:rPr>
          <w:rFonts w:ascii="Times New Roman" w:eastAsia="Times New Roman" w:hAnsi="Times New Roman" w:cs="Times New Roman"/>
          <w:sz w:val="20"/>
          <w:szCs w:val="28"/>
          <w:lang w:val="en-US"/>
        </w:rPr>
      </w:pPr>
      <w:r w:rsidRPr="00703DBE">
        <w:rPr>
          <w:rFonts w:ascii="Times New Roman" w:eastAsia="Times New Roman" w:hAnsi="Times New Roman" w:cs="Times New Roman"/>
          <w:color w:val="000000"/>
          <w:sz w:val="20"/>
          <w:szCs w:val="28"/>
          <w:lang w:val="en-US"/>
        </w:rPr>
        <w:t>The findings of the study demonstrate that the integrated use of pedagogical technologies and virtual modeling significantly enhances the professional competencies of pre-service physics teachers. These results align with previous research. For example, Finkelstein et al. showed that virtual simulations improve conceptual understanding in physics, while Zacharia and Olympiou reported that virtual experimentation can be as effective as physical experimentation in fostering learning outcomes.</w:t>
      </w:r>
    </w:p>
    <w:p w:rsidR="00360D96" w:rsidRPr="00703DBE" w:rsidRDefault="00E026D5" w:rsidP="007639CA">
      <w:pPr>
        <w:pBdr>
          <w:top w:val="none" w:sz="4" w:space="0" w:color="000000"/>
          <w:left w:val="none" w:sz="4" w:space="0" w:color="000000"/>
          <w:bottom w:val="none" w:sz="4" w:space="0" w:color="000000"/>
          <w:right w:val="none" w:sz="4" w:space="0" w:color="000000"/>
        </w:pBdr>
        <w:tabs>
          <w:tab w:val="left" w:pos="426"/>
        </w:tabs>
        <w:spacing w:after="0" w:line="240" w:lineRule="auto"/>
        <w:ind w:firstLine="284"/>
        <w:jc w:val="both"/>
        <w:rPr>
          <w:rFonts w:ascii="Times New Roman" w:eastAsia="Times New Roman" w:hAnsi="Times New Roman" w:cs="Times New Roman"/>
          <w:sz w:val="20"/>
          <w:szCs w:val="28"/>
          <w:lang w:val="en-US"/>
        </w:rPr>
      </w:pPr>
      <w:r w:rsidRPr="00703DBE">
        <w:rPr>
          <w:rFonts w:ascii="Times New Roman" w:eastAsia="Times New Roman" w:hAnsi="Times New Roman" w:cs="Times New Roman"/>
          <w:b/>
          <w:i/>
          <w:iCs/>
          <w:color w:val="000000"/>
          <w:sz w:val="20"/>
          <w:szCs w:val="28"/>
          <w:lang w:val="en-US"/>
        </w:rPr>
        <w:t>1. Advantages of the Integrated Approach.</w:t>
      </w:r>
      <w:r w:rsidRPr="00703DBE">
        <w:rPr>
          <w:rFonts w:ascii="Times New Roman" w:eastAsia="Times New Roman" w:hAnsi="Times New Roman" w:cs="Times New Roman"/>
          <w:b/>
          <w:color w:val="000000"/>
          <w:sz w:val="20"/>
          <w:szCs w:val="28"/>
          <w:lang w:val="en-US"/>
        </w:rPr>
        <w:t xml:space="preserve"> </w:t>
      </w:r>
      <w:r w:rsidRPr="00703DBE">
        <w:rPr>
          <w:rFonts w:ascii="Times New Roman" w:eastAsia="Times New Roman" w:hAnsi="Times New Roman" w:cs="Times New Roman"/>
          <w:color w:val="000000"/>
          <w:sz w:val="20"/>
          <w:szCs w:val="28"/>
          <w:lang w:val="en-US"/>
        </w:rPr>
        <w:t>The effectiveness of the proposed instructional model can be attributed to several key factors:</w:t>
      </w:r>
    </w:p>
    <w:p w:rsidR="00360D96" w:rsidRPr="00703DBE" w:rsidRDefault="00E026D5" w:rsidP="007639CA">
      <w:pPr>
        <w:pBdr>
          <w:top w:val="none" w:sz="4" w:space="0" w:color="000000"/>
          <w:left w:val="none" w:sz="4" w:space="0" w:color="000000"/>
          <w:bottom w:val="none" w:sz="4" w:space="0" w:color="000000"/>
          <w:right w:val="none" w:sz="4" w:space="0" w:color="000000"/>
        </w:pBdr>
        <w:tabs>
          <w:tab w:val="left" w:pos="426"/>
        </w:tabs>
        <w:spacing w:after="0" w:line="240" w:lineRule="auto"/>
        <w:ind w:firstLine="284"/>
        <w:jc w:val="both"/>
        <w:rPr>
          <w:rFonts w:ascii="Times New Roman" w:eastAsia="Times New Roman" w:hAnsi="Times New Roman" w:cs="Times New Roman"/>
          <w:sz w:val="20"/>
          <w:szCs w:val="28"/>
          <w:lang w:val="en-US"/>
        </w:rPr>
      </w:pPr>
      <w:r w:rsidRPr="00703DBE">
        <w:rPr>
          <w:rFonts w:ascii="Times New Roman" w:eastAsia="Times New Roman" w:hAnsi="Times New Roman" w:cs="Times New Roman"/>
          <w:color w:val="000000"/>
          <w:sz w:val="20"/>
          <w:szCs w:val="28"/>
          <w:lang w:val="en-US"/>
        </w:rPr>
        <w:t>a) Synergy between problem-based and interactive methods with 2D/3D modeling.</w:t>
      </w:r>
      <w:r w:rsidRPr="00703DBE">
        <w:rPr>
          <w:rFonts w:ascii="Times New Roman" w:eastAsia="Times New Roman" w:hAnsi="Times New Roman" w:cs="Times New Roman"/>
          <w:b/>
          <w:color w:val="000000"/>
          <w:sz w:val="20"/>
          <w:szCs w:val="28"/>
          <w:lang w:val="en-US"/>
        </w:rPr>
        <w:t xml:space="preserve"> </w:t>
      </w:r>
      <w:r w:rsidRPr="00703DBE">
        <w:rPr>
          <w:rFonts w:ascii="Times New Roman" w:eastAsia="Times New Roman" w:hAnsi="Times New Roman" w:cs="Times New Roman"/>
          <w:color w:val="000000"/>
          <w:sz w:val="20"/>
          <w:szCs w:val="28"/>
          <w:lang w:val="en-US"/>
        </w:rPr>
        <w:t>Problem-based learning fosters active inquiry and analytical thinking, whereas simulations provide visual and dynamic representations of physical processes. This supports the conclusions of Sahin, who found that problem-based learning contributes to deeper conceptual understanding in physics.</w:t>
      </w:r>
    </w:p>
    <w:p w:rsidR="00360D96" w:rsidRPr="00703DBE" w:rsidRDefault="00E026D5" w:rsidP="007639CA">
      <w:pPr>
        <w:pBdr>
          <w:top w:val="none" w:sz="4" w:space="0" w:color="000000"/>
          <w:left w:val="none" w:sz="4" w:space="0" w:color="000000"/>
          <w:bottom w:val="none" w:sz="4" w:space="0" w:color="000000"/>
          <w:right w:val="none" w:sz="4" w:space="0" w:color="000000"/>
        </w:pBdr>
        <w:tabs>
          <w:tab w:val="left" w:pos="426"/>
        </w:tabs>
        <w:spacing w:after="0" w:line="240" w:lineRule="auto"/>
        <w:ind w:firstLine="284"/>
        <w:jc w:val="both"/>
        <w:rPr>
          <w:rFonts w:ascii="Times New Roman" w:eastAsia="Times New Roman" w:hAnsi="Times New Roman" w:cs="Times New Roman"/>
          <w:sz w:val="20"/>
          <w:szCs w:val="28"/>
          <w:lang w:val="en-US"/>
        </w:rPr>
      </w:pPr>
      <w:r w:rsidRPr="00703DBE">
        <w:rPr>
          <w:rFonts w:ascii="Times New Roman" w:eastAsia="Times New Roman" w:hAnsi="Times New Roman" w:cs="Times New Roman"/>
          <w:color w:val="000000"/>
          <w:sz w:val="20"/>
          <w:szCs w:val="28"/>
          <w:lang w:val="en-US"/>
        </w:rPr>
        <w:t>b) Virtual laboratories’ capacity to develop experiment-related competencies.</w:t>
      </w:r>
      <w:r w:rsidRPr="00703DBE">
        <w:rPr>
          <w:rFonts w:ascii="Times New Roman" w:eastAsia="Times New Roman" w:hAnsi="Times New Roman" w:cs="Times New Roman"/>
          <w:b/>
          <w:color w:val="000000"/>
          <w:sz w:val="20"/>
          <w:szCs w:val="28"/>
          <w:lang w:val="en-US"/>
        </w:rPr>
        <w:t xml:space="preserve"> </w:t>
      </w:r>
      <w:r w:rsidRPr="00703DBE">
        <w:rPr>
          <w:rFonts w:ascii="Times New Roman" w:eastAsia="Times New Roman" w:hAnsi="Times New Roman" w:cs="Times New Roman"/>
          <w:color w:val="000000"/>
          <w:sz w:val="20"/>
          <w:szCs w:val="28"/>
          <w:lang w:val="en-US"/>
        </w:rPr>
        <w:t>In this study, virtual labs based on Labster and Algodoo enabled students to acquire skills equivalent to real laboratory experiments, but in a safer and more efficient environment. This corresponds with the findings of de Jong, Linn, and Zacharia, who emphasized the pedagogical value of virtual laboratories in visualizing complex scientific phenomena.</w:t>
      </w:r>
    </w:p>
    <w:p w:rsidR="00360D96" w:rsidRPr="00703DBE" w:rsidRDefault="00E026D5" w:rsidP="007639CA">
      <w:pPr>
        <w:pBdr>
          <w:top w:val="none" w:sz="4" w:space="0" w:color="000000"/>
          <w:left w:val="none" w:sz="4" w:space="0" w:color="000000"/>
          <w:bottom w:val="none" w:sz="4" w:space="0" w:color="000000"/>
          <w:right w:val="none" w:sz="4" w:space="0" w:color="000000"/>
        </w:pBdr>
        <w:tabs>
          <w:tab w:val="left" w:pos="426"/>
        </w:tabs>
        <w:spacing w:after="0" w:line="240" w:lineRule="auto"/>
        <w:ind w:firstLine="284"/>
        <w:jc w:val="both"/>
        <w:rPr>
          <w:rFonts w:ascii="Times New Roman" w:eastAsia="Times New Roman" w:hAnsi="Times New Roman" w:cs="Times New Roman"/>
          <w:sz w:val="20"/>
          <w:szCs w:val="28"/>
          <w:lang w:val="en-US"/>
        </w:rPr>
      </w:pPr>
      <w:r w:rsidRPr="00703DBE">
        <w:rPr>
          <w:rFonts w:ascii="Times New Roman" w:eastAsia="Times New Roman" w:hAnsi="Times New Roman" w:cs="Times New Roman"/>
          <w:color w:val="000000"/>
          <w:sz w:val="20"/>
          <w:szCs w:val="28"/>
          <w:lang w:val="en-US"/>
        </w:rPr>
        <w:t>c) Enhanced analytical and creative thinking through 3D modeling using Blender.</w:t>
      </w:r>
      <w:r w:rsidRPr="00703DBE">
        <w:rPr>
          <w:rFonts w:ascii="Times New Roman" w:eastAsia="Times New Roman" w:hAnsi="Times New Roman" w:cs="Times New Roman"/>
          <w:b/>
          <w:color w:val="000000"/>
          <w:sz w:val="20"/>
          <w:szCs w:val="28"/>
          <w:lang w:val="en-US"/>
        </w:rPr>
        <w:t xml:space="preserve"> </w:t>
      </w:r>
      <w:r w:rsidRPr="00703DBE">
        <w:rPr>
          <w:rFonts w:ascii="Times New Roman" w:eastAsia="Times New Roman" w:hAnsi="Times New Roman" w:cs="Times New Roman"/>
          <w:color w:val="000000"/>
          <w:sz w:val="20"/>
          <w:szCs w:val="28"/>
          <w:lang w:val="en-US"/>
        </w:rPr>
        <w:t>The process of constructing 3D models requires students to apply theoretical knowledge, algorithmic reasoning, and creativity. This aligns with Baser and Durmuş, who found that 3D modeling environments significantly improve conceptual understanding in physics education.</w:t>
      </w:r>
    </w:p>
    <w:p w:rsidR="00360D96" w:rsidRPr="00703DBE" w:rsidRDefault="00E026D5" w:rsidP="007639CA">
      <w:pPr>
        <w:tabs>
          <w:tab w:val="left" w:pos="426"/>
        </w:tabs>
        <w:spacing w:after="0" w:line="240" w:lineRule="auto"/>
        <w:ind w:firstLine="284"/>
        <w:rPr>
          <w:sz w:val="20"/>
          <w:lang w:val="en-US"/>
        </w:rPr>
      </w:pPr>
      <w:r w:rsidRPr="00703DBE">
        <w:rPr>
          <w:rFonts w:ascii="Times New Roman" w:eastAsia="Times New Roman" w:hAnsi="Times New Roman" w:cs="Times New Roman"/>
          <w:b/>
          <w:i/>
          <w:iCs/>
          <w:color w:val="000000"/>
          <w:sz w:val="20"/>
          <w:lang w:val="en-US"/>
        </w:rPr>
        <w:t xml:space="preserve">2. Theoretical Justification of the Empirical Results. </w:t>
      </w:r>
      <w:r w:rsidRPr="00703DBE">
        <w:rPr>
          <w:rFonts w:ascii="Times New Roman" w:eastAsia="Times New Roman" w:hAnsi="Times New Roman" w:cs="Times New Roman"/>
          <w:color w:val="000000"/>
          <w:sz w:val="20"/>
          <w:lang w:val="en-US"/>
        </w:rPr>
        <w:t>The results showed that the experimental group exhibited:</w:t>
      </w:r>
    </w:p>
    <w:p w:rsidR="00360D96" w:rsidRPr="00703DBE" w:rsidRDefault="00E026D5" w:rsidP="007639CA">
      <w:pPr>
        <w:pStyle w:val="aff2"/>
        <w:numPr>
          <w:ilvl w:val="0"/>
          <w:numId w:val="13"/>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a significant increase in the professional competence index,</w:t>
      </w:r>
    </w:p>
    <w:p w:rsidR="00360D96" w:rsidRPr="00703DBE" w:rsidRDefault="00E026D5" w:rsidP="007639CA">
      <w:pPr>
        <w:pStyle w:val="aff2"/>
        <w:numPr>
          <w:ilvl w:val="0"/>
          <w:numId w:val="13"/>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substantial improvement in practical skills, and</w:t>
      </w:r>
    </w:p>
    <w:p w:rsidR="00360D96" w:rsidRPr="00703DBE" w:rsidRDefault="00E026D5" w:rsidP="007639CA">
      <w:pPr>
        <w:pStyle w:val="aff2"/>
        <w:numPr>
          <w:ilvl w:val="0"/>
          <w:numId w:val="13"/>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rPr>
      </w:pPr>
      <w:r w:rsidRPr="00703DBE">
        <w:rPr>
          <w:rFonts w:ascii="Times New Roman" w:eastAsia="Times New Roman" w:hAnsi="Times New Roman" w:cs="Times New Roman"/>
          <w:color w:val="000000"/>
          <w:sz w:val="20"/>
          <w:szCs w:val="28"/>
        </w:rPr>
        <w:t>meaningful gains in theoretical knowledge</w:t>
      </w:r>
    </w:p>
    <w:p w:rsidR="00360D96" w:rsidRPr="00703DBE" w:rsidRDefault="00E026D5" w:rsidP="007639CA">
      <w:pPr>
        <w:pBdr>
          <w:top w:val="none" w:sz="4" w:space="0" w:color="000000"/>
          <w:left w:val="none" w:sz="4" w:space="0" w:color="000000"/>
          <w:bottom w:val="none" w:sz="4" w:space="0" w:color="000000"/>
          <w:right w:val="none" w:sz="4" w:space="0" w:color="000000"/>
        </w:pBdr>
        <w:tabs>
          <w:tab w:val="left" w:pos="426"/>
        </w:tabs>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compared to the control group.</w:t>
      </w:r>
    </w:p>
    <w:p w:rsidR="00360D96" w:rsidRPr="00703DBE" w:rsidRDefault="00E026D5" w:rsidP="007639CA">
      <w:pPr>
        <w:pBdr>
          <w:top w:val="none" w:sz="4" w:space="0" w:color="000000"/>
          <w:left w:val="none" w:sz="4" w:space="0" w:color="000000"/>
          <w:bottom w:val="none" w:sz="4" w:space="0" w:color="000000"/>
          <w:right w:val="none" w:sz="4" w:space="0" w:color="000000"/>
        </w:pBdr>
        <w:tabs>
          <w:tab w:val="left" w:pos="426"/>
        </w:tabs>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These outcomes support the Technological Pedagogical Content Knowledge (TPACK) framework [17], suggesting that the productive combination of pedagogical, technological, and content-related knowledge leads to more effective teacher preparation.</w:t>
      </w:r>
    </w:p>
    <w:p w:rsidR="00360D96" w:rsidRPr="00703DBE" w:rsidRDefault="00E026D5" w:rsidP="007639CA">
      <w:pPr>
        <w:tabs>
          <w:tab w:val="left" w:pos="426"/>
        </w:tabs>
        <w:spacing w:after="0" w:line="240" w:lineRule="auto"/>
        <w:ind w:firstLine="284"/>
        <w:rPr>
          <w:sz w:val="20"/>
          <w:lang w:val="en-US"/>
        </w:rPr>
      </w:pPr>
      <w:r w:rsidRPr="00703DBE">
        <w:rPr>
          <w:rFonts w:ascii="Times New Roman" w:eastAsia="Times New Roman" w:hAnsi="Times New Roman" w:cs="Times New Roman"/>
          <w:b/>
          <w:i/>
          <w:iCs/>
          <w:color w:val="000000"/>
          <w:sz w:val="20"/>
          <w:lang w:val="en-US"/>
        </w:rPr>
        <w:t>3. Theoretical Significance of the Study.</w:t>
      </w:r>
      <w:r w:rsidRPr="00703DBE">
        <w:rPr>
          <w:rFonts w:ascii="Times New Roman" w:eastAsia="Times New Roman" w:hAnsi="Times New Roman" w:cs="Times New Roman"/>
          <w:b/>
          <w:color w:val="000000"/>
          <w:sz w:val="20"/>
          <w:lang w:val="en-US"/>
        </w:rPr>
        <w:t xml:space="preserve"> </w:t>
      </w:r>
      <w:r w:rsidRPr="00703DBE">
        <w:rPr>
          <w:rFonts w:ascii="Times New Roman" w:eastAsia="Times New Roman" w:hAnsi="Times New Roman" w:cs="Times New Roman"/>
          <w:color w:val="000000"/>
          <w:sz w:val="20"/>
          <w:lang w:val="en-US"/>
        </w:rPr>
        <w:t>This research strengthens the theoretical foundations of technology-enhanced physics education by:</w:t>
      </w:r>
    </w:p>
    <w:p w:rsidR="00360D96" w:rsidRPr="00703DBE" w:rsidRDefault="00E026D5" w:rsidP="007639CA">
      <w:pPr>
        <w:pStyle w:val="aff2"/>
        <w:numPr>
          <w:ilvl w:val="0"/>
          <w:numId w:val="14"/>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proposing an integrated pedagogical–virtual modeling framework,</w:t>
      </w:r>
    </w:p>
    <w:p w:rsidR="00360D96" w:rsidRPr="00703DBE" w:rsidRDefault="00E026D5" w:rsidP="007639CA">
      <w:pPr>
        <w:pStyle w:val="aff2"/>
        <w:numPr>
          <w:ilvl w:val="0"/>
          <w:numId w:val="14"/>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identifying mechanisms for developing modeling competencies, and</w:t>
      </w:r>
    </w:p>
    <w:p w:rsidR="00360D96" w:rsidRPr="00703DBE" w:rsidRDefault="00E026D5" w:rsidP="007639CA">
      <w:pPr>
        <w:pStyle w:val="aff2"/>
        <w:numPr>
          <w:ilvl w:val="0"/>
          <w:numId w:val="14"/>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justifying the methodological use of digital tools in teacher preparation.</w:t>
      </w:r>
    </w:p>
    <w:p w:rsidR="00360D96" w:rsidRPr="00703DBE" w:rsidRDefault="00E026D5" w:rsidP="007639CA">
      <w:pPr>
        <w:pBdr>
          <w:top w:val="none" w:sz="4" w:space="0" w:color="000000"/>
          <w:left w:val="none" w:sz="4" w:space="0" w:color="000000"/>
          <w:bottom w:val="none" w:sz="4" w:space="0" w:color="000000"/>
          <w:right w:val="none" w:sz="4" w:space="0" w:color="000000"/>
        </w:pBdr>
        <w:tabs>
          <w:tab w:val="left" w:pos="426"/>
        </w:tabs>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The model provides a structured methodological basis for improving the quality of physics teacher education.</w:t>
      </w:r>
    </w:p>
    <w:p w:rsidR="00360D96" w:rsidRPr="00703DBE" w:rsidRDefault="00E026D5" w:rsidP="007639CA">
      <w:pPr>
        <w:tabs>
          <w:tab w:val="left" w:pos="426"/>
        </w:tabs>
        <w:spacing w:after="0" w:line="240" w:lineRule="auto"/>
        <w:ind w:firstLine="284"/>
        <w:rPr>
          <w:sz w:val="20"/>
          <w:lang w:val="en-US"/>
        </w:rPr>
      </w:pPr>
      <w:r w:rsidRPr="00703DBE">
        <w:rPr>
          <w:rFonts w:ascii="Times New Roman" w:eastAsia="Times New Roman" w:hAnsi="Times New Roman" w:cs="Times New Roman"/>
          <w:b/>
          <w:i/>
          <w:iCs/>
          <w:color w:val="000000"/>
          <w:sz w:val="20"/>
          <w:lang w:val="en-US"/>
        </w:rPr>
        <w:t xml:space="preserve">4. Practical Significance. </w:t>
      </w:r>
      <w:r w:rsidRPr="00703DBE">
        <w:rPr>
          <w:rFonts w:ascii="Times New Roman" w:eastAsia="Times New Roman" w:hAnsi="Times New Roman" w:cs="Times New Roman"/>
          <w:color w:val="000000"/>
          <w:sz w:val="20"/>
          <w:lang w:val="en-US"/>
        </w:rPr>
        <w:t>The practical outcomes of the study include:</w:t>
      </w:r>
    </w:p>
    <w:p w:rsidR="00360D96" w:rsidRPr="00703DBE" w:rsidRDefault="00E026D5" w:rsidP="007639CA">
      <w:pPr>
        <w:pStyle w:val="aff2"/>
        <w:numPr>
          <w:ilvl w:val="0"/>
          <w:numId w:val="15"/>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guidelines for implementing an integrated instructional approach in higher education institutions,</w:t>
      </w:r>
    </w:p>
    <w:p w:rsidR="00360D96" w:rsidRPr="00703DBE" w:rsidRDefault="00E026D5" w:rsidP="007639CA">
      <w:pPr>
        <w:pStyle w:val="aff2"/>
        <w:numPr>
          <w:ilvl w:val="0"/>
          <w:numId w:val="15"/>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a set of modeling-based virtual laboratory activities,</w:t>
      </w:r>
    </w:p>
    <w:p w:rsidR="00360D96" w:rsidRPr="00703DBE" w:rsidRDefault="00E026D5" w:rsidP="007639CA">
      <w:pPr>
        <w:pStyle w:val="aff2"/>
        <w:numPr>
          <w:ilvl w:val="0"/>
          <w:numId w:val="15"/>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project-based learning tasks focused on digital modeling, and</w:t>
      </w:r>
    </w:p>
    <w:p w:rsidR="00360D96" w:rsidRPr="00703DBE" w:rsidRDefault="00E026D5" w:rsidP="007639CA">
      <w:pPr>
        <w:pStyle w:val="aff2"/>
        <w:numPr>
          <w:ilvl w:val="0"/>
          <w:numId w:val="15"/>
        </w:numPr>
        <w:pBdr>
          <w:top w:val="none" w:sz="4" w:space="0" w:color="000000"/>
          <w:left w:val="none" w:sz="4" w:space="0" w:color="000000"/>
          <w:bottom w:val="none" w:sz="4" w:space="0" w:color="000000"/>
          <w:right w:val="none" w:sz="4" w:space="0" w:color="000000"/>
        </w:pBdr>
        <w:tabs>
          <w:tab w:val="left" w:pos="426"/>
        </w:tabs>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a framework applicable to teacher training curricula.</w:t>
      </w:r>
    </w:p>
    <w:p w:rsidR="00360D96" w:rsidRPr="00703DBE" w:rsidRDefault="00E026D5" w:rsidP="007639CA">
      <w:pPr>
        <w:pBdr>
          <w:top w:val="none" w:sz="4" w:space="0" w:color="000000"/>
          <w:left w:val="none" w:sz="4" w:space="0" w:color="000000"/>
          <w:bottom w:val="none" w:sz="4" w:space="0" w:color="000000"/>
          <w:right w:val="none" w:sz="4" w:space="0" w:color="000000"/>
        </w:pBdr>
        <w:tabs>
          <w:tab w:val="left" w:pos="426"/>
        </w:tabs>
        <w:spacing w:after="0" w:line="240" w:lineRule="auto"/>
        <w:ind w:firstLine="284"/>
        <w:jc w:val="both"/>
        <w:rPr>
          <w:sz w:val="20"/>
          <w:szCs w:val="28"/>
          <w:lang w:val="en-US"/>
        </w:rPr>
      </w:pPr>
      <w:r w:rsidRPr="00703DBE">
        <w:rPr>
          <w:rFonts w:ascii="Times New Roman" w:eastAsia="Times New Roman" w:hAnsi="Times New Roman" w:cs="Times New Roman"/>
          <w:color w:val="000000"/>
          <w:sz w:val="20"/>
          <w:szCs w:val="28"/>
          <w:lang w:val="en-US"/>
        </w:rPr>
        <w:t>These outputs can directly support curriculum developers, methodologists, and teacher educators.</w:t>
      </w:r>
    </w:p>
    <w:p w:rsidR="00360D96" w:rsidRPr="00703DBE" w:rsidRDefault="00E026D5" w:rsidP="007639CA">
      <w:pPr>
        <w:tabs>
          <w:tab w:val="left" w:pos="426"/>
        </w:tabs>
        <w:spacing w:after="0" w:line="240" w:lineRule="auto"/>
        <w:ind w:firstLine="284"/>
        <w:rPr>
          <w:sz w:val="20"/>
          <w:lang w:val="en-US"/>
        </w:rPr>
      </w:pPr>
      <w:r w:rsidRPr="00703DBE">
        <w:rPr>
          <w:rFonts w:ascii="Times New Roman" w:eastAsia="Times New Roman" w:hAnsi="Times New Roman" w:cs="Times New Roman"/>
          <w:b/>
          <w:i/>
          <w:iCs/>
          <w:color w:val="000000"/>
          <w:sz w:val="20"/>
          <w:lang w:val="en-US"/>
        </w:rPr>
        <w:t>5. Limitations.</w:t>
      </w:r>
      <w:r w:rsidRPr="00703DBE">
        <w:rPr>
          <w:rFonts w:ascii="Times New Roman" w:eastAsia="Times New Roman" w:hAnsi="Times New Roman" w:cs="Times New Roman"/>
          <w:b/>
          <w:color w:val="000000"/>
          <w:sz w:val="20"/>
          <w:lang w:val="en-US"/>
        </w:rPr>
        <w:t xml:space="preserve"> </w:t>
      </w:r>
      <w:r w:rsidRPr="00703DBE">
        <w:rPr>
          <w:rFonts w:ascii="Times New Roman" w:eastAsia="Times New Roman" w:hAnsi="Times New Roman" w:cs="Times New Roman"/>
          <w:color w:val="000000"/>
          <w:sz w:val="20"/>
          <w:lang w:val="en-US"/>
        </w:rPr>
        <w:t>Several limitations should be acknowledged:</w:t>
      </w:r>
    </w:p>
    <w:p w:rsidR="00360D96" w:rsidRPr="00703DBE" w:rsidRDefault="00E026D5" w:rsidP="007639CA">
      <w:pPr>
        <w:pStyle w:val="aff2"/>
        <w:numPr>
          <w:ilvl w:val="0"/>
          <w:numId w:val="12"/>
        </w:numPr>
        <w:pBdr>
          <w:top w:val="none" w:sz="4" w:space="0" w:color="000000"/>
          <w:left w:val="none" w:sz="4" w:space="0" w:color="000000"/>
          <w:bottom w:val="none" w:sz="4" w:space="0" w:color="000000"/>
          <w:right w:val="none" w:sz="4" w:space="0" w:color="000000"/>
        </w:pBdr>
        <w:tabs>
          <w:tab w:val="left" w:pos="284"/>
          <w:tab w:val="left" w:pos="426"/>
        </w:tabs>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The study was conducted at only two universities in Uzbekistan.</w:t>
      </w:r>
    </w:p>
    <w:p w:rsidR="00360D96" w:rsidRPr="00703DBE" w:rsidRDefault="00E026D5" w:rsidP="007639CA">
      <w:pPr>
        <w:pStyle w:val="aff2"/>
        <w:numPr>
          <w:ilvl w:val="0"/>
          <w:numId w:val="12"/>
        </w:numPr>
        <w:pBdr>
          <w:top w:val="none" w:sz="4" w:space="0" w:color="000000"/>
          <w:left w:val="none" w:sz="4" w:space="0" w:color="000000"/>
          <w:bottom w:val="none" w:sz="4" w:space="0" w:color="000000"/>
          <w:right w:val="none" w:sz="4" w:space="0" w:color="000000"/>
        </w:pBdr>
        <w:tabs>
          <w:tab w:val="left" w:pos="284"/>
          <w:tab w:val="left" w:pos="426"/>
        </w:tabs>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The experiment spanned 14 weeks; long-term retention was not examined.</w:t>
      </w:r>
    </w:p>
    <w:p w:rsidR="00360D96" w:rsidRPr="00703DBE" w:rsidRDefault="00E026D5" w:rsidP="007639CA">
      <w:pPr>
        <w:pStyle w:val="aff2"/>
        <w:numPr>
          <w:ilvl w:val="0"/>
          <w:numId w:val="12"/>
        </w:numPr>
        <w:pBdr>
          <w:top w:val="none" w:sz="4" w:space="0" w:color="000000"/>
          <w:left w:val="none" w:sz="4" w:space="0" w:color="000000"/>
          <w:bottom w:val="none" w:sz="4" w:space="0" w:color="000000"/>
          <w:right w:val="none" w:sz="4" w:space="0" w:color="000000"/>
        </w:pBdr>
        <w:tabs>
          <w:tab w:val="left" w:pos="284"/>
          <w:tab w:val="left" w:pos="426"/>
        </w:tabs>
        <w:spacing w:after="0" w:line="240" w:lineRule="auto"/>
        <w:ind w:left="0" w:firstLine="284"/>
        <w:jc w:val="both"/>
        <w:rPr>
          <w:sz w:val="20"/>
          <w:szCs w:val="28"/>
          <w:lang w:val="en-US"/>
        </w:rPr>
      </w:pPr>
      <w:r w:rsidRPr="00703DBE">
        <w:rPr>
          <w:rFonts w:ascii="Times New Roman" w:eastAsia="Times New Roman" w:hAnsi="Times New Roman" w:cs="Times New Roman"/>
          <w:color w:val="000000"/>
          <w:sz w:val="20"/>
          <w:szCs w:val="28"/>
          <w:lang w:val="en-US"/>
        </w:rPr>
        <w:t>Some students had limited prior experience with modeling tools, potentially influencing their learning progression.</w:t>
      </w:r>
    </w:p>
    <w:p w:rsidR="00360D96" w:rsidRPr="00974376" w:rsidRDefault="00E026D5" w:rsidP="007639CA">
      <w:pPr>
        <w:pBdr>
          <w:top w:val="none" w:sz="4" w:space="0" w:color="000000"/>
          <w:left w:val="none" w:sz="4" w:space="0" w:color="000000"/>
          <w:bottom w:val="none" w:sz="4" w:space="0" w:color="000000"/>
          <w:right w:val="none" w:sz="4" w:space="0" w:color="000000"/>
        </w:pBdr>
        <w:tabs>
          <w:tab w:val="left" w:pos="426"/>
        </w:tabs>
        <w:spacing w:after="0" w:line="240" w:lineRule="auto"/>
        <w:ind w:firstLine="284"/>
        <w:jc w:val="both"/>
        <w:rPr>
          <w:rFonts w:ascii="Times New Roman" w:eastAsia="Times New Roman" w:hAnsi="Times New Roman" w:cs="Times New Roman"/>
          <w:color w:val="000000"/>
          <w:sz w:val="28"/>
          <w:szCs w:val="28"/>
          <w:lang w:val="en-US"/>
        </w:rPr>
      </w:pPr>
      <w:r w:rsidRPr="00703DBE">
        <w:rPr>
          <w:rFonts w:ascii="Times New Roman" w:eastAsia="Times New Roman" w:hAnsi="Times New Roman" w:cs="Times New Roman"/>
          <w:color w:val="000000"/>
          <w:sz w:val="20"/>
          <w:szCs w:val="28"/>
          <w:lang w:val="en-US"/>
        </w:rPr>
        <w:t>Future studies should expand the sample size, explore long-term effects, and examine the application of the model across different subject domains.</w:t>
      </w:r>
    </w:p>
    <w:p w:rsidR="00360D96" w:rsidRPr="00703DBE" w:rsidRDefault="00E026D5" w:rsidP="00AF638D">
      <w:pPr>
        <w:spacing w:before="240" w:line="240" w:lineRule="auto"/>
        <w:ind w:right="-330" w:firstLine="284"/>
        <w:jc w:val="center"/>
        <w:rPr>
          <w:rFonts w:ascii="Times New Roman" w:eastAsia="Times New Roman" w:hAnsi="Times New Roman" w:cs="Times New Roman"/>
          <w:b/>
          <w:color w:val="000000"/>
          <w:sz w:val="24"/>
          <w:szCs w:val="28"/>
          <w:lang w:val="en-US"/>
        </w:rPr>
      </w:pPr>
      <w:r w:rsidRPr="00703DBE">
        <w:rPr>
          <w:rFonts w:ascii="Times New Roman" w:eastAsia="Times New Roman" w:hAnsi="Times New Roman" w:cs="Times New Roman"/>
          <w:b/>
          <w:color w:val="000000"/>
          <w:sz w:val="24"/>
          <w:szCs w:val="28"/>
          <w:lang w:val="en-US"/>
        </w:rPr>
        <w:t>CONCLUSION</w:t>
      </w:r>
    </w:p>
    <w:p w:rsidR="00360D96" w:rsidRPr="002B2995"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rFonts w:ascii="Times New Roman" w:eastAsia="Times New Roman" w:hAnsi="Times New Roman" w:cs="Times New Roman"/>
          <w:color w:val="000000"/>
          <w:sz w:val="20"/>
          <w:szCs w:val="28"/>
          <w:lang w:val="en-US"/>
        </w:rPr>
      </w:pPr>
      <w:r w:rsidRPr="002B2995">
        <w:rPr>
          <w:rFonts w:ascii="Times New Roman" w:eastAsia="Times New Roman" w:hAnsi="Times New Roman" w:cs="Times New Roman"/>
          <w:color w:val="000000"/>
          <w:sz w:val="20"/>
          <w:szCs w:val="28"/>
          <w:lang w:val="en-US"/>
        </w:rPr>
        <w:t xml:space="preserve">This study developed and empirically validated an integrated methodology that combines pedagogical technologies with virtual modeling tools to enhance the professional competencies of pre-service physics teachers. The findings clearly demonstrate that the integration of 2D and 3D simulations, virtual laboratories, and interactive teaching strategies significantly strengthens students’ theoretical understanding. Furthermore, modeling-oriented tasks </w:t>
      </w:r>
      <w:r w:rsidRPr="002B2995">
        <w:rPr>
          <w:rFonts w:ascii="Times New Roman" w:eastAsia="Times New Roman" w:hAnsi="Times New Roman" w:cs="Times New Roman"/>
          <w:color w:val="000000"/>
          <w:sz w:val="20"/>
          <w:szCs w:val="28"/>
          <w:lang w:val="en-US"/>
        </w:rPr>
        <w:lastRenderedPageBreak/>
        <w:t>foster deeper analytical engagement, improve experimental reasoning, and support students in explaining complex physical processes through structured problem situations.</w:t>
      </w:r>
    </w:p>
    <w:p w:rsidR="00360D96" w:rsidRPr="002B2995"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rFonts w:ascii="Times New Roman" w:eastAsia="Times New Roman" w:hAnsi="Times New Roman" w:cs="Times New Roman"/>
          <w:color w:val="000000"/>
          <w:sz w:val="20"/>
          <w:szCs w:val="28"/>
          <w:lang w:val="en-US"/>
        </w:rPr>
      </w:pPr>
      <w:r w:rsidRPr="002B2995">
        <w:rPr>
          <w:rFonts w:ascii="Times New Roman" w:eastAsia="Times New Roman" w:hAnsi="Times New Roman" w:cs="Times New Roman"/>
          <w:color w:val="000000"/>
          <w:sz w:val="20"/>
          <w:szCs w:val="28"/>
          <w:lang w:val="en-US"/>
        </w:rPr>
        <w:t>The positive learning dynamics observed throughout the experiment indicate that the functional alignment of pedagogical methods with virtual modeling tools plays a crucial role in increasing instructional effectiveness. The intentional combination of problem-based learning with 3D simulations, interactive strategies with 2D models, and experimental approaches with virtual laboratory environments contributed to the formation of more stable conceptual understanding among students. These outcomes highlight the theoretical relevance and practical value of the proposed integrated model.</w:t>
      </w:r>
    </w:p>
    <w:p w:rsidR="00360D96" w:rsidRPr="002B2995" w:rsidRDefault="00E026D5" w:rsidP="007639CA">
      <w:pPr>
        <w:pBdr>
          <w:top w:val="none" w:sz="4" w:space="0" w:color="000000"/>
          <w:left w:val="none" w:sz="4" w:space="0" w:color="000000"/>
          <w:bottom w:val="none" w:sz="4" w:space="0" w:color="000000"/>
          <w:right w:val="none" w:sz="4" w:space="0" w:color="000000"/>
        </w:pBdr>
        <w:spacing w:after="0" w:line="240" w:lineRule="auto"/>
        <w:ind w:firstLine="284"/>
        <w:jc w:val="both"/>
        <w:rPr>
          <w:rFonts w:ascii="Times New Roman" w:eastAsia="Times New Roman" w:hAnsi="Times New Roman" w:cs="Times New Roman"/>
          <w:color w:val="000000"/>
          <w:sz w:val="20"/>
          <w:szCs w:val="28"/>
          <w:lang w:val="en-US"/>
        </w:rPr>
      </w:pPr>
      <w:r w:rsidRPr="002B2995">
        <w:rPr>
          <w:rFonts w:ascii="Times New Roman" w:eastAsia="Times New Roman" w:hAnsi="Times New Roman" w:cs="Times New Roman"/>
          <w:color w:val="000000"/>
          <w:sz w:val="20"/>
          <w:szCs w:val="28"/>
          <w:lang w:val="en-US"/>
        </w:rPr>
        <w:t>The results also confirm that virtual modeling competence has become an essential component of modern teacher education in physics. The implementation of the integrated framework nurtures inquiry-oriented thinking, supports the development of research skills, and contributes to the comprehensive professional preparation of future teachers. Promising directions for future research include expanding the model with AR/VR technologies, enriching virtual laboratory environments with more advanced processes, and conducting longitudinal studies to evaluate sustained competency development.</w:t>
      </w:r>
    </w:p>
    <w:p w:rsidR="00360D96" w:rsidRPr="002B2995" w:rsidRDefault="00E026D5" w:rsidP="00AF638D">
      <w:pPr>
        <w:spacing w:before="240" w:line="240" w:lineRule="auto"/>
        <w:ind w:firstLine="284"/>
        <w:jc w:val="center"/>
        <w:rPr>
          <w:rFonts w:ascii="Times New Roman" w:eastAsia="Times New Roman" w:hAnsi="Times New Roman" w:cs="Times New Roman"/>
          <w:b/>
          <w:color w:val="000000"/>
          <w:sz w:val="24"/>
          <w:szCs w:val="28"/>
          <w:lang w:val="en-US"/>
        </w:rPr>
      </w:pPr>
      <w:r w:rsidRPr="002B2995">
        <w:rPr>
          <w:rFonts w:ascii="Times New Roman" w:eastAsia="Times New Roman" w:hAnsi="Times New Roman" w:cs="Times New Roman"/>
          <w:b/>
          <w:color w:val="000000"/>
          <w:sz w:val="24"/>
          <w:szCs w:val="28"/>
          <w:lang w:val="en-US"/>
        </w:rPr>
        <w:t>REFERENCES</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Bernard.R.M., Borokhovski.E., Tamim.R. A meta-analysis of blended learning and technology integration in higher education. </w:t>
      </w:r>
      <w:r w:rsidRPr="002B2995">
        <w:rPr>
          <w:rFonts w:ascii="Times New Roman" w:eastAsia="Times New Roman" w:hAnsi="Times New Roman" w:cs="Times New Roman"/>
          <w:sz w:val="20"/>
          <w:szCs w:val="28"/>
        </w:rPr>
        <w:t>Journal of Computing in Higher Education, (2020)</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32(3), 1–23.</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De Jong.T., Linn.M.C., Zacharia.Z.C. </w:t>
      </w:r>
      <w:r w:rsidRPr="002B2995">
        <w:rPr>
          <w:rFonts w:ascii="Times New Roman" w:hAnsi="Times New Roman" w:cs="Times New Roman"/>
          <w:sz w:val="20"/>
          <w:szCs w:val="20"/>
          <w:lang w:val="uz-Cyrl-UZ"/>
        </w:rPr>
        <w:t>Physical</w:t>
      </w:r>
      <w:r w:rsidRPr="002B2995">
        <w:rPr>
          <w:rFonts w:ascii="Times New Roman" w:eastAsia="Times New Roman" w:hAnsi="Times New Roman" w:cs="Times New Roman"/>
          <w:sz w:val="20"/>
          <w:szCs w:val="28"/>
          <w:lang w:val="en-US"/>
        </w:rPr>
        <w:t xml:space="preserve"> and virtual laboratories in science and engineering education. </w:t>
      </w:r>
      <w:r w:rsidRPr="002B2995">
        <w:rPr>
          <w:rFonts w:ascii="Times New Roman" w:eastAsia="Times New Roman" w:hAnsi="Times New Roman" w:cs="Times New Roman"/>
          <w:sz w:val="20"/>
          <w:szCs w:val="28"/>
        </w:rPr>
        <w:t>Science, (2013)</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340(6130), 305–308.</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Finkelstein.N.D., Adams.W.K., Keller.C.J., Kohl.P.B., Perkins.K.K., Podolefsky.N.S., Reid.S.,  LeMaster.R. When learning about the real world is better done virtually: A study using PhET simulations. </w:t>
      </w:r>
      <w:r w:rsidRPr="002B2995">
        <w:rPr>
          <w:rFonts w:ascii="Times New Roman" w:eastAsia="Times New Roman" w:hAnsi="Times New Roman" w:cs="Times New Roman"/>
          <w:sz w:val="20"/>
          <w:szCs w:val="28"/>
        </w:rPr>
        <w:t>Physical Review Special Topics – Physics Education Research, (2005)</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1(1), 010103.</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Zacharia.Z.C., Olympiou.G. Physical versus virtual manipulative experimentation in physics learning. </w:t>
      </w:r>
      <w:r w:rsidRPr="002B2995">
        <w:rPr>
          <w:rFonts w:ascii="Times New Roman" w:eastAsia="Times New Roman" w:hAnsi="Times New Roman" w:cs="Times New Roman"/>
          <w:sz w:val="20"/>
          <w:szCs w:val="28"/>
        </w:rPr>
        <w:t>Research in Science Education, (2011)</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41(4), 579–602.</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Kebritchi.M., Hirumi.A., Bai.H. The effects of modern educational technologies on teaching and learning. </w:t>
      </w:r>
      <w:r w:rsidRPr="002B2995">
        <w:rPr>
          <w:rFonts w:ascii="Times New Roman" w:eastAsia="Times New Roman" w:hAnsi="Times New Roman" w:cs="Times New Roman"/>
          <w:sz w:val="20"/>
          <w:szCs w:val="28"/>
        </w:rPr>
        <w:t xml:space="preserve">Computers </w:t>
      </w:r>
      <w:r w:rsidRPr="002B2995">
        <w:rPr>
          <w:rFonts w:ascii="Times New Roman" w:eastAsia="Times New Roman" w:hAnsi="Times New Roman" w:cs="Times New Roman"/>
          <w:sz w:val="20"/>
          <w:szCs w:val="28"/>
          <w:lang w:val="en-US"/>
        </w:rPr>
        <w:t>and</w:t>
      </w:r>
      <w:r w:rsidRPr="002B2995">
        <w:rPr>
          <w:rFonts w:ascii="Times New Roman" w:eastAsia="Times New Roman" w:hAnsi="Times New Roman" w:cs="Times New Roman"/>
          <w:sz w:val="20"/>
          <w:szCs w:val="28"/>
        </w:rPr>
        <w:t xml:space="preserve"> Education, (2017).</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103, 1–14.</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Smetana.L.K., Bell.R.L. Computer simulations to support science instruction and learning. </w:t>
      </w:r>
      <w:r w:rsidRPr="002B2995">
        <w:rPr>
          <w:rFonts w:ascii="Times New Roman" w:eastAsia="Times New Roman" w:hAnsi="Times New Roman" w:cs="Times New Roman"/>
          <w:sz w:val="20"/>
          <w:szCs w:val="28"/>
        </w:rPr>
        <w:t>Science Educator, (2012)</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20(3), 23–28.</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Bonde.M.T., Makransky.G., Wandall.J., Larsen.M.V., Morsing.M., Jarmer.H., Sommer.M.O. Improving biotechnology education through gamified laboratory simulations. </w:t>
      </w:r>
      <w:r w:rsidRPr="002B2995">
        <w:rPr>
          <w:rFonts w:ascii="Times New Roman" w:eastAsia="Times New Roman" w:hAnsi="Times New Roman" w:cs="Times New Roman"/>
          <w:sz w:val="20"/>
          <w:szCs w:val="28"/>
        </w:rPr>
        <w:t>Nature Biotechnology, (2014)</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32(7), 694–697.</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 Ergashev.S. Didactic possibilities of using virtual laboratories in physics education. </w:t>
      </w:r>
      <w:r w:rsidRPr="002B2995">
        <w:rPr>
          <w:rFonts w:ascii="Times New Roman" w:eastAsia="Times New Roman" w:hAnsi="Times New Roman" w:cs="Times New Roman"/>
          <w:sz w:val="20"/>
          <w:szCs w:val="28"/>
        </w:rPr>
        <w:t>Journal of Physics Education, (2022).</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14(2), 55–63.</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Hutmacher.W. Key competencies for Europe. </w:t>
      </w:r>
      <w:r w:rsidRPr="002B2995">
        <w:rPr>
          <w:rFonts w:ascii="Times New Roman" w:eastAsia="Times New Roman" w:hAnsi="Times New Roman" w:cs="Times New Roman"/>
          <w:sz w:val="20"/>
          <w:szCs w:val="28"/>
        </w:rPr>
        <w:t>Council of Europe Publishing.</w:t>
      </w:r>
      <w:r w:rsidRPr="002B2995">
        <w:rPr>
          <w:rFonts w:ascii="Times New Roman" w:hAnsi="Times New Roman" w:cs="Times New Roman"/>
          <w:sz w:val="20"/>
          <w:szCs w:val="28"/>
          <w:lang w:val="en-US"/>
        </w:rPr>
        <w:t xml:space="preserve"> </w:t>
      </w:r>
      <w:r w:rsidRPr="002B2995">
        <w:rPr>
          <w:rFonts w:ascii="Times New Roman" w:eastAsia="Times New Roman" w:hAnsi="Times New Roman" w:cs="Times New Roman"/>
          <w:sz w:val="20"/>
          <w:szCs w:val="28"/>
        </w:rPr>
        <w:t>1997</w:t>
      </w:r>
      <w:r w:rsidRPr="002B2995">
        <w:rPr>
          <w:rFonts w:ascii="Times New Roman" w:hAnsi="Times New Roman" w:cs="Times New Roman"/>
          <w:sz w:val="20"/>
          <w:szCs w:val="28"/>
          <w:lang w:val="en-US"/>
        </w:rPr>
        <w:t>.</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 Kent.T. Using Blender for STEM education: Enhancing visualization and simulation in physics learning. </w:t>
      </w:r>
      <w:r w:rsidRPr="002B2995">
        <w:rPr>
          <w:rFonts w:ascii="Times New Roman" w:eastAsia="Times New Roman" w:hAnsi="Times New Roman" w:cs="Times New Roman"/>
          <w:sz w:val="20"/>
          <w:szCs w:val="28"/>
        </w:rPr>
        <w:t>International Journal of Educational Technology, (2020).</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17(1), 45–59.</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Nishonov.B. Theoretical foundations of applying innovative pedagogical technologies in higher education. </w:t>
      </w:r>
      <w:r w:rsidRPr="002B2995">
        <w:rPr>
          <w:rFonts w:ascii="Times New Roman" w:eastAsia="Times New Roman" w:hAnsi="Times New Roman" w:cs="Times New Roman"/>
          <w:sz w:val="20"/>
          <w:szCs w:val="28"/>
        </w:rPr>
        <w:t>Tashkent State Pedagogical University Press.</w:t>
      </w:r>
      <w:r w:rsidRPr="002B2995">
        <w:rPr>
          <w:rFonts w:ascii="Times New Roman" w:hAnsi="Times New Roman" w:cs="Times New Roman"/>
          <w:sz w:val="20"/>
          <w:szCs w:val="28"/>
          <w:lang w:val="en-US"/>
        </w:rPr>
        <w:t xml:space="preserve"> </w:t>
      </w:r>
      <w:r w:rsidRPr="002B2995">
        <w:rPr>
          <w:rFonts w:ascii="Times New Roman" w:eastAsia="Times New Roman" w:hAnsi="Times New Roman" w:cs="Times New Roman"/>
          <w:sz w:val="20"/>
          <w:szCs w:val="28"/>
        </w:rPr>
        <w:t>2021</w:t>
      </w:r>
      <w:r w:rsidRPr="002B2995">
        <w:rPr>
          <w:rFonts w:ascii="Times New Roman" w:hAnsi="Times New Roman" w:cs="Times New Roman"/>
          <w:sz w:val="20"/>
          <w:szCs w:val="28"/>
          <w:lang w:val="en-US"/>
        </w:rPr>
        <w:t>.</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OECD. OECD Learning Compass 2030: Competencies for the future. </w:t>
      </w:r>
      <w:r w:rsidRPr="002B2995">
        <w:rPr>
          <w:rFonts w:ascii="Times New Roman" w:eastAsia="Times New Roman" w:hAnsi="Times New Roman" w:cs="Times New Roman"/>
          <w:sz w:val="20"/>
          <w:szCs w:val="28"/>
        </w:rPr>
        <w:t>OECD Publishing.</w:t>
      </w:r>
      <w:r w:rsidRPr="002B2995">
        <w:rPr>
          <w:rFonts w:ascii="Times New Roman" w:hAnsi="Times New Roman" w:cs="Times New Roman"/>
          <w:sz w:val="20"/>
          <w:szCs w:val="28"/>
          <w:lang w:val="en-US"/>
        </w:rPr>
        <w:t xml:space="preserve"> </w:t>
      </w:r>
      <w:r w:rsidRPr="002B2995">
        <w:rPr>
          <w:rFonts w:ascii="Times New Roman" w:eastAsia="Times New Roman" w:hAnsi="Times New Roman" w:cs="Times New Roman"/>
          <w:sz w:val="20"/>
          <w:szCs w:val="28"/>
        </w:rPr>
        <w:t>2019</w:t>
      </w:r>
      <w:r w:rsidRPr="002B2995">
        <w:rPr>
          <w:rFonts w:ascii="Times New Roman" w:hAnsi="Times New Roman" w:cs="Times New Roman"/>
          <w:sz w:val="20"/>
          <w:szCs w:val="28"/>
          <w:lang w:val="en-US"/>
        </w:rPr>
        <w:t>.</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Sibilla.F., Zappi.D. Enhancing students’ understanding of mechanics using Algodoo simulations. </w:t>
      </w:r>
      <w:r w:rsidRPr="002B2995">
        <w:rPr>
          <w:rFonts w:ascii="Times New Roman" w:eastAsia="Times New Roman" w:hAnsi="Times New Roman" w:cs="Times New Roman"/>
          <w:sz w:val="20"/>
          <w:szCs w:val="28"/>
        </w:rPr>
        <w:t>European Journal of Physics Education, 2018</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9(3), 10–18.</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Tojiyev.U. Effectiveness of digital learning tools: Use of multimedia resources in the educational process. </w:t>
      </w:r>
      <w:r w:rsidRPr="002B2995">
        <w:rPr>
          <w:rFonts w:ascii="Times New Roman" w:eastAsia="Times New Roman" w:hAnsi="Times New Roman" w:cs="Times New Roman"/>
          <w:sz w:val="20"/>
          <w:szCs w:val="28"/>
        </w:rPr>
        <w:t>Uzbek Journal of Education, 2020</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25(1), 32–40.</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Wieman.C., Perkins.K. Transforming physics education. </w:t>
      </w:r>
      <w:r w:rsidRPr="002B2995">
        <w:rPr>
          <w:rFonts w:ascii="Times New Roman" w:eastAsia="Times New Roman" w:hAnsi="Times New Roman" w:cs="Times New Roman"/>
          <w:sz w:val="20"/>
          <w:szCs w:val="28"/>
        </w:rPr>
        <w:t>Physics Today, 2005</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58(11), 36–41.</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Yoldoshev.J. Pedagogical technologies and their role in the educational process. </w:t>
      </w:r>
      <w:r w:rsidRPr="002B2995">
        <w:rPr>
          <w:rFonts w:ascii="Times New Roman" w:eastAsia="Times New Roman" w:hAnsi="Times New Roman" w:cs="Times New Roman"/>
          <w:sz w:val="20"/>
          <w:szCs w:val="28"/>
        </w:rPr>
        <w:t>Journal of Higher Education,</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2019</w:t>
      </w:r>
      <w:r w:rsidRPr="002B2995">
        <w:rPr>
          <w:rFonts w:ascii="Times New Roman" w:eastAsia="Times New Roman" w:hAnsi="Times New Roman" w:cs="Times New Roman"/>
          <w:sz w:val="20"/>
          <w:szCs w:val="28"/>
          <w:lang w:val="en-US"/>
        </w:rPr>
        <w:t>.</w:t>
      </w:r>
      <w:r w:rsidRPr="002B2995">
        <w:rPr>
          <w:rFonts w:ascii="Times New Roman" w:eastAsia="Times New Roman" w:hAnsi="Times New Roman" w:cs="Times New Roman"/>
          <w:sz w:val="20"/>
          <w:szCs w:val="28"/>
        </w:rPr>
        <w:t xml:space="preserve"> 6(3), 15–22.</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Mishra.P., Koehler.M.J. Technological Pedagogical Content Knowledge: A framework for teacher knowledge. </w:t>
      </w:r>
      <w:r w:rsidRPr="002B2995">
        <w:rPr>
          <w:rFonts w:ascii="Times New Roman" w:eastAsia="Times New Roman" w:hAnsi="Times New Roman" w:cs="Times New Roman"/>
          <w:sz w:val="20"/>
          <w:szCs w:val="28"/>
        </w:rPr>
        <w:t>Teachers College Record, 2006</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108(6), 1017–1054.</w:t>
      </w:r>
    </w:p>
    <w:p w:rsidR="00360D96" w:rsidRPr="002B2995"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rPr>
      </w:pPr>
      <w:r w:rsidRPr="002B2995">
        <w:rPr>
          <w:rFonts w:ascii="Times New Roman" w:eastAsia="Times New Roman" w:hAnsi="Times New Roman" w:cs="Times New Roman"/>
          <w:sz w:val="20"/>
          <w:szCs w:val="28"/>
          <w:lang w:val="en-US"/>
        </w:rPr>
        <w:t xml:space="preserve">Baser.M., Durmuş.S. Effectiveness of 3D modeling environments on students’ conceptual understanding in physics education. </w:t>
      </w:r>
      <w:r w:rsidRPr="002B2995">
        <w:rPr>
          <w:rFonts w:ascii="Times New Roman" w:eastAsia="Times New Roman" w:hAnsi="Times New Roman" w:cs="Times New Roman"/>
          <w:sz w:val="20"/>
          <w:szCs w:val="28"/>
        </w:rPr>
        <w:t>International Journal of Science and Mathematics Education, 2021</w:t>
      </w:r>
      <w:r w:rsidRPr="002B2995">
        <w:rPr>
          <w:rFonts w:ascii="Times New Roman" w:eastAsia="Times New Roman" w:hAnsi="Times New Roman" w:cs="Times New Roman"/>
          <w:sz w:val="20"/>
          <w:szCs w:val="28"/>
          <w:lang w:val="en-US"/>
        </w:rPr>
        <w:t xml:space="preserve">. </w:t>
      </w:r>
      <w:r w:rsidRPr="002B2995">
        <w:rPr>
          <w:rFonts w:ascii="Times New Roman" w:eastAsia="Times New Roman" w:hAnsi="Times New Roman" w:cs="Times New Roman"/>
          <w:sz w:val="20"/>
          <w:szCs w:val="28"/>
        </w:rPr>
        <w:t>19, 89–110.</w:t>
      </w:r>
    </w:p>
    <w:p w:rsidR="00360D96" w:rsidRPr="001F6512"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sz w:val="20"/>
          <w:szCs w:val="28"/>
          <w:lang w:val="en-US"/>
        </w:rPr>
      </w:pPr>
      <w:r w:rsidRPr="002B2995">
        <w:rPr>
          <w:rFonts w:ascii="Times New Roman" w:eastAsia="Times New Roman" w:hAnsi="Times New Roman" w:cs="Times New Roman"/>
          <w:sz w:val="20"/>
          <w:szCs w:val="28"/>
          <w:lang w:val="en-US"/>
        </w:rPr>
        <w:t xml:space="preserve">Wu.H.K., Lee.S.W.Y., Chang.H.Y., Liang.J.C. Current status, opportunities, and challenges of augmented reality in education. </w:t>
      </w:r>
      <w:r w:rsidRPr="001F6512">
        <w:rPr>
          <w:rFonts w:ascii="Times New Roman" w:eastAsia="Times New Roman" w:hAnsi="Times New Roman" w:cs="Times New Roman"/>
          <w:sz w:val="20"/>
          <w:szCs w:val="28"/>
          <w:lang w:val="en-US"/>
        </w:rPr>
        <w:t xml:space="preserve">Computers </w:t>
      </w:r>
      <w:r w:rsidRPr="002B2995">
        <w:rPr>
          <w:rFonts w:ascii="Times New Roman" w:eastAsia="Times New Roman" w:hAnsi="Times New Roman" w:cs="Times New Roman"/>
          <w:sz w:val="20"/>
          <w:szCs w:val="28"/>
          <w:lang w:val="en-US"/>
        </w:rPr>
        <w:t>and</w:t>
      </w:r>
      <w:r w:rsidRPr="001F6512">
        <w:rPr>
          <w:rFonts w:ascii="Times New Roman" w:eastAsia="Times New Roman" w:hAnsi="Times New Roman" w:cs="Times New Roman"/>
          <w:sz w:val="20"/>
          <w:szCs w:val="28"/>
          <w:lang w:val="en-US"/>
        </w:rPr>
        <w:t xml:space="preserve"> Education, 2013</w:t>
      </w:r>
      <w:r w:rsidRPr="002B2995">
        <w:rPr>
          <w:rFonts w:ascii="Times New Roman" w:eastAsia="Times New Roman" w:hAnsi="Times New Roman" w:cs="Times New Roman"/>
          <w:sz w:val="20"/>
          <w:szCs w:val="28"/>
          <w:lang w:val="en-US"/>
        </w:rPr>
        <w:t xml:space="preserve">. </w:t>
      </w:r>
      <w:r w:rsidRPr="001F6512">
        <w:rPr>
          <w:rFonts w:ascii="Times New Roman" w:eastAsia="Times New Roman" w:hAnsi="Times New Roman" w:cs="Times New Roman"/>
          <w:sz w:val="20"/>
          <w:szCs w:val="28"/>
          <w:lang w:val="en-US"/>
        </w:rPr>
        <w:t>62, 41–49.</w:t>
      </w:r>
      <w:r w:rsidR="001F6512">
        <w:rPr>
          <w:rFonts w:ascii="Times New Roman" w:eastAsia="Times New Roman" w:hAnsi="Times New Roman" w:cs="Times New Roman"/>
          <w:sz w:val="20"/>
          <w:szCs w:val="28"/>
          <w:lang w:val="en-US"/>
        </w:rPr>
        <w:t xml:space="preserve"> </w:t>
      </w:r>
    </w:p>
    <w:p w:rsidR="00360D96" w:rsidRPr="001F6512" w:rsidRDefault="00E026D5" w:rsidP="007639CA">
      <w:pPr>
        <w:pStyle w:val="aff2"/>
        <w:numPr>
          <w:ilvl w:val="0"/>
          <w:numId w:val="16"/>
        </w:numPr>
        <w:pBdr>
          <w:top w:val="none" w:sz="4" w:space="0" w:color="000000"/>
          <w:left w:val="none" w:sz="4" w:space="8" w:color="000000"/>
          <w:bottom w:val="none" w:sz="4" w:space="0" w:color="000000"/>
          <w:right w:val="none" w:sz="4" w:space="0" w:color="000000"/>
        </w:pBdr>
        <w:tabs>
          <w:tab w:val="left" w:pos="142"/>
          <w:tab w:val="left" w:pos="284"/>
        </w:tabs>
        <w:spacing w:after="0" w:line="240" w:lineRule="auto"/>
        <w:ind w:left="0" w:firstLine="284"/>
        <w:jc w:val="both"/>
        <w:rPr>
          <w:rFonts w:ascii="Times New Roman" w:hAnsi="Times New Roman" w:cs="Times New Roman"/>
          <w:b/>
          <w:bCs/>
          <w:sz w:val="28"/>
          <w:szCs w:val="28"/>
          <w:lang w:val="en-US"/>
        </w:rPr>
      </w:pPr>
      <w:r w:rsidRPr="001F6512">
        <w:rPr>
          <w:rFonts w:ascii="Times New Roman" w:eastAsia="Times New Roman" w:hAnsi="Times New Roman" w:cs="Times New Roman"/>
          <w:sz w:val="20"/>
          <w:szCs w:val="28"/>
          <w:lang w:val="en-US"/>
        </w:rPr>
        <w:t>Sahin.M. The impact of problem-based learning on student knowledge in physics. Journal of Science Education and Technology, 2010. 19(6), 551–556.</w:t>
      </w:r>
    </w:p>
    <w:sectPr w:rsidR="00360D96" w:rsidRPr="001F6512" w:rsidSect="00011040">
      <w:pgSz w:w="12242" w:h="15842" w:code="1"/>
      <w:pgMar w:top="1440" w:right="1440" w:bottom="1701" w:left="1440" w:header="709" w:footer="709" w:gutter="0"/>
      <w:cols w:space="708"/>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B7702" w:rsidRDefault="00FB7702">
      <w:pPr>
        <w:spacing w:after="0" w:line="240" w:lineRule="auto"/>
      </w:pPr>
      <w:r>
        <w:separator/>
      </w:r>
    </w:p>
  </w:endnote>
  <w:endnote w:type="continuationSeparator" w:id="0">
    <w:p w:rsidR="00FB7702" w:rsidRDefault="00FB77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B7702" w:rsidRDefault="00FB7702">
      <w:pPr>
        <w:spacing w:after="0" w:line="240" w:lineRule="auto"/>
      </w:pPr>
      <w:r>
        <w:separator/>
      </w:r>
    </w:p>
  </w:footnote>
  <w:footnote w:type="continuationSeparator" w:id="0">
    <w:p w:rsidR="00FB7702" w:rsidRDefault="00FB770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FAF73A"/>
    <w:multiLevelType w:val="multilevel"/>
    <w:tmpl w:val="90B03A14"/>
    <w:lvl w:ilvl="0">
      <w:start w:val="1"/>
      <w:numFmt w:val="bullet"/>
      <w:lvlText w:val="·"/>
      <w:lvlJc w:val="left"/>
      <w:pPr>
        <w:ind w:left="709" w:hanging="360"/>
      </w:pPr>
      <w:rPr>
        <w:rFonts w:ascii="Symbol" w:eastAsia="Symbol" w:hAnsi="Symbol" w:cs="Symbo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1" w15:restartNumberingAfterBreak="0">
    <w:nsid w:val="1D15E693"/>
    <w:multiLevelType w:val="multilevel"/>
    <w:tmpl w:val="209A35CC"/>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2" w15:restartNumberingAfterBreak="0">
    <w:nsid w:val="36C4D419"/>
    <w:multiLevelType w:val="multilevel"/>
    <w:tmpl w:val="6AC6AC74"/>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3" w15:restartNumberingAfterBreak="0">
    <w:nsid w:val="40AF0775"/>
    <w:multiLevelType w:val="multilevel"/>
    <w:tmpl w:val="CBD0A44C"/>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4" w15:restartNumberingAfterBreak="0">
    <w:nsid w:val="42F20256"/>
    <w:multiLevelType w:val="multilevel"/>
    <w:tmpl w:val="595462EE"/>
    <w:lvl w:ilvl="0">
      <w:start w:val="1"/>
      <w:numFmt w:val="bullet"/>
      <w:lvlText w:val="·"/>
      <w:lvlJc w:val="left"/>
      <w:pPr>
        <w:ind w:left="709" w:hanging="360"/>
      </w:pPr>
      <w:rPr>
        <w:rFonts w:ascii="Symbol" w:eastAsia="Symbol" w:hAnsi="Symbol" w:cs="Symbo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5" w15:restartNumberingAfterBreak="0">
    <w:nsid w:val="46FCF22A"/>
    <w:multiLevelType w:val="multilevel"/>
    <w:tmpl w:val="A4528FCC"/>
    <w:lvl w:ilvl="0">
      <w:start w:val="1"/>
      <w:numFmt w:val="bullet"/>
      <w:lvlText w:val="·"/>
      <w:lvlJc w:val="left"/>
      <w:pPr>
        <w:ind w:left="709" w:hanging="360"/>
      </w:pPr>
      <w:rPr>
        <w:rFonts w:ascii="Symbol" w:eastAsia="Symbol" w:hAnsi="Symbol" w:cs="Symbo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6" w15:restartNumberingAfterBreak="0">
    <w:nsid w:val="4EBC794E"/>
    <w:multiLevelType w:val="multilevel"/>
    <w:tmpl w:val="6D62BE72"/>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7" w15:restartNumberingAfterBreak="0">
    <w:nsid w:val="5657EA37"/>
    <w:multiLevelType w:val="multilevel"/>
    <w:tmpl w:val="AD7AD5BC"/>
    <w:lvl w:ilvl="0">
      <w:start w:val="1"/>
      <w:numFmt w:val="bullet"/>
      <w:lvlText w:val="·"/>
      <w:lvlJc w:val="left"/>
      <w:pPr>
        <w:ind w:left="709" w:hanging="360"/>
      </w:pPr>
      <w:rPr>
        <w:rFonts w:ascii="Symbol" w:eastAsia="Symbol" w:hAnsi="Symbol" w:cs="Symbo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8" w15:restartNumberingAfterBreak="0">
    <w:nsid w:val="5919261C"/>
    <w:multiLevelType w:val="multilevel"/>
    <w:tmpl w:val="2CE8214A"/>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9" w15:restartNumberingAfterBreak="0">
    <w:nsid w:val="59B44255"/>
    <w:multiLevelType w:val="multilevel"/>
    <w:tmpl w:val="EF9E2B5A"/>
    <w:lvl w:ilvl="0">
      <w:start w:val="1"/>
      <w:numFmt w:val="bullet"/>
      <w:lvlText w:val="·"/>
      <w:lvlJc w:val="left"/>
      <w:pPr>
        <w:ind w:left="709" w:hanging="360"/>
      </w:pPr>
      <w:rPr>
        <w:rFonts w:ascii="Symbol" w:eastAsia="Symbol" w:hAnsi="Symbol" w:cs="Symbo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10" w15:restartNumberingAfterBreak="0">
    <w:nsid w:val="5C77AA44"/>
    <w:multiLevelType w:val="multilevel"/>
    <w:tmpl w:val="3CFAD7B4"/>
    <w:lvl w:ilvl="0">
      <w:start w:val="1"/>
      <w:numFmt w:val="bullet"/>
      <w:lvlText w:val="·"/>
      <w:lvlJc w:val="left"/>
      <w:pPr>
        <w:ind w:left="709" w:hanging="360"/>
      </w:pPr>
      <w:rPr>
        <w:rFonts w:ascii="Symbol" w:eastAsia="Symbol" w:hAnsi="Symbol" w:cs="Symbo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11" w15:restartNumberingAfterBreak="0">
    <w:nsid w:val="647C74CB"/>
    <w:multiLevelType w:val="multilevel"/>
    <w:tmpl w:val="78BC52A8"/>
    <w:lvl w:ilvl="0">
      <w:start w:val="1"/>
      <w:numFmt w:val="bullet"/>
      <w:lvlText w:val="·"/>
      <w:lvlJc w:val="left"/>
      <w:pPr>
        <w:ind w:left="709" w:hanging="360"/>
      </w:pPr>
      <w:rPr>
        <w:rFonts w:ascii="Symbol" w:eastAsia="Symbol" w:hAnsi="Symbol" w:cs="Symbo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12" w15:restartNumberingAfterBreak="0">
    <w:nsid w:val="649FC129"/>
    <w:multiLevelType w:val="multilevel"/>
    <w:tmpl w:val="28000870"/>
    <w:lvl w:ilvl="0">
      <w:start w:val="1"/>
      <w:numFmt w:val="decimal"/>
      <w:lvlText w:val="%1."/>
      <w:lvlJc w:val="right"/>
      <w:pPr>
        <w:ind w:left="720" w:hanging="360"/>
      </w:pPr>
      <w:rPr>
        <w:b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7265746C"/>
    <w:multiLevelType w:val="multilevel"/>
    <w:tmpl w:val="B7281A82"/>
    <w:lvl w:ilvl="0">
      <w:start w:val="1"/>
      <w:numFmt w:val="decimal"/>
      <w:lvlText w:val="%1."/>
      <w:lvlJc w:val="right"/>
      <w:pPr>
        <w:ind w:left="709" w:hanging="360"/>
      </w:pPr>
      <w:rPr>
        <w:rFonts w:ascii="Times New Roman" w:eastAsia="Times New Roman" w:hAnsi="Times New Roman" w:cs="Times New Roman"/>
      </w:rPr>
    </w:lvl>
    <w:lvl w:ilvl="1">
      <w:start w:val="1"/>
      <w:numFmt w:val="decimal"/>
      <w:lvlText w:val="%2."/>
      <w:lvlJc w:val="right"/>
      <w:pPr>
        <w:ind w:left="1429" w:hanging="360"/>
      </w:pPr>
    </w:lvl>
    <w:lvl w:ilvl="2">
      <w:start w:val="1"/>
      <w:numFmt w:val="decimal"/>
      <w:lvlText w:val="%3."/>
      <w:lvlJc w:val="right"/>
      <w:pPr>
        <w:ind w:left="2149" w:hanging="360"/>
      </w:pPr>
    </w:lvl>
    <w:lvl w:ilvl="3">
      <w:start w:val="1"/>
      <w:numFmt w:val="decimal"/>
      <w:lvlText w:val="%4."/>
      <w:lvlJc w:val="right"/>
      <w:pPr>
        <w:ind w:left="2869" w:hanging="360"/>
      </w:pPr>
    </w:lvl>
    <w:lvl w:ilvl="4">
      <w:start w:val="1"/>
      <w:numFmt w:val="decimal"/>
      <w:lvlText w:val="%5."/>
      <w:lvlJc w:val="right"/>
      <w:pPr>
        <w:ind w:left="3589" w:hanging="360"/>
      </w:pPr>
    </w:lvl>
    <w:lvl w:ilvl="5">
      <w:start w:val="1"/>
      <w:numFmt w:val="decimal"/>
      <w:lvlText w:val="%6."/>
      <w:lvlJc w:val="right"/>
      <w:pPr>
        <w:ind w:left="4309" w:hanging="360"/>
      </w:pPr>
    </w:lvl>
    <w:lvl w:ilvl="6">
      <w:start w:val="1"/>
      <w:numFmt w:val="decimal"/>
      <w:lvlText w:val="%7."/>
      <w:lvlJc w:val="right"/>
      <w:pPr>
        <w:ind w:left="5029" w:hanging="360"/>
      </w:pPr>
    </w:lvl>
    <w:lvl w:ilvl="7">
      <w:start w:val="1"/>
      <w:numFmt w:val="decimal"/>
      <w:lvlText w:val="%8."/>
      <w:lvlJc w:val="right"/>
      <w:pPr>
        <w:ind w:left="5749" w:hanging="360"/>
      </w:pPr>
    </w:lvl>
    <w:lvl w:ilvl="8">
      <w:start w:val="1"/>
      <w:numFmt w:val="decimal"/>
      <w:lvlText w:val="%9."/>
      <w:lvlJc w:val="right"/>
      <w:pPr>
        <w:ind w:left="6469" w:hanging="360"/>
      </w:pPr>
    </w:lvl>
  </w:abstractNum>
  <w:abstractNum w:abstractNumId="14" w15:restartNumberingAfterBreak="0">
    <w:nsid w:val="7544D407"/>
    <w:multiLevelType w:val="multilevel"/>
    <w:tmpl w:val="FB324BC0"/>
    <w:lvl w:ilvl="0">
      <w:start w:val="1"/>
      <w:numFmt w:val="bullet"/>
      <w:lvlText w:val="·"/>
      <w:lvlJc w:val="left"/>
      <w:pPr>
        <w:ind w:left="709" w:hanging="360"/>
      </w:pPr>
      <w:rPr>
        <w:rFonts w:ascii="Symbol" w:eastAsia="Symbol" w:hAnsi="Symbol" w:cs="Symbo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15" w15:restartNumberingAfterBreak="0">
    <w:nsid w:val="7F5D88F0"/>
    <w:multiLevelType w:val="multilevel"/>
    <w:tmpl w:val="8E4EEE2E"/>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num w:numId="1">
    <w:abstractNumId w:val="14"/>
  </w:num>
  <w:num w:numId="2">
    <w:abstractNumId w:val="0"/>
  </w:num>
  <w:num w:numId="3">
    <w:abstractNumId w:val="5"/>
  </w:num>
  <w:num w:numId="4">
    <w:abstractNumId w:val="9"/>
  </w:num>
  <w:num w:numId="5">
    <w:abstractNumId w:val="11"/>
  </w:num>
  <w:num w:numId="6">
    <w:abstractNumId w:val="15"/>
  </w:num>
  <w:num w:numId="7">
    <w:abstractNumId w:val="1"/>
  </w:num>
  <w:num w:numId="8">
    <w:abstractNumId w:val="8"/>
  </w:num>
  <w:num w:numId="9">
    <w:abstractNumId w:val="4"/>
  </w:num>
  <w:num w:numId="10">
    <w:abstractNumId w:val="7"/>
  </w:num>
  <w:num w:numId="11">
    <w:abstractNumId w:val="10"/>
  </w:num>
  <w:num w:numId="12">
    <w:abstractNumId w:val="13"/>
  </w:num>
  <w:num w:numId="13">
    <w:abstractNumId w:val="6"/>
  </w:num>
  <w:num w:numId="14">
    <w:abstractNumId w:val="3"/>
  </w:num>
  <w:num w:numId="15">
    <w:abstractNumId w:val="2"/>
  </w:num>
  <w:num w:numId="16">
    <w:abstractNumId w:val="12"/>
  </w:num>
  <w:num w:numId="17">
    <w:abstractNumId w:val="12"/>
  </w:num>
  <w:num w:numId="18">
    <w:abstractNumId w:val="12"/>
  </w:num>
  <w:num w:numId="19">
    <w:abstractNumId w:val="12"/>
  </w:num>
  <w:num w:numId="20">
    <w:abstractNumId w:val="12"/>
  </w:num>
  <w:num w:numId="21">
    <w:abstractNumId w:val="12"/>
  </w:num>
  <w:num w:numId="22">
    <w:abstractNumId w:val="12"/>
  </w:num>
  <w:num w:numId="23">
    <w:abstractNumId w:val="12"/>
  </w:num>
  <w:num w:numId="24">
    <w:abstractNumId w:val="12"/>
  </w:num>
  <w:num w:numId="25">
    <w:abstractNumId w:val="12"/>
  </w:num>
  <w:num w:numId="26">
    <w:abstractNumId w:val="12"/>
  </w:num>
  <w:num w:numId="27">
    <w:abstractNumId w:val="12"/>
  </w:num>
  <w:num w:numId="28">
    <w:abstractNumId w:val="12"/>
  </w:num>
  <w:num w:numId="29">
    <w:abstractNumId w:val="12"/>
  </w:num>
  <w:num w:numId="30">
    <w:abstractNumId w:val="12"/>
  </w:num>
  <w:num w:numId="31">
    <w:abstractNumId w:val="12"/>
  </w:num>
  <w:num w:numId="32">
    <w:abstractNumId w:val="12"/>
  </w:num>
  <w:num w:numId="33">
    <w:abstractNumId w:val="12"/>
  </w:num>
  <w:num w:numId="34">
    <w:abstractNumId w:val="12"/>
  </w:num>
  <w:num w:numId="35">
    <w:abstractNumId w:val="12"/>
  </w:num>
  <w:num w:numId="3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0D96"/>
    <w:rsid w:val="00011040"/>
    <w:rsid w:val="001F6512"/>
    <w:rsid w:val="00213842"/>
    <w:rsid w:val="002A3A3C"/>
    <w:rsid w:val="002B2995"/>
    <w:rsid w:val="002B36B4"/>
    <w:rsid w:val="00360D96"/>
    <w:rsid w:val="00402977"/>
    <w:rsid w:val="004070DB"/>
    <w:rsid w:val="004E5D99"/>
    <w:rsid w:val="00556263"/>
    <w:rsid w:val="00703DBE"/>
    <w:rsid w:val="007639CA"/>
    <w:rsid w:val="009722C0"/>
    <w:rsid w:val="00974376"/>
    <w:rsid w:val="00AF638D"/>
    <w:rsid w:val="00C15464"/>
    <w:rsid w:val="00D3718F"/>
    <w:rsid w:val="00DD012C"/>
    <w:rsid w:val="00E026D5"/>
    <w:rsid w:val="00FB77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E58B400-F920-4F7F-B358-14A5DCC281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pPr>
      <w:keepNext/>
      <w:keepLines/>
      <w:spacing w:before="360" w:after="80"/>
      <w:outlineLvl w:val="0"/>
    </w:pPr>
    <w:rPr>
      <w:rFonts w:ascii="Arial" w:eastAsia="Arial" w:hAnsi="Arial" w:cs="Arial"/>
      <w:color w:val="2E74B5" w:themeColor="accent1" w:themeShade="BF"/>
      <w:sz w:val="40"/>
      <w:szCs w:val="40"/>
    </w:rPr>
  </w:style>
  <w:style w:type="paragraph" w:styleId="2">
    <w:name w:val="heading 2"/>
    <w:basedOn w:val="a"/>
    <w:next w:val="a"/>
    <w:link w:val="20"/>
    <w:uiPriority w:val="9"/>
    <w:unhideWhenUsed/>
    <w:qFormat/>
    <w:pPr>
      <w:keepNext/>
      <w:keepLines/>
      <w:spacing w:before="160" w:after="80"/>
      <w:outlineLvl w:val="1"/>
    </w:pPr>
    <w:rPr>
      <w:rFonts w:ascii="Arial" w:eastAsia="Arial" w:hAnsi="Arial" w:cs="Arial"/>
      <w:color w:val="2E74B5" w:themeColor="accent1" w:themeShade="BF"/>
      <w:sz w:val="32"/>
      <w:szCs w:val="32"/>
    </w:rPr>
  </w:style>
  <w:style w:type="paragraph" w:styleId="3">
    <w:name w:val="heading 3"/>
    <w:basedOn w:val="a"/>
    <w:next w:val="a"/>
    <w:link w:val="30"/>
    <w:uiPriority w:val="9"/>
    <w:unhideWhenUsed/>
    <w:qFormat/>
    <w:pPr>
      <w:keepNext/>
      <w:keepLines/>
      <w:spacing w:before="160" w:after="80"/>
      <w:outlineLvl w:val="2"/>
    </w:pPr>
    <w:rPr>
      <w:rFonts w:ascii="Arial" w:eastAsia="Arial" w:hAnsi="Arial" w:cs="Arial"/>
      <w:color w:val="2E74B5" w:themeColor="accent1" w:themeShade="BF"/>
      <w:sz w:val="28"/>
      <w:szCs w:val="28"/>
    </w:rPr>
  </w:style>
  <w:style w:type="paragraph" w:styleId="4">
    <w:name w:val="heading 4"/>
    <w:basedOn w:val="a"/>
    <w:next w:val="a"/>
    <w:link w:val="40"/>
    <w:uiPriority w:val="9"/>
    <w:unhideWhenUsed/>
    <w:qFormat/>
    <w:pPr>
      <w:keepNext/>
      <w:keepLines/>
      <w:spacing w:before="80" w:after="40"/>
      <w:outlineLvl w:val="3"/>
    </w:pPr>
    <w:rPr>
      <w:rFonts w:ascii="Arial" w:eastAsia="Arial" w:hAnsi="Arial" w:cs="Arial"/>
      <w:i/>
      <w:iCs/>
      <w:color w:val="2E74B5" w:themeColor="accent1" w:themeShade="BF"/>
    </w:rPr>
  </w:style>
  <w:style w:type="paragraph" w:styleId="5">
    <w:name w:val="heading 5"/>
    <w:basedOn w:val="a"/>
    <w:next w:val="a"/>
    <w:link w:val="50"/>
    <w:uiPriority w:val="9"/>
    <w:unhideWhenUsed/>
    <w:qFormat/>
    <w:pPr>
      <w:keepNext/>
      <w:keepLines/>
      <w:spacing w:before="80" w:after="40"/>
      <w:outlineLvl w:val="4"/>
    </w:pPr>
    <w:rPr>
      <w:rFonts w:ascii="Arial" w:eastAsia="Arial" w:hAnsi="Arial" w:cs="Arial"/>
      <w:color w:val="2E74B5" w:themeColor="accent1" w:themeShade="BF"/>
    </w:rPr>
  </w:style>
  <w:style w:type="paragraph" w:styleId="6">
    <w:name w:val="heading 6"/>
    <w:basedOn w:val="a"/>
    <w:next w:val="a"/>
    <w:link w:val="60"/>
    <w:uiPriority w:val="9"/>
    <w:unhideWhenUsed/>
    <w:qFormat/>
    <w:pPr>
      <w:keepNext/>
      <w:keepLines/>
      <w:spacing w:before="40" w:after="0"/>
      <w:outlineLvl w:val="5"/>
    </w:pPr>
    <w:rPr>
      <w:rFonts w:ascii="Arial" w:eastAsia="Arial" w:hAnsi="Arial" w:cs="Arial"/>
      <w:i/>
      <w:iCs/>
      <w:color w:val="595959" w:themeColor="text1" w:themeTint="A6"/>
    </w:rPr>
  </w:style>
  <w:style w:type="paragraph" w:styleId="7">
    <w:name w:val="heading 7"/>
    <w:basedOn w:val="a"/>
    <w:next w:val="a"/>
    <w:link w:val="70"/>
    <w:uiPriority w:val="9"/>
    <w:unhideWhenUsed/>
    <w:qFormat/>
    <w:pPr>
      <w:keepNext/>
      <w:keepLines/>
      <w:spacing w:before="40" w:after="0"/>
      <w:outlineLvl w:val="6"/>
    </w:pPr>
    <w:rPr>
      <w:rFonts w:ascii="Arial" w:eastAsia="Arial" w:hAnsi="Arial" w:cs="Arial"/>
      <w:color w:val="595959" w:themeColor="text1" w:themeTint="A6"/>
    </w:rPr>
  </w:style>
  <w:style w:type="paragraph" w:styleId="8">
    <w:name w:val="heading 8"/>
    <w:basedOn w:val="a"/>
    <w:next w:val="a"/>
    <w:link w:val="80"/>
    <w:uiPriority w:val="9"/>
    <w:unhideWhenUsed/>
    <w:qFormat/>
    <w:pPr>
      <w:keepNext/>
      <w:keepLines/>
      <w:spacing w:after="0"/>
      <w:outlineLvl w:val="7"/>
    </w:pPr>
    <w:rPr>
      <w:rFonts w:ascii="Arial" w:eastAsia="Arial" w:hAnsi="Arial" w:cs="Arial"/>
      <w:i/>
      <w:iCs/>
      <w:color w:val="272727" w:themeColor="text1" w:themeTint="D8"/>
    </w:rPr>
  </w:style>
  <w:style w:type="paragraph" w:styleId="9">
    <w:name w:val="heading 9"/>
    <w:basedOn w:val="a"/>
    <w:next w:val="a"/>
    <w:link w:val="90"/>
    <w:uiPriority w:val="9"/>
    <w:unhideWhenUsed/>
    <w:qFormat/>
    <w:pPr>
      <w:keepNext/>
      <w:keepLines/>
      <w:spacing w:after="0"/>
      <w:outlineLvl w:val="8"/>
    </w:pPr>
    <w:rPr>
      <w:rFonts w:ascii="Arial" w:eastAsia="Arial" w:hAnsi="Arial" w:cs="Arial"/>
      <w:i/>
      <w:iCs/>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1">
    <w:name w:val="Plain Table 1"/>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21">
    <w:name w:val="Plain Table 2"/>
    <w:basedOn w:val="a1"/>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1">
    <w:name w:val="Plain Table 3"/>
    <w:basedOn w:val="a1"/>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41">
    <w:name w:val="Plain Table 4"/>
    <w:basedOn w:val="a1"/>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51">
    <w:name w:val="Plain Table 5"/>
    <w:basedOn w:val="a1"/>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1">
    <w:name w:val="Grid Table 1 Light"/>
    <w:basedOn w:val="a1"/>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a1"/>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a1"/>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a1"/>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a1"/>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a1"/>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2">
    <w:name w:val="Grid Table 2"/>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a1"/>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a1"/>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a1"/>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a1"/>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a1"/>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3">
    <w:name w:val="Grid Table 3"/>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a1"/>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a1"/>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a1"/>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a1"/>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a1"/>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4">
    <w:name w:val="Grid Table 4"/>
    <w:basedOn w:val="a1"/>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a1"/>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a1"/>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a1"/>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a1"/>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a1"/>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5">
    <w:name w:val="Grid Table 5 Dark"/>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6">
    <w:name w:val="Grid Table 6 Colorful"/>
    <w:basedOn w:val="a1"/>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a1"/>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a1"/>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a1"/>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a1"/>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a1"/>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styleId="-7">
    <w:name w:val="Grid Table 7 Colorful"/>
    <w:basedOn w:val="a1"/>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a1"/>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a1"/>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a1"/>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a1"/>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a1"/>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10">
    <w:name w:val="List Table 1 Light"/>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20">
    <w:name w:val="List Table 2"/>
    <w:basedOn w:val="a1"/>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a1"/>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a1"/>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a1"/>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a1"/>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a1"/>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30">
    <w:name w:val="List Table 3"/>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a1"/>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a1"/>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a1"/>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a1"/>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a1"/>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40">
    <w:name w:val="List Table 4"/>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a1"/>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a1"/>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a1"/>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a1"/>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a1"/>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50">
    <w:name w:val="List Table 5 Dark"/>
    <w:basedOn w:val="a1"/>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a1"/>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a1"/>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a1"/>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a1"/>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a1"/>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60">
    <w:name w:val="List Table 6 Colorful"/>
    <w:basedOn w:val="a1"/>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a1"/>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a1"/>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a1"/>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a1"/>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a1"/>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70">
    <w:name w:val="List Table 7 Colorful"/>
    <w:basedOn w:val="a1"/>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a1"/>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a1"/>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a1"/>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a1"/>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a1"/>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a1"/>
    <w:uiPriority w:val="99"/>
    <w:pPr>
      <w:spacing w:after="0" w:line="240" w:lineRule="auto"/>
    </w:pPr>
    <w:rPr>
      <w:color w:val="404040"/>
      <w:sz w:val="20"/>
      <w:szCs w:val="20"/>
      <w:lang w:eastAsia="ru-RU"/>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1"/>
    <w:uiPriority w:val="99"/>
    <w:pPr>
      <w:spacing w:after="0" w:line="240" w:lineRule="auto"/>
    </w:pPr>
    <w:rPr>
      <w:color w:val="404040"/>
      <w:sz w:val="20"/>
      <w:szCs w:val="20"/>
      <w:lang w:eastAsia="ru-RU"/>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a1"/>
    <w:uiPriority w:val="99"/>
    <w:pPr>
      <w:spacing w:after="0" w:line="240" w:lineRule="auto"/>
    </w:pPr>
    <w:rPr>
      <w:color w:val="404040"/>
      <w:sz w:val="20"/>
      <w:szCs w:val="20"/>
      <w:lang w:eastAsia="ru-RU"/>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a1"/>
    <w:uiPriority w:val="99"/>
    <w:pPr>
      <w:spacing w:after="0" w:line="240" w:lineRule="auto"/>
    </w:pPr>
    <w:rPr>
      <w:color w:val="404040"/>
      <w:sz w:val="20"/>
      <w:szCs w:val="20"/>
      <w:lang w:eastAsia="ru-RU"/>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a1"/>
    <w:uiPriority w:val="99"/>
    <w:pPr>
      <w:spacing w:after="0" w:line="240" w:lineRule="auto"/>
    </w:pPr>
    <w:rPr>
      <w:color w:val="404040"/>
      <w:sz w:val="20"/>
      <w:szCs w:val="20"/>
      <w:lang w:eastAsia="ru-RU"/>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a1"/>
    <w:uiPriority w:val="99"/>
    <w:pPr>
      <w:spacing w:after="0" w:line="240" w:lineRule="auto"/>
    </w:pPr>
    <w:rPr>
      <w:color w:val="404040"/>
      <w:sz w:val="20"/>
      <w:szCs w:val="20"/>
      <w:lang w:eastAsia="ru-RU"/>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a1"/>
    <w:uiPriority w:val="99"/>
    <w:pPr>
      <w:spacing w:after="0" w:line="240" w:lineRule="auto"/>
    </w:pPr>
    <w:rPr>
      <w:color w:val="404040"/>
      <w:sz w:val="20"/>
      <w:szCs w:val="20"/>
      <w:lang w:eastAsia="ru-RU"/>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a1"/>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a1"/>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a1"/>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a1"/>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a1"/>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a1"/>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10">
    <w:name w:val="Заголовок 1 Знак"/>
    <w:basedOn w:val="a0"/>
    <w:link w:val="1"/>
    <w:uiPriority w:val="9"/>
    <w:rPr>
      <w:rFonts w:ascii="Arial" w:eastAsia="Arial" w:hAnsi="Arial" w:cs="Arial"/>
      <w:color w:val="2E74B5" w:themeColor="accent1" w:themeShade="BF"/>
      <w:sz w:val="40"/>
      <w:szCs w:val="40"/>
    </w:rPr>
  </w:style>
  <w:style w:type="character" w:customStyle="1" w:styleId="20">
    <w:name w:val="Заголовок 2 Знак"/>
    <w:basedOn w:val="a0"/>
    <w:link w:val="2"/>
    <w:uiPriority w:val="9"/>
    <w:rPr>
      <w:rFonts w:ascii="Arial" w:eastAsia="Arial" w:hAnsi="Arial" w:cs="Arial"/>
      <w:color w:val="2E74B5" w:themeColor="accent1" w:themeShade="BF"/>
      <w:sz w:val="32"/>
      <w:szCs w:val="32"/>
    </w:rPr>
  </w:style>
  <w:style w:type="character" w:customStyle="1" w:styleId="30">
    <w:name w:val="Заголовок 3 Знак"/>
    <w:basedOn w:val="a0"/>
    <w:link w:val="3"/>
    <w:uiPriority w:val="9"/>
    <w:rPr>
      <w:rFonts w:ascii="Arial" w:eastAsia="Arial" w:hAnsi="Arial" w:cs="Arial"/>
      <w:color w:val="2E74B5" w:themeColor="accent1" w:themeShade="BF"/>
      <w:sz w:val="28"/>
      <w:szCs w:val="28"/>
    </w:rPr>
  </w:style>
  <w:style w:type="character" w:customStyle="1" w:styleId="40">
    <w:name w:val="Заголовок 4 Знак"/>
    <w:basedOn w:val="a0"/>
    <w:link w:val="4"/>
    <w:uiPriority w:val="9"/>
    <w:rPr>
      <w:rFonts w:ascii="Arial" w:eastAsia="Arial" w:hAnsi="Arial" w:cs="Arial"/>
      <w:i/>
      <w:iCs/>
      <w:color w:val="2E74B5" w:themeColor="accent1" w:themeShade="BF"/>
    </w:rPr>
  </w:style>
  <w:style w:type="character" w:customStyle="1" w:styleId="50">
    <w:name w:val="Заголовок 5 Знак"/>
    <w:basedOn w:val="a0"/>
    <w:link w:val="5"/>
    <w:uiPriority w:val="9"/>
    <w:rPr>
      <w:rFonts w:ascii="Arial" w:eastAsia="Arial" w:hAnsi="Arial" w:cs="Arial"/>
      <w:color w:val="2E74B5" w:themeColor="accent1" w:themeShade="BF"/>
    </w:rPr>
  </w:style>
  <w:style w:type="character" w:customStyle="1" w:styleId="60">
    <w:name w:val="Заголовок 6 Знак"/>
    <w:basedOn w:val="a0"/>
    <w:link w:val="6"/>
    <w:uiPriority w:val="9"/>
    <w:rPr>
      <w:rFonts w:ascii="Arial" w:eastAsia="Arial" w:hAnsi="Arial" w:cs="Arial"/>
      <w:i/>
      <w:iCs/>
      <w:color w:val="595959" w:themeColor="text1" w:themeTint="A6"/>
    </w:rPr>
  </w:style>
  <w:style w:type="character" w:customStyle="1" w:styleId="70">
    <w:name w:val="Заголовок 7 Знак"/>
    <w:basedOn w:val="a0"/>
    <w:link w:val="7"/>
    <w:uiPriority w:val="9"/>
    <w:rPr>
      <w:rFonts w:ascii="Arial" w:eastAsia="Arial" w:hAnsi="Arial" w:cs="Arial"/>
      <w:color w:val="595959" w:themeColor="text1" w:themeTint="A6"/>
    </w:rPr>
  </w:style>
  <w:style w:type="character" w:customStyle="1" w:styleId="80">
    <w:name w:val="Заголовок 8 Знак"/>
    <w:basedOn w:val="a0"/>
    <w:link w:val="8"/>
    <w:uiPriority w:val="9"/>
    <w:rPr>
      <w:rFonts w:ascii="Arial" w:eastAsia="Arial" w:hAnsi="Arial" w:cs="Arial"/>
      <w:i/>
      <w:iCs/>
      <w:color w:val="272727" w:themeColor="text1" w:themeTint="D8"/>
    </w:rPr>
  </w:style>
  <w:style w:type="character" w:customStyle="1" w:styleId="90">
    <w:name w:val="Заголовок 9 Знак"/>
    <w:basedOn w:val="a0"/>
    <w:link w:val="9"/>
    <w:uiPriority w:val="9"/>
    <w:rPr>
      <w:rFonts w:ascii="Arial" w:eastAsia="Arial" w:hAnsi="Arial" w:cs="Arial"/>
      <w:i/>
      <w:iCs/>
      <w:color w:val="272727" w:themeColor="text1" w:themeTint="D8"/>
    </w:rPr>
  </w:style>
  <w:style w:type="paragraph" w:styleId="a4">
    <w:name w:val="Title"/>
    <w:basedOn w:val="a"/>
    <w:next w:val="a"/>
    <w:link w:val="a5"/>
    <w:uiPriority w:val="10"/>
    <w:qFormat/>
    <w:pPr>
      <w:spacing w:after="80" w:line="240" w:lineRule="auto"/>
      <w:contextualSpacing/>
    </w:pPr>
    <w:rPr>
      <w:rFonts w:ascii="Arial" w:eastAsia="Arial" w:hAnsi="Arial" w:cs="Arial"/>
      <w:spacing w:val="-10"/>
      <w:sz w:val="56"/>
      <w:szCs w:val="56"/>
    </w:rPr>
  </w:style>
  <w:style w:type="character" w:customStyle="1" w:styleId="a5">
    <w:name w:val="Заголовок Знак"/>
    <w:basedOn w:val="a0"/>
    <w:link w:val="a4"/>
    <w:uiPriority w:val="10"/>
    <w:rPr>
      <w:rFonts w:ascii="Arial" w:eastAsia="Arial" w:hAnsi="Arial" w:cs="Arial"/>
      <w:spacing w:val="-10"/>
      <w:sz w:val="56"/>
      <w:szCs w:val="56"/>
    </w:rPr>
  </w:style>
  <w:style w:type="paragraph" w:styleId="a6">
    <w:name w:val="Subtitle"/>
    <w:basedOn w:val="a"/>
    <w:next w:val="a"/>
    <w:link w:val="a7"/>
    <w:uiPriority w:val="11"/>
    <w:qFormat/>
    <w:pPr>
      <w:numPr>
        <w:ilvl w:val="1"/>
      </w:numPr>
    </w:pPr>
    <w:rPr>
      <w:color w:val="595959" w:themeColor="text1" w:themeTint="A6"/>
      <w:spacing w:val="15"/>
      <w:sz w:val="28"/>
      <w:szCs w:val="28"/>
    </w:rPr>
  </w:style>
  <w:style w:type="character" w:customStyle="1" w:styleId="a7">
    <w:name w:val="Подзаголовок Знак"/>
    <w:basedOn w:val="a0"/>
    <w:link w:val="a6"/>
    <w:uiPriority w:val="11"/>
    <w:rPr>
      <w:color w:val="595959" w:themeColor="text1" w:themeTint="A6"/>
      <w:spacing w:val="15"/>
      <w:sz w:val="28"/>
      <w:szCs w:val="28"/>
    </w:rPr>
  </w:style>
  <w:style w:type="paragraph" w:styleId="22">
    <w:name w:val="Quote"/>
    <w:basedOn w:val="a"/>
    <w:next w:val="a"/>
    <w:link w:val="23"/>
    <w:uiPriority w:val="29"/>
    <w:qFormat/>
    <w:pPr>
      <w:spacing w:before="160"/>
      <w:jc w:val="center"/>
    </w:pPr>
    <w:rPr>
      <w:i/>
      <w:iCs/>
      <w:color w:val="404040" w:themeColor="text1" w:themeTint="BF"/>
    </w:rPr>
  </w:style>
  <w:style w:type="character" w:customStyle="1" w:styleId="23">
    <w:name w:val="Цитата 2 Знак"/>
    <w:basedOn w:val="a0"/>
    <w:link w:val="22"/>
    <w:uiPriority w:val="29"/>
    <w:rPr>
      <w:i/>
      <w:iCs/>
      <w:color w:val="404040" w:themeColor="text1" w:themeTint="BF"/>
    </w:rPr>
  </w:style>
  <w:style w:type="character" w:styleId="a8">
    <w:name w:val="Intense Emphasis"/>
    <w:basedOn w:val="a0"/>
    <w:uiPriority w:val="21"/>
    <w:qFormat/>
    <w:rPr>
      <w:i/>
      <w:iCs/>
      <w:color w:val="2E74B5" w:themeColor="accent1" w:themeShade="BF"/>
    </w:rPr>
  </w:style>
  <w:style w:type="paragraph" w:styleId="a9">
    <w:name w:val="Intense Quote"/>
    <w:basedOn w:val="a"/>
    <w:next w:val="a"/>
    <w:link w:val="aa"/>
    <w:uiPriority w:val="30"/>
    <w:qFormat/>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aa">
    <w:name w:val="Выделенная цитата Знак"/>
    <w:basedOn w:val="a0"/>
    <w:link w:val="a9"/>
    <w:uiPriority w:val="30"/>
    <w:rPr>
      <w:i/>
      <w:iCs/>
      <w:color w:val="2E74B5" w:themeColor="accent1" w:themeShade="BF"/>
    </w:rPr>
  </w:style>
  <w:style w:type="character" w:styleId="ab">
    <w:name w:val="Intense Reference"/>
    <w:basedOn w:val="a0"/>
    <w:uiPriority w:val="32"/>
    <w:qFormat/>
    <w:rPr>
      <w:b/>
      <w:bCs/>
      <w:smallCaps/>
      <w:color w:val="2E74B5" w:themeColor="accent1" w:themeShade="BF"/>
      <w:spacing w:val="5"/>
    </w:rPr>
  </w:style>
  <w:style w:type="character" w:styleId="ac">
    <w:name w:val="Subtle Emphasis"/>
    <w:basedOn w:val="a0"/>
    <w:uiPriority w:val="19"/>
    <w:qFormat/>
    <w:rPr>
      <w:i/>
      <w:iCs/>
      <w:color w:val="404040" w:themeColor="text1" w:themeTint="BF"/>
    </w:rPr>
  </w:style>
  <w:style w:type="character" w:styleId="ad">
    <w:name w:val="Emphasis"/>
    <w:basedOn w:val="a0"/>
    <w:uiPriority w:val="20"/>
    <w:qFormat/>
    <w:rPr>
      <w:i/>
      <w:iCs/>
    </w:rPr>
  </w:style>
  <w:style w:type="character" w:styleId="ae">
    <w:name w:val="Strong"/>
    <w:basedOn w:val="a0"/>
    <w:uiPriority w:val="22"/>
    <w:qFormat/>
    <w:rPr>
      <w:b/>
      <w:bCs/>
    </w:rPr>
  </w:style>
  <w:style w:type="character" w:styleId="af">
    <w:name w:val="Subtle Reference"/>
    <w:basedOn w:val="a0"/>
    <w:uiPriority w:val="31"/>
    <w:qFormat/>
    <w:rPr>
      <w:smallCaps/>
      <w:color w:val="5A5A5A" w:themeColor="text1" w:themeTint="A5"/>
    </w:rPr>
  </w:style>
  <w:style w:type="character" w:styleId="af0">
    <w:name w:val="Book Title"/>
    <w:basedOn w:val="a0"/>
    <w:uiPriority w:val="33"/>
    <w:qFormat/>
    <w:rPr>
      <w:b/>
      <w:bCs/>
      <w:i/>
      <w:iCs/>
      <w:spacing w:val="5"/>
    </w:rPr>
  </w:style>
  <w:style w:type="paragraph" w:styleId="af1">
    <w:name w:val="header"/>
    <w:basedOn w:val="a"/>
    <w:link w:val="af2"/>
    <w:uiPriority w:val="99"/>
    <w:unhideWhenUsed/>
    <w:pPr>
      <w:tabs>
        <w:tab w:val="center" w:pos="4844"/>
        <w:tab w:val="right" w:pos="9689"/>
      </w:tabs>
      <w:spacing w:after="0" w:line="240" w:lineRule="auto"/>
    </w:pPr>
  </w:style>
  <w:style w:type="character" w:customStyle="1" w:styleId="af2">
    <w:name w:val="Верхний колонтитул Знак"/>
    <w:basedOn w:val="a0"/>
    <w:link w:val="af1"/>
    <w:uiPriority w:val="99"/>
  </w:style>
  <w:style w:type="paragraph" w:styleId="af3">
    <w:name w:val="footer"/>
    <w:basedOn w:val="a"/>
    <w:link w:val="af4"/>
    <w:uiPriority w:val="99"/>
    <w:unhideWhenUsed/>
    <w:pPr>
      <w:tabs>
        <w:tab w:val="center" w:pos="4844"/>
        <w:tab w:val="right" w:pos="9689"/>
      </w:tabs>
      <w:spacing w:after="0" w:line="240" w:lineRule="auto"/>
    </w:pPr>
  </w:style>
  <w:style w:type="character" w:customStyle="1" w:styleId="af4">
    <w:name w:val="Нижний колонтитул Знак"/>
    <w:basedOn w:val="a0"/>
    <w:link w:val="af3"/>
    <w:uiPriority w:val="99"/>
  </w:style>
  <w:style w:type="paragraph" w:styleId="af5">
    <w:name w:val="caption"/>
    <w:basedOn w:val="a"/>
    <w:next w:val="a"/>
    <w:uiPriority w:val="35"/>
    <w:unhideWhenUsed/>
    <w:qFormat/>
    <w:pPr>
      <w:spacing w:line="240" w:lineRule="auto"/>
    </w:pPr>
    <w:rPr>
      <w:i/>
      <w:iCs/>
      <w:color w:val="44546A" w:themeColor="text2"/>
      <w:sz w:val="18"/>
      <w:szCs w:val="18"/>
    </w:rPr>
  </w:style>
  <w:style w:type="paragraph" w:styleId="af6">
    <w:name w:val="footnote text"/>
    <w:basedOn w:val="a"/>
    <w:link w:val="af7"/>
    <w:uiPriority w:val="99"/>
    <w:semiHidden/>
    <w:unhideWhenUsed/>
    <w:pPr>
      <w:spacing w:after="0" w:line="240" w:lineRule="auto"/>
    </w:pPr>
    <w:rPr>
      <w:sz w:val="20"/>
      <w:szCs w:val="20"/>
    </w:rPr>
  </w:style>
  <w:style w:type="character" w:customStyle="1" w:styleId="af7">
    <w:name w:val="Текст сноски Знак"/>
    <w:basedOn w:val="a0"/>
    <w:link w:val="af6"/>
    <w:uiPriority w:val="99"/>
    <w:semiHidden/>
    <w:rPr>
      <w:sz w:val="20"/>
      <w:szCs w:val="20"/>
    </w:rPr>
  </w:style>
  <w:style w:type="character" w:styleId="af8">
    <w:name w:val="footnote reference"/>
    <w:basedOn w:val="a0"/>
    <w:uiPriority w:val="99"/>
    <w:semiHidden/>
    <w:unhideWhenUsed/>
    <w:rPr>
      <w:vertAlign w:val="superscript"/>
    </w:rPr>
  </w:style>
  <w:style w:type="paragraph" w:styleId="af9">
    <w:name w:val="endnote text"/>
    <w:basedOn w:val="a"/>
    <w:link w:val="afa"/>
    <w:uiPriority w:val="99"/>
    <w:semiHidden/>
    <w:unhideWhenUsed/>
    <w:pPr>
      <w:spacing w:after="0" w:line="240" w:lineRule="auto"/>
    </w:pPr>
    <w:rPr>
      <w:sz w:val="20"/>
      <w:szCs w:val="20"/>
    </w:rPr>
  </w:style>
  <w:style w:type="character" w:customStyle="1" w:styleId="afa">
    <w:name w:val="Текст концевой сноски Знак"/>
    <w:basedOn w:val="a0"/>
    <w:link w:val="af9"/>
    <w:uiPriority w:val="99"/>
    <w:semiHidden/>
    <w:rPr>
      <w:sz w:val="20"/>
      <w:szCs w:val="20"/>
    </w:rPr>
  </w:style>
  <w:style w:type="character" w:styleId="afb">
    <w:name w:val="endnote reference"/>
    <w:basedOn w:val="a0"/>
    <w:uiPriority w:val="99"/>
    <w:semiHidden/>
    <w:unhideWhenUsed/>
    <w:rPr>
      <w:vertAlign w:val="superscript"/>
    </w:rPr>
  </w:style>
  <w:style w:type="character" w:styleId="afc">
    <w:name w:val="Hyperlink"/>
    <w:basedOn w:val="a0"/>
    <w:uiPriority w:val="99"/>
    <w:unhideWhenUsed/>
    <w:rPr>
      <w:color w:val="0563C1" w:themeColor="hyperlink"/>
      <w:u w:val="single"/>
    </w:rPr>
  </w:style>
  <w:style w:type="character" w:styleId="afd">
    <w:name w:val="FollowedHyperlink"/>
    <w:basedOn w:val="a0"/>
    <w:uiPriority w:val="99"/>
    <w:semiHidden/>
    <w:unhideWhenUsed/>
    <w:rPr>
      <w:color w:val="954F72" w:themeColor="followedHyperlink"/>
      <w:u w:val="single"/>
    </w:rPr>
  </w:style>
  <w:style w:type="paragraph" w:styleId="12">
    <w:name w:val="toc 1"/>
    <w:basedOn w:val="a"/>
    <w:next w:val="a"/>
    <w:uiPriority w:val="39"/>
    <w:unhideWhenUsed/>
    <w:pPr>
      <w:spacing w:after="100"/>
    </w:pPr>
  </w:style>
  <w:style w:type="paragraph" w:styleId="24">
    <w:name w:val="toc 2"/>
    <w:basedOn w:val="a"/>
    <w:next w:val="a"/>
    <w:uiPriority w:val="39"/>
    <w:unhideWhenUsed/>
    <w:pPr>
      <w:spacing w:after="100"/>
      <w:ind w:left="220"/>
    </w:pPr>
  </w:style>
  <w:style w:type="paragraph" w:styleId="32">
    <w:name w:val="toc 3"/>
    <w:basedOn w:val="a"/>
    <w:next w:val="a"/>
    <w:uiPriority w:val="39"/>
    <w:unhideWhenUsed/>
    <w:pPr>
      <w:spacing w:after="100"/>
      <w:ind w:left="440"/>
    </w:pPr>
  </w:style>
  <w:style w:type="paragraph" w:styleId="42">
    <w:name w:val="toc 4"/>
    <w:basedOn w:val="a"/>
    <w:next w:val="a"/>
    <w:uiPriority w:val="39"/>
    <w:unhideWhenUsed/>
    <w:pPr>
      <w:spacing w:after="100"/>
      <w:ind w:left="660"/>
    </w:pPr>
  </w:style>
  <w:style w:type="paragraph" w:styleId="52">
    <w:name w:val="toc 5"/>
    <w:basedOn w:val="a"/>
    <w:next w:val="a"/>
    <w:uiPriority w:val="39"/>
    <w:unhideWhenUsed/>
    <w:pPr>
      <w:spacing w:after="100"/>
      <w:ind w:left="880"/>
    </w:pPr>
  </w:style>
  <w:style w:type="paragraph" w:styleId="61">
    <w:name w:val="toc 6"/>
    <w:basedOn w:val="a"/>
    <w:next w:val="a"/>
    <w:uiPriority w:val="39"/>
    <w:unhideWhenUsed/>
    <w:pPr>
      <w:spacing w:after="100"/>
      <w:ind w:left="1100"/>
    </w:pPr>
  </w:style>
  <w:style w:type="paragraph" w:styleId="71">
    <w:name w:val="toc 7"/>
    <w:basedOn w:val="a"/>
    <w:next w:val="a"/>
    <w:uiPriority w:val="39"/>
    <w:unhideWhenUsed/>
    <w:pPr>
      <w:spacing w:after="100"/>
      <w:ind w:left="1320"/>
    </w:pPr>
  </w:style>
  <w:style w:type="paragraph" w:styleId="81">
    <w:name w:val="toc 8"/>
    <w:basedOn w:val="a"/>
    <w:next w:val="a"/>
    <w:uiPriority w:val="39"/>
    <w:unhideWhenUsed/>
    <w:pPr>
      <w:spacing w:after="100"/>
      <w:ind w:left="1540"/>
    </w:pPr>
  </w:style>
  <w:style w:type="paragraph" w:styleId="91">
    <w:name w:val="toc 9"/>
    <w:basedOn w:val="a"/>
    <w:next w:val="a"/>
    <w:uiPriority w:val="39"/>
    <w:unhideWhenUsed/>
    <w:pPr>
      <w:spacing w:after="100"/>
      <w:ind w:left="1760"/>
    </w:pPr>
  </w:style>
  <w:style w:type="character" w:styleId="afe">
    <w:name w:val="Placeholder Text"/>
    <w:basedOn w:val="a0"/>
    <w:uiPriority w:val="99"/>
    <w:semiHidden/>
    <w:rPr>
      <w:color w:val="666666"/>
    </w:rPr>
  </w:style>
  <w:style w:type="paragraph" w:styleId="aff">
    <w:name w:val="TOC Heading"/>
    <w:uiPriority w:val="39"/>
    <w:unhideWhenUsed/>
  </w:style>
  <w:style w:type="paragraph" w:styleId="aff0">
    <w:name w:val="table of figures"/>
    <w:basedOn w:val="a"/>
    <w:next w:val="a"/>
    <w:uiPriority w:val="99"/>
    <w:unhideWhenUsed/>
    <w:pPr>
      <w:spacing w:after="0"/>
    </w:pPr>
  </w:style>
  <w:style w:type="paragraph" w:styleId="aff1">
    <w:name w:val="No Spacing"/>
    <w:basedOn w:val="a"/>
    <w:uiPriority w:val="1"/>
    <w:qFormat/>
    <w:pPr>
      <w:spacing w:after="0" w:line="240" w:lineRule="auto"/>
    </w:pPr>
  </w:style>
  <w:style w:type="paragraph" w:styleId="aff2">
    <w:name w:val="List Paragraph"/>
    <w:basedOn w:val="a"/>
    <w:uiPriority w:val="34"/>
    <w:qFormat/>
    <w:pPr>
      <w:ind w:left="720"/>
      <w:contextualSpacing/>
    </w:pPr>
  </w:style>
  <w:style w:type="paragraph" w:customStyle="1" w:styleId="AuthorAffiliation">
    <w:name w:val="Author Affiliation"/>
    <w:pPr>
      <w:pBdr>
        <w:top w:val="none" w:sz="4" w:space="0" w:color="000000"/>
        <w:left w:val="none" w:sz="4" w:space="0" w:color="000000"/>
        <w:bottom w:val="none" w:sz="4" w:space="0" w:color="000000"/>
        <w:right w:val="none" w:sz="4" w:space="0" w:color="000000"/>
        <w:between w:val="none" w:sz="4" w:space="0" w:color="000000"/>
      </w:pBdr>
      <w:spacing w:after="0" w:line="240" w:lineRule="auto"/>
      <w:jc w:val="center"/>
    </w:pPr>
    <w:rPr>
      <w:rFonts w:ascii="Times New Roman" w:eastAsia="Times New Roman" w:hAnsi="Times New Roman" w:cs="Times New Roman"/>
      <w:i/>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New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Classic 2">
      <a:majorFont>
        <a:latin typeface="Arial"/>
        <a:ea typeface="Arial"/>
        <a:cs typeface="Arial"/>
      </a:majorFont>
      <a:minorFont>
        <a:latin typeface="Arial"/>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6350" cap="flat" cmpd="sng" algn="ctr">
          <a:solidFill>
            <a:schemeClr val="phClr">
              <a:shade val="95000"/>
              <a:satMod val="105000"/>
            </a:schemeClr>
          </a:solidFill>
        </a:ln>
        <a:ln w="12700" cap="flat" cmpd="sng" algn="ctr">
          <a:solidFill>
            <a:schemeClr val="phClr"/>
          </a:solidFill>
        </a:ln>
        <a:ln w="19050" cap="flat" cmpd="sng" algn="ctr">
          <a:solidFill>
            <a:schemeClr val="phClr"/>
          </a:solidFill>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F4210D-16A1-483F-B799-94B2A71DE3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TotalTime>
  <Pages>1</Pages>
  <Words>3518</Words>
  <Characters>20054</Characters>
  <Application>Microsoft Office Word</Application>
  <DocSecurity>0</DocSecurity>
  <Lines>167</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23525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No'monjon Niyozov</cp:lastModifiedBy>
  <cp:revision>15</cp:revision>
  <dcterms:created xsi:type="dcterms:W3CDTF">2025-12-12T15:54:00Z</dcterms:created>
  <dcterms:modified xsi:type="dcterms:W3CDTF">2026-01-01T12:44:00Z</dcterms:modified>
</cp:coreProperties>
</file>