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D695E" w:rsidRDefault="00CD695E" w:rsidP="004D01E2">
      <w:pPr>
        <w:spacing w:before="1200" w:line="240" w:lineRule="auto"/>
        <w:ind w:firstLine="567"/>
        <w:jc w:val="center"/>
        <w:rPr>
          <w:rFonts w:ascii="Times New Roman" w:hAnsi="Times New Roman"/>
          <w:sz w:val="28"/>
          <w:szCs w:val="28"/>
          <w:lang w:val="en-US"/>
        </w:rPr>
      </w:pPr>
      <w:r w:rsidRPr="00CD695E">
        <w:rPr>
          <w:rFonts w:ascii="Times New Roman" w:hAnsi="Times New Roman"/>
          <w:b/>
          <w:sz w:val="36"/>
          <w:szCs w:val="28"/>
          <w:lang w:val="en-US"/>
        </w:rPr>
        <w:t>I</w:t>
      </w:r>
      <w:r w:rsidR="00C07FEC" w:rsidRPr="00CD695E">
        <w:rPr>
          <w:rFonts w:ascii="Times New Roman" w:hAnsi="Times New Roman"/>
          <w:b/>
          <w:sz w:val="36"/>
          <w:szCs w:val="28"/>
          <w:lang w:val="en-US"/>
        </w:rPr>
        <w:t>ndicator systems and modeling methods for assessing atmospheric air pollution and forecasting environmental risk in southern</w:t>
      </w:r>
      <w:r w:rsidR="00C07FEC" w:rsidRPr="00CD695E">
        <w:rPr>
          <w:rFonts w:ascii="Times New Roman" w:hAnsi="Times New Roman"/>
          <w:sz w:val="36"/>
          <w:szCs w:val="28"/>
          <w:lang w:val="en-US"/>
        </w:rPr>
        <w:t xml:space="preserve"> </w:t>
      </w:r>
    </w:p>
    <w:p w:rsidR="00BD6EEF" w:rsidRPr="004D01E2" w:rsidRDefault="00DB294D" w:rsidP="004D01E2">
      <w:pPr>
        <w:spacing w:before="240" w:line="240" w:lineRule="auto"/>
        <w:jc w:val="center"/>
        <w:rPr>
          <w:rFonts w:ascii="Times New Roman" w:hAnsi="Times New Roman"/>
          <w:sz w:val="28"/>
          <w:szCs w:val="28"/>
          <w:lang w:val="en-US"/>
        </w:rPr>
      </w:pPr>
      <w:r>
        <w:rPr>
          <w:rFonts w:ascii="Times New Roman" w:hAnsi="Times New Roman"/>
          <w:sz w:val="28"/>
          <w:szCs w:val="28"/>
          <w:lang w:val="en-US"/>
        </w:rPr>
        <w:t>Safarova Ruzigul</w:t>
      </w:r>
      <w:r w:rsidR="0093480F">
        <w:rPr>
          <w:rFonts w:ascii="Times New Roman" w:hAnsi="Times New Roman"/>
          <w:sz w:val="28"/>
          <w:szCs w:val="28"/>
          <w:vertAlign w:val="superscript"/>
          <w:lang w:val="en-US"/>
        </w:rPr>
        <w:t xml:space="preserve"> a)</w:t>
      </w:r>
      <w:r>
        <w:rPr>
          <w:rFonts w:ascii="Times New Roman" w:hAnsi="Times New Roman"/>
          <w:sz w:val="28"/>
          <w:szCs w:val="28"/>
          <w:lang w:val="en-US"/>
        </w:rPr>
        <w:t xml:space="preserve">, </w:t>
      </w:r>
      <w:r w:rsidR="0002547F">
        <w:rPr>
          <w:rFonts w:ascii="Times New Roman" w:hAnsi="Times New Roman"/>
          <w:sz w:val="28"/>
          <w:szCs w:val="28"/>
          <w:lang w:val="en-US"/>
        </w:rPr>
        <w:t xml:space="preserve">Husniddin </w:t>
      </w:r>
      <w:r>
        <w:rPr>
          <w:rFonts w:ascii="Times New Roman" w:hAnsi="Times New Roman"/>
          <w:sz w:val="28"/>
          <w:szCs w:val="28"/>
          <w:lang w:val="en-US"/>
        </w:rPr>
        <w:t>Xusanov</w:t>
      </w:r>
    </w:p>
    <w:p w:rsidR="0002547F" w:rsidRPr="0002547F" w:rsidRDefault="0002547F" w:rsidP="004D01E2">
      <w:pPr>
        <w:spacing w:after="0" w:line="240" w:lineRule="auto"/>
        <w:ind w:firstLine="720"/>
        <w:jc w:val="center"/>
        <w:rPr>
          <w:rStyle w:val="fontstyle01"/>
          <w:rFonts w:ascii="Times New Roman" w:hAnsi="Times New Roman"/>
          <w:b w:val="0"/>
          <w:i/>
          <w:sz w:val="20"/>
          <w:szCs w:val="20"/>
          <w:lang w:val="en-US"/>
        </w:rPr>
      </w:pPr>
      <w:r w:rsidRPr="0002547F">
        <w:rPr>
          <w:rFonts w:ascii="Times New Roman" w:hAnsi="Times New Roman"/>
          <w:i/>
          <w:color w:val="000000"/>
          <w:sz w:val="20"/>
          <w:szCs w:val="20"/>
          <w:lang w:val="en-US"/>
        </w:rPr>
        <w:t>Termez State University of Engineering and Agrotechnologies</w:t>
      </w:r>
      <w:r w:rsidRPr="0002547F">
        <w:rPr>
          <w:rFonts w:ascii="Times New Roman" w:hAnsi="Times New Roman"/>
          <w:b/>
          <w:i/>
          <w:color w:val="000000"/>
          <w:sz w:val="20"/>
          <w:szCs w:val="20"/>
          <w:lang w:val="en-US"/>
        </w:rPr>
        <w:t>,</w:t>
      </w:r>
      <w:r w:rsidR="007B14E2">
        <w:rPr>
          <w:rFonts w:ascii="Times New Roman" w:hAnsi="Times New Roman"/>
          <w:b/>
          <w:i/>
          <w:color w:val="000000"/>
          <w:sz w:val="20"/>
          <w:szCs w:val="20"/>
          <w:lang w:val="en-US"/>
        </w:rPr>
        <w:t xml:space="preserve"> </w:t>
      </w:r>
      <w:r w:rsidRPr="0002547F">
        <w:rPr>
          <w:rStyle w:val="fontstyle01"/>
          <w:rFonts w:ascii="Times New Roman" w:hAnsi="Times New Roman"/>
          <w:b w:val="0"/>
          <w:i/>
          <w:sz w:val="20"/>
          <w:szCs w:val="20"/>
          <w:lang w:val="en-US"/>
        </w:rPr>
        <w:t>Termez, Uzbekistan</w:t>
      </w:r>
    </w:p>
    <w:p w:rsidR="00BD6EEF" w:rsidRPr="007B14E2" w:rsidRDefault="0093480F" w:rsidP="004D01E2">
      <w:pPr>
        <w:spacing w:before="200" w:line="240" w:lineRule="auto"/>
        <w:jc w:val="center"/>
        <w:rPr>
          <w:rFonts w:ascii="Times New Roman" w:hAnsi="Times New Roman"/>
          <w:b/>
          <w:i/>
          <w:iCs/>
          <w:color w:val="1F497D"/>
          <w:sz w:val="20"/>
          <w:szCs w:val="20"/>
          <w:u w:val="single"/>
          <w:vertAlign w:val="superscript"/>
          <w:lang w:val="en-US"/>
        </w:rPr>
      </w:pPr>
      <w:r w:rsidRPr="007B14E2">
        <w:rPr>
          <w:rFonts w:ascii="Times New Roman" w:hAnsi="Times New Roman"/>
          <w:i/>
          <w:iCs/>
          <w:sz w:val="20"/>
          <w:szCs w:val="20"/>
          <w:vertAlign w:val="superscript"/>
          <w:lang w:val="en-US"/>
        </w:rPr>
        <w:t>a)</w:t>
      </w:r>
      <w:r w:rsidRPr="007B14E2">
        <w:rPr>
          <w:rFonts w:ascii="Times New Roman" w:hAnsi="Times New Roman"/>
          <w:i/>
          <w:iCs/>
          <w:sz w:val="20"/>
          <w:szCs w:val="20"/>
          <w:lang w:val="en-US"/>
        </w:rPr>
        <w:t xml:space="preserve"> Corresponding author: </w:t>
      </w:r>
      <w:hyperlink r:id="rId7" w:history="1">
        <w:r w:rsidR="00231D71" w:rsidRPr="007B14E2">
          <w:rPr>
            <w:rStyle w:val="a8"/>
            <w:rFonts w:ascii="Times New Roman" w:hAnsi="Times New Roman"/>
            <w:i/>
            <w:iCs/>
            <w:sz w:val="20"/>
            <w:szCs w:val="20"/>
            <w:lang w:val="en-US"/>
          </w:rPr>
          <w:t>ruzigultuhtayevna@gmail.com</w:t>
        </w:r>
      </w:hyperlink>
      <w:r w:rsidR="00CD695E" w:rsidRPr="007B14E2">
        <w:rPr>
          <w:rFonts w:ascii="Times New Roman" w:hAnsi="Times New Roman"/>
          <w:i/>
          <w:iCs/>
          <w:color w:val="4BACC6"/>
          <w:sz w:val="20"/>
          <w:szCs w:val="20"/>
          <w:u w:val="single"/>
          <w:vertAlign w:val="superscript"/>
          <w:lang w:val="en-US"/>
        </w:rPr>
        <w:t xml:space="preserve"> </w:t>
      </w:r>
    </w:p>
    <w:p w:rsidR="00BD6EEF" w:rsidRPr="004C27D9" w:rsidRDefault="00DB294D" w:rsidP="004D01E2">
      <w:pPr>
        <w:spacing w:before="360" w:after="360" w:line="240" w:lineRule="auto"/>
        <w:ind w:left="284" w:right="284"/>
        <w:jc w:val="both"/>
        <w:rPr>
          <w:rFonts w:ascii="Times New Roman" w:hAnsi="Times New Roman"/>
          <w:sz w:val="18"/>
          <w:szCs w:val="18"/>
          <w:lang w:val="en-US"/>
        </w:rPr>
      </w:pPr>
      <w:r w:rsidRPr="004C27D9">
        <w:rPr>
          <w:rFonts w:ascii="Times New Roman" w:hAnsi="Times New Roman"/>
          <w:b/>
          <w:sz w:val="18"/>
          <w:szCs w:val="18"/>
          <w:lang w:val="en-US"/>
        </w:rPr>
        <w:t xml:space="preserve">Abstract: </w:t>
      </w:r>
      <w:r w:rsidRPr="004C27D9">
        <w:rPr>
          <w:rFonts w:ascii="Times New Roman" w:hAnsi="Times New Roman"/>
          <w:sz w:val="18"/>
          <w:szCs w:val="18"/>
          <w:lang w:val="en-US"/>
        </w:rPr>
        <w:t>This study aims to develop a multi-component indicator system and modeling framework for assessing air pollution and forecasting environmental risk in southern regions. It analyses atmosphere composition (PM₂.₅/PM₁₀, NO₂, SO₂, CO, dust-aerosols), meteorological parameters (temperature, wind, humidity) and anthropogenic sources (industry, transport, agriculture). Using GIS and statistical/regression models, pollution distribution and risk zones are predicted. Results support enhanced regional monitoring, risk assessment, and environmental management strategies.</w:t>
      </w:r>
    </w:p>
    <w:p w:rsidR="004C27D9" w:rsidRPr="004C27D9" w:rsidRDefault="004C27D9" w:rsidP="004D01E2">
      <w:pPr>
        <w:spacing w:before="240" w:after="240" w:line="240" w:lineRule="auto"/>
        <w:ind w:firstLine="567"/>
        <w:jc w:val="center"/>
        <w:rPr>
          <w:rFonts w:ascii="Times New Roman" w:hAnsi="Times New Roman"/>
          <w:b/>
          <w:sz w:val="24"/>
          <w:szCs w:val="24"/>
          <w:lang w:val="en-US"/>
        </w:rPr>
      </w:pPr>
      <w:r w:rsidRPr="004C27D9">
        <w:rPr>
          <w:rFonts w:ascii="Times New Roman" w:hAnsi="Times New Roman"/>
          <w:b/>
          <w:sz w:val="24"/>
          <w:szCs w:val="24"/>
          <w:lang w:val="en-US"/>
        </w:rPr>
        <w:t>INTRODUCTION</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state of atmospheric air is a crucial indicator of human health, agro-ecosystem sustainability, socio-economic development, and overall environmental stability. The southern regions of Uzbekistan—particularly Kashkadarya and Surkhandarya—are characterized by arid climatic conditions, frequent strong winds, and high temperatures, which create favorable conditions for dust–aerosol processes and th</w:t>
      </w:r>
      <w:r>
        <w:rPr>
          <w:rFonts w:ascii="Times New Roman" w:hAnsi="Times New Roman"/>
          <w:sz w:val="20"/>
          <w:szCs w:val="20"/>
          <w:lang w:val="en-US"/>
        </w:rPr>
        <w:t>e dispersion of air pollutants.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In recent years, climate change has led to a decrease in precipitation, intensification of droughts, and increased soil degradation. At the same time, the growth of industrial activities and transportation flows has contributed to the intensification of both natural and anthropogenic components of air pollution. For example, in October 2025, dust storms and PM₂.₅/PM₁₀ concentrations in these regions exceeded national air qual</w:t>
      </w:r>
      <w:r>
        <w:rPr>
          <w:rFonts w:ascii="Times New Roman" w:hAnsi="Times New Roman"/>
          <w:sz w:val="20"/>
          <w:szCs w:val="20"/>
          <w:lang w:val="en-US"/>
        </w:rPr>
        <w:t>ity standards by several times.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However, existing air quality monitoring systems often measure only basic physical and chemical parameters, while pollution sources, aerosol composition, meteorological factors, and landscape characteristics are not analyzed in an integrated manner. Therefore, the implementation of indicator-based systems and modeling approaches is essential for scientifically grounded environmental risk assessment</w:t>
      </w:r>
      <w:r>
        <w:rPr>
          <w:rFonts w:ascii="Times New Roman" w:hAnsi="Times New Roman"/>
          <w:sz w:val="20"/>
          <w:szCs w:val="20"/>
          <w:lang w:val="en-US"/>
        </w:rPr>
        <w:t xml:space="preserve"> and forecasting [1], [2], [3].</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Under local conditions—where drought, dust storms, and anthropogenic emission sources interact—the accurate assessment of air quality and environmental risk forecasting becomes particularly urgent. Air pollution is not limited to urban areas; environmental risks are also increasing in rural regions, industrial zones, and transport corridors. Official statistics and monitoring data are often limited and not subjected to co</w:t>
      </w:r>
      <w:r>
        <w:rPr>
          <w:rFonts w:ascii="Times New Roman" w:hAnsi="Times New Roman"/>
          <w:sz w:val="20"/>
          <w:szCs w:val="20"/>
          <w:lang w:val="en-US"/>
        </w:rPr>
        <w:t>ntinuous analytical evaluation.</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application of integrated indicator systems and dynamic modeling approaches enables regional environmental risk forecasting, early warning, and the development of effective env</w:t>
      </w:r>
      <w:r>
        <w:rPr>
          <w:rFonts w:ascii="Times New Roman" w:hAnsi="Times New Roman"/>
          <w:sz w:val="20"/>
          <w:szCs w:val="20"/>
          <w:lang w:val="en-US"/>
        </w:rPr>
        <w:t>ironmental management measures.</w:t>
      </w:r>
    </w:p>
    <w:p w:rsidR="00F27A38" w:rsidRPr="00F27A38" w:rsidRDefault="00EB018E" w:rsidP="004D01E2">
      <w:pPr>
        <w:spacing w:after="0" w:line="240" w:lineRule="auto"/>
        <w:ind w:firstLine="284"/>
        <w:jc w:val="both"/>
        <w:rPr>
          <w:rFonts w:ascii="Times New Roman" w:hAnsi="Times New Roman"/>
          <w:sz w:val="20"/>
          <w:szCs w:val="20"/>
          <w:lang w:val="en-US"/>
        </w:rPr>
      </w:pPr>
      <w:r w:rsidRPr="00EB018E">
        <w:rPr>
          <w:rFonts w:ascii="Times New Roman" w:hAnsi="Times New Roman"/>
          <w:b/>
          <w:i/>
          <w:sz w:val="20"/>
          <w:szCs w:val="20"/>
          <w:lang w:val="en-US"/>
        </w:rPr>
        <w:t>Objective.</w:t>
      </w:r>
      <w:r>
        <w:rPr>
          <w:rFonts w:ascii="Times New Roman" w:hAnsi="Times New Roman"/>
          <w:b/>
          <w:sz w:val="20"/>
          <w:szCs w:val="20"/>
          <w:lang w:val="en-US"/>
        </w:rPr>
        <w:t xml:space="preserve"> </w:t>
      </w:r>
      <w:r w:rsidR="00F27A38" w:rsidRPr="00F27A38">
        <w:rPr>
          <w:rFonts w:ascii="Times New Roman" w:hAnsi="Times New Roman"/>
          <w:sz w:val="20"/>
          <w:szCs w:val="20"/>
          <w:lang w:val="en-US"/>
        </w:rPr>
        <w:t>The objective of this study is to develop a multi-parameter indicator system for assessing air pollution and forecasting environmental risks in southern regions (e.g., Kashkadarya Province), as well as to apply GIS-based an</w:t>
      </w:r>
      <w:r w:rsidR="00F27A38">
        <w:rPr>
          <w:rFonts w:ascii="Times New Roman" w:hAnsi="Times New Roman"/>
          <w:sz w:val="20"/>
          <w:szCs w:val="20"/>
          <w:lang w:val="en-US"/>
        </w:rPr>
        <w:t>d statistical/modeling methods.</w:t>
      </w:r>
    </w:p>
    <w:p w:rsidR="00EB018E" w:rsidRPr="00287E0A" w:rsidRDefault="007B14E2" w:rsidP="004D01E2">
      <w:pPr>
        <w:pStyle w:val="ab"/>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b/>
          <w:sz w:val="24"/>
          <w:szCs w:val="24"/>
          <w:lang w:eastAsia="ru-RU"/>
        </w:rPr>
      </w:pPr>
      <w:r>
        <w:rPr>
          <w:rFonts w:ascii="Times New Roman" w:hAnsi="Times New Roman"/>
          <w:b/>
          <w:sz w:val="24"/>
          <w:szCs w:val="24"/>
        </w:rPr>
        <w:br w:type="page"/>
      </w:r>
      <w:r w:rsidR="00EB018E" w:rsidRPr="00287E0A">
        <w:rPr>
          <w:rFonts w:ascii="Times New Roman" w:hAnsi="Times New Roman"/>
          <w:b/>
          <w:sz w:val="24"/>
          <w:szCs w:val="24"/>
        </w:rPr>
        <w:lastRenderedPageBreak/>
        <w:t>EXPERIMENTAL RESEARCH</w:t>
      </w:r>
    </w:p>
    <w:p w:rsidR="00F27A38" w:rsidRPr="00EB018E" w:rsidRDefault="00F27A38" w:rsidP="004D01E2">
      <w:pPr>
        <w:spacing w:after="0" w:line="240" w:lineRule="auto"/>
        <w:ind w:firstLine="284"/>
        <w:jc w:val="both"/>
        <w:rPr>
          <w:rFonts w:ascii="Times New Roman" w:hAnsi="Times New Roman"/>
          <w:i/>
          <w:sz w:val="20"/>
          <w:szCs w:val="20"/>
          <w:lang w:val="en-US"/>
        </w:rPr>
      </w:pPr>
      <w:r w:rsidRPr="00EB018E">
        <w:rPr>
          <w:rFonts w:ascii="Times New Roman" w:hAnsi="Times New Roman"/>
          <w:i/>
          <w:sz w:val="20"/>
          <w:szCs w:val="20"/>
          <w:lang w:val="en-US"/>
        </w:rPr>
        <w:t>Methods</w:t>
      </w:r>
      <w:r w:rsidR="00EB018E">
        <w:rPr>
          <w:rFonts w:ascii="Times New Roman" w:hAnsi="Times New Roman"/>
          <w:i/>
          <w:sz w:val="20"/>
          <w:szCs w:val="20"/>
          <w:lang w:val="en-US"/>
        </w:rPr>
        <w:t>:</w:t>
      </w:r>
    </w:p>
    <w:p w:rsidR="00F27A38" w:rsidRPr="00F27A38" w:rsidRDefault="00F27A38" w:rsidP="004D01E2">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1. Data Collection</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Atmospheric air sampling points are established in different functional zones (industrial areas, proximity to transport routes, and rural areas) to measure PM₂.₅, PM₁₀, NO₂, SO₂, CO, and aerosol composition (e.g., carbonaceous partic</w:t>
      </w:r>
      <w:r>
        <w:rPr>
          <w:rFonts w:ascii="Times New Roman" w:hAnsi="Times New Roman"/>
          <w:sz w:val="20"/>
          <w:szCs w:val="20"/>
          <w:lang w:val="en-US"/>
        </w:rPr>
        <w:t>les, metals, and mineral dust).</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Meteorological parameters include air temperature, wind direction and speed, humidity, and atmospheric pressure.</w:t>
      </w:r>
    </w:p>
    <w:p w:rsid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Anthropogenic source statistics are collected, including traffic intensity, industrial emissions, agricultural practices, and construction activities.</w:t>
      </w:r>
    </w:p>
    <w:p w:rsidR="00F27A38" w:rsidRDefault="00F27A38" w:rsidP="004D01E2">
      <w:pPr>
        <w:spacing w:after="0" w:line="240" w:lineRule="auto"/>
        <w:ind w:firstLine="708"/>
        <w:jc w:val="center"/>
        <w:rPr>
          <w:rFonts w:ascii="Times New Roman" w:hAnsi="Times New Roman"/>
          <w:noProof/>
          <w:sz w:val="20"/>
          <w:szCs w:val="20"/>
          <w:lang w:val="uz-Cyrl-UZ"/>
        </w:rPr>
      </w:pPr>
    </w:p>
    <w:p w:rsidR="00192304" w:rsidRDefault="00A94B61" w:rsidP="004D01E2">
      <w:pPr>
        <w:spacing w:after="0" w:line="240" w:lineRule="auto"/>
        <w:ind w:firstLine="708"/>
        <w:jc w:val="center"/>
        <w:rPr>
          <w:rFonts w:ascii="Times New Roman" w:hAnsi="Times New Roman"/>
          <w:noProof/>
          <w:sz w:val="20"/>
          <w:szCs w:val="20"/>
          <w:lang w:val="uz-Cyrl-UZ"/>
        </w:rPr>
      </w:pPr>
      <w:r>
        <w:rPr>
          <w:rFonts w:ascii="Times New Roman" w:hAnsi="Times New Roman"/>
          <w:noProof/>
          <w:sz w:val="20"/>
          <w:szCs w:val="20"/>
          <w:lang w:val="uz-Cyrl-UZ"/>
        </w:rPr>
        <w:drawing>
          <wp:inline distT="0" distB="0" distL="0" distR="0">
            <wp:extent cx="3400425" cy="2371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0425" cy="2371725"/>
                    </a:xfrm>
                    <a:prstGeom prst="rect">
                      <a:avLst/>
                    </a:prstGeom>
                    <a:noFill/>
                    <a:ln>
                      <a:noFill/>
                    </a:ln>
                  </pic:spPr>
                </pic:pic>
              </a:graphicData>
            </a:graphic>
          </wp:inline>
        </w:drawing>
      </w:r>
    </w:p>
    <w:p w:rsidR="00F27A38" w:rsidRPr="004D01E2" w:rsidRDefault="009273F8" w:rsidP="004D01E2">
      <w:pPr>
        <w:spacing w:before="80" w:after="160" w:line="240" w:lineRule="auto"/>
        <w:jc w:val="center"/>
        <w:rPr>
          <w:rFonts w:ascii="Times New Roman" w:hAnsi="Times New Roman"/>
          <w:sz w:val="20"/>
          <w:szCs w:val="20"/>
          <w:lang w:val="en-US"/>
        </w:rPr>
      </w:pPr>
      <w:r>
        <w:rPr>
          <w:rFonts w:ascii="Times New Roman" w:hAnsi="Times New Roman"/>
          <w:b/>
          <w:sz w:val="20"/>
          <w:szCs w:val="20"/>
          <w:lang w:val="en-US"/>
        </w:rPr>
        <w:t>FIGURE 1</w:t>
      </w:r>
      <w:r w:rsidR="00F27A38" w:rsidRPr="009273F8">
        <w:rPr>
          <w:rFonts w:ascii="Times New Roman" w:hAnsi="Times New Roman"/>
          <w:b/>
          <w:sz w:val="20"/>
          <w:szCs w:val="20"/>
          <w:lang w:val="en-US"/>
        </w:rPr>
        <w:t>.</w:t>
      </w:r>
      <w:r w:rsidR="00F27A38" w:rsidRPr="00F27A38">
        <w:rPr>
          <w:rFonts w:ascii="Times New Roman" w:hAnsi="Times New Roman"/>
          <w:sz w:val="20"/>
          <w:szCs w:val="20"/>
          <w:lang w:val="en-US"/>
        </w:rPr>
        <w:t xml:space="preserve"> Changes in PM2.5 and P</w:t>
      </w:r>
      <w:r w:rsidR="00F27A38">
        <w:rPr>
          <w:rFonts w:ascii="Times New Roman" w:hAnsi="Times New Roman"/>
          <w:sz w:val="20"/>
          <w:szCs w:val="20"/>
          <w:lang w:val="en-US"/>
        </w:rPr>
        <w:t>M10 Concentrations in 2023–2024</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This graph illustrates the average annual concentrations of PM2.5 and PM10 particles in the sou</w:t>
      </w:r>
      <w:r>
        <w:rPr>
          <w:rFonts w:ascii="Times New Roman" w:hAnsi="Times New Roman"/>
          <w:sz w:val="20"/>
          <w:szCs w:val="20"/>
          <w:lang w:val="en-US"/>
        </w:rPr>
        <w:t>thern regions during 2023–2024.</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In 2023, the PM2.5 concentration was 23.3 µg/m³, increasing to 42.5 µg/m³ in 2024. This rise indicates intensified anthropogenic activity, particularly related to road construction, agricultural operations,</w:t>
      </w:r>
      <w:r>
        <w:rPr>
          <w:rFonts w:ascii="Times New Roman" w:hAnsi="Times New Roman"/>
          <w:sz w:val="20"/>
          <w:szCs w:val="20"/>
          <w:lang w:val="en-US"/>
        </w:rPr>
        <w:t xml:space="preserve"> and increased transport loads.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PM10 concentrations increased from 56.1 µg/m³ in 2023 to 79.2 µg/m³ in 2024. This increase was primarily influenced by wind erosion, soil dryness, reduced humidity, and decreas</w:t>
      </w:r>
      <w:r>
        <w:rPr>
          <w:rFonts w:ascii="Times New Roman" w:hAnsi="Times New Roman"/>
          <w:sz w:val="20"/>
          <w:szCs w:val="20"/>
          <w:lang w:val="en-US"/>
        </w:rPr>
        <w:t>ed precipitation levels.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simultaneous increase in both indicators in 2024 is associated with unfavorable meteorological conditions under t</w:t>
      </w:r>
      <w:r>
        <w:rPr>
          <w:rFonts w:ascii="Times New Roman" w:hAnsi="Times New Roman"/>
          <w:sz w:val="20"/>
          <w:szCs w:val="20"/>
          <w:lang w:val="en-US"/>
        </w:rPr>
        <w:t>he influence of climate change.</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2</w:t>
      </w:r>
      <w:r>
        <w:rPr>
          <w:rFonts w:ascii="Times New Roman" w:hAnsi="Times New Roman"/>
          <w:sz w:val="20"/>
          <w:szCs w:val="20"/>
          <w:lang w:val="en-US"/>
        </w:rPr>
        <w:t>. Chemical and Aerosol Analyses</w:t>
      </w:r>
    </w:p>
    <w:p w:rsid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PM samples are analyzed for organic and elemental carbon content, as well as elemental composition (metals and mineral ions). Numerous studies have demonstrated the importance of carbonaceous aerosol anal</w:t>
      </w:r>
      <w:r>
        <w:rPr>
          <w:rFonts w:ascii="Times New Roman" w:hAnsi="Times New Roman"/>
          <w:sz w:val="20"/>
          <w:szCs w:val="20"/>
          <w:lang w:val="en-US"/>
        </w:rPr>
        <w:t>ysis for source identification.</w:t>
      </w:r>
    </w:p>
    <w:p w:rsid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To differentiate between natural (soil/mineral) and anthropogenic dust components, elemental analysis and mineralogical </w:t>
      </w:r>
      <w:r>
        <w:rPr>
          <w:rFonts w:ascii="Times New Roman" w:hAnsi="Times New Roman"/>
          <w:sz w:val="20"/>
          <w:szCs w:val="20"/>
          <w:lang w:val="en-US"/>
        </w:rPr>
        <w:t>analytical methods are applied.</w:t>
      </w:r>
    </w:p>
    <w:p w:rsidR="000D1E85" w:rsidRPr="00F27A38" w:rsidRDefault="000D1E85"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Monitoring results from 2023–2024 indicate that climate change has significantly altered meteorological parameters, leading to increased PM2.5, PM10 concentrations, and dust sto</w:t>
      </w:r>
      <w:r>
        <w:rPr>
          <w:rFonts w:ascii="Times New Roman" w:hAnsi="Times New Roman"/>
          <w:sz w:val="20"/>
          <w:szCs w:val="20"/>
          <w:lang w:val="en-US"/>
        </w:rPr>
        <w:t>rm indices in southern regions.</w:t>
      </w:r>
    </w:p>
    <w:p w:rsidR="000D1E85" w:rsidRPr="00F27A38" w:rsidRDefault="000D1E85"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In particular, reduced relative humidity, decreased precipitation, increased air temperature, and intensified wind speed are directly linked to </w:t>
      </w:r>
      <w:r>
        <w:rPr>
          <w:rFonts w:ascii="Times New Roman" w:hAnsi="Times New Roman"/>
          <w:sz w:val="20"/>
          <w:szCs w:val="20"/>
          <w:lang w:val="en-US"/>
        </w:rPr>
        <w:t>enhanced dust uplift processes.</w:t>
      </w:r>
    </w:p>
    <w:p w:rsidR="000D1E85" w:rsidRPr="00F27A38" w:rsidRDefault="000D1E85"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Therefore, within environmental safety monitoring systems in southern regions, meteorological indicators and dust concentration paramet</w:t>
      </w:r>
      <w:r>
        <w:rPr>
          <w:rFonts w:ascii="Times New Roman" w:hAnsi="Times New Roman"/>
          <w:sz w:val="20"/>
          <w:szCs w:val="20"/>
          <w:lang w:val="en-US"/>
        </w:rPr>
        <w:t>ers should be assessed jointly.</w:t>
      </w:r>
    </w:p>
    <w:p w:rsidR="000D1E85" w:rsidRPr="00F27A38" w:rsidRDefault="000D1E85" w:rsidP="004D01E2">
      <w:pPr>
        <w:spacing w:after="0" w:line="240" w:lineRule="auto"/>
        <w:ind w:firstLine="284"/>
        <w:jc w:val="both"/>
        <w:rPr>
          <w:rFonts w:ascii="Times New Roman" w:hAnsi="Times New Roman"/>
          <w:sz w:val="20"/>
          <w:szCs w:val="20"/>
          <w:lang w:val="en-US"/>
        </w:rPr>
      </w:pPr>
    </w:p>
    <w:p w:rsidR="00F27A38" w:rsidRPr="00F27A38" w:rsidRDefault="00A94B61" w:rsidP="004D01E2">
      <w:pPr>
        <w:spacing w:after="0" w:line="240" w:lineRule="auto"/>
        <w:ind w:firstLine="284"/>
        <w:jc w:val="center"/>
        <w:rPr>
          <w:rFonts w:ascii="Times New Roman" w:hAnsi="Times New Roman"/>
          <w:sz w:val="20"/>
          <w:szCs w:val="20"/>
          <w:lang w:val="en-US"/>
        </w:rPr>
      </w:pPr>
      <w:r w:rsidRPr="00226AB4">
        <w:rPr>
          <w:rFonts w:ascii="Times New Roman" w:hAnsi="Times New Roman"/>
          <w:noProof/>
          <w:sz w:val="20"/>
          <w:szCs w:val="20"/>
          <w:lang w:val="en-US"/>
        </w:rPr>
        <w:lastRenderedPageBreak/>
        <w:drawing>
          <wp:inline distT="0" distB="0" distL="0" distR="0">
            <wp:extent cx="3590925" cy="19431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b="4135"/>
                    <a:stretch>
                      <a:fillRect/>
                    </a:stretch>
                  </pic:blipFill>
                  <pic:spPr bwMode="auto">
                    <a:xfrm>
                      <a:off x="0" y="0"/>
                      <a:ext cx="3590925" cy="1943100"/>
                    </a:xfrm>
                    <a:prstGeom prst="rect">
                      <a:avLst/>
                    </a:prstGeom>
                    <a:noFill/>
                    <a:ln>
                      <a:noFill/>
                    </a:ln>
                  </pic:spPr>
                </pic:pic>
              </a:graphicData>
            </a:graphic>
          </wp:inline>
        </w:drawing>
      </w:r>
    </w:p>
    <w:p w:rsidR="00F27A38" w:rsidRPr="00F27A38" w:rsidRDefault="00D7143D" w:rsidP="004D01E2">
      <w:pPr>
        <w:spacing w:before="80" w:after="160" w:line="240" w:lineRule="auto"/>
        <w:jc w:val="center"/>
        <w:rPr>
          <w:rFonts w:ascii="Times New Roman" w:hAnsi="Times New Roman"/>
          <w:sz w:val="20"/>
          <w:szCs w:val="20"/>
          <w:lang w:val="en-US"/>
        </w:rPr>
      </w:pPr>
      <w:r w:rsidRPr="00D7143D">
        <w:rPr>
          <w:rFonts w:ascii="Times New Roman" w:hAnsi="Times New Roman"/>
          <w:b/>
          <w:sz w:val="20"/>
          <w:szCs w:val="20"/>
          <w:lang w:val="en-US"/>
        </w:rPr>
        <w:t xml:space="preserve">FIGURE </w:t>
      </w:r>
      <w:r w:rsidR="00F27A38" w:rsidRPr="00D7143D">
        <w:rPr>
          <w:rFonts w:ascii="Times New Roman" w:hAnsi="Times New Roman"/>
          <w:b/>
          <w:sz w:val="20"/>
          <w:szCs w:val="20"/>
          <w:lang w:val="en-US"/>
        </w:rPr>
        <w:t>2.</w:t>
      </w:r>
      <w:r w:rsidR="00F27A38" w:rsidRPr="00F27A38">
        <w:rPr>
          <w:rFonts w:ascii="Times New Roman" w:hAnsi="Times New Roman"/>
          <w:sz w:val="20"/>
          <w:szCs w:val="20"/>
          <w:lang w:val="en-US"/>
        </w:rPr>
        <w:t xml:space="preserve"> PM2.5 Indicators</w:t>
      </w:r>
    </w:p>
    <w:p w:rsidR="00F27A38" w:rsidRPr="00F27A38" w:rsidRDefault="00F27A38" w:rsidP="004D01E2">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3. Modeling and GIS Analysis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collected data are geospatially mapped using GIS platforms to identify and</w:t>
      </w:r>
      <w:r>
        <w:rPr>
          <w:rFonts w:ascii="Times New Roman" w:hAnsi="Times New Roman"/>
          <w:sz w:val="20"/>
          <w:szCs w:val="20"/>
          <w:lang w:val="en-US"/>
        </w:rPr>
        <w:t xml:space="preserve"> visualize air pollution zones.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Statistical and regression models (e.g., multivariate regression analysis) are employed to evaluate the combined influence of anthropogenic, meteorological, and landscape f</w:t>
      </w:r>
      <w:r>
        <w:rPr>
          <w:rFonts w:ascii="Times New Roman" w:hAnsi="Times New Roman"/>
          <w:sz w:val="20"/>
          <w:szCs w:val="20"/>
          <w:lang w:val="en-US"/>
        </w:rPr>
        <w:t>actors on air pollution levels.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Where available, integration with remote sensing and satellite data (AOD—Aerosol Optical Depth) is performed. International experience and models applied in other regions—combining satellite, meteorological, and GIS data—can </w:t>
      </w:r>
      <w:r>
        <w:rPr>
          <w:rFonts w:ascii="Times New Roman" w:hAnsi="Times New Roman"/>
          <w:sz w:val="20"/>
          <w:szCs w:val="20"/>
          <w:lang w:val="en-US"/>
        </w:rPr>
        <w:t>be adapted to local conditions.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4. </w:t>
      </w:r>
      <w:r>
        <w:rPr>
          <w:rFonts w:ascii="Times New Roman" w:hAnsi="Times New Roman"/>
          <w:sz w:val="20"/>
          <w:szCs w:val="20"/>
          <w:lang w:val="en-US"/>
        </w:rPr>
        <w:t>Risk Assessment and Forecasting</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Based on the integrated indicator system, an environmental risk index is developed, incorporating air pollution levels, anthropogenic load, natural aerosol contributions,</w:t>
      </w:r>
      <w:r>
        <w:rPr>
          <w:rFonts w:ascii="Times New Roman" w:hAnsi="Times New Roman"/>
          <w:sz w:val="20"/>
          <w:szCs w:val="20"/>
          <w:lang w:val="en-US"/>
        </w:rPr>
        <w:t xml:space="preserve"> and meteorological conditions.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Modeling is used to identify high-risk zones and forecast periods (e.g., seasonal variations, dry and wet periods, dust storm </w:t>
      </w:r>
      <w:r>
        <w:rPr>
          <w:rFonts w:ascii="Times New Roman" w:hAnsi="Times New Roman"/>
          <w:sz w:val="20"/>
          <w:szCs w:val="20"/>
          <w:lang w:val="en-US"/>
        </w:rPr>
        <w:t>seasons).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As a result, detailed data on pollution sources and aerosol composition in southern regions are obtained, allowing for the determination of the relative contributions of natural dust (mineral/soil</w:t>
      </w:r>
      <w:r>
        <w:rPr>
          <w:rFonts w:ascii="Times New Roman" w:hAnsi="Times New Roman"/>
          <w:sz w:val="20"/>
          <w:szCs w:val="20"/>
          <w:lang w:val="en-US"/>
        </w:rPr>
        <w:t>) and anthropogenic components.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 xml:space="preserve">GIS-based mapping enables the identification of high environmental risk zones, including major transport corridors, industrial areas, and regions affected </w:t>
      </w:r>
      <w:r>
        <w:rPr>
          <w:rFonts w:ascii="Times New Roman" w:hAnsi="Times New Roman"/>
          <w:sz w:val="20"/>
          <w:szCs w:val="20"/>
          <w:lang w:val="en-US"/>
        </w:rPr>
        <w:t>by forest and soil degradation.</w:t>
      </w:r>
    </w:p>
    <w:p w:rsid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Forecasts linked to meteorological factors and climate change trends—such as rising temperatures, increasing drought frequency, and intensified winds—are developed to support proactive environmental management.</w:t>
      </w:r>
    </w:p>
    <w:p w:rsidR="00263BBE" w:rsidRDefault="00A94B61" w:rsidP="004D01E2">
      <w:pPr>
        <w:spacing w:after="0" w:line="240" w:lineRule="auto"/>
        <w:ind w:firstLine="709"/>
        <w:jc w:val="center"/>
        <w:rPr>
          <w:rFonts w:ascii="Times New Roman" w:hAnsi="Times New Roman"/>
          <w:sz w:val="20"/>
          <w:szCs w:val="20"/>
          <w:lang w:val="en-US"/>
        </w:rPr>
      </w:pPr>
      <w:r w:rsidRPr="00E90D14">
        <w:rPr>
          <w:rFonts w:ascii="Times New Roman" w:eastAsia="SimSun" w:hAnsi="Times New Roman"/>
          <w:noProof/>
          <w:sz w:val="24"/>
          <w:szCs w:val="24"/>
          <w:lang w:eastAsia="ru-RU"/>
        </w:rPr>
        <w:drawing>
          <wp:inline distT="0" distB="0" distL="0" distR="0">
            <wp:extent cx="2171700" cy="2171700"/>
            <wp:effectExtent l="0" t="0" r="0" b="0"/>
            <wp:docPr id="3" name="Picture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2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F27A38" w:rsidRPr="00F27A38" w:rsidRDefault="00AC70F7" w:rsidP="004D01E2">
      <w:pPr>
        <w:spacing w:before="80" w:after="160" w:line="240" w:lineRule="auto"/>
        <w:jc w:val="center"/>
        <w:rPr>
          <w:rFonts w:ascii="Times New Roman" w:hAnsi="Times New Roman"/>
          <w:sz w:val="20"/>
          <w:szCs w:val="20"/>
          <w:lang w:val="en-US"/>
        </w:rPr>
      </w:pPr>
      <w:r w:rsidRPr="00AC70F7">
        <w:rPr>
          <w:rFonts w:ascii="Times New Roman" w:hAnsi="Times New Roman"/>
          <w:b/>
          <w:sz w:val="20"/>
          <w:szCs w:val="20"/>
          <w:lang w:val="en-US"/>
        </w:rPr>
        <w:t xml:space="preserve">FIGURE </w:t>
      </w:r>
      <w:r w:rsidR="00F27A38" w:rsidRPr="00AC70F7">
        <w:rPr>
          <w:rFonts w:ascii="Times New Roman" w:hAnsi="Times New Roman"/>
          <w:b/>
          <w:sz w:val="20"/>
          <w:szCs w:val="20"/>
          <w:lang w:val="en-US"/>
        </w:rPr>
        <w:t>3.</w:t>
      </w:r>
      <w:r w:rsidR="00F27A38" w:rsidRPr="00F27A38">
        <w:rPr>
          <w:rFonts w:ascii="Times New Roman" w:hAnsi="Times New Roman"/>
          <w:sz w:val="20"/>
          <w:szCs w:val="20"/>
          <w:lang w:val="en-US"/>
        </w:rPr>
        <w:t xml:space="preserve"> A modern indicator for measuring PM2.5 and PM10</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Based on the indicator system and modeling framework, a scientific foundation is established for air quality monitoring and environmental risk assessment.</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obtained results may serve as a basis for developing regional environmental management and envir</w:t>
      </w:r>
      <w:r w:rsidR="00263BBE">
        <w:rPr>
          <w:rFonts w:ascii="Times New Roman" w:hAnsi="Times New Roman"/>
          <w:sz w:val="20"/>
          <w:szCs w:val="20"/>
          <w:lang w:val="en-US"/>
        </w:rPr>
        <w:t>onmental protection strategies.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lastRenderedPageBreak/>
        <w:t>Challenges and limitations: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At present, sufficient publicly available statistical data on dust/aerosol concentrations and chemical composition in southern regions are lacking; therefore, field studies and sample analyses are required.</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integration of remote sensing data (AOD, satellite observations) with ground-based monitoring systems may face technical, financial, and institutional barriers.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Indicators and models need to be adapted not to generalized territories but to specific microzones (urban areas, industrial zones, rural areas) [6].</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Uncertainties may arise in long-term forecasting of climate change trend</w:t>
      </w:r>
      <w:r w:rsidR="00263BBE">
        <w:rPr>
          <w:rFonts w:ascii="Times New Roman" w:hAnsi="Times New Roman"/>
          <w:sz w:val="20"/>
          <w:szCs w:val="20"/>
          <w:lang w:val="en-US"/>
        </w:rPr>
        <w:t>s and meteorological variables.</w:t>
      </w:r>
    </w:p>
    <w:p w:rsidR="003027CF" w:rsidRPr="003027CF" w:rsidRDefault="003027CF" w:rsidP="004D01E2">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3027CF">
        <w:rPr>
          <w:rFonts w:ascii="Times New Roman" w:hAnsi="Times New Roman"/>
          <w:b/>
          <w:sz w:val="24"/>
          <w:szCs w:val="24"/>
          <w:lang w:val="en-US"/>
        </w:rPr>
        <w:t>CONCLUSIONS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Southern regions are highly sensitive to air pollution due to their climatic conditions, landscape characteristics, and anthropogenic load. Therefore, a multi-parameter indicator system and dynamic modeling are essential components of m</w:t>
      </w:r>
      <w:r w:rsidR="00263BBE">
        <w:rPr>
          <w:rFonts w:ascii="Times New Roman" w:hAnsi="Times New Roman"/>
          <w:sz w:val="20"/>
          <w:szCs w:val="20"/>
          <w:lang w:val="en-US"/>
        </w:rPr>
        <w:t>odern environmental monitoring.</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When applied in combination with GIS-based and statistical/regression models and remote sensing data, these approaches enable the identification of pollution zones, forecasting, and proactive planning of env</w:t>
      </w:r>
      <w:r w:rsidR="00263BBE">
        <w:rPr>
          <w:rFonts w:ascii="Times New Roman" w:hAnsi="Times New Roman"/>
          <w:sz w:val="20"/>
          <w:szCs w:val="20"/>
          <w:lang w:val="en-US"/>
        </w:rPr>
        <w:t>ironmental management measures.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The differentiation between natural (dust/mineral) and anthropogenic aerosol components, as well as the analysis of structural and chemical composition, plays a crucial role in accurate</w:t>
      </w:r>
      <w:r w:rsidR="00263BBE">
        <w:rPr>
          <w:rFonts w:ascii="Times New Roman" w:hAnsi="Times New Roman"/>
          <w:sz w:val="20"/>
          <w:szCs w:val="20"/>
          <w:lang w:val="en-US"/>
        </w:rPr>
        <w:t xml:space="preserve"> environmental risk assessment.</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Recommendations for local authorities and environmental agencies: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establish permanent monitoring stations;</w:t>
      </w:r>
    </w:p>
    <w:p w:rsidR="00F27A38" w:rsidRP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develop GIS-based environmental risk maps;</w:t>
      </w:r>
    </w:p>
    <w:p w:rsidR="00F27A38" w:rsidRDefault="00F27A38" w:rsidP="004D01E2">
      <w:pPr>
        <w:spacing w:after="0" w:line="240" w:lineRule="auto"/>
        <w:ind w:firstLine="284"/>
        <w:jc w:val="both"/>
        <w:rPr>
          <w:rFonts w:ascii="Times New Roman" w:hAnsi="Times New Roman"/>
          <w:sz w:val="20"/>
          <w:szCs w:val="20"/>
          <w:lang w:val="en-US"/>
        </w:rPr>
      </w:pPr>
      <w:r w:rsidRPr="00F27A38">
        <w:rPr>
          <w:rFonts w:ascii="Times New Roman" w:hAnsi="Times New Roman"/>
          <w:sz w:val="20"/>
          <w:szCs w:val="20"/>
          <w:lang w:val="en-US"/>
        </w:rPr>
        <w:t>formulate environmental management measures grounded in climate change projections and anthropogenic load assessments.</w:t>
      </w:r>
    </w:p>
    <w:p w:rsidR="00104046" w:rsidRPr="00287E0A" w:rsidRDefault="00104046" w:rsidP="004D01E2">
      <w:pPr>
        <w:overflowPunct w:val="0"/>
        <w:autoSpaceDE w:val="0"/>
        <w:autoSpaceDN w:val="0"/>
        <w:adjustRightInd w:val="0"/>
        <w:spacing w:before="240" w:after="240" w:line="240" w:lineRule="auto"/>
        <w:jc w:val="center"/>
        <w:textAlignment w:val="baseline"/>
        <w:rPr>
          <w:rFonts w:ascii="Times New Roman" w:hAnsi="Times New Roman"/>
          <w:b/>
          <w:sz w:val="24"/>
          <w:szCs w:val="24"/>
        </w:rPr>
      </w:pPr>
      <w:r w:rsidRPr="00287E0A">
        <w:rPr>
          <w:rFonts w:ascii="Times New Roman" w:hAnsi="Times New Roman"/>
          <w:b/>
          <w:sz w:val="24"/>
          <w:szCs w:val="24"/>
        </w:rPr>
        <w:t>REFERENCES</w:t>
      </w:r>
    </w:p>
    <w:p w:rsidR="00BD6EEF" w:rsidRPr="00850610"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20"/>
          <w:lang w:val="en-US"/>
        </w:rPr>
      </w:pPr>
      <w:r>
        <w:rPr>
          <w:sz w:val="20"/>
          <w:szCs w:val="20"/>
          <w:lang w:val="en-US"/>
        </w:rPr>
        <w:t xml:space="preserve">Karppinen A., Kukkonen J., Elolähde T., Konttinen M., </w:t>
      </w:r>
      <w:r>
        <w:rPr>
          <w:rStyle w:val="a7"/>
          <w:b w:val="0"/>
          <w:bCs w:val="0"/>
          <w:sz w:val="20"/>
          <w:szCs w:val="20"/>
          <w:lang w:val="en-US"/>
        </w:rPr>
        <w:t xml:space="preserve">et al. </w:t>
      </w:r>
      <w:r>
        <w:rPr>
          <w:rStyle w:val="a7"/>
          <w:b w:val="0"/>
          <w:sz w:val="20"/>
          <w:szCs w:val="20"/>
          <w:lang w:val="en-US"/>
        </w:rPr>
        <w:t>A modelling system for predicting urban air pollution</w:t>
      </w:r>
      <w:r>
        <w:rPr>
          <w:sz w:val="20"/>
          <w:szCs w:val="20"/>
          <w:lang w:val="en-US"/>
        </w:rPr>
        <w:t xml:space="preserve"> // </w:t>
      </w:r>
      <w:r>
        <w:rPr>
          <w:rStyle w:val="a5"/>
          <w:sz w:val="20"/>
          <w:szCs w:val="20"/>
          <w:lang w:val="en-US"/>
        </w:rPr>
        <w:t>Atmospheric Environment</w:t>
      </w:r>
      <w:r>
        <w:rPr>
          <w:sz w:val="20"/>
          <w:szCs w:val="20"/>
          <w:lang w:val="en-US"/>
        </w:rPr>
        <w:t xml:space="preserve">. — 2000. — Vol. 34, № 22. — P. 3735–3743. </w:t>
      </w:r>
      <w:hyperlink r:id="rId11" w:history="1">
        <w:r w:rsidR="000428A5" w:rsidRPr="00B345E7">
          <w:rPr>
            <w:rStyle w:val="a8"/>
            <w:sz w:val="20"/>
            <w:szCs w:val="20"/>
            <w:lang w:val="en-US"/>
          </w:rPr>
          <w:t>https://doi:10.1016/S1352-2310(00)00073-X</w:t>
        </w:r>
      </w:hyperlink>
      <w:r w:rsidRPr="00850610">
        <w:rPr>
          <w:sz w:val="20"/>
          <w:szCs w:val="20"/>
          <w:lang w:val="en-US"/>
        </w:rPr>
        <w:t>.</w:t>
      </w:r>
      <w:r w:rsidR="000428A5">
        <w:rPr>
          <w:sz w:val="20"/>
          <w:szCs w:val="20"/>
          <w:lang w:val="uz-Cyrl-UZ"/>
        </w:rPr>
        <w:t xml:space="preserve"> </w:t>
      </w:r>
    </w:p>
    <w:p w:rsidR="00BD6EEF"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20"/>
          <w:lang w:val="en-US"/>
        </w:rPr>
      </w:pPr>
      <w:r>
        <w:rPr>
          <w:sz w:val="20"/>
          <w:szCs w:val="20"/>
          <w:lang w:val="en-US"/>
        </w:rPr>
        <w:t xml:space="preserve">Samad A., Garuda S., Vogt U., Yang B. </w:t>
      </w:r>
      <w:r>
        <w:rPr>
          <w:rStyle w:val="a7"/>
          <w:b w:val="0"/>
          <w:sz w:val="20"/>
          <w:szCs w:val="20"/>
          <w:lang w:val="en-US"/>
        </w:rPr>
        <w:t>Air pollution prediction using machine learning techniques – An approach to replace existing monitoring stations with virtual monitoring stations</w:t>
      </w:r>
      <w:r>
        <w:rPr>
          <w:sz w:val="20"/>
          <w:szCs w:val="20"/>
          <w:lang w:val="en-US"/>
        </w:rPr>
        <w:t xml:space="preserve"> // </w:t>
      </w:r>
      <w:r>
        <w:rPr>
          <w:rStyle w:val="a5"/>
          <w:sz w:val="20"/>
          <w:szCs w:val="20"/>
          <w:lang w:val="en-US"/>
        </w:rPr>
        <w:t>Atmospheric Environment</w:t>
      </w:r>
      <w:r>
        <w:rPr>
          <w:sz w:val="20"/>
          <w:szCs w:val="20"/>
          <w:lang w:val="en-US"/>
        </w:rPr>
        <w:t xml:space="preserve">. — 2023. — Vol. 310. — P. 119987. — </w:t>
      </w:r>
      <w:r w:rsidR="000428A5" w:rsidRPr="000428A5">
        <w:rPr>
          <w:sz w:val="20"/>
          <w:szCs w:val="20"/>
          <w:lang w:val="en-US"/>
        </w:rPr>
        <w:t>https://</w:t>
      </w:r>
      <w:r w:rsidR="000428A5">
        <w:rPr>
          <w:sz w:val="20"/>
          <w:szCs w:val="20"/>
          <w:lang w:val="en-US"/>
        </w:rPr>
        <w:t>doi</w:t>
      </w:r>
      <w:r>
        <w:rPr>
          <w:sz w:val="20"/>
          <w:szCs w:val="20"/>
          <w:lang w:val="en-US"/>
        </w:rPr>
        <w:t>: 10.1016</w:t>
      </w:r>
      <w:r w:rsidR="000428A5">
        <w:rPr>
          <w:sz w:val="20"/>
          <w:szCs w:val="20"/>
          <w:lang w:val="uz-Cyrl-UZ"/>
        </w:rPr>
        <w:t xml:space="preserve"> </w:t>
      </w:r>
    </w:p>
    <w:p w:rsidR="00BD6EEF"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18"/>
          <w:lang w:val="en-US"/>
        </w:rPr>
      </w:pPr>
      <w:r>
        <w:rPr>
          <w:sz w:val="20"/>
          <w:szCs w:val="18"/>
          <w:lang w:val="en-US"/>
        </w:rPr>
        <w:t xml:space="preserve">Analitis A., Barratt B., Green D., Beddows A., Samoli E., Schwartz J., Katsouyanni K. </w:t>
      </w:r>
      <w:r>
        <w:rPr>
          <w:rStyle w:val="a7"/>
          <w:b w:val="0"/>
          <w:sz w:val="20"/>
          <w:szCs w:val="18"/>
          <w:lang w:val="en-US"/>
        </w:rPr>
        <w:t>Prediction of PM2.5 concentrations at the locations of monitoring sites measuring PM10 and NOx, using generalized additive models and machine learning methods: A case study in London</w:t>
      </w:r>
      <w:r>
        <w:rPr>
          <w:b/>
          <w:sz w:val="20"/>
          <w:szCs w:val="18"/>
          <w:lang w:val="en-US"/>
        </w:rPr>
        <w:t xml:space="preserve"> </w:t>
      </w:r>
      <w:r>
        <w:rPr>
          <w:sz w:val="20"/>
          <w:szCs w:val="18"/>
          <w:lang w:val="en-US"/>
        </w:rPr>
        <w:t xml:space="preserve">// </w:t>
      </w:r>
      <w:r>
        <w:rPr>
          <w:rStyle w:val="a5"/>
          <w:sz w:val="20"/>
          <w:szCs w:val="18"/>
          <w:lang w:val="en-US"/>
        </w:rPr>
        <w:t>Atmospheric Environment</w:t>
      </w:r>
      <w:r>
        <w:rPr>
          <w:sz w:val="20"/>
          <w:szCs w:val="18"/>
          <w:lang w:val="en-US"/>
        </w:rPr>
        <w:t>. — 2020. — Vol. 240. — P. 117757.</w:t>
      </w:r>
    </w:p>
    <w:p w:rsidR="00BD6EEF" w:rsidRPr="000428A5"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20"/>
          <w:lang w:val="en-US"/>
        </w:rPr>
      </w:pPr>
      <w:r>
        <w:rPr>
          <w:sz w:val="20"/>
          <w:szCs w:val="20"/>
          <w:lang w:val="en-US"/>
        </w:rPr>
        <w:t>Wang S., Ren Y., Xia B</w:t>
      </w:r>
      <w:r>
        <w:rPr>
          <w:b/>
          <w:sz w:val="20"/>
          <w:szCs w:val="20"/>
          <w:lang w:val="en-US"/>
        </w:rPr>
        <w:t xml:space="preserve">. </w:t>
      </w:r>
      <w:r>
        <w:rPr>
          <w:rStyle w:val="a7"/>
          <w:b w:val="0"/>
          <w:sz w:val="20"/>
          <w:szCs w:val="20"/>
          <w:lang w:val="en-US"/>
        </w:rPr>
        <w:t>PM2.5 and O3 concentration estimation based on interpretable machine learning</w:t>
      </w:r>
      <w:r>
        <w:rPr>
          <w:sz w:val="20"/>
          <w:szCs w:val="20"/>
          <w:lang w:val="en-US"/>
        </w:rPr>
        <w:t xml:space="preserve"> // </w:t>
      </w:r>
      <w:r>
        <w:rPr>
          <w:rStyle w:val="a5"/>
          <w:sz w:val="20"/>
          <w:szCs w:val="20"/>
          <w:lang w:val="en-US"/>
        </w:rPr>
        <w:t>Atmospheric Pollution Research</w:t>
      </w:r>
      <w:r>
        <w:rPr>
          <w:sz w:val="20"/>
          <w:szCs w:val="20"/>
          <w:lang w:val="en-US"/>
        </w:rPr>
        <w:t xml:space="preserve">. — 2023. — Vol. 14, Issue 9. — P. 101866. </w:t>
      </w:r>
      <w:hyperlink r:id="rId12" w:history="1">
        <w:r w:rsidR="000428A5" w:rsidRPr="00B345E7">
          <w:rPr>
            <w:rStyle w:val="a8"/>
            <w:sz w:val="20"/>
            <w:szCs w:val="20"/>
            <w:lang w:val="en-US"/>
          </w:rPr>
          <w:t>https://doi:10.1016/j.apr.2023.101866</w:t>
        </w:r>
      </w:hyperlink>
      <w:r w:rsidRPr="000428A5">
        <w:rPr>
          <w:sz w:val="20"/>
          <w:szCs w:val="20"/>
          <w:lang w:val="en-US"/>
        </w:rPr>
        <w:t>.</w:t>
      </w:r>
      <w:r w:rsidR="000428A5">
        <w:rPr>
          <w:sz w:val="20"/>
          <w:szCs w:val="20"/>
          <w:lang w:val="uz-Cyrl-UZ"/>
        </w:rPr>
        <w:t xml:space="preserve"> </w:t>
      </w:r>
    </w:p>
    <w:p w:rsidR="00BD6EEF"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18"/>
          <w:lang w:val="en-US"/>
        </w:rPr>
      </w:pPr>
      <w:r>
        <w:rPr>
          <w:sz w:val="20"/>
          <w:szCs w:val="18"/>
          <w:lang w:val="en-US"/>
        </w:rPr>
        <w:t xml:space="preserve">Balogun A.-L., Tella A., Baloo L., Adebisi N. </w:t>
      </w:r>
      <w:r>
        <w:rPr>
          <w:rStyle w:val="a7"/>
          <w:b w:val="0"/>
          <w:sz w:val="20"/>
          <w:szCs w:val="18"/>
          <w:lang w:val="en-US"/>
        </w:rPr>
        <w:t>A review of the inter-correlation of climate change, air pollution and urban sustainability using novel machine learning algorithms and spatial information science</w:t>
      </w:r>
      <w:r>
        <w:rPr>
          <w:sz w:val="20"/>
          <w:szCs w:val="18"/>
          <w:lang w:val="en-US"/>
        </w:rPr>
        <w:t xml:space="preserve"> // </w:t>
      </w:r>
      <w:r>
        <w:rPr>
          <w:rStyle w:val="a5"/>
          <w:sz w:val="20"/>
          <w:szCs w:val="18"/>
          <w:lang w:val="en-US"/>
        </w:rPr>
        <w:t>Urban Climate</w:t>
      </w:r>
      <w:r>
        <w:rPr>
          <w:sz w:val="20"/>
          <w:szCs w:val="18"/>
          <w:lang w:val="en-US"/>
        </w:rPr>
        <w:t>. — 2021. — Vol. 40. — P. 100989.</w:t>
      </w:r>
    </w:p>
    <w:p w:rsidR="00BD6EEF" w:rsidRDefault="00DB294D" w:rsidP="004D01E2">
      <w:pPr>
        <w:pStyle w:val="a6"/>
        <w:numPr>
          <w:ilvl w:val="0"/>
          <w:numId w:val="1"/>
        </w:numPr>
        <w:tabs>
          <w:tab w:val="clear" w:pos="425"/>
          <w:tab w:val="left" w:pos="142"/>
          <w:tab w:val="left" w:pos="284"/>
        </w:tabs>
        <w:spacing w:before="0" w:beforeAutospacing="0" w:after="0" w:afterAutospacing="0"/>
        <w:ind w:left="0" w:firstLine="0"/>
        <w:jc w:val="both"/>
        <w:rPr>
          <w:sz w:val="20"/>
          <w:szCs w:val="20"/>
          <w:lang w:val="en-US"/>
        </w:rPr>
      </w:pPr>
      <w:r>
        <w:rPr>
          <w:sz w:val="20"/>
          <w:szCs w:val="18"/>
          <w:lang w:val="en-US"/>
        </w:rPr>
        <w:t xml:space="preserve">Rybarczyk Y., Zalakeviciute R. </w:t>
      </w:r>
      <w:r>
        <w:rPr>
          <w:rStyle w:val="a7"/>
          <w:b w:val="0"/>
          <w:sz w:val="20"/>
          <w:szCs w:val="18"/>
          <w:lang w:val="en-US"/>
        </w:rPr>
        <w:t>Regression Models to Predict Air Pollution from Affordable Data Collections</w:t>
      </w:r>
      <w:r>
        <w:rPr>
          <w:sz w:val="20"/>
          <w:szCs w:val="18"/>
          <w:lang w:val="en-US"/>
        </w:rPr>
        <w:t xml:space="preserve"> // In: Farhadi H. (Ed.) </w:t>
      </w:r>
      <w:r>
        <w:rPr>
          <w:rStyle w:val="a5"/>
          <w:sz w:val="20"/>
          <w:szCs w:val="18"/>
          <w:lang w:val="en-US"/>
        </w:rPr>
        <w:t xml:space="preserve">Machine Learning – Advanced </w:t>
      </w:r>
      <w:r>
        <w:rPr>
          <w:rStyle w:val="a5"/>
          <w:sz w:val="20"/>
          <w:szCs w:val="20"/>
          <w:lang w:val="en-US"/>
        </w:rPr>
        <w:t>Techniques and Emerging Applications</w:t>
      </w:r>
      <w:r>
        <w:rPr>
          <w:sz w:val="20"/>
          <w:szCs w:val="20"/>
          <w:lang w:val="en-US"/>
        </w:rPr>
        <w:t xml:space="preserve">. — London: IntechOpen, 2017. — P. 1–20 </w:t>
      </w:r>
      <w:r w:rsidR="00C83538">
        <w:rPr>
          <w:sz w:val="20"/>
          <w:szCs w:val="20"/>
          <w:lang w:val="uz-Cyrl-UZ"/>
        </w:rPr>
        <w:t xml:space="preserve"> </w:t>
      </w:r>
      <w:hyperlink r:id="rId13" w:history="1">
        <w:r w:rsidR="00C83538" w:rsidRPr="00B345E7">
          <w:rPr>
            <w:rStyle w:val="a8"/>
            <w:sz w:val="20"/>
            <w:szCs w:val="20"/>
            <w:lang w:val="uz-Cyrl-UZ"/>
          </w:rPr>
          <w:t>https://</w:t>
        </w:r>
        <w:r w:rsidR="00C83538" w:rsidRPr="00B345E7">
          <w:rPr>
            <w:rStyle w:val="a8"/>
            <w:sz w:val="20"/>
            <w:szCs w:val="20"/>
            <w:lang w:val="en-US"/>
          </w:rPr>
          <w:t>doi:10.5772/intechopen.71848</w:t>
        </w:r>
      </w:hyperlink>
      <w:r>
        <w:rPr>
          <w:sz w:val="20"/>
          <w:szCs w:val="20"/>
          <w:lang w:val="en-US"/>
        </w:rPr>
        <w:t>.</w:t>
      </w:r>
      <w:r w:rsidR="00C83538">
        <w:rPr>
          <w:sz w:val="20"/>
          <w:szCs w:val="20"/>
          <w:lang w:val="uz-Cyrl-UZ"/>
        </w:rPr>
        <w:t xml:space="preserve">  </w:t>
      </w:r>
    </w:p>
    <w:p w:rsidR="00C83538" w:rsidRPr="002C1C69" w:rsidRDefault="00C83538" w:rsidP="004D01E2">
      <w:pPr>
        <w:numPr>
          <w:ilvl w:val="0"/>
          <w:numId w:val="1"/>
        </w:numPr>
        <w:tabs>
          <w:tab w:val="clear" w:pos="425"/>
          <w:tab w:val="left" w:pos="142"/>
          <w:tab w:val="left" w:pos="284"/>
        </w:tabs>
        <w:spacing w:after="0" w:line="240" w:lineRule="auto"/>
        <w:ind w:left="0" w:firstLine="0"/>
        <w:jc w:val="both"/>
        <w:rPr>
          <w:rStyle w:val="a8"/>
          <w:rFonts w:ascii="Times New Roman" w:hAnsi="Times New Roman"/>
          <w:b/>
          <w:bCs/>
          <w:sz w:val="20"/>
          <w:szCs w:val="20"/>
        </w:rPr>
      </w:pPr>
      <w:bookmarkStart w:id="0" w:name="_Hlk216898570"/>
      <w:bookmarkStart w:id="1" w:name="_Hlk216899122"/>
      <w:r w:rsidRPr="00C83538">
        <w:rPr>
          <w:rStyle w:val="a8"/>
          <w:rFonts w:ascii="Times New Roman" w:hAnsi="Times New Roman"/>
          <w:color w:val="auto"/>
          <w:sz w:val="20"/>
          <w:szCs w:val="20"/>
          <w:u w:val="none"/>
          <w:lang w:val="uz-Cyrl-UZ"/>
        </w:rPr>
        <w:t>Jumaniyozov, K., Urozov, M., Toshbekov, O., Salimova, M., Raximova, K., &amp; Khursandova, B. (2025, November). Enhancement of energy-efficient cleaning equipment. In American Institute of Physics Conference Series (Vol. 3331, No. 1, p. 050007).</w:t>
      </w:r>
      <w:r w:rsidRPr="00C83538">
        <w:rPr>
          <w:rStyle w:val="a8"/>
          <w:rFonts w:ascii="Times New Roman" w:hAnsi="Times New Roman"/>
          <w:color w:val="auto"/>
          <w:sz w:val="20"/>
          <w:szCs w:val="20"/>
          <w:lang w:val="uz-Cyrl-UZ"/>
        </w:rPr>
        <w:t xml:space="preserve"> </w:t>
      </w:r>
      <w:hyperlink r:id="rId14" w:history="1">
        <w:bookmarkStart w:id="2" w:name="_Hlk216900158"/>
        <w:r w:rsidRPr="003C22A0">
          <w:rPr>
            <w:rStyle w:val="a8"/>
            <w:rFonts w:ascii="Times New Roman" w:hAnsi="Times New Roman"/>
            <w:sz w:val="20"/>
            <w:szCs w:val="20"/>
            <w:lang w:val="uz-Cyrl-UZ"/>
          </w:rPr>
          <w:t>https://</w:t>
        </w:r>
        <w:bookmarkEnd w:id="2"/>
        <w:r w:rsidRPr="003C22A0">
          <w:rPr>
            <w:rStyle w:val="a8"/>
            <w:rFonts w:ascii="Times New Roman" w:hAnsi="Times New Roman"/>
            <w:sz w:val="20"/>
            <w:szCs w:val="20"/>
            <w:lang w:val="uz-Cyrl-UZ"/>
          </w:rPr>
          <w:t>doi.org/1</w:t>
        </w:r>
        <w:r w:rsidRPr="003C22A0">
          <w:rPr>
            <w:rStyle w:val="a8"/>
            <w:rFonts w:ascii="Times New Roman" w:hAnsi="Times New Roman"/>
            <w:sz w:val="20"/>
            <w:szCs w:val="20"/>
            <w:lang w:val="uz-Cyrl-UZ"/>
          </w:rPr>
          <w:t>0</w:t>
        </w:r>
        <w:r w:rsidRPr="003C22A0">
          <w:rPr>
            <w:rStyle w:val="a8"/>
            <w:rFonts w:ascii="Times New Roman" w:hAnsi="Times New Roman"/>
            <w:sz w:val="20"/>
            <w:szCs w:val="20"/>
            <w:lang w:val="uz-Cyrl-UZ"/>
          </w:rPr>
          <w:t>.1063/5.0307149</w:t>
        </w:r>
      </w:hyperlink>
    </w:p>
    <w:p w:rsidR="00BD6EEF" w:rsidRPr="00104046" w:rsidRDefault="00C83538" w:rsidP="004D01E2">
      <w:pPr>
        <w:numPr>
          <w:ilvl w:val="0"/>
          <w:numId w:val="1"/>
        </w:numPr>
        <w:tabs>
          <w:tab w:val="clear" w:pos="425"/>
          <w:tab w:val="left" w:pos="142"/>
          <w:tab w:val="left" w:pos="284"/>
        </w:tabs>
        <w:spacing w:after="0" w:line="240" w:lineRule="auto"/>
        <w:ind w:left="0" w:firstLine="0"/>
        <w:jc w:val="both"/>
        <w:rPr>
          <w:rFonts w:ascii="Times New Roman" w:hAnsi="Times New Roman"/>
          <w:b/>
          <w:sz w:val="28"/>
          <w:szCs w:val="28"/>
          <w:lang w:val="en-US"/>
        </w:rPr>
      </w:pPr>
      <w:r w:rsidRPr="00104046">
        <w:rPr>
          <w:rStyle w:val="a8"/>
          <w:rFonts w:ascii="Times New Roman" w:hAnsi="Times New Roman"/>
          <w:color w:val="auto"/>
          <w:sz w:val="20"/>
          <w:szCs w:val="20"/>
          <w:u w:val="none"/>
          <w:lang w:val="uz-Cyrl-UZ"/>
        </w:rPr>
        <w:t>Sultonova, F., Toshbekov, O., Urozov, M., Boymurova, N., Mustanova, Z., &amp; Boltaeva, I. (2025, November). Enhancing and evaluating the characteristics of specialized workwear for employees in the electric power supply sector. In American Institute of Physics Conference Series (Vol. 3331, No. 1, p. 050006).</w:t>
      </w:r>
      <w:r w:rsidRPr="00104046">
        <w:rPr>
          <w:rStyle w:val="a8"/>
          <w:rFonts w:ascii="Times New Roman" w:hAnsi="Times New Roman"/>
          <w:color w:val="auto"/>
          <w:sz w:val="20"/>
          <w:szCs w:val="20"/>
          <w:lang w:val="uz-Cyrl-UZ"/>
        </w:rPr>
        <w:t xml:space="preserve">  </w:t>
      </w:r>
      <w:hyperlink r:id="rId15" w:history="1">
        <w:r w:rsidRPr="00104046">
          <w:rPr>
            <w:rStyle w:val="a8"/>
            <w:rFonts w:ascii="Times New Roman" w:hAnsi="Times New Roman"/>
            <w:sz w:val="20"/>
            <w:szCs w:val="20"/>
            <w:lang w:val="uz-Cyrl-UZ"/>
          </w:rPr>
          <w:t>https://doi.org/10.1</w:t>
        </w:r>
        <w:r w:rsidRPr="00104046">
          <w:rPr>
            <w:rStyle w:val="a8"/>
            <w:rFonts w:ascii="Times New Roman" w:hAnsi="Times New Roman"/>
            <w:sz w:val="20"/>
            <w:szCs w:val="20"/>
            <w:lang w:val="uz-Cyrl-UZ"/>
          </w:rPr>
          <w:t>0</w:t>
        </w:r>
        <w:r w:rsidRPr="00104046">
          <w:rPr>
            <w:rStyle w:val="a8"/>
            <w:rFonts w:ascii="Times New Roman" w:hAnsi="Times New Roman"/>
            <w:sz w:val="20"/>
            <w:szCs w:val="20"/>
            <w:lang w:val="uz-Cyrl-UZ"/>
          </w:rPr>
          <w:t>63/5.0306350</w:t>
        </w:r>
      </w:hyperlink>
      <w:bookmarkEnd w:id="1"/>
      <w:r w:rsidRPr="00104046">
        <w:rPr>
          <w:rStyle w:val="a8"/>
          <w:rFonts w:ascii="Times New Roman" w:hAnsi="Times New Roman"/>
          <w:sz w:val="20"/>
          <w:szCs w:val="20"/>
          <w:lang w:val="uz-Cyrl-UZ"/>
        </w:rPr>
        <w:t xml:space="preserve"> </w:t>
      </w:r>
      <w:bookmarkEnd w:id="0"/>
    </w:p>
    <w:sectPr w:rsidR="00BD6EEF" w:rsidRPr="00104046" w:rsidSect="00C07FEC">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7875" w:rsidRDefault="004A7875">
      <w:pPr>
        <w:spacing w:line="240" w:lineRule="auto"/>
      </w:pPr>
      <w:r>
        <w:separator/>
      </w:r>
    </w:p>
  </w:endnote>
  <w:endnote w:type="continuationSeparator" w:id="0">
    <w:p w:rsidR="004A7875" w:rsidRDefault="004A78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7875" w:rsidRDefault="004A7875">
      <w:pPr>
        <w:spacing w:after="0"/>
      </w:pPr>
      <w:r>
        <w:separator/>
      </w:r>
    </w:p>
  </w:footnote>
  <w:footnote w:type="continuationSeparator" w:id="0">
    <w:p w:rsidR="004A7875" w:rsidRDefault="004A787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80BE02"/>
    <w:multiLevelType w:val="singleLevel"/>
    <w:tmpl w:val="8AD81222"/>
    <w:lvl w:ilvl="0">
      <w:start w:val="1"/>
      <w:numFmt w:val="decimal"/>
      <w:lvlText w:val="%1."/>
      <w:lvlJc w:val="left"/>
      <w:pPr>
        <w:tabs>
          <w:tab w:val="left" w:pos="425"/>
        </w:tabs>
        <w:ind w:left="425" w:hanging="425"/>
      </w:pPr>
      <w:rPr>
        <w:rFonts w:hint="default"/>
        <w:b w:val="0"/>
        <w:color w:val="auto"/>
        <w:sz w:val="20"/>
        <w:szCs w:val="20"/>
      </w:rPr>
    </w:lvl>
  </w:abstractNum>
  <w:abstractNum w:abstractNumId="1"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5509095">
    <w:abstractNumId w:val="0"/>
  </w:num>
  <w:num w:numId="2" w16cid:durableId="19176617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A02"/>
    <w:rsid w:val="00014F62"/>
    <w:rsid w:val="0002547F"/>
    <w:rsid w:val="000428A5"/>
    <w:rsid w:val="00095C1B"/>
    <w:rsid w:val="000C226E"/>
    <w:rsid w:val="000D1E85"/>
    <w:rsid w:val="00104046"/>
    <w:rsid w:val="00192304"/>
    <w:rsid w:val="001D04DF"/>
    <w:rsid w:val="00217EC4"/>
    <w:rsid w:val="00226AB4"/>
    <w:rsid w:val="00231D71"/>
    <w:rsid w:val="002507E5"/>
    <w:rsid w:val="00263BBE"/>
    <w:rsid w:val="002D0ED7"/>
    <w:rsid w:val="003027CF"/>
    <w:rsid w:val="00343E73"/>
    <w:rsid w:val="0036288A"/>
    <w:rsid w:val="003D5326"/>
    <w:rsid w:val="004057CC"/>
    <w:rsid w:val="00455231"/>
    <w:rsid w:val="004A0FC2"/>
    <w:rsid w:val="004A7875"/>
    <w:rsid w:val="004C27D9"/>
    <w:rsid w:val="004D01E2"/>
    <w:rsid w:val="004E6439"/>
    <w:rsid w:val="005F76EF"/>
    <w:rsid w:val="006524CC"/>
    <w:rsid w:val="00676AE3"/>
    <w:rsid w:val="007B14E2"/>
    <w:rsid w:val="00813EE8"/>
    <w:rsid w:val="008477FE"/>
    <w:rsid w:val="00850610"/>
    <w:rsid w:val="009273F8"/>
    <w:rsid w:val="0093480F"/>
    <w:rsid w:val="009C766E"/>
    <w:rsid w:val="00A45F2E"/>
    <w:rsid w:val="00A94B61"/>
    <w:rsid w:val="00AC70F7"/>
    <w:rsid w:val="00AD6FDC"/>
    <w:rsid w:val="00AE594A"/>
    <w:rsid w:val="00BD6B74"/>
    <w:rsid w:val="00BD6EEF"/>
    <w:rsid w:val="00BE3B16"/>
    <w:rsid w:val="00C07FEC"/>
    <w:rsid w:val="00C83538"/>
    <w:rsid w:val="00CD695E"/>
    <w:rsid w:val="00D672FF"/>
    <w:rsid w:val="00D7143D"/>
    <w:rsid w:val="00DA2E24"/>
    <w:rsid w:val="00DB294D"/>
    <w:rsid w:val="00E03FFD"/>
    <w:rsid w:val="00E04155"/>
    <w:rsid w:val="00E90D14"/>
    <w:rsid w:val="00EB018E"/>
    <w:rsid w:val="00F27A38"/>
    <w:rsid w:val="00F62A02"/>
    <w:rsid w:val="00F81661"/>
    <w:rsid w:val="00F82469"/>
    <w:rsid w:val="2943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D7372D-1B01-4B0A-BE93-171F3DC0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styleId="a5">
    <w:name w:val="Emphasis"/>
    <w:uiPriority w:val="20"/>
    <w:qFormat/>
    <w:rPr>
      <w:i/>
      <w:iCs/>
    </w:rPr>
  </w:style>
  <w:style w:type="paragraph" w:styleId="a6">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Strong"/>
    <w:uiPriority w:val="22"/>
    <w:qFormat/>
    <w:rPr>
      <w:b/>
      <w:bCs/>
    </w:rPr>
  </w:style>
  <w:style w:type="character" w:customStyle="1" w:styleId="a4">
    <w:name w:val="Текст выноски Знак"/>
    <w:link w:val="a3"/>
    <w:uiPriority w:val="99"/>
    <w:semiHidden/>
    <w:rPr>
      <w:rFonts w:ascii="Tahoma" w:hAnsi="Tahoma" w:cs="Tahoma"/>
      <w:sz w:val="16"/>
      <w:szCs w:val="16"/>
    </w:rPr>
  </w:style>
  <w:style w:type="character" w:styleId="a8">
    <w:name w:val="Hyperlink"/>
    <w:uiPriority w:val="99"/>
    <w:unhideWhenUsed/>
    <w:rsid w:val="00231D71"/>
    <w:rPr>
      <w:color w:val="0000FF"/>
      <w:u w:val="single"/>
    </w:rPr>
  </w:style>
  <w:style w:type="character" w:styleId="a9">
    <w:name w:val="Unresolved Mention"/>
    <w:uiPriority w:val="99"/>
    <w:semiHidden/>
    <w:unhideWhenUsed/>
    <w:rsid w:val="000428A5"/>
    <w:rPr>
      <w:color w:val="605E5C"/>
      <w:shd w:val="clear" w:color="auto" w:fill="E1DFDD"/>
    </w:rPr>
  </w:style>
  <w:style w:type="character" w:styleId="aa">
    <w:name w:val="FollowedHyperlink"/>
    <w:uiPriority w:val="99"/>
    <w:semiHidden/>
    <w:unhideWhenUsed/>
    <w:rsid w:val="00C83538"/>
    <w:rPr>
      <w:color w:val="800080"/>
      <w:u w:val="single"/>
    </w:rPr>
  </w:style>
  <w:style w:type="character" w:customStyle="1" w:styleId="fontstyle01">
    <w:name w:val="fontstyle01"/>
    <w:rsid w:val="0002547F"/>
    <w:rPr>
      <w:rFonts w:ascii="TimesNewRomanPS-BoldMT" w:hAnsi="TimesNewRomanPS-BoldMT" w:hint="default"/>
      <w:b/>
      <w:bCs/>
      <w:i w:val="0"/>
      <w:iCs w:val="0"/>
      <w:color w:val="000000"/>
      <w:sz w:val="24"/>
      <w:szCs w:val="24"/>
    </w:rPr>
  </w:style>
  <w:style w:type="paragraph" w:styleId="ab">
    <w:name w:val="List Paragraph"/>
    <w:aliases w:val="Абзац вправо-1,List Paragraph1"/>
    <w:basedOn w:val="a"/>
    <w:link w:val="ac"/>
    <w:uiPriority w:val="34"/>
    <w:qFormat/>
    <w:rsid w:val="00EB018E"/>
    <w:pPr>
      <w:spacing w:after="160" w:line="259" w:lineRule="auto"/>
      <w:ind w:left="720"/>
      <w:contextualSpacing/>
    </w:pPr>
    <w:rPr>
      <w:lang w:val="en-US"/>
    </w:rPr>
  </w:style>
  <w:style w:type="character" w:customStyle="1" w:styleId="ac">
    <w:name w:val="Абзац списка Знак"/>
    <w:aliases w:val="Абзац вправо-1 Знак,List Paragraph1 Знак"/>
    <w:link w:val="ab"/>
    <w:uiPriority w:val="34"/>
    <w:locked/>
    <w:rsid w:val="00EB018E"/>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10.5772/intechopen.71848" TargetMode="External"/><Relationship Id="rId3" Type="http://schemas.openxmlformats.org/officeDocument/2006/relationships/settings" Target="settings.xml"/><Relationship Id="rId7" Type="http://schemas.openxmlformats.org/officeDocument/2006/relationships/hyperlink" Target="mailto:ruzigultuhtayevna@gmail.com" TargetMode="External"/><Relationship Id="rId12" Type="http://schemas.openxmlformats.org/officeDocument/2006/relationships/hyperlink" Target="https://doi:10.1016/j.apr.2023.10186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10.1016/S1352-2310(00)00073-X" TargetMode="External"/><Relationship Id="rId5" Type="http://schemas.openxmlformats.org/officeDocument/2006/relationships/footnotes" Target="footnotes.xml"/><Relationship Id="rId15" Type="http://schemas.openxmlformats.org/officeDocument/2006/relationships/hyperlink" Target="https://doi.org/10.1063/5.0306350"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3071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1737</Words>
  <Characters>9901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11615</CharactersWithSpaces>
  <SharedDoc>false</SharedDoc>
  <HLinks>
    <vt:vector size="36" baseType="variant">
      <vt:variant>
        <vt:i4>720991</vt:i4>
      </vt:variant>
      <vt:variant>
        <vt:i4>15</vt:i4>
      </vt:variant>
      <vt:variant>
        <vt:i4>0</vt:i4>
      </vt:variant>
      <vt:variant>
        <vt:i4>5</vt:i4>
      </vt:variant>
      <vt:variant>
        <vt:lpwstr>https://doi.org/10.1063/5.0306350</vt:lpwstr>
      </vt:variant>
      <vt:variant>
        <vt:lpwstr/>
      </vt:variant>
      <vt:variant>
        <vt:i4>720989</vt:i4>
      </vt:variant>
      <vt:variant>
        <vt:i4>12</vt:i4>
      </vt:variant>
      <vt:variant>
        <vt:i4>0</vt:i4>
      </vt:variant>
      <vt:variant>
        <vt:i4>5</vt:i4>
      </vt:variant>
      <vt:variant>
        <vt:lpwstr>https://doi.org/10.1063/5.0307149</vt:lpwstr>
      </vt:variant>
      <vt:variant>
        <vt:lpwstr/>
      </vt:variant>
      <vt:variant>
        <vt:i4>1245192</vt:i4>
      </vt:variant>
      <vt:variant>
        <vt:i4>9</vt:i4>
      </vt:variant>
      <vt:variant>
        <vt:i4>0</vt:i4>
      </vt:variant>
      <vt:variant>
        <vt:i4>5</vt:i4>
      </vt:variant>
      <vt:variant>
        <vt:lpwstr>https://doi:10.5772/intechopen.71848</vt:lpwstr>
      </vt:variant>
      <vt:variant>
        <vt:lpwstr/>
      </vt:variant>
      <vt:variant>
        <vt:i4>1966091</vt:i4>
      </vt:variant>
      <vt:variant>
        <vt:i4>6</vt:i4>
      </vt:variant>
      <vt:variant>
        <vt:i4>0</vt:i4>
      </vt:variant>
      <vt:variant>
        <vt:i4>5</vt:i4>
      </vt:variant>
      <vt:variant>
        <vt:lpwstr>https://doi:10.1016/j.apr.2023.101866</vt:lpwstr>
      </vt:variant>
      <vt:variant>
        <vt:lpwstr/>
      </vt:variant>
      <vt:variant>
        <vt:i4>4325390</vt:i4>
      </vt:variant>
      <vt:variant>
        <vt:i4>3</vt:i4>
      </vt:variant>
      <vt:variant>
        <vt:i4>0</vt:i4>
      </vt:variant>
      <vt:variant>
        <vt:i4>5</vt:i4>
      </vt:variant>
      <vt:variant>
        <vt:lpwstr>https://doi:10.1016/S1352-2310(00)00073-X</vt:lpwstr>
      </vt:variant>
      <vt:variant>
        <vt:lpwstr/>
      </vt:variant>
      <vt:variant>
        <vt:i4>6946896</vt:i4>
      </vt:variant>
      <vt:variant>
        <vt:i4>0</vt:i4>
      </vt:variant>
      <vt:variant>
        <vt:i4>0</vt:i4>
      </vt:variant>
      <vt:variant>
        <vt:i4>5</vt:i4>
      </vt:variant>
      <vt:variant>
        <vt:lpwstr>mailto:ruzigultuhtayevna@gmail.com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Dilmurod Arabov</dc:creator>
  <cp:keywords/>
  <cp:lastModifiedBy>Пользователь</cp:lastModifiedBy>
  <cp:revision>2</cp:revision>
  <dcterms:created xsi:type="dcterms:W3CDTF">2026-01-09T16:12:00Z</dcterms:created>
  <dcterms:modified xsi:type="dcterms:W3CDTF">2026-01-09T16:12:00Z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2A1012BE688141728706C9C74C2203DF_13</vt:lpwstr>
  </property>
</Properties>
</file>