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034CD108" w:rsidR="0016385D" w:rsidRPr="00075EA6" w:rsidRDefault="00EE7C83" w:rsidP="00EE7C83">
      <w:pPr>
        <w:pStyle w:val="PaperTitle"/>
        <w:spacing w:before="0"/>
        <w:jc w:val="left"/>
        <w:rPr>
          <w:b w:val="0"/>
          <w:bCs/>
          <w:sz w:val="24"/>
          <w:szCs w:val="24"/>
        </w:rPr>
      </w:pPr>
      <w:r w:rsidRPr="00EE7C83">
        <w:rPr>
          <w:lang w:val="en"/>
        </w:rPr>
        <w:t>Comprehensive Analysis of the Social, Economic, and Technical Impacts of an Electric Motorcycle in Bangladesh</w:t>
      </w:r>
      <w:r>
        <w:t xml:space="preserve"> </w:t>
      </w:r>
      <w:r w:rsidR="00BE5FD1" w:rsidRPr="002B5648">
        <w:t xml:space="preserve"> </w:t>
      </w:r>
    </w:p>
    <w:p w14:paraId="56D8C2E1" w14:textId="1F58396D" w:rsidR="00C14B14" w:rsidRPr="003B0050" w:rsidRDefault="00E473F5" w:rsidP="00E473F5">
      <w:pPr>
        <w:pStyle w:val="AuthorName"/>
        <w:rPr>
          <w:sz w:val="20"/>
          <w:lang w:val="en-GB" w:eastAsia="en-GB"/>
        </w:rPr>
      </w:pPr>
      <w:r w:rsidRPr="00E473F5">
        <w:t xml:space="preserve">Debojoti Paul Ananyo¹, a), Mohammad </w:t>
      </w:r>
      <w:proofErr w:type="spellStart"/>
      <w:r w:rsidRPr="00E473F5">
        <w:t>Rejwan</w:t>
      </w:r>
      <w:proofErr w:type="spellEnd"/>
      <w:r w:rsidRPr="00E473F5">
        <w:t xml:space="preserve"> Uddin¹, b), </w:t>
      </w:r>
      <w:proofErr w:type="spellStart"/>
      <w:r w:rsidRPr="00E473F5">
        <w:t>Md</w:t>
      </w:r>
      <w:proofErr w:type="spellEnd"/>
      <w:r w:rsidRPr="00E473F5">
        <w:t xml:space="preserve"> </w:t>
      </w:r>
      <w:proofErr w:type="spellStart"/>
      <w:r w:rsidRPr="00E473F5">
        <w:t>Mohiuddin</w:t>
      </w:r>
      <w:proofErr w:type="spellEnd"/>
      <w:r w:rsidRPr="00E473F5">
        <w:t xml:space="preserve"> Shuvo¹, c), and </w:t>
      </w:r>
      <w:proofErr w:type="spellStart"/>
      <w:r w:rsidRPr="00E473F5">
        <w:t>Khosru</w:t>
      </w:r>
      <w:proofErr w:type="spellEnd"/>
      <w:r w:rsidRPr="00E473F5">
        <w:t xml:space="preserve"> Mohammad Salim¹, d)</w:t>
      </w:r>
    </w:p>
    <w:p w14:paraId="771D6B6C" w14:textId="018C197C" w:rsidR="00C14B14" w:rsidRPr="00E473F5" w:rsidRDefault="00E473F5" w:rsidP="00E473F5">
      <w:pPr>
        <w:pStyle w:val="AuthorAffiliation"/>
      </w:pPr>
      <w:r w:rsidRPr="00E473F5">
        <w:t xml:space="preserve">Department of Electrical and Electronic Engineering, Independent University, Bangladesh, </w:t>
      </w:r>
      <w:proofErr w:type="spellStart"/>
      <w:r w:rsidRPr="00E473F5">
        <w:t>Bashundhara</w:t>
      </w:r>
      <w:proofErr w:type="spellEnd"/>
      <w:r w:rsidRPr="00E473F5">
        <w:t xml:space="preserve"> Residential Area, Dhaka 1229, Bangladesh.</w:t>
      </w:r>
    </w:p>
    <w:p w14:paraId="3EAF16AE" w14:textId="5CB55D9B" w:rsidR="00C14B14" w:rsidRPr="00CE3928" w:rsidRDefault="00C14B14" w:rsidP="00C14B14">
      <w:pPr>
        <w:pStyle w:val="AuthorAffiliation"/>
      </w:pPr>
    </w:p>
    <w:p w14:paraId="5E05E235" w14:textId="26A93CDD" w:rsidR="003A5C85" w:rsidRPr="00C67519" w:rsidRDefault="00CE3928" w:rsidP="00C67519">
      <w:pPr>
        <w:pStyle w:val="AuthorEmail"/>
        <w:rPr>
          <w:bCs/>
          <w:i/>
          <w:iCs/>
        </w:rPr>
      </w:pPr>
      <w:r w:rsidRPr="00CE3928">
        <w:rPr>
          <w:bCs/>
          <w:i/>
          <w:iCs/>
        </w:rPr>
        <w:t>a) Correspo</w:t>
      </w:r>
      <w:r w:rsidR="00FC6DC1">
        <w:rPr>
          <w:bCs/>
          <w:i/>
          <w:iCs/>
        </w:rPr>
        <w:t>nding author: paulananyoeee@gmail.com</w:t>
      </w:r>
      <w:r w:rsidRPr="00CE3928">
        <w:rPr>
          <w:i/>
          <w:iCs/>
        </w:rPr>
        <w:br/>
      </w:r>
      <w:r w:rsidRPr="00CE3928">
        <w:rPr>
          <w:bCs/>
          <w:i/>
          <w:iCs/>
        </w:rPr>
        <w:t>b) rejwan@iub.edu.bd</w:t>
      </w:r>
      <w:r w:rsidRPr="00CE3928">
        <w:rPr>
          <w:i/>
          <w:iCs/>
        </w:rPr>
        <w:br/>
      </w:r>
      <w:r w:rsidR="005E4660">
        <w:rPr>
          <w:bCs/>
          <w:i/>
          <w:iCs/>
        </w:rPr>
        <w:t xml:space="preserve">c) </w:t>
      </w:r>
      <w:r w:rsidR="005E4660" w:rsidRPr="005E4660">
        <w:rPr>
          <w:bCs/>
          <w:i/>
          <w:iCs/>
        </w:rPr>
        <w:t>Mohiuddinshuvo15@gmail.com</w:t>
      </w:r>
      <w:r w:rsidRPr="00CE3928">
        <w:rPr>
          <w:i/>
          <w:iCs/>
        </w:rPr>
        <w:br/>
      </w:r>
      <w:r w:rsidRPr="00CE3928">
        <w:rPr>
          <w:bCs/>
          <w:i/>
          <w:iCs/>
        </w:rPr>
        <w:t>d) khosru@iub.edu.bd</w:t>
      </w:r>
    </w:p>
    <w:p w14:paraId="391E9902" w14:textId="2466089A" w:rsidR="00CA0E30" w:rsidRPr="00CA0E30" w:rsidRDefault="0016385D" w:rsidP="00B32660">
      <w:pPr>
        <w:pStyle w:val="Default"/>
        <w:jc w:val="both"/>
      </w:pPr>
      <w:r w:rsidRPr="00B32660">
        <w:rPr>
          <w:b/>
          <w:bCs/>
          <w:sz w:val="18"/>
          <w:szCs w:val="18"/>
        </w:rPr>
        <w:t>Abstract</w:t>
      </w:r>
      <w:r w:rsidR="00374AA7" w:rsidRPr="00B32660">
        <w:rPr>
          <w:b/>
          <w:bCs/>
          <w:sz w:val="18"/>
          <w:szCs w:val="18"/>
        </w:rPr>
        <w:t>.</w:t>
      </w:r>
      <w:r w:rsidR="00A5321E" w:rsidRPr="00A5321E">
        <w:t xml:space="preserve"> </w:t>
      </w:r>
      <w:r w:rsidR="00A5321E" w:rsidRPr="00A5321E">
        <w:rPr>
          <w:bCs/>
          <w:sz w:val="18"/>
          <w:szCs w:val="18"/>
        </w:rPr>
        <w:t xml:space="preserve">Electric motorcycles are a cleaner, inexpensive alternative to conventional motorcycles, offering zero tailpipe emissions and reduced air and noise pollution. </w:t>
      </w:r>
      <w:r w:rsidR="00020414">
        <w:rPr>
          <w:sz w:val="18"/>
          <w:szCs w:val="18"/>
        </w:rPr>
        <w:t>However, existing research has often overlooked practical aspects such as market dynamics, user acceptance, and rider income and real-world performance data. This study addresses these gaps by systematically evaluating technical specifications, user satisfaction, product comparisons, and the impacts of different motor and battery configurations on operational costs, CO₂ emissions, sustainability, and the and the financial outcomes for riders using motorcycles as a source of income. Data on battery capacity, motor type, speed, and range were collected from regional companies, service centers, and motorcycle operators engaged in passenger transport services. This dataset was further enriched through stakeholder interviews and social media analysis. The analysis reveals that the majority of electric motorcycles are equipped with 1500W BLDC hub motors and lead-acid batteries, offering an optimal balance between cost and performance. While larger batteries increase both range and power, higher motor output contributes to enhanced speed. Findings indicate that electric motorcycles can reduce daily CO₂ emissions by approximately 68.2% and lower operational costs by over 84%, leading to significant economic gains. Riders can save an estimated TK 3,500 per month—equivalent to 13–16% of monthly revenue, depending on geographic location. The study underscores the environmental, economic, and social advantages of electric motorcycles, particularly for low- and middle-income users in urban, semi-urban, and rural areas of Bangladesh, reinforcing their potential as a sustainable mobility solution.</w:t>
      </w:r>
    </w:p>
    <w:p w14:paraId="25E2A4CE" w14:textId="6E796252" w:rsidR="00DA470B" w:rsidRDefault="00DE2294" w:rsidP="006678F3">
      <w:pPr>
        <w:pStyle w:val="Heading1"/>
      </w:pPr>
      <w:r>
        <w:t>INtroduction</w:t>
      </w:r>
    </w:p>
    <w:p w14:paraId="2C391A95" w14:textId="168F111A" w:rsidR="009B77EC" w:rsidRDefault="006218EA" w:rsidP="00451B47">
      <w:pPr>
        <w:pStyle w:val="Paragraph"/>
        <w:rPr>
          <w:lang w:val="en"/>
        </w:rPr>
      </w:pPr>
      <w:r>
        <w:rPr>
          <w:lang w:val="en"/>
        </w:rPr>
        <w:t xml:space="preserve">Motorcycles play an important function </w:t>
      </w:r>
      <w:r w:rsidR="009B77EC" w:rsidRPr="009B77EC">
        <w:rPr>
          <w:lang w:val="en"/>
        </w:rPr>
        <w:t>in transportation across</w:t>
      </w:r>
      <w:r>
        <w:rPr>
          <w:lang w:val="en"/>
        </w:rPr>
        <w:t xml:space="preserve"> Bangladesh. People usually use motorcycle for </w:t>
      </w:r>
      <w:r w:rsidRPr="009B77EC">
        <w:rPr>
          <w:lang w:val="en"/>
        </w:rPr>
        <w:t>not</w:t>
      </w:r>
      <w:r w:rsidR="009B77EC" w:rsidRPr="009B77EC">
        <w:rPr>
          <w:lang w:val="en"/>
        </w:rPr>
        <w:t xml:space="preserve"> only for personal mobility but also as a source of income. In both urban and rur</w:t>
      </w:r>
      <w:r>
        <w:rPr>
          <w:lang w:val="en"/>
        </w:rPr>
        <w:t xml:space="preserve">al areas, many riders </w:t>
      </w:r>
      <w:r>
        <w:t xml:space="preserve">carry passengers to earn money </w:t>
      </w:r>
      <w:r w:rsidR="009B77EC" w:rsidRPr="009B77EC">
        <w:rPr>
          <w:lang w:val="en"/>
        </w:rPr>
        <w:t>and support their families through this occupation.</w:t>
      </w:r>
      <w:r w:rsidR="00944E49">
        <w:t xml:space="preserve"> </w:t>
      </w:r>
      <w:r w:rsidR="00944E49" w:rsidRPr="00944E49">
        <w:t>But there are certain problems with motorcycles that run on regular fuel. They need a lot of maintenance, cost a lot of money to run, and pollute the environment a lot by releasing a lot of CO₂.</w:t>
      </w:r>
      <w:r w:rsidR="00944E49">
        <w:t xml:space="preserve"> </w:t>
      </w:r>
      <w:r w:rsidR="009B77EC" w:rsidRPr="009B77EC">
        <w:rPr>
          <w:lang w:val="en"/>
        </w:rPr>
        <w:t xml:space="preserve"> </w:t>
      </w:r>
      <w:r w:rsidR="000D54A5" w:rsidRPr="000D54A5">
        <w:rPr>
          <w:lang w:val="en"/>
        </w:rPr>
        <w:t>Electric motorcycles could be a viable alternative. The global adoption of electric vehicles is rising due to their lower maintenance costs and minimal environmental impact. These vehicles are more economical to operate and do not emit harmful gases. Electric motorcycles in Bangladesh may offer advantages in both urban and rural settings. Compared to auto-rickshaws, they provide greater flexibility and affordability. Individuals can reduce expenses by shifting to electric motorcycles. Riders engaged in passenger transport may also increase their earnings and improve their financial conditions.</w:t>
      </w:r>
      <w:r w:rsidR="000D54A5">
        <w:rPr>
          <w:lang w:val="en"/>
        </w:rPr>
        <w:t xml:space="preserve"> </w:t>
      </w:r>
    </w:p>
    <w:p w14:paraId="511930CD" w14:textId="26644096" w:rsidR="008E42B6" w:rsidRPr="005A3A7A" w:rsidRDefault="00426E7C" w:rsidP="00CF7879">
      <w:pPr>
        <w:pStyle w:val="Paragraph"/>
      </w:pPr>
      <w:r w:rsidRPr="00426E7C">
        <w:t>The market for electric vehicles (EVs) around the world is increasing rapidly. There are more than 250 million electric two- and three-wheelers in the world, and most of them are in Asia.</w:t>
      </w:r>
      <w:r w:rsidR="008E42B6" w:rsidRPr="00426E7C">
        <w:t xml:space="preserve"> </w:t>
      </w:r>
      <w:r w:rsidR="008E42B6">
        <w:t>[1].</w:t>
      </w:r>
      <w:r>
        <w:t xml:space="preserve"> </w:t>
      </w:r>
      <w:r w:rsidRPr="00426E7C">
        <w:t>Several things contribute to this rise, including higher fuel prices, less expensive maintenance costs, government subsidies, and more worries about air pollution and carbon emissions. In India, for instance, electric motorcycles are predicted to make up 15% of total sales by 2025, due to programs like FAME-II and the growth of charging stations.</w:t>
      </w:r>
      <w:r w:rsidR="008E42B6" w:rsidRPr="00426E7C">
        <w:t xml:space="preserve"> </w:t>
      </w:r>
      <w:r w:rsidR="008E42B6">
        <w:t xml:space="preserve">[2]. </w:t>
      </w:r>
      <w:r w:rsidR="005A3A7A" w:rsidRPr="005A3A7A">
        <w:t>There has also been an increase in the production of electric motorcycles in the country, which has made them cheaper and easier for more people to get. Electric motorcycles are a practical, affordable, and eco-friendly way to get around, particularly in regions with many people and much need for both personal and business transportation. Bangladesh depends significantly on motorcycles for moving around and earning money. It would benefit from employing similar approaches to promote electric mobility.</w:t>
      </w:r>
    </w:p>
    <w:p w14:paraId="6CEC72A1" w14:textId="12CF385F" w:rsidR="008E42B6" w:rsidRDefault="008E42B6" w:rsidP="00B3326A">
      <w:pPr>
        <w:pStyle w:val="Paragraph"/>
        <w:ind w:firstLine="0"/>
        <w:rPr>
          <w:lang w:val="en"/>
        </w:rPr>
      </w:pPr>
    </w:p>
    <w:p w14:paraId="2FFACA76" w14:textId="085C5909" w:rsidR="003C0BB4" w:rsidRDefault="003C0BB4" w:rsidP="003C0BB4">
      <w:pPr>
        <w:pStyle w:val="Paragraph"/>
        <w:jc w:val="center"/>
        <w:rPr>
          <w:lang w:val="en"/>
        </w:rPr>
      </w:pPr>
      <w:r>
        <w:rPr>
          <w:noProof/>
          <w:color w:val="000000" w:themeColor="text1"/>
          <w:sz w:val="18"/>
          <w:szCs w:val="18"/>
        </w:rPr>
        <w:lastRenderedPageBreak/>
        <w:drawing>
          <wp:inline distT="0" distB="0" distL="0" distR="0" wp14:anchorId="0318BA5B" wp14:editId="3C2C4D10">
            <wp:extent cx="3123526" cy="2342489"/>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28A0092B-C50C-407E-A947-70E740481C1C}">
                          <a14:useLocalDpi xmlns:a14="http://schemas.microsoft.com/office/drawing/2010/main" val="0"/>
                        </a:ext>
                      </a:extLst>
                    </a:blip>
                    <a:srcRect/>
                    <a:stretch>
                      <a:fillRect/>
                    </a:stretch>
                  </pic:blipFill>
                  <pic:spPr bwMode="auto">
                    <a:xfrm>
                      <a:off x="0" y="0"/>
                      <a:ext cx="3139469" cy="2354445"/>
                    </a:xfrm>
                    <a:prstGeom prst="rect">
                      <a:avLst/>
                    </a:prstGeom>
                    <a:noFill/>
                  </pic:spPr>
                </pic:pic>
              </a:graphicData>
            </a:graphic>
          </wp:inline>
        </w:drawing>
      </w:r>
    </w:p>
    <w:p w14:paraId="59D0572E" w14:textId="77777777" w:rsidR="003C0BB4" w:rsidRDefault="003C0BB4" w:rsidP="003C0BB4">
      <w:pPr>
        <w:pStyle w:val="Paragraph"/>
        <w:jc w:val="center"/>
        <w:rPr>
          <w:lang w:val="en"/>
        </w:rPr>
      </w:pPr>
    </w:p>
    <w:p w14:paraId="0ECA9C68" w14:textId="30D3C401" w:rsidR="003C0BB4" w:rsidRDefault="00311226" w:rsidP="003C0BB4">
      <w:pPr>
        <w:pStyle w:val="Paragraph"/>
        <w:jc w:val="center"/>
        <w:rPr>
          <w:lang w:val="en"/>
        </w:rPr>
      </w:pPr>
      <w:r w:rsidRPr="00311226">
        <w:rPr>
          <w:sz w:val="18"/>
          <w:szCs w:val="18"/>
          <w:lang w:val="en"/>
        </w:rPr>
        <w:t>FIGURE 1. Conversion of a conventional motorcycle into an electric motorcycle at the IUB Formula E laboratory setup</w:t>
      </w:r>
      <w:r w:rsidRPr="00311226">
        <w:rPr>
          <w:lang w:val="en"/>
        </w:rPr>
        <w:t>.</w:t>
      </w:r>
    </w:p>
    <w:p w14:paraId="47132956" w14:textId="77777777" w:rsidR="00311226" w:rsidRDefault="00311226" w:rsidP="00311226">
      <w:pPr>
        <w:pStyle w:val="Paragraph"/>
        <w:rPr>
          <w:lang w:val="en"/>
        </w:rPr>
      </w:pPr>
    </w:p>
    <w:p w14:paraId="5DCAD5F8" w14:textId="3B37590E" w:rsidR="004929A9" w:rsidRPr="004929A9" w:rsidRDefault="0099487F" w:rsidP="004929A9">
      <w:pPr>
        <w:ind w:firstLine="284"/>
        <w:jc w:val="both"/>
        <w:rPr>
          <w:sz w:val="20"/>
        </w:rPr>
      </w:pPr>
      <w:r w:rsidRPr="0099487F">
        <w:rPr>
          <w:sz w:val="20"/>
        </w:rPr>
        <w:t>In the Formula E lab at the Independent University of Bangladesh (IUB), they converted a conventional motorcycle into an electr</w:t>
      </w:r>
      <w:r w:rsidR="00B01CA8">
        <w:rPr>
          <w:sz w:val="20"/>
        </w:rPr>
        <w:t>ic motorcycle, as seen in Fig.</w:t>
      </w:r>
      <w:r w:rsidRPr="0099487F">
        <w:rPr>
          <w:sz w:val="20"/>
        </w:rPr>
        <w:t xml:space="preserve"> 1. This prototype shows what the research is really regarding, looking into how implementing electric motorcycles in Bangladesh will affect technology and the economy. Electromagnetic fields have large economic advantages because they cut down on fuel and maintenance costs by a lot. This is especially true for businesses that rely on passenger transit for income. This change corresponds with bigger national aims like protecting the environment, making sure we have enough energy, and reaching our sustainable development goals. </w:t>
      </w:r>
      <w:r>
        <w:rPr>
          <w:sz w:val="20"/>
        </w:rPr>
        <w:t xml:space="preserve"> </w:t>
      </w:r>
      <w:r w:rsidR="00B01CA8" w:rsidRPr="00B01CA8">
        <w:rPr>
          <w:sz w:val="20"/>
        </w:rPr>
        <w:t>Ahmed et al. (2021). [3] State that vehicles with internal combustion engines (ICE) are responsible for greenhouse gas emissions, which are a big cause of pollution</w:t>
      </w:r>
      <w:r w:rsidR="00F67698">
        <w:rPr>
          <w:sz w:val="20"/>
        </w:rPr>
        <w:t>.</w:t>
      </w:r>
      <w:r w:rsidR="00F67698" w:rsidRPr="00F67698">
        <w:t xml:space="preserve"> </w:t>
      </w:r>
      <w:proofErr w:type="spellStart"/>
      <w:r w:rsidR="00F67698">
        <w:rPr>
          <w:sz w:val="20"/>
        </w:rPr>
        <w:t>Egbue</w:t>
      </w:r>
      <w:proofErr w:type="spellEnd"/>
      <w:r w:rsidR="00F67698">
        <w:rPr>
          <w:sz w:val="20"/>
        </w:rPr>
        <w:t xml:space="preserve"> and Long (2012) [4] e</w:t>
      </w:r>
      <w:r w:rsidR="00F67698" w:rsidRPr="00F67698">
        <w:rPr>
          <w:sz w:val="20"/>
        </w:rPr>
        <w:t xml:space="preserve">mphasized that, when backed by the right infrastructure and regulatory frameworks, electric vehicles offer a sustainable substitute for reliance on fossil fuels and urban air pollution. According to Bloomberg NEF (2023) [5], EVs made up 14% of all new car sales worldwide in 2022, and this significant rising trend is expected to continue over the next ten years. However, according to </w:t>
      </w:r>
      <w:proofErr w:type="spellStart"/>
      <w:r w:rsidR="00F67698" w:rsidRPr="00F67698">
        <w:rPr>
          <w:sz w:val="20"/>
        </w:rPr>
        <w:t>Karmaker</w:t>
      </w:r>
      <w:proofErr w:type="spellEnd"/>
      <w:r w:rsidR="00F67698" w:rsidRPr="00F67698">
        <w:rPr>
          <w:sz w:val="20"/>
        </w:rPr>
        <w:t xml:space="preserve"> and Ahmed (2019) [6], the adoption process in Bangladesh is still slow because of infrastructure issues, regulatory obstacles, and low public awareness</w:t>
      </w:r>
      <w:r w:rsidR="00FB284A">
        <w:rPr>
          <w:sz w:val="20"/>
        </w:rPr>
        <w:t xml:space="preserve">. </w:t>
      </w:r>
      <w:proofErr w:type="spellStart"/>
      <w:r w:rsidR="00FB284A" w:rsidRPr="00FB284A">
        <w:rPr>
          <w:sz w:val="20"/>
        </w:rPr>
        <w:t>Mahobiya</w:t>
      </w:r>
      <w:proofErr w:type="spellEnd"/>
      <w:r w:rsidR="00FB284A" w:rsidRPr="00FB284A">
        <w:rPr>
          <w:sz w:val="20"/>
        </w:rPr>
        <w:t xml:space="preserve"> et al. [7] suggested a cheap way to convert regular motorcycles into electric ones using BLDC motors and lithium-ion batteries, concentrating on cost-effectiveness and environmental friendliness. </w:t>
      </w:r>
      <w:proofErr w:type="spellStart"/>
      <w:r w:rsidR="00FB284A" w:rsidRPr="00FB284A">
        <w:rPr>
          <w:sz w:val="20"/>
        </w:rPr>
        <w:t>Hanifah</w:t>
      </w:r>
      <w:proofErr w:type="spellEnd"/>
      <w:r w:rsidR="00FB284A" w:rsidRPr="00FB284A">
        <w:rPr>
          <w:sz w:val="20"/>
        </w:rPr>
        <w:t xml:space="preserve"> et al. [8] and Fitch [9] both noted that electric motorcycles could reduce the need for car trips and highlighted the importance of policy incentives in speeding up their adoption. </w:t>
      </w:r>
      <w:proofErr w:type="spellStart"/>
      <w:r w:rsidR="00FB284A" w:rsidRPr="00FB284A">
        <w:rPr>
          <w:sz w:val="20"/>
        </w:rPr>
        <w:t>Łebkowski</w:t>
      </w:r>
      <w:proofErr w:type="spellEnd"/>
      <w:r w:rsidR="00FB284A" w:rsidRPr="00FB284A">
        <w:rPr>
          <w:sz w:val="20"/>
        </w:rPr>
        <w:t xml:space="preserve"> [10] reported on the successful development and road testing of an electric motorcycle with incorporated PMSM motors and </w:t>
      </w:r>
      <w:proofErr w:type="spellStart"/>
      <w:r w:rsidR="00FB284A" w:rsidRPr="00FB284A">
        <w:rPr>
          <w:sz w:val="20"/>
        </w:rPr>
        <w:t>LiFePO</w:t>
      </w:r>
      <w:proofErr w:type="spellEnd"/>
      <w:r w:rsidR="00FB284A" w:rsidRPr="00FB284A">
        <w:rPr>
          <w:sz w:val="20"/>
        </w:rPr>
        <w:t>₄ batteries, showing that efficient electric two-wheelers are technically possible.</w:t>
      </w:r>
      <w:r w:rsidR="00F67698" w:rsidRPr="00F67698">
        <w:rPr>
          <w:sz w:val="20"/>
        </w:rPr>
        <w:t xml:space="preserve"> </w:t>
      </w:r>
      <w:r w:rsidR="00F67698">
        <w:rPr>
          <w:sz w:val="20"/>
        </w:rPr>
        <w:t xml:space="preserve"> </w:t>
      </w:r>
      <w:r w:rsidR="00FB284A" w:rsidRPr="00FB284A">
        <w:rPr>
          <w:sz w:val="20"/>
        </w:rPr>
        <w:t>Starkey et al. [11] performed a life cycle research of electric motorcycles in Pakistan, finding that large emissions and pollution decreases are achievable, assuming there is access to a clean energy system and supportive government measures.  Hossain et al. [12] looked at electric two-wheelers in Dhaka and found that they are a cheaper and better option for the environment than regular motorcycles because they lower running costs and make the air cleaner.</w:t>
      </w:r>
      <w:r w:rsidR="00FB284A">
        <w:rPr>
          <w:sz w:val="20"/>
        </w:rPr>
        <w:t xml:space="preserve"> </w:t>
      </w:r>
      <w:r w:rsidR="004929A9" w:rsidRPr="004929A9">
        <w:rPr>
          <w:sz w:val="20"/>
        </w:rPr>
        <w:t xml:space="preserve">Md. Al-Amin and Md. </w:t>
      </w:r>
      <w:proofErr w:type="spellStart"/>
      <w:r w:rsidR="004929A9" w:rsidRPr="004929A9">
        <w:rPr>
          <w:sz w:val="20"/>
        </w:rPr>
        <w:t>Sahabuddin</w:t>
      </w:r>
      <w:proofErr w:type="spellEnd"/>
      <w:r w:rsidR="004929A9" w:rsidRPr="004929A9">
        <w:rPr>
          <w:sz w:val="20"/>
        </w:rPr>
        <w:t xml:space="preserve"> [13] assessed the impact of electric auto-rickshaw adoption on Bangladesh's national grid and identified challenges in utilizing solar energy as a renewable alternati</w:t>
      </w:r>
      <w:r w:rsidR="004929A9">
        <w:rPr>
          <w:sz w:val="20"/>
        </w:rPr>
        <w:t xml:space="preserve">ve. Amit Kumar </w:t>
      </w:r>
      <w:proofErr w:type="spellStart"/>
      <w:r w:rsidR="004929A9">
        <w:rPr>
          <w:sz w:val="20"/>
        </w:rPr>
        <w:t>Podder</w:t>
      </w:r>
      <w:proofErr w:type="spellEnd"/>
      <w:r w:rsidR="004929A9">
        <w:rPr>
          <w:sz w:val="20"/>
        </w:rPr>
        <w:t xml:space="preserve"> et al. [14</w:t>
      </w:r>
      <w:r w:rsidR="004929A9" w:rsidRPr="004929A9">
        <w:rPr>
          <w:sz w:val="20"/>
        </w:rPr>
        <w:t>] reviewed the state of the art in vehicle charging systems based on renewable energy, with an emphasis on hybrid combinations of solar PV and biogas technologies, and evaluated their feasibility in promoting sustainable transportation for auto-rickshaws and easy bikes in developing countries.</w:t>
      </w:r>
    </w:p>
    <w:p w14:paraId="10660C93" w14:textId="35FD1F1F" w:rsidR="00B84D3A" w:rsidRDefault="00B84D3A" w:rsidP="001F3DAE">
      <w:pPr>
        <w:pStyle w:val="Paragraph"/>
      </w:pPr>
    </w:p>
    <w:p w14:paraId="7B287868" w14:textId="000A5DE3" w:rsidR="003C0BB4" w:rsidRPr="00B84D3A" w:rsidRDefault="00B84D3A" w:rsidP="00B84D3A">
      <w:pPr>
        <w:pStyle w:val="Paragraph"/>
      </w:pPr>
      <w:r w:rsidRPr="00B84D3A">
        <w:t>These studies demonstrate that electric motorcycles are technically feasible, economically beneficial, and environmentally friendly. Key advantages include reduced fuel and maintenance costs, lower pollutant emissions, and improved air quality in urban areas. However, a common limitation across the existing literature is the lack of empirical user data, absence of comparative analyses between different motor and battery types, and the unavailability of comprehensive assessments regarding usability and cost-effectiveness from both individual and commercial user perspectives</w:t>
      </w:r>
      <w:r>
        <w:t xml:space="preserve"> </w:t>
      </w:r>
      <w:r w:rsidRPr="005507E7">
        <w:rPr>
          <w:lang w:val="en"/>
        </w:rPr>
        <w:t>—</w:t>
      </w:r>
      <w:r>
        <w:t xml:space="preserve"> </w:t>
      </w:r>
      <w:r w:rsidRPr="005507E7">
        <w:rPr>
          <w:lang w:val="en"/>
        </w:rPr>
        <w:t>especially within the Bangladeshi context</w:t>
      </w:r>
      <w:r w:rsidRPr="00B84D3A">
        <w:t>.</w:t>
      </w:r>
      <w:r>
        <w:t xml:space="preserve"> </w:t>
      </w:r>
      <w:r w:rsidR="005507E7" w:rsidRPr="005507E7">
        <w:rPr>
          <w:lang w:val="en"/>
        </w:rPr>
        <w:t xml:space="preserve"> This study studies the gap by evaluating motor and battery configurations, their influence on usability, affordability, and environmental consequences, as well as their impact on real-world results for individual and commercial users.  The study analyses economic benefits and CO₂ reductions </w:t>
      </w:r>
      <w:r w:rsidR="005507E7" w:rsidRPr="005507E7">
        <w:rPr>
          <w:lang w:val="en"/>
        </w:rPr>
        <w:lastRenderedPageBreak/>
        <w:t xml:space="preserve">using data from users, manufacturers, and service </w:t>
      </w:r>
      <w:r w:rsidR="004D0181" w:rsidRPr="005507E7">
        <w:rPr>
          <w:lang w:val="en"/>
        </w:rPr>
        <w:t>centers</w:t>
      </w:r>
      <w:r w:rsidR="005507E7" w:rsidRPr="005507E7">
        <w:rPr>
          <w:lang w:val="en"/>
        </w:rPr>
        <w:t>, providing actionable insights for consumers, manufacturers, and politicians contemplating Electric Motorcycle adoption.</w:t>
      </w:r>
    </w:p>
    <w:p w14:paraId="355407BB" w14:textId="77777777" w:rsidR="006678F3" w:rsidRPr="009E4DFD" w:rsidRDefault="006678F3" w:rsidP="006678F3">
      <w:pPr>
        <w:pStyle w:val="Paragraph"/>
        <w:rPr>
          <w:sz w:val="24"/>
          <w:lang w:val="en"/>
        </w:rPr>
      </w:pPr>
    </w:p>
    <w:p w14:paraId="71DC77D1" w14:textId="2EC2FD31" w:rsidR="00B32660" w:rsidRDefault="009E4DFD" w:rsidP="00364B36">
      <w:pPr>
        <w:pStyle w:val="Paragraph"/>
        <w:jc w:val="center"/>
        <w:rPr>
          <w:b/>
          <w:iCs/>
          <w:sz w:val="24"/>
        </w:rPr>
      </w:pPr>
      <w:r w:rsidRPr="009E4DFD">
        <w:rPr>
          <w:b/>
          <w:iCs/>
          <w:sz w:val="24"/>
        </w:rPr>
        <w:t>METHODOLOGY OF THE PROPOSED PAPER</w:t>
      </w:r>
    </w:p>
    <w:p w14:paraId="09781BC4" w14:textId="77777777" w:rsidR="00364B36" w:rsidRDefault="00364B36" w:rsidP="00364B36">
      <w:pPr>
        <w:pStyle w:val="Paragraph"/>
        <w:jc w:val="center"/>
        <w:rPr>
          <w:b/>
          <w:iCs/>
          <w:sz w:val="24"/>
        </w:rPr>
      </w:pPr>
    </w:p>
    <w:p w14:paraId="0410066B" w14:textId="31ED8988" w:rsidR="00C71592" w:rsidRDefault="00C71592" w:rsidP="00544051">
      <w:pPr>
        <w:pStyle w:val="Paragraph"/>
        <w:ind w:firstLine="0"/>
        <w:jc w:val="center"/>
        <w:rPr>
          <w:b/>
          <w:iCs/>
          <w:sz w:val="24"/>
        </w:rPr>
      </w:pPr>
      <w:r w:rsidRPr="00C71592">
        <w:rPr>
          <w:b/>
          <w:iCs/>
          <w:sz w:val="24"/>
        </w:rPr>
        <w:t>Overview of the Electric Motorcycle Market in Bangladesh</w:t>
      </w:r>
    </w:p>
    <w:p w14:paraId="00C202F2" w14:textId="77777777" w:rsidR="00B32660" w:rsidRDefault="00B32660" w:rsidP="00544051">
      <w:pPr>
        <w:pStyle w:val="Paragraph"/>
        <w:ind w:firstLine="0"/>
        <w:jc w:val="center"/>
        <w:rPr>
          <w:b/>
          <w:iCs/>
          <w:sz w:val="24"/>
        </w:rPr>
      </w:pPr>
    </w:p>
    <w:p w14:paraId="1583F37C" w14:textId="5B49531A" w:rsidR="00B634CB" w:rsidRPr="00B634CB" w:rsidRDefault="00B634CB" w:rsidP="00871934">
      <w:pPr>
        <w:pStyle w:val="Paragraph"/>
        <w:ind w:firstLine="432"/>
        <w:rPr>
          <w:iCs/>
        </w:rPr>
      </w:pPr>
      <w:r w:rsidRPr="00B634CB">
        <w:rPr>
          <w:iCs/>
        </w:rPr>
        <w:t>A market analysis was carried out to compare the available electric motorcycle models in Bangladesh. Data were collected from official websites, brochures, and product catalogs of leading local comp</w:t>
      </w:r>
      <w:r w:rsidR="004929A9">
        <w:rPr>
          <w:iCs/>
        </w:rPr>
        <w:t xml:space="preserve">anies, including </w:t>
      </w:r>
      <w:proofErr w:type="spellStart"/>
      <w:r w:rsidR="004929A9">
        <w:rPr>
          <w:iCs/>
        </w:rPr>
        <w:t>Akij</w:t>
      </w:r>
      <w:proofErr w:type="spellEnd"/>
      <w:r w:rsidR="004929A9">
        <w:rPr>
          <w:iCs/>
        </w:rPr>
        <w:t xml:space="preserve"> Motors [15</w:t>
      </w:r>
      <w:r w:rsidRPr="00B634CB">
        <w:rPr>
          <w:iCs/>
        </w:rPr>
        <w:t>], Wa</w:t>
      </w:r>
      <w:r w:rsidR="004929A9">
        <w:rPr>
          <w:iCs/>
        </w:rPr>
        <w:t>lton [16], and Green Tiger [17</w:t>
      </w:r>
      <w:r w:rsidRPr="00B634CB">
        <w:rPr>
          <w:iCs/>
        </w:rPr>
        <w:t>], which are prominent in offering models suited to both urban and rural use. The comparison focused on key specifications such as motor power, battery capacity, top speed, and mileage.</w:t>
      </w:r>
    </w:p>
    <w:p w14:paraId="76C72586" w14:textId="5521B747" w:rsidR="00F31885" w:rsidRDefault="00F31885" w:rsidP="00F31885">
      <w:pPr>
        <w:pStyle w:val="Paragraph"/>
        <w:ind w:firstLine="0"/>
        <w:rPr>
          <w:iCs/>
        </w:rPr>
      </w:pPr>
      <w:r w:rsidRPr="00F31885">
        <w:rPr>
          <w:iCs/>
        </w:rPr>
        <w:t xml:space="preserve">Battery Capacity vs. Range: </w:t>
      </w:r>
    </w:p>
    <w:p w14:paraId="0980F4D1" w14:textId="77777777" w:rsidR="00364B36" w:rsidRDefault="00364B36" w:rsidP="00F31885">
      <w:pPr>
        <w:pStyle w:val="Paragraph"/>
        <w:ind w:firstLine="0"/>
        <w:rPr>
          <w:iCs/>
        </w:rPr>
      </w:pPr>
    </w:p>
    <w:p w14:paraId="50F76A02" w14:textId="333CA4C2" w:rsidR="00F31885" w:rsidRDefault="00F31885" w:rsidP="00364B36">
      <w:pPr>
        <w:pStyle w:val="Paragraph"/>
        <w:rPr>
          <w:iCs/>
        </w:rPr>
      </w:pPr>
      <w:r w:rsidRPr="00F31885">
        <w:rPr>
          <w:iCs/>
        </w:rPr>
        <w:t xml:space="preserve">Range (km) = 2.07 × Battery Capacity (Ah) + 1.21                          </w:t>
      </w:r>
      <w:r>
        <w:rPr>
          <w:iCs/>
        </w:rPr>
        <w:t xml:space="preserve">                                                            </w:t>
      </w:r>
      <w:r w:rsidRPr="00F31885">
        <w:rPr>
          <w:iCs/>
        </w:rPr>
        <w:t xml:space="preserve"> (1) </w:t>
      </w:r>
    </w:p>
    <w:p w14:paraId="38896E1C" w14:textId="77777777" w:rsidR="00364B36" w:rsidRPr="00F31885" w:rsidRDefault="00364B36" w:rsidP="00364B36">
      <w:pPr>
        <w:pStyle w:val="Paragraph"/>
        <w:rPr>
          <w:iCs/>
        </w:rPr>
      </w:pPr>
    </w:p>
    <w:p w14:paraId="5489C593" w14:textId="77777777" w:rsidR="00364B36" w:rsidRDefault="00F31885" w:rsidP="00364B36">
      <w:pPr>
        <w:pStyle w:val="Paragraph"/>
        <w:ind w:firstLine="0"/>
        <w:rPr>
          <w:iCs/>
        </w:rPr>
      </w:pPr>
      <w:r w:rsidRPr="00F31885">
        <w:rPr>
          <w:iCs/>
        </w:rPr>
        <w:t>This model suggests that range increases approximately linearly with battery capacity, at a rate of 2.07 km per additional ampere-hour.</w:t>
      </w:r>
    </w:p>
    <w:p w14:paraId="6B801D44" w14:textId="0B51F487" w:rsidR="00166C76" w:rsidRDefault="00166C76" w:rsidP="00364B36">
      <w:pPr>
        <w:pStyle w:val="Paragraph"/>
        <w:rPr>
          <w:iCs/>
          <w:lang w:val="en"/>
        </w:rPr>
      </w:pPr>
      <w:r w:rsidRPr="00166C76">
        <w:rPr>
          <w:iCs/>
          <w:lang w:val="en"/>
        </w:rPr>
        <w:t xml:space="preserve">Motor Power vs. Top Speed (Theoretical and Empirical Observation): </w:t>
      </w:r>
    </w:p>
    <w:p w14:paraId="621E960A" w14:textId="77777777" w:rsidR="00364B36" w:rsidRPr="00364B36" w:rsidRDefault="00364B36" w:rsidP="00364B36">
      <w:pPr>
        <w:pStyle w:val="Paragraph"/>
        <w:rPr>
          <w:iCs/>
        </w:rPr>
      </w:pPr>
    </w:p>
    <w:p w14:paraId="38DE50F8" w14:textId="12EC99A2" w:rsidR="00166C76" w:rsidRDefault="00166C76" w:rsidP="00364B36">
      <w:pPr>
        <w:pStyle w:val="Paragraph"/>
        <w:rPr>
          <w:iCs/>
          <w:lang w:val="en"/>
        </w:rPr>
      </w:pPr>
      <w:r w:rsidRPr="00166C76">
        <w:rPr>
          <w:iCs/>
          <w:lang w:val="en"/>
        </w:rPr>
        <w:t xml:space="preserve">Top Speed = V </w:t>
      </w:r>
      <w:r w:rsidRPr="00166C76">
        <w:rPr>
          <w:iCs/>
          <w:vertAlign w:val="subscript"/>
          <w:lang w:val="en"/>
        </w:rPr>
        <w:t xml:space="preserve">max </w:t>
      </w:r>
      <w:r w:rsidRPr="00166C76">
        <w:rPr>
          <w:iCs/>
          <w:lang w:val="en"/>
        </w:rPr>
        <w:t>× (1-</w:t>
      </w:r>
      <m:oMath>
        <m:sSup>
          <m:sSupPr>
            <m:ctrlPr>
              <w:rPr>
                <w:rFonts w:ascii="Cambria Math" w:hAnsi="Cambria Math"/>
                <w:i/>
                <w:iCs/>
                <w:lang w:val="en"/>
              </w:rPr>
            </m:ctrlPr>
          </m:sSupPr>
          <m:e>
            <m:r>
              <w:rPr>
                <w:rFonts w:ascii="Cambria Math" w:hAnsi="Cambria Math"/>
                <w:lang w:val="en"/>
              </w:rPr>
              <m:t>e</m:t>
            </m:r>
          </m:e>
          <m:sup>
            <m:r>
              <w:rPr>
                <w:rFonts w:ascii="Cambria Math" w:hAnsi="Cambria Math"/>
                <w:lang w:val="en"/>
              </w:rPr>
              <m:t>-kp</m:t>
            </m:r>
          </m:sup>
        </m:sSup>
      </m:oMath>
      <w:r w:rsidRPr="00166C76">
        <w:rPr>
          <w:iCs/>
          <w:lang w:val="en"/>
        </w:rPr>
        <w:t xml:space="preserve"> )              </w:t>
      </w:r>
      <w:r>
        <w:rPr>
          <w:iCs/>
          <w:lang w:val="en"/>
        </w:rPr>
        <w:t xml:space="preserve">                                                          </w:t>
      </w:r>
      <w:r w:rsidRPr="00166C76">
        <w:rPr>
          <w:iCs/>
          <w:lang w:val="en"/>
        </w:rPr>
        <w:t xml:space="preserve">                                               (2) </w:t>
      </w:r>
    </w:p>
    <w:p w14:paraId="63D1FA6E" w14:textId="77777777" w:rsidR="00364B36" w:rsidRDefault="00364B36" w:rsidP="004C5507">
      <w:pPr>
        <w:pStyle w:val="Paragraph"/>
        <w:ind w:firstLine="0"/>
        <w:rPr>
          <w:iCs/>
          <w:lang w:val="en"/>
        </w:rPr>
      </w:pPr>
    </w:p>
    <w:p w14:paraId="21E93C37" w14:textId="4A6EE3E9" w:rsidR="00166C76" w:rsidRDefault="00166C76" w:rsidP="004C5507">
      <w:pPr>
        <w:pStyle w:val="Paragraph"/>
        <w:ind w:firstLine="0"/>
        <w:rPr>
          <w:iCs/>
          <w:lang w:val="en"/>
        </w:rPr>
      </w:pPr>
      <w:r w:rsidRPr="00166C76">
        <w:rPr>
          <w:iCs/>
          <w:lang w:val="en"/>
        </w:rPr>
        <w:t>Where, V</w:t>
      </w:r>
      <w:r w:rsidRPr="00166C76">
        <w:rPr>
          <w:iCs/>
          <w:vertAlign w:val="subscript"/>
          <w:lang w:val="en"/>
        </w:rPr>
        <w:t xml:space="preserve"> max </w:t>
      </w:r>
      <w:r w:rsidRPr="00166C76">
        <w:rPr>
          <w:iCs/>
          <w:lang w:val="en"/>
        </w:rPr>
        <w:t xml:space="preserve">is the asymptotic maximum speed and k is a system-specific constant and P is the motor power (in watts, W).  </w:t>
      </w:r>
      <w:r>
        <w:rPr>
          <w:iCs/>
          <w:lang w:val="en"/>
        </w:rPr>
        <w:t xml:space="preserve"> </w:t>
      </w:r>
      <w:r w:rsidR="004C5507" w:rsidRPr="004C5507">
        <w:rPr>
          <w:iCs/>
          <w:lang w:val="en"/>
        </w:rPr>
        <w:t>A power-law regression was used to better show the real market data, providing us:</w:t>
      </w:r>
    </w:p>
    <w:p w14:paraId="1B2A392A" w14:textId="77777777" w:rsidR="00364B36" w:rsidRPr="004C5507" w:rsidRDefault="00364B36" w:rsidP="004C5507">
      <w:pPr>
        <w:pStyle w:val="Paragraph"/>
        <w:ind w:firstLine="0"/>
        <w:rPr>
          <w:iCs/>
          <w:lang w:val="en"/>
        </w:rPr>
      </w:pPr>
    </w:p>
    <w:p w14:paraId="0BB7DEBA" w14:textId="442C591B" w:rsidR="00166C76" w:rsidRDefault="00166C76" w:rsidP="00364B36">
      <w:pPr>
        <w:pStyle w:val="Paragraph"/>
        <w:rPr>
          <w:iCs/>
          <w:lang w:val="en"/>
        </w:rPr>
      </w:pPr>
      <w:r w:rsidRPr="00166C76">
        <w:rPr>
          <w:iCs/>
          <w:lang w:val="en"/>
        </w:rPr>
        <w:t xml:space="preserve">Top Speed = 2.93 × P </w:t>
      </w:r>
      <w:r w:rsidRPr="00166C76">
        <w:rPr>
          <w:iCs/>
          <w:vertAlign w:val="superscript"/>
          <w:lang w:val="en"/>
        </w:rPr>
        <w:t>0.932</w:t>
      </w:r>
      <w:r w:rsidRPr="00166C76">
        <w:rPr>
          <w:iCs/>
          <w:lang w:val="en"/>
        </w:rPr>
        <w:t xml:space="preserve">                                                                </w:t>
      </w:r>
      <w:r>
        <w:rPr>
          <w:iCs/>
          <w:lang w:val="en"/>
        </w:rPr>
        <w:t xml:space="preserve">                                                           </w:t>
      </w:r>
      <w:r w:rsidRPr="00166C76">
        <w:rPr>
          <w:iCs/>
          <w:lang w:val="en"/>
        </w:rPr>
        <w:t xml:space="preserve">   (3) </w:t>
      </w:r>
    </w:p>
    <w:p w14:paraId="4330FBD8" w14:textId="77777777" w:rsidR="00364B36" w:rsidRDefault="00364B36" w:rsidP="004C5507">
      <w:pPr>
        <w:pStyle w:val="Paragraph"/>
        <w:ind w:firstLine="0"/>
        <w:rPr>
          <w:iCs/>
          <w:lang w:val="en"/>
        </w:rPr>
      </w:pPr>
    </w:p>
    <w:p w14:paraId="24DBB4ED" w14:textId="3F30837C" w:rsidR="00B32660" w:rsidRPr="004C5507" w:rsidRDefault="004C5507" w:rsidP="004C5507">
      <w:pPr>
        <w:pStyle w:val="Paragraph"/>
        <w:ind w:firstLine="0"/>
        <w:rPr>
          <w:iCs/>
          <w:lang w:val="en"/>
        </w:rPr>
      </w:pPr>
      <w:r w:rsidRPr="004C5507">
        <w:rPr>
          <w:iCs/>
          <w:lang w:val="en"/>
        </w:rPr>
        <w:t>This empirical model demonstrates sub-linear growth, which is what theory says should happen when power expands. Equations (2) and (3) together connect concepts from the concept with practical design limits seen in Bangladesh's electric motorcycle industry.</w:t>
      </w:r>
    </w:p>
    <w:p w14:paraId="789170E9" w14:textId="3DDFB9BA" w:rsidR="00166C76" w:rsidRDefault="00166C76" w:rsidP="00544051">
      <w:pPr>
        <w:pStyle w:val="Paragraph"/>
        <w:ind w:firstLine="0"/>
        <w:rPr>
          <w:iCs/>
          <w:lang w:val="en"/>
        </w:rPr>
      </w:pPr>
      <w:r w:rsidRPr="00166C76">
        <w:rPr>
          <w:iCs/>
          <w:lang w:val="en"/>
        </w:rPr>
        <w:t xml:space="preserve">Battery Capacity vs. Motor Power: </w:t>
      </w:r>
    </w:p>
    <w:p w14:paraId="4AE4FA9F" w14:textId="77777777" w:rsidR="00364B36" w:rsidRDefault="00364B36" w:rsidP="00544051">
      <w:pPr>
        <w:pStyle w:val="Paragraph"/>
        <w:ind w:firstLine="0"/>
        <w:rPr>
          <w:iCs/>
          <w:lang w:val="en"/>
        </w:rPr>
      </w:pPr>
    </w:p>
    <w:p w14:paraId="7EA5960C" w14:textId="493A7877" w:rsidR="00166C76" w:rsidRDefault="00166C76" w:rsidP="00364B36">
      <w:pPr>
        <w:pStyle w:val="Paragraph"/>
        <w:rPr>
          <w:iCs/>
          <w:lang w:val="en"/>
        </w:rPr>
      </w:pPr>
      <w:r w:rsidRPr="00166C76">
        <w:rPr>
          <w:iCs/>
          <w:lang w:val="en"/>
        </w:rPr>
        <w:t xml:space="preserve">Motor Power = 73.57 × Battery Capacity (Ah) – 575.00                </w:t>
      </w:r>
      <w:r w:rsidR="00F31F62">
        <w:rPr>
          <w:iCs/>
          <w:lang w:val="en"/>
        </w:rPr>
        <w:t xml:space="preserve">                                                         </w:t>
      </w:r>
      <w:r w:rsidR="00AF19CE">
        <w:rPr>
          <w:iCs/>
          <w:lang w:val="en"/>
        </w:rPr>
        <w:t xml:space="preserve"> </w:t>
      </w:r>
      <w:r w:rsidR="00F31F62">
        <w:rPr>
          <w:iCs/>
          <w:lang w:val="en"/>
        </w:rPr>
        <w:t xml:space="preserve"> </w:t>
      </w:r>
      <w:r w:rsidR="00364B36">
        <w:rPr>
          <w:iCs/>
          <w:lang w:val="en"/>
        </w:rPr>
        <w:t xml:space="preserve">   </w:t>
      </w:r>
      <w:r w:rsidRPr="00166C76">
        <w:rPr>
          <w:iCs/>
          <w:lang w:val="en"/>
        </w:rPr>
        <w:t xml:space="preserve">(4) </w:t>
      </w:r>
    </w:p>
    <w:p w14:paraId="4F5B6EFA" w14:textId="77777777" w:rsidR="00D001AD" w:rsidRDefault="00D001AD" w:rsidP="00544051">
      <w:pPr>
        <w:pStyle w:val="Paragraph"/>
        <w:ind w:firstLine="0"/>
        <w:rPr>
          <w:iCs/>
          <w:lang w:val="en"/>
        </w:rPr>
      </w:pPr>
    </w:p>
    <w:p w14:paraId="1CAC0B31" w14:textId="5937B1D3" w:rsidR="0082544E" w:rsidRPr="00D001AD" w:rsidRDefault="00D001AD" w:rsidP="00364B36">
      <w:pPr>
        <w:pStyle w:val="Paragraph"/>
        <w:rPr>
          <w:iCs/>
          <w:lang w:val="en"/>
        </w:rPr>
      </w:pPr>
      <w:r w:rsidRPr="00D001AD">
        <w:rPr>
          <w:iCs/>
          <w:lang w:val="en"/>
        </w:rPr>
        <w:t>This implies that motorcycles with larger batteries usually have more powerful motors. However, the negative intercept indicates that the linear model may not work outside of the range that has been looked at.</w:t>
      </w:r>
    </w:p>
    <w:p w14:paraId="3BEB95A8" w14:textId="77777777" w:rsidR="00B3326A" w:rsidRDefault="00B3326A" w:rsidP="00166C76">
      <w:pPr>
        <w:pStyle w:val="Paragraph"/>
        <w:rPr>
          <w:iCs/>
          <w:lang w:val="en"/>
        </w:rPr>
      </w:pPr>
    </w:p>
    <w:p w14:paraId="6C99EA98" w14:textId="77777777" w:rsidR="00EE6A81" w:rsidRDefault="00EE6A81" w:rsidP="00544051">
      <w:pPr>
        <w:spacing w:before="120" w:after="120" w:line="259" w:lineRule="auto"/>
        <w:jc w:val="center"/>
        <w:rPr>
          <w:b/>
          <w:iCs/>
        </w:rPr>
      </w:pPr>
      <w:r w:rsidRPr="00EE6A81">
        <w:rPr>
          <w:b/>
          <w:iCs/>
        </w:rPr>
        <w:t>Field Investigation and User Interaction</w:t>
      </w:r>
    </w:p>
    <w:p w14:paraId="19BA9B0A" w14:textId="6D94195F" w:rsidR="00EE6A81" w:rsidRDefault="00364B36" w:rsidP="00364B36">
      <w:pPr>
        <w:spacing w:before="120" w:after="120" w:line="259" w:lineRule="auto"/>
        <w:jc w:val="both"/>
        <w:rPr>
          <w:rFonts w:eastAsia="Calibri"/>
          <w:sz w:val="20"/>
          <w:lang w:val="en"/>
        </w:rPr>
      </w:pPr>
      <w:r>
        <w:rPr>
          <w:rFonts w:eastAsia="Calibri"/>
          <w:sz w:val="20"/>
          <w:lang w:val="en"/>
        </w:rPr>
        <w:t xml:space="preserve">      </w:t>
      </w:r>
      <w:r w:rsidR="00B36F36" w:rsidRPr="00B36F36">
        <w:rPr>
          <w:rFonts w:eastAsia="Calibri"/>
          <w:sz w:val="20"/>
          <w:lang w:val="en"/>
        </w:rPr>
        <w:t>Electric motorcycles in Bangladesh have a lot of different technical specifications and user-friendly features that have an enormous effect on how many individuals purchase them, how well they work, and how much they are worthy in real life.  It is important to evaluate these characteristics in order to figure out how useful they are in everyday life, how reliable they will be over time, and how they will affect user satisfaction across various socioeconomic categories.</w:t>
      </w:r>
      <w:r w:rsidR="003E7A63" w:rsidRPr="003E7A63">
        <w:t xml:space="preserve"> </w:t>
      </w:r>
      <w:r w:rsidR="003E7A63" w:rsidRPr="003E7A63">
        <w:rPr>
          <w:rFonts w:eastAsia="Calibri"/>
          <w:sz w:val="20"/>
          <w:lang w:val="en"/>
        </w:rPr>
        <w:t xml:space="preserve">Electric motorcycles are becoming an essential component of Bangladesh's changing transportation environment as more and more people in both cities and rural areas use them. </w:t>
      </w:r>
      <w:r w:rsidR="00B36F36" w:rsidRPr="00B36F36">
        <w:rPr>
          <w:rFonts w:eastAsia="Calibri"/>
          <w:sz w:val="20"/>
          <w:lang w:val="en"/>
        </w:rPr>
        <w:t xml:space="preserve">  This section provides a full look into important technical parts, like motor type, battery capacity, and range, as well as how people use the product and what riders say about it.</w:t>
      </w:r>
      <w:r w:rsidR="0060116B" w:rsidRPr="0060116B">
        <w:t xml:space="preserve"> </w:t>
      </w:r>
      <w:r w:rsidR="0060116B" w:rsidRPr="0060116B">
        <w:rPr>
          <w:rFonts w:eastAsia="Calibri"/>
          <w:sz w:val="20"/>
          <w:lang w:val="en"/>
        </w:rPr>
        <w:t xml:space="preserve">Along with performance parameters, the study also examined the frequency of maintenance required and the availability of charging infrastructure to assess its usability in the real world. </w:t>
      </w:r>
      <w:r w:rsidR="00B36F36" w:rsidRPr="00B36F36">
        <w:rPr>
          <w:rFonts w:eastAsia="Calibri"/>
          <w:sz w:val="20"/>
          <w:lang w:val="en"/>
        </w:rPr>
        <w:t xml:space="preserve">  The insights come from many trips to dealerships and service centers, talks with people in the sector, and organized interviews with both private users and commercial riders in cities, suburbs, and rural areas.</w:t>
      </w:r>
      <w:r w:rsidR="0060116B">
        <w:rPr>
          <w:rFonts w:eastAsia="Calibri"/>
          <w:sz w:val="20"/>
          <w:lang w:val="en"/>
        </w:rPr>
        <w:t xml:space="preserve"> </w:t>
      </w:r>
      <w:r w:rsidR="0060116B" w:rsidRPr="0060116B">
        <w:rPr>
          <w:rFonts w:eastAsia="Calibri"/>
          <w:sz w:val="20"/>
          <w:lang w:val="en"/>
        </w:rPr>
        <w:t xml:space="preserve">This mixed-methods approach utilizes both technical data and user perceptions to assess the overall usefulness of a vehicle.  </w:t>
      </w:r>
      <w:r w:rsidR="00B36F36" w:rsidRPr="00B36F36">
        <w:rPr>
          <w:rFonts w:eastAsia="Calibri"/>
          <w:sz w:val="20"/>
          <w:lang w:val="en"/>
        </w:rPr>
        <w:t xml:space="preserve"> These data are a foundation for figuring out how electric motorcycles work in different situations and for finding out what users think about their economic and functional benefits.</w:t>
      </w:r>
    </w:p>
    <w:p w14:paraId="4FE8C12D" w14:textId="5BC62E2D" w:rsidR="00712F50" w:rsidRDefault="00712F50" w:rsidP="00364B36">
      <w:pPr>
        <w:spacing w:before="120" w:after="120" w:line="259" w:lineRule="auto"/>
        <w:jc w:val="both"/>
        <w:rPr>
          <w:rFonts w:eastAsia="Calibri"/>
          <w:sz w:val="20"/>
          <w:lang w:val="en"/>
        </w:rPr>
      </w:pPr>
    </w:p>
    <w:p w14:paraId="6EFB8D37" w14:textId="77777777" w:rsidR="00712F50" w:rsidRPr="00B36F36" w:rsidRDefault="00712F50" w:rsidP="00364B36">
      <w:pPr>
        <w:spacing w:before="120" w:after="120" w:line="259" w:lineRule="auto"/>
        <w:jc w:val="both"/>
        <w:rPr>
          <w:rFonts w:eastAsia="Calibri"/>
          <w:sz w:val="20"/>
          <w:lang w:val="en"/>
        </w:rPr>
      </w:pPr>
    </w:p>
    <w:p w14:paraId="1A65A746" w14:textId="77777777" w:rsidR="001E4434" w:rsidRDefault="00EE6A81" w:rsidP="001E4434">
      <w:pPr>
        <w:spacing w:before="120" w:after="120" w:line="259" w:lineRule="auto"/>
        <w:ind w:firstLine="720"/>
        <w:jc w:val="center"/>
        <w:rPr>
          <w:b/>
          <w:iCs/>
        </w:rPr>
      </w:pPr>
      <w:r w:rsidRPr="00EE6A81">
        <w:rPr>
          <w:b/>
          <w:iCs/>
        </w:rPr>
        <w:t>Manufacturer Engagement and Technical Data Validation</w:t>
      </w:r>
      <w:r>
        <w:rPr>
          <w:b/>
          <w:iCs/>
        </w:rPr>
        <w:t xml:space="preserve">. </w:t>
      </w:r>
    </w:p>
    <w:p w14:paraId="7A493BDC" w14:textId="77575845" w:rsidR="004363F7" w:rsidRPr="0077378F" w:rsidRDefault="0077378F" w:rsidP="0077378F">
      <w:pPr>
        <w:spacing w:before="120" w:after="120"/>
        <w:ind w:firstLine="284"/>
        <w:jc w:val="both"/>
        <w:rPr>
          <w:sz w:val="20"/>
        </w:rPr>
      </w:pPr>
      <w:r w:rsidRPr="0077378F">
        <w:rPr>
          <w:sz w:val="20"/>
        </w:rPr>
        <w:t xml:space="preserve">To confirm the observational data, personal contact was made with manufacturers and </w:t>
      </w:r>
      <w:r w:rsidR="00714226" w:rsidRPr="0077378F">
        <w:rPr>
          <w:sz w:val="20"/>
        </w:rPr>
        <w:t>authorized</w:t>
      </w:r>
      <w:r w:rsidRPr="0077378F">
        <w:rPr>
          <w:sz w:val="20"/>
        </w:rPr>
        <w:t xml:space="preserve"> service providers. Talking to corporate representatives and service staff in depth gave us much information about technical specs, product ranges, and common maintenance problems. </w:t>
      </w:r>
      <w:r w:rsidR="00714226" w:rsidRPr="00714226">
        <w:rPr>
          <w:sz w:val="20"/>
        </w:rPr>
        <w:t>More information was obtained from official brochures and company websites to double-check the system components and ensure that the technologies currently available in the Bangladeshi electric motorcycle industry were accurately represented.</w:t>
      </w:r>
    </w:p>
    <w:p w14:paraId="6CD360B5" w14:textId="0CE94BB1" w:rsidR="00843AD2" w:rsidRDefault="00135E3A" w:rsidP="004363F7">
      <w:pPr>
        <w:pStyle w:val="Paragraph"/>
        <w:jc w:val="center"/>
        <w:rPr>
          <w:lang w:val="en"/>
        </w:rPr>
      </w:pPr>
      <w:r>
        <w:rPr>
          <w:noProof/>
        </w:rPr>
        <w:drawing>
          <wp:inline distT="0" distB="0" distL="0" distR="0" wp14:anchorId="6D096F7C" wp14:editId="09B2A3C5">
            <wp:extent cx="4785360" cy="2522220"/>
            <wp:effectExtent l="0" t="95250" r="0" b="12573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2FCE47A8" w14:textId="179FB1F4" w:rsidR="005C5E26" w:rsidRDefault="005C5E26" w:rsidP="004363F7">
      <w:pPr>
        <w:pStyle w:val="Paragraph"/>
        <w:jc w:val="center"/>
        <w:rPr>
          <w:lang w:val="en"/>
        </w:rPr>
      </w:pPr>
    </w:p>
    <w:p w14:paraId="647AA0C6" w14:textId="77777777" w:rsidR="005C5E26" w:rsidRDefault="005C5E26" w:rsidP="004363F7">
      <w:pPr>
        <w:pStyle w:val="Paragraph"/>
        <w:jc w:val="center"/>
        <w:rPr>
          <w:lang w:val="en"/>
        </w:rPr>
      </w:pPr>
    </w:p>
    <w:p w14:paraId="1E464795" w14:textId="3F906973" w:rsidR="005701E8" w:rsidRPr="00736524" w:rsidRDefault="00736524" w:rsidP="00736524">
      <w:pPr>
        <w:pStyle w:val="Paragraph"/>
        <w:ind w:firstLine="0"/>
        <w:jc w:val="center"/>
        <w:rPr>
          <w:sz w:val="18"/>
          <w:szCs w:val="18"/>
          <w:lang w:val="en"/>
        </w:rPr>
      </w:pPr>
      <w:r>
        <w:rPr>
          <w:sz w:val="18"/>
          <w:szCs w:val="18"/>
          <w:lang w:val="en"/>
        </w:rPr>
        <w:t>FIGURE 2</w:t>
      </w:r>
      <w:r w:rsidR="005701E8">
        <w:rPr>
          <w:sz w:val="18"/>
          <w:szCs w:val="18"/>
          <w:lang w:val="en"/>
        </w:rPr>
        <w:t xml:space="preserve">. </w:t>
      </w:r>
      <w:r w:rsidRPr="00736524">
        <w:rPr>
          <w:sz w:val="18"/>
          <w:szCs w:val="18"/>
          <w:lang w:val="en"/>
        </w:rPr>
        <w:t>Methodological Framework of the Study.</w:t>
      </w:r>
    </w:p>
    <w:p w14:paraId="08A06085" w14:textId="77777777" w:rsidR="00843AD2" w:rsidRPr="00C401F2" w:rsidRDefault="00843AD2" w:rsidP="00C401F2">
      <w:pPr>
        <w:pStyle w:val="Paragraph"/>
        <w:rPr>
          <w:lang w:val="en"/>
        </w:rPr>
      </w:pPr>
    </w:p>
    <w:p w14:paraId="0B9E0B64" w14:textId="5433501F" w:rsidR="005836E7" w:rsidRPr="0077378F" w:rsidRDefault="0077378F" w:rsidP="0077378F">
      <w:pPr>
        <w:pStyle w:val="Paragraph"/>
        <w:rPr>
          <w:lang w:val="en"/>
        </w:rPr>
      </w:pPr>
      <w:r w:rsidRPr="0077378F">
        <w:rPr>
          <w:lang w:val="en"/>
        </w:rPr>
        <w:t>Figure 2 shows how the process works. The Methodological Framework of the Study begins with data collecting through showroom visits, manufacturer specifications, and user interviews across several locations. A technical study of battery and motor arrangements follows this. CO₂ emissions are then calculated using conventional emission factors, and annual running expenses are assessed based on energy use and maintenance. Finally, rider-level profit analysis considers revenue and expenses to estimate monthly profitability. Collectively, these processes provide a thorough understanding of the economic, environmental, and technical implications of electric motorcycles in Bangladesh.</w:t>
      </w:r>
    </w:p>
    <w:p w14:paraId="66A44DD2" w14:textId="137F098C" w:rsidR="003867C8" w:rsidRDefault="003867C8" w:rsidP="009F5022">
      <w:pPr>
        <w:spacing w:before="120" w:after="120"/>
        <w:jc w:val="center"/>
        <w:rPr>
          <w:b/>
          <w:szCs w:val="24"/>
        </w:rPr>
      </w:pPr>
      <w:r w:rsidRPr="003867C8">
        <w:rPr>
          <w:b/>
          <w:szCs w:val="24"/>
        </w:rPr>
        <w:t>User Feedback and Customer Reviews on Electric Motorcycles</w:t>
      </w:r>
    </w:p>
    <w:p w14:paraId="26A86DA0" w14:textId="37B6321F" w:rsidR="009F5022" w:rsidRPr="009F5022" w:rsidRDefault="002D1BB4" w:rsidP="00F97F7F">
      <w:pPr>
        <w:spacing w:before="120" w:after="120"/>
        <w:ind w:firstLine="432"/>
        <w:jc w:val="both"/>
        <w:rPr>
          <w:sz w:val="20"/>
        </w:rPr>
      </w:pPr>
      <w:r w:rsidRPr="002D1BB4">
        <w:rPr>
          <w:sz w:val="20"/>
        </w:rPr>
        <w:t>Purposive sampling was employed to gather responses from a small group of electric motorcycle users, selected to represent diversity in motorcycle brands, battery types (lead-acid and lithium-ion), and operating conditions such as urban commu</w:t>
      </w:r>
      <w:r w:rsidR="00D53F82">
        <w:rPr>
          <w:sz w:val="20"/>
        </w:rPr>
        <w:t xml:space="preserve">ting and longer-distance travel. </w:t>
      </w:r>
    </w:p>
    <w:p w14:paraId="73985D0A" w14:textId="61A849D7" w:rsidR="009F5022" w:rsidRDefault="009F5022" w:rsidP="009F5022">
      <w:pPr>
        <w:spacing w:before="120" w:after="120"/>
        <w:jc w:val="both"/>
        <w:rPr>
          <w:sz w:val="20"/>
        </w:rPr>
      </w:pPr>
      <w:r w:rsidRPr="009F5022">
        <w:rPr>
          <w:sz w:val="20"/>
        </w:rPr>
        <w:t>Open-ended questions were used to explore the following key areas:</w:t>
      </w:r>
    </w:p>
    <w:p w14:paraId="19A471AC" w14:textId="77777777" w:rsidR="00B757D7" w:rsidRPr="00B757D7" w:rsidRDefault="00B757D7" w:rsidP="00B757D7">
      <w:pPr>
        <w:spacing w:before="120" w:after="120"/>
        <w:jc w:val="both"/>
        <w:rPr>
          <w:sz w:val="20"/>
        </w:rPr>
      </w:pPr>
      <w:r w:rsidRPr="00B757D7">
        <w:rPr>
          <w:sz w:val="20"/>
        </w:rPr>
        <w:t>– Overall satisfaction and performance</w:t>
      </w:r>
    </w:p>
    <w:p w14:paraId="54A98F47" w14:textId="77777777" w:rsidR="00B757D7" w:rsidRPr="00B757D7" w:rsidRDefault="00B757D7" w:rsidP="00B757D7">
      <w:pPr>
        <w:spacing w:before="120" w:after="120"/>
        <w:jc w:val="both"/>
        <w:rPr>
          <w:sz w:val="20"/>
        </w:rPr>
      </w:pPr>
      <w:r w:rsidRPr="00B757D7">
        <w:rPr>
          <w:sz w:val="20"/>
        </w:rPr>
        <w:t>– Battery life and charging experience</w:t>
      </w:r>
    </w:p>
    <w:p w14:paraId="07EA6EB0" w14:textId="77777777" w:rsidR="00B757D7" w:rsidRPr="00B757D7" w:rsidRDefault="00B757D7" w:rsidP="00B757D7">
      <w:pPr>
        <w:spacing w:before="120" w:after="120"/>
        <w:jc w:val="both"/>
        <w:rPr>
          <w:sz w:val="20"/>
        </w:rPr>
      </w:pPr>
      <w:r w:rsidRPr="00B757D7">
        <w:rPr>
          <w:sz w:val="20"/>
        </w:rPr>
        <w:t>– Maintenance and service support</w:t>
      </w:r>
    </w:p>
    <w:p w14:paraId="47A50BE3" w14:textId="77777777" w:rsidR="00B757D7" w:rsidRPr="00B757D7" w:rsidRDefault="00B757D7" w:rsidP="00B757D7">
      <w:pPr>
        <w:spacing w:before="120" w:after="120"/>
        <w:jc w:val="both"/>
        <w:rPr>
          <w:sz w:val="20"/>
        </w:rPr>
      </w:pPr>
      <w:r w:rsidRPr="00B757D7">
        <w:rPr>
          <w:sz w:val="20"/>
        </w:rPr>
        <w:t>– Economic value and common technical issues</w:t>
      </w:r>
    </w:p>
    <w:p w14:paraId="36785EED" w14:textId="28FC7559" w:rsidR="009F5022" w:rsidRDefault="009F5022" w:rsidP="009F5022">
      <w:pPr>
        <w:spacing w:before="120" w:after="120"/>
        <w:jc w:val="both"/>
        <w:rPr>
          <w:sz w:val="20"/>
        </w:rPr>
      </w:pPr>
      <w:r w:rsidRPr="009F5022">
        <w:rPr>
          <w:sz w:val="20"/>
        </w:rPr>
        <w:t>Responses were recorded manually during and after the interviews. A thematic analysis approach was applied to code and categorize the data based on recurring themes, positive feedback, and commonly reported issues.</w:t>
      </w:r>
    </w:p>
    <w:p w14:paraId="782EB2D1" w14:textId="77777777" w:rsidR="0087779F" w:rsidRPr="009F5022" w:rsidRDefault="0087779F" w:rsidP="009F5022">
      <w:pPr>
        <w:spacing w:before="120" w:after="120"/>
        <w:jc w:val="both"/>
        <w:rPr>
          <w:sz w:val="20"/>
        </w:rPr>
      </w:pPr>
    </w:p>
    <w:p w14:paraId="48C71CC6" w14:textId="288DE413" w:rsidR="009F5022" w:rsidRDefault="009F5022" w:rsidP="005D7DFA">
      <w:pPr>
        <w:spacing w:before="120" w:after="120"/>
        <w:ind w:firstLine="720"/>
        <w:jc w:val="center"/>
        <w:rPr>
          <w:b/>
          <w:szCs w:val="24"/>
        </w:rPr>
      </w:pPr>
      <w:r w:rsidRPr="009F5022">
        <w:rPr>
          <w:b/>
          <w:szCs w:val="24"/>
        </w:rPr>
        <w:lastRenderedPageBreak/>
        <w:t xml:space="preserve">Estimation of CO₂ Emission Reduction   </w:t>
      </w:r>
    </w:p>
    <w:p w14:paraId="4718C486" w14:textId="767B55EC" w:rsidR="00021B6E" w:rsidRDefault="00021B6E" w:rsidP="00F97F7F">
      <w:pPr>
        <w:ind w:firstLine="432"/>
        <w:jc w:val="both"/>
        <w:rPr>
          <w:sz w:val="20"/>
        </w:rPr>
      </w:pPr>
      <w:r w:rsidRPr="00021B6E">
        <w:rPr>
          <w:sz w:val="20"/>
        </w:rPr>
        <w:t>This study estimates the potential reduction in CO₂ emissions and operating costs resulting from a shift from petrol-powered motorcycles to electric motorcycles in Dhaka and throughout Bangladesh. The analysis draws on transport statistics and motorcycle registration data obtained from the Bangladesh Roa</w:t>
      </w:r>
      <w:r w:rsidR="004929A9">
        <w:rPr>
          <w:sz w:val="20"/>
        </w:rPr>
        <w:t>d Transport Authority (BRTA) [18</w:t>
      </w:r>
      <w:r w:rsidRPr="00021B6E">
        <w:rPr>
          <w:sz w:val="20"/>
        </w:rPr>
        <w:t>]. Indirect emissions from electricity consumption during charging were calculated using the International Energy Agency’s grid emission factor for Bangladesh, rep</w:t>
      </w:r>
      <w:r w:rsidR="004929A9">
        <w:rPr>
          <w:sz w:val="20"/>
        </w:rPr>
        <w:t>orted as 0.53 kg CO₂ per kWh [19</w:t>
      </w:r>
      <w:r w:rsidRPr="00021B6E">
        <w:rPr>
          <w:sz w:val="20"/>
        </w:rPr>
        <w:t>].</w:t>
      </w:r>
    </w:p>
    <w:p w14:paraId="113AB3C1" w14:textId="228F6A38" w:rsidR="0087779F" w:rsidRDefault="00021B6E" w:rsidP="00021B6E">
      <w:pPr>
        <w:rPr>
          <w:sz w:val="20"/>
        </w:rPr>
      </w:pPr>
      <w:r w:rsidRPr="00021B6E">
        <w:rPr>
          <w:sz w:val="20"/>
        </w:rPr>
        <w:t>The following assumptions were used:</w:t>
      </w:r>
    </w:p>
    <w:p w14:paraId="27423469" w14:textId="77777777" w:rsidR="00370AC0" w:rsidRPr="00021B6E" w:rsidRDefault="00370AC0" w:rsidP="00021B6E">
      <w:pPr>
        <w:rPr>
          <w:sz w:val="20"/>
        </w:rPr>
      </w:pPr>
    </w:p>
    <w:p w14:paraId="04883B44" w14:textId="65DC2E18" w:rsidR="00021B6E" w:rsidRPr="00021B6E" w:rsidRDefault="00021B6E" w:rsidP="00021B6E">
      <w:pPr>
        <w:pStyle w:val="ListParagraph"/>
        <w:numPr>
          <w:ilvl w:val="0"/>
          <w:numId w:val="22"/>
        </w:numPr>
        <w:jc w:val="both"/>
        <w:rPr>
          <w:sz w:val="20"/>
        </w:rPr>
      </w:pPr>
      <w:r w:rsidRPr="00021B6E">
        <w:rPr>
          <w:sz w:val="20"/>
        </w:rPr>
        <w:t>1 million motorcycles in Dhaka and 3.5 million nationwide</w:t>
      </w:r>
    </w:p>
    <w:p w14:paraId="488792F3" w14:textId="221F4606" w:rsidR="00021B6E" w:rsidRPr="00021B6E" w:rsidRDefault="00021B6E" w:rsidP="00021B6E">
      <w:pPr>
        <w:pStyle w:val="ListParagraph"/>
        <w:numPr>
          <w:ilvl w:val="0"/>
          <w:numId w:val="22"/>
        </w:numPr>
        <w:jc w:val="both"/>
        <w:rPr>
          <w:sz w:val="20"/>
        </w:rPr>
      </w:pPr>
      <w:r w:rsidRPr="00021B6E">
        <w:rPr>
          <w:sz w:val="20"/>
        </w:rPr>
        <w:t>Average daily travel per motorcycle: 40 km</w:t>
      </w:r>
    </w:p>
    <w:p w14:paraId="46F796AD" w14:textId="7C81C11C" w:rsidR="00370AC0" w:rsidRPr="0087779F" w:rsidRDefault="00021B6E" w:rsidP="00370AC0">
      <w:pPr>
        <w:pStyle w:val="ListParagraph"/>
        <w:numPr>
          <w:ilvl w:val="0"/>
          <w:numId w:val="22"/>
        </w:numPr>
        <w:jc w:val="both"/>
        <w:rPr>
          <w:sz w:val="20"/>
        </w:rPr>
      </w:pPr>
      <w:r w:rsidRPr="00021B6E">
        <w:rPr>
          <w:sz w:val="20"/>
        </w:rPr>
        <w:t>Average CO₂ emission per petrol motorcycle: 0.1 kg/km</w:t>
      </w:r>
    </w:p>
    <w:p w14:paraId="591C478B" w14:textId="53E20D42" w:rsidR="001F4CB9" w:rsidRPr="00FF0398" w:rsidRDefault="004C1C50" w:rsidP="001F4CB9">
      <w:pPr>
        <w:spacing w:before="120" w:after="120"/>
        <w:rPr>
          <w:color w:val="000000"/>
          <w:sz w:val="20"/>
        </w:rPr>
      </w:pPr>
      <w:r w:rsidRPr="00FF0398">
        <w:rPr>
          <w:color w:val="000000"/>
          <w:sz w:val="20"/>
        </w:rPr>
        <w:t xml:space="preserve">        </w:t>
      </w:r>
      <w:r w:rsidR="001F4CB9" w:rsidRPr="00FF0398">
        <w:rPr>
          <w:color w:val="000000"/>
          <w:sz w:val="20"/>
        </w:rPr>
        <w:t>The Total CO</w:t>
      </w:r>
      <w:r w:rsidR="001F4CB9" w:rsidRPr="00FF0398">
        <w:rPr>
          <w:color w:val="000000"/>
          <w:sz w:val="20"/>
          <w:vertAlign w:val="subscript"/>
        </w:rPr>
        <w:t xml:space="preserve">2 </w:t>
      </w:r>
      <w:r w:rsidR="001F4CB9" w:rsidRPr="00FF0398">
        <w:rPr>
          <w:color w:val="000000"/>
          <w:sz w:val="20"/>
        </w:rPr>
        <w:t>(Petrol) = N × D × E</w:t>
      </w:r>
      <w:r w:rsidR="001F4CB9" w:rsidRPr="00FF0398">
        <w:rPr>
          <w:color w:val="000000"/>
          <w:sz w:val="20"/>
          <w:vertAlign w:val="subscript"/>
        </w:rPr>
        <w:t xml:space="preserve">p  </w:t>
      </w:r>
      <w:r w:rsidR="001F4CB9" w:rsidRPr="00FF0398">
        <w:rPr>
          <w:color w:val="000000"/>
          <w:sz w:val="20"/>
        </w:rPr>
        <w:t xml:space="preserve">                                                                              </w:t>
      </w:r>
      <w:r w:rsidRPr="00FF0398">
        <w:rPr>
          <w:color w:val="000000"/>
          <w:sz w:val="20"/>
        </w:rPr>
        <w:t xml:space="preserve"> </w:t>
      </w:r>
      <w:r w:rsidR="001F4CB9" w:rsidRPr="00FF0398">
        <w:rPr>
          <w:color w:val="000000"/>
          <w:sz w:val="20"/>
        </w:rPr>
        <w:t xml:space="preserve">      </w:t>
      </w:r>
      <w:r w:rsidRPr="00FF0398">
        <w:rPr>
          <w:color w:val="000000"/>
          <w:sz w:val="20"/>
        </w:rPr>
        <w:t xml:space="preserve">                           </w:t>
      </w:r>
      <w:r w:rsidR="0020286C">
        <w:rPr>
          <w:color w:val="000000"/>
          <w:sz w:val="20"/>
        </w:rPr>
        <w:t xml:space="preserve">  </w:t>
      </w:r>
      <w:r w:rsidR="001F4CB9" w:rsidRPr="00FF0398">
        <w:rPr>
          <w:color w:val="000000"/>
          <w:sz w:val="20"/>
        </w:rPr>
        <w:t>(5)</w:t>
      </w:r>
    </w:p>
    <w:p w14:paraId="03CFBB27" w14:textId="77777777" w:rsidR="00FF0398" w:rsidRPr="00FF0398" w:rsidRDefault="00FF0398" w:rsidP="00FF0398">
      <w:pPr>
        <w:spacing w:before="120" w:after="120"/>
        <w:rPr>
          <w:color w:val="000000"/>
          <w:sz w:val="20"/>
          <w:lang w:val="en"/>
        </w:rPr>
      </w:pPr>
      <w:r w:rsidRPr="00FF0398">
        <w:rPr>
          <w:color w:val="000000"/>
          <w:sz w:val="20"/>
          <w:lang w:val="en"/>
        </w:rPr>
        <w:t>Where:</w:t>
      </w:r>
    </w:p>
    <w:p w14:paraId="534B83A2" w14:textId="77777777" w:rsidR="00FF0398" w:rsidRPr="00FF0398" w:rsidRDefault="00FF0398" w:rsidP="00FF0398">
      <w:pPr>
        <w:spacing w:before="120" w:after="120"/>
        <w:rPr>
          <w:color w:val="000000"/>
          <w:sz w:val="20"/>
          <w:lang w:val="en"/>
        </w:rPr>
      </w:pPr>
      <w:r w:rsidRPr="00FF0398">
        <w:rPr>
          <w:color w:val="000000"/>
          <w:sz w:val="20"/>
          <w:lang w:val="en"/>
        </w:rPr>
        <w:t>N = number of motorcycles</w:t>
      </w:r>
    </w:p>
    <w:p w14:paraId="1305CE19" w14:textId="77777777" w:rsidR="00FF0398" w:rsidRPr="00FF0398" w:rsidRDefault="00FF0398" w:rsidP="00FF0398">
      <w:pPr>
        <w:spacing w:before="120" w:after="120"/>
        <w:rPr>
          <w:color w:val="000000"/>
          <w:sz w:val="20"/>
          <w:lang w:val="en"/>
        </w:rPr>
      </w:pPr>
      <w:r w:rsidRPr="00FF0398">
        <w:rPr>
          <w:color w:val="000000"/>
          <w:sz w:val="20"/>
          <w:lang w:val="en"/>
        </w:rPr>
        <w:t>D = distance traveled per day (km)</w:t>
      </w:r>
    </w:p>
    <w:p w14:paraId="60C04C4D" w14:textId="77777777" w:rsidR="00FF0398" w:rsidRPr="00FF0398" w:rsidRDefault="00FF0398" w:rsidP="00FF0398">
      <w:pPr>
        <w:spacing w:before="120" w:after="120"/>
        <w:rPr>
          <w:color w:val="000000"/>
          <w:sz w:val="20"/>
          <w:lang w:val="en"/>
        </w:rPr>
      </w:pPr>
      <w:r w:rsidRPr="00FF0398">
        <w:rPr>
          <w:color w:val="000000"/>
          <w:sz w:val="20"/>
          <w:lang w:val="en"/>
        </w:rPr>
        <w:t>E</w:t>
      </w:r>
      <w:r w:rsidRPr="00FF0398">
        <w:rPr>
          <w:color w:val="000000"/>
          <w:sz w:val="20"/>
          <w:vertAlign w:val="subscript"/>
          <w:lang w:val="en"/>
        </w:rPr>
        <w:t>p</w:t>
      </w:r>
      <w:r w:rsidRPr="00FF0398">
        <w:rPr>
          <w:color w:val="000000"/>
          <w:sz w:val="20"/>
          <w:lang w:val="en"/>
        </w:rPr>
        <w:t xml:space="preserve"> = CO₂ emission per petrol motorcycle (kg/km) </w:t>
      </w:r>
    </w:p>
    <w:p w14:paraId="4C3C2128" w14:textId="77777777" w:rsidR="00FF0398" w:rsidRPr="00FF0398" w:rsidRDefault="00FF0398" w:rsidP="00FF0398">
      <w:pPr>
        <w:spacing w:before="120" w:after="120"/>
        <w:rPr>
          <w:color w:val="000000"/>
          <w:sz w:val="20"/>
          <w:lang w:val="en"/>
        </w:rPr>
      </w:pPr>
      <w:r w:rsidRPr="00FF0398">
        <w:rPr>
          <w:color w:val="000000"/>
          <w:sz w:val="20"/>
          <w:lang w:val="en"/>
        </w:rPr>
        <w:t xml:space="preserve">To estimate the CO₂ emissions from electric motorcycles, the following relation was applied: </w:t>
      </w:r>
    </w:p>
    <w:p w14:paraId="39D0C6AF" w14:textId="76FE25AE" w:rsidR="00FF0398" w:rsidRPr="00FF0398" w:rsidRDefault="00364B36" w:rsidP="00364B36">
      <w:pPr>
        <w:spacing w:before="120" w:after="120"/>
        <w:rPr>
          <w:color w:val="000000"/>
          <w:sz w:val="20"/>
          <w:lang w:val="en"/>
        </w:rPr>
      </w:pPr>
      <w:r>
        <w:rPr>
          <w:color w:val="000000"/>
          <w:sz w:val="20"/>
          <w:lang w:val="en"/>
        </w:rPr>
        <w:t xml:space="preserve">         </w:t>
      </w:r>
      <w:r w:rsidR="00FF0398" w:rsidRPr="00FF0398">
        <w:rPr>
          <w:color w:val="000000"/>
          <w:sz w:val="20"/>
          <w:lang w:val="en"/>
        </w:rPr>
        <w:t>CO</w:t>
      </w:r>
      <w:r w:rsidR="00FF0398" w:rsidRPr="00FF0398">
        <w:rPr>
          <w:color w:val="000000"/>
          <w:sz w:val="20"/>
          <w:vertAlign w:val="subscript"/>
          <w:lang w:val="en"/>
        </w:rPr>
        <w:t xml:space="preserve">2 </w:t>
      </w:r>
      <w:r w:rsidR="00FF0398" w:rsidRPr="00FF0398">
        <w:rPr>
          <w:color w:val="000000"/>
          <w:sz w:val="20"/>
          <w:lang w:val="en"/>
        </w:rPr>
        <w:t>Electric = E</w:t>
      </w:r>
      <w:r w:rsidR="00FF0398" w:rsidRPr="00FF0398">
        <w:rPr>
          <w:color w:val="000000"/>
          <w:sz w:val="20"/>
          <w:vertAlign w:val="subscript"/>
          <w:lang w:val="en"/>
        </w:rPr>
        <w:t xml:space="preserve">100 </w:t>
      </w:r>
      <w:r w:rsidR="00FF0398" w:rsidRPr="00FF0398">
        <w:rPr>
          <w:color w:val="000000"/>
          <w:sz w:val="20"/>
          <w:lang w:val="en"/>
        </w:rPr>
        <w:t xml:space="preserve">× </w:t>
      </w:r>
      <m:oMath>
        <m:f>
          <m:fPr>
            <m:ctrlPr>
              <w:rPr>
                <w:rFonts w:ascii="Cambria Math" w:hAnsi="Cambria Math"/>
                <w:i/>
                <w:color w:val="000000"/>
                <w:sz w:val="20"/>
                <w:lang w:val="en"/>
              </w:rPr>
            </m:ctrlPr>
          </m:fPr>
          <m:num>
            <m:r>
              <w:rPr>
                <w:rFonts w:ascii="Cambria Math" w:hAnsi="Cambria Math"/>
                <w:color w:val="000000"/>
                <w:sz w:val="20"/>
                <w:lang w:val="en"/>
              </w:rPr>
              <m:t>D</m:t>
            </m:r>
          </m:num>
          <m:den>
            <m:r>
              <w:rPr>
                <w:rFonts w:ascii="Cambria Math" w:hAnsi="Cambria Math"/>
                <w:color w:val="000000"/>
                <w:sz w:val="20"/>
                <w:lang w:val="en"/>
              </w:rPr>
              <m:t>100</m:t>
            </m:r>
          </m:den>
        </m:f>
      </m:oMath>
      <w:r w:rsidR="00FF0398" w:rsidRPr="00FF0398">
        <w:rPr>
          <w:color w:val="000000"/>
          <w:sz w:val="20"/>
          <w:lang w:val="en"/>
        </w:rPr>
        <w:t xml:space="preserve"> × EF                                                      </w:t>
      </w:r>
      <w:r w:rsidR="00FF0398">
        <w:rPr>
          <w:color w:val="000000"/>
          <w:sz w:val="20"/>
          <w:lang w:val="en"/>
        </w:rPr>
        <w:t xml:space="preserve">                                        </w:t>
      </w:r>
      <w:r>
        <w:rPr>
          <w:color w:val="000000"/>
          <w:sz w:val="20"/>
          <w:lang w:val="en"/>
        </w:rPr>
        <w:t xml:space="preserve">                             </w:t>
      </w:r>
      <w:r w:rsidRPr="00FF0398">
        <w:rPr>
          <w:color w:val="000000"/>
          <w:sz w:val="20"/>
          <w:lang w:val="en"/>
        </w:rPr>
        <w:t>(6)</w:t>
      </w:r>
      <w:r w:rsidR="00FF0398">
        <w:rPr>
          <w:color w:val="000000"/>
          <w:sz w:val="20"/>
          <w:lang w:val="en"/>
        </w:rPr>
        <w:t xml:space="preserve">                     </w:t>
      </w:r>
      <w:r w:rsidR="00EE6A81">
        <w:rPr>
          <w:color w:val="000000"/>
          <w:sz w:val="20"/>
          <w:lang w:val="en"/>
        </w:rPr>
        <w:t xml:space="preserve">          </w:t>
      </w:r>
      <w:r w:rsidR="00FF0398">
        <w:rPr>
          <w:color w:val="000000"/>
          <w:sz w:val="20"/>
          <w:lang w:val="en"/>
        </w:rPr>
        <w:t xml:space="preserve"> </w:t>
      </w:r>
      <w:r w:rsidR="00FF0398" w:rsidRPr="00FF0398">
        <w:rPr>
          <w:color w:val="000000"/>
          <w:sz w:val="20"/>
          <w:lang w:val="en"/>
        </w:rPr>
        <w:t xml:space="preserve">  </w:t>
      </w:r>
      <w:r w:rsidR="00EE6A81">
        <w:rPr>
          <w:color w:val="000000"/>
          <w:sz w:val="20"/>
          <w:lang w:val="en"/>
        </w:rPr>
        <w:t xml:space="preserve"> </w:t>
      </w:r>
      <w:r w:rsidR="008449BC">
        <w:rPr>
          <w:color w:val="000000"/>
          <w:sz w:val="20"/>
          <w:lang w:val="en"/>
        </w:rPr>
        <w:t xml:space="preserve"> </w:t>
      </w:r>
      <w:r w:rsidR="00EE6A81">
        <w:rPr>
          <w:color w:val="000000"/>
          <w:sz w:val="20"/>
          <w:lang w:val="en"/>
        </w:rPr>
        <w:t xml:space="preserve"> </w:t>
      </w:r>
      <w:r w:rsidR="00991500">
        <w:rPr>
          <w:color w:val="000000"/>
          <w:sz w:val="20"/>
          <w:lang w:val="en"/>
        </w:rPr>
        <w:t xml:space="preserve"> </w:t>
      </w:r>
    </w:p>
    <w:p w14:paraId="19630889" w14:textId="77777777" w:rsidR="00FF0398" w:rsidRPr="00FF0398" w:rsidRDefault="00FF0398" w:rsidP="00FF0398">
      <w:pPr>
        <w:spacing w:before="120" w:after="120"/>
        <w:rPr>
          <w:color w:val="000000"/>
          <w:sz w:val="20"/>
          <w:lang w:val="en"/>
        </w:rPr>
      </w:pPr>
      <w:r w:rsidRPr="00FF0398">
        <w:rPr>
          <w:color w:val="000000"/>
          <w:sz w:val="20"/>
          <w:lang w:val="en"/>
        </w:rPr>
        <w:t xml:space="preserve">Where, </w:t>
      </w:r>
    </w:p>
    <w:p w14:paraId="074B24E6" w14:textId="77777777" w:rsidR="00FF0398" w:rsidRPr="00FF0398" w:rsidRDefault="00FF0398" w:rsidP="00FF0398">
      <w:pPr>
        <w:spacing w:before="120" w:after="120"/>
        <w:rPr>
          <w:color w:val="000000"/>
          <w:sz w:val="20"/>
          <w:lang w:val="en"/>
        </w:rPr>
      </w:pPr>
      <w:r w:rsidRPr="00FF0398">
        <w:rPr>
          <w:color w:val="000000"/>
          <w:sz w:val="20"/>
          <w:lang w:val="en"/>
        </w:rPr>
        <w:t>E</w:t>
      </w:r>
      <w:r w:rsidRPr="00FF0398">
        <w:rPr>
          <w:color w:val="000000"/>
          <w:sz w:val="20"/>
          <w:vertAlign w:val="subscript"/>
          <w:lang w:val="en"/>
        </w:rPr>
        <w:t xml:space="preserve">100 </w:t>
      </w:r>
      <w:r w:rsidRPr="00FF0398">
        <w:rPr>
          <w:color w:val="000000"/>
          <w:sz w:val="20"/>
          <w:lang w:val="en"/>
        </w:rPr>
        <w:t>= Energy consumption per 100 km (in kWh)</w:t>
      </w:r>
    </w:p>
    <w:p w14:paraId="68D336B6" w14:textId="77777777" w:rsidR="00FF0398" w:rsidRPr="00FF0398" w:rsidRDefault="00FF0398" w:rsidP="00FF0398">
      <w:pPr>
        <w:spacing w:before="120" w:after="120"/>
        <w:rPr>
          <w:color w:val="000000"/>
          <w:sz w:val="20"/>
          <w:lang w:val="en"/>
        </w:rPr>
      </w:pPr>
      <w:r w:rsidRPr="00FF0398">
        <w:rPr>
          <w:color w:val="000000"/>
          <w:sz w:val="20"/>
          <w:lang w:val="en"/>
        </w:rPr>
        <w:t>EF = Grid emission factor (kg CO₂/kWh)</w:t>
      </w:r>
    </w:p>
    <w:p w14:paraId="09E6D5F0" w14:textId="77777777" w:rsidR="00FF0398" w:rsidRPr="00FF0398" w:rsidRDefault="00FF0398" w:rsidP="00FF0398">
      <w:pPr>
        <w:spacing w:before="120" w:after="120"/>
        <w:rPr>
          <w:color w:val="000000"/>
          <w:sz w:val="20"/>
          <w:lang w:val="en"/>
        </w:rPr>
      </w:pPr>
      <w:r w:rsidRPr="00FF0398">
        <w:rPr>
          <w:color w:val="000000"/>
          <w:sz w:val="20"/>
          <w:lang w:val="en"/>
        </w:rPr>
        <w:t>Thus, the emission reduction potential per motorcycle is:</w:t>
      </w:r>
    </w:p>
    <w:p w14:paraId="77AA084A" w14:textId="75E82D91" w:rsidR="00FF0398" w:rsidRPr="00FF0398" w:rsidRDefault="00364B36" w:rsidP="00364B36">
      <w:pPr>
        <w:spacing w:before="120" w:after="120"/>
        <w:rPr>
          <w:color w:val="000000"/>
          <w:sz w:val="20"/>
          <w:lang w:val="en"/>
        </w:rPr>
      </w:pPr>
      <w:r>
        <w:rPr>
          <w:color w:val="000000"/>
          <w:sz w:val="20"/>
          <w:lang w:val="en"/>
        </w:rPr>
        <w:t xml:space="preserve">        </w:t>
      </w:r>
      <w:r w:rsidR="00FF0398" w:rsidRPr="00FF0398">
        <w:rPr>
          <w:color w:val="000000"/>
          <w:sz w:val="20"/>
          <w:lang w:val="en"/>
        </w:rPr>
        <w:t>CO</w:t>
      </w:r>
      <w:r w:rsidR="00FF0398" w:rsidRPr="00FF0398">
        <w:rPr>
          <w:color w:val="000000"/>
          <w:sz w:val="20"/>
          <w:vertAlign w:val="subscript"/>
          <w:lang w:val="en"/>
        </w:rPr>
        <w:t xml:space="preserve">2 </w:t>
      </w:r>
      <w:r w:rsidR="00FF0398" w:rsidRPr="00FF0398">
        <w:rPr>
          <w:color w:val="000000"/>
          <w:sz w:val="20"/>
          <w:lang w:val="en"/>
        </w:rPr>
        <w:t>Reduction = CO</w:t>
      </w:r>
      <w:r w:rsidR="00FF0398" w:rsidRPr="00FF0398">
        <w:rPr>
          <w:color w:val="000000"/>
          <w:sz w:val="20"/>
          <w:vertAlign w:val="subscript"/>
          <w:lang w:val="en"/>
        </w:rPr>
        <w:t xml:space="preserve">2 </w:t>
      </w:r>
      <w:r w:rsidR="00FF0398" w:rsidRPr="00FF0398">
        <w:rPr>
          <w:color w:val="000000"/>
          <w:sz w:val="20"/>
          <w:lang w:val="en"/>
        </w:rPr>
        <w:t>(Petrol) - CO</w:t>
      </w:r>
      <w:r w:rsidR="00FF0398" w:rsidRPr="00FF0398">
        <w:rPr>
          <w:color w:val="000000"/>
          <w:sz w:val="20"/>
          <w:vertAlign w:val="subscript"/>
          <w:lang w:val="en"/>
        </w:rPr>
        <w:t xml:space="preserve">2 </w:t>
      </w:r>
      <w:r w:rsidR="000D7B7D">
        <w:rPr>
          <w:color w:val="000000"/>
          <w:sz w:val="20"/>
          <w:lang w:val="en"/>
        </w:rPr>
        <w:t>(Electric</w:t>
      </w:r>
      <w:r w:rsidR="00FF0398" w:rsidRPr="00FF0398">
        <w:rPr>
          <w:color w:val="000000"/>
          <w:sz w:val="20"/>
          <w:lang w:val="en"/>
        </w:rPr>
        <w:t>)</w:t>
      </w:r>
      <w:r w:rsidR="00021B6E">
        <w:rPr>
          <w:color w:val="000000"/>
          <w:sz w:val="20"/>
          <w:lang w:val="en"/>
        </w:rPr>
        <w:t xml:space="preserve">          </w:t>
      </w:r>
      <w:r>
        <w:rPr>
          <w:color w:val="000000"/>
          <w:sz w:val="20"/>
          <w:lang w:val="en"/>
        </w:rPr>
        <w:t xml:space="preserve">                                                      </w:t>
      </w:r>
      <w:r w:rsidR="00712F50">
        <w:rPr>
          <w:color w:val="000000"/>
          <w:sz w:val="20"/>
          <w:lang w:val="en"/>
        </w:rPr>
        <w:t xml:space="preserve">                                 </w:t>
      </w:r>
      <w:r>
        <w:rPr>
          <w:color w:val="000000"/>
          <w:sz w:val="20"/>
          <w:lang w:val="en"/>
        </w:rPr>
        <w:t xml:space="preserve"> </w:t>
      </w:r>
      <w:r w:rsidRPr="00FF0398">
        <w:rPr>
          <w:color w:val="000000"/>
          <w:sz w:val="20"/>
          <w:lang w:val="en"/>
        </w:rPr>
        <w:t>(7)</w:t>
      </w:r>
      <w:r w:rsidR="00021B6E">
        <w:rPr>
          <w:color w:val="000000"/>
          <w:sz w:val="20"/>
          <w:lang w:val="en"/>
        </w:rPr>
        <w:t xml:space="preserve">                                                                                                  </w:t>
      </w:r>
    </w:p>
    <w:p w14:paraId="029A08F4" w14:textId="2FF46EA8" w:rsidR="00544051" w:rsidRPr="00544051" w:rsidRDefault="005D7DFA" w:rsidP="00544051">
      <w:pPr>
        <w:spacing w:before="120" w:after="120"/>
        <w:jc w:val="center"/>
        <w:rPr>
          <w:b/>
          <w:szCs w:val="24"/>
        </w:rPr>
      </w:pPr>
      <w:r w:rsidRPr="005D7DFA">
        <w:rPr>
          <w:b/>
          <w:szCs w:val="24"/>
        </w:rPr>
        <w:t>Economic Cost Comparison</w:t>
      </w:r>
    </w:p>
    <w:p w14:paraId="3C1F75F8" w14:textId="74F6FA82" w:rsidR="000B6CB7" w:rsidRPr="0088599D" w:rsidRDefault="000B6CB7" w:rsidP="00F97F7F">
      <w:pPr>
        <w:pStyle w:val="NormalWeb"/>
        <w:ind w:firstLine="432"/>
        <w:jc w:val="both"/>
        <w:rPr>
          <w:sz w:val="20"/>
          <w:szCs w:val="20"/>
        </w:rPr>
      </w:pPr>
      <w:r w:rsidRPr="000B6CB7">
        <w:rPr>
          <w:sz w:val="20"/>
          <w:szCs w:val="20"/>
        </w:rPr>
        <w:t xml:space="preserve">An economic analysis was conducted to compare the annual operating costs of petrol and electric motorcycles. A 72 V, 32 Ah (2.3 kWh) battery was selected as a representative mid-range configuration, common in models from </w:t>
      </w:r>
      <w:proofErr w:type="spellStart"/>
      <w:r w:rsidRPr="000B6CB7">
        <w:rPr>
          <w:sz w:val="20"/>
          <w:szCs w:val="20"/>
        </w:rPr>
        <w:t>Akij</w:t>
      </w:r>
      <w:proofErr w:type="spellEnd"/>
      <w:r w:rsidRPr="000B6CB7">
        <w:rPr>
          <w:sz w:val="20"/>
          <w:szCs w:val="20"/>
        </w:rPr>
        <w:t xml:space="preserve"> and Walton.</w:t>
      </w:r>
      <w:r w:rsidR="00217423">
        <w:rPr>
          <w:sz w:val="20"/>
          <w:szCs w:val="20"/>
        </w:rPr>
        <w:t xml:space="preserve"> </w:t>
      </w:r>
      <w:r w:rsidR="00217423" w:rsidRPr="00217423">
        <w:rPr>
          <w:sz w:val="20"/>
          <w:szCs w:val="20"/>
        </w:rPr>
        <w:t xml:space="preserve">A lab-modified motorcycle with a 60 V, 25 Ah (1.5 kWh) battery also provided supporting evidence. These setups were used to determine how much energy and money would be required to travel one kilometre. The findings are in the Results section. The research incorporates both energy and maintenance expenditures, which gives a better picture of the costs of owning something over time.  </w:t>
      </w:r>
      <w:r w:rsidR="00217423">
        <w:rPr>
          <w:sz w:val="20"/>
          <w:szCs w:val="20"/>
        </w:rPr>
        <w:t xml:space="preserve"> </w:t>
      </w:r>
      <w:r w:rsidRPr="0088599D">
        <w:rPr>
          <w:sz w:val="20"/>
          <w:szCs w:val="20"/>
        </w:rPr>
        <w:t xml:space="preserve"> </w:t>
      </w:r>
      <w:r w:rsidR="00D6094A">
        <w:rPr>
          <w:sz w:val="20"/>
          <w:szCs w:val="20"/>
        </w:rPr>
        <w:t xml:space="preserve"> </w:t>
      </w:r>
    </w:p>
    <w:p w14:paraId="72A794A2" w14:textId="0A98C047" w:rsidR="0088599D" w:rsidRPr="0088599D" w:rsidRDefault="00364B36" w:rsidP="0088599D">
      <w:pPr>
        <w:rPr>
          <w:color w:val="000000"/>
          <w:sz w:val="20"/>
        </w:rPr>
      </w:pPr>
      <w:r>
        <w:rPr>
          <w:sz w:val="20"/>
        </w:rPr>
        <w:t xml:space="preserve">       </w:t>
      </w:r>
      <w:r w:rsidR="0088599D" w:rsidRPr="0088599D">
        <w:rPr>
          <w:sz w:val="20"/>
        </w:rPr>
        <w:t xml:space="preserve">Annual Fuel Cost (Petrol) = D </w:t>
      </w:r>
      <w:r w:rsidR="0088599D" w:rsidRPr="0088599D">
        <w:rPr>
          <w:color w:val="000000"/>
          <w:sz w:val="20"/>
        </w:rPr>
        <w:t>× FC × P</w:t>
      </w:r>
      <w:r w:rsidR="0088599D" w:rsidRPr="0088599D">
        <w:rPr>
          <w:color w:val="000000"/>
          <w:sz w:val="20"/>
          <w:vertAlign w:val="subscript"/>
        </w:rPr>
        <w:t>f​</w:t>
      </w:r>
      <w:r w:rsidR="0088599D" w:rsidRPr="0088599D">
        <w:rPr>
          <w:color w:val="000000"/>
          <w:sz w:val="20"/>
        </w:rPr>
        <w:t xml:space="preserve">                                  </w:t>
      </w:r>
      <w:r w:rsidR="0088599D">
        <w:rPr>
          <w:color w:val="000000"/>
          <w:sz w:val="20"/>
        </w:rPr>
        <w:t xml:space="preserve">                                                           </w:t>
      </w:r>
      <w:r w:rsidR="004D0181">
        <w:rPr>
          <w:color w:val="000000"/>
          <w:sz w:val="20"/>
        </w:rPr>
        <w:t xml:space="preserve"> </w:t>
      </w:r>
      <w:r w:rsidR="0088599D">
        <w:rPr>
          <w:color w:val="000000"/>
          <w:sz w:val="20"/>
        </w:rPr>
        <w:t xml:space="preserve">   </w:t>
      </w:r>
      <w:r w:rsidR="00D04B94">
        <w:rPr>
          <w:color w:val="000000"/>
          <w:sz w:val="20"/>
        </w:rPr>
        <w:t xml:space="preserve">      </w:t>
      </w:r>
      <w:r w:rsidR="0088599D">
        <w:rPr>
          <w:color w:val="000000"/>
          <w:sz w:val="20"/>
        </w:rPr>
        <w:t xml:space="preserve"> </w:t>
      </w:r>
      <w:r w:rsidR="0088599D" w:rsidRPr="0088599D">
        <w:rPr>
          <w:color w:val="000000"/>
          <w:sz w:val="20"/>
        </w:rPr>
        <w:t xml:space="preserve"> </w:t>
      </w:r>
      <w:r w:rsidR="00871934">
        <w:rPr>
          <w:color w:val="000000"/>
          <w:sz w:val="20"/>
        </w:rPr>
        <w:t xml:space="preserve"> </w:t>
      </w:r>
      <w:r w:rsidR="0088599D" w:rsidRPr="0088599D">
        <w:rPr>
          <w:color w:val="000000"/>
          <w:sz w:val="20"/>
        </w:rPr>
        <w:t>(8)</w:t>
      </w:r>
    </w:p>
    <w:p w14:paraId="21FDF806" w14:textId="211520DD" w:rsidR="0088599D" w:rsidRDefault="00D04B94" w:rsidP="0088599D">
      <w:pPr>
        <w:rPr>
          <w:color w:val="000000"/>
          <w:sz w:val="20"/>
        </w:rPr>
      </w:pPr>
      <w:r>
        <w:rPr>
          <w:sz w:val="20"/>
        </w:rPr>
        <w:t xml:space="preserve">       </w:t>
      </w:r>
      <w:r w:rsidR="0088599D" w:rsidRPr="0088599D">
        <w:rPr>
          <w:sz w:val="20"/>
        </w:rPr>
        <w:t xml:space="preserve">Annual Electricity Cost (Electric) = D </w:t>
      </w:r>
      <w:r w:rsidR="0088599D" w:rsidRPr="0088599D">
        <w:rPr>
          <w:color w:val="000000"/>
          <w:sz w:val="20"/>
        </w:rPr>
        <w:t xml:space="preserve">× EC × </w:t>
      </w:r>
      <w:proofErr w:type="spellStart"/>
      <w:r w:rsidR="0088599D" w:rsidRPr="0088599D">
        <w:rPr>
          <w:color w:val="000000"/>
          <w:sz w:val="20"/>
        </w:rPr>
        <w:t>P</w:t>
      </w:r>
      <w:r w:rsidR="0088599D" w:rsidRPr="0088599D">
        <w:rPr>
          <w:color w:val="000000"/>
          <w:sz w:val="20"/>
          <w:vertAlign w:val="subscript"/>
        </w:rPr>
        <w:t>e</w:t>
      </w:r>
      <w:proofErr w:type="spellEnd"/>
      <w:r w:rsidR="0088599D" w:rsidRPr="0088599D">
        <w:rPr>
          <w:color w:val="000000"/>
          <w:sz w:val="20"/>
          <w:vertAlign w:val="subscript"/>
        </w:rPr>
        <w:t xml:space="preserve">                                 </w:t>
      </w:r>
      <w:r w:rsidR="0088599D">
        <w:rPr>
          <w:color w:val="000000"/>
          <w:sz w:val="20"/>
          <w:vertAlign w:val="subscript"/>
        </w:rPr>
        <w:t xml:space="preserve">                                                                                                 </w:t>
      </w:r>
      <w:r w:rsidR="00364B36">
        <w:rPr>
          <w:color w:val="000000"/>
          <w:sz w:val="20"/>
          <w:vertAlign w:val="subscript"/>
        </w:rPr>
        <w:t xml:space="preserve">            </w:t>
      </w:r>
      <w:r w:rsidR="00871934">
        <w:rPr>
          <w:color w:val="000000"/>
          <w:sz w:val="20"/>
          <w:vertAlign w:val="subscript"/>
        </w:rPr>
        <w:t xml:space="preserve"> </w:t>
      </w:r>
      <w:r w:rsidR="0088599D" w:rsidRPr="0088599D">
        <w:rPr>
          <w:color w:val="000000"/>
          <w:sz w:val="20"/>
        </w:rPr>
        <w:t>(9)</w:t>
      </w:r>
    </w:p>
    <w:p w14:paraId="2860717A" w14:textId="77777777" w:rsidR="00364B36" w:rsidRDefault="00364B36" w:rsidP="0088599D">
      <w:pPr>
        <w:rPr>
          <w:color w:val="000000"/>
          <w:sz w:val="20"/>
        </w:rPr>
      </w:pPr>
    </w:p>
    <w:p w14:paraId="44B960BD" w14:textId="77777777" w:rsidR="009914AB" w:rsidRPr="009914AB" w:rsidRDefault="009914AB" w:rsidP="009914AB">
      <w:pPr>
        <w:rPr>
          <w:color w:val="000000"/>
          <w:sz w:val="20"/>
        </w:rPr>
      </w:pPr>
      <w:r w:rsidRPr="009914AB">
        <w:rPr>
          <w:color w:val="000000"/>
          <w:sz w:val="20"/>
        </w:rPr>
        <w:t>Where:</w:t>
      </w:r>
    </w:p>
    <w:p w14:paraId="16C11951" w14:textId="77777777" w:rsidR="009914AB" w:rsidRPr="009914AB" w:rsidRDefault="009914AB" w:rsidP="009914AB">
      <w:pPr>
        <w:numPr>
          <w:ilvl w:val="0"/>
          <w:numId w:val="11"/>
        </w:numPr>
        <w:rPr>
          <w:color w:val="000000"/>
          <w:sz w:val="20"/>
        </w:rPr>
      </w:pPr>
      <w:r w:rsidRPr="009914AB">
        <w:rPr>
          <w:color w:val="000000"/>
          <w:sz w:val="20"/>
        </w:rPr>
        <w:t>D = Total annual travel distance (in km)</w:t>
      </w:r>
    </w:p>
    <w:p w14:paraId="08F4E610" w14:textId="77777777" w:rsidR="009914AB" w:rsidRPr="009914AB" w:rsidRDefault="009914AB" w:rsidP="009914AB">
      <w:pPr>
        <w:numPr>
          <w:ilvl w:val="0"/>
          <w:numId w:val="11"/>
        </w:numPr>
        <w:rPr>
          <w:color w:val="000000"/>
          <w:sz w:val="20"/>
        </w:rPr>
      </w:pPr>
      <w:r w:rsidRPr="009914AB">
        <w:rPr>
          <w:color w:val="000000"/>
          <w:sz w:val="20"/>
        </w:rPr>
        <w:t>FC = Fuel consumption per km (in L/km)</w:t>
      </w:r>
    </w:p>
    <w:p w14:paraId="362A98AE" w14:textId="5EE39754" w:rsidR="009914AB" w:rsidRPr="009914AB" w:rsidRDefault="009914AB" w:rsidP="009914AB">
      <w:pPr>
        <w:numPr>
          <w:ilvl w:val="0"/>
          <w:numId w:val="11"/>
        </w:numPr>
        <w:rPr>
          <w:color w:val="000000"/>
          <w:sz w:val="20"/>
        </w:rPr>
      </w:pPr>
      <w:r w:rsidRPr="009914AB">
        <w:rPr>
          <w:color w:val="000000"/>
          <w:sz w:val="20"/>
        </w:rPr>
        <w:t>P</w:t>
      </w:r>
      <w:r w:rsidRPr="009914AB">
        <w:rPr>
          <w:color w:val="000000"/>
          <w:sz w:val="20"/>
          <w:vertAlign w:val="subscript"/>
        </w:rPr>
        <w:t>f</w:t>
      </w:r>
      <w:r w:rsidRPr="009914AB">
        <w:rPr>
          <w:color w:val="000000"/>
          <w:sz w:val="20"/>
        </w:rPr>
        <w:t>​ = Fuel pr</w:t>
      </w:r>
      <w:r w:rsidR="00E07A77">
        <w:rPr>
          <w:color w:val="000000"/>
          <w:sz w:val="20"/>
        </w:rPr>
        <w:t>ice (BDT</w:t>
      </w:r>
      <w:r w:rsidRPr="009914AB">
        <w:rPr>
          <w:color w:val="000000"/>
          <w:sz w:val="20"/>
        </w:rPr>
        <w:t>/L)</w:t>
      </w:r>
    </w:p>
    <w:p w14:paraId="1B300CC7" w14:textId="77777777" w:rsidR="009914AB" w:rsidRPr="009914AB" w:rsidRDefault="009914AB" w:rsidP="009914AB">
      <w:pPr>
        <w:numPr>
          <w:ilvl w:val="0"/>
          <w:numId w:val="11"/>
        </w:numPr>
        <w:rPr>
          <w:color w:val="000000"/>
          <w:sz w:val="20"/>
        </w:rPr>
      </w:pPr>
      <w:r w:rsidRPr="009914AB">
        <w:rPr>
          <w:color w:val="000000"/>
          <w:sz w:val="20"/>
        </w:rPr>
        <w:t>EC = Energy consumption per km (in kWh/km)</w:t>
      </w:r>
    </w:p>
    <w:p w14:paraId="1D66DF4C" w14:textId="31902B6B" w:rsidR="009914AB" w:rsidRPr="009914AB" w:rsidRDefault="009914AB" w:rsidP="009914AB">
      <w:pPr>
        <w:numPr>
          <w:ilvl w:val="0"/>
          <w:numId w:val="11"/>
        </w:numPr>
        <w:rPr>
          <w:color w:val="000000"/>
          <w:sz w:val="20"/>
        </w:rPr>
      </w:pPr>
      <w:proofErr w:type="spellStart"/>
      <w:r w:rsidRPr="009914AB">
        <w:rPr>
          <w:color w:val="000000"/>
          <w:sz w:val="20"/>
        </w:rPr>
        <w:t>P</w:t>
      </w:r>
      <w:r w:rsidRPr="009914AB">
        <w:rPr>
          <w:color w:val="000000"/>
          <w:sz w:val="20"/>
          <w:vertAlign w:val="subscript"/>
        </w:rPr>
        <w:t>e</w:t>
      </w:r>
      <w:proofErr w:type="spellEnd"/>
      <w:r w:rsidR="00E07A77">
        <w:rPr>
          <w:color w:val="000000"/>
          <w:sz w:val="20"/>
        </w:rPr>
        <w:t xml:space="preserve"> = Electricity price (BDT/</w:t>
      </w:r>
      <w:proofErr w:type="spellStart"/>
      <w:r w:rsidRPr="009914AB">
        <w:rPr>
          <w:color w:val="000000"/>
          <w:sz w:val="20"/>
        </w:rPr>
        <w:t>Wh</w:t>
      </w:r>
      <w:proofErr w:type="spellEnd"/>
      <w:r w:rsidRPr="009914AB">
        <w:rPr>
          <w:color w:val="000000"/>
          <w:sz w:val="20"/>
        </w:rPr>
        <w:t>)</w:t>
      </w:r>
    </w:p>
    <w:p w14:paraId="46557A74" w14:textId="7B7DE609" w:rsidR="00364B36" w:rsidRDefault="009914AB" w:rsidP="009914AB">
      <w:pPr>
        <w:rPr>
          <w:color w:val="000000"/>
          <w:sz w:val="20"/>
        </w:rPr>
      </w:pPr>
      <w:r w:rsidRPr="009914AB">
        <w:rPr>
          <w:color w:val="000000"/>
          <w:sz w:val="20"/>
        </w:rPr>
        <w:t>The expected annual cost savings from switching to electri</w:t>
      </w:r>
      <w:r w:rsidR="006B20C8">
        <w:rPr>
          <w:color w:val="000000"/>
          <w:sz w:val="20"/>
        </w:rPr>
        <w:t>c motorcycles were estimated as</w:t>
      </w:r>
    </w:p>
    <w:p w14:paraId="27EEF496" w14:textId="77777777" w:rsidR="006B20C8" w:rsidRPr="009914AB" w:rsidRDefault="006B20C8" w:rsidP="009914AB">
      <w:pPr>
        <w:rPr>
          <w:color w:val="000000"/>
          <w:sz w:val="20"/>
        </w:rPr>
      </w:pPr>
    </w:p>
    <w:p w14:paraId="36EEEAC5" w14:textId="429A732F" w:rsidR="0088599D" w:rsidRDefault="006B20C8" w:rsidP="009914AB">
      <w:pPr>
        <w:rPr>
          <w:color w:val="000000"/>
          <w:sz w:val="20"/>
        </w:rPr>
      </w:pPr>
      <w:r>
        <w:rPr>
          <w:color w:val="000000"/>
          <w:sz w:val="20"/>
        </w:rPr>
        <w:t xml:space="preserve">       </w:t>
      </w:r>
      <w:r w:rsidR="009914AB" w:rsidRPr="009914AB">
        <w:rPr>
          <w:color w:val="000000"/>
          <w:sz w:val="20"/>
        </w:rPr>
        <w:t xml:space="preserve">Annual Savings = Annual Cost petrol - Annual Cost electric          </w:t>
      </w:r>
      <w:r w:rsidR="00CA2959">
        <w:rPr>
          <w:color w:val="000000"/>
          <w:sz w:val="20"/>
        </w:rPr>
        <w:t xml:space="preserve">                            </w:t>
      </w:r>
      <w:r w:rsidR="00BF2A70">
        <w:rPr>
          <w:color w:val="000000"/>
          <w:sz w:val="20"/>
        </w:rPr>
        <w:t xml:space="preserve">                            </w:t>
      </w:r>
      <w:r>
        <w:rPr>
          <w:color w:val="000000"/>
          <w:sz w:val="20"/>
        </w:rPr>
        <w:t xml:space="preserve">     </w:t>
      </w:r>
      <w:r w:rsidR="00871934">
        <w:rPr>
          <w:color w:val="000000"/>
          <w:sz w:val="20"/>
        </w:rPr>
        <w:t xml:space="preserve"> </w:t>
      </w:r>
      <w:r w:rsidR="00BF2A70">
        <w:rPr>
          <w:color w:val="000000"/>
          <w:sz w:val="20"/>
        </w:rPr>
        <w:t xml:space="preserve"> </w:t>
      </w:r>
      <w:r w:rsidRPr="009914AB">
        <w:rPr>
          <w:color w:val="000000"/>
          <w:sz w:val="20"/>
        </w:rPr>
        <w:t>(10)</w:t>
      </w:r>
      <w:r w:rsidR="00BF2A70">
        <w:rPr>
          <w:color w:val="000000"/>
          <w:sz w:val="20"/>
        </w:rPr>
        <w:t xml:space="preserve"> </w:t>
      </w:r>
      <w:r w:rsidR="00D6094A">
        <w:rPr>
          <w:color w:val="000000"/>
          <w:sz w:val="20"/>
        </w:rPr>
        <w:t xml:space="preserve">       </w:t>
      </w:r>
      <w:r w:rsidR="00BF2A70">
        <w:rPr>
          <w:color w:val="000000"/>
          <w:sz w:val="20"/>
        </w:rPr>
        <w:t xml:space="preserve"> </w:t>
      </w:r>
      <w:r>
        <w:rPr>
          <w:color w:val="000000"/>
          <w:sz w:val="20"/>
        </w:rPr>
        <w:t xml:space="preserve">   </w:t>
      </w:r>
    </w:p>
    <w:p w14:paraId="0AEBEB3E" w14:textId="5353E208" w:rsidR="00F375B3" w:rsidRDefault="00F375B3" w:rsidP="00BF2A70">
      <w:pPr>
        <w:jc w:val="both"/>
        <w:rPr>
          <w:color w:val="000000"/>
          <w:sz w:val="20"/>
        </w:rPr>
      </w:pPr>
    </w:p>
    <w:p w14:paraId="34FBAC0D" w14:textId="0BEE13D3" w:rsidR="00206BAB" w:rsidRDefault="00BF2A70" w:rsidP="00BF2A70">
      <w:pPr>
        <w:jc w:val="both"/>
        <w:rPr>
          <w:color w:val="000000"/>
          <w:sz w:val="20"/>
        </w:rPr>
      </w:pPr>
      <w:r w:rsidRPr="00BF2A70">
        <w:rPr>
          <w:color w:val="000000"/>
          <w:sz w:val="20"/>
        </w:rPr>
        <w:t xml:space="preserve">Field data were collected from motorcycle riders in Dhaka (urban), </w:t>
      </w:r>
      <w:proofErr w:type="spellStart"/>
      <w:r w:rsidRPr="00BF2A70">
        <w:rPr>
          <w:color w:val="000000"/>
          <w:sz w:val="20"/>
        </w:rPr>
        <w:t>Netrakona</w:t>
      </w:r>
      <w:proofErr w:type="spellEnd"/>
      <w:r w:rsidRPr="00BF2A70">
        <w:rPr>
          <w:color w:val="000000"/>
          <w:sz w:val="20"/>
        </w:rPr>
        <w:t xml:space="preserve"> (suburban), and </w:t>
      </w:r>
      <w:proofErr w:type="spellStart"/>
      <w:r w:rsidRPr="00BF2A70">
        <w:rPr>
          <w:color w:val="000000"/>
          <w:sz w:val="20"/>
        </w:rPr>
        <w:t>Kotwali</w:t>
      </w:r>
      <w:proofErr w:type="spellEnd"/>
      <w:r w:rsidRPr="00BF2A70">
        <w:rPr>
          <w:color w:val="000000"/>
          <w:sz w:val="20"/>
        </w:rPr>
        <w:t xml:space="preserve"> </w:t>
      </w:r>
      <w:proofErr w:type="spellStart"/>
      <w:r w:rsidRPr="00BF2A70">
        <w:rPr>
          <w:color w:val="000000"/>
          <w:sz w:val="20"/>
        </w:rPr>
        <w:t>Upazila</w:t>
      </w:r>
      <w:proofErr w:type="spellEnd"/>
      <w:r w:rsidRPr="00BF2A70">
        <w:rPr>
          <w:color w:val="000000"/>
          <w:sz w:val="20"/>
        </w:rPr>
        <w:t xml:space="preserve">, </w:t>
      </w:r>
      <w:proofErr w:type="spellStart"/>
      <w:r w:rsidRPr="00BF2A70">
        <w:rPr>
          <w:color w:val="000000"/>
          <w:sz w:val="20"/>
        </w:rPr>
        <w:t>Mymensingh</w:t>
      </w:r>
      <w:proofErr w:type="spellEnd"/>
      <w:r w:rsidRPr="00BF2A70">
        <w:rPr>
          <w:color w:val="000000"/>
          <w:sz w:val="20"/>
        </w:rPr>
        <w:t xml:space="preserve"> (rural) to capture geographic variations in usage and cost. Average daily travel distance and income</w:t>
      </w:r>
      <w:r>
        <w:rPr>
          <w:color w:val="000000"/>
          <w:sz w:val="20"/>
        </w:rPr>
        <w:t xml:space="preserve"> </w:t>
      </w:r>
      <w:r w:rsidRPr="00BF2A70">
        <w:rPr>
          <w:color w:val="000000"/>
          <w:sz w:val="20"/>
        </w:rPr>
        <w:lastRenderedPageBreak/>
        <w:t>were recorded. A profit analysis was conducted by subtracting monthly operational costs from riders’ earnings to calculate net monthly profit:</w:t>
      </w:r>
      <w:r>
        <w:rPr>
          <w:color w:val="000000"/>
          <w:sz w:val="20"/>
        </w:rPr>
        <w:t xml:space="preserve"> </w:t>
      </w:r>
    </w:p>
    <w:p w14:paraId="477B2A4B" w14:textId="77777777" w:rsidR="002A7048" w:rsidRDefault="002A7048" w:rsidP="00BF2A70">
      <w:pPr>
        <w:jc w:val="both"/>
        <w:rPr>
          <w:color w:val="000000"/>
          <w:sz w:val="20"/>
        </w:rPr>
      </w:pPr>
    </w:p>
    <w:p w14:paraId="016328A7" w14:textId="05CBB1E8" w:rsidR="00847CD7" w:rsidRDefault="00847CD7" w:rsidP="00206BAB">
      <w:pPr>
        <w:ind w:firstLine="432"/>
        <w:rPr>
          <w:color w:val="000000"/>
          <w:sz w:val="20"/>
        </w:rPr>
      </w:pPr>
      <w:r w:rsidRPr="00E50DAC">
        <w:rPr>
          <w:sz w:val="20"/>
        </w:rPr>
        <w:t>Net Monthly Profit = (I</w:t>
      </w:r>
      <w:r w:rsidRPr="00E50DAC">
        <w:rPr>
          <w:sz w:val="20"/>
          <w:vertAlign w:val="subscript"/>
        </w:rPr>
        <w:t xml:space="preserve">d </w:t>
      </w:r>
      <w:r w:rsidRPr="00E50DAC">
        <w:rPr>
          <w:color w:val="000000"/>
          <w:sz w:val="20"/>
        </w:rPr>
        <w:t>× N</w:t>
      </w:r>
      <w:r w:rsidRPr="00E50DAC">
        <w:rPr>
          <w:color w:val="000000"/>
          <w:sz w:val="20"/>
          <w:vertAlign w:val="subscript"/>
        </w:rPr>
        <w:t>D</w:t>
      </w:r>
      <w:r w:rsidRPr="00E50DAC">
        <w:rPr>
          <w:color w:val="000000"/>
          <w:sz w:val="20"/>
        </w:rPr>
        <w:t>) - C</w:t>
      </w:r>
      <w:r w:rsidRPr="00E50DAC">
        <w:rPr>
          <w:color w:val="000000"/>
          <w:sz w:val="20"/>
          <w:vertAlign w:val="subscript"/>
        </w:rPr>
        <w:t>m</w:t>
      </w:r>
      <w:r w:rsidRPr="00E50DAC">
        <w:rPr>
          <w:color w:val="000000"/>
          <w:sz w:val="20"/>
        </w:rPr>
        <w:t xml:space="preserve">                                                           </w:t>
      </w:r>
      <w:r w:rsidR="00F01E9D">
        <w:rPr>
          <w:color w:val="000000"/>
          <w:sz w:val="20"/>
        </w:rPr>
        <w:t xml:space="preserve">          </w:t>
      </w:r>
      <w:r w:rsidR="00D6094A">
        <w:rPr>
          <w:color w:val="000000"/>
          <w:sz w:val="20"/>
        </w:rPr>
        <w:t xml:space="preserve">            </w:t>
      </w:r>
      <w:r w:rsidR="00544051">
        <w:rPr>
          <w:color w:val="000000"/>
          <w:sz w:val="20"/>
        </w:rPr>
        <w:t xml:space="preserve">  </w:t>
      </w:r>
      <w:r w:rsidR="00D6094A">
        <w:rPr>
          <w:color w:val="000000"/>
          <w:sz w:val="20"/>
        </w:rPr>
        <w:t xml:space="preserve">  </w:t>
      </w:r>
      <w:r w:rsidRPr="00E50DAC">
        <w:rPr>
          <w:color w:val="000000"/>
          <w:sz w:val="20"/>
        </w:rPr>
        <w:t xml:space="preserve"> </w:t>
      </w:r>
      <w:r w:rsidR="00277EFA">
        <w:rPr>
          <w:color w:val="000000"/>
          <w:sz w:val="20"/>
        </w:rPr>
        <w:t xml:space="preserve">    </w:t>
      </w:r>
      <w:r w:rsidR="00206BAB">
        <w:rPr>
          <w:color w:val="000000"/>
          <w:sz w:val="20"/>
        </w:rPr>
        <w:t xml:space="preserve">              </w:t>
      </w:r>
      <w:r w:rsidR="00277EFA">
        <w:rPr>
          <w:color w:val="000000"/>
          <w:sz w:val="20"/>
        </w:rPr>
        <w:t xml:space="preserve">  </w:t>
      </w:r>
      <w:r w:rsidR="00871934">
        <w:rPr>
          <w:color w:val="000000"/>
          <w:sz w:val="20"/>
        </w:rPr>
        <w:t xml:space="preserve">  </w:t>
      </w:r>
      <w:r w:rsidR="00277EFA">
        <w:rPr>
          <w:color w:val="000000"/>
          <w:sz w:val="20"/>
        </w:rPr>
        <w:t xml:space="preserve">  </w:t>
      </w:r>
      <w:r w:rsidRPr="00E50DAC">
        <w:rPr>
          <w:color w:val="000000"/>
          <w:sz w:val="20"/>
        </w:rPr>
        <w:t xml:space="preserve"> (11)</w:t>
      </w:r>
    </w:p>
    <w:p w14:paraId="6CFBC1AA" w14:textId="77777777" w:rsidR="0045335F" w:rsidRPr="00E50DAC" w:rsidRDefault="0045335F" w:rsidP="00206BAB">
      <w:pPr>
        <w:ind w:firstLine="432"/>
        <w:rPr>
          <w:color w:val="000000"/>
          <w:sz w:val="20"/>
        </w:rPr>
      </w:pPr>
    </w:p>
    <w:p w14:paraId="541B3D1F" w14:textId="184F1E42" w:rsidR="00847CD7" w:rsidRPr="00E50DAC" w:rsidRDefault="00847CD7" w:rsidP="00847CD7">
      <w:pPr>
        <w:jc w:val="both"/>
        <w:rPr>
          <w:sz w:val="20"/>
        </w:rPr>
      </w:pPr>
      <w:r w:rsidRPr="00E50DAC">
        <w:rPr>
          <w:sz w:val="20"/>
        </w:rPr>
        <w:t xml:space="preserve">Where: </w:t>
      </w:r>
      <w:r w:rsidR="00D6094A">
        <w:rPr>
          <w:sz w:val="20"/>
        </w:rPr>
        <w:t xml:space="preserve">  </w:t>
      </w:r>
    </w:p>
    <w:p w14:paraId="3404BFC8" w14:textId="77777777" w:rsidR="00847CD7" w:rsidRPr="00E50DAC" w:rsidRDefault="00847CD7" w:rsidP="00847CD7">
      <w:pPr>
        <w:pStyle w:val="ListParagraph"/>
        <w:numPr>
          <w:ilvl w:val="0"/>
          <w:numId w:val="12"/>
        </w:numPr>
        <w:spacing w:after="160" w:line="259" w:lineRule="auto"/>
        <w:jc w:val="both"/>
        <w:rPr>
          <w:sz w:val="20"/>
        </w:rPr>
      </w:pPr>
      <w:r w:rsidRPr="00E50DAC">
        <w:rPr>
          <w:sz w:val="20"/>
        </w:rPr>
        <w:t>I</w:t>
      </w:r>
      <w:r w:rsidRPr="00E50DAC">
        <w:rPr>
          <w:sz w:val="20"/>
          <w:vertAlign w:val="subscript"/>
        </w:rPr>
        <w:t>d</w:t>
      </w:r>
      <w:r w:rsidRPr="00E50DAC">
        <w:rPr>
          <w:sz w:val="20"/>
        </w:rPr>
        <w:t xml:space="preserve"> = Daily Income </w:t>
      </w:r>
    </w:p>
    <w:p w14:paraId="353E21B7" w14:textId="77777777" w:rsidR="00847CD7" w:rsidRPr="00E50DAC" w:rsidRDefault="00847CD7" w:rsidP="00847CD7">
      <w:pPr>
        <w:pStyle w:val="ListParagraph"/>
        <w:numPr>
          <w:ilvl w:val="0"/>
          <w:numId w:val="12"/>
        </w:numPr>
        <w:spacing w:after="160" w:line="259" w:lineRule="auto"/>
        <w:jc w:val="both"/>
        <w:rPr>
          <w:sz w:val="20"/>
        </w:rPr>
      </w:pPr>
      <w:r w:rsidRPr="00E50DAC">
        <w:rPr>
          <w:sz w:val="20"/>
        </w:rPr>
        <w:t>N</w:t>
      </w:r>
      <w:r w:rsidRPr="00E50DAC">
        <w:rPr>
          <w:sz w:val="20"/>
          <w:vertAlign w:val="subscript"/>
        </w:rPr>
        <w:t xml:space="preserve">D </w:t>
      </w:r>
      <w:r w:rsidRPr="00E50DAC">
        <w:rPr>
          <w:sz w:val="20"/>
        </w:rPr>
        <w:t>= Number of working days per month</w:t>
      </w:r>
    </w:p>
    <w:p w14:paraId="1D4D3679" w14:textId="7CC0FBBC" w:rsidR="00206BAB" w:rsidRDefault="00847CD7" w:rsidP="00AA62CC">
      <w:pPr>
        <w:pStyle w:val="ListParagraph"/>
        <w:numPr>
          <w:ilvl w:val="0"/>
          <w:numId w:val="12"/>
        </w:numPr>
        <w:spacing w:after="160" w:line="259" w:lineRule="auto"/>
        <w:jc w:val="both"/>
        <w:rPr>
          <w:sz w:val="20"/>
        </w:rPr>
      </w:pPr>
      <w:r w:rsidRPr="00E50DAC">
        <w:rPr>
          <w:sz w:val="20"/>
        </w:rPr>
        <w:t>C</w:t>
      </w:r>
      <w:r w:rsidRPr="00E50DAC">
        <w:rPr>
          <w:sz w:val="20"/>
          <w:vertAlign w:val="subscript"/>
        </w:rPr>
        <w:t>m</w:t>
      </w:r>
      <w:r w:rsidRPr="00E50DAC">
        <w:rPr>
          <w:sz w:val="20"/>
        </w:rPr>
        <w:t xml:space="preserve"> = Total monthly operational cost (fuel/electricity + maintenance) </w:t>
      </w:r>
    </w:p>
    <w:p w14:paraId="1286500A" w14:textId="77777777" w:rsidR="0045335F" w:rsidRPr="0045335F" w:rsidRDefault="0045335F" w:rsidP="0045335F">
      <w:pPr>
        <w:spacing w:after="160" w:line="259" w:lineRule="auto"/>
        <w:jc w:val="both"/>
        <w:rPr>
          <w:sz w:val="20"/>
        </w:rPr>
      </w:pPr>
    </w:p>
    <w:p w14:paraId="1143F6E0" w14:textId="50347B9F" w:rsidR="00612944" w:rsidRDefault="00CF0C50" w:rsidP="00CF0C50">
      <w:pPr>
        <w:pStyle w:val="Paragraph"/>
        <w:ind w:left="720" w:firstLine="0"/>
        <w:jc w:val="center"/>
        <w:rPr>
          <w:b/>
          <w:iCs/>
          <w:sz w:val="24"/>
        </w:rPr>
      </w:pPr>
      <w:r>
        <w:rPr>
          <w:b/>
          <w:iCs/>
          <w:sz w:val="24"/>
        </w:rPr>
        <w:t>RESULT &amp; DISCUSSION</w:t>
      </w:r>
      <w:r w:rsidR="003973D7">
        <w:rPr>
          <w:b/>
          <w:iCs/>
          <w:sz w:val="24"/>
        </w:rPr>
        <w:t xml:space="preserve"> </w:t>
      </w:r>
    </w:p>
    <w:p w14:paraId="08775470" w14:textId="77777777" w:rsidR="000D7B7D" w:rsidRDefault="000D7B7D" w:rsidP="00CF0C50">
      <w:pPr>
        <w:pStyle w:val="Paragraph"/>
        <w:ind w:left="720" w:firstLine="0"/>
        <w:jc w:val="center"/>
        <w:rPr>
          <w:b/>
          <w:iCs/>
          <w:sz w:val="24"/>
        </w:rPr>
      </w:pPr>
    </w:p>
    <w:p w14:paraId="27414DED" w14:textId="64EEFFB6" w:rsidR="003973D7" w:rsidRDefault="00CF0C50" w:rsidP="00347EED">
      <w:pPr>
        <w:pStyle w:val="Paragraph"/>
        <w:ind w:left="720" w:firstLine="0"/>
        <w:jc w:val="center"/>
        <w:rPr>
          <w:b/>
          <w:szCs w:val="24"/>
        </w:rPr>
      </w:pPr>
      <w:r>
        <w:rPr>
          <w:b/>
          <w:iCs/>
          <w:sz w:val="24"/>
        </w:rPr>
        <w:t xml:space="preserve"> </w:t>
      </w:r>
      <w:r w:rsidR="003973D7" w:rsidRPr="003973D7">
        <w:rPr>
          <w:b/>
          <w:szCs w:val="24"/>
        </w:rPr>
        <w:t>Analysis of Battery, Motor, and Speed Characteristics in the Context of Bangladesh’s Electric Motorcycle Models</w:t>
      </w:r>
      <w:r w:rsidR="00286E10">
        <w:rPr>
          <w:b/>
          <w:szCs w:val="24"/>
        </w:rPr>
        <w:t xml:space="preserve">. </w:t>
      </w:r>
    </w:p>
    <w:p w14:paraId="26B84E50" w14:textId="6A40ABD5" w:rsidR="00F11ED9" w:rsidRDefault="00206BAB" w:rsidP="00F11ED9">
      <w:pPr>
        <w:jc w:val="both"/>
        <w:rPr>
          <w:sz w:val="20"/>
        </w:rPr>
      </w:pPr>
      <w:r>
        <w:rPr>
          <w:sz w:val="20"/>
        </w:rPr>
        <w:tab/>
      </w:r>
    </w:p>
    <w:p w14:paraId="51B2FE3E" w14:textId="77F8497C" w:rsidR="00932794" w:rsidRDefault="00E615B3" w:rsidP="00206BAB">
      <w:pPr>
        <w:ind w:firstLine="432"/>
        <w:jc w:val="both"/>
        <w:rPr>
          <w:sz w:val="20"/>
        </w:rPr>
      </w:pPr>
      <w:r w:rsidRPr="00E615B3">
        <w:rPr>
          <w:sz w:val="20"/>
        </w:rPr>
        <w:t xml:space="preserve">This section displays the main performance trends seen in electric motorcycle models in Bangladesh, employing data from major manufacturers including </w:t>
      </w:r>
      <w:proofErr w:type="spellStart"/>
      <w:r w:rsidRPr="00E615B3">
        <w:rPr>
          <w:sz w:val="20"/>
        </w:rPr>
        <w:t>Akij</w:t>
      </w:r>
      <w:proofErr w:type="spellEnd"/>
      <w:r w:rsidRPr="00E615B3">
        <w:rPr>
          <w:sz w:val="20"/>
        </w:rPr>
        <w:t xml:space="preserve"> Motors, Walton, and Green Tiger. The methods section explains how technical information such as battery capacity, motor power, top speed, and range was obtained from authoritative sources.</w:t>
      </w:r>
      <w:r w:rsidR="00726E92">
        <w:rPr>
          <w:sz w:val="20"/>
        </w:rPr>
        <w:t xml:space="preserve"> </w:t>
      </w:r>
      <w:r w:rsidR="00726E92" w:rsidRPr="00726E92">
        <w:rPr>
          <w:sz w:val="20"/>
        </w:rPr>
        <w:t xml:space="preserve">The table below provides a summary of selected specifications from various manufacturers and models, drawn from a larger dataset for clarity.  </w:t>
      </w:r>
    </w:p>
    <w:p w14:paraId="0B280B0B" w14:textId="1A3C552D" w:rsidR="00726E92" w:rsidRDefault="00726E92" w:rsidP="00206BAB">
      <w:pPr>
        <w:ind w:firstLine="432"/>
        <w:jc w:val="both"/>
        <w:rPr>
          <w:sz w:val="20"/>
        </w:rPr>
      </w:pPr>
    </w:p>
    <w:p w14:paraId="79E7A850" w14:textId="54843845" w:rsidR="00726E92" w:rsidRDefault="00774D9C" w:rsidP="00206BAB">
      <w:pPr>
        <w:ind w:firstLine="432"/>
        <w:jc w:val="both"/>
        <w:rPr>
          <w:sz w:val="20"/>
        </w:rPr>
      </w:pPr>
      <w:r w:rsidRPr="00774D9C">
        <w:rPr>
          <w:b/>
          <w:sz w:val="20"/>
        </w:rPr>
        <w:t>TABLE 1.</w:t>
      </w:r>
      <w:r w:rsidRPr="00774D9C">
        <w:rPr>
          <w:sz w:val="20"/>
        </w:rPr>
        <w:t xml:space="preserve"> Key Performance Specifications of Selected Electric Motorcycle Models in Bangladesh</w:t>
      </w:r>
      <w:r>
        <w:rPr>
          <w:sz w:val="20"/>
        </w:rPr>
        <w:t xml:space="preserve">. </w:t>
      </w:r>
    </w:p>
    <w:p w14:paraId="6F6FA500" w14:textId="2919ED75" w:rsidR="00774D9C" w:rsidRDefault="00774D9C" w:rsidP="00206BAB">
      <w:pPr>
        <w:ind w:firstLine="432"/>
        <w:jc w:val="both"/>
        <w:rPr>
          <w:sz w:val="20"/>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EF7F81" w:rsidRPr="009A5DCB" w14:paraId="2B0B260D" w14:textId="77777777" w:rsidTr="009A5DCB">
        <w:trPr>
          <w:jc w:val="center"/>
        </w:trPr>
        <w:tc>
          <w:tcPr>
            <w:tcW w:w="1870" w:type="dxa"/>
            <w:tcBorders>
              <w:bottom w:val="single" w:sz="4" w:space="0" w:color="auto"/>
            </w:tcBorders>
          </w:tcPr>
          <w:p w14:paraId="00A9AE38" w14:textId="77777777" w:rsidR="00EF7F81" w:rsidRPr="00712F50" w:rsidRDefault="00EF7F81" w:rsidP="00EF7F81">
            <w:pPr>
              <w:jc w:val="center"/>
              <w:rPr>
                <w:b/>
                <w:bCs/>
                <w:sz w:val="20"/>
              </w:rPr>
            </w:pPr>
            <w:r w:rsidRPr="00712F50">
              <w:rPr>
                <w:b/>
                <w:bCs/>
                <w:sz w:val="20"/>
              </w:rPr>
              <w:t>Manufacturer (Model)</w:t>
            </w:r>
          </w:p>
          <w:p w14:paraId="10CBE77E" w14:textId="77777777" w:rsidR="00EF7F81" w:rsidRPr="00712F50" w:rsidRDefault="00EF7F81" w:rsidP="00EF7F81">
            <w:pPr>
              <w:jc w:val="center"/>
              <w:rPr>
                <w:b/>
                <w:sz w:val="20"/>
              </w:rPr>
            </w:pPr>
          </w:p>
        </w:tc>
        <w:tc>
          <w:tcPr>
            <w:tcW w:w="1870" w:type="dxa"/>
            <w:tcBorders>
              <w:bottom w:val="single" w:sz="4" w:space="0" w:color="auto"/>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F7F81" w:rsidRPr="00EF7F81" w14:paraId="02A57891" w14:textId="77777777" w:rsidTr="00EF7F81">
              <w:trPr>
                <w:tblCellSpacing w:w="15" w:type="dxa"/>
              </w:trPr>
              <w:tc>
                <w:tcPr>
                  <w:tcW w:w="0" w:type="auto"/>
                  <w:vAlign w:val="center"/>
                  <w:hideMark/>
                </w:tcPr>
                <w:p w14:paraId="768FB87D" w14:textId="77777777" w:rsidR="00EF7F81" w:rsidRPr="00EF7F81" w:rsidRDefault="00EF7F81" w:rsidP="00EF7F81">
                  <w:pPr>
                    <w:rPr>
                      <w:b/>
                      <w:sz w:val="20"/>
                    </w:rPr>
                  </w:pPr>
                </w:p>
              </w:tc>
            </w:tr>
          </w:tbl>
          <w:p w14:paraId="210F0E8C" w14:textId="77777777" w:rsidR="00EF7F81" w:rsidRPr="00EF7F81" w:rsidRDefault="00EF7F81" w:rsidP="00EF7F81">
            <w:pPr>
              <w:rPr>
                <w:b/>
                <w:vanish/>
                <w:sz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9"/>
            </w:tblGrid>
            <w:tr w:rsidR="00EF7F81" w:rsidRPr="00EF7F81" w14:paraId="7B129740" w14:textId="77777777" w:rsidTr="00EF7F81">
              <w:trPr>
                <w:tblCellSpacing w:w="15" w:type="dxa"/>
              </w:trPr>
              <w:tc>
                <w:tcPr>
                  <w:tcW w:w="0" w:type="auto"/>
                  <w:vAlign w:val="center"/>
                  <w:hideMark/>
                </w:tcPr>
                <w:p w14:paraId="59ADC95B" w14:textId="77777777" w:rsidR="00EF7F81" w:rsidRPr="00EF7F81" w:rsidRDefault="00EF7F81" w:rsidP="00EF7F81">
                  <w:pPr>
                    <w:jc w:val="center"/>
                    <w:rPr>
                      <w:b/>
                      <w:bCs/>
                      <w:sz w:val="20"/>
                    </w:rPr>
                  </w:pPr>
                  <w:r w:rsidRPr="00EF7F81">
                    <w:rPr>
                      <w:b/>
                      <w:bCs/>
                      <w:sz w:val="20"/>
                    </w:rPr>
                    <w:t>Motor Power</w:t>
                  </w:r>
                </w:p>
              </w:tc>
            </w:tr>
          </w:tbl>
          <w:p w14:paraId="797C953A" w14:textId="77777777" w:rsidR="00EF7F81" w:rsidRPr="00712F50" w:rsidRDefault="00EF7F81" w:rsidP="00EF7F81">
            <w:pPr>
              <w:jc w:val="center"/>
              <w:rPr>
                <w:b/>
                <w:sz w:val="20"/>
              </w:rPr>
            </w:pPr>
          </w:p>
        </w:tc>
        <w:tc>
          <w:tcPr>
            <w:tcW w:w="1870" w:type="dxa"/>
            <w:tcBorders>
              <w:bottom w:val="single" w:sz="4" w:space="0" w:color="auto"/>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F7F81" w:rsidRPr="00EF7F81" w14:paraId="4E8447E8" w14:textId="77777777" w:rsidTr="00EF7F81">
              <w:trPr>
                <w:tblCellSpacing w:w="15" w:type="dxa"/>
              </w:trPr>
              <w:tc>
                <w:tcPr>
                  <w:tcW w:w="0" w:type="auto"/>
                  <w:vAlign w:val="center"/>
                  <w:hideMark/>
                </w:tcPr>
                <w:p w14:paraId="4ACDA6C9" w14:textId="77777777" w:rsidR="00EF7F81" w:rsidRPr="00EF7F81" w:rsidRDefault="00EF7F81" w:rsidP="00EF7F81">
                  <w:pPr>
                    <w:jc w:val="center"/>
                    <w:rPr>
                      <w:b/>
                      <w:sz w:val="20"/>
                    </w:rPr>
                  </w:pPr>
                </w:p>
              </w:tc>
            </w:tr>
          </w:tbl>
          <w:p w14:paraId="43C775C9" w14:textId="77777777" w:rsidR="00EF7F81" w:rsidRPr="00EF7F81" w:rsidRDefault="00EF7F81" w:rsidP="00EF7F81">
            <w:pPr>
              <w:jc w:val="center"/>
              <w:rPr>
                <w:b/>
                <w:vanish/>
                <w:sz w:val="20"/>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96"/>
            </w:tblGrid>
            <w:tr w:rsidR="00EF7F81" w:rsidRPr="00EF7F81" w14:paraId="1B9EE0BD" w14:textId="77777777" w:rsidTr="00EF7F81">
              <w:trPr>
                <w:tblCellSpacing w:w="15" w:type="dxa"/>
                <w:jc w:val="center"/>
              </w:trPr>
              <w:tc>
                <w:tcPr>
                  <w:tcW w:w="0" w:type="auto"/>
                  <w:vAlign w:val="center"/>
                  <w:hideMark/>
                </w:tcPr>
                <w:p w14:paraId="55FE6614" w14:textId="77777777" w:rsidR="00EF7F81" w:rsidRPr="00EF7F81" w:rsidRDefault="00EF7F81" w:rsidP="00EF7F81">
                  <w:pPr>
                    <w:jc w:val="center"/>
                    <w:rPr>
                      <w:b/>
                      <w:bCs/>
                      <w:sz w:val="20"/>
                    </w:rPr>
                  </w:pPr>
                  <w:r w:rsidRPr="00EF7F81">
                    <w:rPr>
                      <w:b/>
                      <w:bCs/>
                      <w:sz w:val="20"/>
                    </w:rPr>
                    <w:t>Top Speed</w:t>
                  </w:r>
                </w:p>
              </w:tc>
            </w:tr>
          </w:tbl>
          <w:p w14:paraId="3B75C4B6" w14:textId="77777777" w:rsidR="00EF7F81" w:rsidRPr="00712F50" w:rsidRDefault="00EF7F81" w:rsidP="00EF7F81">
            <w:pPr>
              <w:jc w:val="center"/>
              <w:rPr>
                <w:b/>
                <w:sz w:val="20"/>
              </w:rPr>
            </w:pPr>
          </w:p>
        </w:tc>
        <w:tc>
          <w:tcPr>
            <w:tcW w:w="1870" w:type="dxa"/>
            <w:tcBorders>
              <w:bottom w:val="single" w:sz="4" w:space="0" w:color="auto"/>
            </w:tcBorders>
          </w:tcPr>
          <w:p w14:paraId="300850A9" w14:textId="3140BCC1" w:rsidR="00EF7F81" w:rsidRPr="00712F50" w:rsidRDefault="00EF7F81" w:rsidP="00EF7F81">
            <w:pPr>
              <w:jc w:val="center"/>
              <w:rPr>
                <w:b/>
                <w:sz w:val="20"/>
              </w:rPr>
            </w:pPr>
            <w:r w:rsidRPr="00712F50">
              <w:rPr>
                <w:b/>
                <w:sz w:val="20"/>
              </w:rPr>
              <w:t>Battery Capacity</w:t>
            </w:r>
          </w:p>
        </w:tc>
        <w:tc>
          <w:tcPr>
            <w:tcW w:w="1870" w:type="dxa"/>
            <w:tcBorders>
              <w:bottom w:val="single" w:sz="4" w:space="0" w:color="auto"/>
            </w:tcBorders>
          </w:tcPr>
          <w:p w14:paraId="4A0B355E" w14:textId="4AA4FF57" w:rsidR="00EF7F81" w:rsidRPr="00712F50" w:rsidRDefault="00EF7F81" w:rsidP="00EF7F81">
            <w:pPr>
              <w:jc w:val="center"/>
              <w:rPr>
                <w:b/>
                <w:sz w:val="20"/>
              </w:rPr>
            </w:pPr>
            <w:r w:rsidRPr="00712F50">
              <w:rPr>
                <w:b/>
                <w:sz w:val="20"/>
              </w:rPr>
              <w:t>Battery Type</w:t>
            </w:r>
          </w:p>
        </w:tc>
      </w:tr>
      <w:tr w:rsidR="00EF7F81" w:rsidRPr="009A5DCB" w14:paraId="31E09E2F" w14:textId="77777777" w:rsidTr="009A5DCB">
        <w:trPr>
          <w:jc w:val="center"/>
        </w:trPr>
        <w:tc>
          <w:tcPr>
            <w:tcW w:w="1870" w:type="dxa"/>
            <w:tcBorders>
              <w:top w:val="single" w:sz="4" w:space="0" w:color="auto"/>
            </w:tcBorders>
          </w:tcPr>
          <w:p w14:paraId="2F66DF94" w14:textId="77777777" w:rsidR="00EF7F81" w:rsidRDefault="00EF7F81" w:rsidP="00EF7F81">
            <w:pPr>
              <w:jc w:val="center"/>
              <w:rPr>
                <w:sz w:val="20"/>
              </w:rPr>
            </w:pPr>
            <w:proofErr w:type="spellStart"/>
            <w:r w:rsidRPr="009A5DCB">
              <w:rPr>
                <w:sz w:val="20"/>
              </w:rPr>
              <w:t>Akij</w:t>
            </w:r>
            <w:proofErr w:type="spellEnd"/>
            <w:r w:rsidRPr="009A5DCB">
              <w:rPr>
                <w:sz w:val="20"/>
              </w:rPr>
              <w:t xml:space="preserve"> Motors (</w:t>
            </w:r>
            <w:proofErr w:type="spellStart"/>
            <w:r w:rsidRPr="009A5DCB">
              <w:rPr>
                <w:sz w:val="20"/>
              </w:rPr>
              <w:t>Ponkhiraj</w:t>
            </w:r>
            <w:proofErr w:type="spellEnd"/>
            <w:r w:rsidRPr="009A5DCB">
              <w:rPr>
                <w:sz w:val="20"/>
              </w:rPr>
              <w:t>)</w:t>
            </w:r>
          </w:p>
          <w:p w14:paraId="65BF7E76" w14:textId="31AF5BF0" w:rsidR="000D3C14" w:rsidRPr="009A5DCB" w:rsidRDefault="000D3C14" w:rsidP="00EF7F81">
            <w:pPr>
              <w:jc w:val="center"/>
              <w:rPr>
                <w:sz w:val="20"/>
              </w:rPr>
            </w:pPr>
          </w:p>
        </w:tc>
        <w:tc>
          <w:tcPr>
            <w:tcW w:w="1870" w:type="dxa"/>
            <w:tcBorders>
              <w:top w:val="single" w:sz="4" w:space="0" w:color="auto"/>
            </w:tcBorders>
          </w:tcPr>
          <w:p w14:paraId="7E63687A" w14:textId="1DEAD677" w:rsidR="00EF7F81" w:rsidRPr="009A5DCB" w:rsidRDefault="00EF7F81" w:rsidP="00EF7F81">
            <w:pPr>
              <w:jc w:val="center"/>
              <w:rPr>
                <w:sz w:val="20"/>
              </w:rPr>
            </w:pPr>
            <w:r w:rsidRPr="009A5DCB">
              <w:rPr>
                <w:sz w:val="20"/>
              </w:rPr>
              <w:t>1000 W</w:t>
            </w:r>
          </w:p>
        </w:tc>
        <w:tc>
          <w:tcPr>
            <w:tcW w:w="1870" w:type="dxa"/>
            <w:tcBorders>
              <w:top w:val="single" w:sz="4" w:space="0" w:color="auto"/>
            </w:tcBorders>
          </w:tcPr>
          <w:p w14:paraId="46AC1AF0" w14:textId="20EE4F37" w:rsidR="00EF7F81" w:rsidRPr="009A5DCB" w:rsidRDefault="00EF7F81" w:rsidP="00EF7F81">
            <w:pPr>
              <w:jc w:val="center"/>
              <w:rPr>
                <w:sz w:val="20"/>
              </w:rPr>
            </w:pPr>
            <w:r w:rsidRPr="009A5DCB">
              <w:rPr>
                <w:sz w:val="20"/>
              </w:rPr>
              <w:t>45 km/h</w:t>
            </w:r>
          </w:p>
        </w:tc>
        <w:tc>
          <w:tcPr>
            <w:tcW w:w="1870" w:type="dxa"/>
            <w:tcBorders>
              <w:top w:val="single" w:sz="4" w:space="0" w:color="auto"/>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F7F81" w:rsidRPr="00EF7F81" w14:paraId="3F59CA81" w14:textId="77777777" w:rsidTr="00EF7F81">
              <w:trPr>
                <w:tblCellSpacing w:w="15" w:type="dxa"/>
              </w:trPr>
              <w:tc>
                <w:tcPr>
                  <w:tcW w:w="0" w:type="auto"/>
                  <w:vAlign w:val="center"/>
                  <w:hideMark/>
                </w:tcPr>
                <w:p w14:paraId="6494E674" w14:textId="77777777" w:rsidR="00EF7F81" w:rsidRPr="00EF7F81" w:rsidRDefault="00EF7F81" w:rsidP="00EF7F81">
                  <w:pPr>
                    <w:rPr>
                      <w:sz w:val="20"/>
                    </w:rPr>
                  </w:pPr>
                </w:p>
              </w:tc>
            </w:tr>
          </w:tbl>
          <w:p w14:paraId="72BA92F3" w14:textId="77777777" w:rsidR="00EF7F81" w:rsidRPr="00EF7F81" w:rsidRDefault="00EF7F81" w:rsidP="00EF7F81">
            <w:pPr>
              <w:rPr>
                <w:vanish/>
                <w:sz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35"/>
            </w:tblGrid>
            <w:tr w:rsidR="00EF7F81" w:rsidRPr="00EF7F81" w14:paraId="0DB176ED" w14:textId="77777777" w:rsidTr="00EF7F81">
              <w:trPr>
                <w:tblCellSpacing w:w="15" w:type="dxa"/>
              </w:trPr>
              <w:tc>
                <w:tcPr>
                  <w:tcW w:w="0" w:type="auto"/>
                  <w:vAlign w:val="center"/>
                  <w:hideMark/>
                </w:tcPr>
                <w:p w14:paraId="7AA4572E" w14:textId="77777777" w:rsidR="00EF7F81" w:rsidRPr="00EF7F81" w:rsidRDefault="00EF7F81" w:rsidP="00EF7F81">
                  <w:pPr>
                    <w:rPr>
                      <w:sz w:val="20"/>
                    </w:rPr>
                  </w:pPr>
                  <w:r w:rsidRPr="00EF7F81">
                    <w:rPr>
                      <w:sz w:val="20"/>
                    </w:rPr>
                    <w:t>48/60V 23 Ah</w:t>
                  </w:r>
                </w:p>
              </w:tc>
            </w:tr>
          </w:tbl>
          <w:p w14:paraId="53924486" w14:textId="77777777" w:rsidR="00EF7F81" w:rsidRPr="009A5DCB" w:rsidRDefault="00EF7F81" w:rsidP="00EF7F81">
            <w:pPr>
              <w:jc w:val="center"/>
              <w:rPr>
                <w:sz w:val="20"/>
              </w:rPr>
            </w:pPr>
          </w:p>
        </w:tc>
        <w:tc>
          <w:tcPr>
            <w:tcW w:w="1870" w:type="dxa"/>
            <w:tcBorders>
              <w:top w:val="single" w:sz="4" w:space="0" w:color="auto"/>
            </w:tcBorders>
          </w:tcPr>
          <w:p w14:paraId="2D5BB2A1" w14:textId="3AC55047" w:rsidR="00EF7F81" w:rsidRPr="009A5DCB" w:rsidRDefault="00EF7F81" w:rsidP="00EF7F81">
            <w:pPr>
              <w:jc w:val="center"/>
              <w:rPr>
                <w:sz w:val="20"/>
              </w:rPr>
            </w:pPr>
            <w:r w:rsidRPr="009A5DCB">
              <w:rPr>
                <w:sz w:val="20"/>
              </w:rPr>
              <w:t>VRLA</w:t>
            </w:r>
          </w:p>
        </w:tc>
      </w:tr>
      <w:tr w:rsidR="00EF7F81" w:rsidRPr="009A5DCB" w14:paraId="7345C7C8" w14:textId="77777777" w:rsidTr="009A5DCB">
        <w:trPr>
          <w:jc w:val="center"/>
        </w:trPr>
        <w:tc>
          <w:tcPr>
            <w:tcW w:w="1870" w:type="dxa"/>
          </w:tcPr>
          <w:p w14:paraId="112146CC" w14:textId="44145250" w:rsidR="00EF7F81" w:rsidRPr="009A5DCB" w:rsidRDefault="00EF7F81" w:rsidP="00EF7F81">
            <w:pPr>
              <w:jc w:val="center"/>
              <w:rPr>
                <w:sz w:val="20"/>
              </w:rPr>
            </w:pPr>
            <w:r w:rsidRPr="009A5DCB">
              <w:rPr>
                <w:sz w:val="20"/>
              </w:rPr>
              <w:t>Green Tiger (GT-Fenix R)</w:t>
            </w:r>
          </w:p>
        </w:tc>
        <w:tc>
          <w:tcPr>
            <w:tcW w:w="1870" w:type="dxa"/>
          </w:tcPr>
          <w:p w14:paraId="44A5ABCB" w14:textId="7B61BA83" w:rsidR="00EF7F81" w:rsidRPr="009A5DCB" w:rsidRDefault="00EF7F81" w:rsidP="00EF7F81">
            <w:pPr>
              <w:jc w:val="center"/>
              <w:rPr>
                <w:sz w:val="20"/>
              </w:rPr>
            </w:pPr>
            <w:r w:rsidRPr="009A5DCB">
              <w:rPr>
                <w:sz w:val="20"/>
              </w:rPr>
              <w:t>1000 W</w:t>
            </w:r>
          </w:p>
        </w:tc>
        <w:tc>
          <w:tcPr>
            <w:tcW w:w="1870" w:type="dxa"/>
          </w:tcPr>
          <w:p w14:paraId="22BC609E" w14:textId="764C68AE" w:rsidR="00EF7F81" w:rsidRPr="009A5DCB" w:rsidRDefault="00EF7F81" w:rsidP="00EF7F81">
            <w:pPr>
              <w:jc w:val="center"/>
              <w:rPr>
                <w:sz w:val="20"/>
              </w:rPr>
            </w:pPr>
            <w:r w:rsidRPr="009A5DCB">
              <w:rPr>
                <w:sz w:val="20"/>
              </w:rPr>
              <w:t>50 km/h</w:t>
            </w:r>
          </w:p>
        </w:tc>
        <w:tc>
          <w:tcPr>
            <w:tcW w:w="187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F7F81" w:rsidRPr="00EF7F81" w14:paraId="1595EAF0" w14:textId="77777777" w:rsidTr="00EF7F81">
              <w:trPr>
                <w:tblCellSpacing w:w="15" w:type="dxa"/>
              </w:trPr>
              <w:tc>
                <w:tcPr>
                  <w:tcW w:w="0" w:type="auto"/>
                  <w:vAlign w:val="center"/>
                  <w:hideMark/>
                </w:tcPr>
                <w:p w14:paraId="7791206D" w14:textId="77777777" w:rsidR="00EF7F81" w:rsidRPr="00EF7F81" w:rsidRDefault="00EF7F81" w:rsidP="00EF7F81">
                  <w:pPr>
                    <w:rPr>
                      <w:sz w:val="20"/>
                    </w:rPr>
                  </w:pPr>
                </w:p>
              </w:tc>
            </w:tr>
          </w:tbl>
          <w:p w14:paraId="3362BE0C" w14:textId="77777777" w:rsidR="00EF7F81" w:rsidRPr="00EF7F81" w:rsidRDefault="00EF7F81" w:rsidP="00EF7F81">
            <w:pPr>
              <w:rPr>
                <w:vanish/>
                <w:sz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74"/>
            </w:tblGrid>
            <w:tr w:rsidR="00EF7F81" w:rsidRPr="00EF7F81" w14:paraId="1C6D96FD" w14:textId="77777777" w:rsidTr="00EF7F81">
              <w:trPr>
                <w:tblCellSpacing w:w="15" w:type="dxa"/>
              </w:trPr>
              <w:tc>
                <w:tcPr>
                  <w:tcW w:w="0" w:type="auto"/>
                  <w:vAlign w:val="center"/>
                  <w:hideMark/>
                </w:tcPr>
                <w:p w14:paraId="6E21A96C" w14:textId="77777777" w:rsidR="00EF7F81" w:rsidRPr="00EF7F81" w:rsidRDefault="00EF7F81" w:rsidP="00EF7F81">
                  <w:pPr>
                    <w:rPr>
                      <w:sz w:val="20"/>
                    </w:rPr>
                  </w:pPr>
                  <w:r w:rsidRPr="00EF7F81">
                    <w:rPr>
                      <w:sz w:val="20"/>
                    </w:rPr>
                    <w:t>48V 1.2 kWh</w:t>
                  </w:r>
                </w:p>
              </w:tc>
            </w:tr>
          </w:tbl>
          <w:p w14:paraId="2FD34705" w14:textId="77777777" w:rsidR="00EF7F81" w:rsidRPr="009A5DCB" w:rsidRDefault="00EF7F81" w:rsidP="00EF7F81">
            <w:pPr>
              <w:jc w:val="center"/>
              <w:rPr>
                <w:sz w:val="20"/>
              </w:rPr>
            </w:pPr>
          </w:p>
        </w:tc>
        <w:tc>
          <w:tcPr>
            <w:tcW w:w="187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F7F81" w:rsidRPr="00EF7F81" w14:paraId="3A9375A8" w14:textId="77777777" w:rsidTr="00EF7F81">
              <w:trPr>
                <w:tblCellSpacing w:w="15" w:type="dxa"/>
              </w:trPr>
              <w:tc>
                <w:tcPr>
                  <w:tcW w:w="0" w:type="auto"/>
                  <w:vAlign w:val="center"/>
                  <w:hideMark/>
                </w:tcPr>
                <w:p w14:paraId="7CCF5F99" w14:textId="77777777" w:rsidR="00EF7F81" w:rsidRPr="00EF7F81" w:rsidRDefault="00EF7F81" w:rsidP="000D3C14">
                  <w:pPr>
                    <w:jc w:val="center"/>
                    <w:rPr>
                      <w:sz w:val="20"/>
                    </w:rPr>
                  </w:pPr>
                </w:p>
              </w:tc>
            </w:tr>
          </w:tbl>
          <w:p w14:paraId="46157849" w14:textId="77777777" w:rsidR="00EF7F81" w:rsidRPr="00EF7F81" w:rsidRDefault="00EF7F81" w:rsidP="000D3C14">
            <w:pPr>
              <w:jc w:val="center"/>
              <w:rPr>
                <w:vanish/>
                <w:sz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54"/>
            </w:tblGrid>
            <w:tr w:rsidR="00EF7F81" w:rsidRPr="00EF7F81" w14:paraId="6336D4B4" w14:textId="77777777" w:rsidTr="00EF7F81">
              <w:trPr>
                <w:tblCellSpacing w:w="15" w:type="dxa"/>
              </w:trPr>
              <w:tc>
                <w:tcPr>
                  <w:tcW w:w="0" w:type="auto"/>
                  <w:vAlign w:val="center"/>
                  <w:hideMark/>
                </w:tcPr>
                <w:p w14:paraId="33922207" w14:textId="77777777" w:rsidR="00EF7F81" w:rsidRDefault="00EF7F81" w:rsidP="000D3C14">
                  <w:pPr>
                    <w:jc w:val="center"/>
                    <w:rPr>
                      <w:sz w:val="20"/>
                    </w:rPr>
                  </w:pPr>
                  <w:r w:rsidRPr="00EF7F81">
                    <w:rPr>
                      <w:sz w:val="20"/>
                    </w:rPr>
                    <w:t>Removable Lithium</w:t>
                  </w:r>
                </w:p>
                <w:p w14:paraId="40B46295" w14:textId="189BFEFE" w:rsidR="000D3C14" w:rsidRPr="00EF7F81" w:rsidRDefault="000D3C14" w:rsidP="000D3C14">
                  <w:pPr>
                    <w:jc w:val="center"/>
                    <w:rPr>
                      <w:sz w:val="20"/>
                    </w:rPr>
                  </w:pPr>
                </w:p>
              </w:tc>
            </w:tr>
          </w:tbl>
          <w:p w14:paraId="57585871" w14:textId="77777777" w:rsidR="00EF7F81" w:rsidRPr="009A5DCB" w:rsidRDefault="00EF7F81" w:rsidP="000D3C14">
            <w:pPr>
              <w:jc w:val="center"/>
              <w:rPr>
                <w:sz w:val="20"/>
              </w:rPr>
            </w:pPr>
          </w:p>
        </w:tc>
      </w:tr>
      <w:tr w:rsidR="00EF7F81" w:rsidRPr="009A5DCB" w14:paraId="4989BB68" w14:textId="77777777" w:rsidTr="009A5DCB">
        <w:trPr>
          <w:jc w:val="center"/>
        </w:trPr>
        <w:tc>
          <w:tcPr>
            <w:tcW w:w="1870" w:type="dxa"/>
          </w:tcPr>
          <w:p w14:paraId="570E309A" w14:textId="55942D06" w:rsidR="00EF7F81" w:rsidRPr="009A5DCB" w:rsidRDefault="006E6186" w:rsidP="006E6186">
            <w:pPr>
              <w:jc w:val="center"/>
              <w:rPr>
                <w:sz w:val="20"/>
              </w:rPr>
            </w:pPr>
            <w:r w:rsidRPr="009A5DCB">
              <w:rPr>
                <w:sz w:val="20"/>
              </w:rPr>
              <w:t>Walton (</w:t>
            </w:r>
            <w:r w:rsidR="00EF7F81" w:rsidRPr="009A5DCB">
              <w:rPr>
                <w:sz w:val="20"/>
              </w:rPr>
              <w:t>TAKYON</w:t>
            </w:r>
            <w:r w:rsidRPr="009A5DCB">
              <w:rPr>
                <w:sz w:val="20"/>
              </w:rPr>
              <w:t>)</w:t>
            </w:r>
          </w:p>
        </w:tc>
        <w:tc>
          <w:tcPr>
            <w:tcW w:w="1870" w:type="dxa"/>
          </w:tcPr>
          <w:p w14:paraId="566B61FB" w14:textId="794E7B6B" w:rsidR="00EF7F81" w:rsidRPr="009A5DCB" w:rsidRDefault="00EF7F81" w:rsidP="00EF7F81">
            <w:pPr>
              <w:jc w:val="center"/>
              <w:rPr>
                <w:sz w:val="20"/>
              </w:rPr>
            </w:pPr>
            <w:r w:rsidRPr="009A5DCB">
              <w:rPr>
                <w:sz w:val="20"/>
              </w:rPr>
              <w:t>1200 W</w:t>
            </w:r>
          </w:p>
        </w:tc>
        <w:tc>
          <w:tcPr>
            <w:tcW w:w="1870" w:type="dxa"/>
          </w:tcPr>
          <w:p w14:paraId="19E0969E" w14:textId="6848C294" w:rsidR="00EF7F81" w:rsidRDefault="00EF7F81" w:rsidP="00EF7F81">
            <w:pPr>
              <w:jc w:val="center"/>
              <w:rPr>
                <w:sz w:val="20"/>
              </w:rPr>
            </w:pPr>
            <w:r w:rsidRPr="009A5DCB">
              <w:rPr>
                <w:sz w:val="20"/>
              </w:rPr>
              <w:t>50 km/h</w:t>
            </w:r>
          </w:p>
          <w:p w14:paraId="4A5D9948" w14:textId="77777777" w:rsidR="000D3C14" w:rsidRDefault="000D3C14" w:rsidP="00EF7F81">
            <w:pPr>
              <w:jc w:val="center"/>
              <w:rPr>
                <w:sz w:val="20"/>
              </w:rPr>
            </w:pPr>
          </w:p>
          <w:p w14:paraId="709AB272" w14:textId="77777777" w:rsidR="000D3C14" w:rsidRPr="009A5DCB" w:rsidRDefault="000D3C14" w:rsidP="00EF7F81">
            <w:pPr>
              <w:jc w:val="center"/>
              <w:rPr>
                <w:sz w:val="20"/>
              </w:rPr>
            </w:pPr>
            <w:r>
              <w:rPr>
                <w:sz w:val="20"/>
              </w:rPr>
              <w:t xml:space="preserve">60 km/h                                      </w:t>
            </w:r>
          </w:p>
        </w:tc>
        <w:tc>
          <w:tcPr>
            <w:tcW w:w="187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F7F81" w:rsidRPr="00EF7F81" w14:paraId="5B67A78C" w14:textId="77777777" w:rsidTr="00EF7F81">
              <w:trPr>
                <w:tblCellSpacing w:w="15" w:type="dxa"/>
              </w:trPr>
              <w:tc>
                <w:tcPr>
                  <w:tcW w:w="0" w:type="auto"/>
                  <w:vAlign w:val="center"/>
                  <w:hideMark/>
                </w:tcPr>
                <w:p w14:paraId="3E83A542" w14:textId="77777777" w:rsidR="00EF7F81" w:rsidRPr="00EF7F81" w:rsidRDefault="00EF7F81" w:rsidP="00EF7F81">
                  <w:pPr>
                    <w:rPr>
                      <w:sz w:val="20"/>
                    </w:rPr>
                  </w:pPr>
                </w:p>
              </w:tc>
            </w:tr>
          </w:tbl>
          <w:p w14:paraId="32938625" w14:textId="77777777" w:rsidR="00EF7F81" w:rsidRPr="00EF7F81" w:rsidRDefault="00EF7F81" w:rsidP="00EF7F81">
            <w:pPr>
              <w:rPr>
                <w:vanish/>
                <w:sz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9"/>
            </w:tblGrid>
            <w:tr w:rsidR="00EF7F81" w:rsidRPr="00EF7F81" w14:paraId="421F8A04" w14:textId="77777777" w:rsidTr="00EF7F81">
              <w:trPr>
                <w:tblCellSpacing w:w="15" w:type="dxa"/>
              </w:trPr>
              <w:tc>
                <w:tcPr>
                  <w:tcW w:w="0" w:type="auto"/>
                  <w:vAlign w:val="center"/>
                  <w:hideMark/>
                </w:tcPr>
                <w:p w14:paraId="608DFC93" w14:textId="77777777" w:rsidR="00EF7F81" w:rsidRPr="00EF7F81" w:rsidRDefault="00EF7F81" w:rsidP="00EF7F81">
                  <w:pPr>
                    <w:rPr>
                      <w:sz w:val="20"/>
                    </w:rPr>
                  </w:pPr>
                  <w:r w:rsidRPr="00EF7F81">
                    <w:rPr>
                      <w:sz w:val="20"/>
                    </w:rPr>
                    <w:t>60V 38 Ah</w:t>
                  </w:r>
                </w:p>
              </w:tc>
            </w:tr>
          </w:tbl>
          <w:p w14:paraId="79BCBE90" w14:textId="77777777" w:rsidR="00EF7F81" w:rsidRPr="009A5DCB" w:rsidRDefault="00EF7F81" w:rsidP="00EF7F81">
            <w:pPr>
              <w:jc w:val="center"/>
              <w:rPr>
                <w:sz w:val="20"/>
              </w:rPr>
            </w:pPr>
          </w:p>
        </w:tc>
        <w:tc>
          <w:tcPr>
            <w:tcW w:w="1870" w:type="dxa"/>
          </w:tcPr>
          <w:p w14:paraId="2DA0B3AE" w14:textId="77777777" w:rsidR="00EF7F81" w:rsidRDefault="00EF7F81" w:rsidP="000D3C14">
            <w:pPr>
              <w:jc w:val="center"/>
              <w:rPr>
                <w:sz w:val="20"/>
              </w:rPr>
            </w:pPr>
            <w:r w:rsidRPr="009A5DCB">
              <w:rPr>
                <w:sz w:val="20"/>
              </w:rPr>
              <w:t>Graphene Lead-Acid Batter</w:t>
            </w:r>
          </w:p>
          <w:p w14:paraId="58E7A3F4" w14:textId="4F5FE9FF" w:rsidR="00712F50" w:rsidRPr="009A5DCB" w:rsidRDefault="00712F50" w:rsidP="000D3C14">
            <w:pPr>
              <w:jc w:val="center"/>
              <w:rPr>
                <w:sz w:val="20"/>
              </w:rPr>
            </w:pPr>
          </w:p>
        </w:tc>
      </w:tr>
      <w:tr w:rsidR="00EF7F81" w:rsidRPr="009A5DCB" w14:paraId="61FDE5BD" w14:textId="77777777" w:rsidTr="009A5DCB">
        <w:trPr>
          <w:jc w:val="center"/>
        </w:trPr>
        <w:tc>
          <w:tcPr>
            <w:tcW w:w="1870" w:type="dxa"/>
          </w:tcPr>
          <w:p w14:paraId="3EBF18E4" w14:textId="26FD28E2" w:rsidR="00EF7F81" w:rsidRPr="009A5DCB" w:rsidRDefault="00EF7F81" w:rsidP="00EF7F81">
            <w:pPr>
              <w:jc w:val="center"/>
              <w:rPr>
                <w:sz w:val="20"/>
              </w:rPr>
            </w:pPr>
            <w:r w:rsidRPr="009A5DCB">
              <w:rPr>
                <w:sz w:val="20"/>
              </w:rPr>
              <w:t xml:space="preserve">Green Tiger (GT </w:t>
            </w:r>
            <w:proofErr w:type="spellStart"/>
            <w:r w:rsidRPr="009A5DCB">
              <w:rPr>
                <w:sz w:val="20"/>
              </w:rPr>
              <w:t>Elakta</w:t>
            </w:r>
            <w:proofErr w:type="spellEnd"/>
            <w:r w:rsidRPr="009A5DCB">
              <w:rPr>
                <w:sz w:val="20"/>
              </w:rPr>
              <w:t xml:space="preserve"> XR)</w:t>
            </w:r>
          </w:p>
        </w:tc>
        <w:tc>
          <w:tcPr>
            <w:tcW w:w="1870" w:type="dxa"/>
          </w:tcPr>
          <w:p w14:paraId="12C38A82" w14:textId="77777777" w:rsidR="000D3C14" w:rsidRDefault="00EF7F81" w:rsidP="00EF7F81">
            <w:pPr>
              <w:jc w:val="center"/>
              <w:rPr>
                <w:sz w:val="20"/>
              </w:rPr>
            </w:pPr>
            <w:r w:rsidRPr="009A5DCB">
              <w:rPr>
                <w:sz w:val="20"/>
              </w:rPr>
              <w:t>1000 W</w:t>
            </w:r>
            <w:r w:rsidR="000D3C14">
              <w:rPr>
                <w:sz w:val="20"/>
              </w:rPr>
              <w:t xml:space="preserve">   </w:t>
            </w:r>
          </w:p>
          <w:p w14:paraId="442AB0FA" w14:textId="1A31908E" w:rsidR="00EF7F81" w:rsidRPr="009A5DCB" w:rsidRDefault="000D3C14" w:rsidP="000D3C14">
            <w:pPr>
              <w:jc w:val="center"/>
              <w:rPr>
                <w:sz w:val="20"/>
              </w:rPr>
            </w:pPr>
            <w:r>
              <w:rPr>
                <w:sz w:val="20"/>
              </w:rPr>
              <w:t xml:space="preserve">                                 </w:t>
            </w:r>
          </w:p>
        </w:tc>
        <w:tc>
          <w:tcPr>
            <w:tcW w:w="187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F7F81" w:rsidRPr="00EF7F81" w14:paraId="58B6C232" w14:textId="77777777" w:rsidTr="00EF7F81">
              <w:trPr>
                <w:tblCellSpacing w:w="15" w:type="dxa"/>
              </w:trPr>
              <w:tc>
                <w:tcPr>
                  <w:tcW w:w="0" w:type="auto"/>
                  <w:vAlign w:val="center"/>
                  <w:hideMark/>
                </w:tcPr>
                <w:p w14:paraId="7800FB54" w14:textId="77777777" w:rsidR="00EF7F81" w:rsidRPr="00EF7F81" w:rsidRDefault="00EF7F81" w:rsidP="00EF7F81">
                  <w:pPr>
                    <w:jc w:val="center"/>
                    <w:rPr>
                      <w:sz w:val="20"/>
                    </w:rPr>
                  </w:pPr>
                </w:p>
              </w:tc>
            </w:tr>
          </w:tbl>
          <w:p w14:paraId="7644DB97" w14:textId="77777777" w:rsidR="00EF7F81" w:rsidRPr="00EF7F81" w:rsidRDefault="00EF7F81" w:rsidP="00EF7F81">
            <w:pPr>
              <w:jc w:val="center"/>
              <w:rPr>
                <w:vanish/>
                <w:sz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58"/>
            </w:tblGrid>
            <w:tr w:rsidR="00EF7F81" w:rsidRPr="00EF7F81" w14:paraId="57DC1ED0" w14:textId="77777777" w:rsidTr="00EF7F81">
              <w:trPr>
                <w:tblCellSpacing w:w="15" w:type="dxa"/>
              </w:trPr>
              <w:tc>
                <w:tcPr>
                  <w:tcW w:w="1398" w:type="dxa"/>
                  <w:vAlign w:val="center"/>
                  <w:hideMark/>
                </w:tcPr>
                <w:p w14:paraId="4AA9317B" w14:textId="0B412429" w:rsidR="00EF7F81" w:rsidRPr="00EF7F81" w:rsidRDefault="00EF7F81" w:rsidP="00EF7F81">
                  <w:pPr>
                    <w:jc w:val="center"/>
                    <w:rPr>
                      <w:sz w:val="20"/>
                    </w:rPr>
                  </w:pPr>
                </w:p>
              </w:tc>
            </w:tr>
          </w:tbl>
          <w:p w14:paraId="34D451F8" w14:textId="77777777" w:rsidR="00EF7F81" w:rsidRPr="009A5DCB" w:rsidRDefault="00EF7F81" w:rsidP="00EF7F81">
            <w:pPr>
              <w:jc w:val="center"/>
              <w:rPr>
                <w:sz w:val="20"/>
              </w:rPr>
            </w:pPr>
          </w:p>
        </w:tc>
        <w:tc>
          <w:tcPr>
            <w:tcW w:w="1870" w:type="dxa"/>
          </w:tcPr>
          <w:p w14:paraId="50596731" w14:textId="30B54FC7" w:rsidR="00EF7F81" w:rsidRPr="009A5DCB" w:rsidRDefault="00EF7F81" w:rsidP="00712F50">
            <w:pPr>
              <w:rPr>
                <w:sz w:val="20"/>
              </w:rPr>
            </w:pPr>
            <w:r w:rsidRPr="009A5DCB">
              <w:rPr>
                <w:sz w:val="20"/>
              </w:rPr>
              <w:t>60V 1.2 kWh</w:t>
            </w:r>
          </w:p>
        </w:tc>
        <w:tc>
          <w:tcPr>
            <w:tcW w:w="1870" w:type="dxa"/>
          </w:tcPr>
          <w:p w14:paraId="10D8A350" w14:textId="3B4FCF30" w:rsidR="00EF7F81" w:rsidRPr="009A5DCB" w:rsidRDefault="00EF7F81" w:rsidP="000D3C14">
            <w:pPr>
              <w:jc w:val="center"/>
              <w:rPr>
                <w:sz w:val="20"/>
              </w:rPr>
            </w:pPr>
            <w:r w:rsidRPr="009A5DCB">
              <w:rPr>
                <w:sz w:val="20"/>
              </w:rPr>
              <w:t>Portable Lithium</w:t>
            </w:r>
          </w:p>
        </w:tc>
      </w:tr>
    </w:tbl>
    <w:p w14:paraId="40729E8E" w14:textId="763E81DD" w:rsidR="00726E92" w:rsidRDefault="00726E92" w:rsidP="007A780A">
      <w:pPr>
        <w:jc w:val="both"/>
        <w:rPr>
          <w:sz w:val="20"/>
        </w:rPr>
      </w:pPr>
    </w:p>
    <w:p w14:paraId="2049E693" w14:textId="4E1F699F" w:rsidR="00726E92" w:rsidRDefault="00726E92" w:rsidP="00206BAB">
      <w:pPr>
        <w:ind w:firstLine="432"/>
        <w:jc w:val="both"/>
        <w:rPr>
          <w:sz w:val="20"/>
        </w:rPr>
      </w:pPr>
    </w:p>
    <w:p w14:paraId="20989972" w14:textId="4DFE5C86" w:rsidR="00726E92" w:rsidRDefault="00712F50" w:rsidP="00712F50">
      <w:pPr>
        <w:ind w:firstLine="432"/>
        <w:jc w:val="both"/>
        <w:rPr>
          <w:sz w:val="20"/>
        </w:rPr>
      </w:pPr>
      <w:r w:rsidRPr="00712F50">
        <w:rPr>
          <w:sz w:val="20"/>
        </w:rPr>
        <w:t>These parameters show significant patterns in the market for electric motorcycles in Bangladesh</w:t>
      </w:r>
      <w:proofErr w:type="gramStart"/>
      <w:r w:rsidRPr="00712F50">
        <w:rPr>
          <w:sz w:val="20"/>
        </w:rPr>
        <w:t>..</w:t>
      </w:r>
      <w:proofErr w:type="gramEnd"/>
      <w:r w:rsidRPr="00712F50">
        <w:rPr>
          <w:sz w:val="20"/>
        </w:rPr>
        <w:t xml:space="preserve"> Most manufacturers have a good balance between motor power and battery capacity. They generally pair more powerful motors with batteries that can store more energy to deliver the best performance and range. Lithium battery models tend to have higher energy density, which means they can go the same distance with less space. </w:t>
      </w:r>
      <w:r w:rsidR="00B1173F" w:rsidRPr="00B1173F">
        <w:rPr>
          <w:sz w:val="20"/>
        </w:rPr>
        <w:t xml:space="preserve">As lithium technology becomes more affordable, more people are expected to use it, especially in cities where space and efficiency are crucial. </w:t>
      </w:r>
      <w:r w:rsidR="00B1173F">
        <w:rPr>
          <w:sz w:val="20"/>
        </w:rPr>
        <w:t xml:space="preserve"> </w:t>
      </w:r>
      <w:r w:rsidRPr="00712F50">
        <w:rPr>
          <w:sz w:val="20"/>
        </w:rPr>
        <w:t>This selection illustrates how manufacturers tailor the design of electric motorcycles to suit the infrastructure, usage patterns, and cost of different regions.</w:t>
      </w:r>
      <w:r w:rsidR="00B1173F">
        <w:rPr>
          <w:sz w:val="20"/>
        </w:rPr>
        <w:t xml:space="preserve"> </w:t>
      </w:r>
      <w:r w:rsidR="00B1173F" w:rsidRPr="00B1173F">
        <w:rPr>
          <w:sz w:val="20"/>
        </w:rPr>
        <w:t>Furthermore, companies are starting to offer more options to fulfil the needs of both business users who want things that last and individual riders who care about comfort and looks. This strategic match between technological features and what customers want is a big reason why Bangladesh's electric two-wheeler market is growing.</w:t>
      </w:r>
    </w:p>
    <w:p w14:paraId="02AF2806" w14:textId="5293AB92" w:rsidR="00726E92" w:rsidRDefault="00B1173F" w:rsidP="00712F50">
      <w:pPr>
        <w:jc w:val="both"/>
        <w:rPr>
          <w:szCs w:val="24"/>
        </w:rPr>
      </w:pPr>
      <w:r>
        <w:rPr>
          <w:szCs w:val="24"/>
        </w:rPr>
        <w:t xml:space="preserve"> </w:t>
      </w:r>
    </w:p>
    <w:p w14:paraId="08DE6DE7" w14:textId="5A5401A4" w:rsidR="00FD684B" w:rsidRDefault="000D7543" w:rsidP="00C718FE">
      <w:pPr>
        <w:ind w:firstLine="432"/>
        <w:jc w:val="both"/>
        <w:rPr>
          <w:sz w:val="20"/>
        </w:rPr>
      </w:pPr>
      <w:r w:rsidRPr="000D7543">
        <w:rPr>
          <w:sz w:val="20"/>
        </w:rPr>
        <w:t xml:space="preserve">Three meaningful connections were visualized and shown in order to better understand the trends in the technical performance of electric motorcycles in Bangladesh. These graphs show how the battery's capacity, the motor's power, </w:t>
      </w:r>
      <w:r w:rsidRPr="000D7543">
        <w:rPr>
          <w:sz w:val="20"/>
        </w:rPr>
        <w:lastRenderedPageBreak/>
        <w:t>and the vehicle's speed all work together to affect its total performance.</w:t>
      </w:r>
      <w:r w:rsidRPr="000D7543">
        <w:t xml:space="preserve"> </w:t>
      </w:r>
      <w:r w:rsidRPr="000D7543">
        <w:rPr>
          <w:sz w:val="20"/>
        </w:rPr>
        <w:t>Analysis of data from several models reveals distinct trends that underscore design choices employed by local manufacturers to enhance efficiency and usefulness.</w:t>
      </w:r>
      <w:r>
        <w:rPr>
          <w:sz w:val="20"/>
        </w:rPr>
        <w:t xml:space="preserve"> </w:t>
      </w:r>
      <w:r w:rsidR="00216477" w:rsidRPr="00216477">
        <w:rPr>
          <w:sz w:val="20"/>
        </w:rPr>
        <w:t xml:space="preserve">The regression lines and elevated R² values in the figures validate the robustness of these connections and the dependability of the underlying data.  </w:t>
      </w:r>
      <w:r w:rsidR="00216477">
        <w:rPr>
          <w:sz w:val="20"/>
        </w:rPr>
        <w:t xml:space="preserve"> </w:t>
      </w:r>
    </w:p>
    <w:p w14:paraId="63CFD009" w14:textId="77777777" w:rsidR="003B34C6" w:rsidRPr="000D7543" w:rsidRDefault="003B34C6" w:rsidP="000D7543">
      <w:pPr>
        <w:rPr>
          <w:sz w:val="20"/>
        </w:rPr>
      </w:pPr>
    </w:p>
    <w:p w14:paraId="323A8299" w14:textId="01A19625" w:rsidR="00932794" w:rsidRDefault="00D06BBC" w:rsidP="00731D80">
      <w:pPr>
        <w:rPr>
          <w:szCs w:val="24"/>
        </w:rPr>
      </w:pPr>
      <w:r>
        <w:rPr>
          <w:szCs w:val="24"/>
        </w:rPr>
        <w:t xml:space="preserve"> </w:t>
      </w:r>
      <w:r w:rsidR="00731D80">
        <w:rPr>
          <w:szCs w:val="24"/>
        </w:rPr>
        <w:t xml:space="preserve"> </w:t>
      </w:r>
      <w:r w:rsidR="00FD33B2">
        <w:rPr>
          <w:noProof/>
          <w:sz w:val="18"/>
          <w:szCs w:val="18"/>
        </w:rPr>
        <w:t xml:space="preserve"> </w:t>
      </w:r>
      <w:r w:rsidR="00731D80">
        <w:rPr>
          <w:szCs w:val="24"/>
        </w:rPr>
        <w:t xml:space="preserve"> </w:t>
      </w:r>
      <w:r>
        <w:rPr>
          <w:noProof/>
        </w:rPr>
        <w:drawing>
          <wp:inline distT="0" distB="0" distL="0" distR="0" wp14:anchorId="35A43313" wp14:editId="63E166C1">
            <wp:extent cx="1943100" cy="1729740"/>
            <wp:effectExtent l="0" t="0" r="0" b="3810"/>
            <wp:docPr id="1205326007" name="Chart 1">
              <a:extLst xmlns:a="http://schemas.openxmlformats.org/drawingml/2006/main">
                <a:ext uri="{FF2B5EF4-FFF2-40B4-BE49-F238E27FC236}">
                  <a16:creationId xmlns:a16="http://schemas.microsoft.com/office/drawing/2014/main" id="{A65112EE-86CC-879C-4FC5-7921D0C1B6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731D80">
        <w:rPr>
          <w:szCs w:val="24"/>
        </w:rPr>
        <w:t xml:space="preserve">  </w:t>
      </w:r>
      <w:r>
        <w:rPr>
          <w:szCs w:val="24"/>
        </w:rPr>
        <w:t xml:space="preserve"> </w:t>
      </w:r>
      <w:r w:rsidR="00DC7089">
        <w:rPr>
          <w:noProof/>
        </w:rPr>
        <w:drawing>
          <wp:inline distT="0" distB="0" distL="0" distR="0" wp14:anchorId="167AA010" wp14:editId="3CB62EE9">
            <wp:extent cx="1783080" cy="1722120"/>
            <wp:effectExtent l="0" t="0" r="7620" b="11430"/>
            <wp:docPr id="873936931" name="Chart 2">
              <a:extLst xmlns:a="http://schemas.openxmlformats.org/drawingml/2006/main">
                <a:ext uri="{FF2B5EF4-FFF2-40B4-BE49-F238E27FC236}">
                  <a16:creationId xmlns:a16="http://schemas.microsoft.com/office/drawing/2014/main" id="{DAD664D8-6968-4527-A9AD-843FDD1629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DC7089">
        <w:rPr>
          <w:szCs w:val="24"/>
        </w:rPr>
        <w:t xml:space="preserve"> </w:t>
      </w:r>
      <w:r w:rsidR="00FE01DA">
        <w:rPr>
          <w:szCs w:val="24"/>
        </w:rPr>
        <w:t xml:space="preserve">   </w:t>
      </w:r>
      <w:r w:rsidR="0087779F">
        <w:rPr>
          <w:noProof/>
        </w:rPr>
        <w:drawing>
          <wp:inline distT="0" distB="0" distL="0" distR="0" wp14:anchorId="2F09CA8F" wp14:editId="56A035F2">
            <wp:extent cx="1722120" cy="1737360"/>
            <wp:effectExtent l="0" t="0" r="11430" b="15240"/>
            <wp:docPr id="754792950" name="Chart 3">
              <a:extLst xmlns:a="http://schemas.openxmlformats.org/drawingml/2006/main">
                <a:ext uri="{FF2B5EF4-FFF2-40B4-BE49-F238E27FC236}">
                  <a16:creationId xmlns:a16="http://schemas.microsoft.com/office/drawing/2014/main" id="{63CF0D3E-FF6D-4049-8875-02E5F0B803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7D10884" w14:textId="4526BAE1" w:rsidR="00731D80" w:rsidRPr="00731D80" w:rsidRDefault="00731D80" w:rsidP="00731D80">
      <w:pPr>
        <w:pStyle w:val="ListParagraph"/>
        <w:numPr>
          <w:ilvl w:val="0"/>
          <w:numId w:val="16"/>
        </w:numPr>
        <w:rPr>
          <w:szCs w:val="24"/>
        </w:rPr>
      </w:pPr>
      <w:r>
        <w:rPr>
          <w:szCs w:val="24"/>
        </w:rPr>
        <w:t xml:space="preserve">                                                 (b)                                </w:t>
      </w:r>
      <w:r w:rsidR="0087779F">
        <w:rPr>
          <w:szCs w:val="24"/>
        </w:rPr>
        <w:t xml:space="preserve">               </w:t>
      </w:r>
      <w:r>
        <w:rPr>
          <w:szCs w:val="24"/>
        </w:rPr>
        <w:t xml:space="preserve">    (c) </w:t>
      </w:r>
    </w:p>
    <w:p w14:paraId="5B0D8805" w14:textId="77777777" w:rsidR="00731D80" w:rsidRDefault="00731D80" w:rsidP="00731D80">
      <w:pPr>
        <w:rPr>
          <w:szCs w:val="24"/>
        </w:rPr>
      </w:pPr>
    </w:p>
    <w:p w14:paraId="7131D25D" w14:textId="77777777" w:rsidR="00731D80" w:rsidRPr="00731D80" w:rsidRDefault="00731D80" w:rsidP="00731D80">
      <w:pPr>
        <w:rPr>
          <w:szCs w:val="24"/>
        </w:rPr>
      </w:pPr>
    </w:p>
    <w:p w14:paraId="53200902" w14:textId="33C61EDE" w:rsidR="00731D80" w:rsidRDefault="00736524" w:rsidP="00731D80">
      <w:pPr>
        <w:rPr>
          <w:sz w:val="18"/>
          <w:szCs w:val="18"/>
        </w:rPr>
      </w:pPr>
      <w:r>
        <w:rPr>
          <w:sz w:val="18"/>
          <w:szCs w:val="18"/>
        </w:rPr>
        <w:t>FIGURE 3</w:t>
      </w:r>
      <w:r w:rsidR="00731D80" w:rsidRPr="00731D80">
        <w:rPr>
          <w:sz w:val="18"/>
          <w:szCs w:val="18"/>
        </w:rPr>
        <w:t xml:space="preserve">. Performance parameter relationships in electric motorcycles in Bangladesh: (a) linear relationship between battery capacity (Ah) and range (km), (b) nonlinear relationship between motor power (W) and </w:t>
      </w:r>
      <w:r w:rsidR="00AA62CC">
        <w:rPr>
          <w:sz w:val="18"/>
          <w:szCs w:val="18"/>
        </w:rPr>
        <w:t xml:space="preserve">top speed (km/h), and (c) </w:t>
      </w:r>
      <w:r w:rsidR="00731D80" w:rsidRPr="00731D80">
        <w:rPr>
          <w:sz w:val="18"/>
          <w:szCs w:val="18"/>
        </w:rPr>
        <w:t xml:space="preserve"> correlation between battery capacity (Ah) and motor power (W).</w:t>
      </w:r>
    </w:p>
    <w:p w14:paraId="6F01441B" w14:textId="77777777" w:rsidR="00021B6E" w:rsidRDefault="00021B6E" w:rsidP="00731D80">
      <w:pPr>
        <w:rPr>
          <w:sz w:val="18"/>
          <w:szCs w:val="18"/>
        </w:rPr>
      </w:pPr>
    </w:p>
    <w:p w14:paraId="4D308637" w14:textId="7E015B88" w:rsidR="00907170" w:rsidRDefault="00736524" w:rsidP="00C718FE">
      <w:pPr>
        <w:ind w:firstLine="432"/>
        <w:jc w:val="both"/>
        <w:rPr>
          <w:sz w:val="20"/>
        </w:rPr>
      </w:pPr>
      <w:r>
        <w:rPr>
          <w:sz w:val="20"/>
        </w:rPr>
        <w:t>Figure 3</w:t>
      </w:r>
      <w:r w:rsidR="00B90269" w:rsidRPr="00B90269">
        <w:rPr>
          <w:sz w:val="20"/>
        </w:rPr>
        <w:t xml:space="preserve"> presents key performance correlations in electric motorcycles in Bangladesh.</w:t>
      </w:r>
      <w:r w:rsidR="00907170">
        <w:rPr>
          <w:sz w:val="20"/>
        </w:rPr>
        <w:t xml:space="preserve"> </w:t>
      </w:r>
    </w:p>
    <w:p w14:paraId="38EDEAD9" w14:textId="77777777" w:rsidR="00623DCB" w:rsidRPr="00623DCB" w:rsidRDefault="00907170" w:rsidP="00623DCB">
      <w:pPr>
        <w:jc w:val="both"/>
        <w:rPr>
          <w:sz w:val="20"/>
        </w:rPr>
      </w:pPr>
      <w:r w:rsidRPr="00907170">
        <w:rPr>
          <w:sz w:val="20"/>
        </w:rPr>
        <w:t xml:space="preserve">(a) </w:t>
      </w:r>
      <w:r w:rsidR="00623DCB" w:rsidRPr="00623DCB">
        <w:rPr>
          <w:sz w:val="20"/>
        </w:rPr>
        <w:t>A linear relationship between battery capacity and range, as described by Equation (1), indicates that greater battery</w:t>
      </w:r>
    </w:p>
    <w:p w14:paraId="29B41652" w14:textId="363F4F9A" w:rsidR="00907170" w:rsidRDefault="00623DCB" w:rsidP="00623DCB">
      <w:pPr>
        <w:jc w:val="both"/>
        <w:rPr>
          <w:sz w:val="20"/>
        </w:rPr>
      </w:pPr>
      <w:r w:rsidRPr="00623DCB">
        <w:rPr>
          <w:sz w:val="20"/>
        </w:rPr>
        <w:t>Capacity leads to longer travel distance per charge.</w:t>
      </w:r>
      <w:r w:rsidRPr="00907170">
        <w:rPr>
          <w:sz w:val="20"/>
        </w:rPr>
        <w:t xml:space="preserve"> </w:t>
      </w:r>
      <w:r w:rsidR="00907170" w:rsidRPr="00907170">
        <w:rPr>
          <w:sz w:val="20"/>
        </w:rPr>
        <w:t>The graph demonstrates that as battery capacity increases, the travel distance per charge increases proportionally. The data fits almost perfectly, with an R² value of 1.0. This means that battery capacity alone can usually tell you how far one can travel. This strong consistency shows that battery size is still a good way to measure performance across the most common electric motorcycle models in Bangladesh.</w:t>
      </w:r>
    </w:p>
    <w:p w14:paraId="0E9E11AD" w14:textId="77777777" w:rsidR="00320ECF" w:rsidRDefault="00320ECF" w:rsidP="00320ECF">
      <w:pPr>
        <w:jc w:val="both"/>
        <w:rPr>
          <w:sz w:val="20"/>
        </w:rPr>
      </w:pPr>
    </w:p>
    <w:p w14:paraId="0FC1816C" w14:textId="58D56C06" w:rsidR="00320ECF" w:rsidRDefault="00320ECF" w:rsidP="00C718FE">
      <w:pPr>
        <w:ind w:firstLine="432"/>
        <w:jc w:val="both"/>
        <w:rPr>
          <w:sz w:val="20"/>
        </w:rPr>
      </w:pPr>
      <w:r w:rsidRPr="00EA29A6">
        <w:rPr>
          <w:sz w:val="20"/>
        </w:rPr>
        <w:t>(b) This figure highlights a slightly nonlinear correlation between motor power and top speed, represented by a power-law regression (Equation 3).  The graph shows that while maximum speed increases with motor power, the rate of increase gradually declines, showing a sub-linear tendency.  This trend corresponds with what theory says (Equation 2), which looks at things like aerodynamic drag and mechanical inefficiencies that get more severe at greater speeds, causing performance saturation.  The model fit is strong, as shown by an R² value of 0.99, which means there is a strong correlation and the regression is reliable.  The strong correlation between empirical data and the theoretical model reinforces the suitability of the power-law approach for predicting electric motorcycle performance, while also indicating that performance improvements decrease as motor power increases.</w:t>
      </w:r>
    </w:p>
    <w:p w14:paraId="22E781A9" w14:textId="3F062005" w:rsidR="00B90269" w:rsidRPr="00B90269" w:rsidRDefault="00B90269" w:rsidP="00C307C4">
      <w:pPr>
        <w:jc w:val="both"/>
        <w:rPr>
          <w:sz w:val="20"/>
        </w:rPr>
      </w:pPr>
    </w:p>
    <w:p w14:paraId="02FF278C" w14:textId="3368B5BB" w:rsidR="0001536B" w:rsidRDefault="00AA62CC" w:rsidP="00C718FE">
      <w:pPr>
        <w:ind w:firstLine="432"/>
        <w:jc w:val="both"/>
        <w:rPr>
          <w:sz w:val="20"/>
        </w:rPr>
      </w:pPr>
      <w:r>
        <w:rPr>
          <w:sz w:val="20"/>
        </w:rPr>
        <w:t xml:space="preserve">(c) A </w:t>
      </w:r>
      <w:r w:rsidR="00B90269" w:rsidRPr="00B90269">
        <w:rPr>
          <w:sz w:val="20"/>
        </w:rPr>
        <w:t>correlation between battery capacity and motor power, based on Equation (4), shows that manufacturers tend to pair higher-capacity batteries with more powerful motors</w:t>
      </w:r>
      <w:r w:rsidR="00320ECF">
        <w:rPr>
          <w:sz w:val="20"/>
        </w:rPr>
        <w:t xml:space="preserve">. </w:t>
      </w:r>
      <w:r w:rsidR="00320ECF" w:rsidRPr="00320ECF">
        <w:rPr>
          <w:sz w:val="20"/>
        </w:rPr>
        <w:t>The trend demonstrates that manufacturers constantly put together larger batteries with more powerful motors to maintain the energy level stable while also making the performance better. The R² score of 0.997 shows that there is a strong connection, which means that the same design process was used on multiple models. This alignment ensures that electric motorcycles in the local market provide sufficient speed and range while maintaining energy efficiency.</w:t>
      </w:r>
    </w:p>
    <w:p w14:paraId="53108832" w14:textId="77777777" w:rsidR="003B34C6" w:rsidRDefault="003B34C6" w:rsidP="00C307C4">
      <w:pPr>
        <w:jc w:val="both"/>
        <w:rPr>
          <w:sz w:val="20"/>
        </w:rPr>
      </w:pPr>
    </w:p>
    <w:p w14:paraId="2F33BFA0" w14:textId="0336F360" w:rsidR="00AA62CC" w:rsidRPr="00544051" w:rsidRDefault="00AA62CC" w:rsidP="00C307C4">
      <w:pPr>
        <w:jc w:val="both"/>
        <w:rPr>
          <w:sz w:val="20"/>
        </w:rPr>
      </w:pPr>
    </w:p>
    <w:p w14:paraId="2190B91E" w14:textId="644A3481" w:rsidR="00040781" w:rsidRDefault="00040781" w:rsidP="00040781">
      <w:pPr>
        <w:jc w:val="center"/>
        <w:rPr>
          <w:b/>
          <w:szCs w:val="24"/>
        </w:rPr>
      </w:pPr>
      <w:r w:rsidRPr="00040781">
        <w:rPr>
          <w:b/>
          <w:szCs w:val="24"/>
        </w:rPr>
        <w:t>Battery and Motor Performance Trends</w:t>
      </w:r>
    </w:p>
    <w:p w14:paraId="0DCD2B35" w14:textId="77777777" w:rsidR="000D7B7D" w:rsidRDefault="000D7B7D" w:rsidP="00040781">
      <w:pPr>
        <w:jc w:val="center"/>
        <w:rPr>
          <w:b/>
          <w:szCs w:val="24"/>
        </w:rPr>
      </w:pPr>
    </w:p>
    <w:p w14:paraId="1FE2FF80" w14:textId="7CCDEEA2" w:rsidR="00040781" w:rsidRPr="00756F3E" w:rsidRDefault="00AE6F64" w:rsidP="00206BAB">
      <w:pPr>
        <w:ind w:firstLine="432"/>
        <w:jc w:val="both"/>
        <w:rPr>
          <w:b/>
          <w:sz w:val="20"/>
        </w:rPr>
      </w:pPr>
      <w:r w:rsidRPr="00756F3E">
        <w:rPr>
          <w:sz w:val="20"/>
        </w:rPr>
        <w:t>Despite their shorter lifespan and greater weight, electric motorcycles primarily use lead-acid batteries because they ar</w:t>
      </w:r>
      <w:r w:rsidR="00C36D33">
        <w:rPr>
          <w:sz w:val="20"/>
        </w:rPr>
        <w:t xml:space="preserve">e less expensive. </w:t>
      </w:r>
      <w:r w:rsidR="00277EFA">
        <w:rPr>
          <w:sz w:val="20"/>
        </w:rPr>
        <w:t>Manufacturer’s</w:t>
      </w:r>
      <w:r w:rsidRPr="00756F3E">
        <w:rPr>
          <w:sz w:val="20"/>
        </w:rPr>
        <w:t xml:space="preserve"> data indicate that approximately 65% of riders prefer lead-acid batteries, while 35% choose lithium-ion batteries due to their longer cycle life and reduced weight, although the higher cost remains a considerable challenge. Battery replacement is a common problem among users, as confirmed by service centers</w:t>
      </w:r>
      <w:r w:rsidRPr="00756F3E">
        <w:rPr>
          <w:b/>
          <w:sz w:val="20"/>
        </w:rPr>
        <w:t xml:space="preserve">. </w:t>
      </w:r>
    </w:p>
    <w:p w14:paraId="379DCDF9" w14:textId="3BF394FC" w:rsidR="000451DF" w:rsidRDefault="000451DF" w:rsidP="00AE6F64">
      <w:pPr>
        <w:jc w:val="both"/>
        <w:rPr>
          <w:b/>
          <w:szCs w:val="24"/>
        </w:rPr>
      </w:pPr>
    </w:p>
    <w:p w14:paraId="0AA764FC" w14:textId="77777777" w:rsidR="000451DF" w:rsidRDefault="000451DF" w:rsidP="00AE6F64">
      <w:pPr>
        <w:jc w:val="both"/>
        <w:rPr>
          <w:b/>
          <w:szCs w:val="24"/>
        </w:rPr>
      </w:pPr>
    </w:p>
    <w:p w14:paraId="63B05BEC" w14:textId="2A7CC6A8" w:rsidR="007B6AD0" w:rsidRDefault="002F144A" w:rsidP="00AE6F64">
      <w:pPr>
        <w:jc w:val="both"/>
        <w:rPr>
          <w:b/>
          <w:szCs w:val="24"/>
        </w:rPr>
      </w:pPr>
      <w:r>
        <w:rPr>
          <w:noProof/>
        </w:rPr>
        <w:drawing>
          <wp:inline distT="0" distB="0" distL="0" distR="0" wp14:anchorId="35F94A52" wp14:editId="5C03769F">
            <wp:extent cx="2795270" cy="2005965"/>
            <wp:effectExtent l="0" t="0" r="5080" b="13335"/>
            <wp:docPr id="7" name="Chart 7">
              <a:extLst xmlns:a="http://schemas.openxmlformats.org/drawingml/2006/main">
                <a:ext uri="{FF2B5EF4-FFF2-40B4-BE49-F238E27FC236}">
                  <a16:creationId xmlns:a16="http://schemas.microsoft.com/office/drawing/2014/main" id="{E8B05937-944B-465B-66F3-2B616F1758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7017E7">
        <w:rPr>
          <w:b/>
          <w:szCs w:val="24"/>
        </w:rPr>
        <w:t xml:space="preserve"> </w:t>
      </w:r>
      <w:r>
        <w:rPr>
          <w:b/>
          <w:szCs w:val="24"/>
        </w:rPr>
        <w:t xml:space="preserve">  </w:t>
      </w:r>
      <w:r w:rsidR="000451DF">
        <w:rPr>
          <w:b/>
          <w:szCs w:val="24"/>
        </w:rPr>
        <w:t xml:space="preserve"> </w:t>
      </w:r>
      <w:r>
        <w:rPr>
          <w:noProof/>
        </w:rPr>
        <w:drawing>
          <wp:inline distT="0" distB="0" distL="0" distR="0" wp14:anchorId="3ED9D21D" wp14:editId="7226B203">
            <wp:extent cx="2731401" cy="2005965"/>
            <wp:effectExtent l="0" t="0" r="12065" b="1333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C344BCC" w14:textId="2D4CB943" w:rsidR="000451DF" w:rsidRDefault="000451DF" w:rsidP="00AE6F64">
      <w:pPr>
        <w:jc w:val="both"/>
        <w:rPr>
          <w:b/>
          <w:szCs w:val="24"/>
        </w:rPr>
      </w:pPr>
    </w:p>
    <w:p w14:paraId="736C0565" w14:textId="4AC23521" w:rsidR="000451DF" w:rsidRPr="000451DF" w:rsidRDefault="000451DF" w:rsidP="000451DF">
      <w:pPr>
        <w:pStyle w:val="ListParagraph"/>
        <w:numPr>
          <w:ilvl w:val="0"/>
          <w:numId w:val="13"/>
        </w:numPr>
        <w:jc w:val="both"/>
        <w:rPr>
          <w:szCs w:val="24"/>
        </w:rPr>
      </w:pPr>
      <w:r w:rsidRPr="000451DF">
        <w:rPr>
          <w:szCs w:val="24"/>
        </w:rPr>
        <w:t xml:space="preserve">                                                                      (b) </w:t>
      </w:r>
    </w:p>
    <w:p w14:paraId="7844F70C" w14:textId="5708DF50" w:rsidR="000451DF" w:rsidRDefault="000451DF" w:rsidP="000451DF">
      <w:pPr>
        <w:jc w:val="both"/>
        <w:rPr>
          <w:sz w:val="18"/>
          <w:szCs w:val="18"/>
        </w:rPr>
      </w:pPr>
      <w:r w:rsidRPr="000451DF">
        <w:rPr>
          <w:sz w:val="18"/>
          <w:szCs w:val="18"/>
        </w:rPr>
        <w:t>F</w:t>
      </w:r>
      <w:r w:rsidR="00736524">
        <w:rPr>
          <w:sz w:val="18"/>
          <w:szCs w:val="18"/>
        </w:rPr>
        <w:t>IGURE4</w:t>
      </w:r>
      <w:r w:rsidRPr="000451DF">
        <w:rPr>
          <w:sz w:val="18"/>
          <w:szCs w:val="18"/>
        </w:rPr>
        <w:t>.   Battery types in electric motorcycles in Bangladesh. (a) Distribution by battery type count.  (b) Market preference by battery type.</w:t>
      </w:r>
    </w:p>
    <w:p w14:paraId="0A6BECC9" w14:textId="77777777" w:rsidR="007A780A" w:rsidRPr="000451DF" w:rsidRDefault="007A780A" w:rsidP="000451DF">
      <w:pPr>
        <w:jc w:val="both"/>
        <w:rPr>
          <w:sz w:val="18"/>
          <w:szCs w:val="18"/>
        </w:rPr>
      </w:pPr>
    </w:p>
    <w:p w14:paraId="5B8EA6AA" w14:textId="2B579493" w:rsidR="00677762" w:rsidRDefault="00736524" w:rsidP="00206BAB">
      <w:pPr>
        <w:ind w:firstLine="432"/>
        <w:jc w:val="both"/>
        <w:rPr>
          <w:sz w:val="20"/>
          <w:lang w:val="en"/>
        </w:rPr>
      </w:pPr>
      <w:r>
        <w:rPr>
          <w:sz w:val="20"/>
          <w:lang w:val="en"/>
        </w:rPr>
        <w:t>Figure 4</w:t>
      </w:r>
      <w:r w:rsidR="00677762" w:rsidRPr="00756F3E">
        <w:rPr>
          <w:sz w:val="20"/>
          <w:lang w:val="en"/>
        </w:rPr>
        <w:t xml:space="preserve"> illustrates the distribution and market preference of battery types in electric motorcycles within Bangladesh. Lithium-ion and</w:t>
      </w:r>
      <w:r w:rsidR="005C2EE4">
        <w:rPr>
          <w:sz w:val="20"/>
          <w:lang w:val="en"/>
        </w:rPr>
        <w:t xml:space="preserve"> </w:t>
      </w:r>
      <w:r w:rsidR="005C2EE4" w:rsidRPr="005C2EE4">
        <w:rPr>
          <w:sz w:val="20"/>
          <w:lang w:val="en"/>
        </w:rPr>
        <w:t>Va</w:t>
      </w:r>
      <w:r w:rsidR="005C2EE4">
        <w:rPr>
          <w:sz w:val="20"/>
          <w:lang w:val="en"/>
        </w:rPr>
        <w:t>lve-Regulated Lead-Acid Battery</w:t>
      </w:r>
      <w:r w:rsidR="00677762" w:rsidRPr="00756F3E">
        <w:rPr>
          <w:sz w:val="20"/>
          <w:lang w:val="en"/>
        </w:rPr>
        <w:t xml:space="preserve"> </w:t>
      </w:r>
      <w:r w:rsidR="005C2EE4">
        <w:rPr>
          <w:sz w:val="20"/>
          <w:lang w:val="en"/>
        </w:rPr>
        <w:t>(</w:t>
      </w:r>
      <w:r w:rsidR="00677762" w:rsidRPr="00756F3E">
        <w:rPr>
          <w:sz w:val="20"/>
          <w:lang w:val="en"/>
        </w:rPr>
        <w:t>VRLA</w:t>
      </w:r>
      <w:r w:rsidR="005C2EE4">
        <w:rPr>
          <w:sz w:val="20"/>
          <w:lang w:val="en"/>
        </w:rPr>
        <w:t>)</w:t>
      </w:r>
      <w:r w:rsidR="00677762" w:rsidRPr="00756F3E">
        <w:rPr>
          <w:sz w:val="20"/>
          <w:lang w:val="en"/>
        </w:rPr>
        <w:t xml:space="preserve"> batteries are the primary technologies employed across various models. However, the pie chart reveals that lead-acid batteries still dominate customer preference, likely due to their lower cost and wider local availability, despite lithium-ion batteries offering superior performance and efficiency.</w:t>
      </w:r>
    </w:p>
    <w:p w14:paraId="59EB8505" w14:textId="622C185D" w:rsidR="00944269" w:rsidRDefault="00944269" w:rsidP="00206BAB">
      <w:pPr>
        <w:ind w:firstLine="432"/>
        <w:jc w:val="both"/>
        <w:rPr>
          <w:sz w:val="20"/>
          <w:lang w:val="en"/>
        </w:rPr>
      </w:pPr>
      <w:r w:rsidRPr="00944269">
        <w:rPr>
          <w:sz w:val="20"/>
          <w:lang w:val="en"/>
        </w:rPr>
        <w:t>In Bangladesh, BLDC motors are widely used on electric motorcycles due to their higher efficiency, compact parameters, and excellent low-speed torque, rendering them suitable for urban road conditions. Their hub-mount configuration avoids gear transmission, hence reducing maintenance and attracting cost-sensitive customers. Conversely, induction motors show mechanical robustness and are more appropriate for high-speed, heavy-load applications; however, they demonstrate reduced efficiency at low speeds and require more intricate control systems. BLDC motors rely significantly on electronic controllers and may exhibit suboptimal performance under thermal stress, whereas induction motors have superior thermal resilience but are infrequently utilized in two-wheelers due to their reduced efficiency and challenges in managing stop-and-go traffic. In summary, BLDC motors offer a superior equilibrium of efficiency, cost, and performance for the Bangladeshi electric motorcycle market, whereas induction motors may fulfill specialized high-performance functions.</w:t>
      </w:r>
    </w:p>
    <w:p w14:paraId="50AFA211" w14:textId="77777777" w:rsidR="00216477" w:rsidRPr="00944269" w:rsidRDefault="00216477" w:rsidP="00206BAB">
      <w:pPr>
        <w:ind w:firstLine="432"/>
        <w:jc w:val="both"/>
        <w:rPr>
          <w:sz w:val="20"/>
          <w:lang w:val="en"/>
        </w:rPr>
      </w:pPr>
    </w:p>
    <w:p w14:paraId="7088EDC3" w14:textId="7CE950CC" w:rsidR="00944269" w:rsidRDefault="00756F3E" w:rsidP="00944269">
      <w:pPr>
        <w:spacing w:before="120" w:after="120"/>
        <w:jc w:val="center"/>
        <w:rPr>
          <w:b/>
        </w:rPr>
      </w:pPr>
      <w:r w:rsidRPr="00EC01F6">
        <w:rPr>
          <w:b/>
        </w:rPr>
        <w:t xml:space="preserve">User Feedback and Customer </w:t>
      </w:r>
      <w:r>
        <w:rPr>
          <w:b/>
        </w:rPr>
        <w:t>Reviews on Electric Motorcycles</w:t>
      </w:r>
    </w:p>
    <w:p w14:paraId="1DCD8E29" w14:textId="77777777" w:rsidR="00216477" w:rsidRDefault="00216477" w:rsidP="00944269">
      <w:pPr>
        <w:spacing w:before="120" w:after="120"/>
        <w:jc w:val="center"/>
        <w:rPr>
          <w:b/>
        </w:rPr>
      </w:pPr>
    </w:p>
    <w:p w14:paraId="59BF681A" w14:textId="425BCF0D" w:rsidR="00481258" w:rsidRPr="00D0071A" w:rsidRDefault="00D0071A" w:rsidP="00712F50">
      <w:pPr>
        <w:spacing w:before="120" w:after="120"/>
        <w:ind w:firstLine="284"/>
        <w:jc w:val="both"/>
        <w:rPr>
          <w:sz w:val="20"/>
        </w:rPr>
      </w:pPr>
      <w:r w:rsidRPr="00D0071A">
        <w:rPr>
          <w:sz w:val="20"/>
        </w:rPr>
        <w:t>To get real-world data, a wide range of electric motorcycle users in Bangladesh were interviewed, including those using different types of batteries, manufacturers, and usage conditions. Participants involved individuals who ride bikes to work every day, deliver packages, and live in rural areas, which gave a wide range of views on performance and dependability. People liked that they had minimal running costs, were quiet, and were beneficial to the environment. They had concerns about issues like the restricted range, battery life, and charging infrastructure. These results help us understand what users want and add to the technical examination of how well electric motorcycles work.</w:t>
      </w:r>
      <w:bookmarkStart w:id="0" w:name="_GoBack"/>
      <w:bookmarkEnd w:id="0"/>
    </w:p>
    <w:p w14:paraId="6D5019B6" w14:textId="231AEFDA" w:rsidR="00F31885" w:rsidRDefault="00756F3E" w:rsidP="009E4DFD">
      <w:pPr>
        <w:pStyle w:val="Paragraph"/>
        <w:jc w:val="center"/>
        <w:rPr>
          <w:b/>
          <w:iCs/>
          <w:sz w:val="24"/>
        </w:rPr>
      </w:pPr>
      <w:r>
        <w:rPr>
          <w:noProof/>
        </w:rPr>
        <w:lastRenderedPageBreak/>
        <w:drawing>
          <wp:inline distT="0" distB="0" distL="0" distR="0" wp14:anchorId="50190C34" wp14:editId="34082046">
            <wp:extent cx="2887980" cy="2186940"/>
            <wp:effectExtent l="0" t="0" r="7620" b="381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B7050EA" w14:textId="77777777" w:rsidR="00A74BAE" w:rsidRDefault="00A74BAE" w:rsidP="009E4DFD">
      <w:pPr>
        <w:pStyle w:val="Paragraph"/>
        <w:jc w:val="center"/>
        <w:rPr>
          <w:b/>
          <w:iCs/>
          <w:sz w:val="24"/>
        </w:rPr>
      </w:pPr>
    </w:p>
    <w:p w14:paraId="4BA5BD98" w14:textId="740F0695" w:rsidR="00544051" w:rsidRDefault="00736524" w:rsidP="009E4DFD">
      <w:pPr>
        <w:pStyle w:val="Paragraph"/>
        <w:jc w:val="center"/>
        <w:rPr>
          <w:b/>
          <w:iCs/>
          <w:sz w:val="24"/>
        </w:rPr>
      </w:pPr>
      <w:r>
        <w:rPr>
          <w:sz w:val="18"/>
          <w:szCs w:val="18"/>
        </w:rPr>
        <w:t>FIGURE5</w:t>
      </w:r>
      <w:r w:rsidR="00544051">
        <w:rPr>
          <w:sz w:val="18"/>
          <w:szCs w:val="18"/>
        </w:rPr>
        <w:t>. Customer</w:t>
      </w:r>
      <w:r w:rsidR="00544051" w:rsidRPr="00A35EEA">
        <w:rPr>
          <w:sz w:val="18"/>
          <w:szCs w:val="18"/>
        </w:rPr>
        <w:t xml:space="preserve"> sentiment distribution on electric motorcycles in Bangladesh based on primary data</w:t>
      </w:r>
    </w:p>
    <w:p w14:paraId="76D1D1F5" w14:textId="6A708B41" w:rsidR="00756F3E" w:rsidRDefault="00756F3E" w:rsidP="009E4DFD">
      <w:pPr>
        <w:pStyle w:val="Paragraph"/>
        <w:jc w:val="center"/>
        <w:rPr>
          <w:b/>
          <w:iCs/>
          <w:sz w:val="24"/>
        </w:rPr>
      </w:pPr>
    </w:p>
    <w:p w14:paraId="296716A7" w14:textId="05252DC3" w:rsidR="00020414" w:rsidRDefault="000D7B7D" w:rsidP="00206BAB">
      <w:pPr>
        <w:ind w:firstLine="284"/>
        <w:jc w:val="both"/>
        <w:rPr>
          <w:sz w:val="20"/>
        </w:rPr>
      </w:pPr>
      <w:r w:rsidRPr="00C307C4">
        <w:rPr>
          <w:sz w:val="20"/>
        </w:rPr>
        <w:t xml:space="preserve">Figure </w:t>
      </w:r>
      <w:r w:rsidR="003856D2" w:rsidRPr="00C307C4">
        <w:rPr>
          <w:sz w:val="20"/>
        </w:rPr>
        <w:t>5</w:t>
      </w:r>
      <w:r w:rsidRPr="00C307C4">
        <w:rPr>
          <w:sz w:val="20"/>
        </w:rPr>
        <w:t xml:space="preserve"> presents the distribution of customer sentiments derived from this primary data. </w:t>
      </w:r>
      <w:r w:rsidR="003856D2" w:rsidRPr="00C307C4">
        <w:rPr>
          <w:sz w:val="20"/>
        </w:rPr>
        <w:t>The majority of respondents expressed favorable opinions (73%), followed by neutral (18%) and unfavorable (9%) responses. This distribution offers a clear indication of overall user satisfaction while also highlighting specific areas that warrant further attention</w:t>
      </w:r>
    </w:p>
    <w:p w14:paraId="7E595832" w14:textId="77777777" w:rsidR="00477852" w:rsidRPr="00DA58F8" w:rsidRDefault="00477852" w:rsidP="00DA58F8">
      <w:pPr>
        <w:ind w:firstLine="284"/>
        <w:jc w:val="both"/>
        <w:rPr>
          <w:sz w:val="20"/>
        </w:rPr>
      </w:pPr>
    </w:p>
    <w:p w14:paraId="64EA0606" w14:textId="77777777" w:rsidR="00F32A6E" w:rsidRPr="00F32A6E" w:rsidRDefault="00F32A6E" w:rsidP="00F32A6E">
      <w:pPr>
        <w:pStyle w:val="Paragraph"/>
        <w:jc w:val="left"/>
        <w:rPr>
          <w:iCs/>
        </w:rPr>
      </w:pPr>
      <w:r w:rsidRPr="00F32A6E">
        <w:rPr>
          <w:iCs/>
        </w:rPr>
        <w:t>Positive Features:</w:t>
      </w:r>
    </w:p>
    <w:p w14:paraId="00F6113D" w14:textId="77777777" w:rsidR="00F32A6E" w:rsidRPr="00F32A6E" w:rsidRDefault="00F32A6E" w:rsidP="00F32A6E">
      <w:pPr>
        <w:pStyle w:val="Paragraph"/>
        <w:numPr>
          <w:ilvl w:val="0"/>
          <w:numId w:val="14"/>
        </w:numPr>
        <w:jc w:val="left"/>
        <w:rPr>
          <w:iCs/>
        </w:rPr>
      </w:pPr>
      <w:r w:rsidRPr="00F32A6E">
        <w:rPr>
          <w:iCs/>
        </w:rPr>
        <w:t>Cost Effectiveness: Users mentioned extremely low running expenses, some traveling 100-250 km for just 30-40 BDT, far less than its petrol-powered equivalents.</w:t>
      </w:r>
    </w:p>
    <w:p w14:paraId="7B000AB4" w14:textId="77777777" w:rsidR="00F32A6E" w:rsidRPr="00F32A6E" w:rsidRDefault="00F32A6E" w:rsidP="00F32A6E">
      <w:pPr>
        <w:pStyle w:val="Paragraph"/>
        <w:numPr>
          <w:ilvl w:val="0"/>
          <w:numId w:val="14"/>
        </w:numPr>
        <w:jc w:val="left"/>
        <w:rPr>
          <w:iCs/>
        </w:rPr>
      </w:pPr>
      <w:r w:rsidRPr="00F32A6E">
        <w:rPr>
          <w:iCs/>
        </w:rPr>
        <w:t>Comfort and Ride Quality: Riders mentioned the smooth and quiet ride, contributing to a less stressful ride.</w:t>
      </w:r>
    </w:p>
    <w:p w14:paraId="4BA78869" w14:textId="77777777" w:rsidR="00F32A6E" w:rsidRPr="00F32A6E" w:rsidRDefault="00F32A6E" w:rsidP="00F32A6E">
      <w:pPr>
        <w:pStyle w:val="Paragraph"/>
        <w:numPr>
          <w:ilvl w:val="0"/>
          <w:numId w:val="14"/>
        </w:numPr>
        <w:jc w:val="left"/>
        <w:rPr>
          <w:iCs/>
        </w:rPr>
      </w:pPr>
      <w:r w:rsidRPr="00F32A6E">
        <w:rPr>
          <w:iCs/>
        </w:rPr>
        <w:t>Environmental Impact: Users appreciated assistance towards reduced use of fossil fuels and cleaner air.</w:t>
      </w:r>
    </w:p>
    <w:p w14:paraId="4408972A" w14:textId="3B28A91C" w:rsidR="00F32A6E" w:rsidRPr="00DA58F8" w:rsidRDefault="00F32A6E" w:rsidP="00DA58F8">
      <w:pPr>
        <w:pStyle w:val="Paragraph"/>
        <w:numPr>
          <w:ilvl w:val="0"/>
          <w:numId w:val="14"/>
        </w:numPr>
        <w:jc w:val="left"/>
        <w:rPr>
          <w:iCs/>
        </w:rPr>
      </w:pPr>
      <w:r w:rsidRPr="00F32A6E">
        <w:rPr>
          <w:iCs/>
        </w:rPr>
        <w:t>Low Maintenance: Particularly in lithium battery variants, long-time users (4-6 years) cited fewer technical issues.</w:t>
      </w:r>
    </w:p>
    <w:p w14:paraId="189BEEB7" w14:textId="77777777" w:rsidR="00F32A6E" w:rsidRPr="00F32A6E" w:rsidRDefault="00F32A6E" w:rsidP="00F32A6E">
      <w:pPr>
        <w:pStyle w:val="Paragraph"/>
        <w:jc w:val="left"/>
        <w:rPr>
          <w:iCs/>
        </w:rPr>
      </w:pPr>
      <w:r w:rsidRPr="00F32A6E">
        <w:rPr>
          <w:iCs/>
        </w:rPr>
        <w:t>Common Challenges:</w:t>
      </w:r>
    </w:p>
    <w:p w14:paraId="3121AEC2" w14:textId="77777777" w:rsidR="00F32A6E" w:rsidRPr="00F32A6E" w:rsidRDefault="00F32A6E" w:rsidP="00F32A6E">
      <w:pPr>
        <w:pStyle w:val="Paragraph"/>
        <w:numPr>
          <w:ilvl w:val="0"/>
          <w:numId w:val="15"/>
        </w:numPr>
        <w:jc w:val="left"/>
        <w:rPr>
          <w:iCs/>
        </w:rPr>
      </w:pPr>
      <w:r w:rsidRPr="00F32A6E">
        <w:rPr>
          <w:iCs/>
        </w:rPr>
        <w:t>Battery Degradation: A majority of users of lead-acid batteries experienced performance declines during the initial 6-8 months, prompting early replacement.</w:t>
      </w:r>
    </w:p>
    <w:p w14:paraId="743A1EDE" w14:textId="77777777" w:rsidR="00F32A6E" w:rsidRPr="00B634CB" w:rsidRDefault="00F32A6E" w:rsidP="00F32A6E">
      <w:pPr>
        <w:pStyle w:val="Paragraph"/>
        <w:numPr>
          <w:ilvl w:val="0"/>
          <w:numId w:val="15"/>
        </w:numPr>
        <w:jc w:val="left"/>
        <w:rPr>
          <w:iCs/>
        </w:rPr>
      </w:pPr>
      <w:r w:rsidRPr="00B634CB">
        <w:rPr>
          <w:iCs/>
        </w:rPr>
        <w:t>Structural Durability: Consumers complained about frame strength, particularly on bumpy roads.</w:t>
      </w:r>
    </w:p>
    <w:p w14:paraId="3173A4F8" w14:textId="7ADAD0BD" w:rsidR="00756F3E" w:rsidRDefault="00F32A6E" w:rsidP="00C769C2">
      <w:pPr>
        <w:pStyle w:val="Paragraph"/>
        <w:numPr>
          <w:ilvl w:val="0"/>
          <w:numId w:val="15"/>
        </w:numPr>
        <w:jc w:val="left"/>
        <w:rPr>
          <w:iCs/>
        </w:rPr>
      </w:pPr>
      <w:r w:rsidRPr="00B634CB">
        <w:rPr>
          <w:iCs/>
        </w:rPr>
        <w:t xml:space="preserve">Battery Replacement Cost: Replacement of lithium batteries was identified as a significant cost, although mitigated by reduced daily operating expenses. </w:t>
      </w:r>
    </w:p>
    <w:p w14:paraId="3786CB90" w14:textId="77777777" w:rsidR="00672531" w:rsidRPr="00C769C2" w:rsidRDefault="00672531" w:rsidP="00672531">
      <w:pPr>
        <w:pStyle w:val="Paragraph"/>
        <w:ind w:left="720" w:firstLine="0"/>
        <w:jc w:val="left"/>
        <w:rPr>
          <w:iCs/>
        </w:rPr>
      </w:pPr>
    </w:p>
    <w:p w14:paraId="301EB2E7" w14:textId="6CC31F68" w:rsidR="00BC41E3" w:rsidRDefault="00C944E1" w:rsidP="00712F50">
      <w:pPr>
        <w:pStyle w:val="Paragraph"/>
        <w:jc w:val="center"/>
        <w:rPr>
          <w:b/>
          <w:iCs/>
          <w:sz w:val="24"/>
        </w:rPr>
      </w:pPr>
      <w:r w:rsidRPr="00C944E1">
        <w:rPr>
          <w:b/>
          <w:iCs/>
          <w:sz w:val="24"/>
        </w:rPr>
        <w:t xml:space="preserve">CO₂ Emission Reduction Results </w:t>
      </w:r>
    </w:p>
    <w:p w14:paraId="6971E792" w14:textId="41493AD7" w:rsidR="00C61C8F" w:rsidRDefault="002B61DC" w:rsidP="00BC41E3">
      <w:pPr>
        <w:pStyle w:val="Paragraph"/>
        <w:ind w:firstLine="0"/>
        <w:jc w:val="center"/>
      </w:pPr>
      <w:r>
        <w:rPr>
          <w:b/>
        </w:rPr>
        <w:t>TABLE 2</w:t>
      </w:r>
      <w:r w:rsidR="00C61C8F" w:rsidRPr="00075EA6">
        <w:rPr>
          <w:b/>
        </w:rPr>
        <w:t xml:space="preserve">. </w:t>
      </w:r>
      <w:r w:rsidR="00C61C8F" w:rsidRPr="00C61C8F">
        <w:t>Daily CO₂ emission reduction from switching petrol to electric motorcycles in Dhaka and Bangladesh</w:t>
      </w:r>
      <w:r w:rsidR="00C61C8F">
        <w:t>.</w:t>
      </w:r>
    </w:p>
    <w:p w14:paraId="787BA258" w14:textId="3A100753" w:rsidR="00F526A2" w:rsidRDefault="00F526A2" w:rsidP="00BC41E3">
      <w:pPr>
        <w:pStyle w:val="Paragraph"/>
        <w:ind w:firstLine="0"/>
        <w:jc w:val="center"/>
      </w:pPr>
    </w:p>
    <w:tbl>
      <w:tblPr>
        <w:tblStyle w:val="TableGrid"/>
        <w:tblW w:w="6157"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434"/>
        <w:gridCol w:w="1050"/>
        <w:gridCol w:w="1300"/>
        <w:gridCol w:w="1378"/>
        <w:gridCol w:w="1378"/>
      </w:tblGrid>
      <w:tr w:rsidR="001F76EA" w:rsidRPr="001F76EA" w14:paraId="1326C292" w14:textId="77777777" w:rsidTr="00672531">
        <w:trPr>
          <w:trHeight w:val="611"/>
          <w:jc w:val="center"/>
        </w:trPr>
        <w:tc>
          <w:tcPr>
            <w:tcW w:w="1490" w:type="dxa"/>
            <w:tcBorders>
              <w:bottom w:val="single" w:sz="4" w:space="0" w:color="auto"/>
            </w:tcBorders>
          </w:tcPr>
          <w:p w14:paraId="6764892F" w14:textId="769B4AC2" w:rsidR="001F76EA" w:rsidRPr="00712F50" w:rsidRDefault="001F76EA" w:rsidP="002B5F93">
            <w:pPr>
              <w:pStyle w:val="Paragraph"/>
              <w:jc w:val="center"/>
              <w:rPr>
                <w:b/>
              </w:rPr>
            </w:pPr>
            <w:r w:rsidRPr="00712F50">
              <w:rPr>
                <w:b/>
              </w:rPr>
              <w:t>Region</w:t>
            </w:r>
          </w:p>
        </w:tc>
        <w:tc>
          <w:tcPr>
            <w:tcW w:w="1050" w:type="dxa"/>
            <w:tcBorders>
              <w:bottom w:val="single" w:sz="4" w:space="0" w:color="auto"/>
            </w:tcBorders>
          </w:tcPr>
          <w:p w14:paraId="16EFAB1D" w14:textId="77777777" w:rsidR="001F76EA" w:rsidRPr="00712F50" w:rsidRDefault="001F76EA" w:rsidP="002B5F93">
            <w:pPr>
              <w:pStyle w:val="Paragraph"/>
              <w:jc w:val="center"/>
              <w:rPr>
                <w:b/>
              </w:rPr>
            </w:pPr>
            <w:r w:rsidRPr="00712F50">
              <w:rPr>
                <w:b/>
              </w:rPr>
              <w:t>CO</w:t>
            </w:r>
            <w:r w:rsidRPr="00712F50">
              <w:rPr>
                <w:b/>
                <w:vertAlign w:val="subscript"/>
              </w:rPr>
              <w:t xml:space="preserve">2 </w:t>
            </w:r>
            <w:r w:rsidRPr="00712F50">
              <w:rPr>
                <w:b/>
              </w:rPr>
              <w:t>Emission (Petrol) (metric tons/day)</w:t>
            </w:r>
          </w:p>
        </w:tc>
        <w:tc>
          <w:tcPr>
            <w:tcW w:w="971" w:type="dxa"/>
            <w:tcBorders>
              <w:bottom w:val="single" w:sz="4" w:space="0" w:color="auto"/>
            </w:tcBorders>
          </w:tcPr>
          <w:p w14:paraId="6450A968" w14:textId="0D992622" w:rsidR="00991500" w:rsidRPr="00712F50" w:rsidRDefault="001F76EA" w:rsidP="002B5F93">
            <w:pPr>
              <w:pStyle w:val="Paragraph"/>
              <w:jc w:val="center"/>
              <w:rPr>
                <w:b/>
              </w:rPr>
            </w:pPr>
            <w:r w:rsidRPr="00712F50">
              <w:rPr>
                <w:b/>
              </w:rPr>
              <w:t>CO</w:t>
            </w:r>
            <w:r w:rsidRPr="00712F50">
              <w:rPr>
                <w:b/>
                <w:vertAlign w:val="subscript"/>
              </w:rPr>
              <w:t xml:space="preserve">2 </w:t>
            </w:r>
            <w:r w:rsidRPr="00712F50">
              <w:rPr>
                <w:b/>
              </w:rPr>
              <w:t>Emission</w:t>
            </w:r>
          </w:p>
          <w:p w14:paraId="480B6AB1" w14:textId="77777777" w:rsidR="007A780A" w:rsidRDefault="007A780A" w:rsidP="002B5F93">
            <w:pPr>
              <w:pStyle w:val="Paragraph"/>
              <w:jc w:val="center"/>
              <w:rPr>
                <w:b/>
              </w:rPr>
            </w:pPr>
          </w:p>
          <w:p w14:paraId="0384459D" w14:textId="6967A3FF" w:rsidR="001F76EA" w:rsidRPr="00712F50" w:rsidRDefault="001F76EA" w:rsidP="002B5F93">
            <w:pPr>
              <w:pStyle w:val="Paragraph"/>
              <w:jc w:val="center"/>
              <w:rPr>
                <w:b/>
              </w:rPr>
            </w:pPr>
            <w:r w:rsidRPr="00712F50">
              <w:rPr>
                <w:b/>
              </w:rPr>
              <w:t>(Electric) (metric tons/day)</w:t>
            </w:r>
          </w:p>
        </w:tc>
        <w:tc>
          <w:tcPr>
            <w:tcW w:w="1323" w:type="dxa"/>
            <w:tcBorders>
              <w:bottom w:val="single" w:sz="4" w:space="0" w:color="auto"/>
            </w:tcBorders>
          </w:tcPr>
          <w:p w14:paraId="046F55DB" w14:textId="3E8FF0A2" w:rsidR="001F76EA" w:rsidRPr="00712F50" w:rsidRDefault="001F76EA" w:rsidP="002B5F93">
            <w:pPr>
              <w:pStyle w:val="Paragraph"/>
              <w:jc w:val="center"/>
              <w:rPr>
                <w:b/>
              </w:rPr>
            </w:pPr>
            <w:r w:rsidRPr="00712F50">
              <w:rPr>
                <w:b/>
              </w:rPr>
              <w:t>Reduction</w:t>
            </w:r>
          </w:p>
          <w:p w14:paraId="3E3D606A" w14:textId="77777777" w:rsidR="001F76EA" w:rsidRPr="00712F50" w:rsidRDefault="001F76EA" w:rsidP="002B5F93">
            <w:pPr>
              <w:pStyle w:val="Paragraph"/>
              <w:jc w:val="center"/>
              <w:rPr>
                <w:b/>
              </w:rPr>
            </w:pPr>
            <w:r w:rsidRPr="00712F50">
              <w:rPr>
                <w:b/>
              </w:rPr>
              <w:t>(metric tons/day)</w:t>
            </w:r>
          </w:p>
        </w:tc>
        <w:tc>
          <w:tcPr>
            <w:tcW w:w="1323" w:type="dxa"/>
            <w:tcBorders>
              <w:bottom w:val="single" w:sz="4" w:space="0" w:color="auto"/>
            </w:tcBorders>
          </w:tcPr>
          <w:p w14:paraId="53A8A2A4" w14:textId="330F4FF1" w:rsidR="001F76EA" w:rsidRPr="00712F50" w:rsidRDefault="001F76EA" w:rsidP="002B5F93">
            <w:pPr>
              <w:pStyle w:val="Paragraph"/>
              <w:jc w:val="center"/>
              <w:rPr>
                <w:b/>
              </w:rPr>
            </w:pPr>
            <w:r w:rsidRPr="00712F50">
              <w:rPr>
                <w:b/>
              </w:rPr>
              <w:t>Reduction Rate</w:t>
            </w:r>
          </w:p>
          <w:p w14:paraId="07744925" w14:textId="77777777" w:rsidR="001F76EA" w:rsidRPr="00712F50" w:rsidRDefault="001F76EA" w:rsidP="002B5F93">
            <w:pPr>
              <w:pStyle w:val="Paragraph"/>
              <w:jc w:val="center"/>
              <w:rPr>
                <w:b/>
              </w:rPr>
            </w:pPr>
            <w:r w:rsidRPr="00712F50">
              <w:rPr>
                <w:b/>
              </w:rPr>
              <w:t>(%)</w:t>
            </w:r>
          </w:p>
        </w:tc>
      </w:tr>
      <w:tr w:rsidR="001F76EA" w:rsidRPr="001F76EA" w14:paraId="71947E95" w14:textId="77777777" w:rsidTr="00672531">
        <w:trPr>
          <w:jc w:val="center"/>
        </w:trPr>
        <w:tc>
          <w:tcPr>
            <w:tcW w:w="1490" w:type="dxa"/>
            <w:tcBorders>
              <w:bottom w:val="nil"/>
            </w:tcBorders>
          </w:tcPr>
          <w:p w14:paraId="5103225F" w14:textId="77777777" w:rsidR="001F76EA" w:rsidRPr="001F76EA" w:rsidRDefault="001F76EA" w:rsidP="002B5F93">
            <w:pPr>
              <w:pStyle w:val="Paragraph"/>
              <w:jc w:val="center"/>
            </w:pPr>
            <w:r w:rsidRPr="001F76EA">
              <w:t>Dhaka</w:t>
            </w:r>
          </w:p>
        </w:tc>
        <w:tc>
          <w:tcPr>
            <w:tcW w:w="1050" w:type="dxa"/>
            <w:tcBorders>
              <w:bottom w:val="nil"/>
            </w:tcBorders>
          </w:tcPr>
          <w:p w14:paraId="004A6D5C" w14:textId="77777777" w:rsidR="001F76EA" w:rsidRPr="001F76EA" w:rsidRDefault="001F76EA" w:rsidP="002B5F93">
            <w:pPr>
              <w:pStyle w:val="Paragraph"/>
              <w:jc w:val="center"/>
            </w:pPr>
            <w:r w:rsidRPr="001F76EA">
              <w:t>4000</w:t>
            </w:r>
          </w:p>
        </w:tc>
        <w:tc>
          <w:tcPr>
            <w:tcW w:w="971" w:type="dxa"/>
            <w:tcBorders>
              <w:bottom w:val="nil"/>
            </w:tcBorders>
          </w:tcPr>
          <w:p w14:paraId="3B28217A" w14:textId="77777777" w:rsidR="001F76EA" w:rsidRDefault="001F76EA" w:rsidP="002B5F93">
            <w:pPr>
              <w:pStyle w:val="Paragraph"/>
              <w:jc w:val="center"/>
            </w:pPr>
            <w:r w:rsidRPr="001F76EA">
              <w:t>1272</w:t>
            </w:r>
          </w:p>
          <w:p w14:paraId="4252038A" w14:textId="554E6290" w:rsidR="002B5F93" w:rsidRPr="001F76EA" w:rsidRDefault="002B5F93" w:rsidP="002B5F93">
            <w:pPr>
              <w:pStyle w:val="Paragraph"/>
              <w:jc w:val="center"/>
            </w:pPr>
          </w:p>
        </w:tc>
        <w:tc>
          <w:tcPr>
            <w:tcW w:w="1323" w:type="dxa"/>
            <w:tcBorders>
              <w:bottom w:val="nil"/>
            </w:tcBorders>
          </w:tcPr>
          <w:p w14:paraId="5F5EA9E9" w14:textId="77777777" w:rsidR="001F76EA" w:rsidRPr="001F76EA" w:rsidRDefault="001F76EA" w:rsidP="002B5F93">
            <w:pPr>
              <w:pStyle w:val="Paragraph"/>
              <w:jc w:val="center"/>
            </w:pPr>
            <w:r w:rsidRPr="001F76EA">
              <w:t>2728</w:t>
            </w:r>
          </w:p>
        </w:tc>
        <w:tc>
          <w:tcPr>
            <w:tcW w:w="1323" w:type="dxa"/>
            <w:tcBorders>
              <w:bottom w:val="nil"/>
            </w:tcBorders>
          </w:tcPr>
          <w:p w14:paraId="4DA943A2" w14:textId="77777777" w:rsidR="001F76EA" w:rsidRPr="001F76EA" w:rsidRDefault="001F76EA" w:rsidP="002B5F93">
            <w:pPr>
              <w:pStyle w:val="Paragraph"/>
              <w:jc w:val="center"/>
            </w:pPr>
            <w:r w:rsidRPr="001F76EA">
              <w:t>68.2%</w:t>
            </w:r>
          </w:p>
        </w:tc>
      </w:tr>
      <w:tr w:rsidR="001F76EA" w:rsidRPr="00C769C2" w14:paraId="766D4518" w14:textId="77777777" w:rsidTr="00712F50">
        <w:trPr>
          <w:jc w:val="center"/>
        </w:trPr>
        <w:tc>
          <w:tcPr>
            <w:tcW w:w="1490" w:type="dxa"/>
            <w:tcBorders>
              <w:top w:val="nil"/>
              <w:bottom w:val="nil"/>
            </w:tcBorders>
          </w:tcPr>
          <w:p w14:paraId="68C90713" w14:textId="6D7AA943" w:rsidR="001F76EA" w:rsidRPr="00D6094A" w:rsidRDefault="001F76EA" w:rsidP="002B5F93">
            <w:pPr>
              <w:pStyle w:val="Paragraph"/>
              <w:jc w:val="center"/>
            </w:pPr>
            <w:r w:rsidRPr="00D6094A">
              <w:t>Bangladesh</w:t>
            </w:r>
          </w:p>
        </w:tc>
        <w:tc>
          <w:tcPr>
            <w:tcW w:w="1050" w:type="dxa"/>
            <w:tcBorders>
              <w:top w:val="nil"/>
              <w:bottom w:val="nil"/>
            </w:tcBorders>
          </w:tcPr>
          <w:p w14:paraId="25216A83" w14:textId="77777777" w:rsidR="001F76EA" w:rsidRDefault="001F76EA" w:rsidP="002B5F93">
            <w:pPr>
              <w:pStyle w:val="Paragraph"/>
              <w:jc w:val="center"/>
            </w:pPr>
            <w:r w:rsidRPr="00D6094A">
              <w:t>14,000</w:t>
            </w:r>
          </w:p>
          <w:p w14:paraId="032141F1" w14:textId="6DF32D65" w:rsidR="00BB71ED" w:rsidRPr="00D6094A" w:rsidRDefault="00BB71ED" w:rsidP="002B5F93">
            <w:pPr>
              <w:pStyle w:val="Paragraph"/>
              <w:jc w:val="center"/>
            </w:pPr>
          </w:p>
        </w:tc>
        <w:tc>
          <w:tcPr>
            <w:tcW w:w="971" w:type="dxa"/>
            <w:tcBorders>
              <w:top w:val="nil"/>
              <w:bottom w:val="nil"/>
            </w:tcBorders>
          </w:tcPr>
          <w:p w14:paraId="2DEB6C74" w14:textId="77777777" w:rsidR="001F76EA" w:rsidRPr="00D6094A" w:rsidRDefault="001F76EA" w:rsidP="002B5F93">
            <w:pPr>
              <w:pStyle w:val="Paragraph"/>
              <w:jc w:val="center"/>
            </w:pPr>
            <w:r w:rsidRPr="00D6094A">
              <w:t>4452</w:t>
            </w:r>
          </w:p>
          <w:p w14:paraId="3BAC76EF" w14:textId="77777777" w:rsidR="001F76EA" w:rsidRPr="00D6094A" w:rsidRDefault="001F76EA" w:rsidP="002B5F93">
            <w:pPr>
              <w:pStyle w:val="Paragraph"/>
              <w:jc w:val="center"/>
            </w:pPr>
          </w:p>
        </w:tc>
        <w:tc>
          <w:tcPr>
            <w:tcW w:w="1323" w:type="dxa"/>
            <w:tcBorders>
              <w:top w:val="nil"/>
              <w:bottom w:val="nil"/>
            </w:tcBorders>
          </w:tcPr>
          <w:p w14:paraId="625B82AB" w14:textId="77777777" w:rsidR="001F76EA" w:rsidRPr="00D6094A" w:rsidRDefault="001F76EA" w:rsidP="002B5F93">
            <w:pPr>
              <w:pStyle w:val="Paragraph"/>
              <w:jc w:val="center"/>
            </w:pPr>
            <w:r w:rsidRPr="00D6094A">
              <w:t>9548</w:t>
            </w:r>
          </w:p>
        </w:tc>
        <w:tc>
          <w:tcPr>
            <w:tcW w:w="1323" w:type="dxa"/>
            <w:tcBorders>
              <w:top w:val="nil"/>
              <w:bottom w:val="nil"/>
            </w:tcBorders>
          </w:tcPr>
          <w:p w14:paraId="6BB0BDC6" w14:textId="77777777" w:rsidR="001F76EA" w:rsidRPr="00D6094A" w:rsidRDefault="001F76EA" w:rsidP="002B5F93">
            <w:pPr>
              <w:pStyle w:val="Paragraph"/>
              <w:jc w:val="center"/>
            </w:pPr>
            <w:r w:rsidRPr="00D6094A">
              <w:t>68.2%</w:t>
            </w:r>
          </w:p>
        </w:tc>
      </w:tr>
      <w:tr w:rsidR="00712F50" w:rsidRPr="00C769C2" w14:paraId="7BB6BB70" w14:textId="77777777" w:rsidTr="00672531">
        <w:trPr>
          <w:jc w:val="center"/>
        </w:trPr>
        <w:tc>
          <w:tcPr>
            <w:tcW w:w="1490" w:type="dxa"/>
            <w:tcBorders>
              <w:top w:val="nil"/>
            </w:tcBorders>
          </w:tcPr>
          <w:p w14:paraId="416CC47C" w14:textId="77777777" w:rsidR="00712F50" w:rsidRPr="00D6094A" w:rsidRDefault="00712F50" w:rsidP="00712F50">
            <w:pPr>
              <w:pStyle w:val="Paragraph"/>
              <w:ind w:firstLine="0"/>
            </w:pPr>
          </w:p>
        </w:tc>
        <w:tc>
          <w:tcPr>
            <w:tcW w:w="1050" w:type="dxa"/>
            <w:tcBorders>
              <w:top w:val="nil"/>
            </w:tcBorders>
          </w:tcPr>
          <w:p w14:paraId="04BAA25E" w14:textId="77777777" w:rsidR="00712F50" w:rsidRPr="00D6094A" w:rsidRDefault="00712F50" w:rsidP="002B5F93">
            <w:pPr>
              <w:pStyle w:val="Paragraph"/>
              <w:jc w:val="center"/>
            </w:pPr>
          </w:p>
        </w:tc>
        <w:tc>
          <w:tcPr>
            <w:tcW w:w="971" w:type="dxa"/>
            <w:tcBorders>
              <w:top w:val="nil"/>
            </w:tcBorders>
          </w:tcPr>
          <w:p w14:paraId="06F3910C" w14:textId="77777777" w:rsidR="00712F50" w:rsidRPr="00D6094A" w:rsidRDefault="00712F50" w:rsidP="002B5F93">
            <w:pPr>
              <w:pStyle w:val="Paragraph"/>
              <w:jc w:val="center"/>
            </w:pPr>
          </w:p>
        </w:tc>
        <w:tc>
          <w:tcPr>
            <w:tcW w:w="1323" w:type="dxa"/>
            <w:tcBorders>
              <w:top w:val="nil"/>
            </w:tcBorders>
          </w:tcPr>
          <w:p w14:paraId="491022DF" w14:textId="77777777" w:rsidR="00712F50" w:rsidRPr="00D6094A" w:rsidRDefault="00712F50" w:rsidP="002B5F93">
            <w:pPr>
              <w:pStyle w:val="Paragraph"/>
              <w:jc w:val="center"/>
            </w:pPr>
          </w:p>
        </w:tc>
        <w:tc>
          <w:tcPr>
            <w:tcW w:w="1323" w:type="dxa"/>
            <w:tcBorders>
              <w:top w:val="nil"/>
            </w:tcBorders>
          </w:tcPr>
          <w:p w14:paraId="0B16909E" w14:textId="77777777" w:rsidR="00712F50" w:rsidRPr="00D6094A" w:rsidRDefault="00712F50" w:rsidP="002B5F93">
            <w:pPr>
              <w:pStyle w:val="Paragraph"/>
              <w:jc w:val="center"/>
            </w:pPr>
          </w:p>
        </w:tc>
      </w:tr>
    </w:tbl>
    <w:p w14:paraId="0FDACEAA" w14:textId="77777777" w:rsidR="00E07A77" w:rsidRDefault="00E07A77" w:rsidP="00560C25">
      <w:pPr>
        <w:jc w:val="both"/>
        <w:rPr>
          <w:sz w:val="20"/>
        </w:rPr>
      </w:pPr>
    </w:p>
    <w:p w14:paraId="2BF66D88" w14:textId="1FB62562" w:rsidR="00560C25" w:rsidRDefault="002B61DC" w:rsidP="00206BAB">
      <w:pPr>
        <w:ind w:firstLine="432"/>
        <w:jc w:val="both"/>
        <w:rPr>
          <w:color w:val="000000" w:themeColor="text1"/>
          <w:sz w:val="20"/>
          <w:lang w:val="en"/>
        </w:rPr>
      </w:pPr>
      <w:r>
        <w:rPr>
          <w:color w:val="000000" w:themeColor="text1"/>
          <w:sz w:val="20"/>
          <w:lang w:val="en"/>
        </w:rPr>
        <w:t>Table 2</w:t>
      </w:r>
      <w:r w:rsidR="00672531" w:rsidRPr="00672531">
        <w:rPr>
          <w:color w:val="000000" w:themeColor="text1"/>
          <w:sz w:val="20"/>
          <w:lang w:val="en"/>
        </w:rPr>
        <w:t xml:space="preserve"> presents the estimated daily CO₂ emissions from petrol and electric motorcycles in Dhaka and across Bangladesh, along with the corresponding reductions and percentage decrease.</w:t>
      </w:r>
      <w:r w:rsidR="00672531">
        <w:rPr>
          <w:color w:val="000000" w:themeColor="text1"/>
          <w:sz w:val="20"/>
          <w:lang w:val="en"/>
        </w:rPr>
        <w:t xml:space="preserve"> </w:t>
      </w:r>
      <w:r w:rsidR="00560C25" w:rsidRPr="00560C25">
        <w:rPr>
          <w:color w:val="000000" w:themeColor="text1"/>
          <w:sz w:val="20"/>
          <w:lang w:val="en"/>
        </w:rPr>
        <w:t xml:space="preserve">This study estimates that motorcycles in Dhaka emit approximately 4,000 metric tons of CO₂ per day, while motorcycles across Bangladesh contribute </w:t>
      </w:r>
      <w:r w:rsidR="00560C25" w:rsidRPr="00560C25">
        <w:rPr>
          <w:color w:val="000000" w:themeColor="text1"/>
          <w:sz w:val="20"/>
          <w:lang w:val="en"/>
        </w:rPr>
        <w:lastRenderedPageBreak/>
        <w:t>around 14,000 metric tons daily. However, replacing conventional petrol-powered motorcycles with electric alternatives could result in a substantial reduction in emissions—estimated at 1,272 metric tons per day in Dhaka and 4,452 metric tons per day nationwide. This transition would yield a net CO₂ reduction of 2,728 metric tons per day in Dhaka and 9,548 metric tons across Bangladesh, corresponding to an overall reduction rate of approximately 68.2% in both cases. These results underscore the significant environmental benefits of widespread electric motorcycle adoption, including a 68.2% reduction in CO₂ emissions. This decrease supports Bangladesh’s climate goals by mitigating urban air pollution and improving public health, while also offering concrete data to guide policy-making and infrastructure planning.</w:t>
      </w:r>
    </w:p>
    <w:p w14:paraId="29C4E144" w14:textId="367F0547" w:rsidR="00135E3A" w:rsidRPr="00560C25" w:rsidRDefault="00135E3A" w:rsidP="00206BAB">
      <w:pPr>
        <w:ind w:firstLine="432"/>
        <w:jc w:val="both"/>
        <w:rPr>
          <w:color w:val="000000" w:themeColor="text1"/>
          <w:sz w:val="20"/>
          <w:lang w:val="en"/>
        </w:rPr>
      </w:pPr>
      <w:r w:rsidRPr="00135E3A">
        <w:rPr>
          <w:color w:val="000000" w:themeColor="text1"/>
          <w:sz w:val="20"/>
          <w:lang w:val="en"/>
        </w:rPr>
        <w:t>While the analysis assumes a complete transition from petrol to electric motorcycles, such a scenario may not be fully achievable in practice within Dhaka or across Bangladesh. Therefore, the CO₂ reduction values represent an idealized estimation. Nonetheless, the findings emphasize that electric motorcycles can significantly contribute to reducing national CO₂ emissions and advancing sustainable urban mobility.</w:t>
      </w:r>
    </w:p>
    <w:p w14:paraId="2256A856" w14:textId="4FA072D1" w:rsidR="00D6094A" w:rsidRPr="00477852" w:rsidRDefault="00E44F0C" w:rsidP="00477852">
      <w:pPr>
        <w:jc w:val="both"/>
        <w:rPr>
          <w:color w:val="000000" w:themeColor="text1"/>
          <w:sz w:val="20"/>
        </w:rPr>
      </w:pPr>
      <w:r w:rsidRPr="009D0052">
        <w:rPr>
          <w:color w:val="000000" w:themeColor="text1"/>
          <w:sz w:val="20"/>
        </w:rPr>
        <w:t xml:space="preserve"> </w:t>
      </w:r>
    </w:p>
    <w:p w14:paraId="3F2CF30C" w14:textId="3656E37C" w:rsidR="009D0052" w:rsidRDefault="005C2040" w:rsidP="005C2040">
      <w:pPr>
        <w:jc w:val="center"/>
        <w:rPr>
          <w:b/>
          <w:iCs/>
        </w:rPr>
      </w:pPr>
      <w:r w:rsidRPr="005C2040">
        <w:rPr>
          <w:b/>
          <w:iCs/>
        </w:rPr>
        <w:t>Cost and Profit Comparison</w:t>
      </w:r>
    </w:p>
    <w:p w14:paraId="3E61D806" w14:textId="77777777" w:rsidR="009F10C0" w:rsidRDefault="009F10C0" w:rsidP="005C2040">
      <w:pPr>
        <w:jc w:val="center"/>
        <w:rPr>
          <w:b/>
          <w:iCs/>
        </w:rPr>
      </w:pPr>
    </w:p>
    <w:p w14:paraId="5B363AB3" w14:textId="4303D776" w:rsidR="00560C25" w:rsidRDefault="008A30FD" w:rsidP="00206BAB">
      <w:pPr>
        <w:ind w:firstLine="432"/>
        <w:jc w:val="both"/>
        <w:rPr>
          <w:sz w:val="20"/>
        </w:rPr>
      </w:pPr>
      <w:r w:rsidRPr="008A30FD">
        <w:rPr>
          <w:sz w:val="20"/>
        </w:rPr>
        <w:t xml:space="preserve">This section </w:t>
      </w:r>
      <w:r w:rsidR="00560C25" w:rsidRPr="00560C25">
        <w:rPr>
          <w:sz w:val="20"/>
        </w:rPr>
        <w:t xml:space="preserve">presents a comparative analysis of the annual operating costs of electric and petrol-powered motorcycles in Bangladesh, based on actual usage conditions and representative specifications for batteries and fuel. The analysis of electric motorcycles focuses on a 72 V, 32 Ah (2.3 kWh) battery configuration, commonly found in mid-range models from </w:t>
      </w:r>
      <w:proofErr w:type="spellStart"/>
      <w:r w:rsidR="00560C25" w:rsidRPr="00560C25">
        <w:rPr>
          <w:sz w:val="20"/>
        </w:rPr>
        <w:t>Akij</w:t>
      </w:r>
      <w:proofErr w:type="spellEnd"/>
      <w:r w:rsidR="00560C25" w:rsidRPr="00560C25">
        <w:rPr>
          <w:sz w:val="20"/>
        </w:rPr>
        <w:t xml:space="preserve"> and Walton, with an estimated range of approximately 120 km per charge. To support this estimate, performance data were obtained from a laboratory-modified electric motorcycle equipped with a 60 V, 25 Ah (1.5 kWh) battery, which demonstrated an observed range of around 65 km under standard road conditions. The analysis for petrol motorcycles assumes a standard fuel consumption rate of 2.5 liters per 100 km and a gasoline price of </w:t>
      </w:r>
      <w:proofErr w:type="spellStart"/>
      <w:r w:rsidR="00560C25" w:rsidRPr="00560C25">
        <w:rPr>
          <w:sz w:val="20"/>
        </w:rPr>
        <w:t>Tk</w:t>
      </w:r>
      <w:proofErr w:type="spellEnd"/>
      <w:r w:rsidR="00560C25" w:rsidRPr="00560C25">
        <w:rPr>
          <w:sz w:val="20"/>
        </w:rPr>
        <w:t xml:space="preserve"> 130 per liter, reflecting average market conditions.</w:t>
      </w:r>
    </w:p>
    <w:p w14:paraId="32323A51" w14:textId="62513278" w:rsidR="00560C25" w:rsidRDefault="00560C25" w:rsidP="008A30FD">
      <w:pPr>
        <w:jc w:val="both"/>
        <w:rPr>
          <w:sz w:val="20"/>
        </w:rPr>
      </w:pPr>
    </w:p>
    <w:p w14:paraId="69B947F2" w14:textId="77777777" w:rsidR="008A30FD" w:rsidRDefault="008A30FD" w:rsidP="008A30FD">
      <w:pPr>
        <w:jc w:val="both"/>
        <w:rPr>
          <w:sz w:val="20"/>
        </w:rPr>
      </w:pPr>
    </w:p>
    <w:p w14:paraId="7855BA9C" w14:textId="0DA6D726" w:rsidR="008A30FD" w:rsidRPr="00644D87" w:rsidRDefault="008A30FD" w:rsidP="00644D87">
      <w:pPr>
        <w:pStyle w:val="Paragraph"/>
        <w:ind w:firstLine="0"/>
        <w:jc w:val="center"/>
      </w:pPr>
      <w:r w:rsidRPr="007C1E80">
        <w:rPr>
          <w:b/>
        </w:rPr>
        <w:t xml:space="preserve">TABLE </w:t>
      </w:r>
      <w:r w:rsidR="007A31BE">
        <w:rPr>
          <w:b/>
        </w:rPr>
        <w:t>3</w:t>
      </w:r>
      <w:r w:rsidR="00644D87" w:rsidRPr="00644D87">
        <w:t xml:space="preserve"> </w:t>
      </w:r>
      <w:r w:rsidR="008F59E0" w:rsidRPr="008F59E0">
        <w:t>Estimated Monthly Operating Costs of Petrol and Electric Motorcycles (in BDT), Based on Data from Local Companies and a Laboratory-Converted Model</w:t>
      </w:r>
      <w:r w:rsidR="008F59E0">
        <w:t xml:space="preserve">. </w:t>
      </w:r>
    </w:p>
    <w:p w14:paraId="68394695" w14:textId="4DC7783E" w:rsidR="008A30FD" w:rsidRDefault="008A30FD" w:rsidP="008A30FD">
      <w:pPr>
        <w:jc w:val="both"/>
        <w:rPr>
          <w:sz w:val="20"/>
        </w:rPr>
      </w:pPr>
    </w:p>
    <w:tbl>
      <w:tblPr>
        <w:tblStyle w:val="TableGrid"/>
        <w:tblW w:w="6655"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768"/>
        <w:gridCol w:w="1625"/>
        <w:gridCol w:w="1773"/>
        <w:gridCol w:w="1489"/>
      </w:tblGrid>
      <w:tr w:rsidR="008F59E0" w:rsidRPr="007C1E80" w14:paraId="142DE0F2" w14:textId="223A9D7B" w:rsidTr="00A21D63">
        <w:trPr>
          <w:jc w:val="center"/>
        </w:trPr>
        <w:tc>
          <w:tcPr>
            <w:tcW w:w="1768" w:type="dxa"/>
            <w:tcBorders>
              <w:bottom w:val="single" w:sz="4" w:space="0" w:color="auto"/>
            </w:tcBorders>
          </w:tcPr>
          <w:p w14:paraId="6C867547" w14:textId="77777777" w:rsidR="008F59E0" w:rsidRPr="00712F50" w:rsidRDefault="008F59E0" w:rsidP="008F59E0">
            <w:pPr>
              <w:jc w:val="both"/>
              <w:rPr>
                <w:b/>
                <w:bCs/>
                <w:sz w:val="20"/>
              </w:rPr>
            </w:pPr>
            <w:r w:rsidRPr="00712F50">
              <w:rPr>
                <w:b/>
                <w:bCs/>
                <w:sz w:val="20"/>
              </w:rPr>
              <w:t>Expense Type</w:t>
            </w:r>
          </w:p>
          <w:p w14:paraId="7D4E1CC0" w14:textId="77777777" w:rsidR="008F59E0" w:rsidRPr="00712F50" w:rsidRDefault="008F59E0" w:rsidP="008F59E0">
            <w:pPr>
              <w:jc w:val="both"/>
              <w:rPr>
                <w:b/>
                <w:sz w:val="20"/>
              </w:rPr>
            </w:pPr>
          </w:p>
          <w:p w14:paraId="38B1EA9C" w14:textId="77777777" w:rsidR="008F59E0" w:rsidRPr="00712F50" w:rsidRDefault="008F59E0" w:rsidP="008F59E0">
            <w:pPr>
              <w:jc w:val="both"/>
              <w:rPr>
                <w:b/>
                <w:sz w:val="20"/>
              </w:rPr>
            </w:pPr>
          </w:p>
          <w:p w14:paraId="1C823C10" w14:textId="77777777" w:rsidR="008F59E0" w:rsidRPr="00712F50" w:rsidRDefault="008F59E0" w:rsidP="008F59E0">
            <w:pPr>
              <w:jc w:val="both"/>
              <w:rPr>
                <w:b/>
                <w:sz w:val="20"/>
              </w:rPr>
            </w:pPr>
          </w:p>
        </w:tc>
        <w:tc>
          <w:tcPr>
            <w:tcW w:w="1625" w:type="dxa"/>
            <w:tcBorders>
              <w:bottom w:val="single" w:sz="4" w:space="0" w:color="auto"/>
            </w:tcBorders>
          </w:tcPr>
          <w:p w14:paraId="4B47000A" w14:textId="53A3C6B6" w:rsidR="008F59E0" w:rsidRPr="00712F50" w:rsidRDefault="00E07A77" w:rsidP="008F59E0">
            <w:pPr>
              <w:jc w:val="both"/>
              <w:rPr>
                <w:b/>
                <w:sz w:val="20"/>
              </w:rPr>
            </w:pPr>
            <w:r w:rsidRPr="00712F50">
              <w:rPr>
                <w:b/>
                <w:sz w:val="20"/>
              </w:rPr>
              <w:t>Petrol Motorcycle (BDT</w:t>
            </w:r>
            <w:r w:rsidR="008F59E0" w:rsidRPr="00712F50">
              <w:rPr>
                <w:b/>
                <w:sz w:val="20"/>
              </w:rPr>
              <w:t>/Month)</w:t>
            </w:r>
          </w:p>
        </w:tc>
        <w:tc>
          <w:tcPr>
            <w:tcW w:w="1773" w:type="dxa"/>
            <w:tcBorders>
              <w:bottom w:val="single" w:sz="4" w:space="0" w:color="auto"/>
            </w:tcBorders>
          </w:tcPr>
          <w:p w14:paraId="7DD94B62" w14:textId="5BAF97EB" w:rsidR="008F59E0" w:rsidRPr="00712F50" w:rsidRDefault="008F59E0" w:rsidP="008F59E0">
            <w:pPr>
              <w:jc w:val="both"/>
              <w:rPr>
                <w:b/>
                <w:sz w:val="20"/>
              </w:rPr>
            </w:pPr>
            <w:r w:rsidRPr="00712F50">
              <w:rPr>
                <w:b/>
                <w:sz w:val="20"/>
              </w:rPr>
              <w:t xml:space="preserve">Electric Motorcycle </w:t>
            </w:r>
            <w:r w:rsidRPr="00712F50">
              <w:rPr>
                <w:b/>
                <w:sz w:val="20"/>
              </w:rPr>
              <w:br/>
              <w:t xml:space="preserve">(Company based data) </w:t>
            </w:r>
            <w:r w:rsidRPr="00712F50">
              <w:rPr>
                <w:b/>
                <w:sz w:val="20"/>
              </w:rPr>
              <w:br/>
            </w:r>
            <w:r w:rsidR="00E07A77" w:rsidRPr="00712F50">
              <w:rPr>
                <w:b/>
                <w:sz w:val="20"/>
              </w:rPr>
              <w:t xml:space="preserve"> (BDT</w:t>
            </w:r>
            <w:r w:rsidRPr="00712F50">
              <w:rPr>
                <w:b/>
                <w:sz w:val="20"/>
              </w:rPr>
              <w:t>/Month)</w:t>
            </w:r>
          </w:p>
        </w:tc>
        <w:tc>
          <w:tcPr>
            <w:tcW w:w="1489" w:type="dxa"/>
            <w:tcBorders>
              <w:bottom w:val="single" w:sz="4" w:space="0" w:color="auto"/>
            </w:tcBorders>
          </w:tcPr>
          <w:p w14:paraId="3DB836EC" w14:textId="084A317B" w:rsidR="008F59E0" w:rsidRPr="00712F50" w:rsidRDefault="008F59E0" w:rsidP="008F59E0">
            <w:pPr>
              <w:jc w:val="both"/>
              <w:rPr>
                <w:b/>
                <w:sz w:val="20"/>
              </w:rPr>
            </w:pPr>
            <w:r w:rsidRPr="00712F50">
              <w:rPr>
                <w:b/>
                <w:sz w:val="20"/>
              </w:rPr>
              <w:t xml:space="preserve">Electric Motorcycle </w:t>
            </w:r>
            <w:r w:rsidRPr="00712F50">
              <w:rPr>
                <w:b/>
                <w:sz w:val="20"/>
              </w:rPr>
              <w:br/>
              <w:t xml:space="preserve">(lab based data) </w:t>
            </w:r>
            <w:r w:rsidRPr="00712F50">
              <w:rPr>
                <w:b/>
                <w:sz w:val="20"/>
              </w:rPr>
              <w:br/>
            </w:r>
            <w:r w:rsidR="00E07A77" w:rsidRPr="00712F50">
              <w:rPr>
                <w:b/>
                <w:sz w:val="20"/>
              </w:rPr>
              <w:t xml:space="preserve"> (BDT</w:t>
            </w:r>
            <w:r w:rsidRPr="00712F50">
              <w:rPr>
                <w:b/>
                <w:sz w:val="20"/>
              </w:rPr>
              <w:t>/Month)</w:t>
            </w:r>
          </w:p>
        </w:tc>
      </w:tr>
      <w:tr w:rsidR="008F59E0" w:rsidRPr="007C1E80" w14:paraId="62062404" w14:textId="69E76792" w:rsidTr="00A21D63">
        <w:trPr>
          <w:trHeight w:val="152"/>
          <w:jc w:val="center"/>
        </w:trPr>
        <w:tc>
          <w:tcPr>
            <w:tcW w:w="1768" w:type="dxa"/>
            <w:tcBorders>
              <w:bottom w:val="nil"/>
            </w:tcBorders>
          </w:tcPr>
          <w:p w14:paraId="3F1B5E95" w14:textId="77777777" w:rsidR="008F59E0" w:rsidRPr="007C1E80" w:rsidRDefault="008F59E0" w:rsidP="008F59E0">
            <w:pPr>
              <w:jc w:val="both"/>
              <w:rPr>
                <w:sz w:val="20"/>
              </w:rPr>
            </w:pPr>
            <w:r w:rsidRPr="007C1E80">
              <w:rPr>
                <w:sz w:val="20"/>
              </w:rPr>
              <w:t>Fuel/Electricity</w:t>
            </w:r>
          </w:p>
        </w:tc>
        <w:tc>
          <w:tcPr>
            <w:tcW w:w="1625" w:type="dxa"/>
            <w:tcBorders>
              <w:bottom w:val="nil"/>
            </w:tcBorders>
          </w:tcPr>
          <w:p w14:paraId="18085C96" w14:textId="77777777" w:rsidR="008F59E0" w:rsidRPr="007C1E80" w:rsidRDefault="008F59E0" w:rsidP="008F59E0">
            <w:pPr>
              <w:jc w:val="both"/>
              <w:rPr>
                <w:sz w:val="20"/>
              </w:rPr>
            </w:pPr>
            <w:r w:rsidRPr="007C1E80">
              <w:rPr>
                <w:sz w:val="20"/>
              </w:rPr>
              <w:t>3024</w:t>
            </w:r>
          </w:p>
        </w:tc>
        <w:tc>
          <w:tcPr>
            <w:tcW w:w="1773" w:type="dxa"/>
            <w:tcBorders>
              <w:bottom w:val="nil"/>
            </w:tcBorders>
          </w:tcPr>
          <w:p w14:paraId="13D4B3E5" w14:textId="77777777" w:rsidR="008F59E0" w:rsidRPr="007C1E80" w:rsidRDefault="008F59E0" w:rsidP="008F59E0">
            <w:pPr>
              <w:jc w:val="both"/>
              <w:rPr>
                <w:sz w:val="20"/>
              </w:rPr>
            </w:pPr>
            <w:r w:rsidRPr="007C1E80">
              <w:rPr>
                <w:sz w:val="20"/>
              </w:rPr>
              <w:t>245.052</w:t>
            </w:r>
          </w:p>
        </w:tc>
        <w:tc>
          <w:tcPr>
            <w:tcW w:w="1489" w:type="dxa"/>
            <w:tcBorders>
              <w:bottom w:val="nil"/>
            </w:tcBorders>
          </w:tcPr>
          <w:p w14:paraId="6D7D4B91" w14:textId="25B72C37" w:rsidR="008F59E0" w:rsidRPr="007C1E80" w:rsidRDefault="008F59E0" w:rsidP="008F59E0">
            <w:pPr>
              <w:jc w:val="both"/>
              <w:rPr>
                <w:sz w:val="20"/>
              </w:rPr>
            </w:pPr>
            <w:r w:rsidRPr="008F59E0">
              <w:rPr>
                <w:sz w:val="20"/>
              </w:rPr>
              <w:t>247.846</w:t>
            </w:r>
          </w:p>
        </w:tc>
      </w:tr>
      <w:tr w:rsidR="008F59E0" w:rsidRPr="007C1E80" w14:paraId="53070D3A" w14:textId="34777257" w:rsidTr="00A21D63">
        <w:trPr>
          <w:jc w:val="center"/>
        </w:trPr>
        <w:tc>
          <w:tcPr>
            <w:tcW w:w="1768" w:type="dxa"/>
            <w:tcBorders>
              <w:top w:val="nil"/>
              <w:bottom w:val="nil"/>
            </w:tcBorders>
          </w:tcPr>
          <w:p w14:paraId="20A0A6C4" w14:textId="77777777" w:rsidR="008F59E0" w:rsidRPr="007C1E80" w:rsidRDefault="008F59E0" w:rsidP="008F59E0">
            <w:pPr>
              <w:jc w:val="both"/>
              <w:rPr>
                <w:sz w:val="20"/>
              </w:rPr>
            </w:pPr>
            <w:r w:rsidRPr="007C1E80">
              <w:rPr>
                <w:sz w:val="20"/>
              </w:rPr>
              <w:t>Engine Oil</w:t>
            </w:r>
          </w:p>
        </w:tc>
        <w:tc>
          <w:tcPr>
            <w:tcW w:w="1625" w:type="dxa"/>
            <w:tcBorders>
              <w:top w:val="nil"/>
              <w:bottom w:val="nil"/>
            </w:tcBorders>
          </w:tcPr>
          <w:p w14:paraId="4E2A639A" w14:textId="77777777" w:rsidR="008F59E0" w:rsidRPr="007C1E80" w:rsidRDefault="008F59E0" w:rsidP="008F59E0">
            <w:pPr>
              <w:jc w:val="both"/>
              <w:rPr>
                <w:sz w:val="20"/>
              </w:rPr>
            </w:pPr>
            <w:r w:rsidRPr="007C1E80">
              <w:rPr>
                <w:sz w:val="20"/>
              </w:rPr>
              <w:t>733</w:t>
            </w:r>
          </w:p>
        </w:tc>
        <w:tc>
          <w:tcPr>
            <w:tcW w:w="1773" w:type="dxa"/>
            <w:tcBorders>
              <w:top w:val="nil"/>
              <w:bottom w:val="nil"/>
            </w:tcBorders>
          </w:tcPr>
          <w:p w14:paraId="4B3BDFD7" w14:textId="77777777" w:rsidR="008F59E0" w:rsidRPr="007C1E80" w:rsidRDefault="008F59E0" w:rsidP="008F59E0">
            <w:pPr>
              <w:jc w:val="both"/>
              <w:rPr>
                <w:sz w:val="20"/>
              </w:rPr>
            </w:pPr>
            <w:r w:rsidRPr="007C1E80">
              <w:rPr>
                <w:sz w:val="20"/>
              </w:rPr>
              <w:t>0</w:t>
            </w:r>
          </w:p>
        </w:tc>
        <w:tc>
          <w:tcPr>
            <w:tcW w:w="1489" w:type="dxa"/>
            <w:tcBorders>
              <w:top w:val="nil"/>
              <w:bottom w:val="nil"/>
            </w:tcBorders>
          </w:tcPr>
          <w:p w14:paraId="656A407B" w14:textId="7F28097A" w:rsidR="008F59E0" w:rsidRPr="007C1E80" w:rsidRDefault="008F59E0" w:rsidP="008F59E0">
            <w:pPr>
              <w:jc w:val="both"/>
              <w:rPr>
                <w:sz w:val="20"/>
              </w:rPr>
            </w:pPr>
            <w:r>
              <w:rPr>
                <w:sz w:val="20"/>
              </w:rPr>
              <w:t>0</w:t>
            </w:r>
          </w:p>
        </w:tc>
      </w:tr>
      <w:tr w:rsidR="008F59E0" w:rsidRPr="007C1E80" w14:paraId="5F131F43" w14:textId="7A090899" w:rsidTr="00A21D63">
        <w:trPr>
          <w:jc w:val="center"/>
        </w:trPr>
        <w:tc>
          <w:tcPr>
            <w:tcW w:w="1768" w:type="dxa"/>
            <w:tcBorders>
              <w:top w:val="nil"/>
              <w:bottom w:val="nil"/>
            </w:tcBorders>
          </w:tcPr>
          <w:p w14:paraId="509346E8" w14:textId="77777777" w:rsidR="008F59E0" w:rsidRPr="007C1E80" w:rsidRDefault="008F59E0" w:rsidP="008F59E0">
            <w:pPr>
              <w:jc w:val="both"/>
              <w:rPr>
                <w:sz w:val="20"/>
              </w:rPr>
            </w:pPr>
            <w:r w:rsidRPr="007C1E80">
              <w:rPr>
                <w:sz w:val="20"/>
              </w:rPr>
              <w:t>Spark Plug, Chain, Clutch</w:t>
            </w:r>
          </w:p>
        </w:tc>
        <w:tc>
          <w:tcPr>
            <w:tcW w:w="1625" w:type="dxa"/>
            <w:tcBorders>
              <w:top w:val="nil"/>
              <w:bottom w:val="nil"/>
            </w:tcBorders>
          </w:tcPr>
          <w:p w14:paraId="7BEF319C" w14:textId="77777777" w:rsidR="008F59E0" w:rsidRDefault="008F59E0" w:rsidP="008F59E0">
            <w:pPr>
              <w:jc w:val="both"/>
              <w:rPr>
                <w:sz w:val="20"/>
              </w:rPr>
            </w:pPr>
            <w:r w:rsidRPr="007C1E80">
              <w:rPr>
                <w:sz w:val="20"/>
              </w:rPr>
              <w:t>200</w:t>
            </w:r>
          </w:p>
          <w:p w14:paraId="3D140E25" w14:textId="4B043843" w:rsidR="00060FEE" w:rsidRPr="007C1E80" w:rsidRDefault="00060FEE" w:rsidP="008F59E0">
            <w:pPr>
              <w:jc w:val="both"/>
              <w:rPr>
                <w:sz w:val="20"/>
              </w:rPr>
            </w:pPr>
          </w:p>
        </w:tc>
        <w:tc>
          <w:tcPr>
            <w:tcW w:w="1773" w:type="dxa"/>
            <w:tcBorders>
              <w:top w:val="nil"/>
              <w:bottom w:val="nil"/>
            </w:tcBorders>
          </w:tcPr>
          <w:p w14:paraId="456F6F71" w14:textId="77777777" w:rsidR="008F59E0" w:rsidRPr="007C1E80" w:rsidRDefault="008F59E0" w:rsidP="008F59E0">
            <w:pPr>
              <w:jc w:val="both"/>
              <w:rPr>
                <w:sz w:val="20"/>
              </w:rPr>
            </w:pPr>
            <w:r w:rsidRPr="007C1E80">
              <w:rPr>
                <w:sz w:val="20"/>
              </w:rPr>
              <w:t>50</w:t>
            </w:r>
          </w:p>
        </w:tc>
        <w:tc>
          <w:tcPr>
            <w:tcW w:w="1489" w:type="dxa"/>
            <w:tcBorders>
              <w:top w:val="nil"/>
              <w:bottom w:val="nil"/>
            </w:tcBorders>
          </w:tcPr>
          <w:p w14:paraId="479BC78C" w14:textId="34A711D9" w:rsidR="008F59E0" w:rsidRPr="007C1E80" w:rsidRDefault="008F59E0" w:rsidP="008F59E0">
            <w:pPr>
              <w:jc w:val="both"/>
              <w:rPr>
                <w:sz w:val="20"/>
              </w:rPr>
            </w:pPr>
            <w:r>
              <w:rPr>
                <w:sz w:val="20"/>
              </w:rPr>
              <w:t>50</w:t>
            </w:r>
          </w:p>
        </w:tc>
      </w:tr>
      <w:tr w:rsidR="008F59E0" w:rsidRPr="007C1E80" w14:paraId="67F26B2F" w14:textId="3BF9AB3C" w:rsidTr="00A21D63">
        <w:trPr>
          <w:trHeight w:val="287"/>
          <w:jc w:val="center"/>
        </w:trPr>
        <w:tc>
          <w:tcPr>
            <w:tcW w:w="1768" w:type="dxa"/>
            <w:tcBorders>
              <w:top w:val="nil"/>
              <w:bottom w:val="nil"/>
            </w:tcBorders>
          </w:tcPr>
          <w:p w14:paraId="7BA325AD" w14:textId="77777777" w:rsidR="008F59E0" w:rsidRPr="007C1E80" w:rsidRDefault="008F59E0" w:rsidP="008F59E0">
            <w:pPr>
              <w:jc w:val="both"/>
              <w:rPr>
                <w:sz w:val="20"/>
              </w:rPr>
            </w:pPr>
            <w:r w:rsidRPr="007C1E80">
              <w:rPr>
                <w:sz w:val="20"/>
              </w:rPr>
              <w:t>Brake Pads &amp; Tires</w:t>
            </w:r>
          </w:p>
        </w:tc>
        <w:tc>
          <w:tcPr>
            <w:tcW w:w="1625" w:type="dxa"/>
            <w:tcBorders>
              <w:top w:val="nil"/>
              <w:bottom w:val="nil"/>
            </w:tcBorders>
          </w:tcPr>
          <w:p w14:paraId="1F395DBC" w14:textId="4BF3FAE2" w:rsidR="008F59E0" w:rsidRDefault="008F59E0" w:rsidP="008F59E0">
            <w:pPr>
              <w:jc w:val="both"/>
              <w:rPr>
                <w:sz w:val="20"/>
              </w:rPr>
            </w:pPr>
            <w:r w:rsidRPr="007C1E80">
              <w:rPr>
                <w:sz w:val="20"/>
              </w:rPr>
              <w:t>150</w:t>
            </w:r>
          </w:p>
          <w:p w14:paraId="69EC988D" w14:textId="77777777" w:rsidR="00560C25" w:rsidRDefault="00560C25" w:rsidP="008F59E0">
            <w:pPr>
              <w:jc w:val="both"/>
              <w:rPr>
                <w:sz w:val="20"/>
              </w:rPr>
            </w:pPr>
          </w:p>
          <w:p w14:paraId="3CE963F8" w14:textId="2A15BE7C" w:rsidR="00560C25" w:rsidRPr="007C1E80" w:rsidRDefault="00560C25" w:rsidP="008F59E0">
            <w:pPr>
              <w:jc w:val="both"/>
              <w:rPr>
                <w:sz w:val="20"/>
              </w:rPr>
            </w:pPr>
          </w:p>
        </w:tc>
        <w:tc>
          <w:tcPr>
            <w:tcW w:w="1773" w:type="dxa"/>
            <w:tcBorders>
              <w:top w:val="nil"/>
              <w:bottom w:val="nil"/>
            </w:tcBorders>
          </w:tcPr>
          <w:p w14:paraId="60AD0053" w14:textId="77777777" w:rsidR="008F59E0" w:rsidRPr="007C1E80" w:rsidRDefault="008F59E0" w:rsidP="008F59E0">
            <w:pPr>
              <w:jc w:val="both"/>
              <w:rPr>
                <w:sz w:val="20"/>
              </w:rPr>
            </w:pPr>
            <w:r w:rsidRPr="007C1E80">
              <w:rPr>
                <w:sz w:val="20"/>
              </w:rPr>
              <w:t>150</w:t>
            </w:r>
          </w:p>
        </w:tc>
        <w:tc>
          <w:tcPr>
            <w:tcW w:w="1489" w:type="dxa"/>
            <w:tcBorders>
              <w:top w:val="nil"/>
              <w:bottom w:val="nil"/>
            </w:tcBorders>
          </w:tcPr>
          <w:p w14:paraId="742ADE6E" w14:textId="47A07554" w:rsidR="008F59E0" w:rsidRPr="007C1E80" w:rsidRDefault="008F59E0" w:rsidP="008F59E0">
            <w:pPr>
              <w:jc w:val="both"/>
              <w:rPr>
                <w:sz w:val="20"/>
              </w:rPr>
            </w:pPr>
            <w:r>
              <w:rPr>
                <w:sz w:val="20"/>
              </w:rPr>
              <w:t>150</w:t>
            </w:r>
          </w:p>
        </w:tc>
      </w:tr>
      <w:tr w:rsidR="008F59E0" w:rsidRPr="007C1E80" w14:paraId="7FFC9987" w14:textId="2651E368" w:rsidTr="00A21D63">
        <w:trPr>
          <w:jc w:val="center"/>
        </w:trPr>
        <w:tc>
          <w:tcPr>
            <w:tcW w:w="1768" w:type="dxa"/>
            <w:tcBorders>
              <w:top w:val="nil"/>
              <w:bottom w:val="nil"/>
            </w:tcBorders>
          </w:tcPr>
          <w:p w14:paraId="5A06CDA7" w14:textId="77777777" w:rsidR="008F59E0" w:rsidRPr="007C1E80" w:rsidRDefault="008F59E0" w:rsidP="008F59E0">
            <w:pPr>
              <w:jc w:val="both"/>
              <w:rPr>
                <w:sz w:val="20"/>
              </w:rPr>
            </w:pPr>
            <w:r w:rsidRPr="007C1E80">
              <w:rPr>
                <w:sz w:val="20"/>
              </w:rPr>
              <w:t>Battery Replacement</w:t>
            </w:r>
          </w:p>
        </w:tc>
        <w:tc>
          <w:tcPr>
            <w:tcW w:w="1625" w:type="dxa"/>
            <w:tcBorders>
              <w:top w:val="nil"/>
              <w:bottom w:val="nil"/>
            </w:tcBorders>
          </w:tcPr>
          <w:p w14:paraId="65C12646" w14:textId="77777777" w:rsidR="008F59E0" w:rsidRDefault="008F59E0" w:rsidP="008F59E0">
            <w:pPr>
              <w:jc w:val="both"/>
              <w:rPr>
                <w:sz w:val="20"/>
              </w:rPr>
            </w:pPr>
            <w:r w:rsidRPr="007C1E80">
              <w:rPr>
                <w:sz w:val="20"/>
              </w:rPr>
              <w:t>50</w:t>
            </w:r>
          </w:p>
          <w:p w14:paraId="520C68DE" w14:textId="7908E835" w:rsidR="007A780A" w:rsidRPr="007C1E80" w:rsidRDefault="007A780A" w:rsidP="008F59E0">
            <w:pPr>
              <w:jc w:val="both"/>
              <w:rPr>
                <w:sz w:val="20"/>
              </w:rPr>
            </w:pPr>
          </w:p>
        </w:tc>
        <w:tc>
          <w:tcPr>
            <w:tcW w:w="1773" w:type="dxa"/>
            <w:tcBorders>
              <w:top w:val="nil"/>
              <w:bottom w:val="nil"/>
            </w:tcBorders>
          </w:tcPr>
          <w:p w14:paraId="3BAFE692" w14:textId="77777777" w:rsidR="008F59E0" w:rsidRDefault="008F59E0" w:rsidP="008F59E0">
            <w:pPr>
              <w:jc w:val="both"/>
              <w:rPr>
                <w:sz w:val="20"/>
              </w:rPr>
            </w:pPr>
            <w:r w:rsidRPr="007C1E80">
              <w:rPr>
                <w:sz w:val="20"/>
              </w:rPr>
              <w:t>200</w:t>
            </w:r>
          </w:p>
          <w:p w14:paraId="411FE763" w14:textId="20ECE8E9" w:rsidR="00712F50" w:rsidRPr="007C1E80" w:rsidRDefault="00712F50" w:rsidP="008F59E0">
            <w:pPr>
              <w:jc w:val="both"/>
              <w:rPr>
                <w:sz w:val="20"/>
              </w:rPr>
            </w:pPr>
          </w:p>
        </w:tc>
        <w:tc>
          <w:tcPr>
            <w:tcW w:w="1489" w:type="dxa"/>
            <w:tcBorders>
              <w:top w:val="nil"/>
              <w:bottom w:val="nil"/>
            </w:tcBorders>
          </w:tcPr>
          <w:p w14:paraId="141DE8A9" w14:textId="77777777" w:rsidR="008F59E0" w:rsidRDefault="008F59E0" w:rsidP="008F59E0">
            <w:pPr>
              <w:jc w:val="both"/>
              <w:rPr>
                <w:sz w:val="20"/>
              </w:rPr>
            </w:pPr>
            <w:r>
              <w:rPr>
                <w:sz w:val="20"/>
              </w:rPr>
              <w:t>200</w:t>
            </w:r>
          </w:p>
          <w:p w14:paraId="169F7BED" w14:textId="77777777" w:rsidR="00991500" w:rsidRDefault="00991500" w:rsidP="008F59E0">
            <w:pPr>
              <w:jc w:val="both"/>
              <w:rPr>
                <w:sz w:val="20"/>
              </w:rPr>
            </w:pPr>
          </w:p>
          <w:p w14:paraId="2E8DD384" w14:textId="5A735C0E" w:rsidR="00991500" w:rsidRPr="007C1E80" w:rsidRDefault="00991500" w:rsidP="008F59E0">
            <w:pPr>
              <w:jc w:val="both"/>
              <w:rPr>
                <w:sz w:val="20"/>
              </w:rPr>
            </w:pPr>
          </w:p>
        </w:tc>
      </w:tr>
      <w:tr w:rsidR="008F59E0" w:rsidRPr="007C1E80" w14:paraId="4E2FAF7F" w14:textId="2D4F74EF" w:rsidTr="00A21D63">
        <w:trPr>
          <w:jc w:val="center"/>
        </w:trPr>
        <w:tc>
          <w:tcPr>
            <w:tcW w:w="1768" w:type="dxa"/>
            <w:tcBorders>
              <w:top w:val="nil"/>
            </w:tcBorders>
          </w:tcPr>
          <w:p w14:paraId="189AC4B6" w14:textId="77777777" w:rsidR="008F59E0" w:rsidRPr="004D0181" w:rsidRDefault="008F59E0" w:rsidP="008F59E0">
            <w:pPr>
              <w:jc w:val="both"/>
              <w:rPr>
                <w:sz w:val="20"/>
              </w:rPr>
            </w:pPr>
            <w:r w:rsidRPr="004D0181">
              <w:rPr>
                <w:sz w:val="20"/>
              </w:rPr>
              <w:t>Total Monthly Cost</w:t>
            </w:r>
          </w:p>
        </w:tc>
        <w:tc>
          <w:tcPr>
            <w:tcW w:w="1625" w:type="dxa"/>
            <w:tcBorders>
              <w:top w:val="nil"/>
            </w:tcBorders>
          </w:tcPr>
          <w:p w14:paraId="0479268E" w14:textId="77777777" w:rsidR="008F59E0" w:rsidRPr="007C1E80" w:rsidRDefault="008F59E0" w:rsidP="008F59E0">
            <w:pPr>
              <w:jc w:val="both"/>
              <w:rPr>
                <w:sz w:val="20"/>
              </w:rPr>
            </w:pPr>
            <w:r w:rsidRPr="007C1E80">
              <w:rPr>
                <w:sz w:val="20"/>
              </w:rPr>
              <w:t>4157</w:t>
            </w:r>
          </w:p>
        </w:tc>
        <w:tc>
          <w:tcPr>
            <w:tcW w:w="1773" w:type="dxa"/>
            <w:tcBorders>
              <w:top w:val="nil"/>
            </w:tcBorders>
          </w:tcPr>
          <w:p w14:paraId="36C8BE0C" w14:textId="77777777" w:rsidR="008F59E0" w:rsidRPr="007C1E80" w:rsidRDefault="008F59E0" w:rsidP="008F59E0">
            <w:pPr>
              <w:jc w:val="both"/>
              <w:rPr>
                <w:sz w:val="20"/>
              </w:rPr>
            </w:pPr>
            <w:r w:rsidRPr="007C1E80">
              <w:rPr>
                <w:sz w:val="20"/>
              </w:rPr>
              <w:t>645.052</w:t>
            </w:r>
          </w:p>
        </w:tc>
        <w:tc>
          <w:tcPr>
            <w:tcW w:w="1489" w:type="dxa"/>
            <w:tcBorders>
              <w:top w:val="nil"/>
            </w:tcBorders>
          </w:tcPr>
          <w:p w14:paraId="5C45C047" w14:textId="0D2F6C18" w:rsidR="008F59E0" w:rsidRPr="007C1E80" w:rsidRDefault="008F59E0" w:rsidP="008F59E0">
            <w:pPr>
              <w:jc w:val="both"/>
              <w:rPr>
                <w:sz w:val="20"/>
              </w:rPr>
            </w:pPr>
            <w:r>
              <w:rPr>
                <w:sz w:val="20"/>
              </w:rPr>
              <w:t>647.846</w:t>
            </w:r>
          </w:p>
        </w:tc>
      </w:tr>
    </w:tbl>
    <w:p w14:paraId="0CBFC6A4" w14:textId="77777777" w:rsidR="00E07A77" w:rsidRDefault="00E07A77" w:rsidP="007141AB">
      <w:pPr>
        <w:jc w:val="both"/>
        <w:rPr>
          <w:sz w:val="20"/>
        </w:rPr>
      </w:pPr>
    </w:p>
    <w:p w14:paraId="1C8C9D66" w14:textId="7E7DECBE" w:rsidR="00D55426" w:rsidRPr="002A7048" w:rsidRDefault="00E07A77" w:rsidP="002A7048">
      <w:pPr>
        <w:ind w:firstLine="432"/>
        <w:jc w:val="both"/>
        <w:rPr>
          <w:color w:val="000000" w:themeColor="text1"/>
          <w:sz w:val="20"/>
        </w:rPr>
      </w:pPr>
      <w:r w:rsidRPr="00E07A77">
        <w:rPr>
          <w:sz w:val="20"/>
        </w:rPr>
        <w:t>Table</w:t>
      </w:r>
      <w:r w:rsidR="007A31BE">
        <w:rPr>
          <w:sz w:val="20"/>
        </w:rPr>
        <w:t xml:space="preserve"> 3</w:t>
      </w:r>
      <w:r w:rsidRPr="00E07A77">
        <w:rPr>
          <w:sz w:val="20"/>
        </w:rPr>
        <w:t xml:space="preserve"> summarizes the estimated monthly operating costs of petrol and electric motorcycles in Bangladesh, based on data from local companies and a laboratory-converted model. A comparative analysis was conducted to evaluate the monthly running costs of petrol and electric motorcycles. Based on company data, the total monthly cost of operating a petrol motorcycle was estimated at BDT 4,157, while that of an electric motorcycle was BDT 645.05, resulting in a monthly saving of BDT 3,511.95 and an annual saving of BDT 42,143.40. Similarly, based on laboratory test data of a converted motorcycle, the monthly electric cost was found to be BDT 647.85, leading to a monthly saving of BDT 3,509.15 and an annual saving of BDT 42,109.80 compared to the petrol counterpart. These results demonstrate that electric motorcycles provide a substantial economic advantage in daily operation, reducing annual running costs by over 84%</w:t>
      </w:r>
    </w:p>
    <w:p w14:paraId="76A93564" w14:textId="3246C6F5" w:rsidR="007141AB" w:rsidRDefault="007141AB" w:rsidP="007141AB">
      <w:pPr>
        <w:pStyle w:val="Paragraph"/>
        <w:ind w:firstLine="0"/>
        <w:jc w:val="center"/>
      </w:pPr>
      <w:r w:rsidRPr="007C1E80">
        <w:rPr>
          <w:b/>
        </w:rPr>
        <w:lastRenderedPageBreak/>
        <w:t xml:space="preserve">TABLE </w:t>
      </w:r>
      <w:r w:rsidR="007A31BE">
        <w:rPr>
          <w:b/>
        </w:rPr>
        <w:t>4</w:t>
      </w:r>
      <w:r w:rsidRPr="00644D87">
        <w:t xml:space="preserve"> </w:t>
      </w:r>
      <w:r>
        <w:t>Net</w:t>
      </w:r>
      <w:r w:rsidRPr="007141AB">
        <w:t xml:space="preserve"> monthly profit and profit gain from electric motorcycles.</w:t>
      </w:r>
    </w:p>
    <w:p w14:paraId="27E11BD0" w14:textId="77777777" w:rsidR="007141AB" w:rsidRPr="00644D87" w:rsidRDefault="007141AB" w:rsidP="00D01023">
      <w:pPr>
        <w:pStyle w:val="Paragraph"/>
        <w:ind w:firstLine="0"/>
      </w:pPr>
    </w:p>
    <w:tbl>
      <w:tblPr>
        <w:tblStyle w:val="TableGrid1"/>
        <w:tblW w:w="8110"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5"/>
        <w:gridCol w:w="1440"/>
        <w:gridCol w:w="900"/>
        <w:gridCol w:w="985"/>
        <w:gridCol w:w="1170"/>
        <w:gridCol w:w="1540"/>
      </w:tblGrid>
      <w:tr w:rsidR="00713BAE" w:rsidRPr="00713BAE" w14:paraId="7D6B9AA7" w14:textId="77777777" w:rsidTr="00E50E4E">
        <w:trPr>
          <w:trHeight w:val="782"/>
          <w:jc w:val="center"/>
        </w:trPr>
        <w:tc>
          <w:tcPr>
            <w:tcW w:w="2075" w:type="dxa"/>
          </w:tcPr>
          <w:p w14:paraId="5010E7FB" w14:textId="77777777" w:rsidR="00713BAE" w:rsidRPr="00712F50" w:rsidRDefault="00713BAE" w:rsidP="00D01023">
            <w:pPr>
              <w:jc w:val="both"/>
              <w:rPr>
                <w:rFonts w:ascii="Times New Roman" w:eastAsia="SimSun" w:hAnsi="Times New Roman"/>
                <w:b/>
                <w:sz w:val="20"/>
                <w:szCs w:val="20"/>
              </w:rPr>
            </w:pPr>
            <w:r w:rsidRPr="00712F50">
              <w:rPr>
                <w:rFonts w:ascii="Times New Roman" w:eastAsia="SimSun" w:hAnsi="Times New Roman"/>
                <w:b/>
                <w:sz w:val="20"/>
                <w:szCs w:val="20"/>
              </w:rPr>
              <w:t>Rider Name</w:t>
            </w:r>
          </w:p>
        </w:tc>
        <w:tc>
          <w:tcPr>
            <w:tcW w:w="1440" w:type="dxa"/>
          </w:tcPr>
          <w:p w14:paraId="33A06B04" w14:textId="77777777" w:rsidR="00713BAE" w:rsidRPr="00712F50" w:rsidRDefault="00713BAE" w:rsidP="00D01023">
            <w:pPr>
              <w:jc w:val="both"/>
              <w:rPr>
                <w:rFonts w:ascii="Times New Roman" w:eastAsia="SimSun" w:hAnsi="Times New Roman"/>
                <w:b/>
                <w:sz w:val="20"/>
                <w:szCs w:val="20"/>
              </w:rPr>
            </w:pPr>
            <w:r w:rsidRPr="00712F50">
              <w:rPr>
                <w:rFonts w:ascii="Times New Roman" w:eastAsia="SimSun" w:hAnsi="Times New Roman"/>
                <w:b/>
                <w:sz w:val="20"/>
                <w:szCs w:val="20"/>
              </w:rPr>
              <w:t>Location</w:t>
            </w:r>
          </w:p>
        </w:tc>
        <w:tc>
          <w:tcPr>
            <w:tcW w:w="900" w:type="dxa"/>
          </w:tcPr>
          <w:p w14:paraId="2C364255" w14:textId="77777777" w:rsidR="00713BAE" w:rsidRPr="00712F50" w:rsidRDefault="00713BAE" w:rsidP="00D01023">
            <w:pPr>
              <w:jc w:val="both"/>
              <w:rPr>
                <w:rFonts w:ascii="Times New Roman" w:eastAsia="SimSun" w:hAnsi="Times New Roman"/>
                <w:b/>
                <w:sz w:val="20"/>
                <w:szCs w:val="20"/>
              </w:rPr>
            </w:pPr>
            <w:r w:rsidRPr="00712F50">
              <w:rPr>
                <w:rFonts w:ascii="Times New Roman" w:eastAsia="SimSun" w:hAnsi="Times New Roman"/>
                <w:b/>
                <w:sz w:val="20"/>
                <w:szCs w:val="20"/>
              </w:rPr>
              <w:t xml:space="preserve">Travel Per day </w:t>
            </w:r>
          </w:p>
          <w:p w14:paraId="389B9477" w14:textId="77777777" w:rsidR="00713BAE" w:rsidRPr="00712F50" w:rsidRDefault="00713BAE" w:rsidP="00D01023">
            <w:pPr>
              <w:jc w:val="both"/>
              <w:rPr>
                <w:rFonts w:ascii="Times New Roman" w:eastAsia="SimSun" w:hAnsi="Times New Roman"/>
                <w:b/>
                <w:sz w:val="20"/>
                <w:szCs w:val="20"/>
              </w:rPr>
            </w:pPr>
            <w:r w:rsidRPr="00712F50">
              <w:rPr>
                <w:rFonts w:ascii="Times New Roman" w:eastAsia="SimSun" w:hAnsi="Times New Roman"/>
                <w:b/>
                <w:sz w:val="20"/>
                <w:szCs w:val="20"/>
              </w:rPr>
              <w:t>(KM)</w:t>
            </w:r>
          </w:p>
        </w:tc>
        <w:tc>
          <w:tcPr>
            <w:tcW w:w="985" w:type="dxa"/>
          </w:tcPr>
          <w:p w14:paraId="439B6E0D" w14:textId="77777777" w:rsidR="00713BAE" w:rsidRPr="00712F50" w:rsidRDefault="00713BAE" w:rsidP="00D01023">
            <w:pPr>
              <w:jc w:val="both"/>
              <w:rPr>
                <w:rFonts w:ascii="Times New Roman" w:eastAsia="SimSun" w:hAnsi="Times New Roman"/>
                <w:b/>
                <w:sz w:val="20"/>
                <w:szCs w:val="20"/>
              </w:rPr>
            </w:pPr>
            <w:r w:rsidRPr="00712F50">
              <w:rPr>
                <w:rFonts w:ascii="Times New Roman" w:eastAsia="SimSun" w:hAnsi="Times New Roman"/>
                <w:b/>
                <w:sz w:val="20"/>
                <w:szCs w:val="20"/>
              </w:rPr>
              <w:t>Monthly Income (BDT)</w:t>
            </w:r>
          </w:p>
        </w:tc>
        <w:tc>
          <w:tcPr>
            <w:tcW w:w="1170" w:type="dxa"/>
          </w:tcPr>
          <w:p w14:paraId="3CD9B3E0" w14:textId="77777777" w:rsidR="00713BAE" w:rsidRPr="00712F50" w:rsidRDefault="00713BAE" w:rsidP="00D01023">
            <w:pPr>
              <w:jc w:val="both"/>
              <w:rPr>
                <w:rFonts w:ascii="Times New Roman" w:eastAsia="SimSun" w:hAnsi="Times New Roman"/>
                <w:b/>
                <w:sz w:val="20"/>
                <w:szCs w:val="20"/>
              </w:rPr>
            </w:pPr>
            <w:r w:rsidRPr="00712F50">
              <w:rPr>
                <w:rFonts w:ascii="Times New Roman" w:eastAsia="SimSun" w:hAnsi="Times New Roman"/>
                <w:b/>
                <w:sz w:val="20"/>
                <w:szCs w:val="20"/>
              </w:rPr>
              <w:t xml:space="preserve">Petrol </w:t>
            </w:r>
          </w:p>
          <w:p w14:paraId="06D67956" w14:textId="77777777" w:rsidR="00713BAE" w:rsidRPr="00712F50" w:rsidRDefault="00713BAE" w:rsidP="00D01023">
            <w:pPr>
              <w:jc w:val="both"/>
              <w:rPr>
                <w:rFonts w:ascii="Times New Roman" w:eastAsia="SimSun" w:hAnsi="Times New Roman"/>
                <w:b/>
                <w:sz w:val="20"/>
                <w:szCs w:val="20"/>
              </w:rPr>
            </w:pPr>
            <w:r w:rsidRPr="00712F50">
              <w:rPr>
                <w:rFonts w:ascii="Times New Roman" w:eastAsia="SimSun" w:hAnsi="Times New Roman"/>
                <w:b/>
                <w:sz w:val="20"/>
                <w:szCs w:val="20"/>
              </w:rPr>
              <w:t xml:space="preserve">Profit </w:t>
            </w:r>
          </w:p>
          <w:p w14:paraId="6CF98D5D" w14:textId="77777777" w:rsidR="00713BAE" w:rsidRPr="00712F50" w:rsidRDefault="00713BAE" w:rsidP="00D01023">
            <w:pPr>
              <w:jc w:val="both"/>
              <w:rPr>
                <w:rFonts w:ascii="Times New Roman" w:eastAsia="SimSun" w:hAnsi="Times New Roman"/>
                <w:b/>
                <w:sz w:val="20"/>
                <w:szCs w:val="20"/>
              </w:rPr>
            </w:pPr>
            <w:r w:rsidRPr="00712F50">
              <w:rPr>
                <w:rFonts w:ascii="Times New Roman" w:eastAsia="SimSun" w:hAnsi="Times New Roman"/>
                <w:b/>
                <w:sz w:val="20"/>
                <w:szCs w:val="20"/>
              </w:rPr>
              <w:t>(BDT)</w:t>
            </w:r>
          </w:p>
        </w:tc>
        <w:tc>
          <w:tcPr>
            <w:tcW w:w="1540" w:type="dxa"/>
          </w:tcPr>
          <w:p w14:paraId="7CA47703" w14:textId="77777777" w:rsidR="00713BAE" w:rsidRPr="00712F50" w:rsidRDefault="00713BAE" w:rsidP="00D01023">
            <w:pPr>
              <w:jc w:val="both"/>
              <w:rPr>
                <w:rFonts w:ascii="Times New Roman" w:hAnsi="Times New Roman"/>
                <w:b/>
                <w:color w:val="000000"/>
                <w:sz w:val="20"/>
                <w:szCs w:val="20"/>
              </w:rPr>
            </w:pPr>
            <w:r w:rsidRPr="00712F50">
              <w:rPr>
                <w:rFonts w:ascii="Times New Roman" w:hAnsi="Times New Roman"/>
                <w:b/>
                <w:color w:val="000000"/>
                <w:sz w:val="20"/>
                <w:szCs w:val="20"/>
              </w:rPr>
              <w:t xml:space="preserve">Electric </w:t>
            </w:r>
            <w:r w:rsidRPr="00712F50">
              <w:rPr>
                <w:rFonts w:ascii="Times New Roman" w:hAnsi="Times New Roman"/>
                <w:b/>
                <w:color w:val="000000"/>
                <w:sz w:val="20"/>
                <w:szCs w:val="20"/>
              </w:rPr>
              <w:br/>
              <w:t xml:space="preserve">Profit </w:t>
            </w:r>
            <w:r w:rsidRPr="00712F50">
              <w:rPr>
                <w:rFonts w:ascii="Times New Roman" w:hAnsi="Times New Roman"/>
                <w:b/>
                <w:color w:val="000000"/>
                <w:sz w:val="20"/>
                <w:szCs w:val="20"/>
              </w:rPr>
              <w:br/>
              <w:t>(BDT)</w:t>
            </w:r>
          </w:p>
          <w:p w14:paraId="3CB120AC" w14:textId="08AD550D" w:rsidR="00C307C4" w:rsidRPr="00712F50" w:rsidRDefault="00C307C4" w:rsidP="00D01023">
            <w:pPr>
              <w:jc w:val="both"/>
              <w:rPr>
                <w:rFonts w:ascii="Times New Roman" w:eastAsia="SimSun" w:hAnsi="Times New Roman"/>
                <w:b/>
                <w:sz w:val="20"/>
                <w:szCs w:val="20"/>
              </w:rPr>
            </w:pPr>
          </w:p>
        </w:tc>
      </w:tr>
      <w:tr w:rsidR="00713BAE" w:rsidRPr="00713BAE" w14:paraId="3B9F72AA" w14:textId="77777777" w:rsidTr="00C307C4">
        <w:trPr>
          <w:trHeight w:val="431"/>
          <w:jc w:val="center"/>
        </w:trPr>
        <w:tc>
          <w:tcPr>
            <w:tcW w:w="2075" w:type="dxa"/>
            <w:tcBorders>
              <w:top w:val="single" w:sz="4" w:space="0" w:color="auto"/>
            </w:tcBorders>
          </w:tcPr>
          <w:p w14:paraId="2418EA30" w14:textId="77777777" w:rsidR="00713BAE" w:rsidRPr="00713BAE" w:rsidRDefault="00713BAE" w:rsidP="00D01023">
            <w:pPr>
              <w:jc w:val="both"/>
              <w:rPr>
                <w:rFonts w:ascii="Times New Roman" w:eastAsia="SimSun" w:hAnsi="Times New Roman"/>
                <w:sz w:val="20"/>
                <w:szCs w:val="20"/>
              </w:rPr>
            </w:pPr>
            <w:proofErr w:type="spellStart"/>
            <w:r w:rsidRPr="00713BAE">
              <w:rPr>
                <w:rFonts w:ascii="Times New Roman" w:eastAsia="SimSun" w:hAnsi="Times New Roman"/>
                <w:sz w:val="20"/>
                <w:szCs w:val="20"/>
              </w:rPr>
              <w:t>Rudra</w:t>
            </w:r>
            <w:proofErr w:type="spellEnd"/>
            <w:r w:rsidRPr="00713BAE">
              <w:rPr>
                <w:rFonts w:ascii="Times New Roman" w:eastAsia="SimSun" w:hAnsi="Times New Roman"/>
                <w:sz w:val="20"/>
                <w:szCs w:val="20"/>
              </w:rPr>
              <w:t xml:space="preserve"> </w:t>
            </w:r>
            <w:proofErr w:type="spellStart"/>
            <w:r w:rsidRPr="00713BAE">
              <w:rPr>
                <w:rFonts w:ascii="Times New Roman" w:eastAsia="SimSun" w:hAnsi="Times New Roman"/>
                <w:sz w:val="20"/>
                <w:szCs w:val="20"/>
              </w:rPr>
              <w:t>Sarker</w:t>
            </w:r>
            <w:proofErr w:type="spellEnd"/>
          </w:p>
        </w:tc>
        <w:tc>
          <w:tcPr>
            <w:tcW w:w="1440" w:type="dxa"/>
            <w:tcBorders>
              <w:top w:val="single" w:sz="4" w:space="0" w:color="auto"/>
            </w:tcBorders>
          </w:tcPr>
          <w:p w14:paraId="6ADCEE1B"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Dhaka</w:t>
            </w:r>
          </w:p>
        </w:tc>
        <w:tc>
          <w:tcPr>
            <w:tcW w:w="900" w:type="dxa"/>
            <w:tcBorders>
              <w:top w:val="single" w:sz="4" w:space="0" w:color="auto"/>
            </w:tcBorders>
          </w:tcPr>
          <w:p w14:paraId="38A76444"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50-60</w:t>
            </w:r>
          </w:p>
        </w:tc>
        <w:tc>
          <w:tcPr>
            <w:tcW w:w="985" w:type="dxa"/>
            <w:tcBorders>
              <w:top w:val="single" w:sz="4" w:space="0" w:color="auto"/>
            </w:tcBorders>
          </w:tcPr>
          <w:p w14:paraId="08BE5242"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22,500-24,000</w:t>
            </w:r>
          </w:p>
        </w:tc>
        <w:tc>
          <w:tcPr>
            <w:tcW w:w="1170" w:type="dxa"/>
            <w:tcBorders>
              <w:top w:val="single" w:sz="4" w:space="0" w:color="auto"/>
            </w:tcBorders>
          </w:tcPr>
          <w:p w14:paraId="08666162"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18,343-19,843</w:t>
            </w:r>
          </w:p>
        </w:tc>
        <w:tc>
          <w:tcPr>
            <w:tcW w:w="1540" w:type="dxa"/>
            <w:tcBorders>
              <w:top w:val="single" w:sz="4" w:space="0" w:color="auto"/>
            </w:tcBorders>
          </w:tcPr>
          <w:p w14:paraId="5AB290F1"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21,854.95–23,354.95</w:t>
            </w:r>
          </w:p>
        </w:tc>
      </w:tr>
      <w:tr w:rsidR="00713BAE" w:rsidRPr="00713BAE" w14:paraId="2D54484F" w14:textId="77777777" w:rsidTr="00E50E4E">
        <w:trPr>
          <w:jc w:val="center"/>
        </w:trPr>
        <w:tc>
          <w:tcPr>
            <w:tcW w:w="2075" w:type="dxa"/>
          </w:tcPr>
          <w:p w14:paraId="6EFEB308" w14:textId="77777777" w:rsidR="00713BAE" w:rsidRPr="00713BAE" w:rsidRDefault="00713BAE" w:rsidP="00D01023">
            <w:pPr>
              <w:jc w:val="both"/>
              <w:rPr>
                <w:rFonts w:ascii="Times New Roman" w:eastAsia="SimSun" w:hAnsi="Times New Roman"/>
                <w:sz w:val="20"/>
                <w:szCs w:val="20"/>
              </w:rPr>
            </w:pPr>
            <w:proofErr w:type="spellStart"/>
            <w:r w:rsidRPr="00713BAE">
              <w:rPr>
                <w:rFonts w:ascii="Times New Roman" w:hAnsi="Times New Roman"/>
                <w:color w:val="000000"/>
                <w:sz w:val="20"/>
                <w:szCs w:val="20"/>
              </w:rPr>
              <w:t>Rokon</w:t>
            </w:r>
            <w:proofErr w:type="spellEnd"/>
            <w:r w:rsidRPr="00713BAE">
              <w:rPr>
                <w:rFonts w:ascii="Times New Roman" w:hAnsi="Times New Roman"/>
                <w:color w:val="000000"/>
                <w:sz w:val="20"/>
                <w:szCs w:val="20"/>
              </w:rPr>
              <w:t xml:space="preserve"> Uddin</w:t>
            </w:r>
          </w:p>
        </w:tc>
        <w:tc>
          <w:tcPr>
            <w:tcW w:w="1440" w:type="dxa"/>
          </w:tcPr>
          <w:p w14:paraId="3C271A7D" w14:textId="0CD3BBF2"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Dhaka</w:t>
            </w:r>
          </w:p>
        </w:tc>
        <w:tc>
          <w:tcPr>
            <w:tcW w:w="900" w:type="dxa"/>
          </w:tcPr>
          <w:p w14:paraId="43300C7F"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60-70</w:t>
            </w:r>
          </w:p>
        </w:tc>
        <w:tc>
          <w:tcPr>
            <w:tcW w:w="985" w:type="dxa"/>
          </w:tcPr>
          <w:p w14:paraId="255C2ADF"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25,500-27,000</w:t>
            </w:r>
          </w:p>
        </w:tc>
        <w:tc>
          <w:tcPr>
            <w:tcW w:w="1170" w:type="dxa"/>
          </w:tcPr>
          <w:p w14:paraId="1B628644" w14:textId="77777777" w:rsidR="001759B9"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21,343-</w:t>
            </w:r>
          </w:p>
          <w:p w14:paraId="0C654E0C" w14:textId="1162EAEB"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22,843</w:t>
            </w:r>
          </w:p>
        </w:tc>
        <w:tc>
          <w:tcPr>
            <w:tcW w:w="1540" w:type="dxa"/>
          </w:tcPr>
          <w:p w14:paraId="256FDDC8"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24,854.95–26,354.95</w:t>
            </w:r>
          </w:p>
        </w:tc>
      </w:tr>
      <w:tr w:rsidR="00713BAE" w:rsidRPr="00713BAE" w14:paraId="1EB068FD" w14:textId="77777777" w:rsidTr="00E50E4E">
        <w:trPr>
          <w:trHeight w:val="467"/>
          <w:jc w:val="center"/>
        </w:trPr>
        <w:tc>
          <w:tcPr>
            <w:tcW w:w="2075" w:type="dxa"/>
          </w:tcPr>
          <w:p w14:paraId="24042986" w14:textId="01FEBEC0" w:rsidR="00713BAE" w:rsidRPr="00713BAE" w:rsidRDefault="00A10039" w:rsidP="00D01023">
            <w:pPr>
              <w:jc w:val="both"/>
              <w:rPr>
                <w:rFonts w:ascii="Times New Roman" w:eastAsia="SimSun" w:hAnsi="Times New Roman"/>
                <w:sz w:val="20"/>
                <w:szCs w:val="20"/>
              </w:rPr>
            </w:pPr>
            <w:proofErr w:type="spellStart"/>
            <w:r>
              <w:rPr>
                <w:rFonts w:ascii="Times New Roman" w:eastAsia="SimSun" w:hAnsi="Times New Roman"/>
                <w:sz w:val="20"/>
                <w:szCs w:val="20"/>
              </w:rPr>
              <w:t>Suranjit</w:t>
            </w:r>
            <w:proofErr w:type="spellEnd"/>
            <w:r>
              <w:rPr>
                <w:rFonts w:ascii="Times New Roman" w:eastAsia="SimSun" w:hAnsi="Times New Roman"/>
                <w:sz w:val="20"/>
                <w:szCs w:val="20"/>
              </w:rPr>
              <w:t xml:space="preserve"> </w:t>
            </w:r>
            <w:proofErr w:type="spellStart"/>
            <w:r>
              <w:rPr>
                <w:rFonts w:ascii="Times New Roman" w:eastAsia="SimSun" w:hAnsi="Times New Roman"/>
                <w:sz w:val="20"/>
                <w:szCs w:val="20"/>
              </w:rPr>
              <w:t>Sutradhar</w:t>
            </w:r>
            <w:proofErr w:type="spellEnd"/>
          </w:p>
        </w:tc>
        <w:tc>
          <w:tcPr>
            <w:tcW w:w="1440" w:type="dxa"/>
          </w:tcPr>
          <w:p w14:paraId="4EB9C834" w14:textId="77777777" w:rsidR="00713BAE" w:rsidRPr="00713BAE" w:rsidRDefault="00713BAE" w:rsidP="00D01023">
            <w:pPr>
              <w:jc w:val="both"/>
              <w:rPr>
                <w:rFonts w:ascii="Times New Roman" w:eastAsia="SimSun" w:hAnsi="Times New Roman"/>
                <w:sz w:val="20"/>
                <w:szCs w:val="20"/>
              </w:rPr>
            </w:pPr>
            <w:proofErr w:type="spellStart"/>
            <w:r w:rsidRPr="00713BAE">
              <w:rPr>
                <w:rFonts w:ascii="Times New Roman" w:eastAsia="SimSun" w:hAnsi="Times New Roman"/>
                <w:sz w:val="20"/>
                <w:szCs w:val="20"/>
              </w:rPr>
              <w:t>Netrakona</w:t>
            </w:r>
            <w:proofErr w:type="spellEnd"/>
            <w:r w:rsidRPr="00713BAE">
              <w:rPr>
                <w:rFonts w:ascii="Times New Roman" w:eastAsia="SimSun" w:hAnsi="Times New Roman"/>
                <w:sz w:val="20"/>
                <w:szCs w:val="20"/>
              </w:rPr>
              <w:t xml:space="preserve"> </w:t>
            </w:r>
          </w:p>
        </w:tc>
        <w:tc>
          <w:tcPr>
            <w:tcW w:w="900" w:type="dxa"/>
          </w:tcPr>
          <w:p w14:paraId="48425A84"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70-75</w:t>
            </w:r>
          </w:p>
        </w:tc>
        <w:tc>
          <w:tcPr>
            <w:tcW w:w="985" w:type="dxa"/>
          </w:tcPr>
          <w:p w14:paraId="34975BCF"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21,000-22,500</w:t>
            </w:r>
          </w:p>
        </w:tc>
        <w:tc>
          <w:tcPr>
            <w:tcW w:w="1170" w:type="dxa"/>
          </w:tcPr>
          <w:p w14:paraId="2DA9F695"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16,843-18,343</w:t>
            </w:r>
          </w:p>
        </w:tc>
        <w:tc>
          <w:tcPr>
            <w:tcW w:w="1540" w:type="dxa"/>
          </w:tcPr>
          <w:p w14:paraId="6C65788F"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24,854.95–26,354.95</w:t>
            </w:r>
          </w:p>
        </w:tc>
      </w:tr>
      <w:tr w:rsidR="00713BAE" w:rsidRPr="00713BAE" w14:paraId="7068C08E" w14:textId="77777777" w:rsidTr="00E50E4E">
        <w:trPr>
          <w:trHeight w:val="467"/>
          <w:jc w:val="center"/>
        </w:trPr>
        <w:tc>
          <w:tcPr>
            <w:tcW w:w="2075" w:type="dxa"/>
          </w:tcPr>
          <w:p w14:paraId="70B872CC" w14:textId="77777777" w:rsidR="00713BAE" w:rsidRPr="00713BAE" w:rsidRDefault="00713BAE" w:rsidP="00D01023">
            <w:pPr>
              <w:jc w:val="both"/>
              <w:rPr>
                <w:rFonts w:ascii="Times New Roman" w:eastAsia="SimSun" w:hAnsi="Times New Roman"/>
                <w:sz w:val="20"/>
                <w:szCs w:val="20"/>
              </w:rPr>
            </w:pPr>
            <w:proofErr w:type="spellStart"/>
            <w:r w:rsidRPr="00713BAE">
              <w:rPr>
                <w:rFonts w:ascii="Times New Roman" w:eastAsia="SimSun" w:hAnsi="Times New Roman"/>
                <w:sz w:val="20"/>
                <w:szCs w:val="20"/>
              </w:rPr>
              <w:t>Gias</w:t>
            </w:r>
            <w:proofErr w:type="spellEnd"/>
            <w:r w:rsidRPr="00713BAE">
              <w:rPr>
                <w:rFonts w:ascii="Times New Roman" w:eastAsia="SimSun" w:hAnsi="Times New Roman"/>
                <w:sz w:val="20"/>
                <w:szCs w:val="20"/>
              </w:rPr>
              <w:t xml:space="preserve"> Uddin</w:t>
            </w:r>
          </w:p>
          <w:p w14:paraId="6F18E17C" w14:textId="77777777" w:rsidR="00713BAE" w:rsidRPr="00713BAE" w:rsidRDefault="00713BAE" w:rsidP="00D01023">
            <w:pPr>
              <w:jc w:val="both"/>
              <w:rPr>
                <w:rFonts w:ascii="Times New Roman" w:eastAsia="SimSun" w:hAnsi="Times New Roman"/>
                <w:sz w:val="20"/>
                <w:szCs w:val="20"/>
              </w:rPr>
            </w:pPr>
          </w:p>
        </w:tc>
        <w:tc>
          <w:tcPr>
            <w:tcW w:w="1440" w:type="dxa"/>
          </w:tcPr>
          <w:p w14:paraId="288F491C" w14:textId="77777777" w:rsidR="00713BAE" w:rsidRPr="00713BAE" w:rsidRDefault="00713BAE" w:rsidP="00D01023">
            <w:pPr>
              <w:jc w:val="both"/>
              <w:rPr>
                <w:rFonts w:ascii="Times New Roman" w:eastAsia="SimSun" w:hAnsi="Times New Roman"/>
                <w:sz w:val="20"/>
                <w:szCs w:val="20"/>
              </w:rPr>
            </w:pPr>
            <w:proofErr w:type="spellStart"/>
            <w:r w:rsidRPr="00713BAE">
              <w:rPr>
                <w:rFonts w:ascii="Times New Roman" w:eastAsia="SimSun" w:hAnsi="Times New Roman"/>
                <w:sz w:val="20"/>
                <w:szCs w:val="20"/>
              </w:rPr>
              <w:t>Kotwali</w:t>
            </w:r>
            <w:proofErr w:type="spellEnd"/>
            <w:r w:rsidRPr="00713BAE">
              <w:rPr>
                <w:rFonts w:ascii="Times New Roman" w:eastAsia="SimSun" w:hAnsi="Times New Roman"/>
                <w:sz w:val="20"/>
                <w:szCs w:val="20"/>
              </w:rPr>
              <w:t xml:space="preserve">, </w:t>
            </w:r>
            <w:proofErr w:type="spellStart"/>
            <w:r w:rsidRPr="00713BAE">
              <w:rPr>
                <w:rFonts w:ascii="Times New Roman" w:eastAsia="SimSun" w:hAnsi="Times New Roman"/>
                <w:sz w:val="20"/>
                <w:szCs w:val="20"/>
              </w:rPr>
              <w:t>Mymensingha</w:t>
            </w:r>
            <w:proofErr w:type="spellEnd"/>
          </w:p>
        </w:tc>
        <w:tc>
          <w:tcPr>
            <w:tcW w:w="900" w:type="dxa"/>
          </w:tcPr>
          <w:p w14:paraId="1BF482C7"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100-150</w:t>
            </w:r>
          </w:p>
        </w:tc>
        <w:tc>
          <w:tcPr>
            <w:tcW w:w="985" w:type="dxa"/>
          </w:tcPr>
          <w:p w14:paraId="0E49CA56"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27,000–33,000</w:t>
            </w:r>
          </w:p>
        </w:tc>
        <w:tc>
          <w:tcPr>
            <w:tcW w:w="1170" w:type="dxa"/>
          </w:tcPr>
          <w:p w14:paraId="3FE40801"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22,843–28,843</w:t>
            </w:r>
          </w:p>
        </w:tc>
        <w:tc>
          <w:tcPr>
            <w:tcW w:w="1540" w:type="dxa"/>
          </w:tcPr>
          <w:p w14:paraId="2A13E223" w14:textId="77777777" w:rsidR="00713BAE" w:rsidRPr="00713BAE" w:rsidRDefault="00713BAE" w:rsidP="00D01023">
            <w:pPr>
              <w:jc w:val="both"/>
              <w:rPr>
                <w:rFonts w:ascii="Times New Roman" w:eastAsia="SimSun" w:hAnsi="Times New Roman"/>
                <w:sz w:val="20"/>
                <w:szCs w:val="20"/>
              </w:rPr>
            </w:pPr>
            <w:r w:rsidRPr="00713BAE">
              <w:rPr>
                <w:rFonts w:ascii="Times New Roman" w:eastAsia="SimSun" w:hAnsi="Times New Roman"/>
                <w:sz w:val="20"/>
                <w:szCs w:val="20"/>
              </w:rPr>
              <w:t>26,354.95–32,354.95</w:t>
            </w:r>
          </w:p>
        </w:tc>
      </w:tr>
    </w:tbl>
    <w:p w14:paraId="0BC752AB" w14:textId="4C5CF1DF" w:rsidR="00F526A2" w:rsidRDefault="00F526A2" w:rsidP="00BC41E3">
      <w:pPr>
        <w:pStyle w:val="Paragraph"/>
        <w:ind w:firstLine="0"/>
        <w:jc w:val="center"/>
      </w:pPr>
    </w:p>
    <w:p w14:paraId="5CB9ED82" w14:textId="403A7D13" w:rsidR="00E07A77" w:rsidRDefault="007A31BE" w:rsidP="00206BAB">
      <w:pPr>
        <w:pStyle w:val="Paragraph"/>
        <w:ind w:firstLine="432"/>
      </w:pPr>
      <w:r>
        <w:t>Table 4</w:t>
      </w:r>
      <w:r w:rsidR="00E07A77">
        <w:t xml:space="preserve"> presents a comparison of net monthly profits for riders using petrol and electric motorcycles across different regions. Economic benefits from using electric motorcycles are evident across various regions. In Dhaka city, where monthly incomes typically range from BDT 22,500 to 27,000, riders save about BDT 3,511.95 per month in operating costs. Similar savings are observed in semi-urban areas like </w:t>
      </w:r>
      <w:proofErr w:type="spellStart"/>
      <w:r w:rsidR="00E07A77">
        <w:t>Netrakona</w:t>
      </w:r>
      <w:proofErr w:type="spellEnd"/>
      <w:r w:rsidR="00E07A77">
        <w:t xml:space="preserve">, where incomes are lower (around BDT 21,000 to 22,500), making the savings represent a larger share of monthly earnings—up to 16%. In rural regions such as </w:t>
      </w:r>
      <w:proofErr w:type="spellStart"/>
      <w:r w:rsidR="00E07A77">
        <w:t>Kotwali</w:t>
      </w:r>
      <w:proofErr w:type="spellEnd"/>
      <w:r w:rsidR="00E07A77">
        <w:t xml:space="preserve"> </w:t>
      </w:r>
      <w:proofErr w:type="spellStart"/>
      <w:r w:rsidR="00E07A77">
        <w:t>Upazila</w:t>
      </w:r>
      <w:proofErr w:type="spellEnd"/>
      <w:r w:rsidR="00E07A77">
        <w:t xml:space="preserve">, </w:t>
      </w:r>
      <w:proofErr w:type="spellStart"/>
      <w:r w:rsidR="00E07A77">
        <w:t>Mymensingh</w:t>
      </w:r>
      <w:proofErr w:type="spellEnd"/>
      <w:r w:rsidR="00E07A77">
        <w:t>, where monthly incomes range between BDT 27,000 and 33,000, the same amount of savings still contributes significantly to the rider’s finances. These results demonstrate that electric motorcycles provide consistent and substantial cost savings across urban, semi-urban, and rural settings, improving financial stability for riders in different income groups.</w:t>
      </w:r>
    </w:p>
    <w:p w14:paraId="2B2068A8" w14:textId="77777777" w:rsidR="00E07A77" w:rsidRDefault="00E07A77" w:rsidP="001759B9">
      <w:pPr>
        <w:pStyle w:val="Paragraph"/>
        <w:ind w:firstLine="0"/>
      </w:pPr>
    </w:p>
    <w:p w14:paraId="37B8C5C3" w14:textId="5D0D1426" w:rsidR="006952D1" w:rsidRDefault="006952D1" w:rsidP="001759B9">
      <w:pPr>
        <w:pStyle w:val="Paragraph"/>
        <w:ind w:firstLine="0"/>
      </w:pPr>
      <w:r>
        <w:t>This study highlights the technical, economic, and environmental benefits of electric motorcycles in Bangladesh, while also acknowledging certain limitations. The analysis is based on short-term data and currently available models, which may not fully capture long-term trends or evolving user behavior. Additionally, user feedback was obtained from a limited sample size. Future research should incorporate broader datasets, extended fieldwork, and an evaluation of the role of renewable energy</w:t>
      </w:r>
      <w:r w:rsidR="00F878CF">
        <w:t>,</w:t>
      </w:r>
      <w:r w:rsidR="00F878CF" w:rsidRPr="00F878CF">
        <w:t xml:space="preserve"> the availability of charging stations</w:t>
      </w:r>
      <w:r>
        <w:t xml:space="preserve"> and enabling policies to more accurately assess the national potential for electric mobility.</w:t>
      </w:r>
    </w:p>
    <w:p w14:paraId="6A1DE541" w14:textId="0667EE5E" w:rsidR="00D01023" w:rsidRDefault="00D01023" w:rsidP="00D01023">
      <w:pPr>
        <w:pStyle w:val="Paragraph"/>
        <w:ind w:firstLine="0"/>
        <w:jc w:val="left"/>
      </w:pPr>
    </w:p>
    <w:p w14:paraId="2811C082" w14:textId="45441E69" w:rsidR="006952D1" w:rsidRDefault="006952D1" w:rsidP="006952D1">
      <w:pPr>
        <w:pStyle w:val="Paragraph"/>
        <w:ind w:left="720" w:firstLine="0"/>
        <w:jc w:val="center"/>
        <w:rPr>
          <w:b/>
          <w:iCs/>
          <w:sz w:val="24"/>
        </w:rPr>
      </w:pPr>
      <w:r>
        <w:rPr>
          <w:b/>
          <w:iCs/>
          <w:sz w:val="24"/>
        </w:rPr>
        <w:t xml:space="preserve">CONCLUSION </w:t>
      </w:r>
    </w:p>
    <w:p w14:paraId="614F826D" w14:textId="77777777" w:rsidR="008971E3" w:rsidRDefault="008971E3" w:rsidP="006952D1">
      <w:pPr>
        <w:pStyle w:val="Paragraph"/>
        <w:ind w:left="720" w:firstLine="0"/>
        <w:jc w:val="center"/>
        <w:rPr>
          <w:b/>
          <w:iCs/>
          <w:sz w:val="24"/>
        </w:rPr>
      </w:pPr>
    </w:p>
    <w:p w14:paraId="22C43ED1" w14:textId="5BB0CFEC" w:rsidR="00736524" w:rsidRDefault="006952D1" w:rsidP="00206BAB">
      <w:pPr>
        <w:ind w:firstLine="432"/>
        <w:jc w:val="both"/>
        <w:rPr>
          <w:sz w:val="20"/>
        </w:rPr>
      </w:pPr>
      <w:r w:rsidRPr="00402273">
        <w:rPr>
          <w:sz w:val="20"/>
        </w:rPr>
        <w:t>This study examines the technical, economic, environmental, and social impacts of electric motorcycles in both urban and rural contexts in Bangladesh. Efficiency and viability were evaluated by analyzing motor types and the interrelationships among battery capacity, power, speed, and overall performance.</w:t>
      </w:r>
      <w:r w:rsidR="00C307C4" w:rsidRPr="00C307C4">
        <w:t xml:space="preserve"> </w:t>
      </w:r>
      <w:r w:rsidR="00C307C4" w:rsidRPr="00C307C4">
        <w:rPr>
          <w:sz w:val="20"/>
        </w:rPr>
        <w:t xml:space="preserve">Findings derived from company data and user feedback indicate that electric motorcycles can reduce CO₂ emissions by approximately 68.2% and lower monthly operating costs by over 84%, resulting </w:t>
      </w:r>
      <w:r w:rsidR="00981074">
        <w:rPr>
          <w:sz w:val="20"/>
        </w:rPr>
        <w:t xml:space="preserve">in monthly savings of around BDT </w:t>
      </w:r>
      <w:r w:rsidR="00C307C4" w:rsidRPr="00C307C4">
        <w:rPr>
          <w:sz w:val="20"/>
        </w:rPr>
        <w:t xml:space="preserve">3,500 for typical riders. </w:t>
      </w:r>
      <w:r w:rsidR="00C307C4">
        <w:rPr>
          <w:sz w:val="20"/>
        </w:rPr>
        <w:t xml:space="preserve"> </w:t>
      </w:r>
      <w:r w:rsidRPr="00402273">
        <w:rPr>
          <w:sz w:val="20"/>
        </w:rPr>
        <w:t xml:space="preserve"> However, the study is limited to currently available models, short-term usage, and a relatively small user sample. Future research should incorporate longitudinal studies, a broader range of vehicle categories, and emerging developments in battery and motor technologies. The integration of renewable energy-based charging systems and supportive regulatory frameworks could further accelerate the nationwide shift toward cleaner,</w:t>
      </w:r>
      <w:r w:rsidR="00347EED">
        <w:rPr>
          <w:sz w:val="20"/>
        </w:rPr>
        <w:t xml:space="preserve"> more affordable transportation</w:t>
      </w:r>
      <w:r w:rsidR="008971E3">
        <w:rPr>
          <w:sz w:val="20"/>
        </w:rPr>
        <w:t xml:space="preserve">. </w:t>
      </w:r>
    </w:p>
    <w:p w14:paraId="543A5102" w14:textId="5C429E5B" w:rsidR="008971E3" w:rsidRDefault="008971E3" w:rsidP="00736524">
      <w:pPr>
        <w:ind w:firstLine="720"/>
        <w:jc w:val="both"/>
        <w:rPr>
          <w:sz w:val="20"/>
        </w:rPr>
      </w:pPr>
    </w:p>
    <w:p w14:paraId="62D706FA" w14:textId="4B8C0F38" w:rsidR="008971E3" w:rsidRDefault="008971E3" w:rsidP="008971E3">
      <w:pPr>
        <w:pStyle w:val="Paragraph"/>
        <w:ind w:left="720" w:firstLine="0"/>
        <w:jc w:val="center"/>
        <w:rPr>
          <w:b/>
          <w:iCs/>
          <w:sz w:val="24"/>
        </w:rPr>
      </w:pPr>
      <w:r w:rsidRPr="008971E3">
        <w:rPr>
          <w:b/>
          <w:iCs/>
          <w:sz w:val="24"/>
        </w:rPr>
        <w:t>ACKNOWLEDGMENTS</w:t>
      </w:r>
      <w:r>
        <w:rPr>
          <w:b/>
          <w:iCs/>
          <w:sz w:val="24"/>
        </w:rPr>
        <w:t xml:space="preserve"> </w:t>
      </w:r>
    </w:p>
    <w:p w14:paraId="5730A7AA" w14:textId="009D1A2D" w:rsidR="008E1F20" w:rsidRDefault="008E1F20" w:rsidP="008971E3">
      <w:pPr>
        <w:pStyle w:val="Paragraph"/>
        <w:ind w:left="720" w:firstLine="0"/>
        <w:jc w:val="center"/>
        <w:rPr>
          <w:b/>
          <w:iCs/>
          <w:sz w:val="24"/>
        </w:rPr>
      </w:pPr>
    </w:p>
    <w:p w14:paraId="2601D5AA" w14:textId="4B04469C" w:rsidR="008E1F20" w:rsidRDefault="00ED05F7" w:rsidP="00206BAB">
      <w:pPr>
        <w:pStyle w:val="Paragraph"/>
        <w:ind w:firstLine="432"/>
        <w:rPr>
          <w:b/>
          <w:iCs/>
          <w:sz w:val="24"/>
        </w:rPr>
      </w:pPr>
      <w:r>
        <w:t xml:space="preserve">The authors would like to express their sincere gratitude to the IUB Formula E Laboratory at Independent University, Bangladesh, for providing access to equipment and offering essential technical support for the electric motorcycle conversion project. We also extend our thanks to the motorcycle riders, dealers, and service centers for their active participation and cooperation during the field data collection process. Special appreciation is due to </w:t>
      </w:r>
      <w:proofErr w:type="spellStart"/>
      <w:r>
        <w:t>Akij</w:t>
      </w:r>
      <w:proofErr w:type="spellEnd"/>
      <w:r>
        <w:t xml:space="preserve"> Motors, Walton, and Green Tiger for supplying detailed product specifications and technical documentation. Finally, we are deeply grateful to Professor Dr. </w:t>
      </w:r>
      <w:proofErr w:type="spellStart"/>
      <w:r>
        <w:t>Khosru</w:t>
      </w:r>
      <w:proofErr w:type="spellEnd"/>
      <w:r>
        <w:t xml:space="preserve"> Mohammad Salim for his continuous guidance, encouragement, and support. This research would not have been possible without his invaluable contribution.</w:t>
      </w:r>
      <w:r w:rsidR="00E81410">
        <w:t xml:space="preserve"> </w:t>
      </w:r>
    </w:p>
    <w:p w14:paraId="5CD18452" w14:textId="2831D33D" w:rsidR="008971E3" w:rsidRDefault="008971E3" w:rsidP="00991500">
      <w:pPr>
        <w:jc w:val="both"/>
        <w:rPr>
          <w:sz w:val="20"/>
        </w:rPr>
      </w:pPr>
    </w:p>
    <w:p w14:paraId="3DEBC5BD" w14:textId="418BE51D" w:rsidR="002B260A" w:rsidRPr="002E5878" w:rsidRDefault="00544051" w:rsidP="002E5878">
      <w:pPr>
        <w:pStyle w:val="Heading1"/>
        <w:rPr>
          <w:rFonts w:asciiTheme="majorBidi" w:hAnsiTheme="majorBidi" w:cstheme="majorBidi"/>
        </w:rPr>
      </w:pPr>
      <w:r>
        <w:rPr>
          <w:rFonts w:asciiTheme="majorBidi" w:hAnsiTheme="majorBidi" w:cstheme="majorBidi"/>
        </w:rPr>
        <w:lastRenderedPageBreak/>
        <w:t xml:space="preserve">        </w:t>
      </w:r>
      <w:r w:rsidR="0016385D" w:rsidRPr="00075EA6">
        <w:rPr>
          <w:rFonts w:asciiTheme="majorBidi" w:hAnsiTheme="majorBidi" w:cstheme="majorBidi"/>
        </w:rPr>
        <w:t>References</w:t>
      </w:r>
    </w:p>
    <w:p w14:paraId="1ADF002D" w14:textId="77777777" w:rsidR="006952D1" w:rsidRDefault="006952D1" w:rsidP="00277EFA">
      <w:pPr>
        <w:pStyle w:val="Reference"/>
        <w:numPr>
          <w:ilvl w:val="0"/>
          <w:numId w:val="0"/>
        </w:numPr>
      </w:pPr>
    </w:p>
    <w:p w14:paraId="24F403DF" w14:textId="05DFB255" w:rsidR="008B639C" w:rsidRDefault="002B260A" w:rsidP="008449BC">
      <w:pPr>
        <w:pStyle w:val="Reference"/>
      </w:pPr>
      <w:r>
        <w:t>International Energy Agency, Global EV Outlook 2025: Catching up with climate ambitions (IEA, Paris, 2025). [Online]. Available</w:t>
      </w:r>
      <w:r w:rsidRPr="008B639C">
        <w:t xml:space="preserve">: </w:t>
      </w:r>
      <w:hyperlink r:id="rId21" w:history="1">
        <w:r w:rsidR="008B639C" w:rsidRPr="002E5878">
          <w:rPr>
            <w:rStyle w:val="Hyperlink"/>
            <w:color w:val="auto"/>
            <w:u w:val="none"/>
          </w:rPr>
          <w:t>https://www.iea.org/reports/global-ev-outlook-2025</w:t>
        </w:r>
      </w:hyperlink>
    </w:p>
    <w:p w14:paraId="308755DD" w14:textId="46752053" w:rsidR="002B260A" w:rsidRDefault="008B639C" w:rsidP="008449BC">
      <w:pPr>
        <w:pStyle w:val="Reference"/>
      </w:pPr>
      <w:r>
        <w:t xml:space="preserve"> L. </w:t>
      </w:r>
      <w:proofErr w:type="spellStart"/>
      <w:r>
        <w:t>Brar</w:t>
      </w:r>
      <w:proofErr w:type="spellEnd"/>
      <w:r>
        <w:t xml:space="preserve">, B. Burgoyne, L. Eriksson, R. </w:t>
      </w:r>
      <w:proofErr w:type="spellStart"/>
      <w:r>
        <w:t>Likhari</w:t>
      </w:r>
      <w:proofErr w:type="spellEnd"/>
      <w:r>
        <w:t xml:space="preserve">, T. </w:t>
      </w:r>
      <w:proofErr w:type="spellStart"/>
      <w:r>
        <w:t>Skoufa</w:t>
      </w:r>
      <w:proofErr w:type="spellEnd"/>
      <w:r>
        <w:t xml:space="preserve">, and L. Williams, </w:t>
      </w:r>
      <w:r>
        <w:rPr>
          <w:rStyle w:val="Emphasis"/>
        </w:rPr>
        <w:t>The India Electric Vehicle Opportunity: Market Entry Toolkit</w:t>
      </w:r>
      <w:r>
        <w:t xml:space="preserve">, Connected Places Catapult, UK, Mar. 2021. [Online]. Available: </w:t>
      </w:r>
      <w:hyperlink r:id="rId22" w:tgtFrame="_new" w:history="1">
        <w:r w:rsidRPr="002E5878">
          <w:rPr>
            <w:rStyle w:val="Hyperlink"/>
            <w:color w:val="auto"/>
            <w:u w:val="none"/>
          </w:rPr>
          <w:t>https://cp.catapult.org.uk</w:t>
        </w:r>
      </w:hyperlink>
    </w:p>
    <w:p w14:paraId="39055B6C" w14:textId="272169CD" w:rsidR="002B260A" w:rsidRDefault="002B260A" w:rsidP="008449BC">
      <w:pPr>
        <w:pStyle w:val="Reference"/>
      </w:pPr>
      <w:r>
        <w:t>M. A. H. M. and T. S. S. Ahmed, “Environmental impact of electric vehicle and hybrid electric vehicle,” Energy Rep. 7, 1904–1916 (2021).</w:t>
      </w:r>
    </w:p>
    <w:p w14:paraId="632FD8BE" w14:textId="476BE8E1" w:rsidR="002B260A" w:rsidRDefault="002B260A" w:rsidP="008449BC">
      <w:pPr>
        <w:pStyle w:val="Reference"/>
      </w:pPr>
      <w:r>
        <w:t xml:space="preserve">O. </w:t>
      </w:r>
      <w:proofErr w:type="spellStart"/>
      <w:r>
        <w:t>Egbue</w:t>
      </w:r>
      <w:proofErr w:type="spellEnd"/>
      <w:r>
        <w:t xml:space="preserve"> and S. M. Long, “Barriers to widespread adoption of electric vehicles: An analysis of consumer attitudes and perceptions,” Energy Policy 48, 717–729 (2012).</w:t>
      </w:r>
    </w:p>
    <w:p w14:paraId="7B225B61" w14:textId="333B194F" w:rsidR="002B260A" w:rsidRDefault="002B260A" w:rsidP="008449BC">
      <w:pPr>
        <w:pStyle w:val="Reference"/>
      </w:pPr>
      <w:proofErr w:type="spellStart"/>
      <w:r>
        <w:t>BloombergNEF</w:t>
      </w:r>
      <w:proofErr w:type="spellEnd"/>
      <w:r>
        <w:t>, Electric Vehicle Outlook 2023 (Bloomberg New Energy Finance, 2023).</w:t>
      </w:r>
    </w:p>
    <w:p w14:paraId="78A30F8E" w14:textId="1559657D" w:rsidR="002B260A" w:rsidRDefault="002B260A" w:rsidP="008449BC">
      <w:pPr>
        <w:pStyle w:val="Reference"/>
      </w:pPr>
      <w:r>
        <w:t xml:space="preserve">A. K. </w:t>
      </w:r>
      <w:proofErr w:type="spellStart"/>
      <w:r>
        <w:t>Karmaker</w:t>
      </w:r>
      <w:proofErr w:type="spellEnd"/>
      <w:r>
        <w:t xml:space="preserve"> and Md. Raju Ahmed, “Challenges for Electric Vehicle Adoption in Bangladesh,” in Proc. 2019 Int. Conf. on Electrical, Computer and Communication Engineering (ECCE), (2019).</w:t>
      </w:r>
    </w:p>
    <w:p w14:paraId="58B5A3F5" w14:textId="61C1F2C3" w:rsidR="002B260A" w:rsidRDefault="002B260A" w:rsidP="0045335F">
      <w:pPr>
        <w:pStyle w:val="Reference"/>
      </w:pPr>
      <w:r>
        <w:t xml:space="preserve">B. </w:t>
      </w:r>
      <w:proofErr w:type="spellStart"/>
      <w:r>
        <w:t>Mahobiya</w:t>
      </w:r>
      <w:proofErr w:type="spellEnd"/>
      <w:r>
        <w:t>, S. Patnaik, J. Singh, and A. Kumar, “Converting Conventional Bike into E-Bike: Design &amp; Fabrication ‘A Concept,’” (2022). [Online]. Available: www.mapscipub.com</w:t>
      </w:r>
    </w:p>
    <w:p w14:paraId="33C7A38C" w14:textId="2DB85DAD" w:rsidR="002B260A" w:rsidRDefault="002B260A" w:rsidP="008449BC">
      <w:pPr>
        <w:pStyle w:val="Reference"/>
      </w:pPr>
      <w:r>
        <w:t xml:space="preserve">R. Abu </w:t>
      </w:r>
      <w:proofErr w:type="spellStart"/>
      <w:r>
        <w:t>Hanifah</w:t>
      </w:r>
      <w:proofErr w:type="spellEnd"/>
      <w:r>
        <w:t xml:space="preserve">, S. F. </w:t>
      </w:r>
      <w:proofErr w:type="spellStart"/>
      <w:r>
        <w:t>Toha</w:t>
      </w:r>
      <w:proofErr w:type="spellEnd"/>
      <w:r>
        <w:t xml:space="preserve">, N. H. H. Mohamad </w:t>
      </w:r>
      <w:proofErr w:type="spellStart"/>
      <w:r>
        <w:t>Hanif</w:t>
      </w:r>
      <w:proofErr w:type="spellEnd"/>
      <w:r>
        <w:t xml:space="preserve">, and N. A. </w:t>
      </w:r>
      <w:proofErr w:type="spellStart"/>
      <w:r>
        <w:t>Kamisan</w:t>
      </w:r>
      <w:proofErr w:type="spellEnd"/>
      <w:r>
        <w:t xml:space="preserve">, “Electric Motorcycle Modeling for Speed Tracking and Range Travelled Estimation,” IEEE Access 7, 26821–26829 (2019), </w:t>
      </w:r>
      <w:proofErr w:type="spellStart"/>
      <w:r>
        <w:t>doi</w:t>
      </w:r>
      <w:proofErr w:type="spellEnd"/>
      <w:r>
        <w:t>: 10.1109/ACCESS.2019.2900443.</w:t>
      </w:r>
    </w:p>
    <w:p w14:paraId="23D485A4" w14:textId="3B92F9C7" w:rsidR="002B260A" w:rsidRDefault="002B260A" w:rsidP="008449BC">
      <w:pPr>
        <w:pStyle w:val="Reference"/>
      </w:pPr>
      <w:r>
        <w:t xml:space="preserve">M. Fitch and A. Dillon, “Electric Assisted Bikes (E-bikes) Show Promise in Getting People out of Cars,” Institute of Transportation Studies, University of California, Davis, </w:t>
      </w:r>
      <w:proofErr w:type="spellStart"/>
      <w:r>
        <w:t>doi</w:t>
      </w:r>
      <w:proofErr w:type="spellEnd"/>
      <w:r>
        <w:t>: 10.7922/G2C53J1N.</w:t>
      </w:r>
    </w:p>
    <w:p w14:paraId="46A39B0E" w14:textId="4CAD7452" w:rsidR="002B260A" w:rsidRDefault="002B260A" w:rsidP="008449BC">
      <w:pPr>
        <w:pStyle w:val="Reference"/>
      </w:pPr>
      <w:r>
        <w:t xml:space="preserve">A. </w:t>
      </w:r>
      <w:proofErr w:type="spellStart"/>
      <w:r>
        <w:t>Łebkowski</w:t>
      </w:r>
      <w:proofErr w:type="spellEnd"/>
      <w:r>
        <w:t>, “Electric Motorcycle Powertrain Analysis,” in Proc. 2016 10th Int. Conf. on Compatibility, Power Electronics and Power Engineering (CPE-POWERENG), 497 (2016).</w:t>
      </w:r>
    </w:p>
    <w:p w14:paraId="0C7C5220" w14:textId="6B242AE0" w:rsidR="002B260A" w:rsidRDefault="002B260A" w:rsidP="008449BC">
      <w:pPr>
        <w:pStyle w:val="Reference"/>
      </w:pPr>
      <w:r>
        <w:t xml:space="preserve">P. Starkey et al., “Motorcycle three-wheelers in Pakistan: Low-cost rural transport services, crucial for women’s mobility,” Transp. Res. </w:t>
      </w:r>
      <w:proofErr w:type="spellStart"/>
      <w:r>
        <w:t>Interdiscip</w:t>
      </w:r>
      <w:proofErr w:type="spellEnd"/>
      <w:r>
        <w:t xml:space="preserve">. </w:t>
      </w:r>
      <w:proofErr w:type="spellStart"/>
      <w:r>
        <w:t>Perspect</w:t>
      </w:r>
      <w:proofErr w:type="spellEnd"/>
      <w:r>
        <w:t>. (2021).</w:t>
      </w:r>
    </w:p>
    <w:p w14:paraId="50043E3E" w14:textId="62A8A137" w:rsidR="002B260A" w:rsidRDefault="002B260A" w:rsidP="008449BC">
      <w:pPr>
        <w:pStyle w:val="Reference"/>
      </w:pPr>
      <w:r>
        <w:t xml:space="preserve">M. M. Hossain and Md. S. Hossain, “A Silent Revolution in Rural Transportation System: A Study on Measuring the Popularity and Sustainability of ‘Easy Bike’ in Bangladesh,” Int. J. Bus. </w:t>
      </w:r>
      <w:proofErr w:type="spellStart"/>
      <w:r>
        <w:t>Manag</w:t>
      </w:r>
      <w:proofErr w:type="spellEnd"/>
      <w:r>
        <w:t>. 6, 29–42 (2019).</w:t>
      </w:r>
    </w:p>
    <w:p w14:paraId="739857F2" w14:textId="3DD5F10D" w:rsidR="002B260A" w:rsidRDefault="002B260A" w:rsidP="008449BC">
      <w:pPr>
        <w:pStyle w:val="Reference"/>
      </w:pPr>
      <w:r>
        <w:t xml:space="preserve">Md. Al-Amin, “High penetration of electric </w:t>
      </w:r>
      <w:proofErr w:type="spellStart"/>
      <w:r>
        <w:t>autorickshaw</w:t>
      </w:r>
      <w:proofErr w:type="spellEnd"/>
      <w:r>
        <w:t xml:space="preserve"> on national power system and barriers against the adoption of solar energy: A case study in Bangladesh,” Clean Eng. Technol. (2023).</w:t>
      </w:r>
    </w:p>
    <w:p w14:paraId="6C9C199C" w14:textId="20BACC99" w:rsidR="002B260A" w:rsidRDefault="002B260A" w:rsidP="008449BC">
      <w:pPr>
        <w:pStyle w:val="Reference"/>
      </w:pPr>
      <w:r>
        <w:t xml:space="preserve">A. K. </w:t>
      </w:r>
      <w:proofErr w:type="spellStart"/>
      <w:r>
        <w:t>Podder</w:t>
      </w:r>
      <w:proofErr w:type="spellEnd"/>
      <w:r>
        <w:t xml:space="preserve"> et al., “Feasibility Assessment of Hybrid Solar Photovoltaic-Biogas Generator Based Charging Station: A Case of Easy Bike and Auto Rickshaw Scenario in a Developing Nation,” Sustainability (2021).</w:t>
      </w:r>
    </w:p>
    <w:p w14:paraId="08AA0FB6" w14:textId="4449366F" w:rsidR="002B260A" w:rsidRDefault="002B260A" w:rsidP="008449BC">
      <w:pPr>
        <w:pStyle w:val="Reference"/>
      </w:pPr>
      <w:proofErr w:type="spellStart"/>
      <w:r>
        <w:t>Akij</w:t>
      </w:r>
      <w:proofErr w:type="spellEnd"/>
      <w:r>
        <w:t xml:space="preserve"> Motors, “</w:t>
      </w:r>
      <w:proofErr w:type="spellStart"/>
      <w:r>
        <w:t>Akij</w:t>
      </w:r>
      <w:proofErr w:type="spellEnd"/>
      <w:r>
        <w:t xml:space="preserve"> Electric Motorcycles.” Accessed: Jul. 05, 2025. [Online]. Available: https://akijmotors.com/en</w:t>
      </w:r>
    </w:p>
    <w:p w14:paraId="72B67AB5" w14:textId="51272B8B" w:rsidR="002B260A" w:rsidRDefault="002B260A" w:rsidP="008449BC">
      <w:pPr>
        <w:pStyle w:val="Reference"/>
      </w:pPr>
      <w:r>
        <w:t>Walton, “Product Page: Walton TAKYON 1.20 Electric Motorcycle.” Accessed: Jul. 05, 2025. [Online]. Available: https://waltonbd.com/takyon-1.20</w:t>
      </w:r>
    </w:p>
    <w:p w14:paraId="3BB3E164" w14:textId="3F77E0B9" w:rsidR="002B260A" w:rsidRDefault="002B260A" w:rsidP="008449BC">
      <w:pPr>
        <w:pStyle w:val="Reference"/>
      </w:pPr>
      <w:r>
        <w:t>Green Tiger, “GT-Sprint PRO.” Accessed: Jul. 05, 2025. [Online]. Available: https://greentiger.com.bd/shop/product/gt-sprint-pro-2735#attr=2669</w:t>
      </w:r>
    </w:p>
    <w:p w14:paraId="215E1507" w14:textId="1F3E7AF9" w:rsidR="002B260A" w:rsidRDefault="002B260A" w:rsidP="008449BC">
      <w:pPr>
        <w:pStyle w:val="Reference"/>
      </w:pPr>
      <w:r>
        <w:t>Bangladesh Road Transport Authority (BRTA), Annual Report of Bangladesh Road Transport Authority (BRTA) 2022–23 (Sep. 2023).</w:t>
      </w:r>
    </w:p>
    <w:p w14:paraId="315983C9" w14:textId="77777777" w:rsidR="002B260A" w:rsidRDefault="002B260A" w:rsidP="00277EFA">
      <w:pPr>
        <w:pStyle w:val="Reference"/>
      </w:pPr>
      <w:r>
        <w:t>International Energy Agency, Emissions Factors 2023 (IEA, Paris, 2023).</w:t>
      </w:r>
    </w:p>
    <w:p w14:paraId="1D1B9234" w14:textId="5B402C55" w:rsidR="002B5648" w:rsidRPr="006E4474" w:rsidRDefault="002B5648" w:rsidP="00277EFA">
      <w:pPr>
        <w:pStyle w:val="Reference"/>
        <w:numPr>
          <w:ilvl w:val="0"/>
          <w:numId w:val="0"/>
        </w:numPr>
        <w:ind w:left="426"/>
      </w:pPr>
    </w:p>
    <w:sectPr w:rsidR="002B5648" w:rsidRPr="006E447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embedItalic r:id="rId1" w:subsetted="1" w:fontKey="{18ABE6DE-B96C-47D7-83DA-FBCCF967686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0E8E"/>
    <w:multiLevelType w:val="hybridMultilevel"/>
    <w:tmpl w:val="1384F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46114"/>
    <w:multiLevelType w:val="hybridMultilevel"/>
    <w:tmpl w:val="09D0F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4156E3F"/>
    <w:multiLevelType w:val="hybridMultilevel"/>
    <w:tmpl w:val="62EA2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49B08C6"/>
    <w:multiLevelType w:val="hybridMultilevel"/>
    <w:tmpl w:val="6652EB82"/>
    <w:lvl w:ilvl="0" w:tplc="04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26F52FCC"/>
    <w:multiLevelType w:val="hybridMultilevel"/>
    <w:tmpl w:val="D3085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5B08B4"/>
    <w:multiLevelType w:val="hybridMultilevel"/>
    <w:tmpl w:val="CC325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16063BF"/>
    <w:multiLevelType w:val="hybridMultilevel"/>
    <w:tmpl w:val="9FFE7D7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D64587"/>
    <w:multiLevelType w:val="hybridMultilevel"/>
    <w:tmpl w:val="E3DC0060"/>
    <w:lvl w:ilvl="0" w:tplc="60DC539C">
      <w:start w:val="1"/>
      <w:numFmt w:val="lowerLetter"/>
      <w:lvlText w:val="(%1)"/>
      <w:lvlJc w:val="left"/>
      <w:pPr>
        <w:ind w:left="2220"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4" w15:restartNumberingAfterBreak="0">
    <w:nsid w:val="4B0C4AB9"/>
    <w:multiLevelType w:val="hybridMultilevel"/>
    <w:tmpl w:val="B9C69568"/>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D9D33B3"/>
    <w:multiLevelType w:val="hybridMultilevel"/>
    <w:tmpl w:val="53BEFB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EB12F21"/>
    <w:multiLevelType w:val="hybridMultilevel"/>
    <w:tmpl w:val="61D4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2E291B"/>
    <w:multiLevelType w:val="multilevel"/>
    <w:tmpl w:val="415A7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B81FD8"/>
    <w:multiLevelType w:val="hybridMultilevel"/>
    <w:tmpl w:val="54023E7C"/>
    <w:lvl w:ilvl="0" w:tplc="D62C1274">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0" w15:restartNumberingAfterBreak="0">
    <w:nsid w:val="76AF73FA"/>
    <w:multiLevelType w:val="hybridMultilevel"/>
    <w:tmpl w:val="1D3040AA"/>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9"/>
  </w:num>
  <w:num w:numId="2">
    <w:abstractNumId w:val="12"/>
  </w:num>
  <w:num w:numId="3">
    <w:abstractNumId w:val="11"/>
  </w:num>
  <w:num w:numId="4">
    <w:abstractNumId w:val="19"/>
    <w:lvlOverride w:ilvl="0">
      <w:startOverride w:val="1"/>
    </w:lvlOverride>
  </w:num>
  <w:num w:numId="5">
    <w:abstractNumId w:val="19"/>
    <w:lvlOverride w:ilvl="0">
      <w:startOverride w:val="1"/>
    </w:lvlOverride>
  </w:num>
  <w:num w:numId="6">
    <w:abstractNumId w:val="19"/>
  </w:num>
  <w:num w:numId="7">
    <w:abstractNumId w:val="3"/>
  </w:num>
  <w:num w:numId="8">
    <w:abstractNumId w:val="1"/>
  </w:num>
  <w:num w:numId="9">
    <w:abstractNumId w:val="6"/>
  </w:num>
  <w:num w:numId="10">
    <w:abstractNumId w:val="16"/>
  </w:num>
  <w:num w:numId="11">
    <w:abstractNumId w:val="17"/>
  </w:num>
  <w:num w:numId="12">
    <w:abstractNumId w:val="2"/>
  </w:num>
  <w:num w:numId="13">
    <w:abstractNumId w:val="13"/>
  </w:num>
  <w:num w:numId="14">
    <w:abstractNumId w:val="7"/>
  </w:num>
  <w:num w:numId="15">
    <w:abstractNumId w:val="8"/>
  </w:num>
  <w:num w:numId="16">
    <w:abstractNumId w:val="18"/>
  </w:num>
  <w:num w:numId="17">
    <w:abstractNumId w:val="14"/>
  </w:num>
  <w:num w:numId="18">
    <w:abstractNumId w:val="10"/>
  </w:num>
  <w:num w:numId="19">
    <w:abstractNumId w:val="20"/>
  </w:num>
  <w:num w:numId="20">
    <w:abstractNumId w:val="5"/>
  </w:num>
  <w:num w:numId="21">
    <w:abstractNumId w:val="0"/>
  </w:num>
  <w:num w:numId="2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TrueTypeFonts/>
  <w:saveSubset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432"/>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073D"/>
    <w:rsid w:val="00003D7C"/>
    <w:rsid w:val="00014140"/>
    <w:rsid w:val="0001536B"/>
    <w:rsid w:val="00020414"/>
    <w:rsid w:val="00021B6E"/>
    <w:rsid w:val="00025BCF"/>
    <w:rsid w:val="00027428"/>
    <w:rsid w:val="00031EC9"/>
    <w:rsid w:val="0003573E"/>
    <w:rsid w:val="00040781"/>
    <w:rsid w:val="000451DF"/>
    <w:rsid w:val="00057F61"/>
    <w:rsid w:val="00060FEE"/>
    <w:rsid w:val="00061DFE"/>
    <w:rsid w:val="00066FED"/>
    <w:rsid w:val="00075EA6"/>
    <w:rsid w:val="0007709F"/>
    <w:rsid w:val="00086F62"/>
    <w:rsid w:val="00090674"/>
    <w:rsid w:val="0009320B"/>
    <w:rsid w:val="00096AE0"/>
    <w:rsid w:val="000A5D4F"/>
    <w:rsid w:val="000B1B74"/>
    <w:rsid w:val="000B3A2D"/>
    <w:rsid w:val="000B49C0"/>
    <w:rsid w:val="000B6CB7"/>
    <w:rsid w:val="000D22C2"/>
    <w:rsid w:val="000D3C14"/>
    <w:rsid w:val="000D54A5"/>
    <w:rsid w:val="000D7543"/>
    <w:rsid w:val="000D7B7D"/>
    <w:rsid w:val="000E382F"/>
    <w:rsid w:val="000E75CD"/>
    <w:rsid w:val="001036BA"/>
    <w:rsid w:val="001146DC"/>
    <w:rsid w:val="00114AB1"/>
    <w:rsid w:val="001230FF"/>
    <w:rsid w:val="001302C5"/>
    <w:rsid w:val="00130BD7"/>
    <w:rsid w:val="00135E3A"/>
    <w:rsid w:val="001542CD"/>
    <w:rsid w:val="00155B67"/>
    <w:rsid w:val="001562AF"/>
    <w:rsid w:val="00161A5B"/>
    <w:rsid w:val="0016385D"/>
    <w:rsid w:val="00164507"/>
    <w:rsid w:val="00166C76"/>
    <w:rsid w:val="0016782F"/>
    <w:rsid w:val="00173EBF"/>
    <w:rsid w:val="001759B9"/>
    <w:rsid w:val="00184261"/>
    <w:rsid w:val="00191C79"/>
    <w:rsid w:val="001937E9"/>
    <w:rsid w:val="001955EE"/>
    <w:rsid w:val="001964E5"/>
    <w:rsid w:val="001B263B"/>
    <w:rsid w:val="001B476A"/>
    <w:rsid w:val="001C1D9C"/>
    <w:rsid w:val="001C764F"/>
    <w:rsid w:val="001C7BB3"/>
    <w:rsid w:val="001D469C"/>
    <w:rsid w:val="001E4434"/>
    <w:rsid w:val="001F3DAE"/>
    <w:rsid w:val="001F4CB9"/>
    <w:rsid w:val="001F7130"/>
    <w:rsid w:val="001F76EA"/>
    <w:rsid w:val="0020286C"/>
    <w:rsid w:val="002033EE"/>
    <w:rsid w:val="00206BAB"/>
    <w:rsid w:val="0021619E"/>
    <w:rsid w:val="00216477"/>
    <w:rsid w:val="00217423"/>
    <w:rsid w:val="0023171B"/>
    <w:rsid w:val="00236BFC"/>
    <w:rsid w:val="00237437"/>
    <w:rsid w:val="002502FD"/>
    <w:rsid w:val="00274622"/>
    <w:rsid w:val="00277EFA"/>
    <w:rsid w:val="00285D24"/>
    <w:rsid w:val="00285E9A"/>
    <w:rsid w:val="00286E10"/>
    <w:rsid w:val="00290390"/>
    <w:rsid w:val="002915D3"/>
    <w:rsid w:val="002924DB"/>
    <w:rsid w:val="002941DA"/>
    <w:rsid w:val="002A7048"/>
    <w:rsid w:val="002B260A"/>
    <w:rsid w:val="002B5648"/>
    <w:rsid w:val="002B5F93"/>
    <w:rsid w:val="002B61DC"/>
    <w:rsid w:val="002B6BA8"/>
    <w:rsid w:val="002D1BB4"/>
    <w:rsid w:val="002E3C35"/>
    <w:rsid w:val="002E5878"/>
    <w:rsid w:val="002F144A"/>
    <w:rsid w:val="002F5298"/>
    <w:rsid w:val="00307ED9"/>
    <w:rsid w:val="00311226"/>
    <w:rsid w:val="003140C1"/>
    <w:rsid w:val="00320ECF"/>
    <w:rsid w:val="00326AE0"/>
    <w:rsid w:val="00337E4F"/>
    <w:rsid w:val="00340C36"/>
    <w:rsid w:val="003439C2"/>
    <w:rsid w:val="00346A9D"/>
    <w:rsid w:val="00347EED"/>
    <w:rsid w:val="00357F1B"/>
    <w:rsid w:val="00364B36"/>
    <w:rsid w:val="00370AC0"/>
    <w:rsid w:val="00374AA7"/>
    <w:rsid w:val="00380EBE"/>
    <w:rsid w:val="00384060"/>
    <w:rsid w:val="003856D2"/>
    <w:rsid w:val="003867C8"/>
    <w:rsid w:val="0039376F"/>
    <w:rsid w:val="003973D7"/>
    <w:rsid w:val="003A287B"/>
    <w:rsid w:val="003A5C85"/>
    <w:rsid w:val="003A61B1"/>
    <w:rsid w:val="003B0050"/>
    <w:rsid w:val="003B0E54"/>
    <w:rsid w:val="003B34C6"/>
    <w:rsid w:val="003C0BB4"/>
    <w:rsid w:val="003D6312"/>
    <w:rsid w:val="003E22A7"/>
    <w:rsid w:val="003E6035"/>
    <w:rsid w:val="003E7A63"/>
    <w:rsid w:val="003E7C74"/>
    <w:rsid w:val="003F31C6"/>
    <w:rsid w:val="0040225B"/>
    <w:rsid w:val="00402273"/>
    <w:rsid w:val="00402DA2"/>
    <w:rsid w:val="00415B4E"/>
    <w:rsid w:val="004218F5"/>
    <w:rsid w:val="00425AC2"/>
    <w:rsid w:val="00426E7C"/>
    <w:rsid w:val="004363F7"/>
    <w:rsid w:val="0044771F"/>
    <w:rsid w:val="00451B47"/>
    <w:rsid w:val="0045335F"/>
    <w:rsid w:val="0047005B"/>
    <w:rsid w:val="00477852"/>
    <w:rsid w:val="00481258"/>
    <w:rsid w:val="004929A9"/>
    <w:rsid w:val="004B151D"/>
    <w:rsid w:val="004C1C50"/>
    <w:rsid w:val="004C5507"/>
    <w:rsid w:val="004C7243"/>
    <w:rsid w:val="004D0181"/>
    <w:rsid w:val="004E21DE"/>
    <w:rsid w:val="004E3C57"/>
    <w:rsid w:val="004E3CB2"/>
    <w:rsid w:val="0050185A"/>
    <w:rsid w:val="00525813"/>
    <w:rsid w:val="00527F39"/>
    <w:rsid w:val="0053513F"/>
    <w:rsid w:val="00544051"/>
    <w:rsid w:val="005507E7"/>
    <w:rsid w:val="00560C25"/>
    <w:rsid w:val="00566B28"/>
    <w:rsid w:val="005701E8"/>
    <w:rsid w:val="00574405"/>
    <w:rsid w:val="00575C96"/>
    <w:rsid w:val="005836E7"/>
    <w:rsid w:val="005854B0"/>
    <w:rsid w:val="005A0E21"/>
    <w:rsid w:val="005A10E4"/>
    <w:rsid w:val="005A3A7A"/>
    <w:rsid w:val="005B3A34"/>
    <w:rsid w:val="005C2040"/>
    <w:rsid w:val="005C2AB5"/>
    <w:rsid w:val="005C2EE4"/>
    <w:rsid w:val="005C5E26"/>
    <w:rsid w:val="005D49AF"/>
    <w:rsid w:val="005D7DFA"/>
    <w:rsid w:val="005E415C"/>
    <w:rsid w:val="005E4660"/>
    <w:rsid w:val="005E71ED"/>
    <w:rsid w:val="005E7946"/>
    <w:rsid w:val="005F7475"/>
    <w:rsid w:val="0060116B"/>
    <w:rsid w:val="0060728D"/>
    <w:rsid w:val="00611299"/>
    <w:rsid w:val="00612944"/>
    <w:rsid w:val="00613B4D"/>
    <w:rsid w:val="00616365"/>
    <w:rsid w:val="00616F3B"/>
    <w:rsid w:val="006218EA"/>
    <w:rsid w:val="00623DCB"/>
    <w:rsid w:val="006249A7"/>
    <w:rsid w:val="00635833"/>
    <w:rsid w:val="0064225B"/>
    <w:rsid w:val="00644D87"/>
    <w:rsid w:val="006519EF"/>
    <w:rsid w:val="00666EC7"/>
    <w:rsid w:val="006678F3"/>
    <w:rsid w:val="00672531"/>
    <w:rsid w:val="006763F9"/>
    <w:rsid w:val="00677762"/>
    <w:rsid w:val="006949BC"/>
    <w:rsid w:val="006952D1"/>
    <w:rsid w:val="006B20C8"/>
    <w:rsid w:val="006D1229"/>
    <w:rsid w:val="006D372F"/>
    <w:rsid w:val="006D4460"/>
    <w:rsid w:val="006D7A18"/>
    <w:rsid w:val="006E4474"/>
    <w:rsid w:val="006E6186"/>
    <w:rsid w:val="00701388"/>
    <w:rsid w:val="007017E7"/>
    <w:rsid w:val="00712F50"/>
    <w:rsid w:val="00713BAE"/>
    <w:rsid w:val="007141AB"/>
    <w:rsid w:val="00714226"/>
    <w:rsid w:val="00723B7F"/>
    <w:rsid w:val="00725861"/>
    <w:rsid w:val="00726E92"/>
    <w:rsid w:val="00731D80"/>
    <w:rsid w:val="0073393A"/>
    <w:rsid w:val="00734148"/>
    <w:rsid w:val="0073539D"/>
    <w:rsid w:val="00736524"/>
    <w:rsid w:val="00756F3E"/>
    <w:rsid w:val="0076768A"/>
    <w:rsid w:val="00767B8A"/>
    <w:rsid w:val="0077378F"/>
    <w:rsid w:val="00774D9C"/>
    <w:rsid w:val="00775481"/>
    <w:rsid w:val="00782578"/>
    <w:rsid w:val="007920C1"/>
    <w:rsid w:val="007A233B"/>
    <w:rsid w:val="007A31BE"/>
    <w:rsid w:val="007A780A"/>
    <w:rsid w:val="007B4863"/>
    <w:rsid w:val="007B6AD0"/>
    <w:rsid w:val="007C1E80"/>
    <w:rsid w:val="007C65E6"/>
    <w:rsid w:val="007C6E04"/>
    <w:rsid w:val="007D00E3"/>
    <w:rsid w:val="007D219F"/>
    <w:rsid w:val="007D406B"/>
    <w:rsid w:val="007D4407"/>
    <w:rsid w:val="007E1CA3"/>
    <w:rsid w:val="007E7DC6"/>
    <w:rsid w:val="00806D34"/>
    <w:rsid w:val="00812444"/>
    <w:rsid w:val="00812D62"/>
    <w:rsid w:val="00812F29"/>
    <w:rsid w:val="0081695B"/>
    <w:rsid w:val="00821713"/>
    <w:rsid w:val="0082544E"/>
    <w:rsid w:val="00827050"/>
    <w:rsid w:val="0083278B"/>
    <w:rsid w:val="00834538"/>
    <w:rsid w:val="00843AD2"/>
    <w:rsid w:val="008449BC"/>
    <w:rsid w:val="00847CD7"/>
    <w:rsid w:val="00850E89"/>
    <w:rsid w:val="0086079D"/>
    <w:rsid w:val="00871934"/>
    <w:rsid w:val="0087779F"/>
    <w:rsid w:val="0088599D"/>
    <w:rsid w:val="008866B5"/>
    <w:rsid w:val="008930E4"/>
    <w:rsid w:val="00893821"/>
    <w:rsid w:val="008965EA"/>
    <w:rsid w:val="008971E3"/>
    <w:rsid w:val="008A30FD"/>
    <w:rsid w:val="008A6364"/>
    <w:rsid w:val="008A7B9C"/>
    <w:rsid w:val="008B39FA"/>
    <w:rsid w:val="008B4754"/>
    <w:rsid w:val="008B639C"/>
    <w:rsid w:val="008C44AF"/>
    <w:rsid w:val="008E1F20"/>
    <w:rsid w:val="008E42B6"/>
    <w:rsid w:val="008E6A7A"/>
    <w:rsid w:val="008F1038"/>
    <w:rsid w:val="008F59E0"/>
    <w:rsid w:val="008F7046"/>
    <w:rsid w:val="009005FC"/>
    <w:rsid w:val="00901E95"/>
    <w:rsid w:val="00904069"/>
    <w:rsid w:val="00907170"/>
    <w:rsid w:val="00922E5A"/>
    <w:rsid w:val="009242EE"/>
    <w:rsid w:val="00932794"/>
    <w:rsid w:val="00943315"/>
    <w:rsid w:val="00944269"/>
    <w:rsid w:val="00944E49"/>
    <w:rsid w:val="00946C27"/>
    <w:rsid w:val="00964E3D"/>
    <w:rsid w:val="00981074"/>
    <w:rsid w:val="009914AB"/>
    <w:rsid w:val="00991500"/>
    <w:rsid w:val="0099487F"/>
    <w:rsid w:val="009A0885"/>
    <w:rsid w:val="009A4F3D"/>
    <w:rsid w:val="009A5DCB"/>
    <w:rsid w:val="009B696B"/>
    <w:rsid w:val="009B7671"/>
    <w:rsid w:val="009B77EC"/>
    <w:rsid w:val="009D0052"/>
    <w:rsid w:val="009E4DFD"/>
    <w:rsid w:val="009E5BA1"/>
    <w:rsid w:val="009F056E"/>
    <w:rsid w:val="009F10C0"/>
    <w:rsid w:val="009F5022"/>
    <w:rsid w:val="00A10039"/>
    <w:rsid w:val="00A21D63"/>
    <w:rsid w:val="00A24F3D"/>
    <w:rsid w:val="00A26DCD"/>
    <w:rsid w:val="00A314BB"/>
    <w:rsid w:val="00A32B7D"/>
    <w:rsid w:val="00A4223F"/>
    <w:rsid w:val="00A5321E"/>
    <w:rsid w:val="00A5596B"/>
    <w:rsid w:val="00A55A77"/>
    <w:rsid w:val="00A646B3"/>
    <w:rsid w:val="00A663CE"/>
    <w:rsid w:val="00A6739B"/>
    <w:rsid w:val="00A67759"/>
    <w:rsid w:val="00A71D19"/>
    <w:rsid w:val="00A74BAE"/>
    <w:rsid w:val="00A90413"/>
    <w:rsid w:val="00AA2435"/>
    <w:rsid w:val="00AA62CC"/>
    <w:rsid w:val="00AA728C"/>
    <w:rsid w:val="00AB0A9C"/>
    <w:rsid w:val="00AB7119"/>
    <w:rsid w:val="00AD5855"/>
    <w:rsid w:val="00AE6F64"/>
    <w:rsid w:val="00AE7500"/>
    <w:rsid w:val="00AE7F87"/>
    <w:rsid w:val="00AF19CE"/>
    <w:rsid w:val="00AF3542"/>
    <w:rsid w:val="00AF5ABE"/>
    <w:rsid w:val="00B00415"/>
    <w:rsid w:val="00B01CA8"/>
    <w:rsid w:val="00B03C2A"/>
    <w:rsid w:val="00B1000D"/>
    <w:rsid w:val="00B10134"/>
    <w:rsid w:val="00B1173F"/>
    <w:rsid w:val="00B150A0"/>
    <w:rsid w:val="00B16BFE"/>
    <w:rsid w:val="00B20798"/>
    <w:rsid w:val="00B21068"/>
    <w:rsid w:val="00B32660"/>
    <w:rsid w:val="00B3326A"/>
    <w:rsid w:val="00B36A61"/>
    <w:rsid w:val="00B36F36"/>
    <w:rsid w:val="00B500E5"/>
    <w:rsid w:val="00B634CB"/>
    <w:rsid w:val="00B72B8F"/>
    <w:rsid w:val="00B757D7"/>
    <w:rsid w:val="00B80661"/>
    <w:rsid w:val="00B845EB"/>
    <w:rsid w:val="00B84D3A"/>
    <w:rsid w:val="00B90269"/>
    <w:rsid w:val="00B960E9"/>
    <w:rsid w:val="00BA39BB"/>
    <w:rsid w:val="00BA3B3D"/>
    <w:rsid w:val="00BB71ED"/>
    <w:rsid w:val="00BB7EEA"/>
    <w:rsid w:val="00BC41E3"/>
    <w:rsid w:val="00BC690C"/>
    <w:rsid w:val="00BC6AFE"/>
    <w:rsid w:val="00BD1909"/>
    <w:rsid w:val="00BE5E16"/>
    <w:rsid w:val="00BE5FD1"/>
    <w:rsid w:val="00BF2A70"/>
    <w:rsid w:val="00C025D2"/>
    <w:rsid w:val="00C061CE"/>
    <w:rsid w:val="00C06E05"/>
    <w:rsid w:val="00C14B14"/>
    <w:rsid w:val="00C17370"/>
    <w:rsid w:val="00C2054D"/>
    <w:rsid w:val="00C220E2"/>
    <w:rsid w:val="00C252EB"/>
    <w:rsid w:val="00C26EC0"/>
    <w:rsid w:val="00C307C4"/>
    <w:rsid w:val="00C36D33"/>
    <w:rsid w:val="00C401F2"/>
    <w:rsid w:val="00C56C77"/>
    <w:rsid w:val="00C61C8F"/>
    <w:rsid w:val="00C64B15"/>
    <w:rsid w:val="00C67519"/>
    <w:rsid w:val="00C71592"/>
    <w:rsid w:val="00C718FE"/>
    <w:rsid w:val="00C769C2"/>
    <w:rsid w:val="00C84923"/>
    <w:rsid w:val="00C85D2F"/>
    <w:rsid w:val="00C9428C"/>
    <w:rsid w:val="00C944E1"/>
    <w:rsid w:val="00CA0E30"/>
    <w:rsid w:val="00CA2959"/>
    <w:rsid w:val="00CA7004"/>
    <w:rsid w:val="00CB7B3E"/>
    <w:rsid w:val="00CC739D"/>
    <w:rsid w:val="00CE3928"/>
    <w:rsid w:val="00CF0C50"/>
    <w:rsid w:val="00CF7879"/>
    <w:rsid w:val="00D001AD"/>
    <w:rsid w:val="00D0071A"/>
    <w:rsid w:val="00D01023"/>
    <w:rsid w:val="00D04468"/>
    <w:rsid w:val="00D04B94"/>
    <w:rsid w:val="00D06BBC"/>
    <w:rsid w:val="00D30640"/>
    <w:rsid w:val="00D352B3"/>
    <w:rsid w:val="00D36257"/>
    <w:rsid w:val="00D4687E"/>
    <w:rsid w:val="00D53A12"/>
    <w:rsid w:val="00D53F82"/>
    <w:rsid w:val="00D55426"/>
    <w:rsid w:val="00D6094A"/>
    <w:rsid w:val="00D87E2A"/>
    <w:rsid w:val="00DA470B"/>
    <w:rsid w:val="00DA58F8"/>
    <w:rsid w:val="00DB0C43"/>
    <w:rsid w:val="00DC7089"/>
    <w:rsid w:val="00DD0C28"/>
    <w:rsid w:val="00DD3F62"/>
    <w:rsid w:val="00DE2294"/>
    <w:rsid w:val="00DE3354"/>
    <w:rsid w:val="00DF7DCD"/>
    <w:rsid w:val="00E07A77"/>
    <w:rsid w:val="00E17979"/>
    <w:rsid w:val="00E44F0C"/>
    <w:rsid w:val="00E473F5"/>
    <w:rsid w:val="00E50B7D"/>
    <w:rsid w:val="00E50DAC"/>
    <w:rsid w:val="00E50E4E"/>
    <w:rsid w:val="00E615B3"/>
    <w:rsid w:val="00E636E8"/>
    <w:rsid w:val="00E81410"/>
    <w:rsid w:val="00E825D3"/>
    <w:rsid w:val="00E904A1"/>
    <w:rsid w:val="00EB7D28"/>
    <w:rsid w:val="00EC0D0C"/>
    <w:rsid w:val="00ED05F7"/>
    <w:rsid w:val="00ED4A2C"/>
    <w:rsid w:val="00EE6A81"/>
    <w:rsid w:val="00EE7C83"/>
    <w:rsid w:val="00EF34C5"/>
    <w:rsid w:val="00EF36C5"/>
    <w:rsid w:val="00EF6940"/>
    <w:rsid w:val="00EF7F81"/>
    <w:rsid w:val="00F01E9D"/>
    <w:rsid w:val="00F11ED9"/>
    <w:rsid w:val="00F2044A"/>
    <w:rsid w:val="00F20BFC"/>
    <w:rsid w:val="00F24D5F"/>
    <w:rsid w:val="00F31885"/>
    <w:rsid w:val="00F31F62"/>
    <w:rsid w:val="00F32A6E"/>
    <w:rsid w:val="00F375B3"/>
    <w:rsid w:val="00F40AB6"/>
    <w:rsid w:val="00F526A2"/>
    <w:rsid w:val="00F6585B"/>
    <w:rsid w:val="00F67698"/>
    <w:rsid w:val="00F726C3"/>
    <w:rsid w:val="00F820CA"/>
    <w:rsid w:val="00F8554C"/>
    <w:rsid w:val="00F878CF"/>
    <w:rsid w:val="00F95F82"/>
    <w:rsid w:val="00F961D9"/>
    <w:rsid w:val="00F97A90"/>
    <w:rsid w:val="00F97F7F"/>
    <w:rsid w:val="00FB284A"/>
    <w:rsid w:val="00FC2F35"/>
    <w:rsid w:val="00FC3FD7"/>
    <w:rsid w:val="00FC6DC1"/>
    <w:rsid w:val="00FC7634"/>
    <w:rsid w:val="00FD1FC6"/>
    <w:rsid w:val="00FD33B2"/>
    <w:rsid w:val="00FD684B"/>
    <w:rsid w:val="00FD730D"/>
    <w:rsid w:val="00FE01DA"/>
    <w:rsid w:val="00FE1CBD"/>
    <w:rsid w:val="00FE5869"/>
    <w:rsid w:val="00FF0398"/>
    <w:rsid w:val="00FF6A1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4:discardImageEditingData/>
  <w14:defaultImageDpi w14:val="96"/>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67C8"/>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5">
    <w:name w:val="heading 5"/>
    <w:basedOn w:val="Normal"/>
    <w:next w:val="Normal"/>
    <w:link w:val="Heading5Char"/>
    <w:semiHidden/>
    <w:unhideWhenUsed/>
    <w:qFormat/>
    <w:rsid w:val="00CA0E30"/>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CA0E30"/>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Footer">
    <w:name w:val="footer"/>
    <w:basedOn w:val="Normal"/>
    <w:link w:val="FooterChar"/>
    <w:uiPriority w:val="99"/>
    <w:unhideWhenUsed/>
    <w:rsid w:val="00F32A6E"/>
    <w:pPr>
      <w:tabs>
        <w:tab w:val="center" w:pos="4680"/>
        <w:tab w:val="right" w:pos="9360"/>
      </w:tabs>
    </w:pPr>
    <w:rPr>
      <w:rFonts w:ascii="Calibri" w:eastAsia="Calibri" w:hAnsi="Calibri" w:cs="Calibri"/>
      <w:sz w:val="22"/>
      <w:szCs w:val="22"/>
      <w:lang w:val="en"/>
    </w:rPr>
  </w:style>
  <w:style w:type="character" w:customStyle="1" w:styleId="FooterChar">
    <w:name w:val="Footer Char"/>
    <w:basedOn w:val="DefaultParagraphFont"/>
    <w:link w:val="Footer"/>
    <w:uiPriority w:val="99"/>
    <w:rsid w:val="00F32A6E"/>
    <w:rPr>
      <w:rFonts w:ascii="Calibri" w:eastAsia="Calibri" w:hAnsi="Calibri" w:cs="Calibri"/>
      <w:sz w:val="22"/>
      <w:szCs w:val="22"/>
      <w:lang w:val="en" w:eastAsia="en-US"/>
    </w:rPr>
  </w:style>
  <w:style w:type="table" w:customStyle="1" w:styleId="TableGrid1">
    <w:name w:val="Table Grid1"/>
    <w:basedOn w:val="TableNormal"/>
    <w:next w:val="TableGrid"/>
    <w:uiPriority w:val="39"/>
    <w:rsid w:val="00D01023"/>
    <w:rPr>
      <w:rFonts w:ascii="Calibri" w:eastAsia="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CA0E30"/>
    <w:rPr>
      <w:rFonts w:asciiTheme="majorHAnsi" w:eastAsiaTheme="majorEastAsia" w:hAnsiTheme="majorHAnsi" w:cstheme="majorBidi"/>
      <w:color w:val="365F91" w:themeColor="accent1" w:themeShade="BF"/>
      <w:sz w:val="24"/>
      <w:lang w:val="en-US" w:eastAsia="en-US"/>
    </w:rPr>
  </w:style>
  <w:style w:type="character" w:customStyle="1" w:styleId="Heading6Char">
    <w:name w:val="Heading 6 Char"/>
    <w:basedOn w:val="DefaultParagraphFont"/>
    <w:link w:val="Heading6"/>
    <w:semiHidden/>
    <w:rsid w:val="00CA0E30"/>
    <w:rPr>
      <w:rFonts w:asciiTheme="majorHAnsi" w:eastAsiaTheme="majorEastAsia" w:hAnsiTheme="majorHAnsi" w:cstheme="majorBidi"/>
      <w:color w:val="243F60" w:themeColor="accent1" w:themeShade="7F"/>
      <w:sz w:val="24"/>
      <w:lang w:val="en-US" w:eastAsia="en-US"/>
    </w:rPr>
  </w:style>
  <w:style w:type="paragraph" w:customStyle="1" w:styleId="Default">
    <w:name w:val="Default"/>
    <w:rsid w:val="00374AA7"/>
    <w:pPr>
      <w:autoSpaceDE w:val="0"/>
      <w:autoSpaceDN w:val="0"/>
      <w:adjustRightInd w:val="0"/>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3799">
      <w:bodyDiv w:val="1"/>
      <w:marLeft w:val="0"/>
      <w:marRight w:val="0"/>
      <w:marTop w:val="0"/>
      <w:marBottom w:val="0"/>
      <w:divBdr>
        <w:top w:val="none" w:sz="0" w:space="0" w:color="auto"/>
        <w:left w:val="none" w:sz="0" w:space="0" w:color="auto"/>
        <w:bottom w:val="none" w:sz="0" w:space="0" w:color="auto"/>
        <w:right w:val="none" w:sz="0" w:space="0" w:color="auto"/>
      </w:divBdr>
    </w:div>
    <w:div w:id="51462289">
      <w:bodyDiv w:val="1"/>
      <w:marLeft w:val="0"/>
      <w:marRight w:val="0"/>
      <w:marTop w:val="0"/>
      <w:marBottom w:val="0"/>
      <w:divBdr>
        <w:top w:val="none" w:sz="0" w:space="0" w:color="auto"/>
        <w:left w:val="none" w:sz="0" w:space="0" w:color="auto"/>
        <w:bottom w:val="none" w:sz="0" w:space="0" w:color="auto"/>
        <w:right w:val="none" w:sz="0" w:space="0" w:color="auto"/>
      </w:divBdr>
    </w:div>
    <w:div w:id="150754044">
      <w:bodyDiv w:val="1"/>
      <w:marLeft w:val="0"/>
      <w:marRight w:val="0"/>
      <w:marTop w:val="0"/>
      <w:marBottom w:val="0"/>
      <w:divBdr>
        <w:top w:val="none" w:sz="0" w:space="0" w:color="auto"/>
        <w:left w:val="none" w:sz="0" w:space="0" w:color="auto"/>
        <w:bottom w:val="none" w:sz="0" w:space="0" w:color="auto"/>
        <w:right w:val="none" w:sz="0" w:space="0" w:color="auto"/>
      </w:divBdr>
    </w:div>
    <w:div w:id="259147496">
      <w:bodyDiv w:val="1"/>
      <w:marLeft w:val="0"/>
      <w:marRight w:val="0"/>
      <w:marTop w:val="0"/>
      <w:marBottom w:val="0"/>
      <w:divBdr>
        <w:top w:val="none" w:sz="0" w:space="0" w:color="auto"/>
        <w:left w:val="none" w:sz="0" w:space="0" w:color="auto"/>
        <w:bottom w:val="none" w:sz="0" w:space="0" w:color="auto"/>
        <w:right w:val="none" w:sz="0" w:space="0" w:color="auto"/>
      </w:divBdr>
    </w:div>
    <w:div w:id="539392639">
      <w:bodyDiv w:val="1"/>
      <w:marLeft w:val="0"/>
      <w:marRight w:val="0"/>
      <w:marTop w:val="0"/>
      <w:marBottom w:val="0"/>
      <w:divBdr>
        <w:top w:val="none" w:sz="0" w:space="0" w:color="auto"/>
        <w:left w:val="none" w:sz="0" w:space="0" w:color="auto"/>
        <w:bottom w:val="none" w:sz="0" w:space="0" w:color="auto"/>
        <w:right w:val="none" w:sz="0" w:space="0" w:color="auto"/>
      </w:divBdr>
    </w:div>
    <w:div w:id="611938415">
      <w:bodyDiv w:val="1"/>
      <w:marLeft w:val="0"/>
      <w:marRight w:val="0"/>
      <w:marTop w:val="0"/>
      <w:marBottom w:val="0"/>
      <w:divBdr>
        <w:top w:val="none" w:sz="0" w:space="0" w:color="auto"/>
        <w:left w:val="none" w:sz="0" w:space="0" w:color="auto"/>
        <w:bottom w:val="none" w:sz="0" w:space="0" w:color="auto"/>
        <w:right w:val="none" w:sz="0" w:space="0" w:color="auto"/>
      </w:divBdr>
    </w:div>
    <w:div w:id="656299172">
      <w:bodyDiv w:val="1"/>
      <w:marLeft w:val="0"/>
      <w:marRight w:val="0"/>
      <w:marTop w:val="0"/>
      <w:marBottom w:val="0"/>
      <w:divBdr>
        <w:top w:val="none" w:sz="0" w:space="0" w:color="auto"/>
        <w:left w:val="none" w:sz="0" w:space="0" w:color="auto"/>
        <w:bottom w:val="none" w:sz="0" w:space="0" w:color="auto"/>
        <w:right w:val="none" w:sz="0" w:space="0" w:color="auto"/>
      </w:divBdr>
      <w:divsChild>
        <w:div w:id="346640951">
          <w:marLeft w:val="547"/>
          <w:marRight w:val="0"/>
          <w:marTop w:val="0"/>
          <w:marBottom w:val="0"/>
          <w:divBdr>
            <w:top w:val="none" w:sz="0" w:space="0" w:color="auto"/>
            <w:left w:val="none" w:sz="0" w:space="0" w:color="auto"/>
            <w:bottom w:val="none" w:sz="0" w:space="0" w:color="auto"/>
            <w:right w:val="none" w:sz="0" w:space="0" w:color="auto"/>
          </w:divBdr>
        </w:div>
      </w:divsChild>
    </w:div>
    <w:div w:id="720403312">
      <w:bodyDiv w:val="1"/>
      <w:marLeft w:val="0"/>
      <w:marRight w:val="0"/>
      <w:marTop w:val="0"/>
      <w:marBottom w:val="0"/>
      <w:divBdr>
        <w:top w:val="none" w:sz="0" w:space="0" w:color="auto"/>
        <w:left w:val="none" w:sz="0" w:space="0" w:color="auto"/>
        <w:bottom w:val="none" w:sz="0" w:space="0" w:color="auto"/>
        <w:right w:val="none" w:sz="0" w:space="0" w:color="auto"/>
      </w:divBdr>
    </w:div>
    <w:div w:id="746851150">
      <w:bodyDiv w:val="1"/>
      <w:marLeft w:val="0"/>
      <w:marRight w:val="0"/>
      <w:marTop w:val="0"/>
      <w:marBottom w:val="0"/>
      <w:divBdr>
        <w:top w:val="none" w:sz="0" w:space="0" w:color="auto"/>
        <w:left w:val="none" w:sz="0" w:space="0" w:color="auto"/>
        <w:bottom w:val="none" w:sz="0" w:space="0" w:color="auto"/>
        <w:right w:val="none" w:sz="0" w:space="0" w:color="auto"/>
      </w:divBdr>
    </w:div>
    <w:div w:id="844827494">
      <w:bodyDiv w:val="1"/>
      <w:marLeft w:val="0"/>
      <w:marRight w:val="0"/>
      <w:marTop w:val="0"/>
      <w:marBottom w:val="0"/>
      <w:divBdr>
        <w:top w:val="none" w:sz="0" w:space="0" w:color="auto"/>
        <w:left w:val="none" w:sz="0" w:space="0" w:color="auto"/>
        <w:bottom w:val="none" w:sz="0" w:space="0" w:color="auto"/>
        <w:right w:val="none" w:sz="0" w:space="0" w:color="auto"/>
      </w:divBdr>
    </w:div>
    <w:div w:id="854340148">
      <w:bodyDiv w:val="1"/>
      <w:marLeft w:val="0"/>
      <w:marRight w:val="0"/>
      <w:marTop w:val="0"/>
      <w:marBottom w:val="0"/>
      <w:divBdr>
        <w:top w:val="none" w:sz="0" w:space="0" w:color="auto"/>
        <w:left w:val="none" w:sz="0" w:space="0" w:color="auto"/>
        <w:bottom w:val="none" w:sz="0" w:space="0" w:color="auto"/>
        <w:right w:val="none" w:sz="0" w:space="0" w:color="auto"/>
      </w:divBdr>
    </w:div>
    <w:div w:id="1051927650">
      <w:bodyDiv w:val="1"/>
      <w:marLeft w:val="0"/>
      <w:marRight w:val="0"/>
      <w:marTop w:val="0"/>
      <w:marBottom w:val="0"/>
      <w:divBdr>
        <w:top w:val="none" w:sz="0" w:space="0" w:color="auto"/>
        <w:left w:val="none" w:sz="0" w:space="0" w:color="auto"/>
        <w:bottom w:val="none" w:sz="0" w:space="0" w:color="auto"/>
        <w:right w:val="none" w:sz="0" w:space="0" w:color="auto"/>
      </w:divBdr>
      <w:divsChild>
        <w:div w:id="1599370630">
          <w:marLeft w:val="0"/>
          <w:marRight w:val="0"/>
          <w:marTop w:val="0"/>
          <w:marBottom w:val="0"/>
          <w:divBdr>
            <w:top w:val="none" w:sz="0" w:space="0" w:color="auto"/>
            <w:left w:val="none" w:sz="0" w:space="0" w:color="auto"/>
            <w:bottom w:val="none" w:sz="0" w:space="0" w:color="auto"/>
            <w:right w:val="none" w:sz="0" w:space="0" w:color="auto"/>
          </w:divBdr>
          <w:divsChild>
            <w:div w:id="2058360012">
              <w:marLeft w:val="0"/>
              <w:marRight w:val="0"/>
              <w:marTop w:val="0"/>
              <w:marBottom w:val="0"/>
              <w:divBdr>
                <w:top w:val="none" w:sz="0" w:space="0" w:color="auto"/>
                <w:left w:val="none" w:sz="0" w:space="0" w:color="auto"/>
                <w:bottom w:val="none" w:sz="0" w:space="0" w:color="auto"/>
                <w:right w:val="none" w:sz="0" w:space="0" w:color="auto"/>
              </w:divBdr>
              <w:divsChild>
                <w:div w:id="1635208277">
                  <w:marLeft w:val="0"/>
                  <w:marRight w:val="0"/>
                  <w:marTop w:val="0"/>
                  <w:marBottom w:val="0"/>
                  <w:divBdr>
                    <w:top w:val="none" w:sz="0" w:space="0" w:color="auto"/>
                    <w:left w:val="none" w:sz="0" w:space="0" w:color="auto"/>
                    <w:bottom w:val="none" w:sz="0" w:space="0" w:color="auto"/>
                    <w:right w:val="none" w:sz="0" w:space="0" w:color="auto"/>
                  </w:divBdr>
                  <w:divsChild>
                    <w:div w:id="1359770721">
                      <w:marLeft w:val="0"/>
                      <w:marRight w:val="0"/>
                      <w:marTop w:val="0"/>
                      <w:marBottom w:val="0"/>
                      <w:divBdr>
                        <w:top w:val="none" w:sz="0" w:space="0" w:color="auto"/>
                        <w:left w:val="none" w:sz="0" w:space="0" w:color="auto"/>
                        <w:bottom w:val="none" w:sz="0" w:space="0" w:color="auto"/>
                        <w:right w:val="none" w:sz="0" w:space="0" w:color="auto"/>
                      </w:divBdr>
                      <w:divsChild>
                        <w:div w:id="1586838321">
                          <w:marLeft w:val="0"/>
                          <w:marRight w:val="0"/>
                          <w:marTop w:val="0"/>
                          <w:marBottom w:val="0"/>
                          <w:divBdr>
                            <w:top w:val="none" w:sz="0" w:space="0" w:color="auto"/>
                            <w:left w:val="none" w:sz="0" w:space="0" w:color="auto"/>
                            <w:bottom w:val="none" w:sz="0" w:space="0" w:color="auto"/>
                            <w:right w:val="none" w:sz="0" w:space="0" w:color="auto"/>
                          </w:divBdr>
                          <w:divsChild>
                            <w:div w:id="2058045401">
                              <w:marLeft w:val="0"/>
                              <w:marRight w:val="0"/>
                              <w:marTop w:val="0"/>
                              <w:marBottom w:val="0"/>
                              <w:divBdr>
                                <w:top w:val="none" w:sz="0" w:space="0" w:color="auto"/>
                                <w:left w:val="none" w:sz="0" w:space="0" w:color="auto"/>
                                <w:bottom w:val="none" w:sz="0" w:space="0" w:color="auto"/>
                                <w:right w:val="none" w:sz="0" w:space="0" w:color="auto"/>
                              </w:divBdr>
                              <w:divsChild>
                                <w:div w:id="817069038">
                                  <w:marLeft w:val="0"/>
                                  <w:marRight w:val="0"/>
                                  <w:marTop w:val="0"/>
                                  <w:marBottom w:val="0"/>
                                  <w:divBdr>
                                    <w:top w:val="none" w:sz="0" w:space="0" w:color="auto"/>
                                    <w:left w:val="none" w:sz="0" w:space="0" w:color="auto"/>
                                    <w:bottom w:val="none" w:sz="0" w:space="0" w:color="auto"/>
                                    <w:right w:val="none" w:sz="0" w:space="0" w:color="auto"/>
                                  </w:divBdr>
                                  <w:divsChild>
                                    <w:div w:id="871844290">
                                      <w:marLeft w:val="0"/>
                                      <w:marRight w:val="0"/>
                                      <w:marTop w:val="0"/>
                                      <w:marBottom w:val="0"/>
                                      <w:divBdr>
                                        <w:top w:val="none" w:sz="0" w:space="0" w:color="auto"/>
                                        <w:left w:val="none" w:sz="0" w:space="0" w:color="auto"/>
                                        <w:bottom w:val="none" w:sz="0" w:space="0" w:color="auto"/>
                                        <w:right w:val="none" w:sz="0" w:space="0" w:color="auto"/>
                                      </w:divBdr>
                                      <w:divsChild>
                                        <w:div w:id="139736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9557032">
          <w:marLeft w:val="0"/>
          <w:marRight w:val="0"/>
          <w:marTop w:val="0"/>
          <w:marBottom w:val="0"/>
          <w:divBdr>
            <w:top w:val="none" w:sz="0" w:space="0" w:color="auto"/>
            <w:left w:val="none" w:sz="0" w:space="0" w:color="auto"/>
            <w:bottom w:val="none" w:sz="0" w:space="0" w:color="auto"/>
            <w:right w:val="none" w:sz="0" w:space="0" w:color="auto"/>
          </w:divBdr>
          <w:divsChild>
            <w:div w:id="732849830">
              <w:marLeft w:val="0"/>
              <w:marRight w:val="0"/>
              <w:marTop w:val="0"/>
              <w:marBottom w:val="0"/>
              <w:divBdr>
                <w:top w:val="none" w:sz="0" w:space="0" w:color="auto"/>
                <w:left w:val="none" w:sz="0" w:space="0" w:color="auto"/>
                <w:bottom w:val="none" w:sz="0" w:space="0" w:color="auto"/>
                <w:right w:val="none" w:sz="0" w:space="0" w:color="auto"/>
              </w:divBdr>
              <w:divsChild>
                <w:div w:id="1384988320">
                  <w:marLeft w:val="0"/>
                  <w:marRight w:val="0"/>
                  <w:marTop w:val="0"/>
                  <w:marBottom w:val="0"/>
                  <w:divBdr>
                    <w:top w:val="none" w:sz="0" w:space="0" w:color="auto"/>
                    <w:left w:val="none" w:sz="0" w:space="0" w:color="auto"/>
                    <w:bottom w:val="none" w:sz="0" w:space="0" w:color="auto"/>
                    <w:right w:val="none" w:sz="0" w:space="0" w:color="auto"/>
                  </w:divBdr>
                  <w:divsChild>
                    <w:div w:id="334069441">
                      <w:marLeft w:val="0"/>
                      <w:marRight w:val="0"/>
                      <w:marTop w:val="0"/>
                      <w:marBottom w:val="0"/>
                      <w:divBdr>
                        <w:top w:val="none" w:sz="0" w:space="0" w:color="auto"/>
                        <w:left w:val="none" w:sz="0" w:space="0" w:color="auto"/>
                        <w:bottom w:val="none" w:sz="0" w:space="0" w:color="auto"/>
                        <w:right w:val="none" w:sz="0" w:space="0" w:color="auto"/>
                      </w:divBdr>
                      <w:divsChild>
                        <w:div w:id="1941450075">
                          <w:marLeft w:val="0"/>
                          <w:marRight w:val="0"/>
                          <w:marTop w:val="0"/>
                          <w:marBottom w:val="0"/>
                          <w:divBdr>
                            <w:top w:val="none" w:sz="0" w:space="0" w:color="auto"/>
                            <w:left w:val="none" w:sz="0" w:space="0" w:color="auto"/>
                            <w:bottom w:val="none" w:sz="0" w:space="0" w:color="auto"/>
                            <w:right w:val="none" w:sz="0" w:space="0" w:color="auto"/>
                          </w:divBdr>
                          <w:divsChild>
                            <w:div w:id="890657431">
                              <w:marLeft w:val="0"/>
                              <w:marRight w:val="0"/>
                              <w:marTop w:val="0"/>
                              <w:marBottom w:val="0"/>
                              <w:divBdr>
                                <w:top w:val="none" w:sz="0" w:space="0" w:color="auto"/>
                                <w:left w:val="none" w:sz="0" w:space="0" w:color="auto"/>
                                <w:bottom w:val="none" w:sz="0" w:space="0" w:color="auto"/>
                                <w:right w:val="none" w:sz="0" w:space="0" w:color="auto"/>
                              </w:divBdr>
                              <w:divsChild>
                                <w:div w:id="1684627147">
                                  <w:marLeft w:val="0"/>
                                  <w:marRight w:val="0"/>
                                  <w:marTop w:val="0"/>
                                  <w:marBottom w:val="0"/>
                                  <w:divBdr>
                                    <w:top w:val="none" w:sz="0" w:space="0" w:color="auto"/>
                                    <w:left w:val="none" w:sz="0" w:space="0" w:color="auto"/>
                                    <w:bottom w:val="none" w:sz="0" w:space="0" w:color="auto"/>
                                    <w:right w:val="none" w:sz="0" w:space="0" w:color="auto"/>
                                  </w:divBdr>
                                  <w:divsChild>
                                    <w:div w:id="12094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7244413">
      <w:bodyDiv w:val="1"/>
      <w:marLeft w:val="0"/>
      <w:marRight w:val="0"/>
      <w:marTop w:val="0"/>
      <w:marBottom w:val="0"/>
      <w:divBdr>
        <w:top w:val="none" w:sz="0" w:space="0" w:color="auto"/>
        <w:left w:val="none" w:sz="0" w:space="0" w:color="auto"/>
        <w:bottom w:val="none" w:sz="0" w:space="0" w:color="auto"/>
        <w:right w:val="none" w:sz="0" w:space="0" w:color="auto"/>
      </w:divBdr>
    </w:div>
    <w:div w:id="1115558848">
      <w:bodyDiv w:val="1"/>
      <w:marLeft w:val="0"/>
      <w:marRight w:val="0"/>
      <w:marTop w:val="0"/>
      <w:marBottom w:val="0"/>
      <w:divBdr>
        <w:top w:val="none" w:sz="0" w:space="0" w:color="auto"/>
        <w:left w:val="none" w:sz="0" w:space="0" w:color="auto"/>
        <w:bottom w:val="none" w:sz="0" w:space="0" w:color="auto"/>
        <w:right w:val="none" w:sz="0" w:space="0" w:color="auto"/>
      </w:divBdr>
    </w:div>
    <w:div w:id="124737645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3754410">
      <w:bodyDiv w:val="1"/>
      <w:marLeft w:val="0"/>
      <w:marRight w:val="0"/>
      <w:marTop w:val="0"/>
      <w:marBottom w:val="0"/>
      <w:divBdr>
        <w:top w:val="none" w:sz="0" w:space="0" w:color="auto"/>
        <w:left w:val="none" w:sz="0" w:space="0" w:color="auto"/>
        <w:bottom w:val="none" w:sz="0" w:space="0" w:color="auto"/>
        <w:right w:val="none" w:sz="0" w:space="0" w:color="auto"/>
      </w:divBdr>
    </w:div>
    <w:div w:id="1506476372">
      <w:bodyDiv w:val="1"/>
      <w:marLeft w:val="0"/>
      <w:marRight w:val="0"/>
      <w:marTop w:val="0"/>
      <w:marBottom w:val="0"/>
      <w:divBdr>
        <w:top w:val="none" w:sz="0" w:space="0" w:color="auto"/>
        <w:left w:val="none" w:sz="0" w:space="0" w:color="auto"/>
        <w:bottom w:val="none" w:sz="0" w:space="0" w:color="auto"/>
        <w:right w:val="none" w:sz="0" w:space="0" w:color="auto"/>
      </w:divBdr>
    </w:div>
    <w:div w:id="1513061584">
      <w:bodyDiv w:val="1"/>
      <w:marLeft w:val="0"/>
      <w:marRight w:val="0"/>
      <w:marTop w:val="0"/>
      <w:marBottom w:val="0"/>
      <w:divBdr>
        <w:top w:val="none" w:sz="0" w:space="0" w:color="auto"/>
        <w:left w:val="none" w:sz="0" w:space="0" w:color="auto"/>
        <w:bottom w:val="none" w:sz="0" w:space="0" w:color="auto"/>
        <w:right w:val="none" w:sz="0" w:space="0" w:color="auto"/>
      </w:divBdr>
    </w:div>
    <w:div w:id="1530293636">
      <w:bodyDiv w:val="1"/>
      <w:marLeft w:val="0"/>
      <w:marRight w:val="0"/>
      <w:marTop w:val="0"/>
      <w:marBottom w:val="0"/>
      <w:divBdr>
        <w:top w:val="none" w:sz="0" w:space="0" w:color="auto"/>
        <w:left w:val="none" w:sz="0" w:space="0" w:color="auto"/>
        <w:bottom w:val="none" w:sz="0" w:space="0" w:color="auto"/>
        <w:right w:val="none" w:sz="0" w:space="0" w:color="auto"/>
      </w:divBdr>
    </w:div>
    <w:div w:id="1661612499">
      <w:bodyDiv w:val="1"/>
      <w:marLeft w:val="0"/>
      <w:marRight w:val="0"/>
      <w:marTop w:val="0"/>
      <w:marBottom w:val="0"/>
      <w:divBdr>
        <w:top w:val="none" w:sz="0" w:space="0" w:color="auto"/>
        <w:left w:val="none" w:sz="0" w:space="0" w:color="auto"/>
        <w:bottom w:val="none" w:sz="0" w:space="0" w:color="auto"/>
        <w:right w:val="none" w:sz="0" w:space="0" w:color="auto"/>
      </w:divBdr>
    </w:div>
    <w:div w:id="1693073626">
      <w:bodyDiv w:val="1"/>
      <w:marLeft w:val="0"/>
      <w:marRight w:val="0"/>
      <w:marTop w:val="0"/>
      <w:marBottom w:val="0"/>
      <w:divBdr>
        <w:top w:val="none" w:sz="0" w:space="0" w:color="auto"/>
        <w:left w:val="none" w:sz="0" w:space="0" w:color="auto"/>
        <w:bottom w:val="none" w:sz="0" w:space="0" w:color="auto"/>
        <w:right w:val="none" w:sz="0" w:space="0" w:color="auto"/>
      </w:divBdr>
      <w:divsChild>
        <w:div w:id="1564218193">
          <w:marLeft w:val="547"/>
          <w:marRight w:val="0"/>
          <w:marTop w:val="0"/>
          <w:marBottom w:val="0"/>
          <w:divBdr>
            <w:top w:val="none" w:sz="0" w:space="0" w:color="auto"/>
            <w:left w:val="none" w:sz="0" w:space="0" w:color="auto"/>
            <w:bottom w:val="none" w:sz="0" w:space="0" w:color="auto"/>
            <w:right w:val="none" w:sz="0" w:space="0" w:color="auto"/>
          </w:divBdr>
        </w:div>
        <w:div w:id="402413076">
          <w:marLeft w:val="547"/>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7359344">
      <w:bodyDiv w:val="1"/>
      <w:marLeft w:val="0"/>
      <w:marRight w:val="0"/>
      <w:marTop w:val="0"/>
      <w:marBottom w:val="0"/>
      <w:divBdr>
        <w:top w:val="none" w:sz="0" w:space="0" w:color="auto"/>
        <w:left w:val="none" w:sz="0" w:space="0" w:color="auto"/>
        <w:bottom w:val="none" w:sz="0" w:space="0" w:color="auto"/>
        <w:right w:val="none" w:sz="0" w:space="0" w:color="auto"/>
      </w:divBdr>
    </w:div>
    <w:div w:id="1787307414">
      <w:bodyDiv w:val="1"/>
      <w:marLeft w:val="0"/>
      <w:marRight w:val="0"/>
      <w:marTop w:val="0"/>
      <w:marBottom w:val="0"/>
      <w:divBdr>
        <w:top w:val="none" w:sz="0" w:space="0" w:color="auto"/>
        <w:left w:val="none" w:sz="0" w:space="0" w:color="auto"/>
        <w:bottom w:val="none" w:sz="0" w:space="0" w:color="auto"/>
        <w:right w:val="none" w:sz="0" w:space="0" w:color="auto"/>
      </w:divBdr>
    </w:div>
    <w:div w:id="2010676783">
      <w:bodyDiv w:val="1"/>
      <w:marLeft w:val="0"/>
      <w:marRight w:val="0"/>
      <w:marTop w:val="0"/>
      <w:marBottom w:val="0"/>
      <w:divBdr>
        <w:top w:val="none" w:sz="0" w:space="0" w:color="auto"/>
        <w:left w:val="none" w:sz="0" w:space="0" w:color="auto"/>
        <w:bottom w:val="none" w:sz="0" w:space="0" w:color="auto"/>
        <w:right w:val="none" w:sz="0" w:space="0" w:color="auto"/>
      </w:divBdr>
    </w:div>
    <w:div w:id="2097749631">
      <w:bodyDiv w:val="1"/>
      <w:marLeft w:val="0"/>
      <w:marRight w:val="0"/>
      <w:marTop w:val="0"/>
      <w:marBottom w:val="0"/>
      <w:divBdr>
        <w:top w:val="none" w:sz="0" w:space="0" w:color="auto"/>
        <w:left w:val="none" w:sz="0" w:space="0" w:color="auto"/>
        <w:bottom w:val="none" w:sz="0" w:space="0" w:color="auto"/>
        <w:right w:val="none" w:sz="0" w:space="0" w:color="auto"/>
      </w:divBdr>
    </w:div>
    <w:div w:id="211000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Colors" Target="diagrams/colors1.xml"/><Relationship Id="rId18" Type="http://schemas.openxmlformats.org/officeDocument/2006/relationships/chart" Target="charts/chart4.xml"/><Relationship Id="rId3" Type="http://schemas.openxmlformats.org/officeDocument/2006/relationships/customXml" Target="../customXml/item3.xml"/><Relationship Id="rId21" Type="http://schemas.openxmlformats.org/officeDocument/2006/relationships/hyperlink" Target="https://www.iea.org/reports/global-ev-outlook-2025" TargetMode="External"/><Relationship Id="rId7" Type="http://schemas.openxmlformats.org/officeDocument/2006/relationships/settings" Target="settings.xml"/><Relationship Id="rId12" Type="http://schemas.openxmlformats.org/officeDocument/2006/relationships/diagramQuickStyle" Target="diagrams/quickStyle1.xml"/><Relationship Id="rId17"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Layout" Target="diagrams/layout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fontTable" Target="fontTable.xml"/><Relationship Id="rId10" Type="http://schemas.openxmlformats.org/officeDocument/2006/relationships/diagramData" Target="diagrams/data1.xml"/><Relationship Id="rId19"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hyperlink" Target="https://cp.catapult.org.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rgha\Downloads\a%20BatteryCapacity_vs_Range_Linear.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rgha\Downloads\a%20BatteryCapacity_vs_Range_Linear.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argha\Downloads\a%20BatteryCapacity_vs_Range_Linear.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paula\Downloads\Electric_Motorcycle_Graph_Data%20(3).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paula\Downloads\Electric_Motorcycle_Graph_Data%20(3).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paula\Downloads\Electric_Motorcycle_Graph_Data%20(1).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Sheet1!$B$1</c:f>
              <c:strCache>
                <c:ptCount val="1"/>
                <c:pt idx="0">
                  <c:v>Range (KM)</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8.2736220472440947E-2"/>
                  <c:y val="-2.5773195876288658E-2"/>
                </c:manualLayout>
              </c:layout>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600" baseline="0"/>
                      <a:t>y = 2.1x + 5</a:t>
                    </a:r>
                    <a:br>
                      <a:rPr lang="en-US" sz="600" baseline="0"/>
                    </a:br>
                    <a:r>
                      <a:rPr lang="en-US" sz="600" baseline="0"/>
                      <a:t>R² = 1</a:t>
                    </a:r>
                    <a:endParaRPr lang="en-US" sz="600"/>
                  </a:p>
                </c:rich>
              </c:tx>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Sheet1!$A$2:$A$27</c:f>
              <c:numCache>
                <c:formatCode>General</c:formatCode>
                <c:ptCount val="26"/>
                <c:pt idx="0">
                  <c:v>20</c:v>
                </c:pt>
                <c:pt idx="1">
                  <c:v>21</c:v>
                </c:pt>
                <c:pt idx="2">
                  <c:v>22</c:v>
                </c:pt>
                <c:pt idx="3">
                  <c:v>23</c:v>
                </c:pt>
                <c:pt idx="4">
                  <c:v>24</c:v>
                </c:pt>
                <c:pt idx="5">
                  <c:v>25</c:v>
                </c:pt>
                <c:pt idx="6">
                  <c:v>26</c:v>
                </c:pt>
                <c:pt idx="7">
                  <c:v>27</c:v>
                </c:pt>
                <c:pt idx="8">
                  <c:v>28</c:v>
                </c:pt>
                <c:pt idx="9">
                  <c:v>29</c:v>
                </c:pt>
                <c:pt idx="10">
                  <c:v>30</c:v>
                </c:pt>
                <c:pt idx="11">
                  <c:v>31</c:v>
                </c:pt>
                <c:pt idx="12">
                  <c:v>32</c:v>
                </c:pt>
                <c:pt idx="13">
                  <c:v>33</c:v>
                </c:pt>
                <c:pt idx="14">
                  <c:v>34</c:v>
                </c:pt>
                <c:pt idx="15">
                  <c:v>35</c:v>
                </c:pt>
                <c:pt idx="16">
                  <c:v>36</c:v>
                </c:pt>
                <c:pt idx="17">
                  <c:v>37</c:v>
                </c:pt>
                <c:pt idx="18">
                  <c:v>38</c:v>
                </c:pt>
                <c:pt idx="19">
                  <c:v>39</c:v>
                </c:pt>
                <c:pt idx="20">
                  <c:v>40</c:v>
                </c:pt>
                <c:pt idx="21">
                  <c:v>41</c:v>
                </c:pt>
                <c:pt idx="22">
                  <c:v>42</c:v>
                </c:pt>
                <c:pt idx="23">
                  <c:v>43</c:v>
                </c:pt>
                <c:pt idx="24">
                  <c:v>44</c:v>
                </c:pt>
                <c:pt idx="25">
                  <c:v>45</c:v>
                </c:pt>
              </c:numCache>
            </c:numRef>
          </c:xVal>
          <c:yVal>
            <c:numRef>
              <c:f>Sheet1!$B$2:$B$27</c:f>
              <c:numCache>
                <c:formatCode>General</c:formatCode>
                <c:ptCount val="26"/>
                <c:pt idx="0">
                  <c:v>47</c:v>
                </c:pt>
                <c:pt idx="1">
                  <c:v>49.1</c:v>
                </c:pt>
                <c:pt idx="2">
                  <c:v>51.2</c:v>
                </c:pt>
                <c:pt idx="3">
                  <c:v>53.3</c:v>
                </c:pt>
                <c:pt idx="4">
                  <c:v>55.4</c:v>
                </c:pt>
                <c:pt idx="5">
                  <c:v>57.5</c:v>
                </c:pt>
                <c:pt idx="6">
                  <c:v>59.6</c:v>
                </c:pt>
                <c:pt idx="7">
                  <c:v>61.7</c:v>
                </c:pt>
                <c:pt idx="8">
                  <c:v>63.8</c:v>
                </c:pt>
                <c:pt idx="9">
                  <c:v>65.900000000000006</c:v>
                </c:pt>
                <c:pt idx="10">
                  <c:v>68</c:v>
                </c:pt>
                <c:pt idx="11">
                  <c:v>70.099999999999994</c:v>
                </c:pt>
                <c:pt idx="12">
                  <c:v>72.2</c:v>
                </c:pt>
                <c:pt idx="13">
                  <c:v>74.3</c:v>
                </c:pt>
                <c:pt idx="14">
                  <c:v>76.400000000000006</c:v>
                </c:pt>
                <c:pt idx="15">
                  <c:v>78.5</c:v>
                </c:pt>
                <c:pt idx="16">
                  <c:v>80.599999999999994</c:v>
                </c:pt>
                <c:pt idx="17">
                  <c:v>82.7</c:v>
                </c:pt>
                <c:pt idx="18">
                  <c:v>84.8</c:v>
                </c:pt>
                <c:pt idx="19">
                  <c:v>86.9</c:v>
                </c:pt>
                <c:pt idx="20">
                  <c:v>89</c:v>
                </c:pt>
                <c:pt idx="21">
                  <c:v>91.1</c:v>
                </c:pt>
                <c:pt idx="22">
                  <c:v>93.2</c:v>
                </c:pt>
                <c:pt idx="23">
                  <c:v>95.3</c:v>
                </c:pt>
                <c:pt idx="24">
                  <c:v>97.4</c:v>
                </c:pt>
                <c:pt idx="25">
                  <c:v>99.5</c:v>
                </c:pt>
              </c:numCache>
            </c:numRef>
          </c:yVal>
          <c:smooth val="1"/>
          <c:extLst>
            <c:ext xmlns:c16="http://schemas.microsoft.com/office/drawing/2014/chart" uri="{C3380CC4-5D6E-409C-BE32-E72D297353CC}">
              <c16:uniqueId val="{00000000-282D-49D8-B465-F045DDCEE3DF}"/>
            </c:ext>
          </c:extLst>
        </c:ser>
        <c:dLbls>
          <c:showLegendKey val="0"/>
          <c:showVal val="0"/>
          <c:showCatName val="0"/>
          <c:showSerName val="0"/>
          <c:showPercent val="0"/>
          <c:showBubbleSize val="0"/>
        </c:dLbls>
        <c:axId val="1993550848"/>
        <c:axId val="1993547488"/>
      </c:scatterChart>
      <c:valAx>
        <c:axId val="1993550848"/>
        <c:scaling>
          <c:orientation val="minMax"/>
          <c:min val="20"/>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600" b="1"/>
                  <a:t>Battery Capacity (Ah)</a:t>
                </a:r>
              </a:p>
            </c:rich>
          </c:tx>
          <c:overlay val="0"/>
          <c:spPr>
            <a:noFill/>
            <a:ln>
              <a:noFill/>
            </a:ln>
            <a:effectLst/>
          </c:spPr>
          <c:txPr>
            <a:bodyPr rot="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993547488"/>
        <c:crosses val="autoZero"/>
        <c:crossBetween val="midCat"/>
      </c:valAx>
      <c:valAx>
        <c:axId val="1993547488"/>
        <c:scaling>
          <c:orientation val="minMax"/>
          <c:min val="40"/>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600" b="1"/>
                  <a:t>Range (Km)</a:t>
                </a:r>
              </a:p>
            </c:rich>
          </c:tx>
          <c:overlay val="0"/>
          <c:spPr>
            <a:noFill/>
            <a:ln>
              <a:noFill/>
            </a:ln>
            <a:effectLst/>
          </c:spPr>
          <c:txPr>
            <a:bodyPr rot="-54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993550848"/>
        <c:crosses val="autoZero"/>
        <c:crossBetween val="midCat"/>
      </c:valAx>
      <c:spPr>
        <a:no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'[b MotorPower_vs_TopSpeed_CurveData.xlsx]Sheet1'!$B$1</c:f>
              <c:strCache>
                <c:ptCount val="1"/>
                <c:pt idx="0">
                  <c:v>Top Speed (km/h)</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5.0670011185310698E-2"/>
                  <c:y val="-3.9487956704526976E-2"/>
                </c:manualLayout>
              </c:layout>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600" baseline="0"/>
                      <a:t>y = 0.0116x + 33.716</a:t>
                    </a:r>
                    <a:br>
                      <a:rPr lang="en-US" sz="600" baseline="0"/>
                    </a:br>
                    <a:r>
                      <a:rPr lang="en-US" sz="600" baseline="0"/>
                      <a:t>R² = 0.9923</a:t>
                    </a:r>
                    <a:endParaRPr lang="en-US" sz="600"/>
                  </a:p>
                </c:rich>
              </c:tx>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'[b MotorPower_vs_TopSpeed_CurveData.xlsx]Sheet1'!$A$2:$A$22</c:f>
              <c:numCache>
                <c:formatCode>General</c:formatCode>
                <c:ptCount val="21"/>
                <c:pt idx="0">
                  <c:v>1000</c:v>
                </c:pt>
                <c:pt idx="1">
                  <c:v>1100</c:v>
                </c:pt>
                <c:pt idx="2">
                  <c:v>1200</c:v>
                </c:pt>
                <c:pt idx="3">
                  <c:v>1300</c:v>
                </c:pt>
                <c:pt idx="4">
                  <c:v>1400</c:v>
                </c:pt>
                <c:pt idx="5">
                  <c:v>1500</c:v>
                </c:pt>
                <c:pt idx="6">
                  <c:v>1600</c:v>
                </c:pt>
                <c:pt idx="7">
                  <c:v>1700</c:v>
                </c:pt>
                <c:pt idx="8">
                  <c:v>1800</c:v>
                </c:pt>
                <c:pt idx="9">
                  <c:v>1900</c:v>
                </c:pt>
                <c:pt idx="10">
                  <c:v>2000</c:v>
                </c:pt>
                <c:pt idx="11">
                  <c:v>2100</c:v>
                </c:pt>
                <c:pt idx="12">
                  <c:v>2200</c:v>
                </c:pt>
                <c:pt idx="13">
                  <c:v>2300</c:v>
                </c:pt>
                <c:pt idx="14">
                  <c:v>2400</c:v>
                </c:pt>
                <c:pt idx="15">
                  <c:v>2500</c:v>
                </c:pt>
                <c:pt idx="16">
                  <c:v>2600</c:v>
                </c:pt>
                <c:pt idx="17">
                  <c:v>2700</c:v>
                </c:pt>
                <c:pt idx="18">
                  <c:v>2800</c:v>
                </c:pt>
                <c:pt idx="19">
                  <c:v>2900</c:v>
                </c:pt>
                <c:pt idx="20">
                  <c:v>3000</c:v>
                </c:pt>
              </c:numCache>
            </c:numRef>
          </c:xVal>
          <c:yVal>
            <c:numRef>
              <c:f>'[b MotorPower_vs_TopSpeed_CurveData.xlsx]Sheet1'!$B$2:$B$22</c:f>
              <c:numCache>
                <c:formatCode>General</c:formatCode>
                <c:ptCount val="21"/>
                <c:pt idx="0">
                  <c:v>43.94</c:v>
                </c:pt>
                <c:pt idx="1">
                  <c:v>45.61</c:v>
                </c:pt>
                <c:pt idx="2">
                  <c:v>47.2</c:v>
                </c:pt>
                <c:pt idx="3">
                  <c:v>48.7</c:v>
                </c:pt>
                <c:pt idx="4">
                  <c:v>50.14</c:v>
                </c:pt>
                <c:pt idx="5">
                  <c:v>51.51</c:v>
                </c:pt>
                <c:pt idx="6">
                  <c:v>52.83</c:v>
                </c:pt>
                <c:pt idx="7">
                  <c:v>54.1</c:v>
                </c:pt>
                <c:pt idx="8">
                  <c:v>55.33</c:v>
                </c:pt>
                <c:pt idx="9">
                  <c:v>56.51</c:v>
                </c:pt>
                <c:pt idx="10">
                  <c:v>57.66</c:v>
                </c:pt>
                <c:pt idx="11">
                  <c:v>58.77</c:v>
                </c:pt>
                <c:pt idx="12">
                  <c:v>59.85</c:v>
                </c:pt>
                <c:pt idx="13">
                  <c:v>60.91</c:v>
                </c:pt>
                <c:pt idx="14">
                  <c:v>61.93</c:v>
                </c:pt>
                <c:pt idx="15">
                  <c:v>62.93</c:v>
                </c:pt>
                <c:pt idx="16">
                  <c:v>63.91</c:v>
                </c:pt>
                <c:pt idx="17">
                  <c:v>64.86</c:v>
                </c:pt>
                <c:pt idx="18">
                  <c:v>65.790000000000006</c:v>
                </c:pt>
                <c:pt idx="19">
                  <c:v>66.7</c:v>
                </c:pt>
                <c:pt idx="20">
                  <c:v>67.59</c:v>
                </c:pt>
              </c:numCache>
            </c:numRef>
          </c:yVal>
          <c:smooth val="1"/>
          <c:extLst>
            <c:ext xmlns:c16="http://schemas.microsoft.com/office/drawing/2014/chart" uri="{C3380CC4-5D6E-409C-BE32-E72D297353CC}">
              <c16:uniqueId val="{00000000-3A15-485E-ABFF-471A8DE8AF5A}"/>
            </c:ext>
          </c:extLst>
        </c:ser>
        <c:dLbls>
          <c:showLegendKey val="0"/>
          <c:showVal val="0"/>
          <c:showCatName val="0"/>
          <c:showSerName val="0"/>
          <c:showPercent val="0"/>
          <c:showBubbleSize val="0"/>
        </c:dLbls>
        <c:axId val="1785335328"/>
        <c:axId val="1785331168"/>
      </c:scatterChart>
      <c:valAx>
        <c:axId val="1785335328"/>
        <c:scaling>
          <c:orientation val="minMax"/>
          <c:min val="1000"/>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600" b="1" i="0" u="none" strike="noStrike" kern="1200" baseline="0">
                    <a:solidFill>
                      <a:schemeClr val="tx1">
                        <a:lumMod val="65000"/>
                        <a:lumOff val="35000"/>
                      </a:schemeClr>
                    </a:solidFill>
                    <a:latin typeface="+mn-lt"/>
                    <a:ea typeface="+mn-ea"/>
                    <a:cs typeface="+mn-cs"/>
                  </a:defRPr>
                </a:pPr>
                <a:r>
                  <a:rPr lang="en-US" sz="600" b="1">
                    <a:latin typeface="Times New Roman" panose="02020603050405020304" pitchFamily="18" charset="0"/>
                    <a:cs typeface="Times New Roman" panose="02020603050405020304" pitchFamily="18" charset="0"/>
                  </a:rPr>
                  <a:t>Motor</a:t>
                </a:r>
                <a:r>
                  <a:rPr lang="en-US" sz="600" b="1" baseline="0">
                    <a:latin typeface="Times New Roman" panose="02020603050405020304" pitchFamily="18" charset="0"/>
                    <a:cs typeface="Times New Roman" panose="02020603050405020304" pitchFamily="18" charset="0"/>
                  </a:rPr>
                  <a:t> Power (W)</a:t>
                </a:r>
                <a:endParaRPr lang="en-US" sz="600"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6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785331168"/>
        <c:crosses val="autoZero"/>
        <c:crossBetween val="midCat"/>
      </c:valAx>
      <c:valAx>
        <c:axId val="1785331168"/>
        <c:scaling>
          <c:orientation val="minMax"/>
          <c:min val="40"/>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600" b="1" i="0" u="none" strike="noStrike" kern="1200" baseline="0">
                    <a:solidFill>
                      <a:schemeClr val="tx1">
                        <a:lumMod val="65000"/>
                        <a:lumOff val="35000"/>
                      </a:schemeClr>
                    </a:solidFill>
                    <a:latin typeface="+mn-lt"/>
                    <a:ea typeface="+mn-ea"/>
                    <a:cs typeface="+mn-cs"/>
                  </a:defRPr>
                </a:pPr>
                <a:r>
                  <a:rPr lang="en-US" sz="600" b="1">
                    <a:latin typeface="Times New Roman" panose="02020603050405020304" pitchFamily="18" charset="0"/>
                    <a:cs typeface="Times New Roman" panose="02020603050405020304" pitchFamily="18" charset="0"/>
                  </a:rPr>
                  <a:t>Top</a:t>
                </a:r>
                <a:r>
                  <a:rPr lang="en-US" sz="600" b="1" baseline="0">
                    <a:latin typeface="Times New Roman" panose="02020603050405020304" pitchFamily="18" charset="0"/>
                    <a:cs typeface="Times New Roman" panose="02020603050405020304" pitchFamily="18" charset="0"/>
                  </a:rPr>
                  <a:t> Speed (Km/h)</a:t>
                </a:r>
                <a:endParaRPr lang="en-US" sz="600" b="1">
                  <a:latin typeface="Times New Roman" panose="02020603050405020304" pitchFamily="18" charset="0"/>
                  <a:cs typeface="Times New Roman" panose="02020603050405020304" pitchFamily="18" charset="0"/>
                </a:endParaRPr>
              </a:p>
            </c:rich>
          </c:tx>
          <c:layout>
            <c:manualLayout>
              <c:xMode val="edge"/>
              <c:yMode val="edge"/>
              <c:x val="7.0323488045007029E-2"/>
              <c:y val="0.26790757903049728"/>
            </c:manualLayout>
          </c:layout>
          <c:overlay val="0"/>
          <c:spPr>
            <a:noFill/>
            <a:ln>
              <a:noFill/>
            </a:ln>
            <a:effectLst/>
          </c:spPr>
          <c:txPr>
            <a:bodyPr rot="-5400000" spcFirstLastPara="1" vertOverflow="ellipsis" vert="horz" wrap="square" anchor="ctr" anchorCtr="1"/>
            <a:lstStyle/>
            <a:p>
              <a:pPr>
                <a:defRPr sz="6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785335328"/>
        <c:crosses val="autoZero"/>
        <c:crossBetween val="midCat"/>
      </c:valAx>
      <c:spPr>
        <a:noFill/>
        <a:ln w="12700">
          <a:solidFill>
            <a:sysClr val="windowText" lastClr="000000"/>
          </a:solid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391443823145297"/>
          <c:y val="8.1845238095238096E-2"/>
          <c:w val="0.5692095553273232"/>
          <c:h val="0.67553313648293967"/>
        </c:manualLayout>
      </c:layout>
      <c:scatterChart>
        <c:scatterStyle val="smoothMarker"/>
        <c:varyColors val="0"/>
        <c:ser>
          <c:idx val="0"/>
          <c:order val="0"/>
          <c:tx>
            <c:strRef>
              <c:f>'[c BatteryCapacity_vs_MotorPower.xlsx]Sheet1'!$B$1</c:f>
              <c:strCache>
                <c:ptCount val="1"/>
                <c:pt idx="0">
                  <c:v>Motor Power (Watt)</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1.9274855135861642E-2"/>
                  <c:y val="-2.2321428571428572E-2"/>
                </c:manualLayout>
              </c:layout>
              <c:numFmt formatCode="General" sourceLinked="0"/>
              <c:spPr>
                <a:noFill/>
                <a:ln>
                  <a:noFill/>
                </a:ln>
                <a:effectLst/>
              </c:spPr>
              <c:txPr>
                <a:bodyPr rot="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rendlineLbl>
          </c:trendline>
          <c:xVal>
            <c:numRef>
              <c:f>'[c BatteryCapacity_vs_MotorPower.xlsx]Sheet1'!$A$2:$A$8</c:f>
              <c:numCache>
                <c:formatCode>General</c:formatCode>
                <c:ptCount val="7"/>
                <c:pt idx="0">
                  <c:v>20</c:v>
                </c:pt>
                <c:pt idx="1">
                  <c:v>25</c:v>
                </c:pt>
                <c:pt idx="2">
                  <c:v>30</c:v>
                </c:pt>
                <c:pt idx="3">
                  <c:v>35</c:v>
                </c:pt>
                <c:pt idx="4">
                  <c:v>40</c:v>
                </c:pt>
                <c:pt idx="5">
                  <c:v>45</c:v>
                </c:pt>
                <c:pt idx="6">
                  <c:v>50</c:v>
                </c:pt>
              </c:numCache>
            </c:numRef>
          </c:xVal>
          <c:yVal>
            <c:numRef>
              <c:f>'[c BatteryCapacity_vs_MotorPower.xlsx]Sheet1'!$B$2:$B$8</c:f>
              <c:numCache>
                <c:formatCode>General</c:formatCode>
                <c:ptCount val="7"/>
                <c:pt idx="0">
                  <c:v>900</c:v>
                </c:pt>
                <c:pt idx="1">
                  <c:v>1200</c:v>
                </c:pt>
                <c:pt idx="2">
                  <c:v>1700</c:v>
                </c:pt>
                <c:pt idx="3">
                  <c:v>2000</c:v>
                </c:pt>
                <c:pt idx="4">
                  <c:v>2400</c:v>
                </c:pt>
                <c:pt idx="5">
                  <c:v>2700</c:v>
                </c:pt>
                <c:pt idx="6">
                  <c:v>3100</c:v>
                </c:pt>
              </c:numCache>
            </c:numRef>
          </c:yVal>
          <c:smooth val="1"/>
          <c:extLst>
            <c:ext xmlns:c16="http://schemas.microsoft.com/office/drawing/2014/chart" uri="{C3380CC4-5D6E-409C-BE32-E72D297353CC}">
              <c16:uniqueId val="{00000000-D961-45D7-9548-D50A3DFEEE74}"/>
            </c:ext>
          </c:extLst>
        </c:ser>
        <c:dLbls>
          <c:showLegendKey val="0"/>
          <c:showVal val="0"/>
          <c:showCatName val="0"/>
          <c:showSerName val="0"/>
          <c:showPercent val="0"/>
          <c:showBubbleSize val="0"/>
        </c:dLbls>
        <c:axId val="2092840288"/>
        <c:axId val="2092826848"/>
      </c:scatterChart>
      <c:valAx>
        <c:axId val="2092840288"/>
        <c:scaling>
          <c:orientation val="minMax"/>
          <c:min val="20"/>
        </c:scaling>
        <c:delete val="0"/>
        <c:axPos val="b"/>
        <c:title>
          <c:tx>
            <c:rich>
              <a:bodyPr rot="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600" b="1">
                    <a:latin typeface="Times New Roman" panose="02020603050405020304" pitchFamily="18" charset="0"/>
                    <a:cs typeface="Times New Roman" panose="02020603050405020304" pitchFamily="18" charset="0"/>
                  </a:rPr>
                  <a:t>Motor</a:t>
                </a:r>
                <a:r>
                  <a:rPr lang="en-US" sz="600" b="1" baseline="0">
                    <a:latin typeface="Times New Roman" panose="02020603050405020304" pitchFamily="18" charset="0"/>
                    <a:cs typeface="Times New Roman" panose="02020603050405020304" pitchFamily="18" charset="0"/>
                  </a:rPr>
                  <a:t> Power (Watt)</a:t>
                </a:r>
                <a:endParaRPr lang="en-US" sz="600"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092826848"/>
        <c:crosses val="autoZero"/>
        <c:crossBetween val="midCat"/>
      </c:valAx>
      <c:valAx>
        <c:axId val="2092826848"/>
        <c:scaling>
          <c:orientation val="minMax"/>
          <c:min val="500"/>
        </c:scaling>
        <c:delete val="0"/>
        <c:axPos val="l"/>
        <c:title>
          <c:tx>
            <c:rich>
              <a:bodyPr rot="-54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600" b="1">
                    <a:latin typeface="Times New Roman" panose="02020603050405020304" pitchFamily="18" charset="0"/>
                    <a:cs typeface="Times New Roman" panose="02020603050405020304" pitchFamily="18" charset="0"/>
                  </a:rPr>
                  <a:t>Battery Capacity (Ah)</a:t>
                </a:r>
              </a:p>
            </c:rich>
          </c:tx>
          <c:overlay val="0"/>
          <c:spPr>
            <a:noFill/>
            <a:ln>
              <a:noFill/>
            </a:ln>
            <a:effectLst/>
          </c:spPr>
          <c:txPr>
            <a:bodyPr rot="-54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6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092840288"/>
        <c:crosses val="autoZero"/>
        <c:crossBetween val="midCat"/>
      </c:valAx>
      <c:spPr>
        <a:noFill/>
        <a:ln w="12700">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sz="800">
                <a:latin typeface="Times New Roman" panose="02020603050405020304" pitchFamily="18" charset="0"/>
                <a:cs typeface="Times New Roman" panose="02020603050405020304" pitchFamily="18" charset="0"/>
              </a:rPr>
              <a:t>Battery</a:t>
            </a:r>
            <a:r>
              <a:rPr lang="en-US" sz="800" baseline="0">
                <a:latin typeface="Times New Roman" panose="02020603050405020304" pitchFamily="18" charset="0"/>
                <a:cs typeface="Times New Roman" panose="02020603050405020304" pitchFamily="18" charset="0"/>
              </a:rPr>
              <a:t> Type Distribution</a:t>
            </a:r>
            <a:r>
              <a:rPr lang="en-US" sz="800" baseline="0"/>
              <a:t> </a:t>
            </a:r>
            <a:endParaRPr lang="en-US" sz="800"/>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plotArea>
      <c:layout/>
      <c:barChart>
        <c:barDir val="col"/>
        <c:grouping val="clustered"/>
        <c:varyColors val="0"/>
        <c:ser>
          <c:idx val="0"/>
          <c:order val="0"/>
          <c:tx>
            <c:strRef>
              <c:f>'[Electric_Motorcycle_Graph_Data (3).xlsx]Battery Types'!$B$1</c:f>
              <c:strCache>
                <c:ptCount val="1"/>
                <c:pt idx="0">
                  <c:v>Count</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'[Electric_Motorcycle_Graph_Data (3).xlsx]Battery Types'!$A$2:$A$7</c:f>
              <c:strCache>
                <c:ptCount val="6"/>
                <c:pt idx="0">
                  <c:v>VRLA</c:v>
                </c:pt>
                <c:pt idx="1">
                  <c:v>Lithium</c:v>
                </c:pt>
                <c:pt idx="2">
                  <c:v>Portable Lithium</c:v>
                </c:pt>
                <c:pt idx="3">
                  <c:v>Lead Acid</c:v>
                </c:pt>
                <c:pt idx="4">
                  <c:v>Graphene Lead</c:v>
                </c:pt>
                <c:pt idx="5">
                  <c:v>Lead Acid (Removable)</c:v>
                </c:pt>
              </c:strCache>
            </c:strRef>
          </c:cat>
          <c:val>
            <c:numRef>
              <c:f>'[Electric_Motorcycle_Graph_Data (3).xlsx]Battery Types'!$B$2:$B$7</c:f>
              <c:numCache>
                <c:formatCode>General</c:formatCode>
                <c:ptCount val="6"/>
                <c:pt idx="0">
                  <c:v>4</c:v>
                </c:pt>
                <c:pt idx="1">
                  <c:v>6</c:v>
                </c:pt>
                <c:pt idx="2">
                  <c:v>1</c:v>
                </c:pt>
                <c:pt idx="3">
                  <c:v>1</c:v>
                </c:pt>
                <c:pt idx="4">
                  <c:v>1</c:v>
                </c:pt>
                <c:pt idx="5">
                  <c:v>1</c:v>
                </c:pt>
              </c:numCache>
            </c:numRef>
          </c:val>
          <c:extLst>
            <c:ext xmlns:c16="http://schemas.microsoft.com/office/drawing/2014/chart" uri="{C3380CC4-5D6E-409C-BE32-E72D297353CC}">
              <c16:uniqueId val="{00000000-E386-4687-ADB0-F9135D4B20FF}"/>
            </c:ext>
          </c:extLst>
        </c:ser>
        <c:dLbls>
          <c:dLblPos val="inEnd"/>
          <c:showLegendKey val="0"/>
          <c:showVal val="1"/>
          <c:showCatName val="0"/>
          <c:showSerName val="0"/>
          <c:showPercent val="0"/>
          <c:showBubbleSize val="0"/>
        </c:dLbls>
        <c:gapWidth val="164"/>
        <c:overlap val="-22"/>
        <c:axId val="1670540719"/>
        <c:axId val="1670542159"/>
      </c:barChart>
      <c:catAx>
        <c:axId val="1670540719"/>
        <c:scaling>
          <c:orientation val="minMax"/>
        </c:scaling>
        <c:delete val="0"/>
        <c:axPos val="b"/>
        <c:title>
          <c:tx>
            <c:rich>
              <a:bodyPr rot="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800">
                    <a:latin typeface="Times New Roman" panose="02020603050405020304" pitchFamily="18" charset="0"/>
                    <a:cs typeface="Times New Roman" panose="02020603050405020304" pitchFamily="18" charset="0"/>
                  </a:rPr>
                  <a:t>Battery Type </a:t>
                </a:r>
              </a:p>
            </c:rich>
          </c:tx>
          <c:overlay val="0"/>
          <c:spPr>
            <a:noFill/>
            <a:ln>
              <a:noFill/>
            </a:ln>
            <a:effectLst/>
          </c:spPr>
          <c:txPr>
            <a:bodyPr rot="0" spcFirstLastPara="1" vertOverflow="ellipsis" vert="horz" wrap="square" anchor="ctr" anchorCtr="1"/>
            <a:lstStyle/>
            <a:p>
              <a:pPr>
                <a:defRPr sz="8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70542159"/>
        <c:crosses val="autoZero"/>
        <c:auto val="1"/>
        <c:lblAlgn val="ctr"/>
        <c:lblOffset val="100"/>
        <c:noMultiLvlLbl val="0"/>
      </c:catAx>
      <c:valAx>
        <c:axId val="1670542159"/>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800">
                    <a:latin typeface="Times New Roman" panose="02020603050405020304" pitchFamily="18" charset="0"/>
                    <a:cs typeface="Times New Roman" panose="02020603050405020304" pitchFamily="18" charset="0"/>
                  </a:rPr>
                  <a:t>Count</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0540719"/>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lumMod val="75000"/>
                    <a:lumOff val="25000"/>
                  </a:sysClr>
                </a:solidFill>
                <a:latin typeface="+mn-lt"/>
                <a:ea typeface="+mn-ea"/>
                <a:cs typeface="+mn-cs"/>
              </a:defRPr>
            </a:pPr>
            <a:r>
              <a:rPr lang="en-US" sz="800" b="0" i="0" baseline="0">
                <a:effectLst/>
                <a:latin typeface="Times New Roman" panose="02020603050405020304" pitchFamily="18" charset="0"/>
                <a:cs typeface="Times New Roman" panose="02020603050405020304" pitchFamily="18" charset="0"/>
              </a:rPr>
              <a:t>PercentageBattery Type Preference in Electric Motorcycles (Bangladesh) </a:t>
            </a:r>
            <a:endParaRPr lang="en-US" sz="800">
              <a:effectLst/>
              <a:latin typeface="Times New Roman" panose="02020603050405020304" pitchFamily="18" charset="0"/>
              <a:cs typeface="Times New Roman" panose="02020603050405020304" pitchFamily="18" charset="0"/>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75000"/>
                    <a:lumOff val="25000"/>
                  </a:sysClr>
                </a:solidFill>
              </a:defRPr>
            </a:pPr>
            <a:endParaRPr lang="en-US"/>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lumMod val="75000"/>
                  <a:lumOff val="25000"/>
                </a:sysClr>
              </a:solidFill>
              <a:latin typeface="+mn-lt"/>
              <a:ea typeface="+mn-ea"/>
              <a:cs typeface="+mn-cs"/>
            </a:defRPr>
          </a:pPr>
          <a:endParaRPr lang="en-US"/>
        </a:p>
      </c:txPr>
    </c:title>
    <c:autoTitleDeleted val="0"/>
    <c:plotArea>
      <c:layout/>
      <c:pieChart>
        <c:varyColors val="1"/>
        <c:ser>
          <c:idx val="0"/>
          <c:order val="0"/>
          <c:tx>
            <c:strRef>
              <c:f>'[Electric_Motorcycle_Graph_Data (3).xlsx]Battery Preference'!$B$1</c:f>
              <c:strCache>
                <c:ptCount val="1"/>
                <c:pt idx="0">
                  <c:v>Percentage</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B0B0-48E0-9787-C4AF8562EAD3}"/>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B0B0-48E0-9787-C4AF8562EAD3}"/>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'[Electric_Motorcycle_Graph_Data (3).xlsx]Battery Preference'!$A$2:$A$3</c:f>
              <c:strCache>
                <c:ptCount val="2"/>
                <c:pt idx="0">
                  <c:v>Lead-Acid Battery</c:v>
                </c:pt>
                <c:pt idx="1">
                  <c:v>Lithium-Ion Battery</c:v>
                </c:pt>
              </c:strCache>
            </c:strRef>
          </c:cat>
          <c:val>
            <c:numRef>
              <c:f>'[Electric_Motorcycle_Graph_Data (3).xlsx]Battery Preference'!$B$2:$B$3</c:f>
              <c:numCache>
                <c:formatCode>General</c:formatCode>
                <c:ptCount val="2"/>
                <c:pt idx="0">
                  <c:v>65</c:v>
                </c:pt>
                <c:pt idx="1">
                  <c:v>35</c:v>
                </c:pt>
              </c:numCache>
            </c:numRef>
          </c:val>
          <c:extLst>
            <c:ext xmlns:c16="http://schemas.microsoft.com/office/drawing/2014/chart" uri="{C3380CC4-5D6E-409C-BE32-E72D297353CC}">
              <c16:uniqueId val="{00000004-B0B0-48E0-9787-C4AF8562EAD3}"/>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8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cap="all" spc="50" baseline="0">
                <a:solidFill>
                  <a:schemeClr val="tx1">
                    <a:lumMod val="65000"/>
                    <a:lumOff val="35000"/>
                  </a:schemeClr>
                </a:solidFill>
                <a:latin typeface="+mn-lt"/>
                <a:ea typeface="+mn-ea"/>
                <a:cs typeface="+mn-cs"/>
              </a:defRPr>
            </a:pPr>
            <a:r>
              <a:rPr lang="en-US" sz="800">
                <a:latin typeface="Times New Roman" panose="02020603050405020304" pitchFamily="18" charset="0"/>
                <a:cs typeface="Times New Roman" panose="02020603050405020304" pitchFamily="18" charset="0"/>
              </a:rPr>
              <a:t>Customer Sentiment Distribution </a:t>
            </a:r>
          </a:p>
        </c:rich>
      </c:tx>
      <c:overlay val="0"/>
      <c:spPr>
        <a:noFill/>
        <a:ln>
          <a:noFill/>
        </a:ln>
        <a:effectLst/>
      </c:spPr>
      <c:txPr>
        <a:bodyPr rot="0" spcFirstLastPara="1" vertOverflow="ellipsis" vert="horz" wrap="square" anchor="ctr" anchorCtr="1"/>
        <a:lstStyle/>
        <a:p>
          <a:pPr>
            <a:defRPr sz="84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'[Electric_Motorcycle_Graph_Data (1).xlsx]Sentiment'!$B$1</c:f>
              <c:strCache>
                <c:ptCount val="1"/>
                <c:pt idx="0">
                  <c:v>Percentage</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8D59-4A87-9CA5-3A4B441D6BA6}"/>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8D59-4A87-9CA5-3A4B441D6BA6}"/>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8D59-4A87-9CA5-3A4B441D6BA6}"/>
              </c:ext>
            </c:extLst>
          </c:dPt>
          <c:dLbls>
            <c:dLbl>
              <c:idx val="0"/>
              <c:layout>
                <c:manualLayout>
                  <c:x val="-0.14920809700898205"/>
                  <c:y val="-0.16659762041939891"/>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D59-4A87-9CA5-3A4B441D6BA6}"/>
                </c:ext>
              </c:extLst>
            </c:dLbl>
            <c:dLbl>
              <c:idx val="1"/>
              <c:layout>
                <c:manualLayout>
                  <c:x val="0.18156219918420488"/>
                  <c:y val="6.7770949363036834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D59-4A87-9CA5-3A4B441D6BA6}"/>
                </c:ext>
              </c:extLst>
            </c:dLbl>
            <c:spPr>
              <a:noFill/>
              <a:ln>
                <a:noFill/>
              </a:ln>
              <a:effectLst/>
            </c:spPr>
            <c:txPr>
              <a:bodyPr rot="0" spcFirstLastPara="1" vertOverflow="ellipsis" vert="horz" wrap="square" anchor="ctr" anchorCtr="1"/>
              <a:lstStyle/>
              <a:p>
                <a:pPr>
                  <a:defRPr sz="8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'[Electric_Motorcycle_Graph_Data (1).xlsx]Sentiment'!$A$2:$A$4</c:f>
              <c:strCache>
                <c:ptCount val="3"/>
                <c:pt idx="0">
                  <c:v>Positive</c:v>
                </c:pt>
                <c:pt idx="1">
                  <c:v>Neutral</c:v>
                </c:pt>
                <c:pt idx="2">
                  <c:v>Negative</c:v>
                </c:pt>
              </c:strCache>
            </c:strRef>
          </c:cat>
          <c:val>
            <c:numRef>
              <c:f>'[Electric_Motorcycle_Graph_Data (1).xlsx]Sentiment'!$B$2:$B$4</c:f>
              <c:numCache>
                <c:formatCode>General</c:formatCode>
                <c:ptCount val="3"/>
                <c:pt idx="0">
                  <c:v>72.7</c:v>
                </c:pt>
                <c:pt idx="1">
                  <c:v>18.2</c:v>
                </c:pt>
                <c:pt idx="2">
                  <c:v>9.1</c:v>
                </c:pt>
              </c:numCache>
            </c:numRef>
          </c:val>
          <c:extLst>
            <c:ext xmlns:c16="http://schemas.microsoft.com/office/drawing/2014/chart" uri="{C3380CC4-5D6E-409C-BE32-E72D297353CC}">
              <c16:uniqueId val="{00000006-8D59-4A87-9CA5-3A4B441D6BA6}"/>
            </c:ext>
          </c:extLst>
        </c:ser>
        <c:dLbls>
          <c:dLblPos val="inEnd"/>
          <c:showLegendKey val="0"/>
          <c:showVal val="1"/>
          <c:showCatName val="0"/>
          <c:showSerName val="0"/>
          <c:showPercent val="0"/>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0CDD14-ED6E-4E87-BE20-2187A394429E}" type="doc">
      <dgm:prSet loTypeId="urn:microsoft.com/office/officeart/2005/8/layout/radial1" loCatId="cycle" qsTypeId="urn:microsoft.com/office/officeart/2005/8/quickstyle/simple1" qsCatId="simple" csTypeId="urn:microsoft.com/office/officeart/2005/8/colors/colorful4" csCatId="colorful" phldr="1"/>
      <dgm:spPr/>
      <dgm:t>
        <a:bodyPr/>
        <a:lstStyle/>
        <a:p>
          <a:endParaRPr lang="en-US"/>
        </a:p>
      </dgm:t>
    </dgm:pt>
    <dgm:pt modelId="{576383EB-8703-4495-9D34-5D5DCA058456}">
      <dgm:prSet phldrT="[Text]" custT="1"/>
      <dgm:spPr/>
      <dgm:t>
        <a:bodyPr/>
        <a:lstStyle/>
        <a:p>
          <a:pPr algn="ctr"/>
          <a:r>
            <a:rPr lang="en-US" sz="1000" b="1">
              <a:latin typeface="Times New Roman" panose="02020603050405020304" pitchFamily="18" charset="0"/>
              <a:cs typeface="Times New Roman" panose="02020603050405020304" pitchFamily="18" charset="0"/>
            </a:rPr>
            <a:t>Technical Analysis</a:t>
          </a:r>
        </a:p>
      </dgm:t>
    </dgm:pt>
    <dgm:pt modelId="{8E4315A1-CC23-41F7-96BF-9C00BA947116}">
      <dgm:prSet phldrT="[Text]" custT="1"/>
      <dgm:spPr/>
      <dgm:t>
        <a:bodyPr/>
        <a:lstStyle/>
        <a:p>
          <a:pPr algn="ctr"/>
          <a:r>
            <a:rPr lang="en-US" sz="1000" b="1">
              <a:latin typeface="Times New Roman" panose="02020603050405020304" pitchFamily="18" charset="0"/>
              <a:cs typeface="Times New Roman" panose="02020603050405020304" pitchFamily="18" charset="0"/>
            </a:rPr>
            <a:t>Rider;s Profit </a:t>
          </a:r>
          <a:br>
            <a:rPr lang="en-US" sz="1000" b="1">
              <a:latin typeface="Times New Roman" panose="02020603050405020304" pitchFamily="18" charset="0"/>
              <a:cs typeface="Times New Roman" panose="02020603050405020304" pitchFamily="18" charset="0"/>
            </a:rPr>
          </a:br>
          <a:r>
            <a:rPr lang="en-US" sz="1000" b="1">
              <a:latin typeface="Times New Roman" panose="02020603050405020304" pitchFamily="18" charset="0"/>
              <a:cs typeface="Times New Roman" panose="02020603050405020304" pitchFamily="18" charset="0"/>
            </a:rPr>
            <a:t>Analysis </a:t>
          </a:r>
        </a:p>
      </dgm:t>
    </dgm:pt>
    <dgm:pt modelId="{FB80907F-3614-4107-B000-51586D15E434}">
      <dgm:prSet phldrT="[Text]" custT="1"/>
      <dgm:spPr/>
      <dgm:t>
        <a:bodyPr/>
        <a:lstStyle/>
        <a:p>
          <a:pPr algn="ctr"/>
          <a:r>
            <a:rPr lang="en-US" sz="1000" b="1">
              <a:latin typeface="Times New Roman" panose="02020603050405020304" pitchFamily="18" charset="0"/>
              <a:cs typeface="Times New Roman" panose="02020603050405020304" pitchFamily="18" charset="0"/>
            </a:rPr>
            <a:t>CO</a:t>
          </a:r>
          <a:r>
            <a:rPr lang="en-US" sz="1000" b="1" baseline="-25000">
              <a:latin typeface="Times New Roman" panose="02020603050405020304" pitchFamily="18" charset="0"/>
              <a:cs typeface="Times New Roman" panose="02020603050405020304" pitchFamily="18" charset="0"/>
            </a:rPr>
            <a:t>2</a:t>
          </a:r>
          <a:r>
            <a:rPr lang="en-US" sz="1000" b="1" baseline="0">
              <a:latin typeface="Times New Roman" panose="02020603050405020304" pitchFamily="18" charset="0"/>
              <a:cs typeface="Times New Roman" panose="02020603050405020304" pitchFamily="18" charset="0"/>
            </a:rPr>
            <a:t> Emission Estimation</a:t>
          </a:r>
          <a:r>
            <a:rPr lang="en-US" sz="1200" b="1" baseline="0">
              <a:latin typeface="Times New Roman" panose="02020603050405020304" pitchFamily="18" charset="0"/>
              <a:cs typeface="Times New Roman" panose="02020603050405020304" pitchFamily="18" charset="0"/>
            </a:rPr>
            <a:t> </a:t>
          </a:r>
          <a:endParaRPr lang="en-US" sz="1200" b="1" baseline="-25000">
            <a:latin typeface="Times New Roman" panose="02020603050405020304" pitchFamily="18" charset="0"/>
            <a:cs typeface="Times New Roman" panose="02020603050405020304" pitchFamily="18" charset="0"/>
          </a:endParaRPr>
        </a:p>
      </dgm:t>
    </dgm:pt>
    <dgm:pt modelId="{8A28C167-0CCA-417E-9CDC-235272D08C7C}">
      <dgm:prSet phldrT="[Text]" custT="1"/>
      <dgm:spPr/>
      <dgm:t>
        <a:bodyPr/>
        <a:lstStyle/>
        <a:p>
          <a:pPr algn="ctr"/>
          <a:r>
            <a:rPr lang="en-US" sz="1000" b="1">
              <a:latin typeface="Times New Roman" panose="02020603050405020304" pitchFamily="18" charset="0"/>
              <a:cs typeface="Times New Roman" panose="02020603050405020304" pitchFamily="18" charset="0"/>
            </a:rPr>
            <a:t>Data</a:t>
          </a:r>
        </a:p>
        <a:p>
          <a:pPr algn="ctr"/>
          <a:r>
            <a:rPr lang="en-US" sz="1000" b="1">
              <a:latin typeface="Times New Roman" panose="02020603050405020304" pitchFamily="18" charset="0"/>
              <a:cs typeface="Times New Roman" panose="02020603050405020304" pitchFamily="18" charset="0"/>
            </a:rPr>
            <a:t>Collection</a:t>
          </a:r>
          <a:r>
            <a:rPr lang="en-US" sz="1200" b="1">
              <a:latin typeface="Times New Roman" panose="02020603050405020304" pitchFamily="18" charset="0"/>
              <a:cs typeface="Times New Roman" panose="02020603050405020304" pitchFamily="18" charset="0"/>
            </a:rPr>
            <a:t> </a:t>
          </a:r>
        </a:p>
      </dgm:t>
    </dgm:pt>
    <dgm:pt modelId="{D803BD7D-95F4-4205-8B35-6DC655D431C6}">
      <dgm:prSet phldrT="[Text]" custT="1"/>
      <dgm:spPr/>
      <dgm:t>
        <a:bodyPr/>
        <a:lstStyle/>
        <a:p>
          <a:pPr algn="ctr"/>
          <a:r>
            <a:rPr lang="en-US" sz="1400">
              <a:latin typeface="Times New Roman" panose="02020603050405020304" pitchFamily="18" charset="0"/>
              <a:cs typeface="Times New Roman" panose="02020603050405020304" pitchFamily="18" charset="0"/>
            </a:rPr>
            <a:t>Result</a:t>
          </a:r>
          <a:r>
            <a:rPr lang="en-US" sz="3100"/>
            <a:t> </a:t>
          </a:r>
        </a:p>
      </dgm:t>
    </dgm:pt>
    <dgm:pt modelId="{2465A74F-2F7D-4C9B-B90F-9DE784E5B636}" type="sibTrans" cxnId="{EF4402DB-85CA-4ABF-A894-7C3AEF12589C}">
      <dgm:prSet/>
      <dgm:spPr/>
      <dgm:t>
        <a:bodyPr/>
        <a:lstStyle/>
        <a:p>
          <a:pPr algn="ctr"/>
          <a:endParaRPr lang="en-US"/>
        </a:p>
      </dgm:t>
    </dgm:pt>
    <dgm:pt modelId="{516D5B82-2621-4394-BACE-FE7C1017546B}" type="parTrans" cxnId="{EF4402DB-85CA-4ABF-A894-7C3AEF12589C}">
      <dgm:prSet/>
      <dgm:spPr/>
      <dgm:t>
        <a:bodyPr/>
        <a:lstStyle/>
        <a:p>
          <a:pPr algn="ctr"/>
          <a:endParaRPr lang="en-US"/>
        </a:p>
      </dgm:t>
    </dgm:pt>
    <dgm:pt modelId="{C919476E-18AB-4F51-9B50-2A6886A20F30}" type="sibTrans" cxnId="{6BE91C61-E140-48B5-9CA6-13A4BE46E145}">
      <dgm:prSet/>
      <dgm:spPr/>
      <dgm:t>
        <a:bodyPr/>
        <a:lstStyle/>
        <a:p>
          <a:pPr algn="ctr"/>
          <a:endParaRPr lang="en-US"/>
        </a:p>
      </dgm:t>
    </dgm:pt>
    <dgm:pt modelId="{E674EA30-2CF6-4E40-8360-E5ECA0703DAC}" type="parTrans" cxnId="{6BE91C61-E140-48B5-9CA6-13A4BE46E145}">
      <dgm:prSet/>
      <dgm:spPr/>
      <dgm:t>
        <a:bodyPr/>
        <a:lstStyle/>
        <a:p>
          <a:pPr algn="ctr"/>
          <a:endParaRPr lang="en-US"/>
        </a:p>
      </dgm:t>
    </dgm:pt>
    <dgm:pt modelId="{A8F92C6E-2328-416D-92BD-D660A1B2F088}" type="sibTrans" cxnId="{C09C377B-DF79-440C-8883-63A77D79368C}">
      <dgm:prSet/>
      <dgm:spPr/>
      <dgm:t>
        <a:bodyPr/>
        <a:lstStyle/>
        <a:p>
          <a:pPr algn="ctr"/>
          <a:endParaRPr lang="en-US"/>
        </a:p>
      </dgm:t>
    </dgm:pt>
    <dgm:pt modelId="{6B131A0B-22FA-4960-8856-F8E9EC1C36B7}" type="parTrans" cxnId="{C09C377B-DF79-440C-8883-63A77D79368C}">
      <dgm:prSet/>
      <dgm:spPr/>
      <dgm:t>
        <a:bodyPr/>
        <a:lstStyle/>
        <a:p>
          <a:pPr algn="ctr"/>
          <a:endParaRPr lang="en-US"/>
        </a:p>
      </dgm:t>
    </dgm:pt>
    <dgm:pt modelId="{CCB43C53-D727-44E5-AC94-3DD989B63464}" type="sibTrans" cxnId="{0539F6BA-D82F-49E5-B489-D65E77FC9966}">
      <dgm:prSet/>
      <dgm:spPr/>
      <dgm:t>
        <a:bodyPr/>
        <a:lstStyle/>
        <a:p>
          <a:pPr algn="ctr"/>
          <a:endParaRPr lang="en-US"/>
        </a:p>
      </dgm:t>
    </dgm:pt>
    <dgm:pt modelId="{F2ADD9E2-02B4-4AB3-A58D-D40956F436DD}" type="parTrans" cxnId="{0539F6BA-D82F-49E5-B489-D65E77FC9966}">
      <dgm:prSet/>
      <dgm:spPr/>
      <dgm:t>
        <a:bodyPr/>
        <a:lstStyle/>
        <a:p>
          <a:pPr algn="ctr"/>
          <a:endParaRPr lang="en-US"/>
        </a:p>
      </dgm:t>
    </dgm:pt>
    <dgm:pt modelId="{0BEDD06F-0966-4CFE-B8F5-E14D65324ABC}" type="sibTrans" cxnId="{3E419CDC-2BDB-4C20-856B-A98CDB42045E}">
      <dgm:prSet/>
      <dgm:spPr/>
      <dgm:t>
        <a:bodyPr/>
        <a:lstStyle/>
        <a:p>
          <a:pPr algn="ctr"/>
          <a:endParaRPr lang="en-US"/>
        </a:p>
      </dgm:t>
    </dgm:pt>
    <dgm:pt modelId="{685914BD-B86A-4362-B8AC-71251FE62D4F}" type="parTrans" cxnId="{3E419CDC-2BDB-4C20-856B-A98CDB42045E}">
      <dgm:prSet/>
      <dgm:spPr/>
      <dgm:t>
        <a:bodyPr/>
        <a:lstStyle/>
        <a:p>
          <a:pPr algn="ctr"/>
          <a:endParaRPr lang="en-US"/>
        </a:p>
      </dgm:t>
    </dgm:pt>
    <dgm:pt modelId="{9ABE4933-93EF-4542-BE21-B4CD3725FB78}">
      <dgm:prSet custT="1"/>
      <dgm:spPr/>
      <dgm:t>
        <a:bodyPr/>
        <a:lstStyle/>
        <a:p>
          <a:pPr algn="ctr"/>
          <a:r>
            <a:rPr lang="en-US" sz="1000" b="1">
              <a:latin typeface="Times New Roman" panose="02020603050405020304" pitchFamily="18" charset="0"/>
              <a:cs typeface="Times New Roman" panose="02020603050405020304" pitchFamily="18" charset="0"/>
            </a:rPr>
            <a:t>Cost Comparison</a:t>
          </a:r>
          <a:endParaRPr lang="en-US" sz="1000">
            <a:latin typeface="Times New Roman" panose="02020603050405020304" pitchFamily="18" charset="0"/>
            <a:cs typeface="Times New Roman" panose="02020603050405020304" pitchFamily="18" charset="0"/>
          </a:endParaRPr>
        </a:p>
      </dgm:t>
    </dgm:pt>
    <dgm:pt modelId="{520ADD82-E045-415F-A6A2-663F117FAAE6}" type="parTrans" cxnId="{FB88C2B0-0463-4FB9-A70C-710E6A7FC0EB}">
      <dgm:prSet/>
      <dgm:spPr/>
      <dgm:t>
        <a:bodyPr/>
        <a:lstStyle/>
        <a:p>
          <a:pPr algn="ctr"/>
          <a:endParaRPr lang="en-US"/>
        </a:p>
      </dgm:t>
    </dgm:pt>
    <dgm:pt modelId="{70974119-AA48-4A0F-ADA2-BDD8EFE7AE0F}" type="sibTrans" cxnId="{FB88C2B0-0463-4FB9-A70C-710E6A7FC0EB}">
      <dgm:prSet/>
      <dgm:spPr/>
      <dgm:t>
        <a:bodyPr/>
        <a:lstStyle/>
        <a:p>
          <a:pPr algn="ctr"/>
          <a:endParaRPr lang="en-US"/>
        </a:p>
      </dgm:t>
    </dgm:pt>
    <dgm:pt modelId="{5EBCC259-345F-4EA3-A5AC-F72BA1A7BAFE}" type="pres">
      <dgm:prSet presAssocID="{890CDD14-ED6E-4E87-BE20-2187A394429E}" presName="cycle" presStyleCnt="0">
        <dgm:presLayoutVars>
          <dgm:chMax val="1"/>
          <dgm:dir/>
          <dgm:animLvl val="ctr"/>
          <dgm:resizeHandles val="exact"/>
        </dgm:presLayoutVars>
      </dgm:prSet>
      <dgm:spPr/>
      <dgm:t>
        <a:bodyPr/>
        <a:lstStyle/>
        <a:p>
          <a:endParaRPr lang="en-US"/>
        </a:p>
      </dgm:t>
    </dgm:pt>
    <dgm:pt modelId="{D65CD4B5-91FF-4A7F-BBB3-5A61D4CD9F2F}" type="pres">
      <dgm:prSet presAssocID="{D803BD7D-95F4-4205-8B35-6DC655D431C6}" presName="centerShape" presStyleLbl="node0" presStyleIdx="0" presStyleCnt="1" custScaleX="114167" custScaleY="109359" custLinFactNeighborX="-582" custLinFactNeighborY="10193"/>
      <dgm:spPr/>
      <dgm:t>
        <a:bodyPr/>
        <a:lstStyle/>
        <a:p>
          <a:endParaRPr lang="en-US"/>
        </a:p>
      </dgm:t>
    </dgm:pt>
    <dgm:pt modelId="{2528F257-861B-4F5D-B064-0B0FC7A6D51D}" type="pres">
      <dgm:prSet presAssocID="{685914BD-B86A-4362-B8AC-71251FE62D4F}" presName="Name9" presStyleLbl="parChTrans1D2" presStyleIdx="0" presStyleCnt="5"/>
      <dgm:spPr/>
      <dgm:t>
        <a:bodyPr/>
        <a:lstStyle/>
        <a:p>
          <a:endParaRPr lang="en-US"/>
        </a:p>
      </dgm:t>
    </dgm:pt>
    <dgm:pt modelId="{33D4C5DB-E506-4F74-A0DF-FD8642C26DE3}" type="pres">
      <dgm:prSet presAssocID="{685914BD-B86A-4362-B8AC-71251FE62D4F}" presName="connTx" presStyleLbl="parChTrans1D2" presStyleIdx="0" presStyleCnt="5"/>
      <dgm:spPr/>
      <dgm:t>
        <a:bodyPr/>
        <a:lstStyle/>
        <a:p>
          <a:endParaRPr lang="en-US"/>
        </a:p>
      </dgm:t>
    </dgm:pt>
    <dgm:pt modelId="{946D71D2-DD82-4264-B528-6E050FC56D60}" type="pres">
      <dgm:prSet presAssocID="{8A28C167-0CCA-417E-9CDC-235272D08C7C}" presName="node" presStyleLbl="node1" presStyleIdx="0" presStyleCnt="5" custScaleX="141202" custScaleY="122144" custRadScaleRad="120408" custRadScaleInc="-3080">
        <dgm:presLayoutVars>
          <dgm:bulletEnabled val="1"/>
        </dgm:presLayoutVars>
      </dgm:prSet>
      <dgm:spPr/>
      <dgm:t>
        <a:bodyPr/>
        <a:lstStyle/>
        <a:p>
          <a:endParaRPr lang="en-US"/>
        </a:p>
      </dgm:t>
    </dgm:pt>
    <dgm:pt modelId="{F7B69DE2-DE15-490E-A889-2E8F6E8F278D}" type="pres">
      <dgm:prSet presAssocID="{F2ADD9E2-02B4-4AB3-A58D-D40956F436DD}" presName="Name9" presStyleLbl="parChTrans1D2" presStyleIdx="1" presStyleCnt="5"/>
      <dgm:spPr/>
      <dgm:t>
        <a:bodyPr/>
        <a:lstStyle/>
        <a:p>
          <a:endParaRPr lang="en-US"/>
        </a:p>
      </dgm:t>
    </dgm:pt>
    <dgm:pt modelId="{8385368F-F36F-45DA-ABB7-3449E0BA2560}" type="pres">
      <dgm:prSet presAssocID="{F2ADD9E2-02B4-4AB3-A58D-D40956F436DD}" presName="connTx" presStyleLbl="parChTrans1D2" presStyleIdx="1" presStyleCnt="5"/>
      <dgm:spPr/>
      <dgm:t>
        <a:bodyPr/>
        <a:lstStyle/>
        <a:p>
          <a:endParaRPr lang="en-US"/>
        </a:p>
      </dgm:t>
    </dgm:pt>
    <dgm:pt modelId="{86910AAC-CAC6-43AA-9F7B-306D8DF1063A}" type="pres">
      <dgm:prSet presAssocID="{FB80907F-3614-4107-B000-51586D15E434}" presName="node" presStyleLbl="node1" presStyleIdx="1" presStyleCnt="5" custScaleX="126903" custScaleY="120964" custRadScaleRad="133378" custRadScaleInc="21311">
        <dgm:presLayoutVars>
          <dgm:bulletEnabled val="1"/>
        </dgm:presLayoutVars>
      </dgm:prSet>
      <dgm:spPr/>
      <dgm:t>
        <a:bodyPr/>
        <a:lstStyle/>
        <a:p>
          <a:endParaRPr lang="en-US"/>
        </a:p>
      </dgm:t>
    </dgm:pt>
    <dgm:pt modelId="{864B6F0E-1EC3-4AE5-A191-060CC65A1B94}" type="pres">
      <dgm:prSet presAssocID="{6B131A0B-22FA-4960-8856-F8E9EC1C36B7}" presName="Name9" presStyleLbl="parChTrans1D2" presStyleIdx="2" presStyleCnt="5"/>
      <dgm:spPr/>
      <dgm:t>
        <a:bodyPr/>
        <a:lstStyle/>
        <a:p>
          <a:endParaRPr lang="en-US"/>
        </a:p>
      </dgm:t>
    </dgm:pt>
    <dgm:pt modelId="{4D1D8029-2997-40A7-A4B8-1D7A3134BE6E}" type="pres">
      <dgm:prSet presAssocID="{6B131A0B-22FA-4960-8856-F8E9EC1C36B7}" presName="connTx" presStyleLbl="parChTrans1D2" presStyleIdx="2" presStyleCnt="5"/>
      <dgm:spPr/>
      <dgm:t>
        <a:bodyPr/>
        <a:lstStyle/>
        <a:p>
          <a:endParaRPr lang="en-US"/>
        </a:p>
      </dgm:t>
    </dgm:pt>
    <dgm:pt modelId="{BC8F9A72-F99F-43E2-BF5B-65D708CDB8A7}" type="pres">
      <dgm:prSet presAssocID="{8E4315A1-CC23-41F7-96BF-9C00BA947116}" presName="node" presStyleLbl="node1" presStyleIdx="2" presStyleCnt="5" custScaleX="109188" custScaleY="94119" custRadScaleRad="148560" custRadScaleInc="-50017">
        <dgm:presLayoutVars>
          <dgm:bulletEnabled val="1"/>
        </dgm:presLayoutVars>
      </dgm:prSet>
      <dgm:spPr/>
      <dgm:t>
        <a:bodyPr/>
        <a:lstStyle/>
        <a:p>
          <a:endParaRPr lang="en-US"/>
        </a:p>
      </dgm:t>
    </dgm:pt>
    <dgm:pt modelId="{012A1F36-5374-4FB9-8242-5AFB896B32D1}" type="pres">
      <dgm:prSet presAssocID="{520ADD82-E045-415F-A6A2-663F117FAAE6}" presName="Name9" presStyleLbl="parChTrans1D2" presStyleIdx="3" presStyleCnt="5"/>
      <dgm:spPr/>
      <dgm:t>
        <a:bodyPr/>
        <a:lstStyle/>
        <a:p>
          <a:endParaRPr lang="en-US"/>
        </a:p>
      </dgm:t>
    </dgm:pt>
    <dgm:pt modelId="{D0660CD4-48F5-49EB-AE09-97203C842AC9}" type="pres">
      <dgm:prSet presAssocID="{520ADD82-E045-415F-A6A2-663F117FAAE6}" presName="connTx" presStyleLbl="parChTrans1D2" presStyleIdx="3" presStyleCnt="5"/>
      <dgm:spPr/>
      <dgm:t>
        <a:bodyPr/>
        <a:lstStyle/>
        <a:p>
          <a:endParaRPr lang="en-US"/>
        </a:p>
      </dgm:t>
    </dgm:pt>
    <dgm:pt modelId="{65909024-2B48-41C3-BE10-DE6B8DDAD9CB}" type="pres">
      <dgm:prSet presAssocID="{9ABE4933-93EF-4542-BE21-B4CD3725FB78}" presName="node" presStyleLbl="node1" presStyleIdx="3" presStyleCnt="5" custScaleX="136745" custScaleY="136381" custRadScaleRad="146240" custRadScaleInc="46589">
        <dgm:presLayoutVars>
          <dgm:bulletEnabled val="1"/>
        </dgm:presLayoutVars>
      </dgm:prSet>
      <dgm:spPr/>
      <dgm:t>
        <a:bodyPr/>
        <a:lstStyle/>
        <a:p>
          <a:endParaRPr lang="en-US"/>
        </a:p>
      </dgm:t>
    </dgm:pt>
    <dgm:pt modelId="{A2148377-0004-4B46-BA43-4013D389FD21}" type="pres">
      <dgm:prSet presAssocID="{E674EA30-2CF6-4E40-8360-E5ECA0703DAC}" presName="Name9" presStyleLbl="parChTrans1D2" presStyleIdx="4" presStyleCnt="5"/>
      <dgm:spPr/>
      <dgm:t>
        <a:bodyPr/>
        <a:lstStyle/>
        <a:p>
          <a:endParaRPr lang="en-US"/>
        </a:p>
      </dgm:t>
    </dgm:pt>
    <dgm:pt modelId="{E271BC55-CFE3-4EF3-BD85-B0219EC98ADC}" type="pres">
      <dgm:prSet presAssocID="{E674EA30-2CF6-4E40-8360-E5ECA0703DAC}" presName="connTx" presStyleLbl="parChTrans1D2" presStyleIdx="4" presStyleCnt="5"/>
      <dgm:spPr/>
      <dgm:t>
        <a:bodyPr/>
        <a:lstStyle/>
        <a:p>
          <a:endParaRPr lang="en-US"/>
        </a:p>
      </dgm:t>
    </dgm:pt>
    <dgm:pt modelId="{954AA50F-F8E8-4C51-A503-38A03E0E86FF}" type="pres">
      <dgm:prSet presAssocID="{576383EB-8703-4495-9D34-5D5DCA058456}" presName="node" presStyleLbl="node1" presStyleIdx="4" presStyleCnt="5" custScaleX="127766" custScaleY="118734" custRadScaleRad="124524" custRadScaleInc="4711">
        <dgm:presLayoutVars>
          <dgm:bulletEnabled val="1"/>
        </dgm:presLayoutVars>
      </dgm:prSet>
      <dgm:spPr/>
      <dgm:t>
        <a:bodyPr/>
        <a:lstStyle/>
        <a:p>
          <a:endParaRPr lang="en-US"/>
        </a:p>
      </dgm:t>
    </dgm:pt>
  </dgm:ptLst>
  <dgm:cxnLst>
    <dgm:cxn modelId="{741413F1-34FA-431B-92C6-2D4E84251FF3}" type="presOf" srcId="{520ADD82-E045-415F-A6A2-663F117FAAE6}" destId="{012A1F36-5374-4FB9-8242-5AFB896B32D1}" srcOrd="0" destOrd="0" presId="urn:microsoft.com/office/officeart/2005/8/layout/radial1"/>
    <dgm:cxn modelId="{FB88C2B0-0463-4FB9-A70C-710E6A7FC0EB}" srcId="{D803BD7D-95F4-4205-8B35-6DC655D431C6}" destId="{9ABE4933-93EF-4542-BE21-B4CD3725FB78}" srcOrd="3" destOrd="0" parTransId="{520ADD82-E045-415F-A6A2-663F117FAAE6}" sibTransId="{70974119-AA48-4A0F-ADA2-BDD8EFE7AE0F}"/>
    <dgm:cxn modelId="{C1136451-DEEE-428C-9DC5-43FCFAAEECCE}" type="presOf" srcId="{520ADD82-E045-415F-A6A2-663F117FAAE6}" destId="{D0660CD4-48F5-49EB-AE09-97203C842AC9}" srcOrd="1" destOrd="0" presId="urn:microsoft.com/office/officeart/2005/8/layout/radial1"/>
    <dgm:cxn modelId="{C09C377B-DF79-440C-8883-63A77D79368C}" srcId="{D803BD7D-95F4-4205-8B35-6DC655D431C6}" destId="{8E4315A1-CC23-41F7-96BF-9C00BA947116}" srcOrd="2" destOrd="0" parTransId="{6B131A0B-22FA-4960-8856-F8E9EC1C36B7}" sibTransId="{A8F92C6E-2328-416D-92BD-D660A1B2F088}"/>
    <dgm:cxn modelId="{CB79BF15-8E73-4967-830E-D225786FDDCC}" type="presOf" srcId="{6B131A0B-22FA-4960-8856-F8E9EC1C36B7}" destId="{864B6F0E-1EC3-4AE5-A191-060CC65A1B94}" srcOrd="0" destOrd="0" presId="urn:microsoft.com/office/officeart/2005/8/layout/radial1"/>
    <dgm:cxn modelId="{F5AD43CB-A847-48ED-8520-E7167C17AB2E}" type="presOf" srcId="{E674EA30-2CF6-4E40-8360-E5ECA0703DAC}" destId="{A2148377-0004-4B46-BA43-4013D389FD21}" srcOrd="0" destOrd="0" presId="urn:microsoft.com/office/officeart/2005/8/layout/radial1"/>
    <dgm:cxn modelId="{0539F6BA-D82F-49E5-B489-D65E77FC9966}" srcId="{D803BD7D-95F4-4205-8B35-6DC655D431C6}" destId="{FB80907F-3614-4107-B000-51586D15E434}" srcOrd="1" destOrd="0" parTransId="{F2ADD9E2-02B4-4AB3-A58D-D40956F436DD}" sibTransId="{CCB43C53-D727-44E5-AC94-3DD989B63464}"/>
    <dgm:cxn modelId="{06D72A90-F5AF-431C-9FB8-D4835C625389}" type="presOf" srcId="{E674EA30-2CF6-4E40-8360-E5ECA0703DAC}" destId="{E271BC55-CFE3-4EF3-BD85-B0219EC98ADC}" srcOrd="1" destOrd="0" presId="urn:microsoft.com/office/officeart/2005/8/layout/radial1"/>
    <dgm:cxn modelId="{B0C182DC-08CB-4CF3-A312-8557F22F6499}" type="presOf" srcId="{9ABE4933-93EF-4542-BE21-B4CD3725FB78}" destId="{65909024-2B48-41C3-BE10-DE6B8DDAD9CB}" srcOrd="0" destOrd="0" presId="urn:microsoft.com/office/officeart/2005/8/layout/radial1"/>
    <dgm:cxn modelId="{8AA3E4EB-901F-44D8-82FF-AF32933B449F}" type="presOf" srcId="{6B131A0B-22FA-4960-8856-F8E9EC1C36B7}" destId="{4D1D8029-2997-40A7-A4B8-1D7A3134BE6E}" srcOrd="1" destOrd="0" presId="urn:microsoft.com/office/officeart/2005/8/layout/radial1"/>
    <dgm:cxn modelId="{3E419CDC-2BDB-4C20-856B-A98CDB42045E}" srcId="{D803BD7D-95F4-4205-8B35-6DC655D431C6}" destId="{8A28C167-0CCA-417E-9CDC-235272D08C7C}" srcOrd="0" destOrd="0" parTransId="{685914BD-B86A-4362-B8AC-71251FE62D4F}" sibTransId="{0BEDD06F-0966-4CFE-B8F5-E14D65324ABC}"/>
    <dgm:cxn modelId="{3F7BA38C-D7F9-4795-A0A4-4437180F16F9}" type="presOf" srcId="{F2ADD9E2-02B4-4AB3-A58D-D40956F436DD}" destId="{F7B69DE2-DE15-490E-A889-2E8F6E8F278D}" srcOrd="0" destOrd="0" presId="urn:microsoft.com/office/officeart/2005/8/layout/radial1"/>
    <dgm:cxn modelId="{01C43DDF-D86C-4E2E-BD37-8E9F675B7F32}" type="presOf" srcId="{890CDD14-ED6E-4E87-BE20-2187A394429E}" destId="{5EBCC259-345F-4EA3-A5AC-F72BA1A7BAFE}" srcOrd="0" destOrd="0" presId="urn:microsoft.com/office/officeart/2005/8/layout/radial1"/>
    <dgm:cxn modelId="{CFA2E4EB-E4BE-4282-AB20-154EBF7C32AF}" type="presOf" srcId="{8A28C167-0CCA-417E-9CDC-235272D08C7C}" destId="{946D71D2-DD82-4264-B528-6E050FC56D60}" srcOrd="0" destOrd="0" presId="urn:microsoft.com/office/officeart/2005/8/layout/radial1"/>
    <dgm:cxn modelId="{4F12E381-EA0D-4344-BA1A-60C5313D614E}" type="presOf" srcId="{FB80907F-3614-4107-B000-51586D15E434}" destId="{86910AAC-CAC6-43AA-9F7B-306D8DF1063A}" srcOrd="0" destOrd="0" presId="urn:microsoft.com/office/officeart/2005/8/layout/radial1"/>
    <dgm:cxn modelId="{BAE857C5-5B31-43F7-A97E-4B0117D338FD}" type="presOf" srcId="{576383EB-8703-4495-9D34-5D5DCA058456}" destId="{954AA50F-F8E8-4C51-A503-38A03E0E86FF}" srcOrd="0" destOrd="0" presId="urn:microsoft.com/office/officeart/2005/8/layout/radial1"/>
    <dgm:cxn modelId="{F098A575-A8E9-4E0D-B451-E4DC18BE02BA}" type="presOf" srcId="{F2ADD9E2-02B4-4AB3-A58D-D40956F436DD}" destId="{8385368F-F36F-45DA-ABB7-3449E0BA2560}" srcOrd="1" destOrd="0" presId="urn:microsoft.com/office/officeart/2005/8/layout/radial1"/>
    <dgm:cxn modelId="{6A711929-F1FB-4A43-BEF5-048B9679971C}" type="presOf" srcId="{8E4315A1-CC23-41F7-96BF-9C00BA947116}" destId="{BC8F9A72-F99F-43E2-BF5B-65D708CDB8A7}" srcOrd="0" destOrd="0" presId="urn:microsoft.com/office/officeart/2005/8/layout/radial1"/>
    <dgm:cxn modelId="{4E18AB51-8983-4658-8012-7A3A851E407B}" type="presOf" srcId="{685914BD-B86A-4362-B8AC-71251FE62D4F}" destId="{2528F257-861B-4F5D-B064-0B0FC7A6D51D}" srcOrd="0" destOrd="0" presId="urn:microsoft.com/office/officeart/2005/8/layout/radial1"/>
    <dgm:cxn modelId="{D01A5802-C03A-4A93-B94F-6982680511A4}" type="presOf" srcId="{D803BD7D-95F4-4205-8B35-6DC655D431C6}" destId="{D65CD4B5-91FF-4A7F-BBB3-5A61D4CD9F2F}" srcOrd="0" destOrd="0" presId="urn:microsoft.com/office/officeart/2005/8/layout/radial1"/>
    <dgm:cxn modelId="{6BE91C61-E140-48B5-9CA6-13A4BE46E145}" srcId="{D803BD7D-95F4-4205-8B35-6DC655D431C6}" destId="{576383EB-8703-4495-9D34-5D5DCA058456}" srcOrd="4" destOrd="0" parTransId="{E674EA30-2CF6-4E40-8360-E5ECA0703DAC}" sibTransId="{C919476E-18AB-4F51-9B50-2A6886A20F30}"/>
    <dgm:cxn modelId="{EF4402DB-85CA-4ABF-A894-7C3AEF12589C}" srcId="{890CDD14-ED6E-4E87-BE20-2187A394429E}" destId="{D803BD7D-95F4-4205-8B35-6DC655D431C6}" srcOrd="0" destOrd="0" parTransId="{516D5B82-2621-4394-BACE-FE7C1017546B}" sibTransId="{2465A74F-2F7D-4C9B-B90F-9DE784E5B636}"/>
    <dgm:cxn modelId="{7AECEFCF-8DD5-49D9-867D-A5F8F1D6FB32}" type="presOf" srcId="{685914BD-B86A-4362-B8AC-71251FE62D4F}" destId="{33D4C5DB-E506-4F74-A0DF-FD8642C26DE3}" srcOrd="1" destOrd="0" presId="urn:microsoft.com/office/officeart/2005/8/layout/radial1"/>
    <dgm:cxn modelId="{4B25CFD0-3C94-44BD-95E4-6C91EE745E72}" type="presParOf" srcId="{5EBCC259-345F-4EA3-A5AC-F72BA1A7BAFE}" destId="{D65CD4B5-91FF-4A7F-BBB3-5A61D4CD9F2F}" srcOrd="0" destOrd="0" presId="urn:microsoft.com/office/officeart/2005/8/layout/radial1"/>
    <dgm:cxn modelId="{C53B26E3-9E55-4FC0-ADE6-79497E8A5708}" type="presParOf" srcId="{5EBCC259-345F-4EA3-A5AC-F72BA1A7BAFE}" destId="{2528F257-861B-4F5D-B064-0B0FC7A6D51D}" srcOrd="1" destOrd="0" presId="urn:microsoft.com/office/officeart/2005/8/layout/radial1"/>
    <dgm:cxn modelId="{F2220BB4-213C-4FB4-929D-EC7F772015BD}" type="presParOf" srcId="{2528F257-861B-4F5D-B064-0B0FC7A6D51D}" destId="{33D4C5DB-E506-4F74-A0DF-FD8642C26DE3}" srcOrd="0" destOrd="0" presId="urn:microsoft.com/office/officeart/2005/8/layout/radial1"/>
    <dgm:cxn modelId="{12ACBDC6-17F7-409A-AF14-3F8005D9A679}" type="presParOf" srcId="{5EBCC259-345F-4EA3-A5AC-F72BA1A7BAFE}" destId="{946D71D2-DD82-4264-B528-6E050FC56D60}" srcOrd="2" destOrd="0" presId="urn:microsoft.com/office/officeart/2005/8/layout/radial1"/>
    <dgm:cxn modelId="{A9049D6F-C7DB-4F3B-BA3F-6A415899D785}" type="presParOf" srcId="{5EBCC259-345F-4EA3-A5AC-F72BA1A7BAFE}" destId="{F7B69DE2-DE15-490E-A889-2E8F6E8F278D}" srcOrd="3" destOrd="0" presId="urn:microsoft.com/office/officeart/2005/8/layout/radial1"/>
    <dgm:cxn modelId="{91796C6F-C378-44BE-99A3-0D069B813BDD}" type="presParOf" srcId="{F7B69DE2-DE15-490E-A889-2E8F6E8F278D}" destId="{8385368F-F36F-45DA-ABB7-3449E0BA2560}" srcOrd="0" destOrd="0" presId="urn:microsoft.com/office/officeart/2005/8/layout/radial1"/>
    <dgm:cxn modelId="{6F0D86BE-91FD-4D4A-92BB-7F7223335B63}" type="presParOf" srcId="{5EBCC259-345F-4EA3-A5AC-F72BA1A7BAFE}" destId="{86910AAC-CAC6-43AA-9F7B-306D8DF1063A}" srcOrd="4" destOrd="0" presId="urn:microsoft.com/office/officeart/2005/8/layout/radial1"/>
    <dgm:cxn modelId="{CDB768B9-ABBC-405B-8DE7-EB049BFDD32F}" type="presParOf" srcId="{5EBCC259-345F-4EA3-A5AC-F72BA1A7BAFE}" destId="{864B6F0E-1EC3-4AE5-A191-060CC65A1B94}" srcOrd="5" destOrd="0" presId="urn:microsoft.com/office/officeart/2005/8/layout/radial1"/>
    <dgm:cxn modelId="{B4A60214-9C07-4D0F-A3C5-6CF94C1A6BD2}" type="presParOf" srcId="{864B6F0E-1EC3-4AE5-A191-060CC65A1B94}" destId="{4D1D8029-2997-40A7-A4B8-1D7A3134BE6E}" srcOrd="0" destOrd="0" presId="urn:microsoft.com/office/officeart/2005/8/layout/radial1"/>
    <dgm:cxn modelId="{03237F32-8526-4D8F-98E2-E140BF5B3259}" type="presParOf" srcId="{5EBCC259-345F-4EA3-A5AC-F72BA1A7BAFE}" destId="{BC8F9A72-F99F-43E2-BF5B-65D708CDB8A7}" srcOrd="6" destOrd="0" presId="urn:microsoft.com/office/officeart/2005/8/layout/radial1"/>
    <dgm:cxn modelId="{2A3BF5F1-A73B-4E37-8781-0D7FAC814FDA}" type="presParOf" srcId="{5EBCC259-345F-4EA3-A5AC-F72BA1A7BAFE}" destId="{012A1F36-5374-4FB9-8242-5AFB896B32D1}" srcOrd="7" destOrd="0" presId="urn:microsoft.com/office/officeart/2005/8/layout/radial1"/>
    <dgm:cxn modelId="{F2D7B94F-25FF-46AB-BFFB-E05C922778A1}" type="presParOf" srcId="{012A1F36-5374-4FB9-8242-5AFB896B32D1}" destId="{D0660CD4-48F5-49EB-AE09-97203C842AC9}" srcOrd="0" destOrd="0" presId="urn:microsoft.com/office/officeart/2005/8/layout/radial1"/>
    <dgm:cxn modelId="{C9876350-32F1-49B6-8182-7E2101F44BEF}" type="presParOf" srcId="{5EBCC259-345F-4EA3-A5AC-F72BA1A7BAFE}" destId="{65909024-2B48-41C3-BE10-DE6B8DDAD9CB}" srcOrd="8" destOrd="0" presId="urn:microsoft.com/office/officeart/2005/8/layout/radial1"/>
    <dgm:cxn modelId="{44B71DC1-DF39-4F74-A3E0-05EF38560324}" type="presParOf" srcId="{5EBCC259-345F-4EA3-A5AC-F72BA1A7BAFE}" destId="{A2148377-0004-4B46-BA43-4013D389FD21}" srcOrd="9" destOrd="0" presId="urn:microsoft.com/office/officeart/2005/8/layout/radial1"/>
    <dgm:cxn modelId="{CFFDD13D-E3E1-4C3E-AC72-706F522D6C3C}" type="presParOf" srcId="{A2148377-0004-4B46-BA43-4013D389FD21}" destId="{E271BC55-CFE3-4EF3-BD85-B0219EC98ADC}" srcOrd="0" destOrd="0" presId="urn:microsoft.com/office/officeart/2005/8/layout/radial1"/>
    <dgm:cxn modelId="{22B379FC-C8CE-4844-A5E1-7167720A9851}" type="presParOf" srcId="{5EBCC259-345F-4EA3-A5AC-F72BA1A7BAFE}" destId="{954AA50F-F8E8-4C51-A503-38A03E0E86FF}" srcOrd="10" destOrd="0" presId="urn:microsoft.com/office/officeart/2005/8/layout/radial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65CD4B5-91FF-4A7F-BBB3-5A61D4CD9F2F}">
      <dsp:nvSpPr>
        <dsp:cNvPr id="0" name=""/>
        <dsp:cNvSpPr/>
      </dsp:nvSpPr>
      <dsp:spPr>
        <a:xfrm>
          <a:off x="1957522" y="1117503"/>
          <a:ext cx="850942" cy="815105"/>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Result</a:t>
          </a:r>
          <a:r>
            <a:rPr lang="en-US" sz="3100" kern="1200"/>
            <a:t> </a:t>
          </a:r>
        </a:p>
      </dsp:txBody>
      <dsp:txXfrm>
        <a:off x="2082140" y="1236872"/>
        <a:ext cx="601706" cy="576367"/>
      </dsp:txXfrm>
    </dsp:sp>
    <dsp:sp modelId="{2528F257-861B-4F5D-B064-0B0FC7A6D51D}">
      <dsp:nvSpPr>
        <dsp:cNvPr id="0" name=""/>
        <dsp:cNvSpPr/>
      </dsp:nvSpPr>
      <dsp:spPr>
        <a:xfrm rot="16166704">
          <a:off x="2224837" y="950780"/>
          <a:ext cx="305459" cy="28036"/>
        </a:xfrm>
        <a:custGeom>
          <a:avLst/>
          <a:gdLst/>
          <a:ahLst/>
          <a:cxnLst/>
          <a:rect l="0" t="0" r="0" b="0"/>
          <a:pathLst>
            <a:path>
              <a:moveTo>
                <a:pt x="0" y="14018"/>
              </a:moveTo>
              <a:lnTo>
                <a:pt x="305459" y="1401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369930" y="957162"/>
        <a:ext cx="15272" cy="15272"/>
      </dsp:txXfrm>
    </dsp:sp>
    <dsp:sp modelId="{946D71D2-DD82-4264-B528-6E050FC56D60}">
      <dsp:nvSpPr>
        <dsp:cNvPr id="0" name=""/>
        <dsp:cNvSpPr/>
      </dsp:nvSpPr>
      <dsp:spPr>
        <a:xfrm>
          <a:off x="1845455" y="-98306"/>
          <a:ext cx="1052447" cy="910398"/>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Times New Roman" panose="02020603050405020304" pitchFamily="18" charset="0"/>
              <a:cs typeface="Times New Roman" panose="02020603050405020304" pitchFamily="18" charset="0"/>
            </a:rPr>
            <a:t>Data</a:t>
          </a:r>
        </a:p>
        <a:p>
          <a:pPr lvl="0" algn="ctr" defTabSz="444500">
            <a:lnSpc>
              <a:spcPct val="90000"/>
            </a:lnSpc>
            <a:spcBef>
              <a:spcPct val="0"/>
            </a:spcBef>
            <a:spcAft>
              <a:spcPct val="35000"/>
            </a:spcAft>
          </a:pPr>
          <a:r>
            <a:rPr lang="en-US" sz="1000" b="1" kern="1200">
              <a:latin typeface="Times New Roman" panose="02020603050405020304" pitchFamily="18" charset="0"/>
              <a:cs typeface="Times New Roman" panose="02020603050405020304" pitchFamily="18" charset="0"/>
            </a:rPr>
            <a:t>Collection</a:t>
          </a:r>
          <a:r>
            <a:rPr lang="en-US" sz="1200" b="1" kern="1200">
              <a:latin typeface="Times New Roman" panose="02020603050405020304" pitchFamily="18" charset="0"/>
              <a:cs typeface="Times New Roman" panose="02020603050405020304" pitchFamily="18" charset="0"/>
            </a:rPr>
            <a:t> </a:t>
          </a:r>
        </a:p>
      </dsp:txBody>
      <dsp:txXfrm>
        <a:off x="1999582" y="35019"/>
        <a:ext cx="744193" cy="643748"/>
      </dsp:txXfrm>
    </dsp:sp>
    <dsp:sp modelId="{F7B69DE2-DE15-490E-A889-2E8F6E8F278D}">
      <dsp:nvSpPr>
        <dsp:cNvPr id="0" name=""/>
        <dsp:cNvSpPr/>
      </dsp:nvSpPr>
      <dsp:spPr>
        <a:xfrm rot="20489896">
          <a:off x="2772760" y="1303570"/>
          <a:ext cx="460452" cy="28036"/>
        </a:xfrm>
        <a:custGeom>
          <a:avLst/>
          <a:gdLst/>
          <a:ahLst/>
          <a:cxnLst/>
          <a:rect l="0" t="0" r="0" b="0"/>
          <a:pathLst>
            <a:path>
              <a:moveTo>
                <a:pt x="0" y="14018"/>
              </a:moveTo>
              <a:lnTo>
                <a:pt x="460452" y="1401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991475" y="1306077"/>
        <a:ext cx="23022" cy="23022"/>
      </dsp:txXfrm>
    </dsp:sp>
    <dsp:sp modelId="{86910AAC-CAC6-43AA-9F7B-306D8DF1063A}">
      <dsp:nvSpPr>
        <dsp:cNvPr id="0" name=""/>
        <dsp:cNvSpPr/>
      </dsp:nvSpPr>
      <dsp:spPr>
        <a:xfrm>
          <a:off x="3194614" y="644404"/>
          <a:ext cx="945869" cy="901603"/>
        </a:xfrm>
        <a:prstGeom prst="ellipse">
          <a:avLst/>
        </a:prstGeom>
        <a:solidFill>
          <a:schemeClr val="accent4">
            <a:hueOff val="-1116192"/>
            <a:satOff val="6725"/>
            <a:lumOff val="53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Times New Roman" panose="02020603050405020304" pitchFamily="18" charset="0"/>
              <a:cs typeface="Times New Roman" panose="02020603050405020304" pitchFamily="18" charset="0"/>
            </a:rPr>
            <a:t>CO</a:t>
          </a:r>
          <a:r>
            <a:rPr lang="en-US" sz="1000" b="1" kern="1200" baseline="-25000">
              <a:latin typeface="Times New Roman" panose="02020603050405020304" pitchFamily="18" charset="0"/>
              <a:cs typeface="Times New Roman" panose="02020603050405020304" pitchFamily="18" charset="0"/>
            </a:rPr>
            <a:t>2</a:t>
          </a:r>
          <a:r>
            <a:rPr lang="en-US" sz="1000" b="1" kern="1200" baseline="0">
              <a:latin typeface="Times New Roman" panose="02020603050405020304" pitchFamily="18" charset="0"/>
              <a:cs typeface="Times New Roman" panose="02020603050405020304" pitchFamily="18" charset="0"/>
            </a:rPr>
            <a:t> Emission Estimation</a:t>
          </a:r>
          <a:r>
            <a:rPr lang="en-US" sz="1200" b="1" kern="1200" baseline="0">
              <a:latin typeface="Times New Roman" panose="02020603050405020304" pitchFamily="18" charset="0"/>
              <a:cs typeface="Times New Roman" panose="02020603050405020304" pitchFamily="18" charset="0"/>
            </a:rPr>
            <a:t> </a:t>
          </a:r>
          <a:endParaRPr lang="en-US" sz="1200" b="1" kern="1200" baseline="-25000">
            <a:latin typeface="Times New Roman" panose="02020603050405020304" pitchFamily="18" charset="0"/>
            <a:cs typeface="Times New Roman" panose="02020603050405020304" pitchFamily="18" charset="0"/>
          </a:endParaRPr>
        </a:p>
      </dsp:txBody>
      <dsp:txXfrm>
        <a:off x="3333133" y="776441"/>
        <a:ext cx="668831" cy="637529"/>
      </dsp:txXfrm>
    </dsp:sp>
    <dsp:sp modelId="{864B6F0E-1EC3-4AE5-A191-060CC65A1B94}">
      <dsp:nvSpPr>
        <dsp:cNvPr id="0" name=""/>
        <dsp:cNvSpPr/>
      </dsp:nvSpPr>
      <dsp:spPr>
        <a:xfrm rot="1725763">
          <a:off x="2719409" y="1841356"/>
          <a:ext cx="530714" cy="28036"/>
        </a:xfrm>
        <a:custGeom>
          <a:avLst/>
          <a:gdLst/>
          <a:ahLst/>
          <a:cxnLst/>
          <a:rect l="0" t="0" r="0" b="0"/>
          <a:pathLst>
            <a:path>
              <a:moveTo>
                <a:pt x="0" y="14018"/>
              </a:moveTo>
              <a:lnTo>
                <a:pt x="530714" y="1401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971498" y="1842106"/>
        <a:ext cx="26535" cy="26535"/>
      </dsp:txXfrm>
    </dsp:sp>
    <dsp:sp modelId="{BC8F9A72-F99F-43E2-BF5B-65D708CDB8A7}">
      <dsp:nvSpPr>
        <dsp:cNvPr id="0" name=""/>
        <dsp:cNvSpPr/>
      </dsp:nvSpPr>
      <dsp:spPr>
        <a:xfrm>
          <a:off x="3153701" y="1820705"/>
          <a:ext cx="813831" cy="701514"/>
        </a:xfrm>
        <a:prstGeom prst="ellipse">
          <a:avLst/>
        </a:prstGeom>
        <a:solidFill>
          <a:schemeClr val="accent4">
            <a:hueOff val="-2232385"/>
            <a:satOff val="13449"/>
            <a:lumOff val="10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Times New Roman" panose="02020603050405020304" pitchFamily="18" charset="0"/>
              <a:cs typeface="Times New Roman" panose="02020603050405020304" pitchFamily="18" charset="0"/>
            </a:rPr>
            <a:t>Rider;s Profit </a:t>
          </a:r>
          <a:br>
            <a:rPr lang="en-US" sz="1000" b="1" kern="1200">
              <a:latin typeface="Times New Roman" panose="02020603050405020304" pitchFamily="18" charset="0"/>
              <a:cs typeface="Times New Roman" panose="02020603050405020304" pitchFamily="18" charset="0"/>
            </a:rPr>
          </a:br>
          <a:r>
            <a:rPr lang="en-US" sz="1000" b="1" kern="1200">
              <a:latin typeface="Times New Roman" panose="02020603050405020304" pitchFamily="18" charset="0"/>
              <a:cs typeface="Times New Roman" panose="02020603050405020304" pitchFamily="18" charset="0"/>
            </a:rPr>
            <a:t>Analysis </a:t>
          </a:r>
        </a:p>
      </dsp:txBody>
      <dsp:txXfrm>
        <a:off x="3272884" y="1923439"/>
        <a:ext cx="575465" cy="496046"/>
      </dsp:txXfrm>
    </dsp:sp>
    <dsp:sp modelId="{012A1F36-5374-4FB9-8242-5AFB896B32D1}">
      <dsp:nvSpPr>
        <dsp:cNvPr id="0" name=""/>
        <dsp:cNvSpPr/>
      </dsp:nvSpPr>
      <dsp:spPr>
        <a:xfrm rot="9138147">
          <a:off x="1696301" y="1784212"/>
          <a:ext cx="332636" cy="28036"/>
        </a:xfrm>
        <a:custGeom>
          <a:avLst/>
          <a:gdLst/>
          <a:ahLst/>
          <a:cxnLst/>
          <a:rect l="0" t="0" r="0" b="0"/>
          <a:pathLst>
            <a:path>
              <a:moveTo>
                <a:pt x="0" y="14018"/>
              </a:moveTo>
              <a:lnTo>
                <a:pt x="332636" y="1401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854303" y="1789914"/>
        <a:ext cx="16631" cy="16631"/>
      </dsp:txXfrm>
    </dsp:sp>
    <dsp:sp modelId="{65909024-2B48-41C3-BE10-DE6B8DDAD9CB}">
      <dsp:nvSpPr>
        <dsp:cNvPr id="0" name=""/>
        <dsp:cNvSpPr/>
      </dsp:nvSpPr>
      <dsp:spPr>
        <a:xfrm>
          <a:off x="754787" y="1604012"/>
          <a:ext cx="1019226" cy="1016513"/>
        </a:xfrm>
        <a:prstGeom prst="ellipse">
          <a:avLst/>
        </a:prstGeom>
        <a:solidFill>
          <a:schemeClr val="accent4">
            <a:hueOff val="-3348577"/>
            <a:satOff val="20174"/>
            <a:lumOff val="161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Times New Roman" panose="02020603050405020304" pitchFamily="18" charset="0"/>
              <a:cs typeface="Times New Roman" panose="02020603050405020304" pitchFamily="18" charset="0"/>
            </a:rPr>
            <a:t>Cost Comparison</a:t>
          </a:r>
          <a:endParaRPr lang="en-US" sz="1000" kern="1200">
            <a:latin typeface="Times New Roman" panose="02020603050405020304" pitchFamily="18" charset="0"/>
            <a:cs typeface="Times New Roman" panose="02020603050405020304" pitchFamily="18" charset="0"/>
          </a:endParaRPr>
        </a:p>
      </dsp:txBody>
      <dsp:txXfrm>
        <a:off x="904049" y="1752877"/>
        <a:ext cx="720702" cy="718783"/>
      </dsp:txXfrm>
    </dsp:sp>
    <dsp:sp modelId="{A2148377-0004-4B46-BA43-4013D389FD21}">
      <dsp:nvSpPr>
        <dsp:cNvPr id="0" name=""/>
        <dsp:cNvSpPr/>
      </dsp:nvSpPr>
      <dsp:spPr>
        <a:xfrm rot="12494656">
          <a:off x="1645719" y="1219560"/>
          <a:ext cx="389354" cy="28036"/>
        </a:xfrm>
        <a:custGeom>
          <a:avLst/>
          <a:gdLst/>
          <a:ahLst/>
          <a:cxnLst/>
          <a:rect l="0" t="0" r="0" b="0"/>
          <a:pathLst>
            <a:path>
              <a:moveTo>
                <a:pt x="0" y="14018"/>
              </a:moveTo>
              <a:lnTo>
                <a:pt x="389354" y="1401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830662" y="1223844"/>
        <a:ext cx="19467" cy="19467"/>
      </dsp:txXfrm>
    </dsp:sp>
    <dsp:sp modelId="{954AA50F-F8E8-4C51-A503-38A03E0E86FF}">
      <dsp:nvSpPr>
        <dsp:cNvPr id="0" name=""/>
        <dsp:cNvSpPr/>
      </dsp:nvSpPr>
      <dsp:spPr>
        <a:xfrm>
          <a:off x="780513" y="477512"/>
          <a:ext cx="952301" cy="884982"/>
        </a:xfrm>
        <a:prstGeom prst="ellipse">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Times New Roman" panose="02020603050405020304" pitchFamily="18" charset="0"/>
              <a:cs typeface="Times New Roman" panose="02020603050405020304" pitchFamily="18" charset="0"/>
            </a:rPr>
            <a:t>Technical Analysis</a:t>
          </a:r>
        </a:p>
      </dsp:txBody>
      <dsp:txXfrm>
        <a:off x="919974" y="607115"/>
        <a:ext cx="673379" cy="625776"/>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D1A9CE-0DD7-47A5-96A5-CA3FBCCB3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2062</TotalTime>
  <Pages>12</Pages>
  <Words>5923</Words>
  <Characters>33766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Debojoti Paul Ananyo</cp:lastModifiedBy>
  <cp:revision>255</cp:revision>
  <cp:lastPrinted>2025-10-07T20:14:00Z</cp:lastPrinted>
  <dcterms:created xsi:type="dcterms:W3CDTF">2023-09-01T14:34:00Z</dcterms:created>
  <dcterms:modified xsi:type="dcterms:W3CDTF">2025-10-07T20:20:00Z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