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CED640D" w14:textId="6D698DB3" w:rsidR="00734FA0" w:rsidRPr="00073188" w:rsidRDefault="00B5764C" w:rsidP="0067462A">
      <w:pPr>
        <w:pStyle w:val="PaperTitle"/>
      </w:pPr>
      <w:bookmarkStart w:id="0" w:name="_Hlk174440887"/>
      <w:bookmarkEnd w:id="0"/>
      <w:r w:rsidRPr="00073188">
        <w:t>Conceptual Design of Refrigerant Utilization for Organic Rankine Cycle System in Hot Springs</w:t>
      </w:r>
    </w:p>
    <w:p w14:paraId="50BF688B" w14:textId="08598526" w:rsidR="00EA50A7" w:rsidRPr="00073188" w:rsidRDefault="001C07A6" w:rsidP="00784F94">
      <w:pPr>
        <w:pStyle w:val="AuthorName"/>
        <w:rPr>
          <w:b/>
          <w:szCs w:val="28"/>
        </w:rPr>
      </w:pPr>
      <w:proofErr w:type="spellStart"/>
      <w:r w:rsidRPr="00073188">
        <w:t>Andinusa</w:t>
      </w:r>
      <w:proofErr w:type="spellEnd"/>
      <w:r w:rsidRPr="00073188">
        <w:t xml:space="preserve"> </w:t>
      </w:r>
      <w:proofErr w:type="spellStart"/>
      <w:r w:rsidRPr="00073188">
        <w:t>Rahmandhika</w:t>
      </w:r>
      <w:r w:rsidR="004E7A0A" w:rsidRPr="00073188">
        <w:rPr>
          <w:vertAlign w:val="superscript"/>
        </w:rPr>
        <w:t>a</w:t>
      </w:r>
      <w:proofErr w:type="spellEnd"/>
      <w:r w:rsidR="00EA50A7" w:rsidRPr="00073188">
        <w:rPr>
          <w:vertAlign w:val="superscript"/>
        </w:rPr>
        <w:t>)</w:t>
      </w:r>
      <w:r w:rsidR="00EA50A7" w:rsidRPr="00073188">
        <w:t xml:space="preserve">, </w:t>
      </w:r>
      <w:r w:rsidRPr="00073188">
        <w:t xml:space="preserve">Dwi </w:t>
      </w:r>
      <w:proofErr w:type="spellStart"/>
      <w:r w:rsidRPr="00073188">
        <w:t>Kristian</w:t>
      </w:r>
      <w:r w:rsidR="00734FA0" w:rsidRPr="00073188">
        <w:rPr>
          <w:vertAlign w:val="superscript"/>
        </w:rPr>
        <w:t>b</w:t>
      </w:r>
      <w:proofErr w:type="spellEnd"/>
      <w:r w:rsidR="00DA6D7D" w:rsidRPr="00073188">
        <w:rPr>
          <w:vertAlign w:val="superscript"/>
        </w:rPr>
        <w:t>)</w:t>
      </w:r>
      <w:r w:rsidR="00EA50A7" w:rsidRPr="00073188">
        <w:t xml:space="preserve">, </w:t>
      </w:r>
      <w:r w:rsidR="00734FA0" w:rsidRPr="00073188">
        <w:t xml:space="preserve">Achmad </w:t>
      </w:r>
      <w:proofErr w:type="spellStart"/>
      <w:r w:rsidR="00734FA0" w:rsidRPr="00073188">
        <w:t>Fauzan</w:t>
      </w:r>
      <w:proofErr w:type="spellEnd"/>
      <w:r w:rsidR="00734FA0" w:rsidRPr="00073188">
        <w:t xml:space="preserve"> Hery </w:t>
      </w:r>
      <w:proofErr w:type="spellStart"/>
      <w:r w:rsidR="00734FA0" w:rsidRPr="00073188">
        <w:t>Soegiharto</w:t>
      </w:r>
      <w:r w:rsidR="00734FA0" w:rsidRPr="00073188">
        <w:rPr>
          <w:vertAlign w:val="superscript"/>
        </w:rPr>
        <w:t>c</w:t>
      </w:r>
      <w:proofErr w:type="spellEnd"/>
      <w:r w:rsidR="00DA6D7D" w:rsidRPr="00073188">
        <w:rPr>
          <w:vertAlign w:val="superscript"/>
        </w:rPr>
        <w:t>)</w:t>
      </w:r>
      <w:r w:rsidR="004C086A" w:rsidRPr="00073188">
        <w:t xml:space="preserve">, Ali </w:t>
      </w:r>
      <w:proofErr w:type="spellStart"/>
      <w:r w:rsidR="004C086A" w:rsidRPr="00073188">
        <w:t>Mokhtar</w:t>
      </w:r>
      <w:r w:rsidR="004C086A" w:rsidRPr="00073188">
        <w:rPr>
          <w:vertAlign w:val="superscript"/>
        </w:rPr>
        <w:t>d</w:t>
      </w:r>
      <w:proofErr w:type="spellEnd"/>
      <w:r w:rsidR="004C086A" w:rsidRPr="00073188">
        <w:rPr>
          <w:vertAlign w:val="superscript"/>
        </w:rPr>
        <w:t>)</w:t>
      </w:r>
      <w:r w:rsidR="007720BA" w:rsidRPr="00073188">
        <w:t xml:space="preserve">, </w:t>
      </w:r>
      <w:r w:rsidR="007A57AB" w:rsidRPr="00073188">
        <w:t xml:space="preserve">and </w:t>
      </w:r>
      <w:r w:rsidR="007720BA" w:rsidRPr="00073188">
        <w:t xml:space="preserve">Muhammad Iqbal Maulana Kusuma </w:t>
      </w:r>
      <w:proofErr w:type="spellStart"/>
      <w:r w:rsidR="007720BA" w:rsidRPr="00073188">
        <w:t>Wibawa</w:t>
      </w:r>
      <w:r w:rsidR="007720BA" w:rsidRPr="00073188">
        <w:rPr>
          <w:vertAlign w:val="superscript"/>
        </w:rPr>
        <w:t>e</w:t>
      </w:r>
      <w:proofErr w:type="spellEnd"/>
      <w:r w:rsidR="007720BA" w:rsidRPr="00073188">
        <w:rPr>
          <w:vertAlign w:val="superscript"/>
        </w:rPr>
        <w:t>)</w:t>
      </w:r>
    </w:p>
    <w:p w14:paraId="2F3BAB1C" w14:textId="73B29687" w:rsidR="005649A6" w:rsidRPr="00073188" w:rsidRDefault="00734FA0" w:rsidP="004E7A0A">
      <w:pPr>
        <w:pStyle w:val="AuthorAffiliation"/>
        <w:spacing w:after="240"/>
      </w:pPr>
      <w:r w:rsidRPr="00073188">
        <w:t xml:space="preserve">Department of </w:t>
      </w:r>
      <w:r w:rsidR="00B91D22" w:rsidRPr="00073188">
        <w:t xml:space="preserve">Mechanical </w:t>
      </w:r>
      <w:r w:rsidRPr="00073188">
        <w:t xml:space="preserve">Engineering, Universitas Muhammadiyah Malang, </w:t>
      </w:r>
      <w:r w:rsidR="001C07A6" w:rsidRPr="00073188">
        <w:t>M</w:t>
      </w:r>
      <w:r w:rsidRPr="00073188">
        <w:t xml:space="preserve">alang, Indonesia </w:t>
      </w:r>
    </w:p>
    <w:p w14:paraId="43014103" w14:textId="5EB01999" w:rsidR="00EA50A7" w:rsidRPr="00073188" w:rsidRDefault="005C2B16" w:rsidP="005649A6">
      <w:pPr>
        <w:pStyle w:val="AuthorEmail"/>
        <w:rPr>
          <w:shd w:val="clear" w:color="auto" w:fill="FFFFFF"/>
        </w:rPr>
      </w:pPr>
      <w:r w:rsidRPr="00073188">
        <w:rPr>
          <w:shd w:val="clear" w:color="auto" w:fill="FFFFFF"/>
          <w:vertAlign w:val="superscript"/>
        </w:rPr>
        <w:t>a)</w:t>
      </w:r>
      <w:r w:rsidR="00B634AA" w:rsidRPr="00073188">
        <w:rPr>
          <w:color w:val="0000FF"/>
          <w:sz w:val="16"/>
          <w:szCs w:val="16"/>
        </w:rPr>
        <w:t xml:space="preserve"> </w:t>
      </w:r>
      <w:r w:rsidR="001C07A6" w:rsidRPr="00073188">
        <w:t xml:space="preserve">Corresponding author: </w:t>
      </w:r>
      <w:hyperlink r:id="rId6" w:history="1">
        <w:r w:rsidR="004E7A0A" w:rsidRPr="00073188">
          <w:rPr>
            <w:rStyle w:val="Hyperlink"/>
            <w:color w:val="auto"/>
            <w:u w:val="none"/>
          </w:rPr>
          <w:t>andinusa@umm.ac.id</w:t>
        </w:r>
      </w:hyperlink>
      <w:r w:rsidR="004E7A0A" w:rsidRPr="00073188">
        <w:t xml:space="preserve"> </w:t>
      </w:r>
    </w:p>
    <w:p w14:paraId="6E88952D" w14:textId="57386C4A" w:rsidR="00EA50A7" w:rsidRPr="00073188" w:rsidRDefault="005C2B16" w:rsidP="005649A6">
      <w:pPr>
        <w:pStyle w:val="AuthorEmail"/>
      </w:pPr>
      <w:r w:rsidRPr="00073188">
        <w:rPr>
          <w:vertAlign w:val="superscript"/>
        </w:rPr>
        <w:t>b)</w:t>
      </w:r>
      <w:r w:rsidR="00734FA0" w:rsidRPr="00073188">
        <w:t xml:space="preserve"> </w:t>
      </w:r>
      <w:hyperlink r:id="rId7" w:history="1">
        <w:r w:rsidR="004E7A0A" w:rsidRPr="00073188">
          <w:rPr>
            <w:rStyle w:val="Hyperlink"/>
            <w:color w:val="auto"/>
            <w:u w:val="none"/>
          </w:rPr>
          <w:t>dwikristian@webmail.umm.ac.id</w:t>
        </w:r>
      </w:hyperlink>
      <w:r w:rsidR="004E7A0A" w:rsidRPr="00073188">
        <w:t xml:space="preserve"> </w:t>
      </w:r>
    </w:p>
    <w:p w14:paraId="2BCC3E37" w14:textId="300FC243" w:rsidR="00300407" w:rsidRPr="00073188" w:rsidRDefault="00300407" w:rsidP="005649A6">
      <w:pPr>
        <w:pStyle w:val="AuthorEmail"/>
      </w:pPr>
      <w:r w:rsidRPr="00073188">
        <w:rPr>
          <w:vertAlign w:val="superscript"/>
        </w:rPr>
        <w:t>c)</w:t>
      </w:r>
      <w:r w:rsidR="00734FA0" w:rsidRPr="00073188">
        <w:t xml:space="preserve"> </w:t>
      </w:r>
      <w:hyperlink r:id="rId8" w:history="1">
        <w:r w:rsidR="004E7A0A" w:rsidRPr="00073188">
          <w:rPr>
            <w:rStyle w:val="Hyperlink"/>
            <w:color w:val="auto"/>
            <w:u w:val="none"/>
          </w:rPr>
          <w:t>achmadfauzan@umm.ac.id</w:t>
        </w:r>
      </w:hyperlink>
      <w:r w:rsidR="004E7A0A" w:rsidRPr="00073188">
        <w:t xml:space="preserve"> </w:t>
      </w:r>
    </w:p>
    <w:p w14:paraId="6E0A9AB2" w14:textId="2C28528E" w:rsidR="004C086A" w:rsidRPr="00073188" w:rsidRDefault="004C086A" w:rsidP="004C086A">
      <w:pPr>
        <w:pStyle w:val="AuthorEmail"/>
      </w:pPr>
      <w:r w:rsidRPr="00073188">
        <w:rPr>
          <w:vertAlign w:val="superscript"/>
        </w:rPr>
        <w:t>d)</w:t>
      </w:r>
      <w:r w:rsidRPr="00073188">
        <w:t xml:space="preserve"> </w:t>
      </w:r>
      <w:hyperlink r:id="rId9" w:history="1">
        <w:r w:rsidR="004E7A0A" w:rsidRPr="00073188">
          <w:rPr>
            <w:rStyle w:val="Hyperlink"/>
            <w:color w:val="auto"/>
            <w:u w:val="none"/>
          </w:rPr>
          <w:t>mokhtar@umm.ac.id</w:t>
        </w:r>
      </w:hyperlink>
      <w:r w:rsidR="004E7A0A" w:rsidRPr="00073188">
        <w:t xml:space="preserve"> </w:t>
      </w:r>
    </w:p>
    <w:p w14:paraId="396E6CDC" w14:textId="2F70BEF4" w:rsidR="007720BA" w:rsidRPr="00073188" w:rsidRDefault="007720BA" w:rsidP="004C086A">
      <w:pPr>
        <w:pStyle w:val="AuthorEmail"/>
      </w:pPr>
      <w:r w:rsidRPr="00073188">
        <w:rPr>
          <w:vertAlign w:val="superscript"/>
        </w:rPr>
        <w:t>e)</w:t>
      </w:r>
      <w:r w:rsidRPr="00073188">
        <w:t xml:space="preserve"> </w:t>
      </w:r>
      <w:hyperlink r:id="rId10" w:history="1">
        <w:r w:rsidR="004E7A0A" w:rsidRPr="00073188">
          <w:rPr>
            <w:rStyle w:val="Hyperlink"/>
            <w:color w:val="auto"/>
            <w:u w:val="none"/>
          </w:rPr>
          <w:t>miqbalmaulanakwpmb@gmail.com</w:t>
        </w:r>
      </w:hyperlink>
      <w:r w:rsidR="004E7A0A" w:rsidRPr="00073188">
        <w:t xml:space="preserve"> </w:t>
      </w:r>
    </w:p>
    <w:p w14:paraId="128B343A" w14:textId="0A720902" w:rsidR="00CA3BBC" w:rsidRPr="00073188" w:rsidRDefault="00EA50A7" w:rsidP="00CA3BBC">
      <w:pPr>
        <w:pStyle w:val="Abstract"/>
        <w:rPr>
          <w:color w:val="333333"/>
          <w:szCs w:val="18"/>
        </w:rPr>
      </w:pPr>
      <w:r w:rsidRPr="00073188">
        <w:rPr>
          <w:b/>
        </w:rPr>
        <w:t>Abstract</w:t>
      </w:r>
      <w:r w:rsidR="00784F94" w:rsidRPr="00073188">
        <w:rPr>
          <w:b/>
        </w:rPr>
        <w:t xml:space="preserve">. </w:t>
      </w:r>
      <w:r w:rsidRPr="00073188">
        <w:t xml:space="preserve"> </w:t>
      </w:r>
      <w:r w:rsidR="00135DB9" w:rsidRPr="00073188">
        <w:rPr>
          <w:rStyle w:val="Emphasis"/>
          <w:szCs w:val="18"/>
        </w:rPr>
        <w:t xml:space="preserve">Utilization of low enthalpy heat is an alternative solution to energy scarcity. One of the geothermal sources produces a hot water reservoir that has not been optimally exploited. This study aims to obtain a comparative power value from the conceptual design made in the Organic Rankine Cycle utilizing hot water sources. This study is a simulation method using </w:t>
      </w:r>
      <w:proofErr w:type="spellStart"/>
      <w:r w:rsidR="00135DB9" w:rsidRPr="00073188">
        <w:rPr>
          <w:rStyle w:val="Emphasis"/>
          <w:szCs w:val="18"/>
        </w:rPr>
        <w:t>Cyclepad</w:t>
      </w:r>
      <w:proofErr w:type="spellEnd"/>
      <w:r w:rsidR="00135DB9" w:rsidRPr="00073188">
        <w:rPr>
          <w:rStyle w:val="Emphasis"/>
          <w:szCs w:val="18"/>
        </w:rPr>
        <w:t xml:space="preserve"> software. Refrigerants used as working fluids are R134a and R22. The input of a hot water reservoir of 60 degrees Celsius is used to heat the refrigerant to a temperature of 55 degrees Celsius at a pressure of up to 1400 kPa. The mass flow rate of the working fluid used is 1 kg / s. Based on the results of the study, R134a can produce a turbine power of 20.69 kW. While refrigerant R22 can produce a turbine power of 17.68 kW. The study's results indicate that the influence of the refrigerant boiling point parameter affects the temperature and pressure range of the ORC cycle operation. A boiling point that does not match the reservoir will limit the production of turbine power in a large range.</w:t>
      </w:r>
    </w:p>
    <w:p w14:paraId="282ACB97" w14:textId="1DE6A381" w:rsidR="00EA50A7" w:rsidRPr="00073188" w:rsidRDefault="00EA50A7" w:rsidP="00784F94">
      <w:pPr>
        <w:pStyle w:val="Abstract"/>
      </w:pPr>
      <w:r w:rsidRPr="00073188">
        <w:rPr>
          <w:b/>
        </w:rPr>
        <w:t xml:space="preserve">Keywords: </w:t>
      </w:r>
      <w:r w:rsidR="00211E60" w:rsidRPr="00073188">
        <w:t>r</w:t>
      </w:r>
      <w:r w:rsidR="00CA256E" w:rsidRPr="00073188">
        <w:t>efrigerant</w:t>
      </w:r>
      <w:r w:rsidR="004C7E7E" w:rsidRPr="00073188">
        <w:t xml:space="preserve">, hot water </w:t>
      </w:r>
      <w:r w:rsidR="00211E60" w:rsidRPr="00073188">
        <w:t>reservoir</w:t>
      </w:r>
      <w:r w:rsidR="004C7E7E" w:rsidRPr="00073188">
        <w:t>,</w:t>
      </w:r>
      <w:r w:rsidR="00211E60" w:rsidRPr="00073188">
        <w:t xml:space="preserve"> organic </w:t>
      </w:r>
      <w:proofErr w:type="spellStart"/>
      <w:r w:rsidR="00211E60" w:rsidRPr="00073188">
        <w:t>rankine</w:t>
      </w:r>
      <w:proofErr w:type="spellEnd"/>
      <w:r w:rsidR="00211E60" w:rsidRPr="00073188">
        <w:t xml:space="preserve"> cycle,</w:t>
      </w:r>
      <w:r w:rsidR="004C7E7E" w:rsidRPr="00073188">
        <w:t xml:space="preserve"> </w:t>
      </w:r>
      <w:proofErr w:type="spellStart"/>
      <w:r w:rsidR="00211E60" w:rsidRPr="00073188">
        <w:t>c</w:t>
      </w:r>
      <w:r w:rsidR="004C7E7E" w:rsidRPr="00073188">
        <w:t>ycle</w:t>
      </w:r>
      <w:r w:rsidR="00211E60" w:rsidRPr="00073188">
        <w:t>p</w:t>
      </w:r>
      <w:r w:rsidR="004C7E7E" w:rsidRPr="00073188">
        <w:t>ad</w:t>
      </w:r>
      <w:proofErr w:type="spellEnd"/>
      <w:r w:rsidR="004C7E7E" w:rsidRPr="00073188">
        <w:t xml:space="preserve">, </w:t>
      </w:r>
      <w:r w:rsidR="00211E60" w:rsidRPr="00073188">
        <w:t>p</w:t>
      </w:r>
      <w:r w:rsidR="00CA256E" w:rsidRPr="00073188">
        <w:t>ower</w:t>
      </w:r>
    </w:p>
    <w:p w14:paraId="0CD11642" w14:textId="11C772BC" w:rsidR="00EA50A7" w:rsidRPr="00073188" w:rsidRDefault="00EA50A7" w:rsidP="00784F94">
      <w:pPr>
        <w:pStyle w:val="Heading1"/>
      </w:pPr>
      <w:r w:rsidRPr="00073188">
        <w:t>INTRODUCTION</w:t>
      </w:r>
    </w:p>
    <w:p w14:paraId="57791C30" w14:textId="5A8C96FA" w:rsidR="0047399B" w:rsidRPr="0067462A" w:rsidRDefault="0047399B" w:rsidP="0067462A">
      <w:pPr>
        <w:pStyle w:val="Paragraph"/>
        <w:rPr>
          <w:rStyle w:val="Emphasis"/>
        </w:rPr>
      </w:pPr>
      <w:r w:rsidRPr="0067462A">
        <w:rPr>
          <w:rStyle w:val="Emphasis"/>
        </w:rPr>
        <w:t>The utilization of renewable energy sources is increasingly becoming a major focus in efforts to reduce dependence on fossil fuels, which aims to improve global energy sustainability</w:t>
      </w:r>
      <w:r w:rsidR="00F2044D" w:rsidRPr="0067462A">
        <w:rPr>
          <w:rStyle w:val="Emphasis"/>
        </w:rPr>
        <w:t xml:space="preserve"> </w:t>
      </w:r>
      <w:r w:rsidR="001E264C" w:rsidRPr="0067462A">
        <w:rPr>
          <w:rStyle w:val="Emphasis"/>
        </w:rPr>
        <w:fldChar w:fldCharType="begin" w:fldLock="1"/>
      </w:r>
      <w:r w:rsidR="001E264C" w:rsidRPr="0067462A">
        <w:rPr>
          <w:rStyle w:val="Emphasis"/>
        </w:rPr>
        <w:instrText>ADDIN CSL_CITATION {"citationItems":[{"id":"ITEM-1","itemData":{"DOI":"10.1016/j.enconman.2020.112473","ISSN":"01968904","abstract":"Nowadays, industrials and researchers are looking for renewable energy resources due to the increase of energy demand. Recently, the ability of combined turbines in harnessing energy from water current has increased their renewed interest. However, there still exist a big knowledge gap to select the optimal design of these turbines. In this paper, systematic studies of stand-alone helical Savonius and delta bladed Darrieus turbines were carried out using experimental methods as a precursor to analyze their roles in hybrid configuration. By varying the attachment angle, two hybrid configurations were tested experimentally. Using the optimal attachment angle, six hybrid configurations were investigated numerically based on the commercial software ANSYS FLUENT 17.0. From one configuration to another, only the design of the Savonius turbine was changed. The maximum power coefficient is found to be equal to 0.191 at tip-speed ratio of 0.63 using a helical bladed Savonius turbine with twist angle of 90°. However, the maximum power coefficient reaches 0.232 using a delta bladed Savonius turbine with the same twist angle. This optimization of the novel combined water turbine could be a solution to enhance the generated power.","author":[{"dropping-particle":"","family":"Mosbahi","given":"Mabrouk","non-dropping-particle":"","parse-names":false,"suffix":""},{"dropping-particle":"","family":"Ayadi","given":"Ahmed","non-dropping-particle":"","parse-names":false,"suffix":""},{"dropping-particle":"","family":"Chouaibi","given":"Youssef","non-dropping-particle":"","parse-names":false,"suffix":""},{"dropping-particle":"","family":"Driss","given":"Zied","non-dropping-particle":"","parse-names":false,"suffix":""},{"dropping-particle":"","family":"Tucciarelli","given":"Tullio","non-dropping-particle":"","parse-names":false,"suffix":""}],"container-title":"Energy Conversion and Management","id":"ITEM-1","issue":"January","issued":{"date-parts":[["2020"]]},"page":"112473","publisher":"Elsevier","title":"Performance improvement of a novel combined water turbine","type":"article-journal","volume":"205"},"uris":["http://www.mendeley.com/documents/?uuid=d50ee9c2-5e18-4fd2-b902-d382a1c01676"]}],"mendeley":{"formattedCitation":"[1]","plainTextFormattedCitation":"[1]","previouslyFormattedCitation":"[1]"},"properties":{"noteIndex":0},"schema":"https://github.com/citation-style-language/schema/raw/master/csl-citation.json"}</w:instrText>
      </w:r>
      <w:r w:rsidR="001E264C" w:rsidRPr="0067462A">
        <w:rPr>
          <w:rStyle w:val="Emphasis"/>
        </w:rPr>
        <w:fldChar w:fldCharType="separate"/>
      </w:r>
      <w:r w:rsidR="001E264C" w:rsidRPr="0067462A">
        <w:rPr>
          <w:rStyle w:val="Emphasis"/>
        </w:rPr>
        <w:t>[1]</w:t>
      </w:r>
      <w:r w:rsidR="001E264C" w:rsidRPr="0067462A">
        <w:rPr>
          <w:rStyle w:val="Emphasis"/>
        </w:rPr>
        <w:fldChar w:fldCharType="end"/>
      </w:r>
      <w:r w:rsidRPr="0067462A">
        <w:rPr>
          <w:rStyle w:val="Emphasis"/>
        </w:rPr>
        <w:t>. One promising technology is the steam turbine, which uses hot water sources as primary energy</w:t>
      </w:r>
      <w:r w:rsidR="00F2044D" w:rsidRPr="0067462A">
        <w:rPr>
          <w:rStyle w:val="Emphasis"/>
        </w:rPr>
        <w:t xml:space="preserve"> </w:t>
      </w:r>
      <w:r w:rsidR="001E264C" w:rsidRPr="0067462A">
        <w:rPr>
          <w:rStyle w:val="Emphasis"/>
        </w:rPr>
        <w:fldChar w:fldCharType="begin" w:fldLock="1"/>
      </w:r>
      <w:r w:rsidR="001E264C" w:rsidRPr="0067462A">
        <w:rPr>
          <w:rStyle w:val="Emphasis"/>
        </w:rPr>
        <w:instrText>ADDIN CSL_CITATION {"citationItems":[{"id":"ITEM-1","itemData":{"DOI":"10.1016/j.engfailanal.2020.104548","ISSN":"13506307","abstract":"Today, the use of shell and tube heat exchangers has become widespread and they are used in various industries under very diverse operating conditions. Specific operating conditions make it possible to consider and simulate the operating terms and failure conditions of these converters. In this study, the design of a shell-and-tube counter-flow heat exchanger in AutoCAD software is first considered, and the system is then meshed and simulated in ANSYS 2019 software. Simulation results of temperature, pressure, heat flux and fluid velocity within the system are reported in order to understand the system performance. Failure conditions are evaluated according to the ASME VIII Boiler and Pressure Vessel Code, and the results of equivalent thermal stress analysis and system lifetime under two extreme loading conditions are reported. The highest equivalent thermal stresses under these extreme load conditions occur at the joints of the tubes and tubes sheet and is equal to 641 and 931 MPa, respectively. Also, the lifetimes of tubes and tube sheets are 105 and 104 cycles respectively for the valley and peak load conditions.","author":[{"dropping-particle":"","family":"Hoseinzadeh","given":"Siamak","non-dropping-particle":"","parse-names":false,"suffix":""},{"dropping-particle":"","family":"Heyns","given":"P. Stephan","non-dropping-particle":"","parse-names":false,"suffix":""}],"container-title":"Engineering Failure Analysis","id":"ITEM-1","issue":"February","issued":{"date-parts":[["2020"]]},"page":"104548","publisher":"Elsevier","title":"Thermo-structural fatigue and lifetime analysis of a heat exchanger as a feedwater heater in power plant","type":"article-journal","volume":"113"},"uris":["http://www.mendeley.com/documents/?uuid=bb6d0209-1fb3-4554-b462-de2db0325d93"]}],"mendeley":{"formattedCitation":"[2]","plainTextFormattedCitation":"[2]","previouslyFormattedCitation":"[2]"},"properties":{"noteIndex":0},"schema":"https://github.com/citation-style-language/schema/raw/master/csl-citation.json"}</w:instrText>
      </w:r>
      <w:r w:rsidR="001E264C" w:rsidRPr="0067462A">
        <w:rPr>
          <w:rStyle w:val="Emphasis"/>
        </w:rPr>
        <w:fldChar w:fldCharType="separate"/>
      </w:r>
      <w:r w:rsidR="001E264C" w:rsidRPr="0067462A">
        <w:rPr>
          <w:rStyle w:val="Emphasis"/>
        </w:rPr>
        <w:t>[2]</w:t>
      </w:r>
      <w:r w:rsidR="001E264C" w:rsidRPr="0067462A">
        <w:rPr>
          <w:rStyle w:val="Emphasis"/>
        </w:rPr>
        <w:fldChar w:fldCharType="end"/>
      </w:r>
      <w:r w:rsidRPr="0067462A">
        <w:rPr>
          <w:rStyle w:val="Emphasis"/>
        </w:rPr>
        <w:t xml:space="preserve">. This study has a clear objective, namely to conduct an in-depth analysis of the power generated by the steam turbine using the </w:t>
      </w:r>
      <w:proofErr w:type="spellStart"/>
      <w:r w:rsidRPr="0067462A">
        <w:rPr>
          <w:rStyle w:val="Emphasis"/>
        </w:rPr>
        <w:t>CyclePad</w:t>
      </w:r>
      <w:proofErr w:type="spellEnd"/>
      <w:r w:rsidRPr="0067462A">
        <w:rPr>
          <w:rStyle w:val="Emphasis"/>
        </w:rPr>
        <w:t xml:space="preserve"> application, a very effective tool in modeling and optimizing the thermal cycle in the steam turbine system. Thus, the application can improve the efficiency and overall performance of the system</w:t>
      </w:r>
      <w:r w:rsidR="00F2044D" w:rsidRPr="0067462A">
        <w:rPr>
          <w:rStyle w:val="Emphasis"/>
        </w:rPr>
        <w:t xml:space="preserve"> </w:t>
      </w:r>
      <w:r w:rsidR="001E264C" w:rsidRPr="0067462A">
        <w:rPr>
          <w:rStyle w:val="Emphasis"/>
        </w:rPr>
        <w:fldChar w:fldCharType="begin" w:fldLock="1"/>
      </w:r>
      <w:r w:rsidR="001E264C" w:rsidRPr="0067462A">
        <w:rPr>
          <w:rStyle w:val="Emphasis"/>
        </w:rPr>
        <w:instrText>ADDIN CSL_CITATION {"citationItems":[{"id":"ITEM-1","itemData":{"DOI":"10.1080/23311916.2022.2075131","ISSN":"23311916","abstract":"This study proposes a new combined cooling, heating and power (CCHP) system applied for geothermal energy. In the proposed system, a water heater is introduced to utilize the exhaust geothermal water for supplying heating, and the throttled valve of the basic flash cycle is replaced by an ejector for cooling output. To evaluate the system performance, detailed mathematic models are established and validated. Based on the basic condition (170°C geothermal water), the exergy efficiency of the proposed system is 44.34% and the sum of the power, cooling output and heating output is 10,283.68 kW. Also, the exergy loss analysis demonstrates that the component of the water heater, ejector, turbine, condenser and flasher has a large improved space to reduce the exergy destructions for system performance enhancement. At last, the parametric analysis results suggest that there exists an optimal flash pressure (around 140 kPa) to maximize the exergy efficiency. Within the discussed ranges, both the increase of the outlet temperature of water heater and condenser temperature will damage the system exergy efficiency, while a higher evaporator temperature is beneficial for the system exergy efficiency.","author":[{"dropping-particle":"","family":"Wang","given":"Yang","non-dropping-particle":"","parse-names":false,"suffix":""},{"dropping-particle":"","family":"Yang","given":"Li","non-dropping-particle":"","parse-names":false,"suffix":""},{"dropping-particle":"","family":"Ma","given":"Tingshuang","non-dropping-particle":"","parse-names":false,"suffix":""},{"dropping-particle":"","family":"Yu","given":"Xiaobing","non-dropping-particle":"","parse-names":false,"suffix":""},{"dropping-particle":"","family":"Ju","given":"Wenping","non-dropping-particle":"","parse-names":false,"suffix":""},{"dropping-particle":"","family":"Huang","given":"Jiasi","non-dropping-particle":"","parse-names":false,"suffix":""},{"dropping-particle":"","family":"Yan","given":"Fei","non-dropping-particle":"","parse-names":false,"suffix":""}],"container-title":"Cogent Engineering","id":"ITEM-1","issue":"1","issued":{"date-parts":[["2022"]]},"publisher":"Cogent OA","title":"Proposal and comprehensive thermodynamic performance analysis of a new geothermal combined cooling, heating and power system","type":"article-journal","volume":"9"},"uris":["http://www.mendeley.com/documents/?uuid=ae9e271d-46ff-3021-92e8-390e2c0f17ad"]}],"mendeley":{"formattedCitation":"[3]","plainTextFormattedCitation":"[3]","previouslyFormattedCitation":"[3]"},"properties":{"noteIndex":0},"schema":"https://github.com/citation-style-language/schema/raw/master/csl-citation.json"}</w:instrText>
      </w:r>
      <w:r w:rsidR="001E264C" w:rsidRPr="0067462A">
        <w:rPr>
          <w:rStyle w:val="Emphasis"/>
        </w:rPr>
        <w:fldChar w:fldCharType="separate"/>
      </w:r>
      <w:r w:rsidR="001E264C" w:rsidRPr="0067462A">
        <w:rPr>
          <w:rStyle w:val="Emphasis"/>
        </w:rPr>
        <w:t>[3]</w:t>
      </w:r>
      <w:r w:rsidR="001E264C" w:rsidRPr="0067462A">
        <w:rPr>
          <w:rStyle w:val="Emphasis"/>
        </w:rPr>
        <w:fldChar w:fldCharType="end"/>
      </w:r>
      <w:r w:rsidRPr="0067462A">
        <w:rPr>
          <w:rStyle w:val="Emphasis"/>
        </w:rPr>
        <w:t xml:space="preserve">. </w:t>
      </w:r>
    </w:p>
    <w:p w14:paraId="53672903" w14:textId="44107CAD" w:rsidR="00C60735" w:rsidRPr="0067462A" w:rsidRDefault="0047399B" w:rsidP="0067462A">
      <w:pPr>
        <w:pStyle w:val="Paragraph"/>
        <w:rPr>
          <w:rStyle w:val="Emphasis"/>
        </w:rPr>
      </w:pPr>
      <w:r w:rsidRPr="0067462A">
        <w:rPr>
          <w:rStyle w:val="Emphasis"/>
        </w:rPr>
        <w:t xml:space="preserve">In this chapter, the theoretical basis will be discussed, including the working principle of the steam turbine, the applied thermal cycle, and the analysis method using the </w:t>
      </w:r>
      <w:proofErr w:type="spellStart"/>
      <w:r w:rsidRPr="0067462A">
        <w:rPr>
          <w:rStyle w:val="Emphasis"/>
        </w:rPr>
        <w:t>CyclePad</w:t>
      </w:r>
      <w:proofErr w:type="spellEnd"/>
      <w:r w:rsidRPr="0067462A">
        <w:rPr>
          <w:rStyle w:val="Emphasis"/>
        </w:rPr>
        <w:t xml:space="preserve"> application</w:t>
      </w:r>
      <w:r w:rsidR="00F2044D" w:rsidRPr="0067462A">
        <w:rPr>
          <w:rStyle w:val="Emphasis"/>
        </w:rPr>
        <w:t xml:space="preserve"> </w:t>
      </w:r>
      <w:r w:rsidR="001E264C" w:rsidRPr="0067462A">
        <w:rPr>
          <w:rStyle w:val="Emphasis"/>
        </w:rPr>
        <w:fldChar w:fldCharType="begin" w:fldLock="1"/>
      </w:r>
      <w:r w:rsidR="001E264C" w:rsidRPr="0067462A">
        <w:rPr>
          <w:rStyle w:val="Emphasis"/>
        </w:rPr>
        <w:instrText>ADDIN CSL_CITATION {"citationItems":[{"id":"ITEM-1","itemData":{"abstract":"The third stage of the Nesjavellir combined power plant was commissioned in late 1998 after a record construction period of only 22 months. Two 30 MW turbine generator units were installed and considerable modifications of the thermal power plant were made. The nominal capacity of the plant is now 60 MW e electric and 200 MW t thermal power. Geothermal steam and water from 10 production wells are gathered in a central separator station, supplying up to 132 kg/s of steam and 240 kg/s of water. Electricity is generated in two condensing steam turbine units. The exhaust steam from the turbines is used to preheat fresh water in the condensers. The separated geothermal water is used in heat exchangers to heat the preheated water up to the required temperature. Finally, the water is treated in de-aerators to suit the requirements of the distribution system. Thus, the steam and the separated geothermal water are utilised, in the most economical way possible, for co-generation of electric and thermal power, which is also good for the environment as less heat is released to the atmosphere than in conventional geothermal plants. The paper gives a general overview of the process, the design and the layout of the Nesjavellir plant. The main features of the equipment used are described, as well as the planned operation with load variations during summer and winter seasons to achieve an optimal use of the geothermal source.","author":[{"dropping-particle":"","family":"Ballzus","given":"Claus","non-dropping-particle":"","parse-names":false,"suffix":""},{"dropping-particle":"","family":"Frimannson","given":"Hreinn","non-dropping-particle":"","parse-names":false,"suffix":""},{"dropping-particle":"","family":"Gunnarsson","given":"Gunnar Ingi","non-dropping-particle":"","parse-names":false,"suffix":""},{"dropping-particle":"","family":"Hrolfsson","given":"Ingolfur","non-dropping-particle":"","parse-names":false,"suffix":""}],"id":"ITEM-1","issued":{"date-parts":[["0"]]},"title":"The Geothermal Power Plant AT Nesjavellir, Iceland","type":"report"},"uris":["http://www.mendeley.com/documents/?uuid=19ff47b6-9dcd-3d1f-84a4-e7b91a06e35f"]}],"mendeley":{"formattedCitation":"[4]","plainTextFormattedCitation":"[4]","previouslyFormattedCitation":"[4]"},"properties":{"noteIndex":0},"schema":"https://github.com/citation-style-language/schema/raw/master/csl-citation.json"}</w:instrText>
      </w:r>
      <w:r w:rsidR="001E264C" w:rsidRPr="0067462A">
        <w:rPr>
          <w:rStyle w:val="Emphasis"/>
        </w:rPr>
        <w:fldChar w:fldCharType="separate"/>
      </w:r>
      <w:r w:rsidR="001E264C" w:rsidRPr="0067462A">
        <w:rPr>
          <w:rStyle w:val="Emphasis"/>
        </w:rPr>
        <w:t>[4]</w:t>
      </w:r>
      <w:r w:rsidR="001E264C" w:rsidRPr="0067462A">
        <w:rPr>
          <w:rStyle w:val="Emphasis"/>
        </w:rPr>
        <w:fldChar w:fldCharType="end"/>
      </w:r>
      <w:r w:rsidRPr="0067462A">
        <w:rPr>
          <w:rStyle w:val="Emphasis"/>
        </w:rPr>
        <w:t>. Particular emphasis is placed on the utilization of hot water sources as the main input in the thermal cycle, which directly affects the final power generated by the steam turbine</w:t>
      </w:r>
      <w:r w:rsidR="00F2044D" w:rsidRPr="0067462A">
        <w:rPr>
          <w:rStyle w:val="Emphasis"/>
        </w:rPr>
        <w:t xml:space="preserve"> </w:t>
      </w:r>
      <w:r w:rsidR="001E264C" w:rsidRPr="0067462A">
        <w:rPr>
          <w:rStyle w:val="Emphasis"/>
        </w:rPr>
        <w:fldChar w:fldCharType="begin" w:fldLock="1"/>
      </w:r>
      <w:r w:rsidR="001E264C" w:rsidRPr="0067462A">
        <w:rPr>
          <w:rStyle w:val="Emphasis"/>
        </w:rPr>
        <w:instrText>ADDIN CSL_CITATION {"citationItems":[{"id":"ITEM-1","itemData":{"DOI":"10.1016/j.engfracmech.2020.107180","ISSN":"00137944","abstract":"The fracture characteristics of fine-grained granite were examined for a potential geothermal-energy reservoir. The granite was thermally cycled in a furnace between 100 °C and 300 °C and its mechanical behavior and meso-crack characteristics were analyzed. The results indicate that thermal cycling leads to decreased fracture toughness (Keff), absorbed energy (U), longitudinal wave velocity (Pv), and increased permeability (K) in granite. These changes can be explained using the thermal fatigue accumulated damage. The ability of granite to resist fracturing is greatly reduced in the first five thermal cycles. Thermal cycling is more conducive to inducing intergranular cracks. The interconnection of intragranular and intergranular cracks causes the structure of granite to become fragmented and more likely to fail. Thus, thermal cycling deteriorates the mechanical stability of fine-grained dense granite, and allows crack networks to form more easily. The correction of crack propagation critical radius (rc) can improve the accuracy of the modified maximum tangential stress (MMTS) predictive fracture.","author":[{"dropping-particle":"","family":"Feng","given":"Gan","non-dropping-particle":"","parse-names":false,"suffix":""},{"dropping-particle":"","family":"Wang","given":"Xiaochuan","non-dropping-particle":"","parse-names":false,"suffix":""},{"dropping-particle":"","family":"Wang","given":"Man","non-dropping-particle":"","parse-names":false,"suffix":""},{"dropping-particle":"","family":"Kang","given":"Yong","non-dropping-particle":"","parse-names":false,"suffix":""}],"container-title":"Engineering Fracture Mechanics","id":"ITEM-1","issued":{"date-parts":[["2020"]]},"page":"107180","publisher":"Elsevier Ltd","title":"Experimental investigation of thermal cycling effect on fracture characteristics of granite in a geothermal-energy reservoir","type":"article-journal","volume":"235"},"uris":["http://www.mendeley.com/documents/?uuid=291113bb-2c58-4e66-8ac9-9c6b7e4baa8c"]}],"mendeley":{"formattedCitation":"[5]","plainTextFormattedCitation":"[5]","previouslyFormattedCitation":"[5]"},"properties":{"noteIndex":0},"schema":"https://github.com/citation-style-language/schema/raw/master/csl-citation.json"}</w:instrText>
      </w:r>
      <w:r w:rsidR="001E264C" w:rsidRPr="0067462A">
        <w:rPr>
          <w:rStyle w:val="Emphasis"/>
        </w:rPr>
        <w:fldChar w:fldCharType="separate"/>
      </w:r>
      <w:r w:rsidR="001E264C" w:rsidRPr="0067462A">
        <w:rPr>
          <w:rStyle w:val="Emphasis"/>
        </w:rPr>
        <w:t>[5]</w:t>
      </w:r>
      <w:r w:rsidR="001E264C" w:rsidRPr="0067462A">
        <w:rPr>
          <w:rStyle w:val="Emphasis"/>
        </w:rPr>
        <w:fldChar w:fldCharType="end"/>
      </w:r>
      <w:r w:rsidRPr="0067462A">
        <w:rPr>
          <w:rStyle w:val="Emphasis"/>
        </w:rPr>
        <w:t>. The purpose of the analysis carried out is to provide a deeper understanding of the factors that influence the efficiency and performance of the steam turbine in the context of renewable energy utilization</w:t>
      </w:r>
      <w:r w:rsidR="00F2044D" w:rsidRPr="0067462A">
        <w:rPr>
          <w:rStyle w:val="Emphasis"/>
        </w:rPr>
        <w:t xml:space="preserve"> </w:t>
      </w:r>
      <w:r w:rsidR="001E264C" w:rsidRPr="0067462A">
        <w:rPr>
          <w:rStyle w:val="Emphasis"/>
        </w:rPr>
        <w:fldChar w:fldCharType="begin" w:fldLock="1"/>
      </w:r>
      <w:r w:rsidR="001E264C" w:rsidRPr="0067462A">
        <w:rPr>
          <w:rStyle w:val="Emphasis"/>
        </w:rPr>
        <w:instrText>ADDIN CSL_CITATION {"citationItems":[{"id":"ITEM-1","itemData":{"ISSN":"2286-3540","abstract":"The paper analyzes the possibilities of increasing energy efficiency of an existent centralized heating system from Calimanesti City, Valcea County, which uses geothermal water. The analysis of the utilization a heat pump to recover the heat from the hot waste geothermal water, with a temperature over 50 o C, it is highlights a rising of the heat system efficiency with 133%, in relation to current mode of exploitation. Also, it was analyzed the use of the associated combustible gases to acting a micro gas turbine cogeneration unit to enlarge the capacity of the system. It was highlighted the possibility of an independent functioning of the heating system, without any fuel consumption from another sources.","author":[{"dropping-particle":"","family":"Lipan","given":"Laurențiu","non-dropping-particle":"","parse-names":false,"suffix":""},{"dropping-particle":"","family":"Dimitriu","given":"Sorin","non-dropping-particle":"","parse-names":false,"suffix":""}],"container-title":"U.P.B. Sci. Bull., Series C","id":"ITEM-1","issued":{"date-parts":[["0"]]},"page":"2020","title":"Possibilities To Use The Energy Of Geothermal Water In A Centralized Heating System","type":"article-journal","volume":"82"},"uris":["http://www.mendeley.com/documents/?uuid=131c9990-1f48-3832-97f0-1914302280a1"]}],"mendeley":{"formattedCitation":"[6]","plainTextFormattedCitation":"[6]","previouslyFormattedCitation":"[6]"},"properties":{"noteIndex":0},"schema":"https://github.com/citation-style-language/schema/raw/master/csl-citation.json"}</w:instrText>
      </w:r>
      <w:r w:rsidR="001E264C" w:rsidRPr="0067462A">
        <w:rPr>
          <w:rStyle w:val="Emphasis"/>
        </w:rPr>
        <w:fldChar w:fldCharType="separate"/>
      </w:r>
      <w:r w:rsidR="001E264C" w:rsidRPr="0067462A">
        <w:rPr>
          <w:rStyle w:val="Emphasis"/>
        </w:rPr>
        <w:t>[6]</w:t>
      </w:r>
      <w:r w:rsidR="001E264C" w:rsidRPr="0067462A">
        <w:rPr>
          <w:rStyle w:val="Emphasis"/>
        </w:rPr>
        <w:fldChar w:fldCharType="end"/>
      </w:r>
      <w:r w:rsidRPr="0067462A">
        <w:rPr>
          <w:rStyle w:val="Emphasis"/>
        </w:rPr>
        <w:t>.</w:t>
      </w:r>
    </w:p>
    <w:p w14:paraId="00C48A2B" w14:textId="2F84CE7A" w:rsidR="0047399B" w:rsidRPr="0067462A" w:rsidRDefault="0047399B" w:rsidP="0067462A">
      <w:pPr>
        <w:pStyle w:val="Paragraph"/>
        <w:rPr>
          <w:rStyle w:val="Emphasis"/>
        </w:rPr>
      </w:pPr>
      <w:r w:rsidRPr="0067462A">
        <w:rPr>
          <w:rStyle w:val="Emphasis"/>
        </w:rPr>
        <w:t>Through an integrated analytical and computational approach, this study is expected to make a significant contribution to the development of renewable energy technology</w:t>
      </w:r>
      <w:r w:rsidR="00F2044D" w:rsidRPr="0067462A">
        <w:rPr>
          <w:rStyle w:val="Emphasis"/>
        </w:rPr>
        <w:t xml:space="preserve"> </w:t>
      </w:r>
      <w:r w:rsidR="001E264C" w:rsidRPr="0067462A">
        <w:rPr>
          <w:rStyle w:val="Emphasis"/>
        </w:rPr>
        <w:fldChar w:fldCharType="begin" w:fldLock="1"/>
      </w:r>
      <w:r w:rsidR="001E264C" w:rsidRPr="0067462A">
        <w:rPr>
          <w:rStyle w:val="Emphasis"/>
        </w:rPr>
        <w:instrText>ADDIN CSL_CITATION {"citationItems":[{"id":"ITEM-1","itemData":{"abstract":"Geothermal energy is energy created by the heat of the Earth. To extract energy from the underground, water is most times used as the heat carrier. As the crust is highly fractured and thus permeable to fluids, surface water, in most cases rainwater, penetrates at depth and exchanges heat with the rocks. Two main forms of heat transfer occur within the crust: conduction and convection. Where rocks are much fractured and circulating fluids are abundant, the resulting convective heat transfer is very efficient and can be easily exploited by drilling wells and discharge the hot fluids to the surface. The Earth's geothermal resources are theoretically more than adequate to supply humanity's energy needs, but only a very small fraction may be profitably exploited. Drilling and exploration for deep resources is very expensive. Forecasts for the future of geothermal power depend on assumptions about technology, energy prices, subsidies, plate boundary movement and interest rates. Geothermal energy is a well-established and relatively mature form of commercial renewable energy characterized by a high load factor, which means that its installed capacity produces significantly more electricity during a year than other sources like wind and solar power plants. Geothermal power plants provide stable production output, unaffected by weather or climate, resulting in high capacity factors ranging from 60% to 90% which is ideal for making the technology suitable for base load electricity production.","author":[{"dropping-particle":"","family":"Igwe","given":"Chijindu Ikechukwu","non-dropping-particle":"","parse-names":false,"suffix":""}],"id":"ITEM-1","issued":{"date-parts":[["0"]]},"title":"Geothermal Energy: A Review","type":"report"},"uris":["http://www.mendeley.com/documents/?uuid=7cb1a03d-e0ed-36c5-ba5a-3659504bb337"]}],"mendeley":{"formattedCitation":"[7]","plainTextFormattedCitation":"[7]","previouslyFormattedCitation":"[7]"},"properties":{"noteIndex":0},"schema":"https://github.com/citation-style-language/schema/raw/master/csl-citation.json"}</w:instrText>
      </w:r>
      <w:r w:rsidR="001E264C" w:rsidRPr="0067462A">
        <w:rPr>
          <w:rStyle w:val="Emphasis"/>
        </w:rPr>
        <w:fldChar w:fldCharType="separate"/>
      </w:r>
      <w:r w:rsidR="001E264C" w:rsidRPr="0067462A">
        <w:rPr>
          <w:rStyle w:val="Emphasis"/>
        </w:rPr>
        <w:t>[7]</w:t>
      </w:r>
      <w:r w:rsidR="001E264C" w:rsidRPr="0067462A">
        <w:rPr>
          <w:rStyle w:val="Emphasis"/>
        </w:rPr>
        <w:fldChar w:fldCharType="end"/>
      </w:r>
      <w:r w:rsidRPr="0067462A">
        <w:rPr>
          <w:rStyle w:val="Emphasis"/>
        </w:rPr>
        <w:t>. The main focus is to improve the efficiency of hot water resource utilization to generate electricity through steam turbines</w:t>
      </w:r>
      <w:r w:rsidR="00F2044D" w:rsidRPr="0067462A">
        <w:rPr>
          <w:rStyle w:val="Emphasis"/>
        </w:rPr>
        <w:t xml:space="preserve"> </w:t>
      </w:r>
      <w:r w:rsidR="001E264C" w:rsidRPr="0067462A">
        <w:rPr>
          <w:rStyle w:val="Emphasis"/>
        </w:rPr>
        <w:fldChar w:fldCharType="begin" w:fldLock="1"/>
      </w:r>
      <w:r w:rsidR="001E264C" w:rsidRPr="0067462A">
        <w:rPr>
          <w:rStyle w:val="Emphasis"/>
        </w:rPr>
        <w:instrText>ADDIN CSL_CITATION {"citationItems":[{"id":"ITEM-1","itemData":{"DOI":"10.3390/pr11071982","ISSN":"22279717","abstract":"It has been demonstrated that energy systems driven by conventional energy sources like fossil fuels are one of the main causes of climate change. Organic Rankine cycles can help to reduce that impact, as they can be operated by using the industrial waste heat of renewable energies. The present study presents a comprehensive bibliographic review of organic Rankine cycles. The study not only actualizes previous reviews that mainly focused on basic cycles operating on subcritical or supercritical conditions, but also includes the analysis of novel cycles such as two-stage and hybrid cycles and the used fluids. Recuperative and regenerative cycles are more efficient than reheated and basic single-stage cycles. The use of two-stage cycles makes it possible to achieve higher thermal efficiencies and net power outputs of up to 20% and 44%, respectively, compared with those obtained with single-stage cycles. Theoretical studies show that hybrid systems, including Brayton and organic Rankine cycles, are the most efficient; however, they require very high temperatures to operate. Most organic Rankine cycle plants produce net power outputs from 1 kW up to several tens of kW, mainly using microturbines and plate heat exchangers.","author":[{"dropping-particle":"","family":"Jiménez-García","given":"José C.","non-dropping-particle":"","parse-names":false,"suffix":""},{"dropping-particle":"","family":"Ruiz","given":"Alexis","non-dropping-particle":"","parse-names":false,"suffix":""},{"dropping-particle":"","family":"Pacheco-Reyes","given":"Alejandro","non-dropping-particle":"","parse-names":false,"suffix":""},{"dropping-particle":"","family":"Rivera","given":"Wilfrido","non-dropping-particle":"","parse-names":false,"suffix":""}],"container-title":"Processes","id":"ITEM-1","issue":"7","issued":{"date-parts":[["2023"]]},"title":"A Comprehensive Review of Organic Rankine Cycles","type":"article-journal","volume":"11"},"uris":["http://www.mendeley.com/documents/?uuid=24316dd8-17e3-48a4-b897-aadb9b117ad2"]}],"mendeley":{"formattedCitation":"[8]","plainTextFormattedCitation":"[8]","previouslyFormattedCitation":"[8]"},"properties":{"noteIndex":0},"schema":"https://github.com/citation-style-language/schema/raw/master/csl-citation.json"}</w:instrText>
      </w:r>
      <w:r w:rsidR="001E264C" w:rsidRPr="0067462A">
        <w:rPr>
          <w:rStyle w:val="Emphasis"/>
        </w:rPr>
        <w:fldChar w:fldCharType="separate"/>
      </w:r>
      <w:r w:rsidR="001E264C" w:rsidRPr="0067462A">
        <w:rPr>
          <w:rStyle w:val="Emphasis"/>
        </w:rPr>
        <w:t>[8]</w:t>
      </w:r>
      <w:r w:rsidR="001E264C" w:rsidRPr="0067462A">
        <w:rPr>
          <w:rStyle w:val="Emphasis"/>
        </w:rPr>
        <w:fldChar w:fldCharType="end"/>
      </w:r>
      <w:r w:rsidRPr="0067462A">
        <w:rPr>
          <w:rStyle w:val="Emphasis"/>
        </w:rPr>
        <w:t xml:space="preserve">. This study aims to investigate the potential of utilizing hot water resources as a renewable energy source, using </w:t>
      </w:r>
      <w:proofErr w:type="spellStart"/>
      <w:r w:rsidRPr="0067462A">
        <w:rPr>
          <w:rStyle w:val="Emphasis"/>
        </w:rPr>
        <w:t>CyclePad</w:t>
      </w:r>
      <w:proofErr w:type="spellEnd"/>
      <w:r w:rsidRPr="0067462A">
        <w:rPr>
          <w:rStyle w:val="Emphasis"/>
        </w:rPr>
        <w:t xml:space="preserve"> simulation as the main analysis tool</w:t>
      </w:r>
      <w:r w:rsidR="00F2044D" w:rsidRPr="0067462A">
        <w:rPr>
          <w:rStyle w:val="Emphasis"/>
        </w:rPr>
        <w:t xml:space="preserve"> </w:t>
      </w:r>
      <w:r w:rsidR="001E264C" w:rsidRPr="0067462A">
        <w:rPr>
          <w:rStyle w:val="Emphasis"/>
        </w:rPr>
        <w:fldChar w:fldCharType="begin" w:fldLock="1"/>
      </w:r>
      <w:r w:rsidR="001E264C" w:rsidRPr="0067462A">
        <w:rPr>
          <w:rStyle w:val="Emphasis"/>
        </w:rPr>
        <w:instrText>ADDIN CSL_CITATION {"citationItems":[{"id":"ITEM-1","itemData":{"abstract":"The Combi-Gen consortium has been established to design and develop geothermally sourced combined power and freshwater generation technology in eastern Africa. The proposed thermal plant consists of a total flow two-phase turbine and a passive thermal chimney for condenser operation. In a total flow system, the high pressure and temperature geothermal fluid is directly passed through the power turbine. During the expansion process, there is flash boiling, generating steam which has very high specific volume and an abrupt increase in fluid volume makes the turbine passage difficult to be designed. Due to this reason, all traditional geothermal turbines have been operated as flash steam turbine using nozzles or binary cycle plants using heat exchange with clean working cycle fluids resulting into high system losses. In this paper, a computational fluid dynamic model of the two-phase turbine has been presented. Flash boiling has been incorporated through the thermal phase change approach that is based on local thermal non-equilibrium with homogeneous nucleation in order to estimate the rate of mass transfer between the liquid and vapour phases. Using this CFD model, a Fabris turbine design has been analysed to reduce inlet and exit losses and optimize the specific work output. A 1.0 KW turbine operating at 500-800 kPa well head pressure and exhausting to atmospheric pressure has been designed with estimated fresh water recovery of 8% and isentropic power generation efficiency of 6.8%. The turbine has been analysed at three conditions of 20º, 10º subcooled and saturated inlet water temperature. The feed water flow rate was lower at higher inlet temperatures thus improving the specific power of the turbine. However, the improvement in isentropic efficiency was not observed as the available enthalpy at inlet is higher for higher feed water temperatures. Turbine power increased as the feed water temperature was increased. At saturated inlet condition, the maximum power that could be produced was 2.08 kW at 4623 rpm. Exit vapour quality improved with increase in feed water temperature and was found to be in the range 0.085 to 0.11. Full-scale Combi-Gen thermal plants will be installed at suitable wells identified in the eastern regions of Africa where active geothermal wells have been sourced by the partnering organisations.","author":[{"dropping-particle":"","family":"Rane","given":"Sham","non-dropping-particle":"","parse-names":false,"suffix":""},{"dropping-particle":"","family":"He","given":"Li","non-dropping-particle":"","parse-names":false,"suffix":""},{"dropping-particle":"","family":"Yu","given":"Zhibin","non-dropping-particle":"","parse-names":false,"suffix":""},{"dropping-particle":"","family":"Yu","given":"Guopeng","non-dropping-particle":"","parse-names":false,"suffix":""}],"id":"ITEM-1","issued":{"date-parts":[["0"]]},"title":"Design and Analysis of Two-Phase Geothermal Energy Turbine in Project Combi-Gen","type":"report"},"uris":["http://www.mendeley.com/documents/?uuid=ae4c8d2c-0d16-3f7c-98c6-5e92553b26ee"]}],"mendeley":{"formattedCitation":"[9]","plainTextFormattedCitation":"[9]","previouslyFormattedCitation":"[9]"},"properties":{"noteIndex":0},"schema":"https://github.com/citation-style-language/schema/raw/master/csl-citation.json"}</w:instrText>
      </w:r>
      <w:r w:rsidR="001E264C" w:rsidRPr="0067462A">
        <w:rPr>
          <w:rStyle w:val="Emphasis"/>
        </w:rPr>
        <w:fldChar w:fldCharType="separate"/>
      </w:r>
      <w:r w:rsidR="001E264C" w:rsidRPr="0067462A">
        <w:rPr>
          <w:rStyle w:val="Emphasis"/>
        </w:rPr>
        <w:t>[9]</w:t>
      </w:r>
      <w:r w:rsidR="001E264C" w:rsidRPr="0067462A">
        <w:rPr>
          <w:rStyle w:val="Emphasis"/>
        </w:rPr>
        <w:fldChar w:fldCharType="end"/>
      </w:r>
      <w:r w:rsidRPr="0067462A">
        <w:rPr>
          <w:rStyle w:val="Emphasis"/>
        </w:rPr>
        <w:t>. This simulation allows detailed modeling of the thermal cycle in a steam turbine, which in turn facilitates the evaluation of the efficiency and performance of the system as a whole</w:t>
      </w:r>
      <w:r w:rsidR="00F2044D" w:rsidRPr="0067462A">
        <w:rPr>
          <w:rStyle w:val="Emphasis"/>
        </w:rPr>
        <w:t xml:space="preserve"> </w:t>
      </w:r>
      <w:r w:rsidR="001E264C" w:rsidRPr="0067462A">
        <w:rPr>
          <w:rStyle w:val="Emphasis"/>
        </w:rPr>
        <w:fldChar w:fldCharType="begin" w:fldLock="1"/>
      </w:r>
      <w:r w:rsidR="001E264C" w:rsidRPr="0067462A">
        <w:rPr>
          <w:rStyle w:val="Emphasis"/>
        </w:rPr>
        <w:instrText>ADDIN CSL_CITATION {"citationItems":[{"id":"ITEM-1","itemData":{"DOI":"10.1016/j.rser.2021.110880","ISSN":"18790690","abstract":"Hydropower offers highly flexible, low-carbon generation that can be used to balance electricity grids with high levels of wind and solar penetration. This will become increasingly important as the energy transition unfolds. However, hydropower generation faces several problems when used in a flexible, fast manner (on the order of seconds) when in part-load, overload, or transient conditions. Some of these issues may be addressed by an improved understanding of how the load is measured and controlled in a hydro-turbine governing system (HTGS). This paper reviews different subsystem models and stability analysis approaches for HTGS along with their applicability in different operational conditions and design layouts. The review revealed three main challenges facing the increasing flexible use of HTGS on the grid: 1) the combination of the HTGS and shaft model, 2) the control methods of HTGS with intermittent renewable energies, and 3) the uncertain nature of load on the overall performance and stability of the hydropower system. This review can stimulate further research on HTGS models and control methods to improve grid management.","author":[{"dropping-particle":"","family":"Xu","given":"Beibei","non-dropping-particle":"","parse-names":false,"suffix":""},{"dropping-particle":"","family":"Zhang","given":"Jingjing","non-dropping-particle":"","parse-names":false,"suffix":""},{"dropping-particle":"","family":"Egusquiza","given":"Mònica","non-dropping-particle":"","parse-names":false,"suffix":""},{"dropping-particle":"","family":"Chen","given":"Diyi","non-dropping-particle":"","parse-names":false,"suffix":""},{"dropping-particle":"","family":"Li","given":"Feng","non-dropping-particle":"","parse-names":false,"suffix":""},{"dropping-particle":"","family":"Behrens","given":"Paul","non-dropping-particle":"","parse-names":false,"suffix":""},{"dropping-particle":"","family":"Egusquiza","given":"Eduard","non-dropping-particle":"","parse-names":false,"suffix":""}],"container-title":"Renewable and Sustainable Energy Reviews","id":"ITEM-1","issue":"April 2020","issued":{"date-parts":[["2021"]]},"title":"A review of dynamic models and stability analysis for a hydro-turbine governing system","type":"article-journal","volume":"144"},"uris":["http://www.mendeley.com/documents/?uuid=05d05dd2-db15-474f-9e43-dd25e5a40442"]}],"mendeley":{"formattedCitation":"[10]","plainTextFormattedCitation":"[10]","previouslyFormattedCitation":"[10]"},"properties":{"noteIndex":0},"schema":"https://github.com/citation-style-language/schema/raw/master/csl-citation.json"}</w:instrText>
      </w:r>
      <w:r w:rsidR="001E264C" w:rsidRPr="0067462A">
        <w:rPr>
          <w:rStyle w:val="Emphasis"/>
        </w:rPr>
        <w:fldChar w:fldCharType="separate"/>
      </w:r>
      <w:r w:rsidR="001E264C" w:rsidRPr="0067462A">
        <w:rPr>
          <w:rStyle w:val="Emphasis"/>
        </w:rPr>
        <w:t>[10]</w:t>
      </w:r>
      <w:r w:rsidR="001E264C" w:rsidRPr="0067462A">
        <w:rPr>
          <w:rStyle w:val="Emphasis"/>
        </w:rPr>
        <w:fldChar w:fldCharType="end"/>
      </w:r>
      <w:r w:rsidRPr="0067462A">
        <w:rPr>
          <w:rStyle w:val="Emphasis"/>
        </w:rPr>
        <w:t>.</w:t>
      </w:r>
    </w:p>
    <w:p w14:paraId="0EF53E42" w14:textId="00B39920" w:rsidR="0047399B" w:rsidRPr="0067462A" w:rsidRDefault="0047399B" w:rsidP="0067462A">
      <w:pPr>
        <w:pStyle w:val="Paragraph"/>
        <w:rPr>
          <w:rStyle w:val="Emphasis"/>
        </w:rPr>
      </w:pPr>
      <w:r w:rsidRPr="0067462A">
        <w:rPr>
          <w:rStyle w:val="Emphasis"/>
        </w:rPr>
        <w:lastRenderedPageBreak/>
        <w:t>By using this approach, it is expected to identify key parameters that affect the power production of a steam turbine based on hot water resources</w:t>
      </w:r>
      <w:r w:rsidR="00F2044D" w:rsidRPr="0067462A">
        <w:rPr>
          <w:rStyle w:val="Emphasis"/>
        </w:rPr>
        <w:t xml:space="preserve"> </w:t>
      </w:r>
      <w:r w:rsidR="001E264C" w:rsidRPr="0067462A">
        <w:rPr>
          <w:rStyle w:val="Emphasis"/>
        </w:rPr>
        <w:fldChar w:fldCharType="begin" w:fldLock="1"/>
      </w:r>
      <w:r w:rsidR="001E264C" w:rsidRPr="0067462A">
        <w:rPr>
          <w:rStyle w:val="Emphasis"/>
        </w:rPr>
        <w:instrText>ADDIN CSL_CITATION {"citationItems":[{"id":"ITEM-1","itemData":{"DOI":"10.1016/j.fuel.2020.118577","ISSN":"00162361","abstract":"This study investigates the thermodynamics performance analysis of a reheat-regenerative steam power plant using CyclePad V2.0 software. The impact of closed Feedwater Heaters (FWHs) on the functionality indices of the selected power plant was examined. Results of the study show that as the number of closed FWH increases from one to ten, the thermal efficiency and boiler efficiency rise from 42.17% to 45.97% and 79% to 96.4%, respectively. The fuel consumption, heat rejected to the condenser, heat rate, network output and heat input to the power cycle decrease from 9.697 kg/s to 4.686 kg/s, 209.32 kJ/kg to 129.68 kJ/kg, 8536.87 kJ/kWh to 8318.48 kJ/kWh, 152.22 MW to 102.89 MW and 361.11 kJ/kg to 237.98 kJ/kg, respectively as the number of FWHs increased. On the contrary, specific steam consumption increases from 0.0234 kg/kWh to 0.0370 kg/kWh. Moreover, fuel consumption decreases by 51.7% and the efficiency gain (η) successively diminish with increment in the number of closed FWHs. Also, both enthalpy rise and temperature rise increase with increase in the number of closed FWHs. As the number of heaters increases, so is the total temperature rise of feed water (Δtfw), by regeneration, less becomes the heat added to water in the boiler, more becomes the mean temperature of heat addition, and more is the cycle efficiency. This result implies that a decrease in operating cost of the plant and environmental impacts can be achieved with an increase in the number of closed FWHs. Hence, this study establishes the importance of closed FWHs in revamping the performance of a steam power plant.","author":[{"dropping-particle":"","family":"Oyedepo","given":"S. O.","non-dropping-particle":"","parse-names":false,"suffix":""},{"dropping-particle":"","family":"Fakeye","given":"B. A.","non-dropping-particle":"","parse-names":false,"suffix":""},{"dropping-particle":"","family":"Mabinuori","given":"B.","non-dropping-particle":"","parse-names":false,"suffix":""},{"dropping-particle":"","family":"Babalola","given":"P. O.","non-dropping-particle":"","parse-names":false,"suffix":""},{"dropping-particle":"","family":"Leramo","given":"R. O.","non-dropping-particle":"","parse-names":false,"suffix":""},{"dropping-particle":"","family":"Kilanko","given":"O.","non-dropping-particle":"","parse-names":false,"suffix":""},{"dropping-particle":"","family":"Dirisu","given":"J. O.","non-dropping-particle":"","parse-names":false,"suffix":""},{"dropping-particle":"","family":"Udo","given":"M.","non-dropping-particle":"","parse-names":false,"suffix":""},{"dropping-particle":"","family":"Efemwenkiekie","given":"U. K.","non-dropping-particle":"","parse-names":false,"suffix":""},{"dropping-particle":"","family":"Oyebanji","given":"J. A.","non-dropping-particle":"","parse-names":false,"suffix":""}],"container-title":"Fuel","id":"ITEM-1","issued":{"date-parts":[["2020","11","15"]]},"publisher":"Elsevier Ltd","title":"Thermodynamics analysis and performance optimization of a reheat – Regenerative steam turbine power plant with feed water heaters","type":"article-journal","volume":"280"},"uris":["http://www.mendeley.com/documents/?uuid=3e3bf41d-3775-3472-a9bd-b319bbf8e714"]}],"mendeley":{"formattedCitation":"[11]","plainTextFormattedCitation":"[11]","previouslyFormattedCitation":"[11]"},"properties":{"noteIndex":0},"schema":"https://github.com/citation-style-language/schema/raw/master/csl-citation.json"}</w:instrText>
      </w:r>
      <w:r w:rsidR="001E264C" w:rsidRPr="0067462A">
        <w:rPr>
          <w:rStyle w:val="Emphasis"/>
        </w:rPr>
        <w:fldChar w:fldCharType="separate"/>
      </w:r>
      <w:r w:rsidR="001E264C" w:rsidRPr="0067462A">
        <w:rPr>
          <w:rStyle w:val="Emphasis"/>
        </w:rPr>
        <w:t>[11]</w:t>
      </w:r>
      <w:r w:rsidR="001E264C" w:rsidRPr="0067462A">
        <w:rPr>
          <w:rStyle w:val="Emphasis"/>
        </w:rPr>
        <w:fldChar w:fldCharType="end"/>
      </w:r>
      <w:r w:rsidRPr="0067462A">
        <w:rPr>
          <w:rStyle w:val="Emphasis"/>
        </w:rPr>
        <w:t xml:space="preserve"> as well as optimal strategies to improve the efficiency of using available heat energy</w:t>
      </w:r>
      <w:r w:rsidR="00F2044D" w:rsidRPr="0067462A">
        <w:rPr>
          <w:rStyle w:val="Emphasis"/>
        </w:rPr>
        <w:t xml:space="preserve"> </w:t>
      </w:r>
      <w:r w:rsidR="001E264C" w:rsidRPr="0067462A">
        <w:rPr>
          <w:rStyle w:val="Emphasis"/>
        </w:rPr>
        <w:fldChar w:fldCharType="begin" w:fldLock="1"/>
      </w:r>
      <w:r w:rsidR="001E264C" w:rsidRPr="0067462A">
        <w:rPr>
          <w:rStyle w:val="Emphasis"/>
        </w:rPr>
        <w:instrText>ADDIN CSL_CITATION {"citationItems":[{"id":"ITEM-1","itemData":{"DOI":"10.1016/j.egyr.2022.01.212","ISSN":"23524847","abstract":"Based on the technology of heat pumps, a parallel condensing air-source heat pumps water heater systems providing domestic hot water is proposed to improve the energy efficiency of common ASHPWH system. Considering the climate in southern China, two operating modes of system are designed to adapt to the different water temperature conditions. the simulation model was built to analyzed the factors affecting system performance. Taking Changsha, China as an example, the COP and the energy consumption of system in each month are analyzed. We can find that the parallel condensing air-sources heat pumps water heater system can effectively disperse the total heating quantity by steps heating; the average COP in summer mode increases from 5.42 to 6.44, approaching 19.00%; the average COP in winter mode increases from 4.05 to 5.45, approaching 34.68%. The system has excellent energy-saving effect especially in winter.","author":[{"dropping-particle":"","family":"Wang","given":"Shouchuan","non-dropping-particle":"","parse-names":false,"suffix":""},{"dropping-particle":"","family":"Wang","given":"Qianxu","non-dropping-particle":"","parse-names":false,"suffix":""},{"dropping-particle":"","family":"Zhang","given":"Huan","non-dropping-particle":"","parse-names":false,"suffix":""},{"dropping-particle":"","family":"Wang","given":"Yuxuan","non-dropping-particle":"","parse-names":false,"suffix":""},{"dropping-particle":"","family":"Zhou","given":"Junhai","non-dropping-particle":"","parse-names":false,"suffix":""},{"dropping-particle":"","family":"Zhao","given":"Panpan","non-dropping-particle":"","parse-names":false,"suffix":""},{"dropping-particle":"","family":"Liu","given":"Jiabao","non-dropping-particle":"","parse-names":false,"suffix":""}],"container-title":"Energy Reports","id":"ITEM-1","issued":{"date-parts":[["2022","7","1"]]},"page":"398-414","publisher":"Elsevier Ltd","title":"Performance analysis on parallel condensing air-source heat pump water heater system","type":"article-journal","volume":"8"},"uris":["http://www.mendeley.com/documents/?uuid=dba9aca9-4cca-3c2d-8e3c-82117e9fe91c"]}],"mendeley":{"formattedCitation":"[12]","plainTextFormattedCitation":"[12]","previouslyFormattedCitation":"[12]"},"properties":{"noteIndex":0},"schema":"https://github.com/citation-style-language/schema/raw/master/csl-citation.json"}</w:instrText>
      </w:r>
      <w:r w:rsidR="001E264C" w:rsidRPr="0067462A">
        <w:rPr>
          <w:rStyle w:val="Emphasis"/>
        </w:rPr>
        <w:fldChar w:fldCharType="separate"/>
      </w:r>
      <w:r w:rsidR="001E264C" w:rsidRPr="0067462A">
        <w:rPr>
          <w:rStyle w:val="Emphasis"/>
        </w:rPr>
        <w:t>[12]</w:t>
      </w:r>
      <w:r w:rsidR="001E264C" w:rsidRPr="0067462A">
        <w:rPr>
          <w:rStyle w:val="Emphasis"/>
        </w:rPr>
        <w:fldChar w:fldCharType="end"/>
      </w:r>
      <w:r w:rsidRPr="0067462A">
        <w:rPr>
          <w:rStyle w:val="Emphasis"/>
        </w:rPr>
        <w:t xml:space="preserve">. This study focuses on the potential of utilizing hot water resources in </w:t>
      </w:r>
      <w:proofErr w:type="spellStart"/>
      <w:r w:rsidRPr="0067462A">
        <w:rPr>
          <w:rStyle w:val="Emphasis"/>
        </w:rPr>
        <w:t>Cangar</w:t>
      </w:r>
      <w:proofErr w:type="spellEnd"/>
      <w:r w:rsidRPr="0067462A">
        <w:rPr>
          <w:rStyle w:val="Emphasis"/>
        </w:rPr>
        <w:t>, Batu, East Java as one of the significant renewable energy potentials to generate electricity through steam turbines</w:t>
      </w:r>
      <w:r w:rsidR="00F2044D" w:rsidRPr="0067462A">
        <w:rPr>
          <w:rStyle w:val="Emphasis"/>
        </w:rPr>
        <w:t xml:space="preserve"> </w:t>
      </w:r>
      <w:r w:rsidR="001E264C" w:rsidRPr="0067462A">
        <w:rPr>
          <w:rStyle w:val="Emphasis"/>
        </w:rPr>
        <w:fldChar w:fldCharType="begin" w:fldLock="1"/>
      </w:r>
      <w:r w:rsidR="001E264C" w:rsidRPr="0067462A">
        <w:rPr>
          <w:rStyle w:val="Emphasis"/>
        </w:rPr>
        <w:instrText>ADDIN CSL_CITATION {"citationItems":[{"id":"ITEM-1","itemData":{"abstract":"&amp;lt;p&amp;gt;&amp;lt;em&amp;gt;Indonesia has the largest geothermal potential in the world by saving 40 percent of the world's geothermal resources. Geothermal energy manifestations in Indonesia are no less than 252 locations spread across Sumatra, Java, Nusa Tenggara, Bali, Sulawesi to Maluku. Indonesia has a total geothermal energy potential of 29 GWe spread throughout Indonesia. Geothermal sources that have low steam quality can be used to generate electricity with the Organic Rankin Cycle (SRO). SRO uses organic fluids which have a low boiling point so they can be used as a heat source. Utilization of SRO as Waste Heat Recovery is an increase in the use of renewable energy in Indonesia. In reducing the performance load of the cycle, the recuperator can be added as a supporting component to the Organic Rankin Cycle. By designing a recuperator the load of heating and cooling components will be lighter so that the efficiency value of the cycle will increase. The aim of this research is to design a recuperator in organic rankin cycle (SRO) by analyzing the cycle using organic fluids R123, n-pentane, and n-butane and to calculate the economic feasibility of designing a recuperator in SRO. This study used a brine temperature of 169.932 oC from a PLTP which produced the highest efficiency in an organic rankine cycle of 14.40% with n-pentane organic working fluid. The recuperator design uses n-pentane working fluid which produces a heat transfer effectiveness value of 23.76%. Heat transfer in the recuperator is influenced by the large cross-sectional area which includes the length of the pipe and the number of pipes designed. The results of the economic feasibility calculations in this study are the NPV &amp;amp;gt; 0 and the long time to return on investment using the payback period (PP) method for 4.83 years.&amp;lt;/em&amp;gt;&amp;lt;/p&amp;gt;&amp;lt;p&amp;gt;&amp;lt;strong&amp;gt;&amp;lt;em&amp;gt;&amp;amp;nbsp;Keywords&amp;lt;/em&amp;gt;&amp;lt;/strong&amp;gt;&amp;lt;em&amp;gt;: Organic Rankine Cycle (SRO), Recuperator, PLTP, brine&amp;lt;/em&amp;gt;&amp;lt;/p&amp;gt;","author":[{"dropping-particle":"","family":"Muhammad Rifqi Dwi Septian","given":"","non-dropping-particle":"","parse-names":false,"suffix":""}],"container-title":"Journal of Energy, Mechanical, Material, and Manufacturing Engineering","id":"ITEM-1","issue":"2 SE  - Articles","issued":{"date-parts":[["2023","12","31"]]},"title":"The Optimization Of Shell And Tube Cycle Recuperator Design In Organic Rankine Geothermal Power Plant","type":"article-journal","volume":"8"},"uris":["http://www.mendeley.com/documents/?uuid=b4e5ce0b-312f-46b1-a2a3-517c957a1dbb"]}],"mendeley":{"formattedCitation":"[13]","plainTextFormattedCitation":"[13]","previouslyFormattedCitation":"[13]"},"properties":{"noteIndex":0},"schema":"https://github.com/citation-style-language/schema/raw/master/csl-citation.json"}</w:instrText>
      </w:r>
      <w:r w:rsidR="001E264C" w:rsidRPr="0067462A">
        <w:rPr>
          <w:rStyle w:val="Emphasis"/>
        </w:rPr>
        <w:fldChar w:fldCharType="separate"/>
      </w:r>
      <w:r w:rsidR="001E264C" w:rsidRPr="0067462A">
        <w:rPr>
          <w:rStyle w:val="Emphasis"/>
        </w:rPr>
        <w:t>[13]</w:t>
      </w:r>
      <w:r w:rsidR="001E264C" w:rsidRPr="0067462A">
        <w:rPr>
          <w:rStyle w:val="Emphasis"/>
        </w:rPr>
        <w:fldChar w:fldCharType="end"/>
      </w:r>
      <w:r w:rsidRPr="0067462A">
        <w:rPr>
          <w:rStyle w:val="Emphasis"/>
        </w:rPr>
        <w:t>. This location is known for its large geothermal potential, which can be exploited to meet local energy needs</w:t>
      </w:r>
      <w:r w:rsidR="00F2044D" w:rsidRPr="0067462A">
        <w:rPr>
          <w:rStyle w:val="Emphasis"/>
        </w:rPr>
        <w:t xml:space="preserve"> </w:t>
      </w:r>
      <w:r w:rsidR="001E264C" w:rsidRPr="0067462A">
        <w:rPr>
          <w:rStyle w:val="Emphasis"/>
        </w:rPr>
        <w:fldChar w:fldCharType="begin" w:fldLock="1"/>
      </w:r>
      <w:r w:rsidR="001E264C" w:rsidRPr="0067462A">
        <w:rPr>
          <w:rStyle w:val="Emphasis"/>
        </w:rPr>
        <w:instrText>ADDIN CSL_CITATION {"citationItems":[{"id":"ITEM-1","itemData":{"author":[{"dropping-particle":"","family":"Sihombing","given":"Clinton","non-dropping-particle":"","parse-names":false,"suffix":""},{"dropping-particle":"","family":"Politeknik Energi dan Mineral Akamigas","given":"Cepu","non-dropping-particle":"","parse-names":false,"suffix":""}],"id":"ITEM-1","issued":{"date-parts":[["0"]]},"title":"Analisa Efisiensi Termal Turbin, Kondensor dan Menara Pendingin pada Pembangkit Listrik Tenaga Panas Bumi","type":"article-journal"},"uris":["http://www.mendeley.com/documents/?uuid=d2abf514-415e-3f91-8a26-7859a86b7e9a"]}],"mendeley":{"formattedCitation":"[14]","plainTextFormattedCitation":"[14]","previouslyFormattedCitation":"[14]"},"properties":{"noteIndex":0},"schema":"https://github.com/citation-style-language/schema/raw/master/csl-citation.json"}</w:instrText>
      </w:r>
      <w:r w:rsidR="001E264C" w:rsidRPr="0067462A">
        <w:rPr>
          <w:rStyle w:val="Emphasis"/>
        </w:rPr>
        <w:fldChar w:fldCharType="separate"/>
      </w:r>
      <w:r w:rsidR="001E264C" w:rsidRPr="0067462A">
        <w:rPr>
          <w:rStyle w:val="Emphasis"/>
        </w:rPr>
        <w:t>[14]</w:t>
      </w:r>
      <w:r w:rsidR="001E264C" w:rsidRPr="0067462A">
        <w:rPr>
          <w:rStyle w:val="Emphasis"/>
        </w:rPr>
        <w:fldChar w:fldCharType="end"/>
      </w:r>
      <w:r w:rsidRPr="0067462A">
        <w:rPr>
          <w:rStyle w:val="Emphasis"/>
        </w:rPr>
        <w:t>.</w:t>
      </w:r>
    </w:p>
    <w:p w14:paraId="285BC645" w14:textId="1ED4D8A8" w:rsidR="0047399B" w:rsidRPr="0067462A" w:rsidRDefault="0047399B" w:rsidP="0067462A">
      <w:pPr>
        <w:pStyle w:val="Paragraph"/>
        <w:rPr>
          <w:rStyle w:val="Emphasis"/>
        </w:rPr>
      </w:pPr>
      <w:r w:rsidRPr="0067462A">
        <w:rPr>
          <w:rStyle w:val="Emphasis"/>
        </w:rPr>
        <w:t xml:space="preserve">The hot water resources in </w:t>
      </w:r>
      <w:proofErr w:type="spellStart"/>
      <w:r w:rsidRPr="0067462A">
        <w:rPr>
          <w:rStyle w:val="Emphasis"/>
        </w:rPr>
        <w:t>Cangar</w:t>
      </w:r>
      <w:proofErr w:type="spellEnd"/>
      <w:r w:rsidRPr="0067462A">
        <w:rPr>
          <w:rStyle w:val="Emphasis"/>
        </w:rPr>
        <w:t>, Batu, East Java are formed through a series of complex geological processes, which generally occur in areas with high geothermal activity</w:t>
      </w:r>
      <w:r w:rsidR="00F2044D" w:rsidRPr="0067462A">
        <w:rPr>
          <w:rStyle w:val="Emphasis"/>
        </w:rPr>
        <w:t xml:space="preserve"> </w:t>
      </w:r>
      <w:r w:rsidR="001E264C" w:rsidRPr="0067462A">
        <w:rPr>
          <w:rStyle w:val="Emphasis"/>
        </w:rPr>
        <w:fldChar w:fldCharType="begin" w:fldLock="1"/>
      </w:r>
      <w:r w:rsidR="001E264C" w:rsidRPr="0067462A">
        <w:rPr>
          <w:rStyle w:val="Emphasis"/>
        </w:rPr>
        <w:instrText>ADDIN CSL_CITATION {"citationItems":[{"id":"ITEM-1","itemData":{"DOI":"10.1016/j.enconman.2020.113459","ISSN":"01968904","abstract":"Adding the regenerator to recover extra heat from the exhaust can improve the system overall performance. Based on a 10 kW organic Rankine cycle (ORC) experimental prototype, a comparison between the basic and regenerative organic Rankine cycle is investigated. The heat input is in range of 30–90 kW and R245fa is used as working fluid. The heat source temperature utilization rate is defined to appraise the heat source utilization. The detailed behaviors for heat source loop, ORC loop and cooling water loop are examined. Research demonstrates that the BORC has a better heat source temperature utilization than the RORC. RORC has a maximum thermal efficiency of 5.5%, which is 25.5% higher than BORC of 4.1%. The maximum condenser heat transfer coefficients for BORC and RORC are 501.4 W/m2 K and 1701.4 W/m2 K, respectively. The BORC has higher electrical power and generating efficiency than the RORC. The maximum generating efficiency for BORC is 3.4%, while that for RORC is 2.5%. Besides, the exergy destructions of the main components are addressed, and the evaporator has a very large percentage of exergy destruction for BORC and RORC. Therefore, system performance can be heightened by improving the temperature difference matching of the heat sources.","author":[{"dropping-particle":"","family":"Feng","given":"Yong qiang","non-dropping-particle":"","parse-names":false,"suffix":""},{"dropping-particle":"","family":"Wang","given":"Xin","non-dropping-particle":"","parse-names":false,"suffix":""},{"dropping-particle":"","family":"Niaz","given":"Hassan","non-dropping-particle":"","parse-names":false,"suffix":""},{"dropping-particle":"","family":"Hung","given":"Tzu Chen","non-dropping-particle":"","parse-names":false,"suffix":""},{"dropping-particle":"","family":"He","given":"Zhi xia","non-dropping-particle":"","parse-names":false,"suffix":""},{"dropping-particle":"","family":"Jahan Zeb","given":"Alvi","non-dropping-particle":"","parse-names":false,"suffix":""},{"dropping-particle":"","family":"Xi","given":"Huan","non-dropping-particle":"","parse-names":false,"suffix":""}],"container-title":"Energy Conversion and Management","id":"ITEM-1","issue":"October","issued":{"date-parts":[["2020"]]},"page":"113459","publisher":"Elsevier Ltd","title":"Experimental comparison of the performance of basic and regenerative organic Rankine cycles","type":"article-journal","volume":"223"},"uris":["http://www.mendeley.com/documents/?uuid=ae134a0d-ad9d-4324-8298-f8e525ec3fdd"]}],"mendeley":{"formattedCitation":"[15]","plainTextFormattedCitation":"[15]","previouslyFormattedCitation":"[15]"},"properties":{"noteIndex":0},"schema":"https://github.com/citation-style-language/schema/raw/master/csl-citation.json"}</w:instrText>
      </w:r>
      <w:r w:rsidR="001E264C" w:rsidRPr="0067462A">
        <w:rPr>
          <w:rStyle w:val="Emphasis"/>
        </w:rPr>
        <w:fldChar w:fldCharType="separate"/>
      </w:r>
      <w:r w:rsidR="001E264C" w:rsidRPr="0067462A">
        <w:rPr>
          <w:rStyle w:val="Emphasis"/>
        </w:rPr>
        <w:t>[15]</w:t>
      </w:r>
      <w:r w:rsidR="001E264C" w:rsidRPr="0067462A">
        <w:rPr>
          <w:rStyle w:val="Emphasis"/>
        </w:rPr>
        <w:fldChar w:fldCharType="end"/>
      </w:r>
      <w:r w:rsidRPr="0067462A">
        <w:rPr>
          <w:rStyle w:val="Emphasis"/>
        </w:rPr>
        <w:t xml:space="preserve">. The renewable energy potential in </w:t>
      </w:r>
      <w:proofErr w:type="spellStart"/>
      <w:r w:rsidRPr="0067462A">
        <w:rPr>
          <w:rStyle w:val="Emphasis"/>
        </w:rPr>
        <w:t>Cangar</w:t>
      </w:r>
      <w:proofErr w:type="spellEnd"/>
      <w:r w:rsidRPr="0067462A">
        <w:rPr>
          <w:rStyle w:val="Emphasis"/>
        </w:rPr>
        <w:t>, Batu, East Java includes significant geothermal resources, which can be exploited to generate electricity through technologies such as steam turbines</w:t>
      </w:r>
      <w:r w:rsidR="00F2044D" w:rsidRPr="0067462A">
        <w:rPr>
          <w:rStyle w:val="Emphasis"/>
        </w:rPr>
        <w:t xml:space="preserve"> </w:t>
      </w:r>
      <w:r w:rsidR="001E264C" w:rsidRPr="0067462A">
        <w:rPr>
          <w:rStyle w:val="Emphasis"/>
        </w:rPr>
        <w:fldChar w:fldCharType="begin" w:fldLock="1"/>
      </w:r>
      <w:r w:rsidR="001E264C" w:rsidRPr="0067462A">
        <w:rPr>
          <w:rStyle w:val="Emphasis"/>
        </w:rPr>
        <w:instrText>ADDIN CSL_CITATION {"citationItems":[{"id":"ITEM-1","itemData":{"DOI":"10.1016/j.csite.2016.11.003","ISSN":"2214157X","abstract":"A thermodynamic modeling and optimization is carried out to compare the advantages and disadvantages of organic Rankine cycle (ORC) and Kalina cycle (KC) as a bottoming cycle for waste heat recovery from CGAM cogeneration system. Thermodynamic models for combined CGAM/ORC and CGAM/KC systems are performed and the effects of some decision variables on the energy and exergy efficiency and turbine size parameter of the combined systems are investigated. Solving simulation equations and optimization process have been done using direct search method by EES software. It is observed that at the optimum pressure ratio of air compressor, produced power of bottoming cycles has minimum values. Also, evaporator pressure optimizes the performance of cycle, but this optimum pressure level in ORC (11bar) is much lower than that of Kalina (46bar). In addition, ORC's simpler configuration, higher net produced power and superheated turbine outlet flow, which leads to a reliable performance for turbine, are other advantages of ORC. Kalina turbine size parameter is lower than that of the ORC which is a positive aspect of Kalina cycle. However, by a comprehensive comparison between Kalina and ORC, it is concluded that the ORC has significant privileges for waste heat recovery in this case.","author":[{"dropping-particle":"","family":"Nemati","given":"Arash","non-dropping-particle":"","parse-names":false,"suffix":""},{"dropping-particle":"","family":"Nami","given":"Hossein","non-dropping-particle":"","parse-names":false,"suffix":""},{"dropping-particle":"","family":"Ranjbar","given":"Faramarz","non-dropping-particle":"","parse-names":false,"suffix":""},{"dropping-particle":"","family":"Yari","given":"Mortaza","non-dropping-particle":"","parse-names":false,"suffix":""}],"container-title":"Case Studies in Thermal Engineering","id":"ITEM-1","issue":"September 2016","issued":{"date-parts":[["2017"]]},"page":"1-13","publisher":"Elsevier Ltd","title":"A comparative thermodynamic analysis of ORC and Kalina cycles for waste heat recovery: A case study for CGAM cogeneration system","type":"article-journal","volume":"9"},"uris":["http://www.mendeley.com/documents/?uuid=4acd1920-3e44-41b2-8a7a-5513f7a54326"]}],"mendeley":{"formattedCitation":"[16]","plainTextFormattedCitation":"[16]","previouslyFormattedCitation":"[16]"},"properties":{"noteIndex":0},"schema":"https://github.com/citation-style-language/schema/raw/master/csl-citation.json"}</w:instrText>
      </w:r>
      <w:r w:rsidR="001E264C" w:rsidRPr="0067462A">
        <w:rPr>
          <w:rStyle w:val="Emphasis"/>
        </w:rPr>
        <w:fldChar w:fldCharType="separate"/>
      </w:r>
      <w:r w:rsidR="001E264C" w:rsidRPr="0067462A">
        <w:rPr>
          <w:rStyle w:val="Emphasis"/>
        </w:rPr>
        <w:t>[16]</w:t>
      </w:r>
      <w:r w:rsidR="001E264C" w:rsidRPr="0067462A">
        <w:rPr>
          <w:rStyle w:val="Emphasis"/>
        </w:rPr>
        <w:fldChar w:fldCharType="end"/>
      </w:r>
      <w:r w:rsidRPr="0067462A">
        <w:rPr>
          <w:rStyle w:val="Emphasis"/>
        </w:rPr>
        <w:t>. This location offers great potential in utilizing hot water sources as primary energy to support energy sustainability at the local level and contribute to national efforts in expanding Indonesia's renewable energy portfolio</w:t>
      </w:r>
      <w:r w:rsidR="00F2044D" w:rsidRPr="0067462A">
        <w:rPr>
          <w:rStyle w:val="Emphasis"/>
        </w:rPr>
        <w:t xml:space="preserve"> </w:t>
      </w:r>
      <w:r w:rsidR="001E264C" w:rsidRPr="0067462A">
        <w:rPr>
          <w:rStyle w:val="Emphasis"/>
        </w:rPr>
        <w:fldChar w:fldCharType="begin" w:fldLock="1"/>
      </w:r>
      <w:r w:rsidR="001E264C" w:rsidRPr="0067462A">
        <w:rPr>
          <w:rStyle w:val="Emphasis"/>
        </w:rPr>
        <w:instrText>ADDIN CSL_CITATION {"citationItems":[{"id":"ITEM-1","itemData":{"DOI":"10.1016/j.geothermics.2015.01.012","ISSN":"03756505","abstract":"Due to a good behavior of ammonia-water mixture during the two-phase heat addition process, a Kalina cycle using ammonia-water as working fluid is employed to further recover the heat of geothermal water from a flash cycle for geothermal resources. The mathematical model of the flash-binary geothermal power generation system is established to simulate the system under steady-state conditions. The effects of several key thermodynamic parameters on system performance are examined, including flash pressure, ammonia mass fraction of basic solution, ammonia-water turbine inlet pressure and temperature, and pinch point temperature difference in vapor generator. A parametric optimization is carried out to obtain the optimum system performance with the system exergy efficiency as the objective function by genetic algorithm (GA). The results show that the five thermodynamic parameters have significant effects on system performance. There exists optimum flash pressure, ammonia-water turbine inlet pressure and temperature that yield the maximum system exergy efficiency. A higher ammonia mass fraction of basic solution and a lower pinch point temperature difference in vapor generator can obtain a higher system exergy efficiency. By optimization, the optimum system exergy efficiency could reach 37.01% under the given conditions and the maximum exergy loss occurs in the vapor generator.","author":[{"dropping-particle":"","family":"Wang","given":"Jianyong","non-dropping-particle":"","parse-names":false,"suffix":""},{"dropping-particle":"","family":"Wang","given":"Jiangfeng","non-dropping-particle":"","parse-names":false,"suffix":""},{"dropping-particle":"","family":"Dai","given":"Yiping","non-dropping-particle":"","parse-names":false,"suffix":""},{"dropping-particle":"","family":"Zhao","given":"Pan","non-dropping-particle":"","parse-names":false,"suffix":""}],"container-title":"Geothermics","id":"ITEM-1","issued":{"date-parts":[["2015","5","1"]]},"page":"69-77","publisher":"Elsevier Ltd","title":"Thermodynamic analysis and optimization of a flash-binary geothermal power generation system","type":"article-journal","volume":"55"},"uris":["http://www.mendeley.com/documents/?uuid=b66545ca-647c-37bf-8710-5741bd0b51ad"]}],"mendeley":{"formattedCitation":"[17]","plainTextFormattedCitation":"[17]","previouslyFormattedCitation":"[17]"},"properties":{"noteIndex":0},"schema":"https://github.com/citation-style-language/schema/raw/master/csl-citation.json"}</w:instrText>
      </w:r>
      <w:r w:rsidR="001E264C" w:rsidRPr="0067462A">
        <w:rPr>
          <w:rStyle w:val="Emphasis"/>
        </w:rPr>
        <w:fldChar w:fldCharType="separate"/>
      </w:r>
      <w:r w:rsidR="001E264C" w:rsidRPr="0067462A">
        <w:rPr>
          <w:rStyle w:val="Emphasis"/>
        </w:rPr>
        <w:t>[17]</w:t>
      </w:r>
      <w:r w:rsidR="001E264C" w:rsidRPr="0067462A">
        <w:rPr>
          <w:rStyle w:val="Emphasis"/>
        </w:rPr>
        <w:fldChar w:fldCharType="end"/>
      </w:r>
      <w:r w:rsidRPr="0067462A">
        <w:rPr>
          <w:rStyle w:val="Emphasis"/>
        </w:rPr>
        <w:t xml:space="preserve">. </w:t>
      </w:r>
    </w:p>
    <w:p w14:paraId="15F26AAC" w14:textId="6CB863B2" w:rsidR="00C90568" w:rsidRPr="0067462A" w:rsidRDefault="0047399B" w:rsidP="0067462A">
      <w:pPr>
        <w:pStyle w:val="Paragraph"/>
        <w:rPr>
          <w:rStyle w:val="Emphasis"/>
        </w:rPr>
      </w:pPr>
      <w:r w:rsidRPr="0067462A">
        <w:rPr>
          <w:rStyle w:val="Emphasis"/>
        </w:rPr>
        <w:t xml:space="preserve">Through an analytical and computational approach using the </w:t>
      </w:r>
      <w:proofErr w:type="spellStart"/>
      <w:r w:rsidRPr="0067462A">
        <w:rPr>
          <w:rStyle w:val="Emphasis"/>
        </w:rPr>
        <w:t>CyclePad</w:t>
      </w:r>
      <w:proofErr w:type="spellEnd"/>
      <w:r w:rsidRPr="0067462A">
        <w:rPr>
          <w:rStyle w:val="Emphasis"/>
        </w:rPr>
        <w:t xml:space="preserve"> application. this study aims to identify the thermal characteristics of hot water sources in </w:t>
      </w:r>
      <w:proofErr w:type="spellStart"/>
      <w:r w:rsidRPr="0067462A">
        <w:rPr>
          <w:rStyle w:val="Emphasis"/>
        </w:rPr>
        <w:t>Cangar</w:t>
      </w:r>
      <w:proofErr w:type="spellEnd"/>
      <w:r w:rsidRPr="0067462A">
        <w:rPr>
          <w:rStyle w:val="Emphasis"/>
        </w:rPr>
        <w:t xml:space="preserve"> and optimize the thermal cycle in a steam turbine system</w:t>
      </w:r>
      <w:r w:rsidR="001A3D41" w:rsidRPr="0067462A">
        <w:rPr>
          <w:rStyle w:val="Emphasis"/>
        </w:rPr>
        <w:t xml:space="preserve"> </w:t>
      </w:r>
      <w:r w:rsidR="001E264C" w:rsidRPr="0067462A">
        <w:rPr>
          <w:rStyle w:val="Emphasis"/>
        </w:rPr>
        <w:fldChar w:fldCharType="begin" w:fldLock="1"/>
      </w:r>
      <w:r w:rsidR="001E264C" w:rsidRPr="0067462A">
        <w:rPr>
          <w:rStyle w:val="Emphasis"/>
        </w:rPr>
        <w:instrText>ADDIN CSL_CITATION {"citationItems":[{"id":"ITEM-1","itemData":{"DOI":"10.1016/j.applthermaleng.2020.115880","ISSN":"13594311","abstract":"Evaporation of flowing propane and the effect of enhanced geometry on heat transfer coefficient and pressure drop is experimentally investigated. One smooth tube and two microfinned tubes with an outer diameter of 5 mm were tested. Heat transfer coefficient and pressure drop were determined for saturation temperatures of 0, 5 and 10 °C for smooth tube, and the effect of using tubes with enhanced geometries was evaluated at heat fluxes ranging between 15 and 33 kW m−2 and mass fluxes between 250 and 500 kW m−2 s−1. The increase of heat transfer coefficient for microfinned tubes relative to smooth tube diminishes with increasing mass flux, while the increase of pressure drop remains unaffected. Comparison of the experimental results with correlations for prediction of pressure drop and heat transfer coefficient demonstrates availability of reliable correlations. Nevertheless, correlations show considerable divergence in accuracy for different microfinned tubes.","author":[{"dropping-particle":"","family":"Allymehr","given":"Ehsan","non-dropping-particle":"","parse-names":false,"suffix":""},{"dropping-particle":"","family":"Pardiñas","given":"Ángel Álvarez","non-dropping-particle":"","parse-names":false,"suffix":""},{"dropping-particle":"","family":"Eikevik","given":"Trygve Magne","non-dropping-particle":"","parse-names":false,"suffix":""},{"dropping-particle":"","family":"Hafner","given":"Armin","non-dropping-particle":"","parse-names":false,"suffix":""}],"container-title":"Applied Thermal Engineering","id":"ITEM-1","issue":"September","issued":{"date-parts":[["2020"]]},"page":"115880","publisher":"Elsevier","title":"Characteristics of evaporation of propane (R290) in compact smooth and microfinned tubes","type":"article-journal","volume":"181"},"uris":["http://www.mendeley.com/documents/?uuid=c59c7a03-cb77-478b-abf5-40927b21638f"]}],"mendeley":{"formattedCitation":"[18]","plainTextFormattedCitation":"[18]","previouslyFormattedCitation":"[18]"},"properties":{"noteIndex":0},"schema":"https://github.com/citation-style-language/schema/raw/master/csl-citation.json"}</w:instrText>
      </w:r>
      <w:r w:rsidR="001E264C" w:rsidRPr="0067462A">
        <w:rPr>
          <w:rStyle w:val="Emphasis"/>
        </w:rPr>
        <w:fldChar w:fldCharType="separate"/>
      </w:r>
      <w:r w:rsidR="001E264C" w:rsidRPr="0067462A">
        <w:rPr>
          <w:rStyle w:val="Emphasis"/>
        </w:rPr>
        <w:t>[18]</w:t>
      </w:r>
      <w:r w:rsidR="001E264C" w:rsidRPr="0067462A">
        <w:rPr>
          <w:rStyle w:val="Emphasis"/>
        </w:rPr>
        <w:fldChar w:fldCharType="end"/>
      </w:r>
      <w:r w:rsidRPr="0067462A">
        <w:rPr>
          <w:rStyle w:val="Emphasis"/>
        </w:rPr>
        <w:t>. It is hoped that effective strategies can be developed to maximize the potential of geothermal energy in this area</w:t>
      </w:r>
      <w:r w:rsidR="001A3D41" w:rsidRPr="0067462A">
        <w:rPr>
          <w:rStyle w:val="Emphasis"/>
        </w:rPr>
        <w:t xml:space="preserve"> </w:t>
      </w:r>
      <w:r w:rsidR="001E264C" w:rsidRPr="0067462A">
        <w:rPr>
          <w:rStyle w:val="Emphasis"/>
        </w:rPr>
        <w:fldChar w:fldCharType="begin" w:fldLock="1"/>
      </w:r>
      <w:r w:rsidR="00734FA0" w:rsidRPr="0067462A">
        <w:rPr>
          <w:rStyle w:val="Emphasis"/>
        </w:rPr>
        <w:instrText>ADDIN CSL_CITATION {"citationItems":[{"id":"ITEM-1","itemData":{"DOI":"10.1016/j.matpr.2021.03.072","ISSN":"22147853","abstract":"Refrigeration is a process of providing and maintaining temperature below the atmosphere. The medium used for refrigeration process is called as refrigerant. In normal refrigeration system, the heat rejected in condenser is getting wasted. We have the potential to utilize the heat rejection from the condenser. This rejected heat can be used for domestic purposes, like heating water, bathing, washing clothes and pots. The main advantage of simultaneous heating and cooling is that it can be carried out from one vapour compression refriegration (VCR) system. The effectiveness of refrigeration system relies on the refrigerant properties. However, the refrigerants used in present the world are having high potential to produce Global Warming and Ozone Depletion. The use of an eco-friendly alternative refrigerants may help to reduce the potential of Global Warming and Ozone Depletion. In this investigation, an analysis of the VCR System is conducted with two alternative refrigerants, R290 and R134a. The experiments were performed to determine the COP of the system and cooling capacity with simultaneous heating and cooling, where we had also been finding out the amount of waste heat generated at the condenser using both the refrigerants. The results showed that (COP)coolingof R134a was lower that R290 at an average of 16.43% and thereby making it more efficient for this system. Also, (COP)heatingvalue of R134a was 18.27% less than that of R290 and cooling effect of R134a was lower than 12% from R290. All the obtained results were compared graphically.","author":[{"dropping-particle":"","family":"Nikhil Babu","given":"P.","non-dropping-particle":"","parse-names":false,"suffix":""},{"dropping-particle":"","family":"Mohankumar","given":"D.","non-dropping-particle":"","parse-names":false,"suffix":""},{"dropping-particle":"","family":"Manoj Kumar","given":"P.","non-dropping-particle":"","parse-names":false,"suffix":""},{"dropping-particle":"","family":"Makeshkumar","given":"M.","non-dropping-particle":"","parse-names":false,"suffix":""},{"dropping-particle":"","family":"Gokulnath","given":"M.","non-dropping-particle":"","parse-names":false,"suffix":""},{"dropping-particle":"","family":"Gurubalaji","given":"K.","non-dropping-particle":"","parse-names":false,"suffix":""},{"dropping-particle":"","family":"Harrish","given":"G.","non-dropping-particle":"","parse-names":false,"suffix":""},{"dropping-particle":"","family":"Ashok","given":"M.","non-dropping-particle":"","parse-names":false,"suffix":""}],"container-title":"Materials Today: Proceedings","id":"ITEM-1","issued":{"date-parts":[["2021"]]},"page":"8188-8194","publisher":"Elsevier Ltd.","title":"Energy efficient refrigeration system with simultaneous heating and cooling","type":"article-journal","volume":"45"},"uris":["http://www.mendeley.com/documents/?uuid=33b170e4-ddad-4d14-9957-30f0029e2a5f"]}],"mendeley":{"formattedCitation":"[19]","plainTextFormattedCitation":"[19]","previouslyFormattedCitation":"[19]"},"properties":{"noteIndex":0},"schema":"https://github.com/citation-style-language/schema/raw/master/csl-citation.json"}</w:instrText>
      </w:r>
      <w:r w:rsidR="001E264C" w:rsidRPr="0067462A">
        <w:rPr>
          <w:rStyle w:val="Emphasis"/>
        </w:rPr>
        <w:fldChar w:fldCharType="separate"/>
      </w:r>
      <w:r w:rsidR="001E264C" w:rsidRPr="0067462A">
        <w:rPr>
          <w:rStyle w:val="Emphasis"/>
        </w:rPr>
        <w:t>[19]</w:t>
      </w:r>
      <w:r w:rsidR="001E264C" w:rsidRPr="0067462A">
        <w:rPr>
          <w:rStyle w:val="Emphasis"/>
        </w:rPr>
        <w:fldChar w:fldCharType="end"/>
      </w:r>
      <w:r w:rsidRPr="0067462A">
        <w:rPr>
          <w:rStyle w:val="Emphasis"/>
        </w:rPr>
        <w:t xml:space="preserve"> which can ultimately make a significant contribution to the transition towards sustainable renewable energy in Indonesia</w:t>
      </w:r>
      <w:r w:rsidR="001A3D41" w:rsidRPr="0067462A">
        <w:rPr>
          <w:rStyle w:val="Emphasis"/>
        </w:rPr>
        <w:t xml:space="preserve"> </w:t>
      </w:r>
      <w:r w:rsidR="00734FA0" w:rsidRPr="0067462A">
        <w:rPr>
          <w:rStyle w:val="Emphasis"/>
        </w:rPr>
        <w:fldChar w:fldCharType="begin" w:fldLock="1"/>
      </w:r>
      <w:r w:rsidR="00734FA0" w:rsidRPr="0067462A">
        <w:rPr>
          <w:rStyle w:val="Emphasis"/>
        </w:rPr>
        <w:instrText>ADDIN CSL_CITATION {"citationItems":[{"id":"ITEM-1","itemData":{"DOI":"10.1016/j.rser.2021.110880","ISSN":"18790690","abstract":"Hydropower offers highly flexible, low-carbon generation that can be used to balance electricity grids with high levels of wind and solar penetration. This will become increasingly important as the energy transition unfolds. However, hydropower generation faces several problems when used in a flexible, fast manner (on the order of seconds) when in part-load, overload, or transient conditions. Some of these issues may be addressed by an improved understanding of how the load is measured and controlled in a hydro-turbine governing system (HTGS). This paper reviews different subsystem models and stability analysis approaches for HTGS along with their applicability in different operational conditions and design layouts. The review revealed three main challenges facing the increasing flexible use of HTGS on the grid: 1) the combination of the HTGS and shaft model, 2) the control methods of HTGS with intermittent renewable energies, and 3) the uncertain nature of load on the overall performance and stability of the hydropower system. This review can stimulate further research on HTGS models and control methods to improve grid management.","author":[{"dropping-particle":"","family":"Xu","given":"Beibei","non-dropping-particle":"","parse-names":false,"suffix":""},{"dropping-particle":"","family":"Zhang","given":"Jingjing","non-dropping-particle":"","parse-names":false,"suffix":""},{"dropping-particle":"","family":"Egusquiza","given":"Mònica","non-dropping-particle":"","parse-names":false,"suffix":""},{"dropping-particle":"","family":"Chen","given":"Diyi","non-dropping-particle":"","parse-names":false,"suffix":""},{"dropping-particle":"","family":"Li","given":"Feng","non-dropping-particle":"","parse-names":false,"suffix":""},{"dropping-particle":"","family":"Behrens","given":"Paul","non-dropping-particle":"","parse-names":false,"suffix":""},{"dropping-particle":"","family":"Egusquiza","given":"Eduard","non-dropping-particle":"","parse-names":false,"suffix":""}],"container-title":"Renewable and Sustainable Energy Reviews","id":"ITEM-1","issue":"April 2020","issued":{"date-parts":[["2021"]]},"title":"A review of dynamic models and stability analysis for a hydro-turbine governing system","type":"article-journal","volume":"144"},"uris":["http://www.mendeley.com/documents/?uuid=05d05dd2-db15-474f-9e43-dd25e5a40442"]}],"mendeley":{"formattedCitation":"[10]","plainTextFormattedCitation":"[10]"},"properties":{"noteIndex":0},"schema":"https://github.com/citation-style-language/schema/raw/master/csl-citation.json"}</w:instrText>
      </w:r>
      <w:r w:rsidR="00734FA0" w:rsidRPr="0067462A">
        <w:rPr>
          <w:rStyle w:val="Emphasis"/>
        </w:rPr>
        <w:fldChar w:fldCharType="separate"/>
      </w:r>
      <w:r w:rsidR="00734FA0" w:rsidRPr="0067462A">
        <w:rPr>
          <w:rStyle w:val="Emphasis"/>
        </w:rPr>
        <w:t>[10]</w:t>
      </w:r>
      <w:r w:rsidR="00734FA0" w:rsidRPr="0067462A">
        <w:rPr>
          <w:rStyle w:val="Emphasis"/>
        </w:rPr>
        <w:fldChar w:fldCharType="end"/>
      </w:r>
      <w:r w:rsidRPr="0067462A">
        <w:rPr>
          <w:rStyle w:val="Emphasis"/>
        </w:rPr>
        <w:t>.</w:t>
      </w:r>
    </w:p>
    <w:p w14:paraId="590C3C2B" w14:textId="078523CF" w:rsidR="00EA50A7" w:rsidRPr="00073188" w:rsidRDefault="00EA50A7" w:rsidP="00784F94">
      <w:pPr>
        <w:pStyle w:val="Heading1"/>
        <w:rPr>
          <w:color w:val="FF0000"/>
        </w:rPr>
      </w:pPr>
      <w:r w:rsidRPr="00073188">
        <w:t>METHODS</w:t>
      </w:r>
    </w:p>
    <w:p w14:paraId="0577780D" w14:textId="1671AFDD" w:rsidR="00EA50A7" w:rsidRPr="00512013" w:rsidRDefault="006B7686" w:rsidP="00512013">
      <w:pPr>
        <w:pStyle w:val="Paragraph"/>
        <w:rPr>
          <w:rStyle w:val="Emphasis"/>
        </w:rPr>
      </w:pPr>
      <w:r w:rsidRPr="00512013">
        <w:rPr>
          <w:rStyle w:val="Emphasis"/>
        </w:rPr>
        <w:t xml:space="preserve">The research method used is simulation using the </w:t>
      </w:r>
      <w:proofErr w:type="spellStart"/>
      <w:r w:rsidRPr="00512013">
        <w:rPr>
          <w:rStyle w:val="Emphasis"/>
        </w:rPr>
        <w:t>Cyclepad</w:t>
      </w:r>
      <w:proofErr w:type="spellEnd"/>
      <w:r w:rsidRPr="00512013">
        <w:rPr>
          <w:rStyle w:val="Emphasis"/>
        </w:rPr>
        <w:t xml:space="preserve"> application. Organic Rankine Cycle (ORC) is used as the working fluid. The choice of organic working fluid is intended so that the Rankine cycle continues to run even though it operates at low enthalpy. When collecting hot spring reservoir data, the temperature obtained was only 60 degrees Celsius, which cannot evaporate water at atmospheric pressure. Certain working fluids can evaporate at temperatures lower than that. There are 2 variations of working fluid, namely using refrigerant R134a and R22. These variations are used to find out the right type of working fluid to get maximum power. The research flow is shown in </w:t>
      </w:r>
      <w:r w:rsidRPr="00512013">
        <w:rPr>
          <w:rStyle w:val="Emphasis"/>
          <w:b/>
          <w:bCs/>
        </w:rPr>
        <w:t>FIGURE 1</w:t>
      </w:r>
      <w:r w:rsidRPr="00512013">
        <w:rPr>
          <w:rStyle w:val="Emphasis"/>
        </w:rPr>
        <w:t>.</w:t>
      </w:r>
    </w:p>
    <w:p w14:paraId="6D4EC8B9" w14:textId="77777777" w:rsidR="006D61D0" w:rsidRPr="00073188" w:rsidRDefault="00511881" w:rsidP="00511881">
      <w:pPr>
        <w:pStyle w:val="Equation"/>
        <w:jc w:val="right"/>
      </w:pPr>
      <w:r w:rsidRPr="00073188">
        <w:rPr>
          <w:position w:val="-26"/>
        </w:rPr>
        <w:tab/>
      </w:r>
      <w:r w:rsidR="00EA50A7" w:rsidRPr="00073188">
        <w:t xml:space="preserve">        </w:t>
      </w:r>
    </w:p>
    <w:p w14:paraId="4B3CFF6A" w14:textId="7C7BA45A" w:rsidR="00580766" w:rsidRPr="00073188" w:rsidRDefault="006D61D0" w:rsidP="008679C0">
      <w:pPr>
        <w:jc w:val="center"/>
      </w:pPr>
      <w:r w:rsidRPr="00073188">
        <w:rPr>
          <w:noProof/>
        </w:rPr>
        <mc:AlternateContent>
          <mc:Choice Requires="wps">
            <w:drawing>
              <wp:anchor distT="0" distB="0" distL="114300" distR="114300" simplePos="0" relativeHeight="251830784" behindDoc="0" locked="0" layoutInCell="1" allowOverlap="1" wp14:anchorId="3E58F973" wp14:editId="7666775B">
                <wp:simplePos x="0" y="0"/>
                <wp:positionH relativeFrom="column">
                  <wp:posOffset>710565</wp:posOffset>
                </wp:positionH>
                <wp:positionV relativeFrom="paragraph">
                  <wp:posOffset>121285</wp:posOffset>
                </wp:positionV>
                <wp:extent cx="3914775" cy="6553200"/>
                <wp:effectExtent l="0" t="0" r="0" b="38100"/>
                <wp:wrapNone/>
                <wp:docPr id="21" name="Rectangle 21"/>
                <wp:cNvGraphicFramePr/>
                <a:graphic xmlns:a="http://schemas.openxmlformats.org/drawingml/2006/main">
                  <a:graphicData uri="http://schemas.microsoft.com/office/word/2010/wordprocessingShape">
                    <wps:wsp>
                      <wps:cNvSpPr/>
                      <wps:spPr>
                        <a:xfrm>
                          <a:off x="0" y="0"/>
                          <a:ext cx="3914775" cy="6553200"/>
                        </a:xfrm>
                        <a:prstGeom prst="rect">
                          <a:avLst/>
                        </a:prstGeom>
                        <a:noFill/>
                        <a:ln>
                          <a:noFill/>
                        </a:ln>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033187A" id="Rectangle 21" o:spid="_x0000_s1026" style="position:absolute;margin-left:55.95pt;margin-top:9.55pt;width:308.25pt;height:516pt;z-index:251830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" filled="f" stroked="f" strokeweight=".5pt"/>
            </w:pict>
          </mc:Fallback>
        </mc:AlternateContent>
      </w:r>
      <w:r w:rsidR="008679C0" w:rsidRPr="00073188">
        <w:rPr>
          <w:noProof/>
        </w:rPr>
        <w:drawing>
          <wp:inline distT="0" distB="0" distL="0" distR="0" wp14:anchorId="36A6C900" wp14:editId="381F406B">
            <wp:extent cx="1638300" cy="3250797"/>
            <wp:effectExtent l="0" t="0" r="0" b="698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1">
                      <a:extLst>
                        <a:ext uri="{28A0092B-C50C-407E-A947-70E740481C1C}">
                          <a14:useLocalDpi xmlns:a14="http://schemas.microsoft.com/office/drawing/2010/main" val="0"/>
                        </a:ext>
                      </a:extLst>
                    </a:blip>
                    <a:srcRect t="6140" b="5438"/>
                    <a:stretch/>
                  </pic:blipFill>
                  <pic:spPr bwMode="auto">
                    <a:xfrm>
                      <a:off x="0" y="0"/>
                      <a:ext cx="1652302" cy="3278581"/>
                    </a:xfrm>
                    <a:prstGeom prst="rect">
                      <a:avLst/>
                    </a:prstGeom>
                    <a:noFill/>
                    <a:ln>
                      <a:noFill/>
                    </a:ln>
                    <a:extLst>
                      <a:ext uri="{53640926-AAD7-44D8-BBD7-CCE9431645EC}">
                        <a14:shadowObscured xmlns:a14="http://schemas.microsoft.com/office/drawing/2010/main"/>
                      </a:ext>
                    </a:extLst>
                  </pic:spPr>
                </pic:pic>
              </a:graphicData>
            </a:graphic>
          </wp:inline>
        </w:drawing>
      </w:r>
    </w:p>
    <w:p w14:paraId="7738FDD9" w14:textId="7BB66B4D" w:rsidR="006B29D4" w:rsidRPr="00073188" w:rsidRDefault="006B29D4" w:rsidP="006B29D4">
      <w:pPr>
        <w:pStyle w:val="FigureCaption"/>
        <w:rPr>
          <w:b/>
        </w:rPr>
      </w:pPr>
      <w:r w:rsidRPr="00073188">
        <w:rPr>
          <w:b/>
        </w:rPr>
        <w:t xml:space="preserve">FIGURE </w:t>
      </w:r>
      <w:r w:rsidRPr="00073188">
        <w:rPr>
          <w:b/>
        </w:rPr>
        <w:fldChar w:fldCharType="begin"/>
      </w:r>
      <w:r w:rsidRPr="00073188">
        <w:rPr>
          <w:b/>
        </w:rPr>
        <w:instrText xml:space="preserve"> SEQ Figure \* ARABIC </w:instrText>
      </w:r>
      <w:r w:rsidRPr="00073188">
        <w:rPr>
          <w:b/>
        </w:rPr>
        <w:fldChar w:fldCharType="separate"/>
      </w:r>
      <w:r w:rsidRPr="00073188">
        <w:rPr>
          <w:b/>
          <w:noProof/>
        </w:rPr>
        <w:t>1</w:t>
      </w:r>
      <w:r w:rsidRPr="00073188">
        <w:rPr>
          <w:b/>
        </w:rPr>
        <w:fldChar w:fldCharType="end"/>
      </w:r>
      <w:r w:rsidRPr="00073188">
        <w:rPr>
          <w:b/>
        </w:rPr>
        <w:t xml:space="preserve">. </w:t>
      </w:r>
      <w:r w:rsidRPr="00073188">
        <w:rPr>
          <w:bCs/>
        </w:rPr>
        <w:t>Research flow diagram</w:t>
      </w:r>
    </w:p>
    <w:p w14:paraId="13B3B55A" w14:textId="584DE15C" w:rsidR="00580766" w:rsidRPr="00073188" w:rsidRDefault="00580766" w:rsidP="0093053B">
      <w:pPr>
        <w:pStyle w:val="Equation"/>
      </w:pPr>
    </w:p>
    <w:p w14:paraId="1E38397C" w14:textId="77777777" w:rsidR="00383C21" w:rsidRPr="00512013" w:rsidRDefault="00383C21" w:rsidP="00383C21">
      <w:pPr>
        <w:ind w:firstLine="284"/>
        <w:jc w:val="both"/>
        <w:rPr>
          <w:rStyle w:val="Emphasis"/>
          <w:sz w:val="20"/>
        </w:rPr>
      </w:pPr>
      <w:r w:rsidRPr="00512013">
        <w:rPr>
          <w:rStyle w:val="Emphasis"/>
          <w:b/>
          <w:bCs/>
          <w:sz w:val="20"/>
        </w:rPr>
        <w:t>FIGURE 2</w:t>
      </w:r>
      <w:r w:rsidRPr="00512013">
        <w:rPr>
          <w:rStyle w:val="Emphasis"/>
          <w:sz w:val="20"/>
        </w:rPr>
        <w:t xml:space="preserve"> shows the design of the ORC scheme using </w:t>
      </w:r>
      <w:proofErr w:type="spellStart"/>
      <w:r w:rsidRPr="00512013">
        <w:rPr>
          <w:rStyle w:val="Emphasis"/>
          <w:sz w:val="20"/>
        </w:rPr>
        <w:t>CyclePad</w:t>
      </w:r>
      <w:proofErr w:type="spellEnd"/>
      <w:r w:rsidRPr="00512013">
        <w:rPr>
          <w:rStyle w:val="Emphasis"/>
          <w:sz w:val="20"/>
        </w:rPr>
        <w:t>. There are 4 main components in the cycle, including a pump, 2 heat exchangers, and a turbine. Organic working fluid is flowed through the four components to produce optimal power in the turbine. The mechanical power in the turbine is used to rotate the generator to produce electrical power.</w:t>
      </w:r>
    </w:p>
    <w:p w14:paraId="6E020949" w14:textId="11BF23EA" w:rsidR="00383C21" w:rsidRPr="00512013" w:rsidRDefault="00383C21" w:rsidP="00383C21">
      <w:pPr>
        <w:ind w:firstLine="284"/>
        <w:jc w:val="both"/>
        <w:rPr>
          <w:rStyle w:val="Emphasis"/>
          <w:sz w:val="20"/>
        </w:rPr>
      </w:pPr>
      <w:r w:rsidRPr="00512013">
        <w:rPr>
          <w:rStyle w:val="Emphasis"/>
          <w:sz w:val="20"/>
        </w:rPr>
        <w:lastRenderedPageBreak/>
        <w:t>In this cycle, the refrigerant is pumped to produce high pressure. The refrigerant is then heated in the heat exchanger so that it changes phase to vapor. The hot fluid used to heat the refrigerant is a hot spring with a temperature of around 60 degrees Celsius. The enthalpy obtained after passing through the heat exchanger allows the refrigerant to rotate the turbine. The refrigerant output from the turbine is then changed phase to liquid form. The refrigerant is flowed to the second heat exchanger (condenser) to extract its heat. The refrigerant is then flowed back to the pump to repeat the same cycle.</w:t>
      </w:r>
    </w:p>
    <w:p w14:paraId="514466ED" w14:textId="64E76F2D" w:rsidR="0025056F" w:rsidRPr="00073188" w:rsidRDefault="0025056F" w:rsidP="00B634AA">
      <w:pPr>
        <w:pStyle w:val="Equation"/>
        <w:tabs>
          <w:tab w:val="clear" w:pos="4320"/>
          <w:tab w:val="clear" w:pos="9242"/>
        </w:tabs>
      </w:pPr>
      <w:r w:rsidRPr="00073188">
        <w:rPr>
          <w:noProof/>
          <w:sz w:val="22"/>
          <w:szCs w:val="22"/>
        </w:rPr>
        <w:drawing>
          <wp:inline distT="0" distB="0" distL="0" distR="0" wp14:anchorId="385CBC24" wp14:editId="4747B940">
            <wp:extent cx="4019550" cy="2763441"/>
            <wp:effectExtent l="0" t="0" r="0" b="0"/>
            <wp:docPr id="4883805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390622" name="Picture 52390622"/>
                    <pic:cNvPicPr/>
                  </pic:nvPicPr>
                  <pic:blipFill rotWithShape="1">
                    <a:blip r:embed="rId12" cstate="print">
                      <a:extLst>
                        <a:ext uri="{BEBA8EAE-BF5A-486C-A8C5-ECC9F3942E4B}">
                          <a14:imgProps xmlns:a14="http://schemas.microsoft.com/office/drawing/2010/main">
                            <a14:imgLayer r:embed="rId13">
                              <a14:imgEffect>
                                <a14:sharpenSoften amount="25000"/>
                              </a14:imgEffect>
                            </a14:imgLayer>
                          </a14:imgProps>
                        </a:ext>
                        <a:ext uri="{28A0092B-C50C-407E-A947-70E740481C1C}">
                          <a14:useLocalDpi xmlns:a14="http://schemas.microsoft.com/office/drawing/2010/main" val="0"/>
                        </a:ext>
                      </a:extLst>
                    </a:blip>
                    <a:srcRect l="19994" t="12023" r="8883" b="15703"/>
                    <a:stretch/>
                  </pic:blipFill>
                  <pic:spPr bwMode="auto">
                    <a:xfrm>
                      <a:off x="0" y="0"/>
                      <a:ext cx="4030265" cy="2770807"/>
                    </a:xfrm>
                    <a:prstGeom prst="rect">
                      <a:avLst/>
                    </a:prstGeom>
                    <a:ln>
                      <a:noFill/>
                    </a:ln>
                    <a:extLst>
                      <a:ext uri="{53640926-AAD7-44D8-BBD7-CCE9431645EC}">
                        <a14:shadowObscured xmlns:a14="http://schemas.microsoft.com/office/drawing/2010/main"/>
                      </a:ext>
                    </a:extLst>
                  </pic:spPr>
                </pic:pic>
              </a:graphicData>
            </a:graphic>
          </wp:inline>
        </w:drawing>
      </w:r>
    </w:p>
    <w:p w14:paraId="5B360ABF" w14:textId="198C10DE" w:rsidR="0025056F" w:rsidRPr="00073188" w:rsidRDefault="001A3D41" w:rsidP="001A3D41">
      <w:pPr>
        <w:pStyle w:val="FigureCaption"/>
        <w:rPr>
          <w:b/>
        </w:rPr>
      </w:pPr>
      <w:r w:rsidRPr="00073188">
        <w:rPr>
          <w:b/>
        </w:rPr>
        <w:t>FIGURE</w:t>
      </w:r>
      <w:r w:rsidR="0025056F" w:rsidRPr="00073188">
        <w:rPr>
          <w:b/>
        </w:rPr>
        <w:t xml:space="preserve"> </w:t>
      </w:r>
      <w:r w:rsidR="0025056F" w:rsidRPr="00073188">
        <w:rPr>
          <w:b/>
        </w:rPr>
        <w:fldChar w:fldCharType="begin"/>
      </w:r>
      <w:r w:rsidR="0025056F" w:rsidRPr="00073188">
        <w:rPr>
          <w:b/>
        </w:rPr>
        <w:instrText xml:space="preserve"> SEQ Figure \* ARABIC </w:instrText>
      </w:r>
      <w:r w:rsidR="0025056F" w:rsidRPr="00073188">
        <w:rPr>
          <w:b/>
        </w:rPr>
        <w:fldChar w:fldCharType="separate"/>
      </w:r>
      <w:r w:rsidR="006B29D4" w:rsidRPr="00073188">
        <w:rPr>
          <w:b/>
          <w:noProof/>
        </w:rPr>
        <w:t>2</w:t>
      </w:r>
      <w:r w:rsidR="0025056F" w:rsidRPr="00073188">
        <w:rPr>
          <w:b/>
        </w:rPr>
        <w:fldChar w:fldCharType="end"/>
      </w:r>
      <w:r w:rsidR="0025056F" w:rsidRPr="00073188">
        <w:rPr>
          <w:b/>
        </w:rPr>
        <w:t xml:space="preserve">. </w:t>
      </w:r>
      <w:r w:rsidR="0025056F" w:rsidRPr="00073188">
        <w:rPr>
          <w:bCs/>
        </w:rPr>
        <w:t xml:space="preserve">ORC design using </w:t>
      </w:r>
      <w:proofErr w:type="spellStart"/>
      <w:r w:rsidR="0025056F" w:rsidRPr="00073188">
        <w:rPr>
          <w:bCs/>
        </w:rPr>
        <w:t>Cyclepad</w:t>
      </w:r>
      <w:proofErr w:type="spellEnd"/>
    </w:p>
    <w:p w14:paraId="7238677B" w14:textId="77777777" w:rsidR="00A518B9" w:rsidRPr="00073188" w:rsidRDefault="00A518B9" w:rsidP="00A518B9">
      <w:pPr>
        <w:ind w:firstLine="284"/>
        <w:jc w:val="both"/>
        <w:rPr>
          <w:sz w:val="20"/>
          <w:lang w:val="id"/>
        </w:rPr>
      </w:pPr>
    </w:p>
    <w:p w14:paraId="5B8B282F" w14:textId="02399466" w:rsidR="00A518B9" w:rsidRPr="00957D49" w:rsidRDefault="00A518B9" w:rsidP="00A518B9">
      <w:pPr>
        <w:ind w:firstLine="284"/>
        <w:jc w:val="both"/>
        <w:rPr>
          <w:rStyle w:val="Emphasis"/>
          <w:sz w:val="20"/>
        </w:rPr>
      </w:pPr>
      <w:r w:rsidRPr="00957D49">
        <w:rPr>
          <w:rStyle w:val="Emphasis"/>
          <w:b/>
          <w:bCs/>
          <w:sz w:val="20"/>
        </w:rPr>
        <w:t xml:space="preserve">FIGURE </w:t>
      </w:r>
      <w:r w:rsidR="006B29D4" w:rsidRPr="00957D49">
        <w:rPr>
          <w:rStyle w:val="Emphasis"/>
          <w:b/>
          <w:bCs/>
          <w:sz w:val="20"/>
        </w:rPr>
        <w:t>3</w:t>
      </w:r>
      <w:r w:rsidRPr="00957D49">
        <w:rPr>
          <w:rStyle w:val="Emphasis"/>
          <w:sz w:val="20"/>
        </w:rPr>
        <w:t xml:space="preserve"> and </w:t>
      </w:r>
      <w:r w:rsidRPr="00957D49">
        <w:rPr>
          <w:rStyle w:val="Emphasis"/>
          <w:b/>
          <w:bCs/>
          <w:sz w:val="20"/>
        </w:rPr>
        <w:t xml:space="preserve">FIGURE </w:t>
      </w:r>
      <w:r w:rsidR="006B29D4" w:rsidRPr="00957D49">
        <w:rPr>
          <w:rStyle w:val="Emphasis"/>
          <w:b/>
          <w:bCs/>
          <w:sz w:val="20"/>
        </w:rPr>
        <w:t>4</w:t>
      </w:r>
      <w:r w:rsidRPr="00957D49">
        <w:rPr>
          <w:rStyle w:val="Emphasis"/>
          <w:sz w:val="20"/>
        </w:rPr>
        <w:t xml:space="preserve"> show the specifications of Refrigerant variations, namely R134a and R22. Each refrigerant has a different boiling point, so that the heat transfer process in the heat exchanger is not in the same condition, especially the input and output temperatures. R134a has a boiling point of -26.2 degrees Celsius at atmospheric pressure. While R22 has a boiling point of -40.8 degrees Celsius at the same pressure. Thus, it is possible that the output temperature of the heat exchanger for R134a is higher. Another option that can be done in the simulation is to set the same refrigerant output temperature, but a different mass flow rate. R22 will be flowed with a smaller mass flow rate to obtain a larger temperature change range. </w:t>
      </w:r>
    </w:p>
    <w:p w14:paraId="04917F80" w14:textId="77777777" w:rsidR="00A518B9" w:rsidRPr="00957D49" w:rsidRDefault="00A518B9" w:rsidP="00A518B9">
      <w:pPr>
        <w:ind w:firstLine="284"/>
        <w:jc w:val="both"/>
        <w:rPr>
          <w:rStyle w:val="Emphasis"/>
          <w:sz w:val="20"/>
        </w:rPr>
      </w:pPr>
      <w:r w:rsidRPr="00957D49">
        <w:rPr>
          <w:rStyle w:val="Emphasis"/>
          <w:sz w:val="20"/>
        </w:rPr>
        <w:t>Meanwhile, the design specifications of the heat exchanger to be used are the shell and tube type with the assumption of the same diameter and length, so that the input variations in the design are at temperature, pressure, and mass flow rate, with the assumption of a constant geometry.</w:t>
      </w:r>
    </w:p>
    <w:p w14:paraId="2445D0B4" w14:textId="77777777" w:rsidR="0025056F" w:rsidRPr="00073188" w:rsidRDefault="0025056F" w:rsidP="0025056F">
      <w:pPr>
        <w:jc w:val="both"/>
        <w:rPr>
          <w:sz w:val="20"/>
        </w:rPr>
      </w:pPr>
    </w:p>
    <w:p w14:paraId="55DB006B" w14:textId="77777777" w:rsidR="00580766" w:rsidRPr="00073188" w:rsidRDefault="00580766" w:rsidP="00511881">
      <w:pPr>
        <w:pStyle w:val="Equation"/>
        <w:jc w:val="right"/>
      </w:pPr>
    </w:p>
    <w:p w14:paraId="2D7C6C28" w14:textId="77777777" w:rsidR="00336C6E" w:rsidRPr="00073188" w:rsidRDefault="00336C6E" w:rsidP="00734FA0">
      <w:pPr>
        <w:pStyle w:val="Caption"/>
        <w:keepNext/>
        <w:rPr>
          <w:i w:val="0"/>
          <w:noProof/>
        </w:rPr>
      </w:pPr>
      <w:r w:rsidRPr="00073188">
        <w:rPr>
          <w:i w:val="0"/>
          <w:noProof/>
        </w:rPr>
        <w:drawing>
          <wp:inline distT="0" distB="0" distL="0" distR="0" wp14:anchorId="1E0F1F3B" wp14:editId="6DBEED21">
            <wp:extent cx="2716795" cy="2186940"/>
            <wp:effectExtent l="0" t="0" r="7620" b="3810"/>
            <wp:docPr id="295413591"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5413591" name="Picture 295413591"/>
                    <pic:cNvPicPr/>
                  </pic:nvPicPr>
                  <pic:blipFill rotWithShape="1">
                    <a:blip r:embed="rId14" cstate="print">
                      <a:extLst>
                        <a:ext uri="{BEBA8EAE-BF5A-486C-A8C5-ECC9F3942E4B}">
                          <a14:imgProps xmlns:a14="http://schemas.microsoft.com/office/drawing/2010/main">
                            <a14:imgLayer r:embed="rId15">
                              <a14:imgEffect>
                                <a14:sharpenSoften amount="25000"/>
                              </a14:imgEffect>
                            </a14:imgLayer>
                          </a14:imgProps>
                        </a:ext>
                        <a:ext uri="{28A0092B-C50C-407E-A947-70E740481C1C}">
                          <a14:useLocalDpi xmlns:a14="http://schemas.microsoft.com/office/drawing/2010/main" val="0"/>
                        </a:ext>
                      </a:extLst>
                    </a:blip>
                    <a:srcRect l="5899" t="7246" r="6147" b="5832"/>
                    <a:stretch/>
                  </pic:blipFill>
                  <pic:spPr bwMode="auto">
                    <a:xfrm>
                      <a:off x="0" y="0"/>
                      <a:ext cx="2753011" cy="2216092"/>
                    </a:xfrm>
                    <a:prstGeom prst="rect">
                      <a:avLst/>
                    </a:prstGeom>
                    <a:ln>
                      <a:noFill/>
                    </a:ln>
                    <a:extLst>
                      <a:ext uri="{53640926-AAD7-44D8-BBD7-CCE9431645EC}">
                        <a14:shadowObscured xmlns:a14="http://schemas.microsoft.com/office/drawing/2010/main"/>
                      </a:ext>
                    </a:extLst>
                  </pic:spPr>
                </pic:pic>
              </a:graphicData>
            </a:graphic>
          </wp:inline>
        </w:drawing>
      </w:r>
      <w:r w:rsidRPr="00073188">
        <w:rPr>
          <w:i w:val="0"/>
          <w:noProof/>
        </w:rPr>
        <w:t xml:space="preserve">           </w:t>
      </w:r>
      <w:r w:rsidRPr="00073188">
        <w:rPr>
          <w:i w:val="0"/>
          <w:noProof/>
        </w:rPr>
        <w:drawing>
          <wp:inline distT="0" distB="0" distL="0" distR="0" wp14:anchorId="6EDA193E" wp14:editId="5ACE1C79">
            <wp:extent cx="2628900" cy="2180670"/>
            <wp:effectExtent l="0" t="0" r="0" b="0"/>
            <wp:docPr id="8551675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3807336" name="Picture 683807336"/>
                    <pic:cNvPicPr/>
                  </pic:nvPicPr>
                  <pic:blipFill rotWithShape="1">
                    <a:blip r:embed="rId16">
                      <a:extLst>
                        <a:ext uri="{BEBA8EAE-BF5A-486C-A8C5-ECC9F3942E4B}">
                          <a14:imgProps xmlns:a14="http://schemas.microsoft.com/office/drawing/2010/main">
                            <a14:imgLayer r:embed="rId17">
                              <a14:imgEffect>
                                <a14:sharpenSoften amount="25000"/>
                              </a14:imgEffect>
                            </a14:imgLayer>
                          </a14:imgProps>
                        </a:ext>
                        <a:ext uri="{28A0092B-C50C-407E-A947-70E740481C1C}">
                          <a14:useLocalDpi xmlns:a14="http://schemas.microsoft.com/office/drawing/2010/main" val="0"/>
                        </a:ext>
                      </a:extLst>
                    </a:blip>
                    <a:srcRect b="8949"/>
                    <a:stretch/>
                  </pic:blipFill>
                  <pic:spPr bwMode="auto">
                    <a:xfrm>
                      <a:off x="0" y="0"/>
                      <a:ext cx="2744462" cy="2276529"/>
                    </a:xfrm>
                    <a:prstGeom prst="rect">
                      <a:avLst/>
                    </a:prstGeom>
                    <a:ln>
                      <a:noFill/>
                    </a:ln>
                    <a:extLst>
                      <a:ext uri="{53640926-AAD7-44D8-BBD7-CCE9431645EC}">
                        <a14:shadowObscured xmlns:a14="http://schemas.microsoft.com/office/drawing/2010/main"/>
                      </a:ext>
                    </a:extLst>
                  </pic:spPr>
                </pic:pic>
              </a:graphicData>
            </a:graphic>
          </wp:inline>
        </w:drawing>
      </w:r>
      <w:r w:rsidRPr="00073188">
        <w:rPr>
          <w:i w:val="0"/>
          <w:noProof/>
        </w:rPr>
        <w:t xml:space="preserve"> </w:t>
      </w:r>
    </w:p>
    <w:p w14:paraId="285D50E1" w14:textId="5F2F2576" w:rsidR="00336C6E" w:rsidRPr="00957D49" w:rsidRDefault="006B29D4" w:rsidP="00957D49">
      <w:pPr>
        <w:pStyle w:val="FigureCaption"/>
        <w:rPr>
          <w:b/>
        </w:rPr>
      </w:pPr>
      <w:r w:rsidRPr="00073188">
        <w:rPr>
          <w:b/>
        </w:rPr>
        <w:t xml:space="preserve">FIGURE </w:t>
      </w:r>
      <w:r w:rsidRPr="00073188">
        <w:rPr>
          <w:b/>
        </w:rPr>
        <w:fldChar w:fldCharType="begin"/>
      </w:r>
      <w:r w:rsidRPr="00073188">
        <w:rPr>
          <w:b/>
        </w:rPr>
        <w:instrText xml:space="preserve"> SEQ Figure \* ARABIC </w:instrText>
      </w:r>
      <w:r w:rsidRPr="00073188">
        <w:rPr>
          <w:b/>
        </w:rPr>
        <w:fldChar w:fldCharType="separate"/>
      </w:r>
      <w:r w:rsidRPr="00073188">
        <w:rPr>
          <w:b/>
          <w:noProof/>
        </w:rPr>
        <w:t>3</w:t>
      </w:r>
      <w:r w:rsidRPr="00073188">
        <w:rPr>
          <w:b/>
        </w:rPr>
        <w:fldChar w:fldCharType="end"/>
      </w:r>
      <w:r w:rsidRPr="00073188">
        <w:rPr>
          <w:b/>
        </w:rPr>
        <w:t xml:space="preserve">. </w:t>
      </w:r>
      <w:r w:rsidRPr="00073188">
        <w:rPr>
          <w:bCs/>
        </w:rPr>
        <w:t xml:space="preserve">R134a </w:t>
      </w:r>
      <w:r w:rsidR="00F66BEA" w:rsidRPr="00073188">
        <w:rPr>
          <w:bCs/>
        </w:rPr>
        <w:t>refrigerant</w:t>
      </w:r>
      <w:r w:rsidR="00F66BEA" w:rsidRPr="00073188">
        <w:rPr>
          <w:b/>
        </w:rPr>
        <w:t xml:space="preserve"> </w:t>
      </w:r>
      <w:r w:rsidRPr="00073188">
        <w:rPr>
          <w:bCs/>
        </w:rPr>
        <w:t>properties</w:t>
      </w:r>
      <w:r w:rsidR="00336C6E" w:rsidRPr="00073188">
        <w:rPr>
          <w:noProof/>
        </w:rPr>
        <w:t xml:space="preserve">    </w:t>
      </w:r>
    </w:p>
    <w:p w14:paraId="52889EB6" w14:textId="77777777" w:rsidR="00336C6E" w:rsidRPr="00073188" w:rsidRDefault="00336C6E" w:rsidP="006B29D4">
      <w:pPr>
        <w:rPr>
          <w:noProof/>
        </w:rPr>
      </w:pPr>
    </w:p>
    <w:p w14:paraId="4888974D" w14:textId="7A03E2B7" w:rsidR="00336C6E" w:rsidRPr="00073188" w:rsidRDefault="00336C6E" w:rsidP="00336C6E">
      <w:r w:rsidRPr="00073188">
        <w:rPr>
          <w:noProof/>
        </w:rPr>
        <w:drawing>
          <wp:inline distT="0" distB="0" distL="0" distR="0" wp14:anchorId="39204C0D" wp14:editId="0D0E01D7">
            <wp:extent cx="2750820" cy="2235400"/>
            <wp:effectExtent l="0" t="0" r="0" b="0"/>
            <wp:docPr id="35977821"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977821" name="Picture 35977821"/>
                    <pic:cNvPicPr/>
                  </pic:nvPicPr>
                  <pic:blipFill rotWithShape="1">
                    <a:blip r:embed="rId18" cstate="print">
                      <a:extLst>
                        <a:ext uri="{BEBA8EAE-BF5A-486C-A8C5-ECC9F3942E4B}">
                          <a14:imgProps xmlns:a14="http://schemas.microsoft.com/office/drawing/2010/main">
                            <a14:imgLayer r:embed="rId19">
                              <a14:imgEffect>
                                <a14:sharpenSoften amount="25000"/>
                              </a14:imgEffect>
                            </a14:imgLayer>
                          </a14:imgProps>
                        </a:ext>
                        <a:ext uri="{28A0092B-C50C-407E-A947-70E740481C1C}">
                          <a14:useLocalDpi xmlns:a14="http://schemas.microsoft.com/office/drawing/2010/main" val="0"/>
                        </a:ext>
                      </a:extLst>
                    </a:blip>
                    <a:srcRect l="5481" t="7226" r="5735" b="4718"/>
                    <a:stretch/>
                  </pic:blipFill>
                  <pic:spPr bwMode="auto">
                    <a:xfrm>
                      <a:off x="0" y="0"/>
                      <a:ext cx="2787788" cy="2265442"/>
                    </a:xfrm>
                    <a:prstGeom prst="rect">
                      <a:avLst/>
                    </a:prstGeom>
                    <a:ln>
                      <a:noFill/>
                    </a:ln>
                    <a:extLst>
                      <a:ext uri="{53640926-AAD7-44D8-BBD7-CCE9431645EC}">
                        <a14:shadowObscured xmlns:a14="http://schemas.microsoft.com/office/drawing/2010/main"/>
                      </a:ext>
                    </a:extLst>
                  </pic:spPr>
                </pic:pic>
              </a:graphicData>
            </a:graphic>
          </wp:inline>
        </w:drawing>
      </w:r>
      <w:r w:rsidRPr="00073188">
        <w:rPr>
          <w:noProof/>
          <w:lang w:val="id-ID"/>
        </w:rPr>
        <w:t xml:space="preserve">       </w:t>
      </w:r>
      <w:r w:rsidRPr="00073188">
        <w:rPr>
          <w:noProof/>
        </w:rPr>
        <w:drawing>
          <wp:inline distT="0" distB="0" distL="0" distR="0" wp14:anchorId="021D92FA" wp14:editId="78D79EB1">
            <wp:extent cx="2742829" cy="2149568"/>
            <wp:effectExtent l="0" t="0" r="635" b="3175"/>
            <wp:docPr id="120066142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9119161" name="Picture 2129119161"/>
                    <pic:cNvPicPr/>
                  </pic:nvPicPr>
                  <pic:blipFill>
                    <a:blip r:embed="rId20">
                      <a:extLst>
                        <a:ext uri="{BEBA8EAE-BF5A-486C-A8C5-ECC9F3942E4B}">
                          <a14:imgProps xmlns:a14="http://schemas.microsoft.com/office/drawing/2010/main">
                            <a14:imgLayer r:embed="rId21">
                              <a14:imgEffect>
                                <a14:sharpenSoften amount="25000"/>
                              </a14:imgEffect>
                            </a14:imgLayer>
                          </a14:imgProps>
                        </a:ext>
                        <a:ext uri="{28A0092B-C50C-407E-A947-70E740481C1C}">
                          <a14:useLocalDpi xmlns:a14="http://schemas.microsoft.com/office/drawing/2010/main" val="0"/>
                        </a:ext>
                      </a:extLst>
                    </a:blip>
                    <a:stretch>
                      <a:fillRect/>
                    </a:stretch>
                  </pic:blipFill>
                  <pic:spPr>
                    <a:xfrm>
                      <a:off x="0" y="0"/>
                      <a:ext cx="2805983" cy="2199062"/>
                    </a:xfrm>
                    <a:prstGeom prst="rect">
                      <a:avLst/>
                    </a:prstGeom>
                  </pic:spPr>
                </pic:pic>
              </a:graphicData>
            </a:graphic>
          </wp:inline>
        </w:drawing>
      </w:r>
    </w:p>
    <w:p w14:paraId="4B073DBE" w14:textId="7C3D60A8" w:rsidR="006B29D4" w:rsidRPr="00073188" w:rsidRDefault="006B29D4" w:rsidP="006B29D4">
      <w:pPr>
        <w:pStyle w:val="FigureCaption"/>
        <w:rPr>
          <w:b/>
        </w:rPr>
      </w:pPr>
      <w:r w:rsidRPr="00073188">
        <w:rPr>
          <w:b/>
        </w:rPr>
        <w:t xml:space="preserve">FIGURE </w:t>
      </w:r>
      <w:r w:rsidRPr="00073188">
        <w:rPr>
          <w:b/>
        </w:rPr>
        <w:fldChar w:fldCharType="begin"/>
      </w:r>
      <w:r w:rsidRPr="00073188">
        <w:rPr>
          <w:b/>
        </w:rPr>
        <w:instrText xml:space="preserve"> SEQ Figure \* ARABIC </w:instrText>
      </w:r>
      <w:r w:rsidRPr="00073188">
        <w:rPr>
          <w:b/>
        </w:rPr>
        <w:fldChar w:fldCharType="separate"/>
      </w:r>
      <w:r w:rsidRPr="00073188">
        <w:rPr>
          <w:b/>
          <w:noProof/>
        </w:rPr>
        <w:t>4</w:t>
      </w:r>
      <w:r w:rsidRPr="00073188">
        <w:rPr>
          <w:b/>
        </w:rPr>
        <w:fldChar w:fldCharType="end"/>
      </w:r>
      <w:r w:rsidRPr="00073188">
        <w:rPr>
          <w:b/>
        </w:rPr>
        <w:t xml:space="preserve">. </w:t>
      </w:r>
      <w:r w:rsidRPr="00073188">
        <w:rPr>
          <w:bCs/>
        </w:rPr>
        <w:t xml:space="preserve">R22 </w:t>
      </w:r>
      <w:r w:rsidR="00F66BEA" w:rsidRPr="00073188">
        <w:rPr>
          <w:bCs/>
        </w:rPr>
        <w:t>refrigerant</w:t>
      </w:r>
      <w:r w:rsidR="00F66BEA" w:rsidRPr="00073188">
        <w:rPr>
          <w:b/>
        </w:rPr>
        <w:t xml:space="preserve"> </w:t>
      </w:r>
      <w:r w:rsidRPr="00073188">
        <w:rPr>
          <w:bCs/>
        </w:rPr>
        <w:t>properties</w:t>
      </w:r>
    </w:p>
    <w:p w14:paraId="5A750020" w14:textId="77777777" w:rsidR="00580766" w:rsidRPr="00073188" w:rsidRDefault="00580766" w:rsidP="00336C6E">
      <w:pPr>
        <w:pStyle w:val="Equation"/>
        <w:jc w:val="both"/>
      </w:pPr>
    </w:p>
    <w:p w14:paraId="384519A9" w14:textId="4852B5F9" w:rsidR="00EA50A7" w:rsidRPr="00073188" w:rsidRDefault="00EA50A7" w:rsidP="00784F94">
      <w:pPr>
        <w:pStyle w:val="Heading1"/>
      </w:pPr>
      <w:r w:rsidRPr="00073188">
        <w:t>RESULTS AND DISCUSSION</w:t>
      </w:r>
    </w:p>
    <w:p w14:paraId="600C828D" w14:textId="77777777" w:rsidR="00F74796" w:rsidRPr="00957D49" w:rsidRDefault="00F74796" w:rsidP="00F74796">
      <w:pPr>
        <w:ind w:firstLine="284"/>
        <w:jc w:val="both"/>
        <w:rPr>
          <w:rStyle w:val="Emphasis"/>
          <w:sz w:val="20"/>
        </w:rPr>
      </w:pPr>
      <w:proofErr w:type="spellStart"/>
      <w:r w:rsidRPr="00957D49">
        <w:rPr>
          <w:rStyle w:val="Emphasis"/>
          <w:sz w:val="20"/>
        </w:rPr>
        <w:t>Cyclepad</w:t>
      </w:r>
      <w:proofErr w:type="spellEnd"/>
      <w:r w:rsidRPr="00957D49">
        <w:rPr>
          <w:rStyle w:val="Emphasis"/>
          <w:sz w:val="20"/>
        </w:rPr>
        <w:t xml:space="preserve"> software runs the design with the input parameters. The hot and </w:t>
      </w:r>
      <w:proofErr w:type="gramStart"/>
      <w:r w:rsidRPr="00957D49">
        <w:rPr>
          <w:rStyle w:val="Emphasis"/>
          <w:sz w:val="20"/>
        </w:rPr>
        <w:t>cold water</w:t>
      </w:r>
      <w:proofErr w:type="gramEnd"/>
      <w:r w:rsidRPr="00957D49">
        <w:rPr>
          <w:rStyle w:val="Emphasis"/>
          <w:sz w:val="20"/>
        </w:rPr>
        <w:t xml:space="preserve"> reservoirs are in an open space, so the pressure setting is atmospheric pressure (100 kPa). The inlet temperature of the hot water is 60 degrees Celsius, while the cold water is 8 degrees Celsius. This temperature is obtained in cold mountainous areas, so it is lower than 27 degrees Celsius. Meanwhile, the parameters entered are not the same between R134a and R22, adjusting the boiling point of each refrigerant.</w:t>
      </w:r>
    </w:p>
    <w:p w14:paraId="4FC33CF2" w14:textId="6B89D66D" w:rsidR="00F66BEA" w:rsidRPr="00073188" w:rsidRDefault="00DA2C25" w:rsidP="00734FA0">
      <w:pPr>
        <w:jc w:val="both"/>
        <w:rPr>
          <w:lang w:val="id"/>
        </w:rPr>
      </w:pPr>
      <w:r w:rsidRPr="00073188">
        <w:rPr>
          <w:lang w:val="id"/>
        </w:rPr>
        <w:t xml:space="preserve">                      </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5"/>
        <w:gridCol w:w="4675"/>
      </w:tblGrid>
      <w:tr w:rsidR="002C45D2" w:rsidRPr="00073188" w14:paraId="5B0115C4" w14:textId="77777777" w:rsidTr="002C45D2">
        <w:tc>
          <w:tcPr>
            <w:tcW w:w="4675" w:type="dxa"/>
          </w:tcPr>
          <w:p w14:paraId="5657D9C7" w14:textId="12E90B76" w:rsidR="002C45D2" w:rsidRPr="00073188" w:rsidRDefault="002C45D2" w:rsidP="002C45D2">
            <w:pPr>
              <w:jc w:val="center"/>
              <w:rPr>
                <w:lang w:val="id"/>
              </w:rPr>
            </w:pPr>
            <w:r w:rsidRPr="00073188">
              <w:rPr>
                <w:noProof/>
              </w:rPr>
              <w:drawing>
                <wp:inline distT="0" distB="0" distL="0" distR="0" wp14:anchorId="11695C2D" wp14:editId="36022530">
                  <wp:extent cx="2286000" cy="2857431"/>
                  <wp:effectExtent l="0" t="0" r="0" b="635"/>
                  <wp:docPr id="1972451014"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2451014" name="Picture 1972451014"/>
                          <pic:cNvPicPr/>
                        </pic:nvPicPr>
                        <pic:blipFill>
                          <a:blip r:embed="rId22" cstate="print">
                            <a:extLst>
                              <a:ext uri="{28A0092B-C50C-407E-A947-70E740481C1C}">
                                <a14:useLocalDpi xmlns:a14="http://schemas.microsoft.com/office/drawing/2010/main" val="0"/>
                              </a:ext>
                            </a:extLst>
                          </a:blip>
                          <a:stretch>
                            <a:fillRect/>
                          </a:stretch>
                        </pic:blipFill>
                        <pic:spPr>
                          <a:xfrm>
                            <a:off x="0" y="0"/>
                            <a:ext cx="2286000" cy="2857431"/>
                          </a:xfrm>
                          <a:prstGeom prst="rect">
                            <a:avLst/>
                          </a:prstGeom>
                        </pic:spPr>
                      </pic:pic>
                    </a:graphicData>
                  </a:graphic>
                </wp:inline>
              </w:drawing>
            </w:r>
          </w:p>
        </w:tc>
        <w:tc>
          <w:tcPr>
            <w:tcW w:w="4675" w:type="dxa"/>
          </w:tcPr>
          <w:p w14:paraId="034A7898" w14:textId="7B65FB10" w:rsidR="002C45D2" w:rsidRPr="00073188" w:rsidRDefault="002C45D2" w:rsidP="002C45D2">
            <w:pPr>
              <w:jc w:val="center"/>
              <w:rPr>
                <w:lang w:val="id"/>
              </w:rPr>
            </w:pPr>
            <w:r w:rsidRPr="00073188">
              <w:rPr>
                <w:noProof/>
              </w:rPr>
              <w:drawing>
                <wp:inline distT="0" distB="0" distL="0" distR="0" wp14:anchorId="125D8728" wp14:editId="26D11740">
                  <wp:extent cx="2286000" cy="2857426"/>
                  <wp:effectExtent l="0" t="0" r="0" b="635"/>
                  <wp:docPr id="110988145"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988145" name="Picture 110988145"/>
                          <pic:cNvPicPr/>
                        </pic:nvPicPr>
                        <pic:blipFill>
                          <a:blip r:embed="rId23" cstate="print">
                            <a:extLst>
                              <a:ext uri="{28A0092B-C50C-407E-A947-70E740481C1C}">
                                <a14:useLocalDpi xmlns:a14="http://schemas.microsoft.com/office/drawing/2010/main" val="0"/>
                              </a:ext>
                            </a:extLst>
                          </a:blip>
                          <a:stretch>
                            <a:fillRect/>
                          </a:stretch>
                        </pic:blipFill>
                        <pic:spPr>
                          <a:xfrm>
                            <a:off x="0" y="0"/>
                            <a:ext cx="2286000" cy="2857426"/>
                          </a:xfrm>
                          <a:prstGeom prst="rect">
                            <a:avLst/>
                          </a:prstGeom>
                        </pic:spPr>
                      </pic:pic>
                    </a:graphicData>
                  </a:graphic>
                </wp:inline>
              </w:drawing>
            </w:r>
          </w:p>
        </w:tc>
      </w:tr>
      <w:tr w:rsidR="002C45D2" w:rsidRPr="00073188" w14:paraId="3F2EF9B0" w14:textId="77777777" w:rsidTr="002C45D2">
        <w:tc>
          <w:tcPr>
            <w:tcW w:w="4675" w:type="dxa"/>
          </w:tcPr>
          <w:p w14:paraId="53ACE309" w14:textId="4B1F22F3" w:rsidR="002C45D2" w:rsidRPr="00073188" w:rsidRDefault="002C45D2" w:rsidP="002C45D2">
            <w:pPr>
              <w:jc w:val="center"/>
              <w:rPr>
                <w:lang w:val="en-US"/>
              </w:rPr>
            </w:pPr>
            <w:r w:rsidRPr="00073188">
              <w:rPr>
                <w:lang w:val="en-US"/>
              </w:rPr>
              <w:t>a)</w:t>
            </w:r>
          </w:p>
        </w:tc>
        <w:tc>
          <w:tcPr>
            <w:tcW w:w="4675" w:type="dxa"/>
          </w:tcPr>
          <w:p w14:paraId="2A8EB127" w14:textId="1F812EC2" w:rsidR="002C45D2" w:rsidRPr="00073188" w:rsidRDefault="002C45D2" w:rsidP="002C45D2">
            <w:pPr>
              <w:jc w:val="center"/>
              <w:rPr>
                <w:lang w:val="en-US"/>
              </w:rPr>
            </w:pPr>
            <w:r w:rsidRPr="00073188">
              <w:rPr>
                <w:lang w:val="en-US"/>
              </w:rPr>
              <w:t>b)</w:t>
            </w:r>
          </w:p>
        </w:tc>
      </w:tr>
    </w:tbl>
    <w:p w14:paraId="20B3B753" w14:textId="00FBA150" w:rsidR="00F66BEA" w:rsidRPr="00073188" w:rsidRDefault="00F66BEA" w:rsidP="00F66BEA">
      <w:pPr>
        <w:pStyle w:val="FigureCaption"/>
        <w:rPr>
          <w:b/>
        </w:rPr>
      </w:pPr>
      <w:r w:rsidRPr="00073188">
        <w:rPr>
          <w:b/>
        </w:rPr>
        <w:t xml:space="preserve">FIGURE </w:t>
      </w:r>
      <w:r w:rsidRPr="00073188">
        <w:rPr>
          <w:b/>
        </w:rPr>
        <w:fldChar w:fldCharType="begin"/>
      </w:r>
      <w:r w:rsidRPr="00073188">
        <w:rPr>
          <w:b/>
        </w:rPr>
        <w:instrText xml:space="preserve"> SEQ Figure \* ARABIC </w:instrText>
      </w:r>
      <w:r w:rsidRPr="00073188">
        <w:rPr>
          <w:b/>
        </w:rPr>
        <w:fldChar w:fldCharType="separate"/>
      </w:r>
      <w:r w:rsidRPr="00073188">
        <w:rPr>
          <w:b/>
          <w:noProof/>
        </w:rPr>
        <w:t>5</w:t>
      </w:r>
      <w:r w:rsidRPr="00073188">
        <w:rPr>
          <w:b/>
        </w:rPr>
        <w:fldChar w:fldCharType="end"/>
      </w:r>
      <w:r w:rsidRPr="00073188">
        <w:rPr>
          <w:b/>
        </w:rPr>
        <w:t xml:space="preserve">. </w:t>
      </w:r>
      <w:r w:rsidRPr="00073188">
        <w:rPr>
          <w:bCs/>
        </w:rPr>
        <w:t xml:space="preserve">Q-T Diagram for </w:t>
      </w:r>
      <w:r w:rsidR="002C45D2" w:rsidRPr="00073188">
        <w:rPr>
          <w:bCs/>
        </w:rPr>
        <w:t xml:space="preserve">a) </w:t>
      </w:r>
      <w:r w:rsidRPr="00073188">
        <w:rPr>
          <w:bCs/>
        </w:rPr>
        <w:t>R134a refrigerant</w:t>
      </w:r>
      <w:r w:rsidR="002C45D2" w:rsidRPr="00073188">
        <w:rPr>
          <w:bCs/>
        </w:rPr>
        <w:t xml:space="preserve"> and b) R22 refrigerant</w:t>
      </w:r>
    </w:p>
    <w:p w14:paraId="6D8A5039" w14:textId="77777777" w:rsidR="00F74796" w:rsidRPr="00073188" w:rsidRDefault="00F74796" w:rsidP="00F74796">
      <w:pPr>
        <w:ind w:firstLine="284"/>
        <w:jc w:val="both"/>
        <w:rPr>
          <w:sz w:val="20"/>
          <w:lang w:val="id"/>
        </w:rPr>
      </w:pPr>
    </w:p>
    <w:p w14:paraId="123AFF95" w14:textId="49A22C4D" w:rsidR="00F74796" w:rsidRPr="00957D49" w:rsidRDefault="00F74796" w:rsidP="00F74796">
      <w:pPr>
        <w:ind w:firstLine="284"/>
        <w:jc w:val="both"/>
        <w:rPr>
          <w:rStyle w:val="Emphasis"/>
          <w:sz w:val="20"/>
        </w:rPr>
      </w:pPr>
      <w:r w:rsidRPr="00957D49">
        <w:rPr>
          <w:rStyle w:val="Emphasis"/>
          <w:sz w:val="20"/>
        </w:rPr>
        <w:t xml:space="preserve">Refrigerant R134a uses an operating pressure before entering the pump of 500 kPa and 1350 kPa after passing through the pump. While R22 uses an operating pressure of 700 kPa before entering the pump and 1400 kPa after leaving the pump. This is adjusted to the operating pressure that allows for the rankine cycle of each refrigerant. In addition, the operating temperature used at this pressure is set so that it is not higher than the heating fluid and not </w:t>
      </w:r>
      <w:r w:rsidRPr="00957D49">
        <w:rPr>
          <w:rStyle w:val="Emphasis"/>
          <w:sz w:val="20"/>
        </w:rPr>
        <w:lastRenderedPageBreak/>
        <w:t xml:space="preserve">lower than the cooling fluid. However, the range of </w:t>
      </w:r>
      <w:proofErr w:type="gramStart"/>
      <w:r w:rsidRPr="00957D49">
        <w:rPr>
          <w:rStyle w:val="Emphasis"/>
          <w:sz w:val="20"/>
        </w:rPr>
        <w:t>high and low pressure</w:t>
      </w:r>
      <w:proofErr w:type="gramEnd"/>
      <w:r w:rsidRPr="00957D49">
        <w:rPr>
          <w:rStyle w:val="Emphasis"/>
          <w:sz w:val="20"/>
        </w:rPr>
        <w:t xml:space="preserve"> differences between the two refrigerants is not much different, which is 850 kPa for R134a and 700 kPa for R22.</w:t>
      </w:r>
    </w:p>
    <w:p w14:paraId="7C6BAB93" w14:textId="1885CC55" w:rsidR="00F74796" w:rsidRPr="00957D49" w:rsidRDefault="00F74796" w:rsidP="00F74796">
      <w:pPr>
        <w:ind w:firstLine="284"/>
        <w:jc w:val="both"/>
        <w:rPr>
          <w:rStyle w:val="Emphasis"/>
          <w:sz w:val="20"/>
        </w:rPr>
      </w:pPr>
      <w:r w:rsidRPr="00957D49">
        <w:rPr>
          <w:rStyle w:val="Emphasis"/>
          <w:sz w:val="20"/>
        </w:rPr>
        <w:t xml:space="preserve">At this low pressure, the temperature of R134a before entering the heat exchanger is 16.08 degrees Celsius and has an output temperature of 55 degrees Celsius. This value is the same as the output temperature for refrigerant R22, although it has a different input temperature for R22, which is 11.32 degrees Celsius. The mass flow rate of the refrigerant in both ORC systems is made the same, which is 1 kg/s. The mass flow rate for the heating fluid is also almost the same, which is 2.1 kg/s for R134a and 2.2 kg/s for R22. In general, the heat transfer process involving both ORC systems in the heat exchanger </w:t>
      </w:r>
      <w:r w:rsidR="00957D49" w:rsidRPr="00957D49">
        <w:rPr>
          <w:rStyle w:val="Emphasis"/>
          <w:sz w:val="20"/>
        </w:rPr>
        <w:t>have</w:t>
      </w:r>
      <w:r w:rsidRPr="00957D49">
        <w:rPr>
          <w:rStyle w:val="Emphasis"/>
          <w:sz w:val="20"/>
        </w:rPr>
        <w:t xml:space="preserve"> almost the same value, which is 208 kW and 220 kW. This value is Qin, which is the input enthalpy for the ORC system. </w:t>
      </w:r>
      <w:r w:rsidRPr="00957D49">
        <w:rPr>
          <w:rStyle w:val="Emphasis"/>
          <w:b/>
          <w:bCs/>
          <w:sz w:val="20"/>
        </w:rPr>
        <w:t xml:space="preserve">FIGURE </w:t>
      </w:r>
      <w:r w:rsidR="002F16B9" w:rsidRPr="00957D49">
        <w:rPr>
          <w:rStyle w:val="Emphasis"/>
          <w:b/>
          <w:bCs/>
          <w:sz w:val="20"/>
        </w:rPr>
        <w:t>5</w:t>
      </w:r>
      <w:r w:rsidRPr="00957D49">
        <w:rPr>
          <w:rStyle w:val="Emphasis"/>
          <w:sz w:val="20"/>
        </w:rPr>
        <w:t xml:space="preserve"> shows the Q-T diagram for refrigerant R134a (a) and R22 (b). The diagram shows the heat transfer process in a heat exchanger with a hot water reservoir.</w:t>
      </w:r>
    </w:p>
    <w:p w14:paraId="187F511C" w14:textId="77777777" w:rsidR="00F66BEA" w:rsidRPr="00073188" w:rsidRDefault="00F66BEA" w:rsidP="00734FA0">
      <w:pPr>
        <w:jc w:val="both"/>
        <w:rPr>
          <w:lang w:val="id"/>
        </w:rPr>
      </w:pPr>
    </w:p>
    <w:p w14:paraId="7BA93923" w14:textId="07385E1E" w:rsidR="00175D28" w:rsidRPr="00073188" w:rsidRDefault="00175D28" w:rsidP="00734FA0">
      <w:pPr>
        <w:jc w:val="both"/>
        <w:rPr>
          <w:lang w:val="id"/>
        </w:rPr>
      </w:pPr>
      <w:r w:rsidRPr="00073188">
        <w:rPr>
          <w:noProof/>
        </w:rPr>
        <w:drawing>
          <wp:inline distT="0" distB="0" distL="0" distR="0" wp14:anchorId="0CF96E24" wp14:editId="76CA1CF3">
            <wp:extent cx="6193210" cy="2868461"/>
            <wp:effectExtent l="0" t="0" r="0" b="8255"/>
            <wp:docPr id="1638622545"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8605970" name="Picture 1638605970"/>
                    <pic:cNvPicPr/>
                  </pic:nvPicPr>
                  <pic:blipFill rotWithShape="1">
                    <a:blip r:embed="rId24" cstate="print">
                      <a:extLst>
                        <a:ext uri="{BEBA8EAE-BF5A-486C-A8C5-ECC9F3942E4B}">
                          <a14:imgProps xmlns:a14="http://schemas.microsoft.com/office/drawing/2010/main">
                            <a14:imgLayer r:embed="rId25">
                              <a14:imgEffect>
                                <a14:sharpenSoften amount="25000"/>
                              </a14:imgEffect>
                            </a14:imgLayer>
                          </a14:imgProps>
                        </a:ext>
                        <a:ext uri="{28A0092B-C50C-407E-A947-70E740481C1C}">
                          <a14:useLocalDpi xmlns:a14="http://schemas.microsoft.com/office/drawing/2010/main" val="0"/>
                        </a:ext>
                      </a:extLst>
                    </a:blip>
                    <a:srcRect t="10152" b="19950"/>
                    <a:stretch/>
                  </pic:blipFill>
                  <pic:spPr bwMode="auto">
                    <a:xfrm>
                      <a:off x="0" y="0"/>
                      <a:ext cx="6195060" cy="2869318"/>
                    </a:xfrm>
                    <a:prstGeom prst="rect">
                      <a:avLst/>
                    </a:prstGeom>
                    <a:ln>
                      <a:noFill/>
                    </a:ln>
                    <a:extLst>
                      <a:ext uri="{53640926-AAD7-44D8-BBD7-CCE9431645EC}">
                        <a14:shadowObscured xmlns:a14="http://schemas.microsoft.com/office/drawing/2010/main"/>
                      </a:ext>
                    </a:extLst>
                  </pic:spPr>
                </pic:pic>
              </a:graphicData>
            </a:graphic>
          </wp:inline>
        </w:drawing>
      </w:r>
    </w:p>
    <w:p w14:paraId="6EF4E4B4" w14:textId="2E12DA5A" w:rsidR="00F66BEA" w:rsidRPr="00073188" w:rsidRDefault="00F66BEA" w:rsidP="00F66BEA">
      <w:pPr>
        <w:pStyle w:val="FigureCaption"/>
        <w:rPr>
          <w:b/>
        </w:rPr>
      </w:pPr>
      <w:r w:rsidRPr="00073188">
        <w:rPr>
          <w:b/>
        </w:rPr>
        <w:t xml:space="preserve">FIGURE </w:t>
      </w:r>
      <w:r w:rsidRPr="00073188">
        <w:rPr>
          <w:b/>
        </w:rPr>
        <w:fldChar w:fldCharType="begin"/>
      </w:r>
      <w:r w:rsidRPr="00073188">
        <w:rPr>
          <w:b/>
        </w:rPr>
        <w:instrText xml:space="preserve"> SEQ Figure \* ARABIC </w:instrText>
      </w:r>
      <w:r w:rsidRPr="00073188">
        <w:rPr>
          <w:b/>
        </w:rPr>
        <w:fldChar w:fldCharType="separate"/>
      </w:r>
      <w:r w:rsidRPr="00073188">
        <w:rPr>
          <w:b/>
          <w:noProof/>
        </w:rPr>
        <w:t>6</w:t>
      </w:r>
      <w:r w:rsidRPr="00073188">
        <w:rPr>
          <w:b/>
        </w:rPr>
        <w:fldChar w:fldCharType="end"/>
      </w:r>
      <w:r w:rsidRPr="00073188">
        <w:rPr>
          <w:b/>
        </w:rPr>
        <w:t xml:space="preserve">. </w:t>
      </w:r>
      <w:r w:rsidRPr="00073188">
        <w:rPr>
          <w:bCs/>
        </w:rPr>
        <w:t>T-S Diagram for R134a refrigerant</w:t>
      </w:r>
    </w:p>
    <w:p w14:paraId="1F7C8DEA" w14:textId="77777777" w:rsidR="00175D28" w:rsidRPr="00073188" w:rsidRDefault="00175D28" w:rsidP="00175D28"/>
    <w:p w14:paraId="3668E58A" w14:textId="0FDD7E64" w:rsidR="00F66BEA" w:rsidRPr="00073188" w:rsidRDefault="00175D28" w:rsidP="00F66BEA">
      <w:pPr>
        <w:pStyle w:val="FigureCaption"/>
        <w:rPr>
          <w:b/>
        </w:rPr>
      </w:pPr>
      <w:r w:rsidRPr="00073188">
        <w:rPr>
          <w:noProof/>
        </w:rPr>
        <w:drawing>
          <wp:inline distT="0" distB="0" distL="0" distR="0" wp14:anchorId="58A460AB" wp14:editId="48120802">
            <wp:extent cx="6138082" cy="2718148"/>
            <wp:effectExtent l="0" t="0" r="0" b="6350"/>
            <wp:docPr id="1449139895"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1867985" name="Picture 781867985"/>
                    <pic:cNvPicPr/>
                  </pic:nvPicPr>
                  <pic:blipFill rotWithShape="1">
                    <a:blip r:embed="rId26" cstate="print">
                      <a:extLst>
                        <a:ext uri="{BEBA8EAE-BF5A-486C-A8C5-ECC9F3942E4B}">
                          <a14:imgProps xmlns:a14="http://schemas.microsoft.com/office/drawing/2010/main">
                            <a14:imgLayer r:embed="rId27">
                              <a14:imgEffect>
                                <a14:sharpenSoften amount="25000"/>
                              </a14:imgEffect>
                            </a14:imgLayer>
                          </a14:imgProps>
                        </a:ext>
                        <a:ext uri="{28A0092B-C50C-407E-A947-70E740481C1C}">
                          <a14:useLocalDpi xmlns:a14="http://schemas.microsoft.com/office/drawing/2010/main" val="0"/>
                        </a:ext>
                      </a:extLst>
                    </a:blip>
                    <a:srcRect t="10282" b="20620"/>
                    <a:stretch/>
                  </pic:blipFill>
                  <pic:spPr bwMode="auto">
                    <a:xfrm>
                      <a:off x="0" y="0"/>
                      <a:ext cx="6160548" cy="2728097"/>
                    </a:xfrm>
                    <a:prstGeom prst="rect">
                      <a:avLst/>
                    </a:prstGeom>
                    <a:ln>
                      <a:noFill/>
                    </a:ln>
                    <a:extLst>
                      <a:ext uri="{53640926-AAD7-44D8-BBD7-CCE9431645EC}">
                        <a14:shadowObscured xmlns:a14="http://schemas.microsoft.com/office/drawing/2010/main"/>
                      </a:ext>
                    </a:extLst>
                  </pic:spPr>
                </pic:pic>
              </a:graphicData>
            </a:graphic>
          </wp:inline>
        </w:drawing>
      </w:r>
      <w:r w:rsidR="00F66BEA" w:rsidRPr="00073188">
        <w:rPr>
          <w:b/>
        </w:rPr>
        <w:t xml:space="preserve"> FIGURE </w:t>
      </w:r>
      <w:r w:rsidR="00F66BEA" w:rsidRPr="00073188">
        <w:rPr>
          <w:b/>
        </w:rPr>
        <w:fldChar w:fldCharType="begin"/>
      </w:r>
      <w:r w:rsidR="00F66BEA" w:rsidRPr="00073188">
        <w:rPr>
          <w:b/>
        </w:rPr>
        <w:instrText xml:space="preserve"> SEQ Figure \* ARABIC </w:instrText>
      </w:r>
      <w:r w:rsidR="00F66BEA" w:rsidRPr="00073188">
        <w:rPr>
          <w:b/>
        </w:rPr>
        <w:fldChar w:fldCharType="separate"/>
      </w:r>
      <w:r w:rsidR="00F66BEA" w:rsidRPr="00073188">
        <w:rPr>
          <w:b/>
          <w:noProof/>
        </w:rPr>
        <w:t>7</w:t>
      </w:r>
      <w:r w:rsidR="00F66BEA" w:rsidRPr="00073188">
        <w:rPr>
          <w:b/>
        </w:rPr>
        <w:fldChar w:fldCharType="end"/>
      </w:r>
      <w:r w:rsidR="00F66BEA" w:rsidRPr="00073188">
        <w:rPr>
          <w:b/>
        </w:rPr>
        <w:t xml:space="preserve">. </w:t>
      </w:r>
      <w:r w:rsidR="00F66BEA" w:rsidRPr="00073188">
        <w:rPr>
          <w:bCs/>
        </w:rPr>
        <w:t>T-S Diagram for R22 refrigerant</w:t>
      </w:r>
    </w:p>
    <w:p w14:paraId="032C60D8" w14:textId="77777777" w:rsidR="00F80086" w:rsidRPr="00073188" w:rsidRDefault="00F80086" w:rsidP="00F66BEA">
      <w:pPr>
        <w:jc w:val="both"/>
      </w:pPr>
    </w:p>
    <w:p w14:paraId="63A1B2FA" w14:textId="0BD36255" w:rsidR="00577819" w:rsidRPr="00957D49" w:rsidRDefault="00F80086" w:rsidP="00F80086">
      <w:pPr>
        <w:ind w:firstLine="284"/>
        <w:jc w:val="both"/>
        <w:rPr>
          <w:rStyle w:val="Emphasis"/>
          <w:sz w:val="20"/>
        </w:rPr>
      </w:pPr>
      <w:r w:rsidRPr="00957D49">
        <w:rPr>
          <w:rStyle w:val="Emphasis"/>
          <w:b/>
          <w:bCs/>
          <w:sz w:val="20"/>
        </w:rPr>
        <w:lastRenderedPageBreak/>
        <w:t>FIGURE 6</w:t>
      </w:r>
      <w:r w:rsidRPr="00957D49">
        <w:rPr>
          <w:rStyle w:val="Emphasis"/>
          <w:sz w:val="20"/>
        </w:rPr>
        <w:t xml:space="preserve"> and </w:t>
      </w:r>
      <w:r w:rsidRPr="00957D49">
        <w:rPr>
          <w:rStyle w:val="Emphasis"/>
          <w:b/>
          <w:bCs/>
          <w:sz w:val="20"/>
        </w:rPr>
        <w:t>FIGURE 7</w:t>
      </w:r>
      <w:r w:rsidRPr="00957D49">
        <w:rPr>
          <w:rStyle w:val="Emphasis"/>
          <w:sz w:val="20"/>
        </w:rPr>
        <w:t xml:space="preserve"> represent the T-s diagram for the ORC system using R134a and R22 refrigerants respectively. In the diagram, the difference in refrigerant temperature in the evaporator and condenser is visible. The temperature value is set so that the refrigerant is truly in the subcooled phase when entering the pump. This is intended to prevent cavitation in the pump. The cavitation effect allows the pump not to work optimally because there are 2 phases of working fluid being pumped. As a result, the pump component work is not continuous. In addition, the turbine outlet temperature value must also be ensured to be in the superheated phase. The loss that occurs if the fluid passes the saturated line is the appearance of water droplets that will damage the turbine in the long term. This is due to the corrosion effect caused by the turbine components. This can be anticipated in R134a and R22, because both are dry fluids and isentropic fluids. Moreover, FIGURE 7 shows the fluid line through the turbine far from the steam saturation line, thus minimizing the corrosion effects that occur.</w:t>
      </w:r>
      <w:r w:rsidR="00577819" w:rsidRPr="00957D49">
        <w:rPr>
          <w:rStyle w:val="Emphasis"/>
          <w:sz w:val="20"/>
        </w:rPr>
        <w:t xml:space="preserve">                 </w:t>
      </w:r>
    </w:p>
    <w:p w14:paraId="1834B28F" w14:textId="77777777" w:rsidR="00577819" w:rsidRPr="00073188" w:rsidRDefault="00577819" w:rsidP="00577819">
      <w:pPr>
        <w:pStyle w:val="Caption"/>
        <w:keepNext/>
        <w:ind w:firstLine="1134"/>
        <w:rPr>
          <w:i w:val="0"/>
        </w:rPr>
      </w:pPr>
      <w:r w:rsidRPr="00073188">
        <w:rPr>
          <w:i w:val="0"/>
          <w:noProof/>
        </w:rPr>
        <w:drawing>
          <wp:inline distT="0" distB="0" distL="0" distR="0" wp14:anchorId="60D96E16" wp14:editId="326F1E08">
            <wp:extent cx="4358640" cy="2496820"/>
            <wp:effectExtent l="0" t="0" r="3810" b="0"/>
            <wp:docPr id="700567724" name="Chart 1">
              <a:extLst xmlns:a="http://schemas.openxmlformats.org/drawingml/2006/main">
                <a:ext uri="{FF2B5EF4-FFF2-40B4-BE49-F238E27FC236}">
                  <a16:creationId xmlns:a16="http://schemas.microsoft.com/office/drawing/2014/main" id="{5364EA54-DBFB-29C5-B29E-C01F401F7982}"/>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r w:rsidRPr="00073188">
        <w:rPr>
          <w:i w:val="0"/>
        </w:rPr>
        <w:t xml:space="preserve"> </w:t>
      </w:r>
    </w:p>
    <w:p w14:paraId="5636C2AC" w14:textId="721A148F" w:rsidR="00F80086" w:rsidRPr="00073188" w:rsidRDefault="00F80086" w:rsidP="00F80086">
      <w:pPr>
        <w:pStyle w:val="FigureCaption"/>
        <w:rPr>
          <w:b/>
        </w:rPr>
      </w:pPr>
      <w:r w:rsidRPr="00073188">
        <w:rPr>
          <w:b/>
        </w:rPr>
        <w:t xml:space="preserve">FIGURE </w:t>
      </w:r>
      <w:r w:rsidRPr="00073188">
        <w:rPr>
          <w:b/>
        </w:rPr>
        <w:fldChar w:fldCharType="begin"/>
      </w:r>
      <w:r w:rsidRPr="00073188">
        <w:rPr>
          <w:b/>
        </w:rPr>
        <w:instrText xml:space="preserve"> SEQ Figure \* ARABIC </w:instrText>
      </w:r>
      <w:r w:rsidRPr="00073188">
        <w:rPr>
          <w:b/>
        </w:rPr>
        <w:fldChar w:fldCharType="separate"/>
      </w:r>
      <w:r w:rsidRPr="00073188">
        <w:rPr>
          <w:b/>
          <w:noProof/>
        </w:rPr>
        <w:t>8</w:t>
      </w:r>
      <w:r w:rsidRPr="00073188">
        <w:rPr>
          <w:b/>
        </w:rPr>
        <w:fldChar w:fldCharType="end"/>
      </w:r>
      <w:r w:rsidRPr="00073188">
        <w:rPr>
          <w:b/>
        </w:rPr>
        <w:t xml:space="preserve">. </w:t>
      </w:r>
      <w:r w:rsidRPr="00073188">
        <w:rPr>
          <w:bCs/>
        </w:rPr>
        <w:t xml:space="preserve">Comparison of shaft power turbines for R134a and R22 refrigerants </w:t>
      </w:r>
    </w:p>
    <w:p w14:paraId="1CACAADF" w14:textId="77777777" w:rsidR="0086422A" w:rsidRPr="00073188" w:rsidRDefault="0086422A" w:rsidP="00DA2C25">
      <w:pPr>
        <w:ind w:left="567"/>
        <w:rPr>
          <w:lang w:val="id"/>
        </w:rPr>
      </w:pPr>
    </w:p>
    <w:p w14:paraId="318F5619" w14:textId="0D90EEFF" w:rsidR="00EA50A7" w:rsidRPr="00957D49" w:rsidRDefault="00715E95" w:rsidP="004E7A0A">
      <w:pPr>
        <w:ind w:firstLine="284"/>
        <w:jc w:val="both"/>
        <w:rPr>
          <w:rStyle w:val="Emphasis"/>
          <w:sz w:val="20"/>
        </w:rPr>
      </w:pPr>
      <w:r w:rsidRPr="00957D49">
        <w:rPr>
          <w:rStyle w:val="Emphasis"/>
          <w:sz w:val="20"/>
        </w:rPr>
        <w:t xml:space="preserve">Based on </w:t>
      </w:r>
      <w:r w:rsidR="004E7A0A" w:rsidRPr="00957D49">
        <w:rPr>
          <w:rStyle w:val="Emphasis"/>
          <w:b/>
          <w:bCs/>
          <w:sz w:val="20"/>
        </w:rPr>
        <w:t>FIGURE</w:t>
      </w:r>
      <w:r w:rsidRPr="00957D49">
        <w:rPr>
          <w:rStyle w:val="Emphasis"/>
          <w:b/>
          <w:bCs/>
          <w:sz w:val="20"/>
        </w:rPr>
        <w:t xml:space="preserve"> 8</w:t>
      </w:r>
      <w:r w:rsidRPr="00957D49">
        <w:rPr>
          <w:rStyle w:val="Emphasis"/>
          <w:sz w:val="20"/>
        </w:rPr>
        <w:t xml:space="preserve">, refrigerant R134a and R22 produce different turbine power. With the same pressure and temperature as R22, R134a is able to produce turbine power of 20.69 kW. While R22 produces 17.68 kW of power. This is because the temperature and pressure of the turbine output on R22 are still high, namely 18.3 degrees Celsius and 700 kPa. However, further adjustments so that the temperature and pressure values ​​are similar to R134a cannot be done. The limitation lies in R22 which does not allow it to operate at lower temperatures at reduced pressure. Thus, the use of R134a is more effective because the boiling point range is more suitable for the required operating temperature. This is inseparable from the operating temperature of the available hot and cold reservoirs. </w:t>
      </w:r>
    </w:p>
    <w:p w14:paraId="488462FA" w14:textId="0E1A7B8B" w:rsidR="00EA50A7" w:rsidRPr="00073188" w:rsidRDefault="00EA50A7" w:rsidP="009A7BC2">
      <w:pPr>
        <w:pStyle w:val="Heading1"/>
        <w:rPr>
          <w:color w:val="FF0000"/>
          <w:sz w:val="20"/>
        </w:rPr>
      </w:pPr>
      <w:r w:rsidRPr="00073188">
        <w:t>CONCLUSIONS</w:t>
      </w:r>
    </w:p>
    <w:p w14:paraId="54E809FD" w14:textId="0C2D668F" w:rsidR="00211E60" w:rsidRPr="00957D49" w:rsidRDefault="00BE225C" w:rsidP="004E7A0A">
      <w:pPr>
        <w:ind w:firstLine="284"/>
        <w:jc w:val="both"/>
        <w:rPr>
          <w:rStyle w:val="Emphasis"/>
          <w:sz w:val="20"/>
        </w:rPr>
      </w:pPr>
      <w:r w:rsidRPr="00957D49">
        <w:rPr>
          <w:rStyle w:val="Emphasis"/>
          <w:sz w:val="20"/>
        </w:rPr>
        <w:t>Based on the results and discussion, each refrigerant has different specifications from each other, so it has many operating range limitations. One of the parameters that need to be considered for the Organic Rankine Cycle is the suitability of the pressure and boiling point of the refrigerant to the cycle feed temperature. R134a has operating conditions that are more likely to obtain higher turbine power than R22 at the input parameter of hot water temperature (60 degrees Celsius). R134a has a turbine output power of 20.69 kW. This value is 3 kW greater than R22, which is 17.68 kW.</w:t>
      </w:r>
    </w:p>
    <w:p w14:paraId="29F71B7A" w14:textId="68095033" w:rsidR="00EA50A7" w:rsidRPr="00073188" w:rsidRDefault="00EA50A7" w:rsidP="009A7BC2">
      <w:pPr>
        <w:pStyle w:val="Heading1"/>
      </w:pPr>
      <w:r w:rsidRPr="00073188">
        <w:t>References</w:t>
      </w:r>
    </w:p>
    <w:p w14:paraId="59A6B5E1" w14:textId="77777777" w:rsidR="00073188" w:rsidRPr="00496376" w:rsidRDefault="00C60735" w:rsidP="00F350A6">
      <w:pPr>
        <w:pStyle w:val="Reference"/>
        <w:numPr>
          <w:ilvl w:val="0"/>
          <w:numId w:val="9"/>
        </w:numPr>
        <w:ind w:left="714" w:hanging="357"/>
        <w:rPr>
          <w:rFonts w:eastAsia="Calibri"/>
        </w:rPr>
      </w:pPr>
      <w:r w:rsidRPr="00496376">
        <w:rPr>
          <w:rFonts w:eastAsia="Calibri"/>
        </w:rPr>
        <w:fldChar w:fldCharType="begin" w:fldLock="1"/>
      </w:r>
      <w:r w:rsidRPr="00496376">
        <w:rPr>
          <w:rFonts w:eastAsia="Calibri"/>
        </w:rPr>
        <w:instrText xml:space="preserve">ADDIN Mendeley Bibliography CSL_BIBLIOGRAPHY </w:instrText>
      </w:r>
      <w:r w:rsidRPr="00496376">
        <w:rPr>
          <w:rFonts w:eastAsia="Calibri"/>
        </w:rPr>
        <w:fldChar w:fldCharType="separate"/>
      </w:r>
      <w:r w:rsidR="00734FA0" w:rsidRPr="00496376">
        <w:rPr>
          <w:rFonts w:eastAsia="Calibri"/>
        </w:rPr>
        <w:t>M. Mosbahi, A. Ayadi, Y. Chouaibi, Z. Driss, and T. Tucciarelli, “Performance improvement of a novel combined water turbine,” Energy Convers. Manag., vol. 205, no. January, p. 112473, 2020, doi: 10.1016/j.enconman.2020.112473.</w:t>
      </w:r>
    </w:p>
    <w:p w14:paraId="744A4E3C" w14:textId="77777777" w:rsidR="00073188" w:rsidRPr="00496376" w:rsidRDefault="00734FA0" w:rsidP="00F350A6">
      <w:pPr>
        <w:pStyle w:val="Reference"/>
        <w:numPr>
          <w:ilvl w:val="0"/>
          <w:numId w:val="9"/>
        </w:numPr>
        <w:ind w:left="714" w:hanging="357"/>
        <w:rPr>
          <w:rFonts w:eastAsia="Calibri"/>
        </w:rPr>
      </w:pPr>
      <w:r w:rsidRPr="00496376">
        <w:rPr>
          <w:rFonts w:eastAsia="Calibri"/>
        </w:rPr>
        <w:t>S. Hoseinzadeh and P. S. Heyns, “Thermo-structural fatigue and lifetime analysis of a heat exchanger as a feedwater heater in power plant,” Eng. Fail. Anal., vol. 113, no. February, p. 104548, 2020, doi: 10.1016/j.engfailanal.2020.104548.</w:t>
      </w:r>
    </w:p>
    <w:p w14:paraId="24055935" w14:textId="77777777" w:rsidR="00073188" w:rsidRPr="00496376" w:rsidRDefault="00734FA0" w:rsidP="00F350A6">
      <w:pPr>
        <w:pStyle w:val="Reference"/>
        <w:numPr>
          <w:ilvl w:val="0"/>
          <w:numId w:val="9"/>
        </w:numPr>
        <w:ind w:left="714" w:hanging="357"/>
        <w:rPr>
          <w:rFonts w:eastAsia="Calibri"/>
        </w:rPr>
      </w:pPr>
      <w:r w:rsidRPr="00496376">
        <w:rPr>
          <w:rFonts w:eastAsia="Calibri"/>
        </w:rPr>
        <w:lastRenderedPageBreak/>
        <w:t>Y. Wang et al., “Proposal and comprehensive thermodynamic performance analysis of a new geothermal combined cooling, heating and power system,” Cogent Eng., vol. 9, no. 1, 2022, doi: 10.1080/23311916.2022.2075131.</w:t>
      </w:r>
    </w:p>
    <w:p w14:paraId="07FB4280" w14:textId="77777777" w:rsidR="00073188" w:rsidRPr="00496376" w:rsidRDefault="00734FA0" w:rsidP="00F350A6">
      <w:pPr>
        <w:pStyle w:val="Reference"/>
        <w:numPr>
          <w:ilvl w:val="0"/>
          <w:numId w:val="9"/>
        </w:numPr>
        <w:ind w:left="714" w:hanging="357"/>
        <w:rPr>
          <w:rFonts w:eastAsia="Calibri"/>
        </w:rPr>
      </w:pPr>
      <w:r w:rsidRPr="00496376">
        <w:rPr>
          <w:rFonts w:eastAsia="Calibri"/>
        </w:rPr>
        <w:t>C. Ballzus, H. Frimannson, G. I. Gunnarsson, and I. Hrolfsson, “The Geothermal Power Plant AT Nesjavellir, Iceland.”</w:t>
      </w:r>
    </w:p>
    <w:p w14:paraId="61C69D3D" w14:textId="77777777" w:rsidR="00073188" w:rsidRPr="00496376" w:rsidRDefault="00734FA0" w:rsidP="00F350A6">
      <w:pPr>
        <w:pStyle w:val="Reference"/>
        <w:numPr>
          <w:ilvl w:val="0"/>
          <w:numId w:val="9"/>
        </w:numPr>
        <w:ind w:left="714" w:hanging="357"/>
        <w:rPr>
          <w:rFonts w:eastAsia="Calibri"/>
        </w:rPr>
      </w:pPr>
      <w:r w:rsidRPr="00496376">
        <w:rPr>
          <w:rFonts w:eastAsia="Calibri"/>
        </w:rPr>
        <w:t>G. Feng, X. Wang, M. Wang, and Y. Kang, “Experimental investigation of thermal cycling effect on fracture characteristics of granite in a geothermal-energy reservoir,” Eng. Fract. Mech., vol. 235, p. 107180, 2020, doi: 10.1016/j.engfracmech.2020.107180.</w:t>
      </w:r>
    </w:p>
    <w:p w14:paraId="1EB3BF09" w14:textId="77777777" w:rsidR="00073188" w:rsidRPr="00496376" w:rsidRDefault="00734FA0" w:rsidP="00F350A6">
      <w:pPr>
        <w:pStyle w:val="Reference"/>
        <w:numPr>
          <w:ilvl w:val="0"/>
          <w:numId w:val="9"/>
        </w:numPr>
        <w:ind w:left="714" w:hanging="357"/>
        <w:rPr>
          <w:rFonts w:eastAsia="Calibri"/>
        </w:rPr>
      </w:pPr>
      <w:r w:rsidRPr="00496376">
        <w:rPr>
          <w:rFonts w:eastAsia="Calibri"/>
        </w:rPr>
        <w:t>L. Lipan and S. Dimitriu, “Possibilities To Use The Energy Of Geothermal Water In A Centralized Heating System,” U.P.B. Sci. Bull., Ser. C, vol. 82, p. 2020.</w:t>
      </w:r>
    </w:p>
    <w:p w14:paraId="536F93AD" w14:textId="77777777" w:rsidR="00073188" w:rsidRPr="00496376" w:rsidRDefault="00734FA0" w:rsidP="00F350A6">
      <w:pPr>
        <w:pStyle w:val="Reference"/>
        <w:numPr>
          <w:ilvl w:val="0"/>
          <w:numId w:val="9"/>
        </w:numPr>
        <w:ind w:left="714" w:hanging="357"/>
        <w:rPr>
          <w:rFonts w:eastAsia="Calibri"/>
        </w:rPr>
      </w:pPr>
      <w:r w:rsidRPr="00496376">
        <w:rPr>
          <w:rFonts w:eastAsia="Calibri"/>
        </w:rPr>
        <w:t>C. I. Igwe, “Geothermal Energy: A Review.” [Online]. Available: www.ijert.org</w:t>
      </w:r>
    </w:p>
    <w:p w14:paraId="71F51519" w14:textId="77777777" w:rsidR="00073188" w:rsidRPr="00496376" w:rsidRDefault="00734FA0" w:rsidP="00F350A6">
      <w:pPr>
        <w:pStyle w:val="Reference"/>
        <w:numPr>
          <w:ilvl w:val="0"/>
          <w:numId w:val="9"/>
        </w:numPr>
        <w:ind w:left="714" w:hanging="357"/>
        <w:rPr>
          <w:rFonts w:eastAsia="Calibri"/>
        </w:rPr>
      </w:pPr>
      <w:r w:rsidRPr="00496376">
        <w:rPr>
          <w:rFonts w:eastAsia="Calibri"/>
        </w:rPr>
        <w:t>J. C. Jiménez-García, A. Ruiz, A. Pacheco-Reyes, and W. Rivera, “A Comprehensive Review of Organic Rankine Cycles,” Processes, vol. 11, no. 7, 2023, doi: 10.3390/pr11071982.</w:t>
      </w:r>
    </w:p>
    <w:p w14:paraId="44CF7037" w14:textId="77777777" w:rsidR="00073188" w:rsidRPr="00496376" w:rsidRDefault="00734FA0" w:rsidP="00F350A6">
      <w:pPr>
        <w:pStyle w:val="Reference"/>
        <w:numPr>
          <w:ilvl w:val="0"/>
          <w:numId w:val="9"/>
        </w:numPr>
        <w:ind w:left="714" w:hanging="357"/>
        <w:rPr>
          <w:rFonts w:eastAsia="Calibri"/>
        </w:rPr>
      </w:pPr>
      <w:r w:rsidRPr="00496376">
        <w:rPr>
          <w:rFonts w:eastAsia="Calibri"/>
        </w:rPr>
        <w:t>S. Rane, L. He, Z. Yu, and G. Yu, “Design and Analysis of Two-Phase Geothermal Energy Turbine in Project Combi-Gen.”</w:t>
      </w:r>
    </w:p>
    <w:p w14:paraId="15FDA7C9" w14:textId="77777777" w:rsidR="00073188" w:rsidRPr="00496376" w:rsidRDefault="00734FA0" w:rsidP="00F350A6">
      <w:pPr>
        <w:pStyle w:val="Reference"/>
        <w:numPr>
          <w:ilvl w:val="0"/>
          <w:numId w:val="9"/>
        </w:numPr>
        <w:ind w:left="714" w:hanging="357"/>
        <w:rPr>
          <w:rFonts w:eastAsia="Calibri"/>
        </w:rPr>
      </w:pPr>
      <w:r w:rsidRPr="00496376">
        <w:rPr>
          <w:rFonts w:eastAsia="Calibri"/>
        </w:rPr>
        <w:t>B. Xu et al., “A review of dynamic models and stability analysis for a hydro-turbine governing system,” Renew. Sustain. Energy Rev., vol. 144, no. April 2020, 2021, doi: 10.1016/j.rser.2021.110880.</w:t>
      </w:r>
    </w:p>
    <w:p w14:paraId="56986476" w14:textId="77777777" w:rsidR="00073188" w:rsidRPr="00496376" w:rsidRDefault="00734FA0" w:rsidP="00F350A6">
      <w:pPr>
        <w:pStyle w:val="Reference"/>
        <w:numPr>
          <w:ilvl w:val="0"/>
          <w:numId w:val="9"/>
        </w:numPr>
        <w:ind w:left="714" w:hanging="357"/>
        <w:rPr>
          <w:rFonts w:eastAsia="Calibri"/>
        </w:rPr>
      </w:pPr>
      <w:r w:rsidRPr="00496376">
        <w:rPr>
          <w:rFonts w:eastAsia="Calibri"/>
        </w:rPr>
        <w:t>S. O. Oyedepo et al., “Thermodynamics analysis and performance optimization of a reheat – Regenerative steam turbine power plant with feed water heaters,” Fuel, vol. 280, Nov. 2020, doi: 10.1016/j.fuel.2020.118577.</w:t>
      </w:r>
    </w:p>
    <w:p w14:paraId="25860C40" w14:textId="77777777" w:rsidR="00073188" w:rsidRPr="00496376" w:rsidRDefault="00734FA0" w:rsidP="00F350A6">
      <w:pPr>
        <w:pStyle w:val="Reference"/>
        <w:numPr>
          <w:ilvl w:val="0"/>
          <w:numId w:val="9"/>
        </w:numPr>
        <w:ind w:left="714" w:hanging="357"/>
        <w:rPr>
          <w:rFonts w:eastAsia="Calibri"/>
        </w:rPr>
      </w:pPr>
      <w:r w:rsidRPr="00496376">
        <w:rPr>
          <w:rFonts w:eastAsia="Calibri"/>
        </w:rPr>
        <w:t>S. Wang et al., “Performance analysis on parallel condensing air-source heat pump water heater system,” Energy Reports, vol. 8, pp. 398–414, Jul. 2022, doi: 10.1016/j.egyr.2022.01.212.</w:t>
      </w:r>
    </w:p>
    <w:p w14:paraId="2A110E1F" w14:textId="77777777" w:rsidR="00073188" w:rsidRPr="00496376" w:rsidRDefault="00734FA0" w:rsidP="00F350A6">
      <w:pPr>
        <w:pStyle w:val="Reference"/>
        <w:numPr>
          <w:ilvl w:val="0"/>
          <w:numId w:val="9"/>
        </w:numPr>
        <w:ind w:left="714" w:hanging="357"/>
        <w:rPr>
          <w:rFonts w:eastAsia="Calibri"/>
        </w:rPr>
      </w:pPr>
      <w:r w:rsidRPr="00496376">
        <w:rPr>
          <w:rFonts w:eastAsia="Calibri"/>
        </w:rPr>
        <w:t>Muhammad Rifqi Dwi Septian, “The Optimization Of Shell And Tube Cycle Recuperator Design In Organic Rankine Geothermal Power Plant,” J. Energy, Mech. Mater. Manuf. Eng., vol. 8, no. 2 SE-Articles, Dec. 2023, [Online]. Available: https://ejournal.umm.ac.id/index.php/JEMMME/article/view/27082</w:t>
      </w:r>
    </w:p>
    <w:p w14:paraId="3636CCFD" w14:textId="77777777" w:rsidR="00073188" w:rsidRPr="00496376" w:rsidRDefault="00734FA0" w:rsidP="00F350A6">
      <w:pPr>
        <w:pStyle w:val="Reference"/>
        <w:numPr>
          <w:ilvl w:val="0"/>
          <w:numId w:val="9"/>
        </w:numPr>
        <w:ind w:left="714" w:hanging="357"/>
        <w:rPr>
          <w:rFonts w:eastAsia="Calibri"/>
        </w:rPr>
      </w:pPr>
      <w:r w:rsidRPr="00496376">
        <w:rPr>
          <w:rFonts w:eastAsia="Calibri"/>
        </w:rPr>
        <w:t>C. Sihombing and C. Politeknik Energi dan Mineral Akamigas, “Analisa Efisiensi Termal Turbin, Kondensor dan Menara Pendingin pada Pembangkit Listrik Tenaga Panas Bumi”.</w:t>
      </w:r>
    </w:p>
    <w:p w14:paraId="2549D544" w14:textId="77777777" w:rsidR="00073188" w:rsidRPr="00496376" w:rsidRDefault="00734FA0" w:rsidP="00F350A6">
      <w:pPr>
        <w:pStyle w:val="Reference"/>
        <w:numPr>
          <w:ilvl w:val="0"/>
          <w:numId w:val="9"/>
        </w:numPr>
        <w:ind w:left="714" w:hanging="357"/>
        <w:rPr>
          <w:rFonts w:eastAsia="Calibri"/>
        </w:rPr>
      </w:pPr>
      <w:r w:rsidRPr="00496376">
        <w:rPr>
          <w:rFonts w:eastAsia="Calibri"/>
        </w:rPr>
        <w:t>Y. qiang Feng et al., “Experimental comparison of the performance of basic and regenerative organic Rankine cycles,” Energy Convers. Manag., vol. 223, no. October, p. 113459, 2020, doi: 10.1016/j.enconman.2020.113459.</w:t>
      </w:r>
    </w:p>
    <w:p w14:paraId="6E58D0DB" w14:textId="77777777" w:rsidR="00073188" w:rsidRPr="00496376" w:rsidRDefault="00734FA0" w:rsidP="00F350A6">
      <w:pPr>
        <w:pStyle w:val="Reference"/>
        <w:numPr>
          <w:ilvl w:val="0"/>
          <w:numId w:val="9"/>
        </w:numPr>
        <w:ind w:left="714" w:hanging="357"/>
        <w:rPr>
          <w:rFonts w:eastAsia="Calibri"/>
        </w:rPr>
      </w:pPr>
      <w:r w:rsidRPr="00496376">
        <w:rPr>
          <w:rFonts w:eastAsia="Calibri"/>
        </w:rPr>
        <w:t>A. Nemati, H. Nami, F. Ranjbar, and M. Yari, “A comparative thermodynamic analysis of ORC and Kalina cycles for waste heat recovery: A case study for CGAM cogeneration system,” Case Stud. Therm. Eng., vol. 9, no. September 2016, pp. 1–13, 2017, doi: 10.1016/j.csite.2016.11.003.</w:t>
      </w:r>
    </w:p>
    <w:p w14:paraId="10253DA5" w14:textId="77777777" w:rsidR="00073188" w:rsidRPr="00496376" w:rsidRDefault="00734FA0" w:rsidP="00F350A6">
      <w:pPr>
        <w:pStyle w:val="Reference"/>
        <w:numPr>
          <w:ilvl w:val="0"/>
          <w:numId w:val="9"/>
        </w:numPr>
        <w:ind w:left="714" w:hanging="357"/>
        <w:rPr>
          <w:rFonts w:eastAsia="Calibri"/>
        </w:rPr>
      </w:pPr>
      <w:r w:rsidRPr="00496376">
        <w:rPr>
          <w:rFonts w:eastAsia="Calibri"/>
        </w:rPr>
        <w:t>J. Wang, J. Wang, Y. Dai, and P. Zhao, “Thermodynamic analysis and optimization of a flash-binary geothermal power generation system,” Geothermics, vol. 55, pp. 69–77, May 2015, doi: 10.1016/j.geothermics.2015.01.012.</w:t>
      </w:r>
    </w:p>
    <w:p w14:paraId="5BDC105F" w14:textId="77777777" w:rsidR="00073188" w:rsidRPr="00496376" w:rsidRDefault="00734FA0" w:rsidP="00F350A6">
      <w:pPr>
        <w:pStyle w:val="Reference"/>
        <w:numPr>
          <w:ilvl w:val="0"/>
          <w:numId w:val="9"/>
        </w:numPr>
        <w:ind w:left="714" w:hanging="357"/>
        <w:rPr>
          <w:rFonts w:eastAsia="Calibri"/>
        </w:rPr>
      </w:pPr>
      <w:r w:rsidRPr="00496376">
        <w:rPr>
          <w:rFonts w:eastAsia="Calibri"/>
        </w:rPr>
        <w:t>E. Allymehr, Á. Á. Pardiñas, T. M. Eikevik, and A. Hafner, “Characteristics of evaporation of propane (R290) in compact smooth and microfinned tubes,” Appl. Therm. Eng., vol. 181, no. September, p. 115880, 2020, doi: 10.1016/j.applthermaleng.2020.115880.</w:t>
      </w:r>
    </w:p>
    <w:p w14:paraId="65F6468B" w14:textId="246D03E0" w:rsidR="00734FA0" w:rsidRPr="00496376" w:rsidRDefault="00734FA0" w:rsidP="00F350A6">
      <w:pPr>
        <w:pStyle w:val="Reference"/>
        <w:numPr>
          <w:ilvl w:val="0"/>
          <w:numId w:val="9"/>
        </w:numPr>
        <w:ind w:left="714" w:hanging="357"/>
        <w:rPr>
          <w:rFonts w:eastAsia="Calibri"/>
        </w:rPr>
      </w:pPr>
      <w:r w:rsidRPr="00496376">
        <w:rPr>
          <w:rFonts w:eastAsia="Calibri"/>
        </w:rPr>
        <w:t>P. Nikhil Babu et al., “Energy efficient refrigeration system with simultaneous heating and cooling,” Mater. Today Proc., vol. 45, pp. 8188–8194, 2021, doi: 10.1016/j.matpr.2021.03.072.</w:t>
      </w:r>
    </w:p>
    <w:p w14:paraId="7E85C954" w14:textId="6E5EA61D" w:rsidR="00BF6F61" w:rsidRPr="00073188" w:rsidRDefault="00C60735" w:rsidP="00F350A6">
      <w:pPr>
        <w:pStyle w:val="Reference"/>
        <w:ind w:left="714" w:hanging="357"/>
        <w:rPr>
          <w:rFonts w:eastAsia="Calibri"/>
        </w:rPr>
      </w:pPr>
      <w:r w:rsidRPr="00496376">
        <w:rPr>
          <w:rFonts w:eastAsia="Calibri"/>
        </w:rPr>
        <w:fldChar w:fldCharType="end"/>
      </w:r>
    </w:p>
    <w:sectPr w:rsidR="00BF6F61" w:rsidRPr="00073188" w:rsidSect="00E449B5">
      <w:pgSz w:w="12240" w:h="15840" w:code="1"/>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401091"/>
    <w:multiLevelType w:val="hybridMultilevel"/>
    <w:tmpl w:val="F4424E48"/>
    <w:lvl w:ilvl="0" w:tplc="DD20D560">
      <w:start w:val="1"/>
      <w:numFmt w:val="decimal"/>
      <w:lvlText w:val="%1."/>
      <w:lvlJc w:val="left"/>
      <w:pPr>
        <w:ind w:left="1080" w:hanging="360"/>
      </w:pPr>
      <w:rPr>
        <w:rFonts w:hint="default"/>
      </w:rPr>
    </w:lvl>
    <w:lvl w:ilvl="1" w:tplc="04210019" w:tentative="1">
      <w:start w:val="1"/>
      <w:numFmt w:val="lowerLetter"/>
      <w:lvlText w:val="%2."/>
      <w:lvlJc w:val="left"/>
      <w:pPr>
        <w:ind w:left="1800" w:hanging="360"/>
      </w:pPr>
    </w:lvl>
    <w:lvl w:ilvl="2" w:tplc="0421001B" w:tentative="1">
      <w:start w:val="1"/>
      <w:numFmt w:val="lowerRoman"/>
      <w:lvlText w:val="%3."/>
      <w:lvlJc w:val="right"/>
      <w:pPr>
        <w:ind w:left="2520" w:hanging="180"/>
      </w:pPr>
    </w:lvl>
    <w:lvl w:ilvl="3" w:tplc="0421000F" w:tentative="1">
      <w:start w:val="1"/>
      <w:numFmt w:val="decimal"/>
      <w:lvlText w:val="%4."/>
      <w:lvlJc w:val="left"/>
      <w:pPr>
        <w:ind w:left="3240" w:hanging="360"/>
      </w:pPr>
    </w:lvl>
    <w:lvl w:ilvl="4" w:tplc="04210019" w:tentative="1">
      <w:start w:val="1"/>
      <w:numFmt w:val="lowerLetter"/>
      <w:lvlText w:val="%5."/>
      <w:lvlJc w:val="left"/>
      <w:pPr>
        <w:ind w:left="3960" w:hanging="360"/>
      </w:pPr>
    </w:lvl>
    <w:lvl w:ilvl="5" w:tplc="0421001B" w:tentative="1">
      <w:start w:val="1"/>
      <w:numFmt w:val="lowerRoman"/>
      <w:lvlText w:val="%6."/>
      <w:lvlJc w:val="right"/>
      <w:pPr>
        <w:ind w:left="4680" w:hanging="180"/>
      </w:pPr>
    </w:lvl>
    <w:lvl w:ilvl="6" w:tplc="0421000F" w:tentative="1">
      <w:start w:val="1"/>
      <w:numFmt w:val="decimal"/>
      <w:lvlText w:val="%7."/>
      <w:lvlJc w:val="left"/>
      <w:pPr>
        <w:ind w:left="5400" w:hanging="360"/>
      </w:pPr>
    </w:lvl>
    <w:lvl w:ilvl="7" w:tplc="04210019" w:tentative="1">
      <w:start w:val="1"/>
      <w:numFmt w:val="lowerLetter"/>
      <w:lvlText w:val="%8."/>
      <w:lvlJc w:val="left"/>
      <w:pPr>
        <w:ind w:left="6120" w:hanging="360"/>
      </w:pPr>
    </w:lvl>
    <w:lvl w:ilvl="8" w:tplc="0421001B" w:tentative="1">
      <w:start w:val="1"/>
      <w:numFmt w:val="lowerRoman"/>
      <w:lvlText w:val="%9."/>
      <w:lvlJc w:val="right"/>
      <w:pPr>
        <w:ind w:left="6840" w:hanging="180"/>
      </w:pPr>
    </w:lvl>
  </w:abstractNum>
  <w:abstractNum w:abstractNumId="1" w15:restartNumberingAfterBreak="0">
    <w:nsid w:val="097633F6"/>
    <w:multiLevelType w:val="hybridMultilevel"/>
    <w:tmpl w:val="37FABE24"/>
    <w:lvl w:ilvl="0" w:tplc="036211D4">
      <w:start w:val="1"/>
      <w:numFmt w:val="bullet"/>
      <w:pStyle w:val="ListParagraph"/>
      <w:lvlText w:val=""/>
      <w:lvlJc w:val="left"/>
      <w:pPr>
        <w:ind w:left="2583" w:hanging="360"/>
      </w:pPr>
      <w:rPr>
        <w:rFonts w:ascii="Symbol" w:hAnsi="Symbol" w:hint="default"/>
      </w:rPr>
    </w:lvl>
    <w:lvl w:ilvl="1" w:tplc="04090003" w:tentative="1">
      <w:start w:val="1"/>
      <w:numFmt w:val="bullet"/>
      <w:lvlText w:val="o"/>
      <w:lvlJc w:val="left"/>
      <w:pPr>
        <w:ind w:left="3300" w:hanging="360"/>
      </w:pPr>
      <w:rPr>
        <w:rFonts w:ascii="Courier New" w:hAnsi="Courier New" w:cs="Courier New" w:hint="default"/>
      </w:rPr>
    </w:lvl>
    <w:lvl w:ilvl="2" w:tplc="04090005" w:tentative="1">
      <w:start w:val="1"/>
      <w:numFmt w:val="bullet"/>
      <w:lvlText w:val=""/>
      <w:lvlJc w:val="left"/>
      <w:pPr>
        <w:ind w:left="4020" w:hanging="360"/>
      </w:pPr>
      <w:rPr>
        <w:rFonts w:ascii="Wingdings" w:hAnsi="Wingdings" w:hint="default"/>
      </w:rPr>
    </w:lvl>
    <w:lvl w:ilvl="3" w:tplc="04090001" w:tentative="1">
      <w:start w:val="1"/>
      <w:numFmt w:val="bullet"/>
      <w:lvlText w:val=""/>
      <w:lvlJc w:val="left"/>
      <w:pPr>
        <w:ind w:left="4740" w:hanging="360"/>
      </w:pPr>
      <w:rPr>
        <w:rFonts w:ascii="Symbol" w:hAnsi="Symbol" w:hint="default"/>
      </w:rPr>
    </w:lvl>
    <w:lvl w:ilvl="4" w:tplc="04090003" w:tentative="1">
      <w:start w:val="1"/>
      <w:numFmt w:val="bullet"/>
      <w:lvlText w:val="o"/>
      <w:lvlJc w:val="left"/>
      <w:pPr>
        <w:ind w:left="5460" w:hanging="360"/>
      </w:pPr>
      <w:rPr>
        <w:rFonts w:ascii="Courier New" w:hAnsi="Courier New" w:cs="Courier New" w:hint="default"/>
      </w:rPr>
    </w:lvl>
    <w:lvl w:ilvl="5" w:tplc="04090005" w:tentative="1">
      <w:start w:val="1"/>
      <w:numFmt w:val="bullet"/>
      <w:lvlText w:val=""/>
      <w:lvlJc w:val="left"/>
      <w:pPr>
        <w:ind w:left="6180" w:hanging="360"/>
      </w:pPr>
      <w:rPr>
        <w:rFonts w:ascii="Wingdings" w:hAnsi="Wingdings" w:hint="default"/>
      </w:rPr>
    </w:lvl>
    <w:lvl w:ilvl="6" w:tplc="04090001" w:tentative="1">
      <w:start w:val="1"/>
      <w:numFmt w:val="bullet"/>
      <w:lvlText w:val=""/>
      <w:lvlJc w:val="left"/>
      <w:pPr>
        <w:ind w:left="6900" w:hanging="360"/>
      </w:pPr>
      <w:rPr>
        <w:rFonts w:ascii="Symbol" w:hAnsi="Symbol" w:hint="default"/>
      </w:rPr>
    </w:lvl>
    <w:lvl w:ilvl="7" w:tplc="04090003" w:tentative="1">
      <w:start w:val="1"/>
      <w:numFmt w:val="bullet"/>
      <w:lvlText w:val="o"/>
      <w:lvlJc w:val="left"/>
      <w:pPr>
        <w:ind w:left="7620" w:hanging="360"/>
      </w:pPr>
      <w:rPr>
        <w:rFonts w:ascii="Courier New" w:hAnsi="Courier New" w:cs="Courier New" w:hint="default"/>
      </w:rPr>
    </w:lvl>
    <w:lvl w:ilvl="8" w:tplc="04090005" w:tentative="1">
      <w:start w:val="1"/>
      <w:numFmt w:val="bullet"/>
      <w:lvlText w:val=""/>
      <w:lvlJc w:val="left"/>
      <w:pPr>
        <w:ind w:left="8340" w:hanging="360"/>
      </w:pPr>
      <w:rPr>
        <w:rFonts w:ascii="Wingdings" w:hAnsi="Wingdings" w:hint="default"/>
      </w:rPr>
    </w:lvl>
  </w:abstractNum>
  <w:abstractNum w:abstractNumId="2" w15:restartNumberingAfterBreak="0">
    <w:nsid w:val="205F26DA"/>
    <w:multiLevelType w:val="hybridMultilevel"/>
    <w:tmpl w:val="7FDA554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23B46A7F"/>
    <w:multiLevelType w:val="hybridMultilevel"/>
    <w:tmpl w:val="4474A270"/>
    <w:lvl w:ilvl="0" w:tplc="5D4EE718">
      <w:start w:val="1"/>
      <w:numFmt w:val="decimal"/>
      <w:lvlText w:val="%1."/>
      <w:lvlJc w:val="left"/>
      <w:pPr>
        <w:ind w:left="4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448C31CA">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6FB4E5A6">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BB4CF5E4">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B7A26360">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E872EE94">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27FE9062">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92B6C336">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A2A411BE">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4"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5" w15:restartNumberingAfterBreak="0">
    <w:nsid w:val="3AA17CE3"/>
    <w:multiLevelType w:val="hybridMultilevel"/>
    <w:tmpl w:val="4A342D44"/>
    <w:lvl w:ilvl="0" w:tplc="EBD030B2">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6961053C"/>
    <w:multiLevelType w:val="hybridMultilevel"/>
    <w:tmpl w:val="50A6712E"/>
    <w:lvl w:ilvl="0" w:tplc="D0468A98">
      <w:start w:val="1"/>
      <w:numFmt w:val="lowerLetter"/>
      <w:lvlText w:val="%1."/>
      <w:lvlJc w:val="left"/>
      <w:pPr>
        <w:ind w:left="644" w:hanging="360"/>
      </w:pPr>
      <w:rPr>
        <w:rFonts w:hint="default"/>
        <w:i w:val="0"/>
        <w:color w:val="333333"/>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7" w15:restartNumberingAfterBreak="0">
    <w:nsid w:val="74721692"/>
    <w:multiLevelType w:val="singleLevel"/>
    <w:tmpl w:val="8BC68E6C"/>
    <w:lvl w:ilvl="0">
      <w:start w:val="1"/>
      <w:numFmt w:val="decimal"/>
      <w:pStyle w:val="Paragraphnumbered"/>
      <w:lvlText w:val="%1."/>
      <w:lvlJc w:val="left"/>
      <w:pPr>
        <w:ind w:left="644" w:hanging="360"/>
      </w:pPr>
      <w:rPr>
        <w:rFonts w:hint="default"/>
      </w:rPr>
    </w:lvl>
  </w:abstractNum>
  <w:abstractNum w:abstractNumId="8" w15:restartNumberingAfterBreak="0">
    <w:nsid w:val="7E6F3FD5"/>
    <w:multiLevelType w:val="hybridMultilevel"/>
    <w:tmpl w:val="41A84E1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2093308408">
    <w:abstractNumId w:val="3"/>
  </w:num>
  <w:num w:numId="2" w16cid:durableId="1336035912">
    <w:abstractNumId w:val="2"/>
  </w:num>
  <w:num w:numId="3" w16cid:durableId="397366117">
    <w:abstractNumId w:val="4"/>
  </w:num>
  <w:num w:numId="4" w16cid:durableId="43137312">
    <w:abstractNumId w:val="7"/>
  </w:num>
  <w:num w:numId="5" w16cid:durableId="1613249565">
    <w:abstractNumId w:val="5"/>
  </w:num>
  <w:num w:numId="6" w16cid:durableId="1051071798">
    <w:abstractNumId w:val="6"/>
  </w:num>
  <w:num w:numId="7" w16cid:durableId="1064794005">
    <w:abstractNumId w:val="1"/>
  </w:num>
  <w:num w:numId="8" w16cid:durableId="1097360913">
    <w:abstractNumId w:val="0"/>
  </w:num>
  <w:num w:numId="9" w16cid:durableId="1731423836">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7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EN.InstantFormat" w:val="&lt;ENInstantFormat&gt;&lt;Enabled&gt;1&lt;/Enabled&gt;&lt;ScanUnformatted&gt;1&lt;/ScanUnformatted&gt;&lt;ScanChanges&gt;1&lt;/ScanChanges&gt;&lt;Suspended&gt;0&lt;/Suspended&gt;&lt;/ENInstantFormat&gt;"/>
    <w:docVar w:name="EN.Layout" w:val="&lt;ENLayout&gt;&lt;Style&gt;Numbered&lt;/Style&gt;&lt;LeftDelim&gt;{&lt;/LeftDelim&gt;&lt;RightDelim&gt;}&lt;/RightDelim&gt;&lt;FontName&gt;Times New Roman&lt;/FontName&gt;&lt;FontSize&gt;10&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s>
  <w:rsids>
    <w:rsidRoot w:val="00EA50A7"/>
    <w:rsid w:val="0001007B"/>
    <w:rsid w:val="000442BF"/>
    <w:rsid w:val="00052AE0"/>
    <w:rsid w:val="00053169"/>
    <w:rsid w:val="00053198"/>
    <w:rsid w:val="00073188"/>
    <w:rsid w:val="00075A9B"/>
    <w:rsid w:val="000C4C41"/>
    <w:rsid w:val="000F1554"/>
    <w:rsid w:val="000F1D3A"/>
    <w:rsid w:val="000F6769"/>
    <w:rsid w:val="00135DB9"/>
    <w:rsid w:val="001403BE"/>
    <w:rsid w:val="001656F5"/>
    <w:rsid w:val="0017487D"/>
    <w:rsid w:val="00175D28"/>
    <w:rsid w:val="001A3D41"/>
    <w:rsid w:val="001B1CF1"/>
    <w:rsid w:val="001B4656"/>
    <w:rsid w:val="001B50EC"/>
    <w:rsid w:val="001C07A6"/>
    <w:rsid w:val="001D7F88"/>
    <w:rsid w:val="001E264C"/>
    <w:rsid w:val="00211E60"/>
    <w:rsid w:val="002424DD"/>
    <w:rsid w:val="0025056F"/>
    <w:rsid w:val="00294220"/>
    <w:rsid w:val="002B4061"/>
    <w:rsid w:val="002B7DA8"/>
    <w:rsid w:val="002C45D2"/>
    <w:rsid w:val="002F16B9"/>
    <w:rsid w:val="00300407"/>
    <w:rsid w:val="00305742"/>
    <w:rsid w:val="00323753"/>
    <w:rsid w:val="00336C6E"/>
    <w:rsid w:val="00345A86"/>
    <w:rsid w:val="00346886"/>
    <w:rsid w:val="00352007"/>
    <w:rsid w:val="00366DB0"/>
    <w:rsid w:val="00383C21"/>
    <w:rsid w:val="003E0ED5"/>
    <w:rsid w:val="003E3B53"/>
    <w:rsid w:val="00427C79"/>
    <w:rsid w:val="0047399B"/>
    <w:rsid w:val="00483823"/>
    <w:rsid w:val="00496376"/>
    <w:rsid w:val="004C086A"/>
    <w:rsid w:val="004C7E7E"/>
    <w:rsid w:val="004D1B67"/>
    <w:rsid w:val="004E7A0A"/>
    <w:rsid w:val="004F0FE1"/>
    <w:rsid w:val="004F659E"/>
    <w:rsid w:val="005079FC"/>
    <w:rsid w:val="00511881"/>
    <w:rsid w:val="00512013"/>
    <w:rsid w:val="00517755"/>
    <w:rsid w:val="00523BA3"/>
    <w:rsid w:val="00525C15"/>
    <w:rsid w:val="005649A6"/>
    <w:rsid w:val="00577819"/>
    <w:rsid w:val="00580766"/>
    <w:rsid w:val="005A240E"/>
    <w:rsid w:val="005C2B16"/>
    <w:rsid w:val="005D571B"/>
    <w:rsid w:val="005E0C4C"/>
    <w:rsid w:val="0067462A"/>
    <w:rsid w:val="006B29D4"/>
    <w:rsid w:val="006B7686"/>
    <w:rsid w:val="006C4020"/>
    <w:rsid w:val="006D61D0"/>
    <w:rsid w:val="006F6357"/>
    <w:rsid w:val="00715E95"/>
    <w:rsid w:val="007279A9"/>
    <w:rsid w:val="00734FA0"/>
    <w:rsid w:val="007720BA"/>
    <w:rsid w:val="00784F94"/>
    <w:rsid w:val="007A57AB"/>
    <w:rsid w:val="007B0D2E"/>
    <w:rsid w:val="007B7914"/>
    <w:rsid w:val="00852515"/>
    <w:rsid w:val="0086422A"/>
    <w:rsid w:val="008679C0"/>
    <w:rsid w:val="008B1275"/>
    <w:rsid w:val="008C3B35"/>
    <w:rsid w:val="008C53E3"/>
    <w:rsid w:val="008D0213"/>
    <w:rsid w:val="008D6ED3"/>
    <w:rsid w:val="009008AB"/>
    <w:rsid w:val="0093053B"/>
    <w:rsid w:val="00957D49"/>
    <w:rsid w:val="00971E8B"/>
    <w:rsid w:val="00991411"/>
    <w:rsid w:val="009A7BC2"/>
    <w:rsid w:val="00A10F65"/>
    <w:rsid w:val="00A518B9"/>
    <w:rsid w:val="00A5576E"/>
    <w:rsid w:val="00AA3156"/>
    <w:rsid w:val="00AC5C22"/>
    <w:rsid w:val="00AD0697"/>
    <w:rsid w:val="00B10665"/>
    <w:rsid w:val="00B11341"/>
    <w:rsid w:val="00B17D82"/>
    <w:rsid w:val="00B45A8C"/>
    <w:rsid w:val="00B56FCD"/>
    <w:rsid w:val="00B5764C"/>
    <w:rsid w:val="00B6146E"/>
    <w:rsid w:val="00B634AA"/>
    <w:rsid w:val="00B91D22"/>
    <w:rsid w:val="00BE225C"/>
    <w:rsid w:val="00BF6F61"/>
    <w:rsid w:val="00C13E39"/>
    <w:rsid w:val="00C15386"/>
    <w:rsid w:val="00C60735"/>
    <w:rsid w:val="00C90568"/>
    <w:rsid w:val="00CA256E"/>
    <w:rsid w:val="00CA3BBC"/>
    <w:rsid w:val="00CB1FE9"/>
    <w:rsid w:val="00D24D68"/>
    <w:rsid w:val="00D2657D"/>
    <w:rsid w:val="00D67413"/>
    <w:rsid w:val="00DA2C25"/>
    <w:rsid w:val="00DA6D7D"/>
    <w:rsid w:val="00DF7FEA"/>
    <w:rsid w:val="00E00113"/>
    <w:rsid w:val="00E449B5"/>
    <w:rsid w:val="00EA50A7"/>
    <w:rsid w:val="00EC02EB"/>
    <w:rsid w:val="00EF46C7"/>
    <w:rsid w:val="00F05A2C"/>
    <w:rsid w:val="00F162DE"/>
    <w:rsid w:val="00F2044D"/>
    <w:rsid w:val="00F350A6"/>
    <w:rsid w:val="00F66BEA"/>
    <w:rsid w:val="00F74796"/>
    <w:rsid w:val="00F80086"/>
    <w:rsid w:val="00F8468D"/>
    <w:rsid w:val="00FF5E6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101A451"/>
  <w15:docId w15:val="{0D4BFCF4-E0BE-482C-B5DA-B8D3D0FC4C2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784F94"/>
    <w:pPr>
      <w:spacing w:after="0" w:line="240" w:lineRule="auto"/>
    </w:pPr>
    <w:rPr>
      <w:rFonts w:ascii="Times New Roman" w:eastAsia="Times New Roman" w:hAnsi="Times New Roman" w:cs="Times New Roman"/>
      <w:sz w:val="24"/>
      <w:szCs w:val="20"/>
    </w:rPr>
  </w:style>
  <w:style w:type="paragraph" w:styleId="Heading1">
    <w:name w:val="heading 1"/>
    <w:basedOn w:val="Normal"/>
    <w:next w:val="Paragraph"/>
    <w:link w:val="Heading1Char"/>
    <w:qFormat/>
    <w:rsid w:val="00784F94"/>
    <w:pPr>
      <w:keepNext/>
      <w:spacing w:before="240" w:after="240"/>
      <w:jc w:val="center"/>
      <w:outlineLvl w:val="0"/>
    </w:pPr>
    <w:rPr>
      <w:b/>
      <w:caps/>
    </w:rPr>
  </w:style>
  <w:style w:type="paragraph" w:styleId="Heading2">
    <w:name w:val="heading 2"/>
    <w:basedOn w:val="Normal"/>
    <w:next w:val="Paragraph"/>
    <w:link w:val="Heading2Char"/>
    <w:qFormat/>
    <w:rsid w:val="00784F94"/>
    <w:pPr>
      <w:keepNext/>
      <w:spacing w:before="240" w:after="240"/>
      <w:jc w:val="center"/>
      <w:outlineLvl w:val="1"/>
    </w:pPr>
    <w:rPr>
      <w:b/>
    </w:rPr>
  </w:style>
  <w:style w:type="paragraph" w:styleId="Heading3">
    <w:name w:val="heading 3"/>
    <w:basedOn w:val="Normal"/>
    <w:next w:val="Normal"/>
    <w:link w:val="Heading3Char"/>
    <w:qFormat/>
    <w:rsid w:val="00784F94"/>
    <w:pPr>
      <w:keepNext/>
      <w:spacing w:before="240" w:after="240"/>
      <w:jc w:val="center"/>
      <w:outlineLvl w:val="2"/>
    </w:pPr>
    <w:rPr>
      <w:i/>
      <w:sz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A50A7"/>
    <w:rPr>
      <w:rFonts w:ascii="Times New Roman" w:eastAsia="Times New Roman" w:hAnsi="Times New Roman" w:cs="Times New Roman"/>
      <w:b/>
      <w:caps/>
      <w:sz w:val="24"/>
      <w:szCs w:val="20"/>
    </w:rPr>
  </w:style>
  <w:style w:type="character" w:customStyle="1" w:styleId="Heading2Char">
    <w:name w:val="Heading 2 Char"/>
    <w:basedOn w:val="DefaultParagraphFont"/>
    <w:link w:val="Heading2"/>
    <w:rsid w:val="00EA50A7"/>
    <w:rPr>
      <w:rFonts w:ascii="Times New Roman" w:eastAsia="Times New Roman" w:hAnsi="Times New Roman" w:cs="Times New Roman"/>
      <w:b/>
      <w:sz w:val="24"/>
      <w:szCs w:val="20"/>
    </w:rPr>
  </w:style>
  <w:style w:type="paragraph" w:customStyle="1" w:styleId="Abstract">
    <w:name w:val="Abstract"/>
    <w:basedOn w:val="Normal"/>
    <w:next w:val="Heading1"/>
    <w:rsid w:val="00784F94"/>
    <w:pPr>
      <w:spacing w:before="360" w:after="360"/>
      <w:ind w:left="289" w:right="289"/>
      <w:jc w:val="both"/>
    </w:pPr>
    <w:rPr>
      <w:sz w:val="18"/>
    </w:rPr>
  </w:style>
  <w:style w:type="paragraph" w:customStyle="1" w:styleId="AuthorAffiliation">
    <w:name w:val="Author Affiliation"/>
    <w:basedOn w:val="Normal"/>
    <w:rsid w:val="00784F94"/>
    <w:pPr>
      <w:jc w:val="center"/>
    </w:pPr>
    <w:rPr>
      <w:i/>
      <w:sz w:val="20"/>
    </w:rPr>
  </w:style>
  <w:style w:type="paragraph" w:customStyle="1" w:styleId="AuthorEmail">
    <w:name w:val="Author Email"/>
    <w:basedOn w:val="Normal"/>
    <w:qFormat/>
    <w:rsid w:val="00784F94"/>
    <w:pPr>
      <w:jc w:val="center"/>
    </w:pPr>
    <w:rPr>
      <w:sz w:val="20"/>
    </w:rPr>
  </w:style>
  <w:style w:type="paragraph" w:customStyle="1" w:styleId="AuthorName">
    <w:name w:val="Author Name"/>
    <w:basedOn w:val="Normal"/>
    <w:next w:val="AuthorAffiliation"/>
    <w:rsid w:val="00784F94"/>
    <w:pPr>
      <w:spacing w:before="360" w:after="360"/>
      <w:jc w:val="center"/>
    </w:pPr>
    <w:rPr>
      <w:sz w:val="28"/>
    </w:rPr>
  </w:style>
  <w:style w:type="paragraph" w:styleId="BalloonText">
    <w:name w:val="Balloon Text"/>
    <w:basedOn w:val="Normal"/>
    <w:link w:val="BalloonTextChar"/>
    <w:rsid w:val="00784F94"/>
    <w:rPr>
      <w:rFonts w:ascii="Tahoma" w:hAnsi="Tahoma" w:cs="Tahoma"/>
      <w:sz w:val="16"/>
      <w:szCs w:val="16"/>
    </w:rPr>
  </w:style>
  <w:style w:type="character" w:customStyle="1" w:styleId="BalloonTextChar">
    <w:name w:val="Balloon Text Char"/>
    <w:basedOn w:val="DefaultParagraphFont"/>
    <w:link w:val="BalloonText"/>
    <w:rsid w:val="00784F94"/>
    <w:rPr>
      <w:rFonts w:ascii="Tahoma" w:eastAsia="Times New Roman" w:hAnsi="Tahoma" w:cs="Tahoma"/>
      <w:sz w:val="16"/>
      <w:szCs w:val="16"/>
    </w:rPr>
  </w:style>
  <w:style w:type="character" w:styleId="Emphasis">
    <w:name w:val="Emphasis"/>
    <w:basedOn w:val="DefaultParagraphFont"/>
    <w:uiPriority w:val="20"/>
    <w:qFormat/>
    <w:rsid w:val="0067462A"/>
    <w:rPr>
      <w:color w:val="333333"/>
    </w:rPr>
  </w:style>
  <w:style w:type="paragraph" w:customStyle="1" w:styleId="Paragraph">
    <w:name w:val="Paragraph"/>
    <w:basedOn w:val="Normal"/>
    <w:rsid w:val="00784F94"/>
    <w:pPr>
      <w:ind w:firstLine="284"/>
      <w:jc w:val="both"/>
    </w:pPr>
    <w:rPr>
      <w:sz w:val="20"/>
    </w:rPr>
  </w:style>
  <w:style w:type="paragraph" w:customStyle="1" w:styleId="Equation">
    <w:name w:val="Equation"/>
    <w:basedOn w:val="Paragraph"/>
    <w:rsid w:val="00784F94"/>
    <w:pPr>
      <w:tabs>
        <w:tab w:val="center" w:pos="4320"/>
        <w:tab w:val="right" w:pos="9242"/>
      </w:tabs>
      <w:ind w:firstLine="0"/>
      <w:jc w:val="center"/>
    </w:pPr>
  </w:style>
  <w:style w:type="paragraph" w:customStyle="1" w:styleId="Figure">
    <w:name w:val="Figure"/>
    <w:basedOn w:val="Paragraph"/>
    <w:rsid w:val="00784F94"/>
    <w:pPr>
      <w:keepNext/>
      <w:ind w:firstLine="0"/>
      <w:jc w:val="center"/>
    </w:pPr>
  </w:style>
  <w:style w:type="paragraph" w:customStyle="1" w:styleId="FigureCaption">
    <w:name w:val="Figure Caption"/>
    <w:next w:val="Paragraph"/>
    <w:rsid w:val="00784F94"/>
    <w:pPr>
      <w:spacing w:before="120" w:after="0" w:line="240" w:lineRule="auto"/>
      <w:jc w:val="center"/>
    </w:pPr>
    <w:rPr>
      <w:rFonts w:ascii="Times New Roman" w:eastAsia="Times New Roman" w:hAnsi="Times New Roman" w:cs="Times New Roman"/>
      <w:sz w:val="18"/>
      <w:szCs w:val="20"/>
    </w:rPr>
  </w:style>
  <w:style w:type="character" w:styleId="FootnoteReference">
    <w:name w:val="footnote reference"/>
    <w:semiHidden/>
    <w:rsid w:val="00784F94"/>
    <w:rPr>
      <w:vertAlign w:val="superscript"/>
    </w:rPr>
  </w:style>
  <w:style w:type="paragraph" w:styleId="FootnoteText">
    <w:name w:val="footnote text"/>
    <w:basedOn w:val="Normal"/>
    <w:link w:val="FootnoteTextChar"/>
    <w:semiHidden/>
    <w:rsid w:val="00784F94"/>
    <w:rPr>
      <w:sz w:val="16"/>
    </w:rPr>
  </w:style>
  <w:style w:type="character" w:customStyle="1" w:styleId="FootnoteTextChar">
    <w:name w:val="Footnote Text Char"/>
    <w:basedOn w:val="DefaultParagraphFont"/>
    <w:link w:val="FootnoteText"/>
    <w:semiHidden/>
    <w:rsid w:val="00784F94"/>
    <w:rPr>
      <w:rFonts w:ascii="Times New Roman" w:eastAsia="Times New Roman" w:hAnsi="Times New Roman" w:cs="Times New Roman"/>
      <w:sz w:val="16"/>
      <w:szCs w:val="20"/>
    </w:rPr>
  </w:style>
  <w:style w:type="character" w:customStyle="1" w:styleId="Heading3Char">
    <w:name w:val="Heading 3 Char"/>
    <w:basedOn w:val="DefaultParagraphFont"/>
    <w:link w:val="Heading3"/>
    <w:rsid w:val="00784F94"/>
    <w:rPr>
      <w:rFonts w:ascii="Times New Roman" w:eastAsia="Times New Roman" w:hAnsi="Times New Roman" w:cs="Times New Roman"/>
      <w:i/>
      <w:sz w:val="20"/>
      <w:szCs w:val="20"/>
    </w:rPr>
  </w:style>
  <w:style w:type="character" w:styleId="Hyperlink">
    <w:name w:val="Hyperlink"/>
    <w:rsid w:val="00784F94"/>
    <w:rPr>
      <w:color w:val="0000FF"/>
      <w:u w:val="single"/>
    </w:rPr>
  </w:style>
  <w:style w:type="paragraph" w:styleId="NormalWeb">
    <w:name w:val="Normal (Web)"/>
    <w:basedOn w:val="Normal"/>
    <w:uiPriority w:val="99"/>
    <w:unhideWhenUsed/>
    <w:rsid w:val="00784F94"/>
    <w:pPr>
      <w:spacing w:before="100" w:beforeAutospacing="1" w:after="100" w:afterAutospacing="1"/>
    </w:pPr>
    <w:rPr>
      <w:szCs w:val="24"/>
      <w:lang w:val="en-GB" w:eastAsia="en-GB"/>
    </w:rPr>
  </w:style>
  <w:style w:type="paragraph" w:customStyle="1" w:styleId="PaperTitle">
    <w:name w:val="Paper Title"/>
    <w:basedOn w:val="Normal"/>
    <w:next w:val="AuthorName"/>
    <w:rsid w:val="00784F94"/>
    <w:pPr>
      <w:spacing w:before="1200"/>
      <w:jc w:val="center"/>
    </w:pPr>
    <w:rPr>
      <w:b/>
      <w:sz w:val="36"/>
    </w:rPr>
  </w:style>
  <w:style w:type="paragraph" w:customStyle="1" w:styleId="Paragraphbulleted">
    <w:name w:val="Paragraph (bulleted)"/>
    <w:basedOn w:val="Paragraph"/>
    <w:rsid w:val="00784F94"/>
    <w:pPr>
      <w:numPr>
        <w:numId w:val="3"/>
      </w:numPr>
    </w:pPr>
  </w:style>
  <w:style w:type="paragraph" w:customStyle="1" w:styleId="Paragraphnumbered">
    <w:name w:val="Paragraph (numbered)"/>
    <w:rsid w:val="00784F94"/>
    <w:pPr>
      <w:numPr>
        <w:numId w:val="4"/>
      </w:numPr>
      <w:spacing w:after="0" w:line="240" w:lineRule="auto"/>
      <w:jc w:val="both"/>
    </w:pPr>
    <w:rPr>
      <w:rFonts w:ascii="Times New Roman" w:eastAsia="Times New Roman" w:hAnsi="Times New Roman" w:cs="Times New Roman"/>
      <w:sz w:val="20"/>
      <w:szCs w:val="20"/>
    </w:rPr>
  </w:style>
  <w:style w:type="paragraph" w:customStyle="1" w:styleId="Reference">
    <w:name w:val="Reference"/>
    <w:basedOn w:val="Paragraph"/>
    <w:rsid w:val="00784F94"/>
    <w:pPr>
      <w:ind w:firstLine="0"/>
    </w:pPr>
  </w:style>
  <w:style w:type="character" w:styleId="Strong">
    <w:name w:val="Strong"/>
    <w:basedOn w:val="DefaultParagraphFont"/>
    <w:uiPriority w:val="22"/>
    <w:qFormat/>
    <w:rsid w:val="00784F94"/>
    <w:rPr>
      <w:b/>
      <w:bCs/>
    </w:rPr>
  </w:style>
  <w:style w:type="paragraph" w:customStyle="1" w:styleId="TableCaption">
    <w:name w:val="Table Caption"/>
    <w:basedOn w:val="FigureCaption"/>
    <w:qFormat/>
    <w:rsid w:val="00784F94"/>
    <w:rPr>
      <w:szCs w:val="18"/>
    </w:rPr>
  </w:style>
  <w:style w:type="table" w:styleId="TableGrid">
    <w:name w:val="Table Grid"/>
    <w:basedOn w:val="TableNormal"/>
    <w:rsid w:val="00784F94"/>
    <w:pPr>
      <w:spacing w:after="0" w:line="240" w:lineRule="auto"/>
    </w:pPr>
    <w:rPr>
      <w:rFonts w:ascii="Times New Roman" w:eastAsia="Times New Roma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Text">
    <w:name w:val="annotation text"/>
    <w:basedOn w:val="Normal"/>
    <w:link w:val="CommentTextChar"/>
    <w:uiPriority w:val="99"/>
    <w:semiHidden/>
    <w:unhideWhenUsed/>
    <w:rPr>
      <w:sz w:val="20"/>
    </w:rPr>
  </w:style>
  <w:style w:type="character" w:customStyle="1" w:styleId="CommentTextChar">
    <w:name w:val="Comment Text Char"/>
    <w:basedOn w:val="DefaultParagraphFont"/>
    <w:link w:val="CommentText"/>
    <w:uiPriority w:val="99"/>
    <w:semiHidden/>
    <w:rPr>
      <w:rFonts w:ascii="Times New Roman" w:eastAsia="Times New Roman" w:hAnsi="Times New Roman" w:cs="Times New Roman"/>
      <w:sz w:val="20"/>
      <w:szCs w:val="20"/>
    </w:rPr>
  </w:style>
  <w:style w:type="character" w:styleId="CommentReference">
    <w:name w:val="annotation reference"/>
    <w:basedOn w:val="DefaultParagraphFont"/>
    <w:uiPriority w:val="99"/>
    <w:semiHidden/>
    <w:unhideWhenUsed/>
    <w:rPr>
      <w:sz w:val="16"/>
      <w:szCs w:val="16"/>
    </w:rPr>
  </w:style>
  <w:style w:type="character" w:customStyle="1" w:styleId="UnresolvedMention1">
    <w:name w:val="Unresolved Mention1"/>
    <w:basedOn w:val="DefaultParagraphFont"/>
    <w:uiPriority w:val="99"/>
    <w:semiHidden/>
    <w:unhideWhenUsed/>
    <w:rsid w:val="00B6146E"/>
    <w:rPr>
      <w:color w:val="605E5C"/>
      <w:shd w:val="clear" w:color="auto" w:fill="E1DFDD"/>
    </w:rPr>
  </w:style>
  <w:style w:type="paragraph" w:styleId="Caption">
    <w:name w:val="caption"/>
    <w:basedOn w:val="Normal"/>
    <w:next w:val="Normal"/>
    <w:uiPriority w:val="35"/>
    <w:unhideWhenUsed/>
    <w:qFormat/>
    <w:rsid w:val="0093053B"/>
    <w:pPr>
      <w:spacing w:after="200"/>
    </w:pPr>
    <w:rPr>
      <w:i/>
      <w:iCs/>
      <w:color w:val="44546A" w:themeColor="text2"/>
      <w:sz w:val="18"/>
      <w:szCs w:val="18"/>
    </w:rPr>
  </w:style>
  <w:style w:type="paragraph" w:styleId="ListParagraph">
    <w:name w:val="List Paragraph"/>
    <w:aliases w:val="Body of text"/>
    <w:link w:val="ListParagraphChar"/>
    <w:uiPriority w:val="1"/>
    <w:qFormat/>
    <w:rsid w:val="0086422A"/>
    <w:pPr>
      <w:numPr>
        <w:numId w:val="7"/>
      </w:numPr>
      <w:tabs>
        <w:tab w:val="left" w:pos="425"/>
        <w:tab w:val="left" w:pos="851"/>
        <w:tab w:val="left" w:pos="1134"/>
        <w:tab w:val="left" w:pos="1418"/>
      </w:tabs>
      <w:spacing w:after="0" w:line="360" w:lineRule="auto"/>
      <w:ind w:left="357" w:hanging="357"/>
      <w:contextualSpacing/>
      <w:jc w:val="both"/>
    </w:pPr>
    <w:rPr>
      <w:rFonts w:ascii="Times New Roman" w:eastAsia="Times New Roman" w:hAnsi="Times New Roman" w:cs="Times New Roman"/>
      <w:sz w:val="24"/>
      <w:szCs w:val="24"/>
      <w:lang w:val="en-ID"/>
    </w:rPr>
  </w:style>
  <w:style w:type="character" w:customStyle="1" w:styleId="ListParagraphChar">
    <w:name w:val="List Paragraph Char"/>
    <w:aliases w:val="Body of text Char"/>
    <w:basedOn w:val="DefaultParagraphFont"/>
    <w:link w:val="ListParagraph"/>
    <w:uiPriority w:val="1"/>
    <w:rsid w:val="0086422A"/>
    <w:rPr>
      <w:rFonts w:ascii="Times New Roman" w:eastAsia="Times New Roman" w:hAnsi="Times New Roman" w:cs="Times New Roman"/>
      <w:sz w:val="24"/>
      <w:szCs w:val="24"/>
      <w:lang w:val="en-I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achmadfauzan@umm.ac.id" TargetMode="External"/><Relationship Id="rId13" Type="http://schemas.microsoft.com/office/2007/relationships/hdphoto" Target="media/hdphoto1.wdp"/><Relationship Id="rId18" Type="http://schemas.openxmlformats.org/officeDocument/2006/relationships/image" Target="media/image5.png"/><Relationship Id="rId26" Type="http://schemas.openxmlformats.org/officeDocument/2006/relationships/image" Target="media/image10.png"/><Relationship Id="rId3" Type="http://schemas.openxmlformats.org/officeDocument/2006/relationships/styles" Target="styles.xml"/><Relationship Id="rId21" Type="http://schemas.microsoft.com/office/2007/relationships/hdphoto" Target="media/hdphoto5.wdp"/><Relationship Id="rId7" Type="http://schemas.openxmlformats.org/officeDocument/2006/relationships/hyperlink" Target="mailto:dwikristian@webmail.umm.ac.id" TargetMode="External"/><Relationship Id="rId12" Type="http://schemas.openxmlformats.org/officeDocument/2006/relationships/image" Target="media/image2.png"/><Relationship Id="rId17" Type="http://schemas.microsoft.com/office/2007/relationships/hdphoto" Target="media/hdphoto3.wdp"/><Relationship Id="rId25" Type="http://schemas.microsoft.com/office/2007/relationships/hdphoto" Target="media/hdphoto6.wdp"/><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image" Target="media/image6.pn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hyperlink" Target="mailto:andinusa@umm.ac.id" TargetMode="External"/><Relationship Id="rId11" Type="http://schemas.openxmlformats.org/officeDocument/2006/relationships/image" Target="media/image1.png"/><Relationship Id="rId24" Type="http://schemas.openxmlformats.org/officeDocument/2006/relationships/image" Target="media/image9.png"/><Relationship Id="rId5" Type="http://schemas.openxmlformats.org/officeDocument/2006/relationships/webSettings" Target="webSettings.xml"/><Relationship Id="rId15" Type="http://schemas.microsoft.com/office/2007/relationships/hdphoto" Target="media/hdphoto2.wdp"/><Relationship Id="rId23" Type="http://schemas.openxmlformats.org/officeDocument/2006/relationships/image" Target="media/image8.jpeg"/><Relationship Id="rId28" Type="http://schemas.openxmlformats.org/officeDocument/2006/relationships/chart" Target="charts/chart1.xml"/><Relationship Id="rId10" Type="http://schemas.openxmlformats.org/officeDocument/2006/relationships/hyperlink" Target="mailto:miqbalmaulanakwpmb@gmail.com" TargetMode="External"/><Relationship Id="rId19" Type="http://schemas.microsoft.com/office/2007/relationships/hdphoto" Target="media/hdphoto4.wdp"/><Relationship Id="rId4" Type="http://schemas.openxmlformats.org/officeDocument/2006/relationships/settings" Target="settings.xml"/><Relationship Id="rId9" Type="http://schemas.openxmlformats.org/officeDocument/2006/relationships/hyperlink" Target="mailto:mokhtar@umm.ac.id" TargetMode="External"/><Relationship Id="rId14" Type="http://schemas.openxmlformats.org/officeDocument/2006/relationships/image" Target="media/image3.png"/><Relationship Id="rId22" Type="http://schemas.openxmlformats.org/officeDocument/2006/relationships/image" Target="media/image7.jpeg"/><Relationship Id="rId27" Type="http://schemas.microsoft.com/office/2007/relationships/hdphoto" Target="media/hdphoto7.wdp"/><Relationship Id="rId30" Type="http://schemas.openxmlformats.org/officeDocument/2006/relationships/theme" Target="theme/theme1.xml"/></Relationships>
</file>

<file path=word/charts/_rels/chart1.xml.rels><?xml version="1.0" encoding="UTF-8" standalone="yes"?>
<Relationships xmlns="http://schemas.openxmlformats.org/package/2006/relationships"><Relationship Id="rId3" Type="http://schemas.openxmlformats.org/officeDocument/2006/relationships/oleObject" Target="file:///D:\skripsi\Book2.xlsx" TargetMode="External"/><Relationship Id="rId2" Type="http://schemas.microsoft.com/office/2011/relationships/chartColorStyle" Target="colors1.xml"/><Relationship Id="rId1" Type="http://schemas.microsoft.com/office/2011/relationships/chartStyle" Target="style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0831635556045004"/>
          <c:y val="5.595116988809766E-2"/>
          <c:w val="0.8596323623882679"/>
          <c:h val="0.77923038104468878"/>
        </c:manualLayout>
      </c:layout>
      <c:barChart>
        <c:barDir val="col"/>
        <c:grouping val="clustered"/>
        <c:varyColors val="0"/>
        <c:ser>
          <c:idx val="0"/>
          <c:order val="0"/>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mn-lt"/>
                    <a:ea typeface="+mn-ea"/>
                    <a:cs typeface="+mn-cs"/>
                  </a:defRPr>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Sheet1!$A$4:$A$5</c:f>
              <c:strCache>
                <c:ptCount val="2"/>
                <c:pt idx="0">
                  <c:v>R134A</c:v>
                </c:pt>
                <c:pt idx="1">
                  <c:v>R22</c:v>
                </c:pt>
              </c:strCache>
            </c:strRef>
          </c:cat>
          <c:val>
            <c:numRef>
              <c:f>Sheet1!$B$4:$B$5</c:f>
              <c:numCache>
                <c:formatCode>General</c:formatCode>
                <c:ptCount val="2"/>
                <c:pt idx="0">
                  <c:v>20.69</c:v>
                </c:pt>
                <c:pt idx="1">
                  <c:v>17.68</c:v>
                </c:pt>
              </c:numCache>
            </c:numRef>
          </c:val>
          <c:extLst>
            <c:ext xmlns:c16="http://schemas.microsoft.com/office/drawing/2014/chart" uri="{C3380CC4-5D6E-409C-BE32-E72D297353CC}">
              <c16:uniqueId val="{00000000-7576-4886-8005-0986635B5B6D}"/>
            </c:ext>
          </c:extLst>
        </c:ser>
        <c:dLbls>
          <c:dLblPos val="outEnd"/>
          <c:showLegendKey val="0"/>
          <c:showVal val="1"/>
          <c:showCatName val="0"/>
          <c:showSerName val="0"/>
          <c:showPercent val="0"/>
          <c:showBubbleSize val="0"/>
        </c:dLbls>
        <c:gapWidth val="219"/>
        <c:overlap val="-27"/>
        <c:axId val="372236088"/>
        <c:axId val="372240792"/>
      </c:barChart>
      <c:catAx>
        <c:axId val="372236088"/>
        <c:scaling>
          <c:orientation val="minMax"/>
        </c:scaling>
        <c:delete val="0"/>
        <c:axPos val="b"/>
        <c:title>
          <c:tx>
            <c:rich>
              <a:bodyPr rot="0" spcFirstLastPara="1" vertOverflow="ellipsis" vert="horz" wrap="square" anchor="ctr" anchorCtr="1"/>
              <a:lstStyle/>
              <a:p>
                <a:pPr>
                  <a:defRPr sz="1000" b="0" i="0" u="none" strike="noStrike" kern="1200" baseline="0">
                    <a:solidFill>
                      <a:schemeClr val="tx1"/>
                    </a:solidFill>
                    <a:latin typeface="+mn-lt"/>
                    <a:ea typeface="+mn-ea"/>
                    <a:cs typeface="+mn-cs"/>
                  </a:defRPr>
                </a:pPr>
                <a:r>
                  <a:rPr lang="en-US" b="1">
                    <a:solidFill>
                      <a:schemeClr val="tx1"/>
                    </a:solidFill>
                  </a:rPr>
                  <a:t>Refrigerant</a:t>
                </a:r>
                <a:endParaRPr lang="id-ID" b="1">
                  <a:solidFill>
                    <a:schemeClr val="tx1"/>
                  </a:solidFill>
                </a:endParaRPr>
              </a:p>
            </c:rich>
          </c:tx>
          <c:layout>
            <c:manualLayout>
              <c:xMode val="edge"/>
              <c:yMode val="edge"/>
              <c:x val="0.46913257346328213"/>
              <c:y val="0.90405155357614864"/>
            </c:manualLayout>
          </c:layout>
          <c:overlay val="0"/>
          <c:spPr>
            <a:noFill/>
            <a:ln>
              <a:noFill/>
            </a:ln>
            <a:effectLst/>
          </c:spPr>
          <c:txPr>
            <a:bodyPr rot="0" spcFirstLastPara="1" vertOverflow="ellipsis" vert="horz" wrap="square" anchor="ctr" anchorCtr="1"/>
            <a:lstStyle/>
            <a:p>
              <a:pPr>
                <a:defRPr sz="1000" b="0" i="0" u="none" strike="noStrike" kern="1200" baseline="0">
                  <a:solidFill>
                    <a:schemeClr val="tx1"/>
                  </a:solidFill>
                  <a:latin typeface="+mn-lt"/>
                  <a:ea typeface="+mn-ea"/>
                  <a:cs typeface="+mn-cs"/>
                </a:defRPr>
              </a:pPr>
              <a:endParaRPr lang="en-US"/>
            </a:p>
          </c:txPr>
        </c:title>
        <c:numFmt formatCode="General" sourceLinked="1"/>
        <c:majorTickMark val="none"/>
        <c:minorTickMark val="none"/>
        <c:tickLblPos val="nextTo"/>
        <c:spPr>
          <a:noFill/>
          <a:ln w="12700"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chemeClr val="tx1"/>
                </a:solidFill>
                <a:latin typeface="+mn-lt"/>
                <a:ea typeface="+mn-ea"/>
                <a:cs typeface="+mn-cs"/>
              </a:defRPr>
            </a:pPr>
            <a:endParaRPr lang="en-US"/>
          </a:p>
        </c:txPr>
        <c:crossAx val="372240792"/>
        <c:crosses val="autoZero"/>
        <c:auto val="1"/>
        <c:lblAlgn val="ctr"/>
        <c:lblOffset val="100"/>
        <c:noMultiLvlLbl val="0"/>
      </c:catAx>
      <c:valAx>
        <c:axId val="372240792"/>
        <c:scaling>
          <c:orientation val="minMax"/>
          <c:max val="22"/>
          <c:min val="15"/>
        </c:scaling>
        <c:delete val="0"/>
        <c:axPos val="l"/>
        <c:title>
          <c:tx>
            <c:rich>
              <a:bodyPr rot="-5400000" spcFirstLastPara="1" vertOverflow="ellipsis" vert="horz" wrap="square" anchor="ctr" anchorCtr="1"/>
              <a:lstStyle/>
              <a:p>
                <a:pPr>
                  <a:defRPr sz="1000" b="0" i="0" u="none" strike="noStrike" kern="1200" baseline="0">
                    <a:solidFill>
                      <a:schemeClr val="tx1"/>
                    </a:solidFill>
                    <a:latin typeface="+mn-lt"/>
                    <a:ea typeface="+mn-ea"/>
                    <a:cs typeface="+mn-cs"/>
                  </a:defRPr>
                </a:pPr>
                <a:r>
                  <a:rPr lang="en-US" b="1">
                    <a:solidFill>
                      <a:schemeClr val="tx1"/>
                    </a:solidFill>
                    <a:latin typeface="+mn-lt"/>
                  </a:rPr>
                  <a:t>Power</a:t>
                </a:r>
                <a:r>
                  <a:rPr lang="en-US" b="1" baseline="0">
                    <a:solidFill>
                      <a:schemeClr val="tx1"/>
                    </a:solidFill>
                    <a:latin typeface="+mn-lt"/>
                  </a:rPr>
                  <a:t> (kW)</a:t>
                </a:r>
                <a:endParaRPr lang="id-ID" b="1">
                  <a:solidFill>
                    <a:schemeClr val="tx1"/>
                  </a:solidFill>
                  <a:latin typeface="+mn-lt"/>
                </a:endParaRP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solidFill>
                  <a:latin typeface="+mn-lt"/>
                  <a:ea typeface="+mn-ea"/>
                  <a:cs typeface="+mn-cs"/>
                </a:defRPr>
              </a:pPr>
              <a:endParaRPr lang="en-US"/>
            </a:p>
          </c:txPr>
        </c:title>
        <c:numFmt formatCode="General" sourceLinked="1"/>
        <c:majorTickMark val="in"/>
        <c:minorTickMark val="none"/>
        <c:tickLblPos val="nextTo"/>
        <c:spPr>
          <a:noFill/>
          <a:ln w="12700">
            <a:solidFill>
              <a:schemeClr val="tx1"/>
            </a:solidFill>
          </a:ln>
          <a:effectLst/>
        </c:spPr>
        <c:txPr>
          <a:bodyPr rot="-60000000" spcFirstLastPara="1" vertOverflow="ellipsis" vert="horz" wrap="square" anchor="ctr" anchorCtr="1"/>
          <a:lstStyle/>
          <a:p>
            <a:pPr>
              <a:defRPr sz="900" b="0" i="0" u="none" strike="noStrike" kern="1200" baseline="0">
                <a:solidFill>
                  <a:schemeClr val="tx1"/>
                </a:solidFill>
                <a:latin typeface="+mn-lt"/>
                <a:ea typeface="+mn-ea"/>
                <a:cs typeface="+mn-cs"/>
              </a:defRPr>
            </a:pPr>
            <a:endParaRPr lang="en-US"/>
          </a:p>
        </c:txPr>
        <c:crossAx val="372236088"/>
        <c:crosses val="autoZero"/>
        <c:crossBetween val="between"/>
      </c:valAx>
      <c:spPr>
        <a:noFill/>
        <a:ln w="12700">
          <a:solidFill>
            <a:schemeClr val="tx1"/>
          </a:solid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noFill/>
      <a:round/>
    </a:ln>
    <a:effectLst/>
  </c:spPr>
  <c:txPr>
    <a:bodyPr/>
    <a:lstStyle/>
    <a:p>
      <a:pPr algn="just">
        <a:defRPr/>
      </a:pPr>
      <a:endParaRPr lang="en-US"/>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IEEE2006OfficeOnline.xsl" StyleName="IEEE" Version="2006"/>
</file>

<file path=customXml/itemProps1.xml><?xml version="1.0" encoding="utf-8"?>
<ds:datastoreItem xmlns:ds="http://schemas.openxmlformats.org/officeDocument/2006/customXml" ds:itemID="{E1C80DEC-3F6F-418B-AD52-74CA014F574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245</TotalTime>
  <Pages>7</Pages>
  <Words>10119</Words>
  <Characters>57684</Characters>
  <Application>Microsoft Office Word</Application>
  <DocSecurity>0</DocSecurity>
  <Lines>480</Lines>
  <Paragraphs>135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67668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Yosapaht Sumantri</dc:creator>
  <cp:lastModifiedBy>Hp</cp:lastModifiedBy>
  <cp:revision>16</cp:revision>
  <cp:lastPrinted>2019-11-26T03:45:00Z</cp:lastPrinted>
  <dcterms:created xsi:type="dcterms:W3CDTF">2024-08-13T03:01:00Z</dcterms:created>
  <dcterms:modified xsi:type="dcterms:W3CDTF">2024-11-03T03:56:00Z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Document_1">
    <vt:lpwstr>True</vt:lpwstr>
  </property>
  <property fmtid="{D5CDD505-2E9C-101B-9397-08002B2CF9AE}" pid="3" name="Mendeley Unique User Id_1">
    <vt:lpwstr>1907a9e6-d73b-3a50-a3d2-dd7983b236a1</vt:lpwstr>
  </property>
  <property fmtid="{D5CDD505-2E9C-101B-9397-08002B2CF9AE}" pid="4" name="Mendeley Citation Style_1">
    <vt:lpwstr>http://www.zotero.org/styles/ieee</vt:lpwstr>
  </property>
  <property fmtid="{D5CDD505-2E9C-101B-9397-08002B2CF9AE}" pid="5" name="Mendeley Recent Style Id 0_1">
    <vt:lpwstr>http://www.zotero.org/styles/american-medical-association</vt:lpwstr>
  </property>
  <property fmtid="{D5CDD505-2E9C-101B-9397-08002B2CF9AE}" pid="6" name="Mendeley Recent Style Name 0_1">
    <vt:lpwstr>American Medical Association 11th edition</vt:lpwstr>
  </property>
  <property fmtid="{D5CDD505-2E9C-101B-9397-08002B2CF9AE}" pid="7" name="Mendeley Recent Style Id 1_1">
    <vt:lpwstr>http://www.zotero.org/styles/american-political-science-association</vt:lpwstr>
  </property>
  <property fmtid="{D5CDD505-2E9C-101B-9397-08002B2CF9AE}" pid="8" name="Mendeley Recent Style Name 1_1">
    <vt:lpwstr>American Political Science Association</vt:lpwstr>
  </property>
  <property fmtid="{D5CDD505-2E9C-101B-9397-08002B2CF9AE}" pid="9" name="Mendeley Recent Style Id 2_1">
    <vt:lpwstr>http://www.zotero.org/styles/american-sociological-association</vt:lpwstr>
  </property>
  <property fmtid="{D5CDD505-2E9C-101B-9397-08002B2CF9AE}" pid="10" name="Mendeley Recent Style Name 2_1">
    <vt:lpwstr>American Sociological Association 6th/7th edition</vt:lpwstr>
  </property>
  <property fmtid="{D5CDD505-2E9C-101B-9397-08002B2CF9AE}" pid="11" name="Mendeley Recent Style Id 3_1">
    <vt:lpwstr>http://www.zotero.org/styles/chicago-author-date</vt:lpwstr>
  </property>
  <property fmtid="{D5CDD505-2E9C-101B-9397-08002B2CF9AE}" pid="12" name="Mendeley Recent Style Name 3_1">
    <vt:lpwstr>Chicago Manual of Style 17th edition (author-date)</vt:lpwstr>
  </property>
  <property fmtid="{D5CDD505-2E9C-101B-9397-08002B2CF9AE}" pid="13" name="Mendeley Recent Style Id 4_1">
    <vt:lpwstr>http://www.zotero.org/styles/chicago-fullnote-bibliography</vt:lpwstr>
  </property>
  <property fmtid="{D5CDD505-2E9C-101B-9397-08002B2CF9AE}" pid="14" name="Mendeley Recent Style Name 4_1">
    <vt:lpwstr>Chicago Manual of Style 17th edition (full note)</vt:lpwstr>
  </property>
  <property fmtid="{D5CDD505-2E9C-101B-9397-08002B2CF9AE}" pid="15" name="Mendeley Recent Style Id 5_1">
    <vt:lpwstr>http://www.zotero.org/styles/harvard-cite-them-right</vt:lpwstr>
  </property>
  <property fmtid="{D5CDD505-2E9C-101B-9397-08002B2CF9AE}" pid="16" name="Mendeley Recent Style Name 5_1">
    <vt:lpwstr>Cite Them Right 12th edition - Harvard</vt:lpwstr>
  </property>
  <property fmtid="{D5CDD505-2E9C-101B-9397-08002B2CF9AE}" pid="17" name="Mendeley Recent Style Id 6_1">
    <vt:lpwstr>http://www.zotero.org/styles/ieee</vt:lpwstr>
  </property>
  <property fmtid="{D5CDD505-2E9C-101B-9397-08002B2CF9AE}" pid="18" name="Mendeley Recent Style Name 6_1">
    <vt:lpwstr>IEEE</vt:lpwstr>
  </property>
  <property fmtid="{D5CDD505-2E9C-101B-9397-08002B2CF9AE}" pid="19" name="Mendeley Recent Style Id 7_1">
    <vt:lpwstr>http://www.zotero.org/styles/modern-humanities-research-association</vt:lpwstr>
  </property>
  <property fmtid="{D5CDD505-2E9C-101B-9397-08002B2CF9AE}" pid="20" name="Mendeley Recent Style Name 7_1">
    <vt:lpwstr>Modern Humanities Research Association 4th edition (note with bibliography)</vt:lpwstr>
  </property>
  <property fmtid="{D5CDD505-2E9C-101B-9397-08002B2CF9AE}" pid="21" name="Mendeley Recent Style Id 8_1">
    <vt:lpwstr>http://www.zotero.org/styles/modern-language-association</vt:lpwstr>
  </property>
  <property fmtid="{D5CDD505-2E9C-101B-9397-08002B2CF9AE}" pid="22" name="Mendeley Recent Style Name 8_1">
    <vt:lpwstr>Modern Language Association 9th edition</vt:lpwstr>
  </property>
  <property fmtid="{D5CDD505-2E9C-101B-9397-08002B2CF9AE}" pid="23" name="Mendeley Recent Style Id 9_1">
    <vt:lpwstr>http://www.zotero.org/styles/nature</vt:lpwstr>
  </property>
  <property fmtid="{D5CDD505-2E9C-101B-9397-08002B2CF9AE}" pid="24" name="Mendeley Recent Style Name 9_1">
    <vt:lpwstr>Nature</vt:lpwstr>
  </property>
</Properties>
</file>