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14BE2" w14:textId="2E06D816" w:rsidR="00EC0E51" w:rsidRPr="00F23F69" w:rsidRDefault="00F23F69" w:rsidP="00F23F69">
      <w:pPr>
        <w:spacing w:before="1200" w:after="0" w:line="240" w:lineRule="auto"/>
        <w:jc w:val="center"/>
        <w:rPr>
          <w:rFonts w:ascii="Times New Roman" w:hAnsi="Times New Roman" w:cs="Times New Roman"/>
          <w:b/>
          <w:bCs/>
          <w:sz w:val="36"/>
          <w:szCs w:val="36"/>
          <w:lang w:val="en-US"/>
        </w:rPr>
      </w:pPr>
      <w:r w:rsidRPr="00F23F69">
        <w:rPr>
          <w:rFonts w:ascii="Times New Roman" w:hAnsi="Times New Roman" w:cs="Times New Roman"/>
          <w:b/>
          <w:bCs/>
          <w:sz w:val="36"/>
          <w:szCs w:val="36"/>
          <w:lang w:val="en-US"/>
        </w:rPr>
        <w:t>Performance Analysis of a 100-kW Grid-Connected Solar Photovoltaic System at Andijan State Technical Institute</w:t>
      </w:r>
    </w:p>
    <w:p w14:paraId="0F2503FD" w14:textId="295A0F71" w:rsidR="00EC0E51" w:rsidRPr="00F23F69" w:rsidRDefault="00EC0E51" w:rsidP="00F23F69">
      <w:pPr>
        <w:tabs>
          <w:tab w:val="left" w:pos="5925"/>
        </w:tabs>
        <w:spacing w:before="360" w:after="360" w:line="240" w:lineRule="auto"/>
        <w:jc w:val="center"/>
        <w:rPr>
          <w:rFonts w:ascii="Times New Roman" w:hAnsi="Times New Roman"/>
          <w:bCs/>
          <w:color w:val="222222"/>
          <w:sz w:val="28"/>
          <w:szCs w:val="28"/>
          <w:lang w:val="en-US"/>
        </w:rPr>
      </w:pPr>
      <w:r w:rsidRPr="00F23F69">
        <w:rPr>
          <w:rFonts w:ascii="Times New Roman" w:hAnsi="Times New Roman"/>
          <w:bCs/>
          <w:color w:val="222222"/>
          <w:sz w:val="28"/>
          <w:szCs w:val="28"/>
          <w:lang w:val="en-US"/>
        </w:rPr>
        <w:t>D.D.</w:t>
      </w:r>
      <w:r w:rsidR="00F23F69">
        <w:rPr>
          <w:rFonts w:ascii="Times New Roman" w:hAnsi="Times New Roman"/>
          <w:bCs/>
          <w:color w:val="222222"/>
          <w:sz w:val="28"/>
          <w:szCs w:val="28"/>
          <w:lang w:val="en-US"/>
        </w:rPr>
        <w:t xml:space="preserve"> </w:t>
      </w:r>
      <w:proofErr w:type="spellStart"/>
      <w:r w:rsidRPr="00F23F69">
        <w:rPr>
          <w:rFonts w:ascii="Times New Roman" w:hAnsi="Times New Roman"/>
          <w:bCs/>
          <w:color w:val="222222"/>
          <w:sz w:val="28"/>
          <w:szCs w:val="28"/>
          <w:lang w:val="en-US"/>
        </w:rPr>
        <w:t>Islomov</w:t>
      </w:r>
      <w:proofErr w:type="spellEnd"/>
      <w:r w:rsidR="006946B3" w:rsidRPr="00F23F69">
        <w:rPr>
          <w:rFonts w:ascii="Times New Roman" w:hAnsi="Times New Roman"/>
          <w:position w:val="10"/>
          <w:sz w:val="28"/>
          <w:szCs w:val="28"/>
          <w:vertAlign w:val="superscript"/>
          <w:lang w:val="en-US"/>
        </w:rPr>
        <w:t>1</w:t>
      </w:r>
      <w:r w:rsidRPr="00F23F69">
        <w:rPr>
          <w:rFonts w:ascii="Times New Roman" w:hAnsi="Times New Roman"/>
          <w:position w:val="10"/>
          <w:sz w:val="28"/>
          <w:szCs w:val="28"/>
          <w:vertAlign w:val="superscript"/>
          <w:lang w:val="en-US"/>
        </w:rPr>
        <w:t>,</w:t>
      </w:r>
      <w:r w:rsidRPr="00F23F69">
        <w:rPr>
          <w:rFonts w:ascii="Times New Roman" w:hAnsi="Times New Roman"/>
          <w:spacing w:val="-2"/>
          <w:position w:val="10"/>
          <w:sz w:val="28"/>
          <w:szCs w:val="28"/>
          <w:vertAlign w:val="superscript"/>
          <w:lang w:val="en-US"/>
        </w:rPr>
        <w:t xml:space="preserve"> </w:t>
      </w:r>
      <w:r w:rsidR="006946B3" w:rsidRPr="00F23F69">
        <w:rPr>
          <w:rFonts w:ascii="Times New Roman" w:hAnsi="Times New Roman"/>
          <w:position w:val="10"/>
          <w:sz w:val="28"/>
          <w:szCs w:val="28"/>
          <w:vertAlign w:val="superscript"/>
          <w:lang w:val="en-US"/>
        </w:rPr>
        <w:t>a</w:t>
      </w:r>
      <w:r w:rsidRPr="00F23F69">
        <w:rPr>
          <w:rFonts w:ascii="Times New Roman" w:hAnsi="Times New Roman"/>
          <w:position w:val="10"/>
          <w:sz w:val="28"/>
          <w:szCs w:val="28"/>
          <w:vertAlign w:val="superscript"/>
          <w:lang w:val="en-US"/>
        </w:rPr>
        <w:t>)</w:t>
      </w:r>
      <w:r w:rsidR="00F23F69">
        <w:rPr>
          <w:rFonts w:ascii="Times New Roman" w:hAnsi="Times New Roman"/>
          <w:bCs/>
          <w:color w:val="222222"/>
          <w:sz w:val="28"/>
          <w:szCs w:val="28"/>
          <w:lang w:val="uz-Cyrl-UZ"/>
        </w:rPr>
        <w:t xml:space="preserve"> </w:t>
      </w:r>
      <w:r w:rsidR="00F23F69">
        <w:rPr>
          <w:rFonts w:ascii="Times New Roman" w:hAnsi="Times New Roman"/>
          <w:bCs/>
          <w:color w:val="222222"/>
          <w:sz w:val="28"/>
          <w:szCs w:val="28"/>
          <w:lang w:val="en-US"/>
        </w:rPr>
        <w:t>and</w:t>
      </w:r>
      <w:r w:rsidRPr="00F23F69">
        <w:rPr>
          <w:rFonts w:ascii="Times New Roman" w:hAnsi="Times New Roman"/>
          <w:bCs/>
          <w:color w:val="222222"/>
          <w:sz w:val="28"/>
          <w:szCs w:val="28"/>
          <w:lang w:val="en-US"/>
        </w:rPr>
        <w:t xml:space="preserve"> D.D. </w:t>
      </w:r>
      <w:proofErr w:type="spellStart"/>
      <w:r w:rsidRPr="00F23F69">
        <w:rPr>
          <w:rFonts w:ascii="Times New Roman" w:hAnsi="Times New Roman"/>
          <w:bCs/>
          <w:color w:val="222222"/>
          <w:sz w:val="28"/>
          <w:szCs w:val="28"/>
          <w:lang w:val="en-US"/>
        </w:rPr>
        <w:t>Alijanov</w:t>
      </w:r>
      <w:proofErr w:type="spellEnd"/>
      <w:r w:rsidR="00F23F69">
        <w:rPr>
          <w:rFonts w:ascii="Times New Roman" w:hAnsi="Times New Roman"/>
          <w:position w:val="10"/>
          <w:sz w:val="28"/>
          <w:szCs w:val="28"/>
          <w:vertAlign w:val="superscript"/>
          <w:lang w:val="en-US"/>
        </w:rPr>
        <w:t>1</w:t>
      </w:r>
      <w:r w:rsidRPr="00F23F69">
        <w:rPr>
          <w:rFonts w:ascii="Times New Roman" w:hAnsi="Times New Roman"/>
          <w:position w:val="10"/>
          <w:sz w:val="28"/>
          <w:szCs w:val="28"/>
          <w:vertAlign w:val="superscript"/>
          <w:lang w:val="en-US"/>
        </w:rPr>
        <w:t>,</w:t>
      </w:r>
      <w:r w:rsidRPr="00F23F69">
        <w:rPr>
          <w:rFonts w:ascii="Times New Roman" w:hAnsi="Times New Roman"/>
          <w:spacing w:val="-2"/>
          <w:position w:val="10"/>
          <w:sz w:val="28"/>
          <w:szCs w:val="28"/>
          <w:vertAlign w:val="superscript"/>
          <w:lang w:val="en-US"/>
        </w:rPr>
        <w:t xml:space="preserve"> </w:t>
      </w:r>
      <w:r w:rsidR="006946B3" w:rsidRPr="00F23F69">
        <w:rPr>
          <w:rFonts w:ascii="Times New Roman" w:hAnsi="Times New Roman"/>
          <w:position w:val="10"/>
          <w:sz w:val="28"/>
          <w:szCs w:val="28"/>
          <w:vertAlign w:val="superscript"/>
          <w:lang w:val="en-US"/>
        </w:rPr>
        <w:t>b</w:t>
      </w:r>
      <w:r w:rsidRPr="00F23F69">
        <w:rPr>
          <w:rFonts w:ascii="Times New Roman" w:hAnsi="Times New Roman"/>
          <w:position w:val="10"/>
          <w:sz w:val="28"/>
          <w:szCs w:val="28"/>
          <w:vertAlign w:val="superscript"/>
          <w:lang w:val="en-US"/>
        </w:rPr>
        <w:t>)</w:t>
      </w:r>
    </w:p>
    <w:p w14:paraId="19A8416A" w14:textId="77777777" w:rsidR="00F23F69" w:rsidRPr="00F23F69" w:rsidRDefault="00F23F69" w:rsidP="00F23F69">
      <w:pPr>
        <w:tabs>
          <w:tab w:val="left" w:pos="5925"/>
        </w:tabs>
        <w:spacing w:before="360" w:after="360" w:line="240" w:lineRule="auto"/>
        <w:jc w:val="center"/>
        <w:rPr>
          <w:rFonts w:ascii="Times New Roman" w:hAnsi="Times New Roman" w:cs="Times New Roman"/>
          <w:i/>
          <w:color w:val="222222"/>
          <w:sz w:val="20"/>
          <w:szCs w:val="20"/>
          <w:lang w:val="en-US"/>
        </w:rPr>
      </w:pPr>
      <w:r w:rsidRPr="00F23F69">
        <w:rPr>
          <w:rFonts w:ascii="Times New Roman" w:hAnsi="Times New Roman" w:cs="Times New Roman"/>
          <w:iCs/>
          <w:sz w:val="20"/>
          <w:szCs w:val="20"/>
          <w:vertAlign w:val="superscript"/>
          <w:lang w:val="en-US"/>
        </w:rPr>
        <w:t>1</w:t>
      </w:r>
      <w:r w:rsidRPr="00F23F69">
        <w:rPr>
          <w:rFonts w:ascii="Times New Roman" w:hAnsi="Times New Roman" w:cs="Times New Roman"/>
          <w:i/>
          <w:color w:val="222222"/>
          <w:sz w:val="20"/>
          <w:szCs w:val="20"/>
          <w:lang w:val="en-US"/>
        </w:rPr>
        <w:t>Andijan State Technical Institute, Andijan, 170100, Uzbekistan</w:t>
      </w:r>
    </w:p>
    <w:p w14:paraId="2EF60F11" w14:textId="2A29C74E" w:rsidR="00EC0E51" w:rsidRPr="000A4543" w:rsidRDefault="00F23F69" w:rsidP="000A4543">
      <w:pPr>
        <w:spacing w:after="0" w:line="240" w:lineRule="auto"/>
        <w:jc w:val="center"/>
        <w:rPr>
          <w:rFonts w:ascii="Times New Roman" w:hAnsi="Times New Roman" w:cs="Times New Roman"/>
          <w:i/>
          <w:iCs/>
          <w:color w:val="000000" w:themeColor="text1"/>
          <w:sz w:val="20"/>
          <w:szCs w:val="20"/>
          <w:lang w:val="en-US"/>
        </w:rPr>
      </w:pPr>
      <w:r w:rsidRPr="000A4543">
        <w:rPr>
          <w:rFonts w:ascii="Times New Roman" w:hAnsi="Times New Roman" w:cs="Times New Roman"/>
          <w:i/>
          <w:iCs/>
          <w:color w:val="000000" w:themeColor="text1"/>
          <w:position w:val="6"/>
          <w:sz w:val="20"/>
          <w:szCs w:val="20"/>
          <w:vertAlign w:val="superscript"/>
          <w:lang w:val="en-US"/>
        </w:rPr>
        <w:t xml:space="preserve">a) </w:t>
      </w:r>
      <w:r w:rsidR="00EC0E51" w:rsidRPr="000A4543">
        <w:rPr>
          <w:rFonts w:ascii="Times New Roman" w:hAnsi="Times New Roman" w:cs="Times New Roman"/>
          <w:i/>
          <w:iCs/>
          <w:color w:val="000000" w:themeColor="text1"/>
          <w:sz w:val="20"/>
          <w:szCs w:val="20"/>
          <w:lang w:val="en-US"/>
        </w:rPr>
        <w:t>Corresponding author:</w:t>
      </w:r>
      <w:r w:rsidR="009A013B" w:rsidRPr="000A4543">
        <w:rPr>
          <w:rFonts w:ascii="Times New Roman" w:hAnsi="Times New Roman" w:cs="Times New Roman"/>
          <w:i/>
          <w:iCs/>
          <w:color w:val="000000" w:themeColor="text1"/>
          <w:sz w:val="20"/>
          <w:szCs w:val="20"/>
          <w:lang w:val="en-US"/>
        </w:rPr>
        <w:t xml:space="preserve"> </w:t>
      </w:r>
      <w:hyperlink r:id="rId7" w:history="1">
        <w:r w:rsidR="000A4543" w:rsidRPr="000A4543">
          <w:rPr>
            <w:rStyle w:val="af0"/>
            <w:rFonts w:ascii="Times New Roman" w:hAnsi="Times New Roman" w:cs="Times New Roman"/>
            <w:i/>
            <w:iCs/>
            <w:color w:val="000000" w:themeColor="text1"/>
            <w:sz w:val="20"/>
            <w:szCs w:val="20"/>
            <w:u w:val="none"/>
            <w:lang w:val="en-US"/>
          </w:rPr>
          <w:t>islomov_0303@mail.ru</w:t>
        </w:r>
      </w:hyperlink>
      <w:r w:rsidR="000A4543" w:rsidRPr="000A4543">
        <w:rPr>
          <w:rFonts w:ascii="Times New Roman" w:hAnsi="Times New Roman" w:cs="Times New Roman"/>
          <w:i/>
          <w:iCs/>
          <w:color w:val="000000" w:themeColor="text1"/>
          <w:sz w:val="20"/>
          <w:szCs w:val="20"/>
          <w:lang w:val="en-US"/>
        </w:rPr>
        <w:br/>
      </w:r>
      <w:r w:rsidR="006946B3" w:rsidRPr="000A4543">
        <w:rPr>
          <w:rFonts w:ascii="Times New Roman" w:hAnsi="Times New Roman" w:cs="Times New Roman"/>
          <w:i/>
          <w:iCs/>
          <w:color w:val="000000" w:themeColor="text1"/>
          <w:position w:val="6"/>
          <w:sz w:val="20"/>
          <w:szCs w:val="20"/>
          <w:vertAlign w:val="superscript"/>
          <w:lang w:val="en-US"/>
        </w:rPr>
        <w:t>b</w:t>
      </w:r>
      <w:r w:rsidR="00E472CE" w:rsidRPr="000A4543">
        <w:rPr>
          <w:rFonts w:ascii="Times New Roman" w:hAnsi="Times New Roman" w:cs="Times New Roman"/>
          <w:i/>
          <w:iCs/>
          <w:color w:val="000000" w:themeColor="text1"/>
          <w:position w:val="6"/>
          <w:sz w:val="20"/>
          <w:szCs w:val="20"/>
          <w:vertAlign w:val="superscript"/>
          <w:lang w:val="en-US"/>
        </w:rPr>
        <w:t>)</w:t>
      </w:r>
      <w:hyperlink r:id="rId8" w:history="1">
        <w:r w:rsidR="00E472CE" w:rsidRPr="000A4543">
          <w:rPr>
            <w:rStyle w:val="af0"/>
            <w:rFonts w:ascii="Times New Roman" w:hAnsi="Times New Roman" w:cs="Times New Roman"/>
            <w:i/>
            <w:iCs/>
            <w:color w:val="000000" w:themeColor="text1"/>
            <w:sz w:val="20"/>
            <w:szCs w:val="20"/>
            <w:u w:val="none"/>
            <w:lang w:val="en-US"/>
          </w:rPr>
          <w:t>doni.al@mail.ru</w:t>
        </w:r>
      </w:hyperlink>
    </w:p>
    <w:p w14:paraId="3C1A311B" w14:textId="6438C32F" w:rsidR="00DC1941" w:rsidRPr="000A4543" w:rsidRDefault="00A654DA" w:rsidP="000A4543">
      <w:pPr>
        <w:spacing w:before="360" w:after="360" w:line="240" w:lineRule="auto"/>
        <w:ind w:left="289" w:right="289"/>
        <w:jc w:val="both"/>
        <w:rPr>
          <w:rFonts w:ascii="Times New Roman" w:hAnsi="Times New Roman" w:cs="Times New Roman"/>
          <w:sz w:val="18"/>
          <w:szCs w:val="18"/>
          <w:lang w:val="en-US"/>
        </w:rPr>
      </w:pPr>
      <w:r w:rsidRPr="000A4543">
        <w:rPr>
          <w:rFonts w:ascii="Times New Roman" w:hAnsi="Times New Roman" w:cs="Times New Roman"/>
          <w:b/>
          <w:sz w:val="18"/>
          <w:szCs w:val="18"/>
          <w:lang w:val="en-US"/>
        </w:rPr>
        <w:t>Abstract.</w:t>
      </w:r>
      <w:r w:rsidR="00DC1941" w:rsidRPr="000A4543">
        <w:rPr>
          <w:rFonts w:ascii="Times New Roman" w:hAnsi="Times New Roman" w:cs="Times New Roman"/>
          <w:sz w:val="18"/>
          <w:szCs w:val="18"/>
          <w:lang w:val="en-US"/>
        </w:rPr>
        <w:t xml:space="preserve"> </w:t>
      </w:r>
      <w:r w:rsidR="0056345F" w:rsidRPr="000A4543">
        <w:rPr>
          <w:rFonts w:ascii="Times New Roman" w:hAnsi="Times New Roman" w:cs="Times New Roman"/>
          <w:sz w:val="18"/>
          <w:szCs w:val="18"/>
          <w:lang w:val="en-US"/>
        </w:rPr>
        <w:t xml:space="preserve">This article analyzes the effectiveness and operational performance of a 100kW grid-connected solar photovoltaic system located at the Faculty of Electrical Engineering, Andijan State Technical Institute. </w:t>
      </w:r>
      <w:r w:rsidR="00DC1941" w:rsidRPr="000A4543">
        <w:rPr>
          <w:rFonts w:ascii="Times New Roman" w:hAnsi="Times New Roman" w:cs="Times New Roman"/>
          <w:sz w:val="18"/>
          <w:szCs w:val="18"/>
          <w:lang w:val="en-US"/>
        </w:rPr>
        <w:t>The study was conducted in January-December 2024, and it was found that the total electricity generated by the system during the year was 96,974.04 kWh. The annual average intensity of solar radiation in the Andijan region is around 1600–1700 kWh/m², and it was observed that these indicators had a significant impact on the energy production process.</w:t>
      </w:r>
      <w:r w:rsidR="000A4543">
        <w:rPr>
          <w:rFonts w:ascii="Times New Roman" w:hAnsi="Times New Roman" w:cs="Times New Roman"/>
          <w:sz w:val="18"/>
          <w:szCs w:val="18"/>
          <w:lang w:val="en-US"/>
        </w:rPr>
        <w:br/>
      </w:r>
      <w:r w:rsidR="00DC1941" w:rsidRPr="000A4543">
        <w:rPr>
          <w:rFonts w:ascii="Times New Roman" w:hAnsi="Times New Roman" w:cs="Times New Roman"/>
          <w:sz w:val="18"/>
          <w:szCs w:val="18"/>
          <w:lang w:val="en-US"/>
        </w:rPr>
        <w:t xml:space="preserve">The results of the study showed the impact of factors such as seasonal changes, cloudiness, air temperature and dust on the efficiency of the system. For example, while maximum capacity was achieved in the summer months, production decreased significantly in the winter months. </w:t>
      </w:r>
      <w:r w:rsidR="0056345F" w:rsidRPr="000A4543">
        <w:rPr>
          <w:rFonts w:ascii="Times New Roman" w:hAnsi="Times New Roman" w:cs="Times New Roman"/>
          <w:sz w:val="18"/>
          <w:szCs w:val="18"/>
          <w:lang w:val="en-US"/>
        </w:rPr>
        <w:t>The ecological effects of the energy generated by the system were also examined</w:t>
      </w:r>
      <w:r w:rsidR="00DC1941" w:rsidRPr="000A4543">
        <w:rPr>
          <w:rFonts w:ascii="Times New Roman" w:hAnsi="Times New Roman" w:cs="Times New Roman"/>
          <w:sz w:val="18"/>
          <w:szCs w:val="18"/>
          <w:lang w:val="en-US"/>
        </w:rPr>
        <w:t>, and it was found that it made a positive contribution to environmental sustainability through the reduction of carbon dioxide (CO₂) emissions.</w:t>
      </w:r>
      <w:r w:rsidR="000A4543">
        <w:rPr>
          <w:rFonts w:ascii="Times New Roman" w:hAnsi="Times New Roman" w:cs="Times New Roman"/>
          <w:sz w:val="18"/>
          <w:szCs w:val="18"/>
          <w:lang w:val="en-US"/>
        </w:rPr>
        <w:br/>
      </w:r>
      <w:r w:rsidR="00DC1941" w:rsidRPr="000A4543">
        <w:rPr>
          <w:rFonts w:ascii="Times New Roman" w:hAnsi="Times New Roman" w:cs="Times New Roman"/>
          <w:sz w:val="18"/>
          <w:szCs w:val="18"/>
          <w:lang w:val="en-US"/>
        </w:rPr>
        <w:t>While this system was able to cover 25–30% of the institute's electricity demand, a number of proposals were made to improve its efficiency, including measures to ensure module cleanliness, increase inverter efficiency, and install it at an optimal angle. The results of this study provide important recommendations for improving the technical and economic efficiency of solar photovoltaic systems.</w:t>
      </w:r>
    </w:p>
    <w:p w14:paraId="0B10CF92" w14:textId="2EE38350" w:rsidR="008D34CA" w:rsidRPr="00C845C6" w:rsidRDefault="008D34CA" w:rsidP="000A4543">
      <w:pPr>
        <w:spacing w:after="0" w:line="240" w:lineRule="auto"/>
        <w:ind w:left="289" w:right="289"/>
        <w:jc w:val="both"/>
        <w:rPr>
          <w:rFonts w:ascii="Times New Roman" w:hAnsi="Times New Roman" w:cs="Times New Roman"/>
          <w:sz w:val="20"/>
          <w:szCs w:val="24"/>
          <w:lang w:val="en-US"/>
        </w:rPr>
      </w:pPr>
      <w:r w:rsidRPr="00C845C6">
        <w:rPr>
          <w:rFonts w:ascii="Times New Roman" w:hAnsi="Times New Roman" w:cs="Times New Roman"/>
          <w:b/>
          <w:bCs/>
          <w:sz w:val="20"/>
          <w:szCs w:val="24"/>
          <w:lang w:val="en-US"/>
        </w:rPr>
        <w:t>Keywords</w:t>
      </w:r>
      <w:r w:rsidR="00C845C6" w:rsidRPr="00C845C6">
        <w:rPr>
          <w:rFonts w:ascii="Times New Roman" w:hAnsi="Times New Roman" w:cs="Times New Roman"/>
          <w:b/>
          <w:bCs/>
          <w:sz w:val="20"/>
          <w:szCs w:val="24"/>
          <w:lang w:val="en-US"/>
        </w:rPr>
        <w:t xml:space="preserve">: </w:t>
      </w:r>
      <w:r w:rsidR="00C845C6" w:rsidRPr="00C845C6">
        <w:rPr>
          <w:rFonts w:ascii="Times New Roman" w:hAnsi="Times New Roman" w:cs="Times New Roman"/>
          <w:sz w:val="20"/>
          <w:szCs w:val="24"/>
          <w:lang w:val="en-US"/>
        </w:rPr>
        <w:t>Photovoltaic solar system, energy efficiency, economic assessment, environmental effects</w:t>
      </w:r>
      <w:r w:rsidR="001645C6" w:rsidRPr="00C845C6">
        <w:rPr>
          <w:rFonts w:ascii="Times New Roman" w:hAnsi="Times New Roman" w:cs="Times New Roman"/>
          <w:sz w:val="20"/>
          <w:szCs w:val="24"/>
          <w:lang w:val="en-US"/>
        </w:rPr>
        <w:t>, Andijan</w:t>
      </w:r>
    </w:p>
    <w:p w14:paraId="444A15F3" w14:textId="3B5399D2" w:rsidR="00B34A03" w:rsidRPr="000A4543" w:rsidRDefault="00B34A03" w:rsidP="000A4543">
      <w:pPr>
        <w:spacing w:before="240" w:after="240" w:line="240" w:lineRule="auto"/>
        <w:jc w:val="center"/>
        <w:rPr>
          <w:rFonts w:ascii="Times New Roman" w:eastAsia="Times New Roman" w:hAnsi="Times New Roman" w:cs="Times New Roman"/>
          <w:b/>
          <w:bCs/>
          <w:kern w:val="0"/>
          <w:sz w:val="24"/>
          <w:szCs w:val="24"/>
          <w:lang w:val="en-US" w:eastAsia="ru-RU"/>
          <w14:ligatures w14:val="none"/>
        </w:rPr>
      </w:pPr>
      <w:r w:rsidRPr="000A4543">
        <w:rPr>
          <w:rFonts w:ascii="Times New Roman" w:eastAsia="Times New Roman" w:hAnsi="Times New Roman" w:cs="Times New Roman"/>
          <w:b/>
          <w:bCs/>
          <w:kern w:val="0"/>
          <w:sz w:val="24"/>
          <w:szCs w:val="24"/>
          <w:lang w:val="en-US" w:eastAsia="ru-RU"/>
          <w14:ligatures w14:val="none"/>
        </w:rPr>
        <w:t>INTRODUCTION</w:t>
      </w:r>
    </w:p>
    <w:p w14:paraId="272EBA71" w14:textId="23F7D23F" w:rsidR="00C845C6" w:rsidRPr="000F4A62" w:rsidRDefault="00A654DA" w:rsidP="000A4543">
      <w:pPr>
        <w:spacing w:after="0" w:line="240" w:lineRule="auto"/>
        <w:ind w:firstLine="284"/>
        <w:jc w:val="both"/>
        <w:rPr>
          <w:rFonts w:ascii="Times New Roman" w:hAnsi="Times New Roman" w:cs="Times New Roman"/>
          <w:sz w:val="20"/>
          <w:szCs w:val="24"/>
          <w:lang w:val="en-US"/>
        </w:rPr>
      </w:pPr>
      <w:r w:rsidRPr="00C845C6">
        <w:rPr>
          <w:rFonts w:ascii="Times New Roman" w:eastAsia="Times New Roman" w:hAnsi="Times New Roman" w:cs="Times New Roman"/>
          <w:kern w:val="0"/>
          <w:sz w:val="20"/>
          <w:szCs w:val="24"/>
          <w:lang w:val="en-US" w:eastAsia="ru-RU"/>
          <w14:ligatures w14:val="none"/>
        </w:rPr>
        <w:t xml:space="preserve">The electricity production industry in the Republic of Uzbekistan </w:t>
      </w:r>
      <w:r w:rsidR="00C845C6" w:rsidRPr="00C845C6">
        <w:rPr>
          <w:rFonts w:ascii="Times New Roman" w:hAnsi="Times New Roman" w:cs="Times New Roman"/>
          <w:sz w:val="20"/>
          <w:szCs w:val="24"/>
          <w:lang w:val="en-US"/>
        </w:rPr>
        <w:t>has a significant impact on the nation's social and economic progress</w:t>
      </w:r>
      <w:r w:rsidRPr="00C845C6">
        <w:rPr>
          <w:rFonts w:ascii="Times New Roman" w:eastAsia="Times New Roman" w:hAnsi="Times New Roman" w:cs="Times New Roman"/>
          <w:kern w:val="0"/>
          <w:sz w:val="20"/>
          <w:szCs w:val="24"/>
          <w:lang w:val="en-US" w:eastAsia="ru-RU"/>
          <w14:ligatures w14:val="none"/>
        </w:rPr>
        <w:t xml:space="preserve">. Today, the energy sector is undergoing significant changes in terms of production volume and technological modernization. As of 2023, thermal power plants accounted for the majority of electricity production, providing 86% of the total output. </w:t>
      </w:r>
      <w:r w:rsidR="00C845C6" w:rsidRPr="00C845C6">
        <w:rPr>
          <w:rFonts w:ascii="Times New Roman" w:hAnsi="Times New Roman" w:cs="Times New Roman"/>
          <w:sz w:val="20"/>
          <w:szCs w:val="24"/>
          <w:lang w:val="en-US"/>
        </w:rPr>
        <w:t>Renewable energy sources accounted for 14%, with the majority generated by hydroelectric power plants. The proportion of wind and solar energy is steadily rising.</w:t>
      </w:r>
    </w:p>
    <w:p w14:paraId="36C9BFAD" w14:textId="754983CA" w:rsidR="00C845C6" w:rsidRPr="000F4A62" w:rsidRDefault="00C845C6" w:rsidP="000A4543">
      <w:pPr>
        <w:spacing w:after="0" w:line="240" w:lineRule="auto"/>
        <w:ind w:firstLine="284"/>
        <w:jc w:val="both"/>
        <w:rPr>
          <w:rFonts w:ascii="Times New Roman" w:hAnsi="Times New Roman" w:cs="Times New Roman"/>
          <w:sz w:val="20"/>
          <w:szCs w:val="24"/>
          <w:lang w:val="en-US"/>
        </w:rPr>
      </w:pPr>
      <w:r w:rsidRPr="00C845C6">
        <w:rPr>
          <w:rFonts w:ascii="Times New Roman" w:hAnsi="Times New Roman" w:cs="Times New Roman"/>
          <w:sz w:val="20"/>
          <w:szCs w:val="24"/>
          <w:lang w:val="en-US"/>
        </w:rPr>
        <w:t>The Republic of Uzbekistan is implementing strategic initiatives aimed at expanding the adoption of renewable energy sources. Specifically, in accordance with Presidential Decree PQ-103 dated March 9, 2023, and the 'Green Energy' strategy, the country plans to construct solar and wind power stations with a combined capacity of 12,000 MW by the year 2030. In line with these directives, the development of modern solar power facilities has been accelerated in the Andijan region and beyond. As an example, a 100kW solar photovoltaic system was installed on the premises of the Andijan State Technical Institute</w:t>
      </w:r>
    </w:p>
    <w:p w14:paraId="0E5AC36C" w14:textId="74CB3167" w:rsidR="00B34A03" w:rsidRDefault="00A654DA" w:rsidP="000A4543">
      <w:pPr>
        <w:spacing w:after="0" w:line="240" w:lineRule="auto"/>
        <w:ind w:firstLine="284"/>
        <w:jc w:val="both"/>
        <w:rPr>
          <w:rStyle w:val="af1"/>
          <w:rFonts w:ascii="Times New Roman" w:hAnsi="Times New Roman" w:cs="Times New Roman"/>
          <w:sz w:val="20"/>
          <w:szCs w:val="20"/>
          <w:lang w:val="en-US"/>
        </w:rPr>
      </w:pPr>
      <w:r w:rsidRPr="00B34A03">
        <w:rPr>
          <w:rStyle w:val="af1"/>
          <w:rFonts w:ascii="Times New Roman" w:hAnsi="Times New Roman" w:cs="Times New Roman"/>
          <w:sz w:val="20"/>
          <w:szCs w:val="20"/>
          <w:lang w:val="en-US"/>
        </w:rPr>
        <w:t>Dynamics of Electricity Production Volume</w:t>
      </w:r>
    </w:p>
    <w:p w14:paraId="0E3892E1" w14:textId="73F6BFC4" w:rsidR="00A654DA" w:rsidRDefault="00A654DA" w:rsidP="000A4543">
      <w:pPr>
        <w:spacing w:after="0" w:line="240" w:lineRule="auto"/>
        <w:ind w:firstLine="284"/>
        <w:jc w:val="both"/>
        <w:rPr>
          <w:rFonts w:ascii="Times New Roman" w:hAnsi="Times New Roman" w:cs="Times New Roman"/>
          <w:sz w:val="20"/>
          <w:szCs w:val="20"/>
          <w:lang w:val="en-US"/>
        </w:rPr>
      </w:pPr>
      <w:r w:rsidRPr="00B34A03">
        <w:rPr>
          <w:rFonts w:ascii="Times New Roman" w:hAnsi="Times New Roman" w:cs="Times New Roman"/>
          <w:sz w:val="20"/>
          <w:szCs w:val="20"/>
          <w:lang w:val="en-US"/>
        </w:rPr>
        <w:t>Between 2016 and 2023, the volume of electricity production in the Republic of Uzbekistan has shown steady growth. In 2016, the production level was 59.0 billion kWh, and by 2023, it had reached 78.0 billion kWh. During this period, the average annual growth rate was 3.9%. The increase in electricity demand is associated with industrial development, population growth, and the modernization of energy infrastructure [1].</w:t>
      </w:r>
    </w:p>
    <w:p w14:paraId="0D04F5AA" w14:textId="77777777" w:rsidR="000A4543" w:rsidRDefault="000A4543" w:rsidP="000A4543">
      <w:pPr>
        <w:spacing w:after="0" w:line="240" w:lineRule="auto"/>
        <w:ind w:firstLine="284"/>
        <w:jc w:val="both"/>
        <w:rPr>
          <w:rStyle w:val="af1"/>
          <w:rFonts w:ascii="Times New Roman" w:hAnsi="Times New Roman" w:cs="Times New Roman"/>
          <w:sz w:val="20"/>
          <w:szCs w:val="20"/>
          <w:lang w:val="en-US"/>
        </w:rPr>
      </w:pPr>
      <w:r w:rsidRPr="00B34A03">
        <w:rPr>
          <w:rStyle w:val="af1"/>
          <w:rFonts w:ascii="Times New Roman" w:hAnsi="Times New Roman" w:cs="Times New Roman"/>
          <w:sz w:val="20"/>
          <w:szCs w:val="20"/>
          <w:lang w:val="en-US"/>
        </w:rPr>
        <w:t>Forecast for the Next 10 Years</w:t>
      </w:r>
    </w:p>
    <w:p w14:paraId="12511FB3" w14:textId="77777777" w:rsidR="000A4543" w:rsidRPr="00C845C6" w:rsidRDefault="000A4543" w:rsidP="000A4543">
      <w:pPr>
        <w:spacing w:after="0" w:line="240" w:lineRule="auto"/>
        <w:ind w:firstLine="284"/>
        <w:jc w:val="both"/>
        <w:rPr>
          <w:rFonts w:ascii="Times New Roman" w:hAnsi="Times New Roman" w:cs="Times New Roman"/>
          <w:sz w:val="18"/>
          <w:szCs w:val="20"/>
          <w:lang w:val="en-US"/>
        </w:rPr>
      </w:pPr>
      <w:r w:rsidRPr="00C845C6">
        <w:rPr>
          <w:rFonts w:ascii="Times New Roman" w:hAnsi="Times New Roman" w:cs="Times New Roman"/>
          <w:sz w:val="20"/>
          <w:lang w:val="en-US"/>
        </w:rPr>
        <w:t xml:space="preserve">Uzbekistan’s electricity generation is anticipated to steadily increase in the coming years. By 2033, it is forecasted to reach 115.2 billion kWh. This upward trend will be supported by a growing share of renewable energy, the adoption of advanced technologies, and the execution of energy efficiency enhancement programs. </w:t>
      </w:r>
      <w:r w:rsidRPr="000F4A62">
        <w:rPr>
          <w:rFonts w:ascii="Times New Roman" w:hAnsi="Times New Roman" w:cs="Times New Roman"/>
          <w:sz w:val="20"/>
          <w:lang w:val="en-US"/>
        </w:rPr>
        <w:t>In 2024, electricity output is expected to total 81.1 billion kWh</w:t>
      </w:r>
    </w:p>
    <w:p w14:paraId="5C27B96A" w14:textId="3BC11EB4" w:rsidR="000A4543" w:rsidRDefault="000A4543" w:rsidP="000A4543">
      <w:pPr>
        <w:spacing w:after="0" w:line="240" w:lineRule="auto"/>
        <w:ind w:firstLine="284"/>
        <w:jc w:val="both"/>
        <w:rPr>
          <w:rFonts w:ascii="Times New Roman" w:hAnsi="Times New Roman" w:cs="Times New Roman"/>
          <w:sz w:val="20"/>
          <w:szCs w:val="20"/>
          <w:lang w:val="en-US"/>
        </w:rPr>
      </w:pPr>
    </w:p>
    <w:p w14:paraId="7AC3AE23" w14:textId="3FFC713F" w:rsidR="000A4543" w:rsidRDefault="000A4543" w:rsidP="000A4543">
      <w:pPr>
        <w:spacing w:after="0" w:line="240" w:lineRule="auto"/>
        <w:ind w:firstLine="284"/>
        <w:jc w:val="both"/>
        <w:rPr>
          <w:rFonts w:ascii="Times New Roman" w:hAnsi="Times New Roman" w:cs="Times New Roman"/>
          <w:sz w:val="20"/>
          <w:szCs w:val="20"/>
          <w:lang w:val="en-US"/>
        </w:rPr>
      </w:pPr>
    </w:p>
    <w:p w14:paraId="52915387" w14:textId="77777777" w:rsidR="000A4543" w:rsidRPr="00B34A03" w:rsidRDefault="000A4543" w:rsidP="000A4543">
      <w:pPr>
        <w:spacing w:after="0" w:line="240" w:lineRule="auto"/>
        <w:ind w:firstLine="284"/>
        <w:jc w:val="both"/>
        <w:rPr>
          <w:rFonts w:ascii="Times New Roman" w:hAnsi="Times New Roman" w:cs="Times New Roman"/>
          <w:sz w:val="20"/>
          <w:szCs w:val="20"/>
          <w:lang w:val="en-US"/>
        </w:rPr>
      </w:pPr>
    </w:p>
    <w:p w14:paraId="2B678CBE" w14:textId="40B82881" w:rsidR="00A654DA" w:rsidRPr="000A4543" w:rsidRDefault="00B34A03" w:rsidP="000A4543">
      <w:pPr>
        <w:spacing w:before="120" w:after="0" w:line="240" w:lineRule="auto"/>
        <w:jc w:val="center"/>
        <w:rPr>
          <w:rStyle w:val="af1"/>
          <w:rFonts w:ascii="Times New Roman" w:hAnsi="Times New Roman" w:cs="Times New Roman"/>
          <w:b w:val="0"/>
          <w:bCs w:val="0"/>
          <w:sz w:val="18"/>
          <w:szCs w:val="18"/>
          <w:lang w:val="en-US"/>
        </w:rPr>
      </w:pPr>
      <w:r w:rsidRPr="000A4543">
        <w:rPr>
          <w:rFonts w:ascii="Times New Roman" w:hAnsi="Times New Roman" w:cs="Times New Roman"/>
          <w:b/>
          <w:bCs/>
          <w:sz w:val="18"/>
          <w:szCs w:val="18"/>
          <w:lang w:val="en-US"/>
        </w:rPr>
        <w:lastRenderedPageBreak/>
        <w:t>TABLE</w:t>
      </w:r>
      <w:r w:rsidRPr="000A4543">
        <w:rPr>
          <w:rFonts w:ascii="Times New Roman" w:hAnsi="Times New Roman" w:cs="Times New Roman"/>
          <w:b/>
          <w:bCs/>
          <w:spacing w:val="-12"/>
          <w:sz w:val="18"/>
          <w:szCs w:val="18"/>
          <w:lang w:val="en-US"/>
        </w:rPr>
        <w:t xml:space="preserve"> </w:t>
      </w:r>
      <w:r w:rsidR="000A4543" w:rsidRPr="000A4543">
        <w:rPr>
          <w:rFonts w:ascii="Times New Roman" w:hAnsi="Times New Roman" w:cs="Times New Roman"/>
          <w:b/>
          <w:bCs/>
          <w:spacing w:val="-12"/>
          <w:sz w:val="18"/>
          <w:szCs w:val="18"/>
          <w:lang w:val="en-US"/>
        </w:rPr>
        <w:t>1.</w:t>
      </w:r>
      <w:r w:rsidRPr="000A4543">
        <w:rPr>
          <w:rFonts w:ascii="Times New Roman" w:hAnsi="Times New Roman" w:cs="Times New Roman"/>
          <w:spacing w:val="-11"/>
          <w:sz w:val="18"/>
          <w:szCs w:val="18"/>
          <w:lang w:val="en-US"/>
        </w:rPr>
        <w:t xml:space="preserve"> </w:t>
      </w:r>
      <w:r w:rsidR="00A654DA" w:rsidRPr="000A4543">
        <w:rPr>
          <w:rStyle w:val="af1"/>
          <w:rFonts w:ascii="Times New Roman" w:hAnsi="Times New Roman" w:cs="Times New Roman"/>
          <w:b w:val="0"/>
          <w:bCs w:val="0"/>
          <w:sz w:val="18"/>
          <w:szCs w:val="18"/>
          <w:lang w:val="en-US"/>
        </w:rPr>
        <w:t>Dynamics of Electricity Production Volume</w:t>
      </w:r>
    </w:p>
    <w:tbl>
      <w:tblPr>
        <w:tblStyle w:val="ae"/>
        <w:tblW w:w="0" w:type="auto"/>
        <w:jc w:val="center"/>
        <w:tblLook w:val="04A0" w:firstRow="1" w:lastRow="0" w:firstColumn="1" w:lastColumn="0" w:noHBand="0" w:noVBand="1"/>
      </w:tblPr>
      <w:tblGrid>
        <w:gridCol w:w="3093"/>
        <w:gridCol w:w="3098"/>
        <w:gridCol w:w="3095"/>
      </w:tblGrid>
      <w:tr w:rsidR="00A654DA" w:rsidRPr="000A4543" w14:paraId="3B9C4B77" w14:textId="77777777" w:rsidTr="00602518">
        <w:trPr>
          <w:jc w:val="center"/>
        </w:trPr>
        <w:tc>
          <w:tcPr>
            <w:tcW w:w="3093" w:type="dxa"/>
            <w:vAlign w:val="center"/>
          </w:tcPr>
          <w:p w14:paraId="3E8F280B"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b/>
                <w:bCs/>
                <w:sz w:val="18"/>
                <w:szCs w:val="18"/>
                <w:lang w:val="en-US"/>
              </w:rPr>
              <w:t>Years</w:t>
            </w:r>
          </w:p>
        </w:tc>
        <w:tc>
          <w:tcPr>
            <w:tcW w:w="3098" w:type="dxa"/>
            <w:vAlign w:val="center"/>
          </w:tcPr>
          <w:p w14:paraId="150011BB" w14:textId="77777777" w:rsidR="00A654DA" w:rsidRPr="000A4543" w:rsidRDefault="00A654DA" w:rsidP="003002A1">
            <w:pPr>
              <w:jc w:val="center"/>
              <w:rPr>
                <w:rFonts w:ascii="Times New Roman" w:hAnsi="Times New Roman" w:cs="Times New Roman"/>
                <w:b/>
                <w:sz w:val="18"/>
                <w:szCs w:val="18"/>
                <w:lang w:val="en-US"/>
              </w:rPr>
            </w:pPr>
            <w:r w:rsidRPr="000A4543">
              <w:rPr>
                <w:rFonts w:ascii="Times New Roman" w:hAnsi="Times New Roman" w:cs="Times New Roman"/>
                <w:b/>
                <w:sz w:val="18"/>
                <w:szCs w:val="18"/>
              </w:rPr>
              <w:t xml:space="preserve">Production </w:t>
            </w:r>
            <w:proofErr w:type="spellStart"/>
            <w:r w:rsidRPr="000A4543">
              <w:rPr>
                <w:rFonts w:ascii="Times New Roman" w:hAnsi="Times New Roman" w:cs="Times New Roman"/>
                <w:b/>
                <w:sz w:val="18"/>
                <w:szCs w:val="18"/>
              </w:rPr>
              <w:t>Volume</w:t>
            </w:r>
            <w:proofErr w:type="spellEnd"/>
            <w:r w:rsidRPr="000A4543">
              <w:rPr>
                <w:rFonts w:ascii="Times New Roman" w:hAnsi="Times New Roman" w:cs="Times New Roman"/>
                <w:b/>
                <w:sz w:val="18"/>
                <w:szCs w:val="18"/>
              </w:rPr>
              <w:t xml:space="preserve"> (</w:t>
            </w:r>
            <w:proofErr w:type="spellStart"/>
            <w:r w:rsidRPr="000A4543">
              <w:rPr>
                <w:rFonts w:ascii="Times New Roman" w:hAnsi="Times New Roman" w:cs="Times New Roman"/>
                <w:b/>
                <w:sz w:val="18"/>
                <w:szCs w:val="18"/>
              </w:rPr>
              <w:t>billion</w:t>
            </w:r>
            <w:proofErr w:type="spellEnd"/>
            <w:r w:rsidRPr="000A4543">
              <w:rPr>
                <w:rFonts w:ascii="Times New Roman" w:hAnsi="Times New Roman" w:cs="Times New Roman"/>
                <w:b/>
                <w:sz w:val="18"/>
                <w:szCs w:val="18"/>
              </w:rPr>
              <w:t xml:space="preserve"> </w:t>
            </w:r>
            <w:proofErr w:type="spellStart"/>
            <w:r w:rsidRPr="000A4543">
              <w:rPr>
                <w:rFonts w:ascii="Times New Roman" w:hAnsi="Times New Roman" w:cs="Times New Roman"/>
                <w:b/>
                <w:sz w:val="18"/>
                <w:szCs w:val="18"/>
              </w:rPr>
              <w:t>kWh</w:t>
            </w:r>
            <w:proofErr w:type="spellEnd"/>
            <w:r w:rsidRPr="000A4543">
              <w:rPr>
                <w:rFonts w:ascii="Times New Roman" w:hAnsi="Times New Roman" w:cs="Times New Roman"/>
                <w:b/>
                <w:sz w:val="18"/>
                <w:szCs w:val="18"/>
              </w:rPr>
              <w:t>)</w:t>
            </w:r>
          </w:p>
        </w:tc>
        <w:tc>
          <w:tcPr>
            <w:tcW w:w="3095" w:type="dxa"/>
            <w:vAlign w:val="center"/>
          </w:tcPr>
          <w:p w14:paraId="3EB4DD58" w14:textId="77777777" w:rsidR="00A654DA" w:rsidRPr="000A4543" w:rsidRDefault="00A654DA" w:rsidP="003002A1">
            <w:pPr>
              <w:jc w:val="center"/>
              <w:rPr>
                <w:rFonts w:ascii="Times New Roman" w:hAnsi="Times New Roman" w:cs="Times New Roman"/>
                <w:b/>
                <w:sz w:val="18"/>
                <w:szCs w:val="18"/>
                <w:lang w:val="en-US"/>
              </w:rPr>
            </w:pPr>
            <w:proofErr w:type="spellStart"/>
            <w:r w:rsidRPr="000A4543">
              <w:rPr>
                <w:rFonts w:ascii="Times New Roman" w:hAnsi="Times New Roman" w:cs="Times New Roman"/>
                <w:b/>
                <w:sz w:val="18"/>
                <w:szCs w:val="18"/>
              </w:rPr>
              <w:t>Annual</w:t>
            </w:r>
            <w:proofErr w:type="spellEnd"/>
            <w:r w:rsidRPr="000A4543">
              <w:rPr>
                <w:rFonts w:ascii="Times New Roman" w:hAnsi="Times New Roman" w:cs="Times New Roman"/>
                <w:b/>
                <w:sz w:val="18"/>
                <w:szCs w:val="18"/>
              </w:rPr>
              <w:t xml:space="preserve"> Growth Rate (%)</w:t>
            </w:r>
          </w:p>
        </w:tc>
      </w:tr>
      <w:tr w:rsidR="00A654DA" w:rsidRPr="000A4543" w14:paraId="5015A067" w14:textId="77777777" w:rsidTr="00602518">
        <w:trPr>
          <w:jc w:val="center"/>
        </w:trPr>
        <w:tc>
          <w:tcPr>
            <w:tcW w:w="3093" w:type="dxa"/>
            <w:vAlign w:val="center"/>
          </w:tcPr>
          <w:p w14:paraId="7607ED8B"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2016</w:t>
            </w:r>
          </w:p>
        </w:tc>
        <w:tc>
          <w:tcPr>
            <w:tcW w:w="3098" w:type="dxa"/>
            <w:vAlign w:val="center"/>
          </w:tcPr>
          <w:p w14:paraId="2930DB1E"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59,0</w:t>
            </w:r>
          </w:p>
        </w:tc>
        <w:tc>
          <w:tcPr>
            <w:tcW w:w="3095" w:type="dxa"/>
            <w:vAlign w:val="center"/>
          </w:tcPr>
          <w:p w14:paraId="5252DDD9"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w:t>
            </w:r>
          </w:p>
        </w:tc>
      </w:tr>
      <w:tr w:rsidR="00A654DA" w:rsidRPr="000A4543" w14:paraId="2106CB54" w14:textId="77777777" w:rsidTr="00602518">
        <w:trPr>
          <w:jc w:val="center"/>
        </w:trPr>
        <w:tc>
          <w:tcPr>
            <w:tcW w:w="3093" w:type="dxa"/>
            <w:vAlign w:val="center"/>
          </w:tcPr>
          <w:p w14:paraId="68B76FB3"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2017</w:t>
            </w:r>
          </w:p>
        </w:tc>
        <w:tc>
          <w:tcPr>
            <w:tcW w:w="3098" w:type="dxa"/>
            <w:vAlign w:val="center"/>
          </w:tcPr>
          <w:p w14:paraId="60450F86"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60,7</w:t>
            </w:r>
          </w:p>
        </w:tc>
        <w:tc>
          <w:tcPr>
            <w:tcW w:w="3095" w:type="dxa"/>
            <w:vAlign w:val="center"/>
          </w:tcPr>
          <w:p w14:paraId="54717E4A"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2,88</w:t>
            </w:r>
          </w:p>
        </w:tc>
      </w:tr>
      <w:tr w:rsidR="00A654DA" w:rsidRPr="000A4543" w14:paraId="74BB4534" w14:textId="77777777" w:rsidTr="00602518">
        <w:trPr>
          <w:jc w:val="center"/>
        </w:trPr>
        <w:tc>
          <w:tcPr>
            <w:tcW w:w="3093" w:type="dxa"/>
            <w:vAlign w:val="center"/>
          </w:tcPr>
          <w:p w14:paraId="1CB32551"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2018</w:t>
            </w:r>
          </w:p>
        </w:tc>
        <w:tc>
          <w:tcPr>
            <w:tcW w:w="3098" w:type="dxa"/>
            <w:vAlign w:val="center"/>
          </w:tcPr>
          <w:p w14:paraId="1FAB5910"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62,8</w:t>
            </w:r>
          </w:p>
        </w:tc>
        <w:tc>
          <w:tcPr>
            <w:tcW w:w="3095" w:type="dxa"/>
            <w:vAlign w:val="center"/>
          </w:tcPr>
          <w:p w14:paraId="0B847CFA"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3,46</w:t>
            </w:r>
          </w:p>
        </w:tc>
      </w:tr>
      <w:tr w:rsidR="00A654DA" w:rsidRPr="000A4543" w14:paraId="64D20B10" w14:textId="77777777" w:rsidTr="00602518">
        <w:trPr>
          <w:jc w:val="center"/>
        </w:trPr>
        <w:tc>
          <w:tcPr>
            <w:tcW w:w="3093" w:type="dxa"/>
            <w:vAlign w:val="center"/>
          </w:tcPr>
          <w:p w14:paraId="4F5AD98B"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2019</w:t>
            </w:r>
          </w:p>
        </w:tc>
        <w:tc>
          <w:tcPr>
            <w:tcW w:w="3098" w:type="dxa"/>
            <w:vAlign w:val="center"/>
          </w:tcPr>
          <w:p w14:paraId="6B589ADC"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63,6</w:t>
            </w:r>
          </w:p>
        </w:tc>
        <w:tc>
          <w:tcPr>
            <w:tcW w:w="3095" w:type="dxa"/>
            <w:vAlign w:val="center"/>
          </w:tcPr>
          <w:p w14:paraId="4139E34E"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1,27</w:t>
            </w:r>
          </w:p>
        </w:tc>
      </w:tr>
      <w:tr w:rsidR="00A654DA" w:rsidRPr="000A4543" w14:paraId="4D4F6C25" w14:textId="77777777" w:rsidTr="00602518">
        <w:trPr>
          <w:jc w:val="center"/>
        </w:trPr>
        <w:tc>
          <w:tcPr>
            <w:tcW w:w="3093" w:type="dxa"/>
            <w:vAlign w:val="center"/>
          </w:tcPr>
          <w:p w14:paraId="68FF5BF2"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2020</w:t>
            </w:r>
          </w:p>
        </w:tc>
        <w:tc>
          <w:tcPr>
            <w:tcW w:w="3098" w:type="dxa"/>
            <w:vAlign w:val="center"/>
          </w:tcPr>
          <w:p w14:paraId="27774BC6"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66,4</w:t>
            </w:r>
          </w:p>
        </w:tc>
        <w:tc>
          <w:tcPr>
            <w:tcW w:w="3095" w:type="dxa"/>
            <w:vAlign w:val="center"/>
          </w:tcPr>
          <w:p w14:paraId="26A2C43F"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4,40</w:t>
            </w:r>
          </w:p>
        </w:tc>
      </w:tr>
      <w:tr w:rsidR="00A654DA" w:rsidRPr="000A4543" w14:paraId="72A9D6E8" w14:textId="77777777" w:rsidTr="00602518">
        <w:trPr>
          <w:jc w:val="center"/>
        </w:trPr>
        <w:tc>
          <w:tcPr>
            <w:tcW w:w="3093" w:type="dxa"/>
            <w:vAlign w:val="center"/>
          </w:tcPr>
          <w:p w14:paraId="7AF49750"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2021</w:t>
            </w:r>
          </w:p>
        </w:tc>
        <w:tc>
          <w:tcPr>
            <w:tcW w:w="3098" w:type="dxa"/>
            <w:vAlign w:val="center"/>
          </w:tcPr>
          <w:p w14:paraId="145DCA08"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71,3</w:t>
            </w:r>
          </w:p>
        </w:tc>
        <w:tc>
          <w:tcPr>
            <w:tcW w:w="3095" w:type="dxa"/>
            <w:vAlign w:val="center"/>
          </w:tcPr>
          <w:p w14:paraId="6D1C5305"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7,38</w:t>
            </w:r>
          </w:p>
        </w:tc>
      </w:tr>
      <w:tr w:rsidR="00A654DA" w:rsidRPr="000A4543" w14:paraId="51515635" w14:textId="77777777" w:rsidTr="00602518">
        <w:trPr>
          <w:jc w:val="center"/>
        </w:trPr>
        <w:tc>
          <w:tcPr>
            <w:tcW w:w="3093" w:type="dxa"/>
            <w:vAlign w:val="center"/>
          </w:tcPr>
          <w:p w14:paraId="78A6784A"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2022</w:t>
            </w:r>
          </w:p>
        </w:tc>
        <w:tc>
          <w:tcPr>
            <w:tcW w:w="3098" w:type="dxa"/>
            <w:vAlign w:val="center"/>
          </w:tcPr>
          <w:p w14:paraId="2561B262"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74,3</w:t>
            </w:r>
          </w:p>
        </w:tc>
        <w:tc>
          <w:tcPr>
            <w:tcW w:w="3095" w:type="dxa"/>
            <w:vAlign w:val="center"/>
          </w:tcPr>
          <w:p w14:paraId="30052B0D"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4,21</w:t>
            </w:r>
          </w:p>
        </w:tc>
      </w:tr>
      <w:tr w:rsidR="00A654DA" w:rsidRPr="000A4543" w14:paraId="1F044B19" w14:textId="77777777" w:rsidTr="00602518">
        <w:trPr>
          <w:jc w:val="center"/>
        </w:trPr>
        <w:tc>
          <w:tcPr>
            <w:tcW w:w="3093" w:type="dxa"/>
            <w:vAlign w:val="center"/>
          </w:tcPr>
          <w:p w14:paraId="386509D8"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2023</w:t>
            </w:r>
          </w:p>
        </w:tc>
        <w:tc>
          <w:tcPr>
            <w:tcW w:w="3098" w:type="dxa"/>
            <w:vAlign w:val="center"/>
          </w:tcPr>
          <w:p w14:paraId="17376E1A"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78,0</w:t>
            </w:r>
          </w:p>
        </w:tc>
        <w:tc>
          <w:tcPr>
            <w:tcW w:w="3095" w:type="dxa"/>
            <w:vAlign w:val="center"/>
          </w:tcPr>
          <w:p w14:paraId="44878BA0" w14:textId="77777777" w:rsidR="00A654DA" w:rsidRPr="000A4543" w:rsidRDefault="00A654DA" w:rsidP="003002A1">
            <w:pPr>
              <w:jc w:val="center"/>
              <w:rPr>
                <w:rFonts w:ascii="Times New Roman" w:hAnsi="Times New Roman" w:cs="Times New Roman"/>
                <w:sz w:val="18"/>
                <w:szCs w:val="18"/>
                <w:lang w:val="en-US"/>
              </w:rPr>
            </w:pPr>
            <w:r w:rsidRPr="000A4543">
              <w:rPr>
                <w:rFonts w:ascii="Times New Roman" w:hAnsi="Times New Roman" w:cs="Times New Roman"/>
                <w:sz w:val="18"/>
                <w:szCs w:val="18"/>
              </w:rPr>
              <w:t>4,98</w:t>
            </w:r>
          </w:p>
        </w:tc>
      </w:tr>
    </w:tbl>
    <w:p w14:paraId="6D5BED22" w14:textId="31664BFE" w:rsidR="00A654DA" w:rsidRPr="000A4543" w:rsidRDefault="004C1324" w:rsidP="000A4543">
      <w:pPr>
        <w:spacing w:before="120" w:after="0" w:line="240" w:lineRule="auto"/>
        <w:jc w:val="center"/>
        <w:rPr>
          <w:rFonts w:ascii="Times New Roman" w:hAnsi="Times New Roman" w:cs="Times New Roman"/>
          <w:sz w:val="18"/>
          <w:szCs w:val="18"/>
          <w:lang w:val="en-US"/>
        </w:rPr>
      </w:pPr>
      <w:r w:rsidRPr="000A4543">
        <w:rPr>
          <w:rFonts w:ascii="Times New Roman" w:hAnsi="Times New Roman" w:cs="Times New Roman"/>
          <w:b/>
          <w:bCs/>
          <w:sz w:val="18"/>
          <w:szCs w:val="18"/>
          <w:lang w:val="en-US"/>
        </w:rPr>
        <w:t>TABLE</w:t>
      </w:r>
      <w:r w:rsidRPr="000A4543">
        <w:rPr>
          <w:rFonts w:ascii="Times New Roman" w:hAnsi="Times New Roman" w:cs="Times New Roman"/>
          <w:b/>
          <w:bCs/>
          <w:spacing w:val="-12"/>
          <w:sz w:val="18"/>
          <w:szCs w:val="18"/>
          <w:lang w:val="en-US"/>
        </w:rPr>
        <w:t xml:space="preserve"> </w:t>
      </w:r>
      <w:r w:rsidR="000A4543" w:rsidRPr="000A4543">
        <w:rPr>
          <w:rFonts w:ascii="Times New Roman" w:hAnsi="Times New Roman" w:cs="Times New Roman"/>
          <w:b/>
          <w:bCs/>
          <w:spacing w:val="-12"/>
          <w:sz w:val="18"/>
          <w:szCs w:val="18"/>
          <w:lang w:val="en-US"/>
        </w:rPr>
        <w:t>2.</w:t>
      </w:r>
      <w:r w:rsidRPr="000A4543">
        <w:rPr>
          <w:rFonts w:ascii="Times New Roman" w:hAnsi="Times New Roman" w:cs="Times New Roman"/>
          <w:spacing w:val="-11"/>
          <w:sz w:val="18"/>
          <w:szCs w:val="18"/>
          <w:lang w:val="en-US"/>
        </w:rPr>
        <w:t xml:space="preserve"> </w:t>
      </w:r>
      <w:r w:rsidRPr="000A4543">
        <w:rPr>
          <w:rStyle w:val="af1"/>
          <w:rFonts w:ascii="Times New Roman" w:hAnsi="Times New Roman" w:cs="Times New Roman"/>
          <w:sz w:val="18"/>
          <w:szCs w:val="18"/>
          <w:lang w:val="en-US"/>
        </w:rPr>
        <w:t xml:space="preserve"> </w:t>
      </w:r>
      <w:r w:rsidR="00A654DA" w:rsidRPr="000A4543">
        <w:rPr>
          <w:rFonts w:ascii="Times New Roman" w:hAnsi="Times New Roman" w:cs="Times New Roman"/>
          <w:sz w:val="18"/>
          <w:szCs w:val="18"/>
          <w:lang w:val="en-US"/>
        </w:rPr>
        <w:t>Forecast for the Next 10 Years</w:t>
      </w:r>
    </w:p>
    <w:tbl>
      <w:tblPr>
        <w:tblStyle w:val="ae"/>
        <w:tblW w:w="0" w:type="auto"/>
        <w:jc w:val="center"/>
        <w:tblLook w:val="04A0" w:firstRow="1" w:lastRow="0" w:firstColumn="1" w:lastColumn="0" w:noHBand="0" w:noVBand="1"/>
      </w:tblPr>
      <w:tblGrid>
        <w:gridCol w:w="3115"/>
        <w:gridCol w:w="3115"/>
      </w:tblGrid>
      <w:tr w:rsidR="00A654DA" w:rsidRPr="00BA5DE6" w14:paraId="5EC4BFC0" w14:textId="77777777" w:rsidTr="00602518">
        <w:trPr>
          <w:jc w:val="center"/>
        </w:trPr>
        <w:tc>
          <w:tcPr>
            <w:tcW w:w="3115" w:type="dxa"/>
            <w:vAlign w:val="center"/>
          </w:tcPr>
          <w:p w14:paraId="2DAD2EDF"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b/>
                <w:bCs/>
                <w:sz w:val="18"/>
                <w:szCs w:val="18"/>
                <w:lang w:val="en-US"/>
              </w:rPr>
              <w:t>Years</w:t>
            </w:r>
          </w:p>
        </w:tc>
        <w:tc>
          <w:tcPr>
            <w:tcW w:w="3115" w:type="dxa"/>
            <w:vAlign w:val="center"/>
          </w:tcPr>
          <w:p w14:paraId="67EBDE87" w14:textId="7932A7E4" w:rsidR="00A654DA" w:rsidRPr="003002A1" w:rsidRDefault="00A654DA" w:rsidP="003002A1">
            <w:pPr>
              <w:jc w:val="center"/>
              <w:rPr>
                <w:rFonts w:ascii="Times New Roman" w:hAnsi="Times New Roman" w:cs="Times New Roman"/>
                <w:b/>
                <w:sz w:val="18"/>
                <w:szCs w:val="18"/>
                <w:lang w:val="en-US"/>
              </w:rPr>
            </w:pPr>
            <w:r w:rsidRPr="003002A1">
              <w:rPr>
                <w:rFonts w:ascii="Times New Roman" w:hAnsi="Times New Roman" w:cs="Times New Roman"/>
                <w:b/>
                <w:sz w:val="18"/>
                <w:szCs w:val="18"/>
                <w:lang w:val="en-US"/>
              </w:rPr>
              <w:t xml:space="preserve">Projected Production Volume </w:t>
            </w:r>
            <w:r w:rsidR="003002A1">
              <w:rPr>
                <w:rFonts w:ascii="Times New Roman" w:hAnsi="Times New Roman" w:cs="Times New Roman"/>
                <w:b/>
                <w:sz w:val="18"/>
                <w:szCs w:val="18"/>
                <w:lang w:val="en-US"/>
              </w:rPr>
              <w:br/>
            </w:r>
            <w:r w:rsidRPr="003002A1">
              <w:rPr>
                <w:rFonts w:ascii="Times New Roman" w:hAnsi="Times New Roman" w:cs="Times New Roman"/>
                <w:b/>
                <w:sz w:val="18"/>
                <w:szCs w:val="18"/>
                <w:lang w:val="en-US"/>
              </w:rPr>
              <w:t>(billion kWh)</w:t>
            </w:r>
          </w:p>
        </w:tc>
      </w:tr>
      <w:tr w:rsidR="00A654DA" w:rsidRPr="003002A1" w14:paraId="58ABCF31" w14:textId="77777777" w:rsidTr="00602518">
        <w:trPr>
          <w:jc w:val="center"/>
        </w:trPr>
        <w:tc>
          <w:tcPr>
            <w:tcW w:w="3115" w:type="dxa"/>
            <w:vAlign w:val="center"/>
          </w:tcPr>
          <w:p w14:paraId="3CFD195E"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2024</w:t>
            </w:r>
          </w:p>
        </w:tc>
        <w:tc>
          <w:tcPr>
            <w:tcW w:w="3115" w:type="dxa"/>
            <w:vAlign w:val="center"/>
          </w:tcPr>
          <w:p w14:paraId="54C30536"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81,1</w:t>
            </w:r>
          </w:p>
        </w:tc>
      </w:tr>
      <w:tr w:rsidR="00A654DA" w:rsidRPr="003002A1" w14:paraId="348FB25B" w14:textId="77777777" w:rsidTr="00602518">
        <w:trPr>
          <w:jc w:val="center"/>
        </w:trPr>
        <w:tc>
          <w:tcPr>
            <w:tcW w:w="3115" w:type="dxa"/>
            <w:vAlign w:val="center"/>
          </w:tcPr>
          <w:p w14:paraId="52387E31"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2025</w:t>
            </w:r>
          </w:p>
        </w:tc>
        <w:tc>
          <w:tcPr>
            <w:tcW w:w="3115" w:type="dxa"/>
            <w:vAlign w:val="center"/>
          </w:tcPr>
          <w:p w14:paraId="5C4DED26"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84,3</w:t>
            </w:r>
          </w:p>
        </w:tc>
      </w:tr>
      <w:tr w:rsidR="00A654DA" w:rsidRPr="003002A1" w14:paraId="6128AFED" w14:textId="77777777" w:rsidTr="00602518">
        <w:trPr>
          <w:jc w:val="center"/>
        </w:trPr>
        <w:tc>
          <w:tcPr>
            <w:tcW w:w="3115" w:type="dxa"/>
            <w:vAlign w:val="center"/>
          </w:tcPr>
          <w:p w14:paraId="07BA27F3"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2026</w:t>
            </w:r>
          </w:p>
        </w:tc>
        <w:tc>
          <w:tcPr>
            <w:tcW w:w="3115" w:type="dxa"/>
            <w:vAlign w:val="center"/>
          </w:tcPr>
          <w:p w14:paraId="0B9B556B"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87,7</w:t>
            </w:r>
          </w:p>
        </w:tc>
      </w:tr>
      <w:tr w:rsidR="00A654DA" w:rsidRPr="003002A1" w14:paraId="052E88B4" w14:textId="77777777" w:rsidTr="00602518">
        <w:trPr>
          <w:jc w:val="center"/>
        </w:trPr>
        <w:tc>
          <w:tcPr>
            <w:tcW w:w="3115" w:type="dxa"/>
            <w:vAlign w:val="center"/>
          </w:tcPr>
          <w:p w14:paraId="70F210EE"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2027</w:t>
            </w:r>
          </w:p>
        </w:tc>
        <w:tc>
          <w:tcPr>
            <w:tcW w:w="3115" w:type="dxa"/>
            <w:vAlign w:val="center"/>
          </w:tcPr>
          <w:p w14:paraId="118061A4"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91,2</w:t>
            </w:r>
          </w:p>
        </w:tc>
      </w:tr>
      <w:tr w:rsidR="00A654DA" w:rsidRPr="003002A1" w14:paraId="13462C73" w14:textId="77777777" w:rsidTr="00602518">
        <w:trPr>
          <w:jc w:val="center"/>
        </w:trPr>
        <w:tc>
          <w:tcPr>
            <w:tcW w:w="3115" w:type="dxa"/>
            <w:vAlign w:val="center"/>
          </w:tcPr>
          <w:p w14:paraId="653F16BD"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2028</w:t>
            </w:r>
          </w:p>
        </w:tc>
        <w:tc>
          <w:tcPr>
            <w:tcW w:w="3115" w:type="dxa"/>
            <w:vAlign w:val="center"/>
          </w:tcPr>
          <w:p w14:paraId="40583716"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94,8</w:t>
            </w:r>
          </w:p>
        </w:tc>
      </w:tr>
      <w:tr w:rsidR="00A654DA" w:rsidRPr="003002A1" w14:paraId="0AF5D731" w14:textId="77777777" w:rsidTr="00602518">
        <w:trPr>
          <w:jc w:val="center"/>
        </w:trPr>
        <w:tc>
          <w:tcPr>
            <w:tcW w:w="3115" w:type="dxa"/>
            <w:vAlign w:val="center"/>
          </w:tcPr>
          <w:p w14:paraId="0623E902"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2029</w:t>
            </w:r>
          </w:p>
        </w:tc>
        <w:tc>
          <w:tcPr>
            <w:tcW w:w="3115" w:type="dxa"/>
            <w:vAlign w:val="center"/>
          </w:tcPr>
          <w:p w14:paraId="2AAEB22B"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98,6</w:t>
            </w:r>
          </w:p>
        </w:tc>
      </w:tr>
      <w:tr w:rsidR="00A654DA" w:rsidRPr="003002A1" w14:paraId="5892A4FC" w14:textId="77777777" w:rsidTr="00602518">
        <w:trPr>
          <w:jc w:val="center"/>
        </w:trPr>
        <w:tc>
          <w:tcPr>
            <w:tcW w:w="3115" w:type="dxa"/>
            <w:vAlign w:val="center"/>
          </w:tcPr>
          <w:p w14:paraId="144D35CA"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2030</w:t>
            </w:r>
          </w:p>
        </w:tc>
        <w:tc>
          <w:tcPr>
            <w:tcW w:w="3115" w:type="dxa"/>
            <w:vAlign w:val="center"/>
          </w:tcPr>
          <w:p w14:paraId="711548B1"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102,5</w:t>
            </w:r>
          </w:p>
        </w:tc>
      </w:tr>
      <w:tr w:rsidR="00A654DA" w:rsidRPr="003002A1" w14:paraId="66D6A25E" w14:textId="77777777" w:rsidTr="00602518">
        <w:trPr>
          <w:jc w:val="center"/>
        </w:trPr>
        <w:tc>
          <w:tcPr>
            <w:tcW w:w="3115" w:type="dxa"/>
            <w:vAlign w:val="center"/>
          </w:tcPr>
          <w:p w14:paraId="0CD04CF7"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2031</w:t>
            </w:r>
          </w:p>
        </w:tc>
        <w:tc>
          <w:tcPr>
            <w:tcW w:w="3115" w:type="dxa"/>
            <w:vAlign w:val="center"/>
          </w:tcPr>
          <w:p w14:paraId="2E25450C" w14:textId="77777777" w:rsidR="00A654DA" w:rsidRPr="003002A1" w:rsidRDefault="00A654DA" w:rsidP="003002A1">
            <w:pPr>
              <w:jc w:val="center"/>
              <w:rPr>
                <w:rFonts w:ascii="Times New Roman" w:hAnsi="Times New Roman" w:cs="Times New Roman"/>
                <w:sz w:val="18"/>
                <w:szCs w:val="18"/>
                <w:lang w:val="en-US"/>
              </w:rPr>
            </w:pPr>
            <w:r w:rsidRPr="003002A1">
              <w:rPr>
                <w:rFonts w:ascii="Times New Roman" w:hAnsi="Times New Roman" w:cs="Times New Roman"/>
                <w:sz w:val="18"/>
                <w:szCs w:val="18"/>
              </w:rPr>
              <w:t>106,6</w:t>
            </w:r>
          </w:p>
        </w:tc>
      </w:tr>
      <w:tr w:rsidR="00A654DA" w:rsidRPr="003002A1" w14:paraId="65A88F3A" w14:textId="77777777" w:rsidTr="00602518">
        <w:trPr>
          <w:jc w:val="center"/>
        </w:trPr>
        <w:tc>
          <w:tcPr>
            <w:tcW w:w="3115" w:type="dxa"/>
            <w:vAlign w:val="center"/>
          </w:tcPr>
          <w:p w14:paraId="531FD527" w14:textId="77777777" w:rsidR="00A654DA" w:rsidRPr="003002A1" w:rsidRDefault="00A654DA" w:rsidP="003002A1">
            <w:pPr>
              <w:jc w:val="center"/>
              <w:rPr>
                <w:rFonts w:ascii="Times New Roman" w:hAnsi="Times New Roman" w:cs="Times New Roman"/>
                <w:sz w:val="18"/>
                <w:szCs w:val="18"/>
              </w:rPr>
            </w:pPr>
            <w:r w:rsidRPr="003002A1">
              <w:rPr>
                <w:rFonts w:ascii="Times New Roman" w:hAnsi="Times New Roman" w:cs="Times New Roman"/>
                <w:sz w:val="18"/>
                <w:szCs w:val="18"/>
              </w:rPr>
              <w:t>2032</w:t>
            </w:r>
          </w:p>
        </w:tc>
        <w:tc>
          <w:tcPr>
            <w:tcW w:w="3115" w:type="dxa"/>
            <w:vAlign w:val="center"/>
          </w:tcPr>
          <w:p w14:paraId="07410D51" w14:textId="77777777" w:rsidR="00A654DA" w:rsidRPr="003002A1" w:rsidRDefault="00A654DA" w:rsidP="003002A1">
            <w:pPr>
              <w:jc w:val="center"/>
              <w:rPr>
                <w:rFonts w:ascii="Times New Roman" w:hAnsi="Times New Roman" w:cs="Times New Roman"/>
                <w:sz w:val="18"/>
                <w:szCs w:val="18"/>
              </w:rPr>
            </w:pPr>
            <w:r w:rsidRPr="003002A1">
              <w:rPr>
                <w:rFonts w:ascii="Times New Roman" w:hAnsi="Times New Roman" w:cs="Times New Roman"/>
                <w:sz w:val="18"/>
                <w:szCs w:val="18"/>
              </w:rPr>
              <w:t>110,8</w:t>
            </w:r>
          </w:p>
        </w:tc>
      </w:tr>
    </w:tbl>
    <w:p w14:paraId="55D25213" w14:textId="4608D85B" w:rsidR="004C1324" w:rsidRDefault="004C1324" w:rsidP="003002A1">
      <w:pPr>
        <w:spacing w:before="240" w:after="240" w:line="240" w:lineRule="auto"/>
        <w:jc w:val="center"/>
        <w:rPr>
          <w:rFonts w:ascii="Times New Roman" w:hAnsi="Times New Roman" w:cs="Times New Roman"/>
          <w:sz w:val="20"/>
          <w:szCs w:val="20"/>
          <w:lang w:val="en-US"/>
        </w:rPr>
      </w:pPr>
      <w:r w:rsidRPr="004C1324">
        <w:rPr>
          <w:rStyle w:val="af1"/>
          <w:rFonts w:ascii="Times New Roman" w:hAnsi="Times New Roman" w:cs="Times New Roman"/>
          <w:sz w:val="24"/>
          <w:szCs w:val="24"/>
          <w:lang w:val="en-US"/>
        </w:rPr>
        <w:t>METHODOLOGY</w:t>
      </w:r>
    </w:p>
    <w:p w14:paraId="194A5B3B" w14:textId="68356C3F" w:rsidR="00A654DA" w:rsidRPr="00B34A03" w:rsidRDefault="00A654DA" w:rsidP="003002A1">
      <w:pPr>
        <w:spacing w:after="0" w:line="240" w:lineRule="auto"/>
        <w:ind w:firstLine="284"/>
        <w:jc w:val="both"/>
        <w:rPr>
          <w:rFonts w:ascii="Times New Roman" w:hAnsi="Times New Roman" w:cs="Times New Roman"/>
          <w:sz w:val="20"/>
          <w:szCs w:val="20"/>
          <w:lang w:val="en-US"/>
        </w:rPr>
      </w:pPr>
      <w:r w:rsidRPr="00B34A03">
        <w:rPr>
          <w:rFonts w:ascii="Times New Roman" w:hAnsi="Times New Roman" w:cs="Times New Roman"/>
          <w:sz w:val="20"/>
          <w:szCs w:val="20"/>
          <w:lang w:val="en-US"/>
        </w:rPr>
        <w:t xml:space="preserve">The Andijan </w:t>
      </w:r>
      <w:r w:rsidR="00A012C1" w:rsidRPr="00A012C1">
        <w:rPr>
          <w:rFonts w:ascii="Times New Roman" w:hAnsi="Times New Roman" w:cs="Times New Roman"/>
          <w:sz w:val="20"/>
          <w:szCs w:val="20"/>
          <w:lang w:val="en-US"/>
        </w:rPr>
        <w:t>state technical</w:t>
      </w:r>
      <w:r w:rsidR="00A012C1">
        <w:rPr>
          <w:rFonts w:ascii="Times New Roman" w:hAnsi="Times New Roman" w:cs="Times New Roman"/>
          <w:sz w:val="20"/>
          <w:szCs w:val="20"/>
          <w:lang w:val="en-US"/>
        </w:rPr>
        <w:t xml:space="preserve"> </w:t>
      </w:r>
      <w:r w:rsidRPr="00B34A03">
        <w:rPr>
          <w:rFonts w:ascii="Times New Roman" w:hAnsi="Times New Roman" w:cs="Times New Roman"/>
          <w:sz w:val="20"/>
          <w:szCs w:val="20"/>
          <w:lang w:val="en-US"/>
        </w:rPr>
        <w:t>Institute is located near the center of Andijan city, situated in the southeastern part of Uzbekistan, in the southern region of the Fergana Valley. Geographically, this area is one of the important economic</w:t>
      </w:r>
      <w:r w:rsidR="00A012C1">
        <w:rPr>
          <w:rFonts w:ascii="Times New Roman" w:hAnsi="Times New Roman" w:cs="Times New Roman"/>
          <w:sz w:val="20"/>
          <w:szCs w:val="20"/>
          <w:lang w:val="en-US"/>
        </w:rPr>
        <w:t xml:space="preserve"> </w:t>
      </w:r>
      <w:r w:rsidRPr="00B34A03">
        <w:rPr>
          <w:rFonts w:ascii="Times New Roman" w:hAnsi="Times New Roman" w:cs="Times New Roman"/>
          <w:sz w:val="20"/>
          <w:szCs w:val="20"/>
          <w:lang w:val="en-US"/>
        </w:rPr>
        <w:t xml:space="preserve">and cultural centers of Uzbekistan. The precise geographical </w:t>
      </w:r>
      <w:proofErr w:type="spellStart"/>
      <w:r w:rsidRPr="00B34A03">
        <w:rPr>
          <w:rFonts w:ascii="Times New Roman" w:hAnsi="Times New Roman" w:cs="Times New Roman"/>
          <w:sz w:val="20"/>
          <w:szCs w:val="20"/>
          <w:lang w:val="en-US"/>
        </w:rPr>
        <w:t>co</w:t>
      </w:r>
      <w:r w:rsidR="005B1F88" w:rsidRPr="005B1F88">
        <w:t xml:space="preserve"> </w:t>
      </w:r>
      <w:r w:rsidRPr="00B34A03">
        <w:rPr>
          <w:rFonts w:ascii="Times New Roman" w:hAnsi="Times New Roman" w:cs="Times New Roman"/>
          <w:sz w:val="20"/>
          <w:szCs w:val="20"/>
          <w:lang w:val="en-US"/>
        </w:rPr>
        <w:t>ordinates</w:t>
      </w:r>
      <w:proofErr w:type="spellEnd"/>
      <w:r w:rsidRPr="00B34A03">
        <w:rPr>
          <w:rFonts w:ascii="Times New Roman" w:hAnsi="Times New Roman" w:cs="Times New Roman"/>
          <w:sz w:val="20"/>
          <w:szCs w:val="20"/>
          <w:lang w:val="en-US"/>
        </w:rPr>
        <w:t xml:space="preserve"> of the institute are:</w:t>
      </w:r>
    </w:p>
    <w:p w14:paraId="549AB149" w14:textId="482B4BCA" w:rsidR="00A654DA" w:rsidRPr="00B34A03" w:rsidRDefault="00A654DA" w:rsidP="003002A1">
      <w:pPr>
        <w:numPr>
          <w:ilvl w:val="0"/>
          <w:numId w:val="24"/>
        </w:numPr>
        <w:tabs>
          <w:tab w:val="left" w:pos="567"/>
        </w:tabs>
        <w:spacing w:after="0" w:line="240" w:lineRule="auto"/>
        <w:ind w:left="0" w:firstLine="284"/>
        <w:jc w:val="both"/>
        <w:rPr>
          <w:rFonts w:ascii="Times New Roman" w:eastAsia="Times New Roman" w:hAnsi="Times New Roman" w:cs="Times New Roman"/>
          <w:kern w:val="0"/>
          <w:sz w:val="20"/>
          <w:szCs w:val="20"/>
          <w:lang w:eastAsia="ru-RU"/>
          <w14:ligatures w14:val="none"/>
        </w:rPr>
      </w:pPr>
      <w:proofErr w:type="spellStart"/>
      <w:r w:rsidRPr="00B34A03">
        <w:rPr>
          <w:rFonts w:ascii="Times New Roman" w:eastAsia="Times New Roman" w:hAnsi="Times New Roman" w:cs="Times New Roman"/>
          <w:kern w:val="0"/>
          <w:sz w:val="20"/>
          <w:szCs w:val="20"/>
          <w:lang w:eastAsia="ru-RU"/>
          <w14:ligatures w14:val="none"/>
        </w:rPr>
        <w:t>Latitude</w:t>
      </w:r>
      <w:proofErr w:type="spellEnd"/>
      <w:r w:rsidRPr="00B34A03">
        <w:rPr>
          <w:rFonts w:ascii="Times New Roman" w:eastAsia="Times New Roman" w:hAnsi="Times New Roman" w:cs="Times New Roman"/>
          <w:kern w:val="0"/>
          <w:sz w:val="20"/>
          <w:szCs w:val="20"/>
          <w:lang w:eastAsia="ru-RU"/>
          <w14:ligatures w14:val="none"/>
        </w:rPr>
        <w:t>: 40.2500° N</w:t>
      </w:r>
    </w:p>
    <w:p w14:paraId="4D9028F7" w14:textId="7283EE7D" w:rsidR="00A654DA" w:rsidRPr="00B34A03" w:rsidRDefault="00A654DA" w:rsidP="003002A1">
      <w:pPr>
        <w:numPr>
          <w:ilvl w:val="0"/>
          <w:numId w:val="24"/>
        </w:numPr>
        <w:tabs>
          <w:tab w:val="left" w:pos="567"/>
        </w:tabs>
        <w:spacing w:after="0" w:line="240" w:lineRule="auto"/>
        <w:ind w:left="0" w:firstLine="284"/>
        <w:jc w:val="both"/>
        <w:rPr>
          <w:rFonts w:ascii="Times New Roman" w:eastAsia="Times New Roman" w:hAnsi="Times New Roman" w:cs="Times New Roman"/>
          <w:kern w:val="0"/>
          <w:sz w:val="20"/>
          <w:szCs w:val="20"/>
          <w:lang w:eastAsia="ru-RU"/>
          <w14:ligatures w14:val="none"/>
        </w:rPr>
      </w:pPr>
      <w:proofErr w:type="spellStart"/>
      <w:r w:rsidRPr="00B34A03">
        <w:rPr>
          <w:rFonts w:ascii="Times New Roman" w:eastAsia="Times New Roman" w:hAnsi="Times New Roman" w:cs="Times New Roman"/>
          <w:kern w:val="0"/>
          <w:sz w:val="20"/>
          <w:szCs w:val="20"/>
          <w:lang w:eastAsia="ru-RU"/>
          <w14:ligatures w14:val="none"/>
        </w:rPr>
        <w:t>Longitude</w:t>
      </w:r>
      <w:proofErr w:type="spellEnd"/>
      <w:r w:rsidRPr="00B34A03">
        <w:rPr>
          <w:rFonts w:ascii="Times New Roman" w:eastAsia="Times New Roman" w:hAnsi="Times New Roman" w:cs="Times New Roman"/>
          <w:kern w:val="0"/>
          <w:sz w:val="20"/>
          <w:szCs w:val="20"/>
          <w:lang w:eastAsia="ru-RU"/>
          <w14:ligatures w14:val="none"/>
        </w:rPr>
        <w:t>: 72.3500° E</w:t>
      </w:r>
    </w:p>
    <w:p w14:paraId="677D80FC" w14:textId="302610B4" w:rsidR="00A654DA" w:rsidRPr="00B34A03" w:rsidRDefault="00A654DA" w:rsidP="003002A1">
      <w:pPr>
        <w:spacing w:after="0" w:line="240" w:lineRule="auto"/>
        <w:ind w:firstLine="284"/>
        <w:jc w:val="both"/>
        <w:rPr>
          <w:rFonts w:ascii="Times New Roman" w:hAnsi="Times New Roman" w:cs="Times New Roman"/>
          <w:b/>
          <w:bCs/>
          <w:sz w:val="20"/>
          <w:szCs w:val="20"/>
          <w:lang w:val="en-US"/>
        </w:rPr>
      </w:pPr>
      <w:r w:rsidRPr="00B34A03">
        <w:rPr>
          <w:rFonts w:ascii="Times New Roman" w:eastAsia="Times New Roman" w:hAnsi="Times New Roman" w:cs="Times New Roman"/>
          <w:kern w:val="0"/>
          <w:sz w:val="20"/>
          <w:szCs w:val="20"/>
          <w:lang w:val="en-US" w:eastAsia="ru-RU"/>
          <w14:ligatures w14:val="none"/>
        </w:rPr>
        <w:t xml:space="preserve">The altitude of Andijan city is approximately between 400 and 500 meters above sea level, creating favorable geological and climatic conditions for efficient use of solar energy. Located in the middle elevation zone of the Fergana Valley, Andijan experiences a relatively warm and sunny climate throughout the year. </w:t>
      </w:r>
      <w:r w:rsidR="00C845C6" w:rsidRPr="00C845C6">
        <w:rPr>
          <w:rFonts w:ascii="Times New Roman" w:hAnsi="Times New Roman" w:cs="Times New Roman"/>
          <w:sz w:val="20"/>
          <w:lang w:val="en-US"/>
        </w:rPr>
        <w:t xml:space="preserve">These factors establish an enabling environment for harnessing renewable energy, with a focus on solar energy. </w:t>
      </w:r>
      <w:r w:rsidR="00C845C6">
        <w:rPr>
          <w:rFonts w:ascii="Times New Roman" w:eastAsia="Times New Roman" w:hAnsi="Times New Roman" w:cs="Times New Roman"/>
          <w:kern w:val="0"/>
          <w:sz w:val="20"/>
          <w:szCs w:val="20"/>
          <w:lang w:val="en-US" w:eastAsia="ru-RU"/>
          <w14:ligatures w14:val="none"/>
        </w:rPr>
        <w:t>The geographic location also</w:t>
      </w:r>
      <w:r w:rsidRPr="00B34A03">
        <w:rPr>
          <w:rFonts w:ascii="Times New Roman" w:eastAsia="Times New Roman" w:hAnsi="Times New Roman" w:cs="Times New Roman"/>
          <w:kern w:val="0"/>
          <w:sz w:val="20"/>
          <w:szCs w:val="20"/>
          <w:lang w:val="en-US" w:eastAsia="ru-RU"/>
          <w14:ligatures w14:val="none"/>
        </w:rPr>
        <w:t xml:space="preserve"> natural resources of the Andijan region play a significant role in implementing the institute’s projects aimed at improving energy efficiency and environmental sustainability. Moreover, the favorable location of this area offers unique opportunities for the development of solar energy in line with Uzbekistan’s energy strategy.</w:t>
      </w:r>
    </w:p>
    <w:p w14:paraId="54CA36A3" w14:textId="63686697" w:rsidR="00A654DA" w:rsidRPr="004C1324" w:rsidRDefault="00A654DA" w:rsidP="003002A1">
      <w:pPr>
        <w:spacing w:before="120" w:after="120" w:line="240" w:lineRule="auto"/>
        <w:jc w:val="center"/>
        <w:rPr>
          <w:rFonts w:ascii="Times New Roman" w:hAnsi="Times New Roman" w:cs="Times New Roman"/>
          <w:b/>
          <w:bCs/>
          <w:sz w:val="24"/>
          <w:szCs w:val="24"/>
          <w:lang w:val="en-US"/>
        </w:rPr>
      </w:pPr>
      <w:r w:rsidRPr="004C1324">
        <w:rPr>
          <w:rFonts w:ascii="Times New Roman" w:hAnsi="Times New Roman" w:cs="Times New Roman"/>
          <w:b/>
          <w:bCs/>
          <w:sz w:val="24"/>
          <w:szCs w:val="24"/>
          <w:lang w:val="en-US"/>
        </w:rPr>
        <w:t>Description of the Solar Photovoltaic System</w:t>
      </w:r>
    </w:p>
    <w:p w14:paraId="0D765F7B" w14:textId="7BB0C863" w:rsidR="004C1324" w:rsidRPr="005B1F88" w:rsidRDefault="005B1F88" w:rsidP="003002A1">
      <w:pPr>
        <w:spacing w:after="0" w:line="240" w:lineRule="auto"/>
        <w:jc w:val="center"/>
        <w:rPr>
          <w:rFonts w:ascii="Times New Roman" w:hAnsi="Times New Roman" w:cs="Times New Roman"/>
          <w:noProof/>
          <w:sz w:val="20"/>
          <w:szCs w:val="20"/>
          <w:lang w:val="en-US" w:eastAsia="ru-RU"/>
        </w:rPr>
      </w:pPr>
      <w:r>
        <w:rPr>
          <w:noProof/>
        </w:rPr>
        <w:drawing>
          <wp:anchor distT="0" distB="0" distL="114300" distR="114300" simplePos="0" relativeHeight="251658240" behindDoc="0" locked="0" layoutInCell="1" allowOverlap="1" wp14:anchorId="75557A2A" wp14:editId="53823CA1">
            <wp:simplePos x="0" y="0"/>
            <wp:positionH relativeFrom="margin">
              <wp:posOffset>81915</wp:posOffset>
            </wp:positionH>
            <wp:positionV relativeFrom="paragraph">
              <wp:posOffset>10795</wp:posOffset>
            </wp:positionV>
            <wp:extent cx="5753529" cy="31718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8142" b="48723"/>
                    <a:stretch/>
                  </pic:blipFill>
                  <pic:spPr bwMode="auto">
                    <a:xfrm>
                      <a:off x="0" y="0"/>
                      <a:ext cx="5755163" cy="317272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1BA80E8" w14:textId="7EF442BA"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15E97E2C" w14:textId="1CF124BE"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68C77494" w14:textId="46D0356C"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3C9E3A0A" w14:textId="1D256841"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3F1D3831" w14:textId="5F017A94"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56C8643E" w14:textId="60BA8E9D"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6FFE130B" w14:textId="012D906D"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4C0A49CA" w14:textId="41BD99F5"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21C82D90" w14:textId="1788B3D3"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72675634" w14:textId="0162FDB5"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4DABC31F" w14:textId="51696935"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53F5FF9A" w14:textId="1F5B9F9F"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19076716" w14:textId="4C0A860B"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4AC51FAC" w14:textId="075CF4DC"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142A5A91" w14:textId="37E11A75"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51C0D3AB" w14:textId="6D8526CD"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282E84F4" w14:textId="1BAF4F7F"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2F898039" w14:textId="4908D051"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722C8372" w14:textId="30BBAC51"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2ACE7BAA" w14:textId="4E6AF33C"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780233C3" w14:textId="0788C06C" w:rsidR="005B1F88" w:rsidRPr="005B1F88" w:rsidRDefault="005B1F88" w:rsidP="003002A1">
      <w:pPr>
        <w:spacing w:after="0" w:line="240" w:lineRule="auto"/>
        <w:jc w:val="center"/>
        <w:rPr>
          <w:rFonts w:ascii="Times New Roman" w:hAnsi="Times New Roman" w:cs="Times New Roman"/>
          <w:noProof/>
          <w:sz w:val="20"/>
          <w:szCs w:val="20"/>
          <w:lang w:val="en-US" w:eastAsia="ru-RU"/>
        </w:rPr>
      </w:pPr>
    </w:p>
    <w:p w14:paraId="0D0DD68A" w14:textId="35CBBF14" w:rsidR="004C1324" w:rsidRPr="003002A1" w:rsidRDefault="004C1324" w:rsidP="003002A1">
      <w:pPr>
        <w:spacing w:after="0" w:line="240" w:lineRule="auto"/>
        <w:jc w:val="center"/>
        <w:rPr>
          <w:rFonts w:ascii="Times New Roman" w:hAnsi="Times New Roman" w:cs="Times New Roman"/>
          <w:b/>
          <w:sz w:val="18"/>
          <w:szCs w:val="18"/>
          <w:lang w:val="en-US"/>
        </w:rPr>
      </w:pPr>
      <w:r w:rsidRPr="003002A1">
        <w:rPr>
          <w:rFonts w:ascii="Times New Roman" w:hAnsi="Times New Roman" w:cs="Times New Roman"/>
          <w:b/>
          <w:bCs/>
          <w:sz w:val="18"/>
          <w:szCs w:val="18"/>
          <w:lang w:val="en-US"/>
        </w:rPr>
        <w:t>FIGURE</w:t>
      </w:r>
      <w:r w:rsidRPr="003002A1">
        <w:rPr>
          <w:rFonts w:ascii="Times New Roman" w:hAnsi="Times New Roman" w:cs="Times New Roman"/>
          <w:b/>
          <w:bCs/>
          <w:spacing w:val="-10"/>
          <w:sz w:val="18"/>
          <w:szCs w:val="18"/>
          <w:lang w:val="en-US"/>
        </w:rPr>
        <w:t xml:space="preserve"> </w:t>
      </w:r>
      <w:r w:rsidR="00FA7FD9" w:rsidRPr="003002A1">
        <w:rPr>
          <w:rFonts w:ascii="Times New Roman" w:hAnsi="Times New Roman" w:cs="Times New Roman"/>
          <w:b/>
          <w:bCs/>
          <w:sz w:val="18"/>
          <w:szCs w:val="18"/>
          <w:lang w:val="uz-Cyrl-UZ"/>
        </w:rPr>
        <w:t>1</w:t>
      </w:r>
      <w:r w:rsidR="003002A1">
        <w:rPr>
          <w:rFonts w:ascii="Times New Roman" w:hAnsi="Times New Roman" w:cs="Times New Roman"/>
          <w:b/>
          <w:bCs/>
          <w:sz w:val="18"/>
          <w:szCs w:val="18"/>
          <w:lang w:val="en-US"/>
        </w:rPr>
        <w:t>.</w:t>
      </w:r>
      <w:r w:rsidR="00A654DA" w:rsidRPr="003002A1">
        <w:rPr>
          <w:rFonts w:ascii="Times New Roman" w:hAnsi="Times New Roman" w:cs="Times New Roman"/>
          <w:b/>
          <w:sz w:val="18"/>
          <w:szCs w:val="18"/>
          <w:lang w:val="en-US"/>
        </w:rPr>
        <w:t xml:space="preserve"> </w:t>
      </w:r>
      <w:r w:rsidR="00A654DA" w:rsidRPr="003002A1">
        <w:rPr>
          <w:rFonts w:ascii="Times New Roman" w:hAnsi="Times New Roman" w:cs="Times New Roman"/>
          <w:bCs/>
          <w:sz w:val="18"/>
          <w:szCs w:val="18"/>
          <w:lang w:val="en-US"/>
        </w:rPr>
        <w:t>Geographic location of the Faculty of Electrical Engineering</w:t>
      </w:r>
      <w:r w:rsidR="003002A1">
        <w:rPr>
          <w:rFonts w:ascii="Times New Roman" w:hAnsi="Times New Roman" w:cs="Times New Roman"/>
          <w:bCs/>
          <w:sz w:val="18"/>
          <w:szCs w:val="18"/>
          <w:lang w:val="en-US"/>
        </w:rPr>
        <w:t>,</w:t>
      </w:r>
      <w:r w:rsidR="00A654DA" w:rsidRPr="003002A1">
        <w:rPr>
          <w:rFonts w:ascii="Times New Roman" w:hAnsi="Times New Roman" w:cs="Times New Roman"/>
          <w:bCs/>
          <w:sz w:val="18"/>
          <w:szCs w:val="18"/>
          <w:lang w:val="en-US"/>
        </w:rPr>
        <w:t xml:space="preserve"> </w:t>
      </w:r>
      <w:r w:rsidR="00CD6765" w:rsidRPr="00CD6765">
        <w:rPr>
          <w:rFonts w:ascii="Times New Roman" w:hAnsi="Times New Roman" w:cs="Times New Roman"/>
          <w:sz w:val="18"/>
          <w:szCs w:val="18"/>
          <w:lang w:val="en-US"/>
        </w:rPr>
        <w:t>Andijan State Technical Institute</w:t>
      </w:r>
      <w:r w:rsidR="00CD6765" w:rsidRPr="003002A1">
        <w:rPr>
          <w:rFonts w:ascii="Times New Roman" w:hAnsi="Times New Roman" w:cs="Times New Roman"/>
          <w:bCs/>
          <w:sz w:val="18"/>
          <w:szCs w:val="18"/>
          <w:lang w:val="en-US"/>
        </w:rPr>
        <w:t xml:space="preserve"> </w:t>
      </w:r>
      <w:r w:rsidR="00A654DA" w:rsidRPr="003002A1">
        <w:rPr>
          <w:rFonts w:ascii="Times New Roman" w:hAnsi="Times New Roman" w:cs="Times New Roman"/>
          <w:bCs/>
          <w:sz w:val="18"/>
          <w:szCs w:val="18"/>
          <w:lang w:val="en-US"/>
        </w:rPr>
        <w:t>(Google Earth, 2025)</w:t>
      </w:r>
    </w:p>
    <w:p w14:paraId="510730C0" w14:textId="55215FBD" w:rsidR="004C1324" w:rsidRDefault="004C1324" w:rsidP="003002A1">
      <w:pPr>
        <w:spacing w:after="0" w:line="276" w:lineRule="auto"/>
        <w:jc w:val="center"/>
        <w:rPr>
          <w:rFonts w:ascii="Times New Roman" w:hAnsi="Times New Roman" w:cs="Times New Roman"/>
          <w:b/>
          <w:sz w:val="20"/>
          <w:szCs w:val="20"/>
          <w:lang w:val="en-US"/>
        </w:rPr>
      </w:pPr>
      <w:r w:rsidRPr="00B34A03">
        <w:rPr>
          <w:rFonts w:ascii="Times New Roman" w:hAnsi="Times New Roman" w:cs="Times New Roman"/>
          <w:noProof/>
          <w:sz w:val="20"/>
          <w:szCs w:val="20"/>
          <w:lang w:eastAsia="ru-RU"/>
        </w:rPr>
        <w:lastRenderedPageBreak/>
        <w:drawing>
          <wp:inline distT="0" distB="0" distL="0" distR="0" wp14:anchorId="497BCF67" wp14:editId="6E5C25C8">
            <wp:extent cx="5675436" cy="2626920"/>
            <wp:effectExtent l="0" t="0" r="1905" b="2540"/>
            <wp:docPr id="94621729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36777" r="4161" b="13504"/>
                    <a:stretch/>
                  </pic:blipFill>
                  <pic:spPr bwMode="auto">
                    <a:xfrm>
                      <a:off x="0" y="0"/>
                      <a:ext cx="5705017" cy="2640612"/>
                    </a:xfrm>
                    <a:prstGeom prst="rect">
                      <a:avLst/>
                    </a:prstGeom>
                    <a:noFill/>
                    <a:ln>
                      <a:noFill/>
                    </a:ln>
                    <a:extLst>
                      <a:ext uri="{53640926-AAD7-44D8-BBD7-CCE9431645EC}">
                        <a14:shadowObscured xmlns:a14="http://schemas.microsoft.com/office/drawing/2010/main"/>
                      </a:ext>
                    </a:extLst>
                  </pic:spPr>
                </pic:pic>
              </a:graphicData>
            </a:graphic>
          </wp:inline>
        </w:drawing>
      </w:r>
    </w:p>
    <w:p w14:paraId="1923BB05" w14:textId="1F50D635" w:rsidR="00A654DA" w:rsidRPr="00FA7FD9" w:rsidRDefault="00FA7FD9" w:rsidP="005B1F88">
      <w:pPr>
        <w:spacing w:after="120" w:line="240" w:lineRule="auto"/>
        <w:jc w:val="center"/>
        <w:rPr>
          <w:rFonts w:ascii="Times New Roman" w:hAnsi="Times New Roman" w:cs="Times New Roman"/>
          <w:b/>
          <w:bCs/>
          <w:lang w:val="uz-Cyrl-UZ"/>
        </w:rPr>
      </w:pPr>
      <w:r w:rsidRPr="003002A1">
        <w:rPr>
          <w:rFonts w:ascii="Times New Roman" w:hAnsi="Times New Roman" w:cs="Times New Roman"/>
          <w:b/>
          <w:bCs/>
          <w:sz w:val="18"/>
          <w:szCs w:val="18"/>
          <w:lang w:val="en-US"/>
        </w:rPr>
        <w:t>FIGURE</w:t>
      </w:r>
      <w:r w:rsidRPr="003002A1">
        <w:rPr>
          <w:rFonts w:ascii="Times New Roman" w:hAnsi="Times New Roman" w:cs="Times New Roman"/>
          <w:b/>
          <w:bCs/>
          <w:spacing w:val="-10"/>
          <w:sz w:val="18"/>
          <w:szCs w:val="18"/>
          <w:lang w:val="en-US"/>
        </w:rPr>
        <w:t xml:space="preserve"> </w:t>
      </w:r>
      <w:r w:rsidRPr="003002A1">
        <w:rPr>
          <w:rFonts w:ascii="Times New Roman" w:hAnsi="Times New Roman" w:cs="Times New Roman"/>
          <w:b/>
          <w:bCs/>
          <w:sz w:val="18"/>
          <w:szCs w:val="18"/>
          <w:lang w:val="uz-Cyrl-UZ"/>
        </w:rPr>
        <w:t>2</w:t>
      </w:r>
      <w:r w:rsidR="003002A1">
        <w:rPr>
          <w:rFonts w:ascii="Times New Roman" w:hAnsi="Times New Roman" w:cs="Times New Roman"/>
          <w:b/>
          <w:bCs/>
          <w:sz w:val="18"/>
          <w:szCs w:val="18"/>
          <w:lang w:val="en-US"/>
        </w:rPr>
        <w:t>.</w:t>
      </w:r>
      <w:r w:rsidR="00A654DA" w:rsidRPr="003002A1">
        <w:rPr>
          <w:rFonts w:ascii="Times New Roman" w:hAnsi="Times New Roman" w:cs="Times New Roman"/>
          <w:b/>
          <w:sz w:val="18"/>
          <w:szCs w:val="18"/>
          <w:lang w:val="en-US"/>
        </w:rPr>
        <w:t xml:space="preserve"> </w:t>
      </w:r>
      <w:r w:rsidR="00A654DA" w:rsidRPr="003002A1">
        <w:rPr>
          <w:rFonts w:ascii="Times New Roman" w:hAnsi="Times New Roman" w:cs="Times New Roman"/>
          <w:bCs/>
          <w:sz w:val="18"/>
          <w:szCs w:val="18"/>
          <w:lang w:val="en-US"/>
        </w:rPr>
        <w:t xml:space="preserve">Solar power plant installed at the Faculty of Electrical Engineering, </w:t>
      </w:r>
      <w:r w:rsidR="00CD6765" w:rsidRPr="00CD6765">
        <w:rPr>
          <w:rFonts w:ascii="Times New Roman" w:hAnsi="Times New Roman" w:cs="Times New Roman"/>
          <w:sz w:val="18"/>
          <w:szCs w:val="18"/>
          <w:lang w:val="en-US"/>
        </w:rPr>
        <w:t>Andijan State Technical Institute</w:t>
      </w:r>
    </w:p>
    <w:p w14:paraId="67649D30" w14:textId="77777777" w:rsidR="003002A1" w:rsidRDefault="00A654DA" w:rsidP="003002A1">
      <w:pPr>
        <w:spacing w:after="0" w:line="240" w:lineRule="auto"/>
        <w:ind w:firstLine="284"/>
        <w:jc w:val="both"/>
        <w:rPr>
          <w:rFonts w:ascii="Times New Roman" w:eastAsia="Times New Roman" w:hAnsi="Times New Roman" w:cs="Times New Roman"/>
          <w:b/>
          <w:bCs/>
          <w:kern w:val="0"/>
          <w:sz w:val="20"/>
          <w:szCs w:val="20"/>
          <w:lang w:val="en-US" w:eastAsia="ru-RU"/>
          <w14:ligatures w14:val="none"/>
        </w:rPr>
      </w:pPr>
      <w:r w:rsidRPr="00B34A03">
        <w:rPr>
          <w:rFonts w:ascii="Times New Roman" w:eastAsia="Times New Roman" w:hAnsi="Times New Roman" w:cs="Times New Roman"/>
          <w:b/>
          <w:bCs/>
          <w:kern w:val="0"/>
          <w:sz w:val="20"/>
          <w:szCs w:val="20"/>
          <w:lang w:val="en-US" w:eastAsia="ru-RU"/>
          <w14:ligatures w14:val="none"/>
        </w:rPr>
        <w:t>Data Collection and Monitoring: Customized Analysis for Andijan</w:t>
      </w:r>
      <w:r w:rsidR="00A012C1">
        <w:rPr>
          <w:rFonts w:ascii="Times New Roman" w:eastAsia="Times New Roman" w:hAnsi="Times New Roman" w:cs="Times New Roman"/>
          <w:b/>
          <w:bCs/>
          <w:kern w:val="0"/>
          <w:sz w:val="20"/>
          <w:szCs w:val="20"/>
          <w:lang w:val="en-US" w:eastAsia="ru-RU"/>
          <w14:ligatures w14:val="none"/>
        </w:rPr>
        <w:t xml:space="preserve"> </w:t>
      </w:r>
      <w:r w:rsidR="00A012C1" w:rsidRPr="00A012C1">
        <w:rPr>
          <w:rFonts w:ascii="Times New Roman" w:hAnsi="Times New Roman" w:cs="Times New Roman"/>
          <w:b/>
          <w:bCs/>
          <w:sz w:val="20"/>
          <w:szCs w:val="20"/>
          <w:lang w:val="en-US"/>
        </w:rPr>
        <w:t>state technical</w:t>
      </w:r>
      <w:r w:rsidRPr="00B34A03">
        <w:rPr>
          <w:rFonts w:ascii="Times New Roman" w:eastAsia="Times New Roman" w:hAnsi="Times New Roman" w:cs="Times New Roman"/>
          <w:b/>
          <w:bCs/>
          <w:kern w:val="0"/>
          <w:sz w:val="20"/>
          <w:szCs w:val="20"/>
          <w:lang w:val="en-US" w:eastAsia="ru-RU"/>
          <w14:ligatures w14:val="none"/>
        </w:rPr>
        <w:t xml:space="preserve"> Institute </w:t>
      </w:r>
    </w:p>
    <w:p w14:paraId="1CAC1078" w14:textId="1EDB8AB2" w:rsidR="00C845C6" w:rsidRDefault="00C845C6" w:rsidP="003002A1">
      <w:pPr>
        <w:spacing w:after="0" w:line="240" w:lineRule="auto"/>
        <w:ind w:firstLine="284"/>
        <w:jc w:val="both"/>
        <w:rPr>
          <w:rFonts w:ascii="Times New Roman" w:hAnsi="Times New Roman" w:cs="Times New Roman"/>
          <w:sz w:val="20"/>
          <w:lang w:val="en-US"/>
        </w:rPr>
      </w:pPr>
      <w:r w:rsidRPr="00C845C6">
        <w:rPr>
          <w:rFonts w:ascii="Times New Roman" w:hAnsi="Times New Roman" w:cs="Times New Roman"/>
          <w:sz w:val="20"/>
          <w:lang w:val="en-US"/>
        </w:rPr>
        <w:t xml:space="preserve">A scientifically grounded data acquisition and monitoring system has been established to assess the performance of the solar photovoltaic system installed at the Andijan Institute of Mechanical Engineering. This setup allows for real-time tracking of solar irradiance, ambient temperature, and the system’s output power. </w:t>
      </w:r>
    </w:p>
    <w:p w14:paraId="1182C4E9" w14:textId="6BD283EB" w:rsidR="00A654DA" w:rsidRPr="00B34A03" w:rsidRDefault="001B46A4" w:rsidP="003002A1">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1B46A4">
        <w:rPr>
          <w:rFonts w:ascii="Times New Roman" w:hAnsi="Times New Roman" w:cs="Times New Roman"/>
          <w:sz w:val="20"/>
          <w:lang w:val="en-US"/>
        </w:rPr>
        <w:t>Information on solar radiation and temperature was sourced from the NASA Surface Solar Energy (NASA-SSE) database, with accurate data gathered according to the institute’s geographic coordinates — 40.7824° North latitude and 72.3445° East longitude.</w:t>
      </w:r>
      <w:r w:rsidR="00A654DA" w:rsidRPr="00B34A03">
        <w:rPr>
          <w:rFonts w:ascii="Times New Roman" w:eastAsia="Times New Roman" w:hAnsi="Times New Roman" w:cs="Times New Roman"/>
          <w:kern w:val="0"/>
          <w:sz w:val="20"/>
          <w:szCs w:val="20"/>
          <w:lang w:val="en-US" w:eastAsia="ru-RU"/>
          <w14:ligatures w14:val="none"/>
        </w:rPr>
        <w:t xml:space="preserve"> The monitoring system collects data from solar inverters and the local grid, transmitting it to central servers. This process is remotely managed in real-time and monitored via the SOLARMAN Smart online platforms [2].</w:t>
      </w:r>
    </w:p>
    <w:p w14:paraId="301631D6" w14:textId="77777777" w:rsidR="001B46A4" w:rsidRPr="001B46A4" w:rsidRDefault="001B46A4" w:rsidP="003002A1">
      <w:pPr>
        <w:spacing w:after="0" w:line="240" w:lineRule="auto"/>
        <w:ind w:firstLine="284"/>
        <w:jc w:val="center"/>
        <w:rPr>
          <w:rFonts w:ascii="Times New Roman" w:hAnsi="Times New Roman" w:cs="Times New Roman"/>
          <w:sz w:val="20"/>
          <w:lang w:val="en-US"/>
        </w:rPr>
      </w:pPr>
      <w:r w:rsidRPr="001B46A4">
        <w:rPr>
          <w:rFonts w:ascii="Times New Roman" w:hAnsi="Times New Roman" w:cs="Times New Roman"/>
          <w:sz w:val="20"/>
          <w:lang w:val="en-US"/>
        </w:rPr>
        <w:t>The monitoring system enables the assessment of the solar photovoltaic system’s efficiency on an hourly, daily, monthly, and annual basis. The collected data is utilized to analyze both technical and financial performance metrics</w:t>
      </w:r>
    </w:p>
    <w:p w14:paraId="2174CF5F" w14:textId="4B57F585" w:rsidR="00A654DA" w:rsidRPr="003002A1" w:rsidRDefault="00FA7FD9" w:rsidP="003002A1">
      <w:pPr>
        <w:spacing w:before="120" w:after="0" w:line="240" w:lineRule="auto"/>
        <w:jc w:val="center"/>
        <w:rPr>
          <w:rFonts w:ascii="Times New Roman" w:hAnsi="Times New Roman" w:cs="Times New Roman"/>
          <w:sz w:val="18"/>
          <w:szCs w:val="18"/>
          <w:lang w:val="en-US"/>
        </w:rPr>
      </w:pPr>
      <w:r w:rsidRPr="003002A1">
        <w:rPr>
          <w:rFonts w:ascii="Times New Roman" w:hAnsi="Times New Roman" w:cs="Times New Roman"/>
          <w:b/>
          <w:bCs/>
          <w:sz w:val="18"/>
          <w:szCs w:val="18"/>
          <w:lang w:val="en-US"/>
        </w:rPr>
        <w:t>TABLE</w:t>
      </w:r>
      <w:r w:rsidRPr="003002A1">
        <w:rPr>
          <w:rFonts w:ascii="Times New Roman" w:hAnsi="Times New Roman" w:cs="Times New Roman"/>
          <w:b/>
          <w:bCs/>
          <w:spacing w:val="-12"/>
          <w:sz w:val="18"/>
          <w:szCs w:val="18"/>
          <w:lang w:val="en-US"/>
        </w:rPr>
        <w:t xml:space="preserve"> </w:t>
      </w:r>
      <w:r w:rsidR="003002A1" w:rsidRPr="003002A1">
        <w:rPr>
          <w:rFonts w:ascii="Times New Roman" w:hAnsi="Times New Roman" w:cs="Times New Roman"/>
          <w:b/>
          <w:bCs/>
          <w:spacing w:val="-12"/>
          <w:sz w:val="18"/>
          <w:szCs w:val="18"/>
          <w:lang w:val="en-US"/>
        </w:rPr>
        <w:t>3.</w:t>
      </w:r>
      <w:r w:rsidR="00854A2E" w:rsidRPr="003002A1">
        <w:rPr>
          <w:sz w:val="18"/>
          <w:szCs w:val="18"/>
          <w:lang w:val="en-US"/>
        </w:rPr>
        <w:t xml:space="preserve"> </w:t>
      </w:r>
      <w:r w:rsidR="00854A2E" w:rsidRPr="003002A1">
        <w:rPr>
          <w:rFonts w:ascii="Times New Roman" w:hAnsi="Times New Roman" w:cs="Times New Roman"/>
          <w:sz w:val="18"/>
          <w:szCs w:val="18"/>
          <w:lang w:val="en-US"/>
        </w:rPr>
        <w:t>Specifications of the Current System</w:t>
      </w:r>
    </w:p>
    <w:tbl>
      <w:tblPr>
        <w:tblStyle w:val="TableNormal1"/>
        <w:tblW w:w="87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65"/>
        <w:gridCol w:w="4883"/>
      </w:tblGrid>
      <w:tr w:rsidR="00A654DA" w:rsidRPr="00BA5DE6" w14:paraId="7045532C" w14:textId="77777777" w:rsidTr="00497ECA">
        <w:trPr>
          <w:trHeight w:val="480"/>
          <w:jc w:val="center"/>
        </w:trPr>
        <w:tc>
          <w:tcPr>
            <w:tcW w:w="3865" w:type="dxa"/>
            <w:vAlign w:val="center"/>
          </w:tcPr>
          <w:p w14:paraId="1944228A" w14:textId="768E452C" w:rsidR="00A654DA" w:rsidRPr="003002A1" w:rsidRDefault="00A654DA" w:rsidP="003002A1">
            <w:pPr>
              <w:pStyle w:val="TableParagraph"/>
              <w:spacing w:line="240" w:lineRule="auto"/>
              <w:ind w:left="0"/>
              <w:jc w:val="center"/>
              <w:rPr>
                <w:b/>
                <w:bCs/>
                <w:sz w:val="18"/>
                <w:szCs w:val="18"/>
              </w:rPr>
            </w:pPr>
            <w:r w:rsidRPr="003002A1">
              <w:rPr>
                <w:b/>
                <w:bCs/>
                <w:sz w:val="18"/>
                <w:szCs w:val="18"/>
              </w:rPr>
              <w:t>Notation</w:t>
            </w:r>
          </w:p>
        </w:tc>
        <w:tc>
          <w:tcPr>
            <w:tcW w:w="4883" w:type="dxa"/>
            <w:vAlign w:val="center"/>
          </w:tcPr>
          <w:p w14:paraId="65EDD65B" w14:textId="4AC53718" w:rsidR="00A654DA" w:rsidRPr="003002A1" w:rsidRDefault="00854A2E" w:rsidP="003002A1">
            <w:pPr>
              <w:pStyle w:val="TableParagraph"/>
              <w:spacing w:line="240" w:lineRule="auto"/>
              <w:ind w:left="0" w:firstLine="3"/>
              <w:jc w:val="center"/>
              <w:rPr>
                <w:b/>
                <w:sz w:val="18"/>
                <w:szCs w:val="18"/>
              </w:rPr>
            </w:pPr>
            <w:r w:rsidRPr="003002A1">
              <w:rPr>
                <w:sz w:val="18"/>
                <w:szCs w:val="18"/>
              </w:rPr>
              <w:t>Solar power system mounted on the rooftop</w:t>
            </w:r>
            <w:r w:rsidRPr="003002A1">
              <w:rPr>
                <w:b/>
                <w:sz w:val="18"/>
                <w:szCs w:val="18"/>
              </w:rPr>
              <w:t xml:space="preserve"> </w:t>
            </w:r>
            <w:r w:rsidR="00A654DA" w:rsidRPr="003002A1">
              <w:rPr>
                <w:b/>
                <w:sz w:val="18"/>
                <w:szCs w:val="18"/>
              </w:rPr>
              <w:t>of</w:t>
            </w:r>
            <w:r w:rsidR="00A654DA" w:rsidRPr="003002A1">
              <w:rPr>
                <w:b/>
                <w:spacing w:val="-7"/>
                <w:sz w:val="18"/>
                <w:szCs w:val="18"/>
              </w:rPr>
              <w:t xml:space="preserve"> </w:t>
            </w:r>
            <w:proofErr w:type="spellStart"/>
            <w:r w:rsidR="00A654DA" w:rsidRPr="003002A1">
              <w:rPr>
                <w:b/>
                <w:sz w:val="18"/>
                <w:szCs w:val="18"/>
              </w:rPr>
              <w:t>Anadijan</w:t>
            </w:r>
            <w:proofErr w:type="spellEnd"/>
            <w:r w:rsidR="00A654DA" w:rsidRPr="003002A1">
              <w:rPr>
                <w:b/>
                <w:sz w:val="18"/>
                <w:szCs w:val="18"/>
              </w:rPr>
              <w:t xml:space="preserve"> </w:t>
            </w:r>
            <w:r w:rsidR="00A012C1" w:rsidRPr="003002A1">
              <w:rPr>
                <w:b/>
                <w:bCs/>
                <w:sz w:val="18"/>
                <w:szCs w:val="18"/>
              </w:rPr>
              <w:t>state technical</w:t>
            </w:r>
            <w:r w:rsidR="00A654DA" w:rsidRPr="003002A1">
              <w:rPr>
                <w:b/>
                <w:sz w:val="18"/>
                <w:szCs w:val="18"/>
              </w:rPr>
              <w:t xml:space="preserve"> institute</w:t>
            </w:r>
          </w:p>
        </w:tc>
      </w:tr>
      <w:tr w:rsidR="00A654DA" w:rsidRPr="003002A1" w14:paraId="1DB85388" w14:textId="77777777" w:rsidTr="00497ECA">
        <w:trPr>
          <w:trHeight w:val="244"/>
          <w:jc w:val="center"/>
        </w:trPr>
        <w:tc>
          <w:tcPr>
            <w:tcW w:w="3865" w:type="dxa"/>
            <w:vAlign w:val="center"/>
          </w:tcPr>
          <w:p w14:paraId="2E94B154" w14:textId="77777777" w:rsidR="00A654DA" w:rsidRPr="003002A1" w:rsidRDefault="00A654DA" w:rsidP="003002A1">
            <w:pPr>
              <w:pStyle w:val="TableParagraph"/>
              <w:spacing w:line="240" w:lineRule="auto"/>
              <w:ind w:left="0" w:firstLine="284"/>
              <w:jc w:val="both"/>
              <w:rPr>
                <w:sz w:val="18"/>
                <w:szCs w:val="18"/>
              </w:rPr>
            </w:pPr>
            <w:r w:rsidRPr="003002A1">
              <w:rPr>
                <w:sz w:val="18"/>
                <w:szCs w:val="18"/>
              </w:rPr>
              <w:t>Power</w:t>
            </w:r>
          </w:p>
        </w:tc>
        <w:tc>
          <w:tcPr>
            <w:tcW w:w="4883" w:type="dxa"/>
            <w:vAlign w:val="center"/>
          </w:tcPr>
          <w:p w14:paraId="19639E30" w14:textId="77777777" w:rsidR="00A654DA" w:rsidRPr="003002A1" w:rsidRDefault="00A654DA" w:rsidP="003002A1">
            <w:pPr>
              <w:pStyle w:val="TableParagraph"/>
              <w:spacing w:line="240" w:lineRule="auto"/>
              <w:ind w:left="0" w:firstLine="284"/>
              <w:jc w:val="center"/>
              <w:rPr>
                <w:sz w:val="18"/>
                <w:szCs w:val="18"/>
              </w:rPr>
            </w:pPr>
            <w:r w:rsidRPr="003002A1">
              <w:rPr>
                <w:sz w:val="18"/>
                <w:szCs w:val="18"/>
              </w:rPr>
              <w:t xml:space="preserve">100 </w:t>
            </w:r>
            <w:r w:rsidRPr="003002A1">
              <w:rPr>
                <w:spacing w:val="-5"/>
                <w:sz w:val="18"/>
                <w:szCs w:val="18"/>
              </w:rPr>
              <w:t>kW</w:t>
            </w:r>
          </w:p>
        </w:tc>
      </w:tr>
      <w:tr w:rsidR="00A654DA" w:rsidRPr="003002A1" w14:paraId="1773897E" w14:textId="77777777" w:rsidTr="00497ECA">
        <w:trPr>
          <w:trHeight w:val="240"/>
          <w:jc w:val="center"/>
        </w:trPr>
        <w:tc>
          <w:tcPr>
            <w:tcW w:w="3865" w:type="dxa"/>
            <w:vAlign w:val="center"/>
          </w:tcPr>
          <w:p w14:paraId="436955CF" w14:textId="77777777" w:rsidR="00A654DA" w:rsidRPr="003002A1" w:rsidRDefault="00A654DA" w:rsidP="003002A1">
            <w:pPr>
              <w:pStyle w:val="TableParagraph"/>
              <w:spacing w:line="240" w:lineRule="auto"/>
              <w:ind w:left="0" w:firstLine="284"/>
              <w:jc w:val="both"/>
              <w:rPr>
                <w:sz w:val="18"/>
                <w:szCs w:val="18"/>
              </w:rPr>
            </w:pPr>
            <w:r w:rsidRPr="003002A1">
              <w:rPr>
                <w:sz w:val="18"/>
                <w:szCs w:val="18"/>
              </w:rPr>
              <w:t>Total Area</w:t>
            </w:r>
          </w:p>
        </w:tc>
        <w:tc>
          <w:tcPr>
            <w:tcW w:w="4883" w:type="dxa"/>
            <w:vAlign w:val="center"/>
          </w:tcPr>
          <w:p w14:paraId="3B0DB207" w14:textId="77777777" w:rsidR="00A654DA" w:rsidRPr="003002A1" w:rsidRDefault="00A654DA" w:rsidP="003002A1">
            <w:pPr>
              <w:pStyle w:val="TableParagraph"/>
              <w:spacing w:line="240" w:lineRule="auto"/>
              <w:ind w:left="0" w:firstLine="172"/>
              <w:jc w:val="center"/>
              <w:rPr>
                <w:sz w:val="18"/>
                <w:szCs w:val="18"/>
              </w:rPr>
            </w:pPr>
            <w:r w:rsidRPr="003002A1">
              <w:rPr>
                <w:spacing w:val="-5"/>
                <w:sz w:val="18"/>
                <w:szCs w:val="18"/>
              </w:rPr>
              <w:t>615m</w:t>
            </w:r>
            <w:r w:rsidRPr="003002A1">
              <w:rPr>
                <w:spacing w:val="-5"/>
                <w:sz w:val="18"/>
                <w:szCs w:val="18"/>
                <w:vertAlign w:val="superscript"/>
              </w:rPr>
              <w:t>2</w:t>
            </w:r>
          </w:p>
        </w:tc>
      </w:tr>
      <w:tr w:rsidR="00A654DA" w:rsidRPr="003002A1" w14:paraId="7D94CADB" w14:textId="77777777" w:rsidTr="00497ECA">
        <w:trPr>
          <w:trHeight w:val="238"/>
          <w:jc w:val="center"/>
        </w:trPr>
        <w:tc>
          <w:tcPr>
            <w:tcW w:w="3865" w:type="dxa"/>
            <w:vAlign w:val="center"/>
          </w:tcPr>
          <w:p w14:paraId="466E5D2C" w14:textId="5210FE37" w:rsidR="00A654DA" w:rsidRPr="003002A1" w:rsidRDefault="00854A2E" w:rsidP="003002A1">
            <w:pPr>
              <w:pStyle w:val="TableParagraph"/>
              <w:spacing w:line="240" w:lineRule="auto"/>
              <w:ind w:left="267" w:right="188"/>
              <w:jc w:val="both"/>
              <w:rPr>
                <w:sz w:val="18"/>
                <w:szCs w:val="18"/>
              </w:rPr>
            </w:pPr>
            <w:r w:rsidRPr="003002A1">
              <w:rPr>
                <w:sz w:val="18"/>
                <w:szCs w:val="18"/>
              </w:rPr>
              <w:t>Tracking system with single-axis or dual-axis movement</w:t>
            </w:r>
          </w:p>
        </w:tc>
        <w:tc>
          <w:tcPr>
            <w:tcW w:w="4883" w:type="dxa"/>
            <w:vAlign w:val="center"/>
          </w:tcPr>
          <w:p w14:paraId="12F935E2" w14:textId="5E321EB3" w:rsidR="00A654DA" w:rsidRPr="003002A1" w:rsidRDefault="00854A2E" w:rsidP="003002A1">
            <w:pPr>
              <w:pStyle w:val="TableParagraph"/>
              <w:spacing w:line="240" w:lineRule="auto"/>
              <w:ind w:left="0" w:firstLine="284"/>
              <w:jc w:val="center"/>
              <w:rPr>
                <w:sz w:val="18"/>
                <w:szCs w:val="18"/>
              </w:rPr>
            </w:pPr>
            <w:r w:rsidRPr="003002A1">
              <w:rPr>
                <w:sz w:val="18"/>
                <w:szCs w:val="18"/>
              </w:rPr>
              <w:t>Absence of tracking system</w:t>
            </w:r>
          </w:p>
        </w:tc>
      </w:tr>
      <w:tr w:rsidR="00A654DA" w:rsidRPr="003002A1" w14:paraId="3AE3937A" w14:textId="77777777" w:rsidTr="00497ECA">
        <w:trPr>
          <w:trHeight w:val="238"/>
          <w:jc w:val="center"/>
        </w:trPr>
        <w:tc>
          <w:tcPr>
            <w:tcW w:w="3865" w:type="dxa"/>
            <w:vAlign w:val="center"/>
          </w:tcPr>
          <w:p w14:paraId="503736C2" w14:textId="5CA50647" w:rsidR="00A654DA" w:rsidRPr="003002A1" w:rsidRDefault="00854A2E" w:rsidP="003002A1">
            <w:pPr>
              <w:pStyle w:val="TableParagraph"/>
              <w:spacing w:line="240" w:lineRule="auto"/>
              <w:ind w:left="0" w:firstLine="284"/>
              <w:jc w:val="both"/>
              <w:rPr>
                <w:sz w:val="18"/>
                <w:szCs w:val="18"/>
              </w:rPr>
            </w:pPr>
            <w:r w:rsidRPr="003002A1">
              <w:rPr>
                <w:sz w:val="18"/>
                <w:szCs w:val="18"/>
              </w:rPr>
              <w:t>Inclination Angle</w:t>
            </w:r>
          </w:p>
        </w:tc>
        <w:tc>
          <w:tcPr>
            <w:tcW w:w="4883" w:type="dxa"/>
            <w:vAlign w:val="center"/>
          </w:tcPr>
          <w:p w14:paraId="713C8C69" w14:textId="46673987" w:rsidR="00A654DA" w:rsidRPr="003002A1" w:rsidRDefault="00A654DA" w:rsidP="003002A1">
            <w:pPr>
              <w:pStyle w:val="TableParagraph"/>
              <w:spacing w:line="240" w:lineRule="auto"/>
              <w:ind w:left="0" w:firstLine="284"/>
              <w:jc w:val="center"/>
              <w:rPr>
                <w:sz w:val="18"/>
                <w:szCs w:val="18"/>
              </w:rPr>
            </w:pPr>
            <w:r w:rsidRPr="003002A1">
              <w:rPr>
                <w:sz w:val="18"/>
                <w:szCs w:val="18"/>
              </w:rPr>
              <w:t>30°-32°</w:t>
            </w:r>
            <w:r w:rsidRPr="003002A1">
              <w:rPr>
                <w:spacing w:val="46"/>
                <w:sz w:val="18"/>
                <w:szCs w:val="18"/>
              </w:rPr>
              <w:t xml:space="preserve"> </w:t>
            </w:r>
            <w:r w:rsidRPr="003002A1">
              <w:rPr>
                <w:sz w:val="18"/>
                <w:szCs w:val="18"/>
              </w:rPr>
              <w:t>SW</w:t>
            </w:r>
            <w:r w:rsidRPr="003002A1">
              <w:rPr>
                <w:spacing w:val="-5"/>
                <w:sz w:val="18"/>
                <w:szCs w:val="18"/>
              </w:rPr>
              <w:t xml:space="preserve"> </w:t>
            </w:r>
            <w:r w:rsidRPr="003002A1">
              <w:rPr>
                <w:spacing w:val="-4"/>
                <w:sz w:val="18"/>
                <w:szCs w:val="18"/>
              </w:rPr>
              <w:t>208°</w:t>
            </w:r>
          </w:p>
        </w:tc>
      </w:tr>
      <w:tr w:rsidR="00A654DA" w:rsidRPr="003002A1" w14:paraId="0F2C33F1" w14:textId="77777777" w:rsidTr="00497ECA">
        <w:trPr>
          <w:trHeight w:val="238"/>
          <w:jc w:val="center"/>
        </w:trPr>
        <w:tc>
          <w:tcPr>
            <w:tcW w:w="3865" w:type="dxa"/>
            <w:vAlign w:val="center"/>
          </w:tcPr>
          <w:p w14:paraId="479D888F" w14:textId="77777777" w:rsidR="00A654DA" w:rsidRPr="003002A1" w:rsidRDefault="00A654DA" w:rsidP="003002A1">
            <w:pPr>
              <w:pStyle w:val="TableParagraph"/>
              <w:spacing w:line="240" w:lineRule="auto"/>
              <w:ind w:left="0" w:firstLine="284"/>
              <w:jc w:val="both"/>
              <w:rPr>
                <w:spacing w:val="-4"/>
                <w:sz w:val="18"/>
                <w:szCs w:val="18"/>
              </w:rPr>
            </w:pPr>
            <w:r w:rsidRPr="003002A1">
              <w:rPr>
                <w:sz w:val="18"/>
                <w:szCs w:val="18"/>
              </w:rPr>
              <w:t>Installation Type</w:t>
            </w:r>
          </w:p>
        </w:tc>
        <w:tc>
          <w:tcPr>
            <w:tcW w:w="4883" w:type="dxa"/>
            <w:vAlign w:val="center"/>
          </w:tcPr>
          <w:p w14:paraId="018CBC9B" w14:textId="7E9572EF" w:rsidR="00A654DA" w:rsidRPr="003002A1" w:rsidRDefault="003002A1" w:rsidP="003002A1">
            <w:pPr>
              <w:pStyle w:val="TableParagraph"/>
              <w:spacing w:line="240" w:lineRule="auto"/>
              <w:ind w:left="0" w:firstLine="284"/>
              <w:jc w:val="center"/>
              <w:rPr>
                <w:sz w:val="18"/>
                <w:szCs w:val="18"/>
              </w:rPr>
            </w:pPr>
            <w:r w:rsidRPr="003002A1">
              <w:rPr>
                <w:sz w:val="18"/>
                <w:szCs w:val="18"/>
              </w:rPr>
              <w:t>Cremini</w:t>
            </w:r>
            <w:r w:rsidR="00A654DA" w:rsidRPr="003002A1">
              <w:rPr>
                <w:sz w:val="18"/>
                <w:szCs w:val="18"/>
              </w:rPr>
              <w:t xml:space="preserve"> </w:t>
            </w:r>
            <w:r w:rsidRPr="003002A1">
              <w:rPr>
                <w:sz w:val="18"/>
                <w:szCs w:val="18"/>
              </w:rPr>
              <w:t>monocrystal</w:t>
            </w:r>
          </w:p>
        </w:tc>
      </w:tr>
      <w:tr w:rsidR="00A654DA" w:rsidRPr="003002A1" w14:paraId="3C5330DC" w14:textId="77777777" w:rsidTr="00497ECA">
        <w:trPr>
          <w:trHeight w:val="238"/>
          <w:jc w:val="center"/>
        </w:trPr>
        <w:tc>
          <w:tcPr>
            <w:tcW w:w="3865" w:type="dxa"/>
            <w:vAlign w:val="center"/>
          </w:tcPr>
          <w:p w14:paraId="2DD16FC8" w14:textId="5C636438" w:rsidR="00A654DA" w:rsidRPr="003002A1" w:rsidRDefault="00854A2E" w:rsidP="003002A1">
            <w:pPr>
              <w:pStyle w:val="TableParagraph"/>
              <w:spacing w:line="240" w:lineRule="auto"/>
              <w:ind w:left="0" w:firstLine="284"/>
              <w:jc w:val="both"/>
              <w:rPr>
                <w:spacing w:val="-4"/>
                <w:sz w:val="18"/>
                <w:szCs w:val="18"/>
              </w:rPr>
            </w:pPr>
            <w:r w:rsidRPr="003002A1">
              <w:rPr>
                <w:sz w:val="18"/>
                <w:szCs w:val="18"/>
              </w:rPr>
              <w:t>Quantity of Inverters</w:t>
            </w:r>
          </w:p>
        </w:tc>
        <w:tc>
          <w:tcPr>
            <w:tcW w:w="4883" w:type="dxa"/>
            <w:vAlign w:val="center"/>
          </w:tcPr>
          <w:p w14:paraId="56BA18B8" w14:textId="77777777" w:rsidR="00A654DA" w:rsidRPr="003002A1" w:rsidRDefault="00A654DA" w:rsidP="003002A1">
            <w:pPr>
              <w:pStyle w:val="TableParagraph"/>
              <w:spacing w:line="240" w:lineRule="auto"/>
              <w:ind w:left="0" w:firstLine="284"/>
              <w:jc w:val="center"/>
              <w:rPr>
                <w:sz w:val="18"/>
                <w:szCs w:val="18"/>
              </w:rPr>
            </w:pPr>
            <w:r w:rsidRPr="003002A1">
              <w:rPr>
                <w:spacing w:val="-10"/>
                <w:sz w:val="18"/>
                <w:szCs w:val="18"/>
              </w:rPr>
              <w:t>2</w:t>
            </w:r>
          </w:p>
        </w:tc>
      </w:tr>
      <w:tr w:rsidR="00A654DA" w:rsidRPr="003002A1" w14:paraId="09805F07" w14:textId="77777777" w:rsidTr="00497ECA">
        <w:trPr>
          <w:trHeight w:val="238"/>
          <w:jc w:val="center"/>
        </w:trPr>
        <w:tc>
          <w:tcPr>
            <w:tcW w:w="3865" w:type="dxa"/>
            <w:vAlign w:val="center"/>
          </w:tcPr>
          <w:p w14:paraId="5E863A31" w14:textId="56981497" w:rsidR="00A654DA" w:rsidRPr="003002A1" w:rsidRDefault="00E743A9" w:rsidP="003002A1">
            <w:pPr>
              <w:pStyle w:val="TableParagraph"/>
              <w:spacing w:line="240" w:lineRule="auto"/>
              <w:ind w:left="0" w:firstLine="284"/>
              <w:jc w:val="both"/>
              <w:rPr>
                <w:spacing w:val="-4"/>
                <w:sz w:val="18"/>
                <w:szCs w:val="18"/>
              </w:rPr>
            </w:pPr>
            <w:r w:rsidRPr="003002A1">
              <w:rPr>
                <w:sz w:val="18"/>
                <w:szCs w:val="18"/>
              </w:rPr>
              <w:t>Total Modules</w:t>
            </w:r>
          </w:p>
        </w:tc>
        <w:tc>
          <w:tcPr>
            <w:tcW w:w="4883" w:type="dxa"/>
            <w:vAlign w:val="center"/>
          </w:tcPr>
          <w:p w14:paraId="5E735492" w14:textId="77777777" w:rsidR="00A654DA" w:rsidRPr="003002A1" w:rsidRDefault="00A654DA" w:rsidP="003002A1">
            <w:pPr>
              <w:pStyle w:val="TableParagraph"/>
              <w:spacing w:line="240" w:lineRule="auto"/>
              <w:ind w:left="0" w:firstLine="284"/>
              <w:jc w:val="center"/>
              <w:rPr>
                <w:sz w:val="18"/>
                <w:szCs w:val="18"/>
              </w:rPr>
            </w:pPr>
            <w:r w:rsidRPr="003002A1">
              <w:rPr>
                <w:sz w:val="18"/>
                <w:szCs w:val="18"/>
              </w:rPr>
              <w:t>185</w:t>
            </w:r>
          </w:p>
        </w:tc>
      </w:tr>
      <w:tr w:rsidR="00A654DA" w:rsidRPr="003002A1" w14:paraId="14D07BA2" w14:textId="77777777" w:rsidTr="00497ECA">
        <w:trPr>
          <w:trHeight w:val="238"/>
          <w:jc w:val="center"/>
        </w:trPr>
        <w:tc>
          <w:tcPr>
            <w:tcW w:w="8748" w:type="dxa"/>
            <w:gridSpan w:val="2"/>
            <w:vAlign w:val="center"/>
          </w:tcPr>
          <w:p w14:paraId="1CCA37EF" w14:textId="35A2EA46" w:rsidR="00A654DA" w:rsidRPr="003002A1" w:rsidRDefault="00E743A9" w:rsidP="003002A1">
            <w:pPr>
              <w:pStyle w:val="TableParagraph"/>
              <w:spacing w:line="240" w:lineRule="auto"/>
              <w:ind w:left="0" w:firstLine="284"/>
              <w:jc w:val="both"/>
              <w:rPr>
                <w:sz w:val="18"/>
                <w:szCs w:val="18"/>
              </w:rPr>
            </w:pPr>
            <w:r w:rsidRPr="003002A1">
              <w:rPr>
                <w:sz w:val="18"/>
                <w:szCs w:val="18"/>
              </w:rPr>
              <w:t>Photovoltaic Panel Surface Area</w:t>
            </w:r>
          </w:p>
        </w:tc>
      </w:tr>
    </w:tbl>
    <w:p w14:paraId="75761292" w14:textId="0D6F328A" w:rsidR="00E743A9" w:rsidRPr="003002A1" w:rsidRDefault="00E743A9" w:rsidP="003002A1">
      <w:pPr>
        <w:spacing w:before="240" w:after="240" w:line="240" w:lineRule="auto"/>
        <w:jc w:val="center"/>
        <w:rPr>
          <w:rFonts w:ascii="Times New Roman" w:hAnsi="Times New Roman" w:cs="Times New Roman"/>
          <w:b/>
          <w:bCs/>
          <w:sz w:val="24"/>
          <w:lang w:val="en-US"/>
        </w:rPr>
      </w:pPr>
      <w:bookmarkStart w:id="0" w:name="_Hlk189899072"/>
      <w:r w:rsidRPr="003002A1">
        <w:rPr>
          <w:rFonts w:ascii="Times New Roman" w:hAnsi="Times New Roman" w:cs="Times New Roman"/>
          <w:b/>
          <w:bCs/>
          <w:sz w:val="24"/>
          <w:lang w:val="en-US"/>
        </w:rPr>
        <w:t>YEARLY PERFORMANCE OF THE SOLAR PHOTOVOLTAIC SYSTEM, CLIMATIC CONDITIONS, AND ADJUSTED PAYBACK PERIOD</w:t>
      </w:r>
    </w:p>
    <w:p w14:paraId="3B2ADA4E" w14:textId="4DB35117" w:rsidR="00FA7FD9" w:rsidRDefault="00A654DA" w:rsidP="003002A1">
      <w:pPr>
        <w:spacing w:after="0" w:line="240" w:lineRule="auto"/>
        <w:ind w:firstLine="284"/>
        <w:jc w:val="both"/>
        <w:rPr>
          <w:rFonts w:ascii="Times New Roman" w:eastAsia="Times New Roman" w:hAnsi="Times New Roman" w:cs="Times New Roman"/>
          <w:b/>
          <w:bCs/>
          <w:kern w:val="0"/>
          <w:sz w:val="20"/>
          <w:szCs w:val="20"/>
          <w:lang w:val="en-US" w:eastAsia="ru-RU"/>
          <w14:ligatures w14:val="none"/>
        </w:rPr>
      </w:pPr>
      <w:r w:rsidRPr="00B34A03">
        <w:rPr>
          <w:rFonts w:ascii="Times New Roman" w:eastAsia="Times New Roman" w:hAnsi="Times New Roman" w:cs="Times New Roman"/>
          <w:b/>
          <w:bCs/>
          <w:kern w:val="0"/>
          <w:sz w:val="20"/>
          <w:szCs w:val="20"/>
          <w:lang w:val="en-US" w:eastAsia="ru-RU"/>
          <w14:ligatures w14:val="none"/>
        </w:rPr>
        <w:t>Annual Efficiency Degradation</w:t>
      </w:r>
    </w:p>
    <w:p w14:paraId="088F862C" w14:textId="7605C730" w:rsidR="00A654DA" w:rsidRPr="00B34A03" w:rsidRDefault="00A654DA" w:rsidP="003002A1">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The efficiency of solar photovoltaic systems naturally decreases annually. This decline is primarily related to the degradation level of the solar panels and typically ranges between 0.5% and 1% per year. In this analysis, an annual efficiency degradation rate of 1% is assumed.</w:t>
      </w:r>
    </w:p>
    <w:p w14:paraId="051AFE8F" w14:textId="7573F17D" w:rsidR="00A654DA" w:rsidRPr="00B34A03" w:rsidRDefault="00E743A9" w:rsidP="003002A1">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E743A9">
        <w:rPr>
          <w:rFonts w:ascii="Times New Roman" w:hAnsi="Times New Roman" w:cs="Times New Roman"/>
          <w:sz w:val="20"/>
          <w:lang w:val="en-US"/>
        </w:rPr>
        <w:t>In 2023, the newly commissioned 100 kW solar power plant at the Andijan Institute of Mechanical Engineering produced an initial annual energy output of 96,974.04 kWh</w:t>
      </w:r>
      <w:r w:rsidR="00A654DA" w:rsidRPr="00B34A03">
        <w:rPr>
          <w:rFonts w:ascii="Times New Roman" w:eastAsia="Times New Roman" w:hAnsi="Times New Roman" w:cs="Times New Roman"/>
          <w:kern w:val="0"/>
          <w:sz w:val="20"/>
          <w:szCs w:val="20"/>
          <w:lang w:val="en-US" w:eastAsia="ru-RU"/>
          <w14:ligatures w14:val="none"/>
        </w:rPr>
        <w:t>. Taking into account the efficiency degradation, the annual energy production decreases as follows:</w:t>
      </w:r>
    </w:p>
    <w:p w14:paraId="19D27F88" w14:textId="58C8F55B" w:rsidR="00713425" w:rsidRPr="003002A1" w:rsidRDefault="00642A89" w:rsidP="00CD6765">
      <w:pPr>
        <w:spacing w:before="120" w:after="120" w:line="240" w:lineRule="auto"/>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t</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A</m:t>
            </m:r>
          </m:sub>
        </m:sSub>
        <m:r>
          <w:rPr>
            <w:rFonts w:ascii="Cambria Math" w:hAnsi="Cambria Math" w:cs="Times New Roman"/>
            <w:sz w:val="20"/>
            <w:szCs w:val="20"/>
            <w:lang w:val="en-US"/>
          </w:rPr>
          <m:t>⋅</m:t>
        </m:r>
        <m:d>
          <m:dPr>
            <m:ctrlPr>
              <w:rPr>
                <w:rFonts w:ascii="Cambria Math" w:hAnsi="Cambria Math" w:cs="Times New Roman"/>
                <w:i/>
                <w:sz w:val="20"/>
                <w:szCs w:val="20"/>
                <w:lang w:val="en-US"/>
              </w:rPr>
            </m:ctrlPr>
          </m:dPr>
          <m:e>
            <m:r>
              <w:rPr>
                <w:rFonts w:ascii="Cambria Math" w:hAnsi="Cambria Math" w:cs="Times New Roman"/>
                <w:sz w:val="20"/>
                <w:szCs w:val="20"/>
                <w:lang w:val="en-US"/>
              </w:rPr>
              <m:t>1-d</m:t>
            </m:r>
          </m:e>
        </m:d>
      </m:oMath>
      <w:r w:rsidR="00713425" w:rsidRPr="00713425">
        <w:rPr>
          <w:rFonts w:ascii="Times New Roman" w:eastAsiaTheme="minorEastAsia" w:hAnsi="Times New Roman" w:cs="Times New Roman"/>
          <w:sz w:val="20"/>
          <w:szCs w:val="20"/>
          <w:vertAlign w:val="superscript"/>
          <w:lang w:val="en-US"/>
        </w:rPr>
        <w:t>t</w:t>
      </w:r>
      <w:r w:rsidR="003002A1">
        <w:rPr>
          <w:rFonts w:ascii="Times New Roman" w:eastAsiaTheme="minorEastAsia" w:hAnsi="Times New Roman" w:cs="Times New Roman"/>
          <w:sz w:val="20"/>
          <w:szCs w:val="20"/>
          <w:vertAlign w:val="superscript"/>
          <w:lang w:val="en-US"/>
        </w:rPr>
        <w:t xml:space="preserve"> </w:t>
      </w:r>
      <w:r w:rsidR="00CD6765">
        <w:rPr>
          <w:rFonts w:ascii="Times New Roman" w:eastAsiaTheme="minorEastAsia" w:hAnsi="Times New Roman" w:cs="Times New Roman"/>
          <w:sz w:val="20"/>
          <w:szCs w:val="20"/>
          <w:vertAlign w:val="superscript"/>
          <w:lang w:val="en-US"/>
        </w:rPr>
        <w:tab/>
      </w:r>
      <w:r w:rsidR="00CD6765">
        <w:rPr>
          <w:rFonts w:ascii="Times New Roman" w:eastAsiaTheme="minorEastAsia" w:hAnsi="Times New Roman" w:cs="Times New Roman"/>
          <w:sz w:val="20"/>
          <w:szCs w:val="20"/>
          <w:vertAlign w:val="superscript"/>
          <w:lang w:val="en-US"/>
        </w:rPr>
        <w:tab/>
      </w:r>
      <w:r w:rsidR="00CD6765">
        <w:rPr>
          <w:rFonts w:ascii="Times New Roman" w:eastAsiaTheme="minorEastAsia" w:hAnsi="Times New Roman" w:cs="Times New Roman"/>
          <w:sz w:val="20"/>
          <w:szCs w:val="20"/>
          <w:vertAlign w:val="superscript"/>
          <w:lang w:val="en-US"/>
        </w:rPr>
        <w:tab/>
      </w:r>
      <w:r w:rsidR="00CD6765">
        <w:rPr>
          <w:rFonts w:ascii="Times New Roman" w:eastAsiaTheme="minorEastAsia" w:hAnsi="Times New Roman" w:cs="Times New Roman"/>
          <w:sz w:val="20"/>
          <w:szCs w:val="20"/>
          <w:vertAlign w:val="superscript"/>
          <w:lang w:val="en-US"/>
        </w:rPr>
        <w:tab/>
      </w:r>
      <w:r w:rsidR="00CD6765">
        <w:rPr>
          <w:rFonts w:ascii="Times New Roman" w:eastAsiaTheme="minorEastAsia" w:hAnsi="Times New Roman" w:cs="Times New Roman"/>
          <w:sz w:val="20"/>
          <w:szCs w:val="20"/>
          <w:vertAlign w:val="superscript"/>
          <w:lang w:val="en-US"/>
        </w:rPr>
        <w:tab/>
      </w:r>
      <w:r w:rsidR="00CD6765">
        <w:rPr>
          <w:rFonts w:ascii="Times New Roman" w:eastAsiaTheme="minorEastAsia" w:hAnsi="Times New Roman" w:cs="Times New Roman"/>
          <w:sz w:val="20"/>
          <w:szCs w:val="20"/>
          <w:lang w:val="en-US"/>
        </w:rPr>
        <w:t>(1)</w:t>
      </w:r>
    </w:p>
    <w:p w14:paraId="142E9EA6" w14:textId="6A3039D7" w:rsidR="00A654DA" w:rsidRPr="00B33FFA" w:rsidRDefault="00CD6765" w:rsidP="00CD6765">
      <w:pPr>
        <w:spacing w:after="0" w:line="240" w:lineRule="auto"/>
        <w:rPr>
          <w:rFonts w:ascii="Times New Roman" w:eastAsia="Times New Roman" w:hAnsi="Times New Roman" w:cs="Times New Roman"/>
          <w:kern w:val="0"/>
          <w:sz w:val="20"/>
          <w:szCs w:val="20"/>
          <w:lang w:val="en-US" w:eastAsia="ru-RU"/>
          <w14:ligatures w14:val="none"/>
        </w:rPr>
      </w:pPr>
      <w:r>
        <w:rPr>
          <w:rFonts w:ascii="Times New Roman" w:eastAsia="Times New Roman" w:hAnsi="Times New Roman" w:cs="Times New Roman"/>
          <w:kern w:val="0"/>
          <w:sz w:val="20"/>
          <w:szCs w:val="20"/>
          <w:lang w:val="en-US" w:eastAsia="ru-RU"/>
          <w14:ligatures w14:val="none"/>
        </w:rPr>
        <w:t>w</w:t>
      </w:r>
      <w:r w:rsidR="00A654DA" w:rsidRPr="00713425">
        <w:rPr>
          <w:rFonts w:ascii="Times New Roman" w:eastAsia="Times New Roman" w:hAnsi="Times New Roman" w:cs="Times New Roman"/>
          <w:kern w:val="0"/>
          <w:sz w:val="20"/>
          <w:szCs w:val="20"/>
          <w:lang w:val="en-US" w:eastAsia="ru-RU"/>
          <w14:ligatures w14:val="none"/>
        </w:rPr>
        <w:t>here:</w:t>
      </w:r>
      <w:r>
        <w:rPr>
          <w:rFonts w:ascii="Times New Roman" w:eastAsia="Times New Roman" w:hAnsi="Times New Roman" w:cs="Times New Roman"/>
          <w:kern w:val="0"/>
          <w:sz w:val="20"/>
          <w:szCs w:val="20"/>
          <w:lang w:val="en-US" w:eastAsia="ru-RU"/>
          <w14:ligatures w14:val="none"/>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A</m:t>
            </m:r>
          </m:sub>
        </m:sSub>
      </m:oMath>
      <w:r w:rsidR="00A654DA" w:rsidRPr="00B33FFA">
        <w:rPr>
          <w:rFonts w:ascii="Times New Roman" w:eastAsia="Times New Roman" w:hAnsi="Times New Roman" w:cs="Times New Roman"/>
          <w:kern w:val="0"/>
          <w:sz w:val="20"/>
          <w:szCs w:val="20"/>
          <w:lang w:val="en-US" w:eastAsia="ru-RU"/>
          <w14:ligatures w14:val="none"/>
        </w:rPr>
        <w:t xml:space="preserve"> — initial annual energy production</w:t>
      </w:r>
      <w:r>
        <w:rPr>
          <w:rFonts w:ascii="Times New Roman" w:eastAsia="Times New Roman" w:hAnsi="Times New Roman" w:cs="Times New Roman"/>
          <w:kern w:val="0"/>
          <w:sz w:val="20"/>
          <w:szCs w:val="20"/>
          <w:lang w:val="en-US" w:eastAsia="ru-RU"/>
          <w14:ligatures w14:val="none"/>
        </w:rPr>
        <w:t xml:space="preserve">; </w:t>
      </w:r>
      <w:r w:rsidR="00A654DA" w:rsidRPr="00B33FFA">
        <w:rPr>
          <w:rFonts w:ascii="Times New Roman" w:eastAsia="Times New Roman" w:hAnsi="Times New Roman" w:cs="Times New Roman"/>
          <w:kern w:val="0"/>
          <w:sz w:val="20"/>
          <w:szCs w:val="20"/>
          <w:lang w:val="en-US" w:eastAsia="ru-RU"/>
          <w14:ligatures w14:val="none"/>
        </w:rPr>
        <w:t>d=0</w:t>
      </w:r>
      <w:r w:rsidR="004C6AEE" w:rsidRPr="00B33FFA">
        <w:rPr>
          <w:rFonts w:ascii="Times New Roman" w:eastAsia="Times New Roman" w:hAnsi="Times New Roman" w:cs="Times New Roman"/>
          <w:kern w:val="0"/>
          <w:sz w:val="20"/>
          <w:szCs w:val="20"/>
          <w:lang w:val="en-US" w:eastAsia="ru-RU"/>
          <w14:ligatures w14:val="none"/>
        </w:rPr>
        <w:t>,</w:t>
      </w:r>
      <w:r w:rsidR="00A654DA" w:rsidRPr="00B33FFA">
        <w:rPr>
          <w:rFonts w:ascii="Times New Roman" w:eastAsia="Times New Roman" w:hAnsi="Times New Roman" w:cs="Times New Roman"/>
          <w:kern w:val="0"/>
          <w:sz w:val="20"/>
          <w:szCs w:val="20"/>
          <w:lang w:val="en-US" w:eastAsia="ru-RU"/>
          <w14:ligatures w14:val="none"/>
        </w:rPr>
        <w:t>01— annual efficiency degradation (1%)</w:t>
      </w:r>
      <w:r>
        <w:rPr>
          <w:rFonts w:ascii="Times New Roman" w:eastAsia="Times New Roman" w:hAnsi="Times New Roman" w:cs="Times New Roman"/>
          <w:kern w:val="0"/>
          <w:sz w:val="20"/>
          <w:szCs w:val="20"/>
          <w:lang w:val="en-US" w:eastAsia="ru-RU"/>
          <w14:ligatures w14:val="none"/>
        </w:rPr>
        <w:t xml:space="preserve">; </w:t>
      </w:r>
      <w:r w:rsidR="00A654DA" w:rsidRPr="00B33FFA">
        <w:rPr>
          <w:rFonts w:ascii="Times New Roman" w:eastAsia="Times New Roman" w:hAnsi="Times New Roman" w:cs="Times New Roman"/>
          <w:kern w:val="0"/>
          <w:sz w:val="20"/>
          <w:szCs w:val="20"/>
          <w:lang w:val="en-US" w:eastAsia="ru-RU"/>
          <w14:ligatures w14:val="none"/>
        </w:rPr>
        <w:t>t — project duration in years (t=1,</w:t>
      </w:r>
      <w:r>
        <w:rPr>
          <w:rFonts w:ascii="Times New Roman" w:eastAsia="Times New Roman" w:hAnsi="Times New Roman" w:cs="Times New Roman"/>
          <w:kern w:val="0"/>
          <w:sz w:val="20"/>
          <w:szCs w:val="20"/>
          <w:lang w:val="en-US" w:eastAsia="ru-RU"/>
          <w14:ligatures w14:val="none"/>
        </w:rPr>
        <w:t xml:space="preserve"> </w:t>
      </w:r>
      <w:r w:rsidR="00A654DA" w:rsidRPr="00B33FFA">
        <w:rPr>
          <w:rFonts w:ascii="Times New Roman" w:eastAsia="Times New Roman" w:hAnsi="Times New Roman" w:cs="Times New Roman"/>
          <w:kern w:val="0"/>
          <w:sz w:val="20"/>
          <w:szCs w:val="20"/>
          <w:lang w:val="en-US" w:eastAsia="ru-RU"/>
          <w14:ligatures w14:val="none"/>
        </w:rPr>
        <w:t>2...25)</w:t>
      </w:r>
      <w:r>
        <w:rPr>
          <w:rFonts w:ascii="Times New Roman" w:eastAsia="Times New Roman" w:hAnsi="Times New Roman" w:cs="Times New Roman"/>
          <w:kern w:val="0"/>
          <w:sz w:val="20"/>
          <w:szCs w:val="20"/>
          <w:lang w:val="en-US" w:eastAsia="ru-RU"/>
          <w14:ligatures w14:val="none"/>
        </w:rPr>
        <w:t>.</w:t>
      </w:r>
    </w:p>
    <w:p w14:paraId="557DC929" w14:textId="77777777" w:rsidR="00FA7FD9" w:rsidRDefault="00A654DA" w:rsidP="00CD6765">
      <w:pPr>
        <w:spacing w:after="0" w:line="240" w:lineRule="auto"/>
        <w:ind w:firstLine="284"/>
        <w:jc w:val="both"/>
        <w:rPr>
          <w:rFonts w:ascii="Times New Roman" w:eastAsia="Times New Roman" w:hAnsi="Times New Roman" w:cs="Times New Roman"/>
          <w:b/>
          <w:bCs/>
          <w:kern w:val="0"/>
          <w:sz w:val="20"/>
          <w:szCs w:val="20"/>
          <w:lang w:val="en-US" w:eastAsia="ru-RU"/>
          <w14:ligatures w14:val="none"/>
        </w:rPr>
      </w:pPr>
      <w:r w:rsidRPr="00B34A03">
        <w:rPr>
          <w:rFonts w:ascii="Times New Roman" w:eastAsia="Times New Roman" w:hAnsi="Times New Roman" w:cs="Times New Roman"/>
          <w:b/>
          <w:bCs/>
          <w:kern w:val="0"/>
          <w:sz w:val="20"/>
          <w:szCs w:val="20"/>
          <w:lang w:val="en-US" w:eastAsia="ru-RU"/>
          <w14:ligatures w14:val="none"/>
        </w:rPr>
        <w:t>Weather Conditions Forecast</w:t>
      </w:r>
    </w:p>
    <w:p w14:paraId="5B89095D" w14:textId="7492063A" w:rsidR="00A654DA" w:rsidRPr="00B34A03" w:rsidRDefault="00A654DA" w:rsidP="00CD6765">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 xml:space="preserve">Solar radiation in the Andijan region varies throughout the year. The production significantly differs due to fewer sunny days in winter and higher radiation in summer. According to NASA-SSE data, </w:t>
      </w:r>
      <w:r w:rsidR="00E743A9" w:rsidRPr="00E743A9">
        <w:rPr>
          <w:rFonts w:ascii="Times New Roman" w:hAnsi="Times New Roman" w:cs="Times New Roman"/>
          <w:sz w:val="20"/>
          <w:lang w:val="en-US"/>
        </w:rPr>
        <w:t xml:space="preserve">Andijan experiences an average </w:t>
      </w:r>
      <w:r w:rsidR="00E743A9" w:rsidRPr="00E743A9">
        <w:rPr>
          <w:rFonts w:ascii="Times New Roman" w:hAnsi="Times New Roman" w:cs="Times New Roman"/>
          <w:sz w:val="20"/>
          <w:lang w:val="en-US"/>
        </w:rPr>
        <w:lastRenderedPageBreak/>
        <w:t>of about 2,800 hours of sunshine annually</w:t>
      </w:r>
      <w:r w:rsidRPr="00B34A03">
        <w:rPr>
          <w:rFonts w:ascii="Times New Roman" w:eastAsia="Times New Roman" w:hAnsi="Times New Roman" w:cs="Times New Roman"/>
          <w:kern w:val="0"/>
          <w:sz w:val="20"/>
          <w:szCs w:val="20"/>
          <w:lang w:val="en-US" w:eastAsia="ru-RU"/>
          <w14:ligatures w14:val="none"/>
        </w:rPr>
        <w:t>. Currently, the annual reduction in production volume is estimated solely based on efficiency degradation without considering variability in sunny days [3].</w:t>
      </w:r>
    </w:p>
    <w:p w14:paraId="76F73009" w14:textId="03FABFCF" w:rsidR="00FA7FD9" w:rsidRDefault="00A654DA" w:rsidP="00CD6765">
      <w:pPr>
        <w:spacing w:after="0" w:line="240" w:lineRule="auto"/>
        <w:ind w:firstLine="284"/>
        <w:jc w:val="both"/>
        <w:rPr>
          <w:rFonts w:ascii="Times New Roman" w:eastAsia="Times New Roman" w:hAnsi="Times New Roman" w:cs="Times New Roman"/>
          <w:b/>
          <w:bCs/>
          <w:kern w:val="0"/>
          <w:sz w:val="20"/>
          <w:szCs w:val="20"/>
          <w:lang w:val="en-US" w:eastAsia="ru-RU"/>
          <w14:ligatures w14:val="none"/>
        </w:rPr>
      </w:pPr>
      <w:r w:rsidRPr="00B34A03">
        <w:rPr>
          <w:rFonts w:ascii="Times New Roman" w:eastAsia="Times New Roman" w:hAnsi="Times New Roman" w:cs="Times New Roman"/>
          <w:b/>
          <w:bCs/>
          <w:kern w:val="0"/>
          <w:sz w:val="20"/>
          <w:szCs w:val="20"/>
          <w:lang w:val="en-US" w:eastAsia="ru-RU"/>
          <w14:ligatures w14:val="none"/>
        </w:rPr>
        <w:t>Total Energy Produced</w:t>
      </w:r>
    </w:p>
    <w:p w14:paraId="3339246E" w14:textId="3EC19B4E" w:rsidR="00A654DA" w:rsidRDefault="00A654DA" w:rsidP="00FA7FD9">
      <w:pPr>
        <w:spacing w:after="100" w:afterAutospacing="1"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The total energy produced over 25 years (ETE_TET​) is calculated using the following formula:</w:t>
      </w:r>
    </w:p>
    <w:p w14:paraId="6381FF8D" w14:textId="29650480" w:rsidR="004C6AEE" w:rsidRPr="004C6AEE" w:rsidRDefault="00642A89" w:rsidP="00CD6765">
      <w:pPr>
        <w:spacing w:before="120" w:after="120" w:line="240" w:lineRule="auto"/>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T</m:t>
            </m:r>
          </m:sub>
        </m:sSub>
        <m:r>
          <w:rPr>
            <w:rFonts w:ascii="Cambria Math" w:hAnsi="Cambria Math" w:cs="Times New Roman"/>
            <w:sz w:val="20"/>
            <w:szCs w:val="20"/>
            <w:lang w:val="en-US"/>
          </w:rPr>
          <m:t>=</m:t>
        </m:r>
        <m:nary>
          <m:naryPr>
            <m:chr m:val="∑"/>
            <m:limLoc m:val="undOvr"/>
            <m:ctrlPr>
              <w:rPr>
                <w:rFonts w:ascii="Cambria Math" w:hAnsi="Cambria Math" w:cs="Times New Roman"/>
                <w:i/>
                <w:sz w:val="20"/>
                <w:szCs w:val="20"/>
                <w:lang w:val="en-US"/>
              </w:rPr>
            </m:ctrlPr>
          </m:naryPr>
          <m:sub>
            <m:r>
              <w:rPr>
                <w:rFonts w:ascii="Cambria Math" w:hAnsi="Cambria Math" w:cs="Times New Roman"/>
                <w:sz w:val="20"/>
                <w:szCs w:val="20"/>
                <w:lang w:val="en-US"/>
              </w:rPr>
              <m:t>t=1</m:t>
            </m:r>
          </m:sub>
          <m:sup>
            <m:r>
              <w:rPr>
                <w:rFonts w:ascii="Cambria Math" w:hAnsi="Cambria Math" w:cs="Times New Roman"/>
                <w:sz w:val="20"/>
                <w:szCs w:val="20"/>
                <w:lang w:val="en-US"/>
              </w:rPr>
              <m:t>25</m:t>
            </m:r>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A</m:t>
                </m:r>
              </m:sub>
            </m:sSub>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(1-d)</m:t>
                </m:r>
              </m:e>
              <m:sup>
                <m:r>
                  <w:rPr>
                    <w:rFonts w:ascii="Cambria Math" w:hAnsi="Cambria Math" w:cs="Times New Roman"/>
                    <w:sz w:val="20"/>
                    <w:szCs w:val="20"/>
                    <w:lang w:val="en-US"/>
                  </w:rPr>
                  <m:t>t</m:t>
                </m:r>
              </m:sup>
            </m:sSup>
          </m:e>
        </m:nary>
      </m:oMath>
      <w:r w:rsidR="00CD6765">
        <w:rPr>
          <w:rFonts w:ascii="Times New Roman" w:eastAsiaTheme="minorEastAsia" w:hAnsi="Times New Roman" w:cs="Times New Roman"/>
          <w:sz w:val="20"/>
          <w:szCs w:val="20"/>
          <w:lang w:val="en-US"/>
        </w:rPr>
        <w:t xml:space="preserve"> </w:t>
      </w:r>
      <w:r w:rsidR="00CD6765">
        <w:rPr>
          <w:rFonts w:ascii="Times New Roman" w:eastAsiaTheme="minorEastAsia" w:hAnsi="Times New Roman" w:cs="Times New Roman"/>
          <w:sz w:val="20"/>
          <w:szCs w:val="20"/>
          <w:lang w:val="en-US"/>
        </w:rPr>
        <w:tab/>
      </w:r>
      <w:r w:rsidR="00CD6765">
        <w:rPr>
          <w:rFonts w:ascii="Times New Roman" w:eastAsiaTheme="minorEastAsia" w:hAnsi="Times New Roman" w:cs="Times New Roman"/>
          <w:sz w:val="20"/>
          <w:szCs w:val="20"/>
          <w:lang w:val="en-US"/>
        </w:rPr>
        <w:tab/>
      </w:r>
      <w:r w:rsidR="00CD6765">
        <w:rPr>
          <w:rFonts w:ascii="Times New Roman" w:eastAsiaTheme="minorEastAsia" w:hAnsi="Times New Roman" w:cs="Times New Roman"/>
          <w:sz w:val="20"/>
          <w:szCs w:val="20"/>
          <w:lang w:val="en-US"/>
        </w:rPr>
        <w:tab/>
      </w:r>
      <w:r w:rsidR="00CD6765">
        <w:rPr>
          <w:rFonts w:ascii="Times New Roman" w:eastAsiaTheme="minorEastAsia" w:hAnsi="Times New Roman" w:cs="Times New Roman"/>
          <w:sz w:val="20"/>
          <w:szCs w:val="20"/>
          <w:lang w:val="en-US"/>
        </w:rPr>
        <w:tab/>
      </w:r>
      <w:r w:rsidR="00CD6765">
        <w:rPr>
          <w:rFonts w:ascii="Times New Roman" w:eastAsiaTheme="minorEastAsia" w:hAnsi="Times New Roman" w:cs="Times New Roman"/>
          <w:sz w:val="20"/>
          <w:szCs w:val="20"/>
          <w:lang w:val="en-US"/>
        </w:rPr>
        <w:tab/>
      </w:r>
      <w:r w:rsidR="00CD6765">
        <w:rPr>
          <w:rFonts w:ascii="Times New Roman" w:eastAsiaTheme="minorEastAsia" w:hAnsi="Times New Roman" w:cs="Times New Roman"/>
          <w:sz w:val="20"/>
          <w:szCs w:val="20"/>
          <w:lang w:val="en-US"/>
        </w:rPr>
        <w:tab/>
        <w:t>(2)</w:t>
      </w:r>
    </w:p>
    <w:p w14:paraId="697AA9E9" w14:textId="01883352" w:rsidR="00FA7FD9" w:rsidRPr="00FD2373" w:rsidRDefault="00FA7FD9" w:rsidP="00CD6765">
      <w:pPr>
        <w:spacing w:before="240" w:after="240" w:line="240" w:lineRule="auto"/>
        <w:jc w:val="center"/>
        <w:rPr>
          <w:rFonts w:ascii="Times New Roman" w:eastAsia="Times New Roman" w:hAnsi="Times New Roman" w:cs="Times New Roman"/>
          <w:b/>
          <w:bCs/>
          <w:kern w:val="0"/>
          <w:sz w:val="24"/>
          <w:szCs w:val="24"/>
          <w:lang w:val="en-US" w:eastAsia="ru-RU"/>
          <w14:ligatures w14:val="none"/>
        </w:rPr>
      </w:pPr>
      <w:r w:rsidRPr="00FD2373">
        <w:rPr>
          <w:rFonts w:ascii="Times New Roman" w:eastAsia="Times New Roman" w:hAnsi="Times New Roman" w:cs="Times New Roman"/>
          <w:b/>
          <w:bCs/>
          <w:kern w:val="0"/>
          <w:sz w:val="24"/>
          <w:szCs w:val="24"/>
          <w:lang w:val="en-US" w:eastAsia="ru-RU"/>
          <w14:ligatures w14:val="none"/>
        </w:rPr>
        <w:t>CALCULATION RESULTS</w:t>
      </w:r>
    </w:p>
    <w:p w14:paraId="40EB5FF5" w14:textId="77777777" w:rsidR="00FA7FD9" w:rsidRPr="00CD6765" w:rsidRDefault="00A654DA" w:rsidP="00CD6765">
      <w:pPr>
        <w:spacing w:after="0" w:line="240" w:lineRule="auto"/>
        <w:ind w:firstLine="284"/>
        <w:jc w:val="both"/>
        <w:rPr>
          <w:rFonts w:ascii="Times New Roman" w:eastAsia="Times New Roman" w:hAnsi="Times New Roman" w:cs="Times New Roman"/>
          <w:b/>
          <w:bCs/>
          <w:kern w:val="0"/>
          <w:sz w:val="20"/>
          <w:szCs w:val="20"/>
          <w:lang w:val="en-US" w:eastAsia="ru-RU"/>
          <w14:ligatures w14:val="none"/>
        </w:rPr>
      </w:pPr>
      <w:r w:rsidRPr="00CD6765">
        <w:rPr>
          <w:rFonts w:ascii="Times New Roman" w:eastAsia="Times New Roman" w:hAnsi="Times New Roman" w:cs="Times New Roman"/>
          <w:b/>
          <w:bCs/>
          <w:kern w:val="0"/>
          <w:sz w:val="20"/>
          <w:szCs w:val="20"/>
          <w:lang w:val="en-US" w:eastAsia="ru-RU"/>
          <w14:ligatures w14:val="none"/>
        </w:rPr>
        <w:t>Recalculated Payback Period</w:t>
      </w:r>
    </w:p>
    <w:p w14:paraId="3756AFBB" w14:textId="41EF3CF5" w:rsidR="00A654DA" w:rsidRPr="00CD6765" w:rsidRDefault="00A654DA" w:rsidP="00CD6765">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CD6765">
        <w:rPr>
          <w:rFonts w:ascii="Times New Roman" w:eastAsia="Times New Roman" w:hAnsi="Times New Roman" w:cs="Times New Roman"/>
          <w:kern w:val="0"/>
          <w:sz w:val="20"/>
          <w:szCs w:val="20"/>
          <w:lang w:val="en-US" w:eastAsia="ru-RU"/>
          <w14:ligatures w14:val="none"/>
        </w:rPr>
        <w:t>The payback period (SPP — Simple Payback Period) is determined by taking into account the annual efficiency degradation. The annual income of the project is calculated as:</w:t>
      </w:r>
    </w:p>
    <w:p w14:paraId="33F114BA" w14:textId="130E239E" w:rsidR="004C6AEE" w:rsidRPr="00CD6765" w:rsidRDefault="004C6AEE" w:rsidP="00CD6765">
      <w:pPr>
        <w:spacing w:before="240" w:after="240" w:line="240" w:lineRule="auto"/>
        <w:jc w:val="right"/>
        <w:rPr>
          <w:rFonts w:ascii="Times New Roman" w:hAnsi="Times New Roman" w:cs="Times New Roman"/>
          <w:sz w:val="20"/>
          <w:szCs w:val="20"/>
          <w:lang w:val="en-US"/>
        </w:rPr>
      </w:pPr>
      <w:proofErr w:type="spellStart"/>
      <w:r w:rsidRPr="00CD6765">
        <w:rPr>
          <w:rFonts w:ascii="Times New Roman" w:hAnsi="Times New Roman" w:cs="Times New Roman"/>
          <w:sz w:val="20"/>
          <w:szCs w:val="20"/>
          <w:lang w:val="en-US"/>
        </w:rPr>
        <w:t>CF</w:t>
      </w:r>
      <w:r w:rsidRPr="00CD6765">
        <w:rPr>
          <w:rFonts w:ascii="Times New Roman" w:hAnsi="Times New Roman" w:cs="Times New Roman"/>
          <w:sz w:val="20"/>
          <w:szCs w:val="20"/>
          <w:vertAlign w:val="subscript"/>
          <w:lang w:val="en-US"/>
        </w:rPr>
        <w:t>t</w:t>
      </w:r>
      <w:proofErr w:type="spellEnd"/>
      <w:r w:rsidRPr="00CD6765">
        <w:rPr>
          <w:rFonts w:ascii="Times New Roman" w:hAnsi="Times New Roman" w:cs="Times New Roman"/>
          <w:sz w:val="20"/>
          <w:szCs w:val="20"/>
          <w:lang w:val="en-US"/>
        </w:rPr>
        <w:t>=</w:t>
      </w:r>
      <w:proofErr w:type="spellStart"/>
      <w:r w:rsidRPr="00CD6765">
        <w:rPr>
          <w:rFonts w:ascii="Times New Roman" w:hAnsi="Times New Roman" w:cs="Times New Roman"/>
          <w:sz w:val="20"/>
          <w:szCs w:val="20"/>
          <w:lang w:val="en-US"/>
        </w:rPr>
        <w:t>E</w:t>
      </w:r>
      <w:r w:rsidRPr="00CD6765">
        <w:rPr>
          <w:rFonts w:ascii="Times New Roman" w:hAnsi="Times New Roman" w:cs="Times New Roman"/>
          <w:sz w:val="20"/>
          <w:szCs w:val="20"/>
          <w:vertAlign w:val="subscript"/>
          <w:lang w:val="en-US"/>
        </w:rPr>
        <w:t>t</w:t>
      </w:r>
      <w:r w:rsidRPr="00CD6765">
        <w:rPr>
          <w:rFonts w:ascii="Cambria Math" w:hAnsi="Cambria Math" w:cs="Cambria Math"/>
          <w:sz w:val="20"/>
          <w:szCs w:val="20"/>
          <w:lang w:val="en-US"/>
        </w:rPr>
        <w:t>⋅</w:t>
      </w:r>
      <w:r w:rsidRPr="00CD6765">
        <w:rPr>
          <w:rFonts w:ascii="Times New Roman" w:hAnsi="Times New Roman" w:cs="Times New Roman"/>
          <w:sz w:val="20"/>
          <w:szCs w:val="20"/>
          <w:lang w:val="en-US"/>
        </w:rPr>
        <w:t>P</w:t>
      </w:r>
      <w:proofErr w:type="spellEnd"/>
      <w:r w:rsidR="00CD6765">
        <w:rPr>
          <w:rFonts w:ascii="Times New Roman" w:hAnsi="Times New Roman" w:cs="Times New Roman"/>
          <w:sz w:val="20"/>
          <w:szCs w:val="20"/>
          <w:lang w:val="en-US"/>
        </w:rPr>
        <w:t xml:space="preserve"> </w:t>
      </w:r>
      <w:r w:rsidR="00CD6765">
        <w:rPr>
          <w:rFonts w:ascii="Times New Roman" w:hAnsi="Times New Roman" w:cs="Times New Roman"/>
          <w:sz w:val="20"/>
          <w:szCs w:val="20"/>
          <w:lang w:val="en-US"/>
        </w:rPr>
        <w:tab/>
      </w:r>
      <w:r w:rsidR="00CD6765">
        <w:rPr>
          <w:rFonts w:ascii="Times New Roman" w:hAnsi="Times New Roman" w:cs="Times New Roman"/>
          <w:sz w:val="20"/>
          <w:szCs w:val="20"/>
          <w:lang w:val="en-US"/>
        </w:rPr>
        <w:tab/>
      </w:r>
      <w:r w:rsidR="00CD6765">
        <w:rPr>
          <w:rFonts w:ascii="Times New Roman" w:hAnsi="Times New Roman" w:cs="Times New Roman"/>
          <w:sz w:val="20"/>
          <w:szCs w:val="20"/>
          <w:lang w:val="en-US"/>
        </w:rPr>
        <w:tab/>
      </w:r>
      <w:r w:rsidR="00CD6765">
        <w:rPr>
          <w:rFonts w:ascii="Times New Roman" w:hAnsi="Times New Roman" w:cs="Times New Roman"/>
          <w:sz w:val="20"/>
          <w:szCs w:val="20"/>
          <w:lang w:val="en-US"/>
        </w:rPr>
        <w:tab/>
      </w:r>
      <w:r w:rsidR="00CD6765">
        <w:rPr>
          <w:rFonts w:ascii="Times New Roman" w:hAnsi="Times New Roman" w:cs="Times New Roman"/>
          <w:sz w:val="20"/>
          <w:szCs w:val="20"/>
          <w:lang w:val="en-US"/>
        </w:rPr>
        <w:tab/>
      </w:r>
      <w:r w:rsidR="00CD6765">
        <w:rPr>
          <w:rFonts w:ascii="Times New Roman" w:hAnsi="Times New Roman" w:cs="Times New Roman"/>
          <w:sz w:val="20"/>
          <w:szCs w:val="20"/>
          <w:lang w:val="en-US"/>
        </w:rPr>
        <w:tab/>
      </w:r>
      <w:r w:rsidR="00CD6765">
        <w:rPr>
          <w:rFonts w:ascii="Times New Roman" w:hAnsi="Times New Roman" w:cs="Times New Roman"/>
          <w:sz w:val="20"/>
          <w:szCs w:val="20"/>
          <w:lang w:val="en-US"/>
        </w:rPr>
        <w:tab/>
        <w:t>(3)</w:t>
      </w:r>
    </w:p>
    <w:p w14:paraId="6BF35127" w14:textId="295295D1" w:rsidR="00A654DA" w:rsidRPr="00CD6765" w:rsidRDefault="00CD6765" w:rsidP="00CD6765">
      <w:pPr>
        <w:spacing w:after="0" w:line="240" w:lineRule="auto"/>
        <w:jc w:val="both"/>
        <w:rPr>
          <w:rFonts w:ascii="Times New Roman" w:eastAsia="Times New Roman" w:hAnsi="Times New Roman" w:cs="Times New Roman"/>
          <w:kern w:val="0"/>
          <w:sz w:val="20"/>
          <w:szCs w:val="20"/>
          <w:lang w:val="en-US" w:eastAsia="ru-RU"/>
          <w14:ligatures w14:val="none"/>
        </w:rPr>
      </w:pPr>
      <w:r>
        <w:rPr>
          <w:rFonts w:ascii="Times New Roman" w:eastAsia="Times New Roman" w:hAnsi="Times New Roman" w:cs="Times New Roman"/>
          <w:kern w:val="0"/>
          <w:sz w:val="20"/>
          <w:szCs w:val="20"/>
          <w:lang w:val="en-US" w:eastAsia="ru-RU"/>
          <w14:ligatures w14:val="none"/>
        </w:rPr>
        <w:t>w</w:t>
      </w:r>
      <w:r w:rsidR="00A654DA" w:rsidRPr="00CD6765">
        <w:rPr>
          <w:rFonts w:ascii="Times New Roman" w:eastAsia="Times New Roman" w:hAnsi="Times New Roman" w:cs="Times New Roman"/>
          <w:kern w:val="0"/>
          <w:sz w:val="20"/>
          <w:szCs w:val="20"/>
          <w:lang w:val="en-US" w:eastAsia="ru-RU"/>
          <w14:ligatures w14:val="none"/>
        </w:rPr>
        <w:t>here:</w:t>
      </w:r>
      <w:r>
        <w:rPr>
          <w:rFonts w:ascii="Times New Roman" w:eastAsia="Times New Roman" w:hAnsi="Times New Roman" w:cs="Times New Roman"/>
          <w:kern w:val="0"/>
          <w:sz w:val="20"/>
          <w:szCs w:val="20"/>
          <w:lang w:val="en-US" w:eastAsia="ru-RU"/>
          <w14:ligatures w14:val="none"/>
        </w:rPr>
        <w:t xml:space="preserve"> </w:t>
      </w:r>
      <w:r w:rsidR="00A654DA" w:rsidRPr="00CD6765">
        <w:rPr>
          <w:rFonts w:ascii="Times New Roman" w:eastAsia="Times New Roman" w:hAnsi="Times New Roman" w:cs="Times New Roman"/>
          <w:kern w:val="0"/>
          <w:sz w:val="20"/>
          <w:szCs w:val="20"/>
          <w:lang w:val="en-US" w:eastAsia="ru-RU"/>
          <w14:ligatures w14:val="none"/>
        </w:rPr>
        <w:t>P — price of energy supply</w:t>
      </w:r>
      <w:r>
        <w:rPr>
          <w:rFonts w:ascii="Times New Roman" w:eastAsia="Times New Roman" w:hAnsi="Times New Roman" w:cs="Times New Roman"/>
          <w:kern w:val="0"/>
          <w:sz w:val="20"/>
          <w:szCs w:val="20"/>
          <w:lang w:val="en-US" w:eastAsia="ru-RU"/>
          <w14:ligatures w14:val="none"/>
        </w:rPr>
        <w:t xml:space="preserve">; </w:t>
      </w:r>
      <w:r w:rsidR="004C6AEE" w:rsidRPr="00CD6765">
        <w:rPr>
          <w:rFonts w:ascii="Times New Roman" w:hAnsi="Times New Roman" w:cs="Times New Roman"/>
          <w:sz w:val="20"/>
          <w:szCs w:val="20"/>
          <w:lang w:val="en-US"/>
        </w:rPr>
        <w:t>E</w:t>
      </w:r>
      <w:r w:rsidR="004C6AEE" w:rsidRPr="00CD6765">
        <w:rPr>
          <w:rFonts w:ascii="Times New Roman" w:hAnsi="Times New Roman" w:cs="Times New Roman"/>
          <w:sz w:val="20"/>
          <w:szCs w:val="20"/>
          <w:vertAlign w:val="subscript"/>
          <w:lang w:val="en-US"/>
        </w:rPr>
        <w:t>t</w:t>
      </w:r>
      <w:r w:rsidR="004C6AEE" w:rsidRPr="00CD6765">
        <w:rPr>
          <w:rFonts w:ascii="Times New Roman" w:eastAsia="Times New Roman" w:hAnsi="Times New Roman" w:cs="Times New Roman"/>
          <w:kern w:val="0"/>
          <w:sz w:val="20"/>
          <w:szCs w:val="20"/>
          <w:lang w:val="en-US" w:eastAsia="ru-RU"/>
          <w14:ligatures w14:val="none"/>
        </w:rPr>
        <w:t xml:space="preserve"> </w:t>
      </w:r>
      <w:r w:rsidR="00A654DA" w:rsidRPr="00CD6765">
        <w:rPr>
          <w:rFonts w:ascii="Times New Roman" w:eastAsia="Times New Roman" w:hAnsi="Times New Roman" w:cs="Times New Roman"/>
          <w:kern w:val="0"/>
          <w:sz w:val="20"/>
          <w:szCs w:val="20"/>
          <w:lang w:val="en-US" w:eastAsia="ru-RU"/>
          <w14:ligatures w14:val="none"/>
        </w:rPr>
        <w:t>— annual electricity production (kWh).</w:t>
      </w:r>
    </w:p>
    <w:p w14:paraId="707D2E37" w14:textId="282598E2" w:rsidR="00A654DA" w:rsidRPr="00CD6765" w:rsidRDefault="00A654DA" w:rsidP="00CD6765">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CD6765">
        <w:rPr>
          <w:rFonts w:ascii="Times New Roman" w:eastAsia="Times New Roman" w:hAnsi="Times New Roman" w:cs="Times New Roman"/>
          <w:kern w:val="0"/>
          <w:sz w:val="20"/>
          <w:szCs w:val="20"/>
          <w:lang w:val="en-US" w:eastAsia="ru-RU"/>
          <w14:ligatures w14:val="none"/>
        </w:rPr>
        <w:t xml:space="preserve">The initial investment cost </w:t>
      </w:r>
      <w:r w:rsidR="004C6AEE" w:rsidRPr="00CD6765">
        <w:rPr>
          <w:rFonts w:ascii="Times New Roman" w:hAnsi="Times New Roman" w:cs="Times New Roman"/>
          <w:sz w:val="20"/>
          <w:szCs w:val="20"/>
          <w:lang w:val="en-US"/>
        </w:rPr>
        <w:t>IC</w:t>
      </w:r>
      <w:r w:rsidR="004C6AEE" w:rsidRPr="00CD6765">
        <w:rPr>
          <w:rFonts w:ascii="Times New Roman" w:hAnsi="Times New Roman" w:cs="Times New Roman"/>
          <w:sz w:val="20"/>
          <w:szCs w:val="20"/>
          <w:vertAlign w:val="subscript"/>
          <w:lang w:val="en-US"/>
        </w:rPr>
        <w:t>0</w:t>
      </w:r>
      <w:r w:rsidR="004C6AEE" w:rsidRPr="00CD6765">
        <w:rPr>
          <w:rFonts w:ascii="Times New Roman" w:eastAsia="Times New Roman" w:hAnsi="Times New Roman" w:cs="Times New Roman"/>
          <w:kern w:val="0"/>
          <w:sz w:val="20"/>
          <w:szCs w:val="20"/>
          <w:lang w:val="en-US" w:eastAsia="ru-RU"/>
          <w14:ligatures w14:val="none"/>
        </w:rPr>
        <w:t xml:space="preserve"> </w:t>
      </w:r>
      <w:r w:rsidRPr="00CD6765">
        <w:rPr>
          <w:rFonts w:ascii="Times New Roman" w:eastAsia="Times New Roman" w:hAnsi="Times New Roman" w:cs="Times New Roman"/>
          <w:kern w:val="0"/>
          <w:sz w:val="20"/>
          <w:szCs w:val="20"/>
          <w:lang w:val="en-US" w:eastAsia="ru-RU"/>
          <w14:ligatures w14:val="none"/>
        </w:rPr>
        <w:t>is recovered over the years through income, and the payback period is defined by the formula:</w:t>
      </w:r>
    </w:p>
    <w:bookmarkEnd w:id="0"/>
    <w:p w14:paraId="3C321157" w14:textId="3A1B5296" w:rsidR="004C6AEE" w:rsidRPr="00CD6765" w:rsidRDefault="004C6AEE" w:rsidP="00CD6765">
      <w:pPr>
        <w:spacing w:before="120" w:after="120" w:line="240" w:lineRule="auto"/>
        <w:jc w:val="right"/>
        <w:rPr>
          <w:rFonts w:ascii="Times New Roman" w:hAnsi="Times New Roman" w:cs="Times New Roman"/>
          <w:sz w:val="20"/>
          <w:szCs w:val="20"/>
          <w:lang w:val="en-US"/>
        </w:rPr>
      </w:pPr>
      <m:oMath>
        <m:r>
          <w:rPr>
            <w:rFonts w:ascii="Cambria Math" w:hAnsi="Cambria Math" w:cs="Times New Roman"/>
            <w:sz w:val="20"/>
            <w:szCs w:val="20"/>
            <w:lang w:val="en-US"/>
          </w:rPr>
          <m:t>SPP=</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IC</m:t>
                </m:r>
              </m:e>
              <m:sub>
                <m:r>
                  <w:rPr>
                    <w:rFonts w:ascii="Cambria Math" w:hAnsi="Cambria Math" w:cs="Times New Roman"/>
                    <w:sz w:val="20"/>
                    <w:szCs w:val="20"/>
                    <w:lang w:val="en-US"/>
                  </w:rPr>
                  <m:t>0</m:t>
                </m:r>
              </m:sub>
            </m:sSub>
          </m:num>
          <m:den>
            <m:nary>
              <m:naryPr>
                <m:chr m:val="∑"/>
                <m:limLoc m:val="subSup"/>
                <m:ctrlPr>
                  <w:rPr>
                    <w:rFonts w:ascii="Cambria Math" w:hAnsi="Cambria Math" w:cs="Times New Roman"/>
                    <w:i/>
                    <w:sz w:val="20"/>
                    <w:szCs w:val="20"/>
                    <w:lang w:val="en-US"/>
                  </w:rPr>
                </m:ctrlPr>
              </m:naryPr>
              <m:sub>
                <m:r>
                  <w:rPr>
                    <w:rFonts w:ascii="Cambria Math" w:hAnsi="Cambria Math" w:cs="Times New Roman"/>
                    <w:sz w:val="20"/>
                    <w:szCs w:val="20"/>
                    <w:lang w:val="en-US"/>
                  </w:rPr>
                  <m:t>t=1</m:t>
                </m:r>
              </m:sub>
              <m:sup>
                <m:r>
                  <w:rPr>
                    <w:rFonts w:ascii="Cambria Math" w:hAnsi="Cambria Math" w:cs="Times New Roman"/>
                    <w:sz w:val="20"/>
                    <w:szCs w:val="20"/>
                    <w:lang w:val="en-US"/>
                  </w:rPr>
                  <m:t>T</m:t>
                </m:r>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CF</m:t>
                    </m:r>
                  </m:e>
                  <m:sub>
                    <m:r>
                      <w:rPr>
                        <w:rFonts w:ascii="Cambria Math" w:hAnsi="Cambria Math" w:cs="Times New Roman"/>
                        <w:sz w:val="20"/>
                        <w:szCs w:val="20"/>
                        <w:lang w:val="en-US"/>
                      </w:rPr>
                      <m:t>t</m:t>
                    </m:r>
                  </m:sub>
                </m:sSub>
              </m:e>
            </m:nary>
          </m:den>
        </m:f>
      </m:oMath>
      <w:r w:rsidR="00CD6765">
        <w:rPr>
          <w:rFonts w:ascii="Times New Roman" w:eastAsiaTheme="minorEastAsia" w:hAnsi="Times New Roman" w:cs="Times New Roman"/>
          <w:sz w:val="20"/>
          <w:szCs w:val="20"/>
          <w:lang w:val="en-US"/>
        </w:rPr>
        <w:t xml:space="preserve"> </w:t>
      </w:r>
      <w:r w:rsidR="00CD6765">
        <w:rPr>
          <w:rFonts w:ascii="Times New Roman" w:eastAsiaTheme="minorEastAsia" w:hAnsi="Times New Roman" w:cs="Times New Roman"/>
          <w:sz w:val="20"/>
          <w:szCs w:val="20"/>
          <w:lang w:val="en-US"/>
        </w:rPr>
        <w:tab/>
      </w:r>
      <w:r w:rsidR="00CD6765">
        <w:rPr>
          <w:rFonts w:ascii="Times New Roman" w:eastAsiaTheme="minorEastAsia" w:hAnsi="Times New Roman" w:cs="Times New Roman"/>
          <w:sz w:val="20"/>
          <w:szCs w:val="20"/>
          <w:lang w:val="en-US"/>
        </w:rPr>
        <w:tab/>
      </w:r>
      <w:r w:rsidR="00CD6765">
        <w:rPr>
          <w:rFonts w:ascii="Times New Roman" w:eastAsiaTheme="minorEastAsia" w:hAnsi="Times New Roman" w:cs="Times New Roman"/>
          <w:sz w:val="20"/>
          <w:szCs w:val="20"/>
          <w:lang w:val="en-US"/>
        </w:rPr>
        <w:tab/>
      </w:r>
      <w:r w:rsidR="00CD6765">
        <w:rPr>
          <w:rFonts w:ascii="Times New Roman" w:eastAsiaTheme="minorEastAsia" w:hAnsi="Times New Roman" w:cs="Times New Roman"/>
          <w:sz w:val="20"/>
          <w:szCs w:val="20"/>
          <w:lang w:val="en-US"/>
        </w:rPr>
        <w:tab/>
      </w:r>
      <w:r w:rsidR="00CD6765">
        <w:rPr>
          <w:rFonts w:ascii="Times New Roman" w:eastAsiaTheme="minorEastAsia" w:hAnsi="Times New Roman" w:cs="Times New Roman"/>
          <w:sz w:val="20"/>
          <w:szCs w:val="20"/>
          <w:lang w:val="en-US"/>
        </w:rPr>
        <w:tab/>
      </w:r>
      <w:r w:rsidR="00CD6765">
        <w:rPr>
          <w:rFonts w:ascii="Times New Roman" w:eastAsiaTheme="minorEastAsia" w:hAnsi="Times New Roman" w:cs="Times New Roman"/>
          <w:sz w:val="20"/>
          <w:szCs w:val="20"/>
          <w:lang w:val="en-US"/>
        </w:rPr>
        <w:tab/>
      </w:r>
      <w:r w:rsidR="00CD6765">
        <w:rPr>
          <w:rFonts w:ascii="Times New Roman" w:eastAsiaTheme="minorEastAsia" w:hAnsi="Times New Roman" w:cs="Times New Roman"/>
          <w:sz w:val="20"/>
          <w:szCs w:val="20"/>
          <w:lang w:val="en-US"/>
        </w:rPr>
        <w:tab/>
        <w:t>(4)</w:t>
      </w:r>
    </w:p>
    <w:p w14:paraId="78508CE9" w14:textId="145201B0" w:rsidR="000751A8" w:rsidRPr="000751A8" w:rsidRDefault="000751A8" w:rsidP="00CD6765">
      <w:pPr>
        <w:spacing w:before="240" w:after="240" w:line="240" w:lineRule="auto"/>
        <w:jc w:val="center"/>
        <w:rPr>
          <w:rStyle w:val="af1"/>
          <w:rFonts w:ascii="Times New Roman" w:hAnsi="Times New Roman" w:cs="Times New Roman"/>
          <w:sz w:val="24"/>
          <w:szCs w:val="24"/>
          <w:lang w:val="en-US"/>
        </w:rPr>
      </w:pPr>
      <w:r w:rsidRPr="000751A8">
        <w:rPr>
          <w:rStyle w:val="af1"/>
          <w:rFonts w:ascii="Times New Roman" w:hAnsi="Times New Roman" w:cs="Times New Roman"/>
          <w:sz w:val="24"/>
          <w:szCs w:val="24"/>
          <w:lang w:val="en-US"/>
        </w:rPr>
        <w:t>RESULTS AND DISCUSSION</w:t>
      </w:r>
    </w:p>
    <w:p w14:paraId="644E072A" w14:textId="49C604E0" w:rsidR="000751A8" w:rsidRDefault="00E743A9" w:rsidP="00CD6765">
      <w:pPr>
        <w:spacing w:after="0" w:line="240" w:lineRule="auto"/>
        <w:ind w:firstLine="284"/>
        <w:jc w:val="both"/>
        <w:rPr>
          <w:rFonts w:ascii="Times New Roman" w:hAnsi="Times New Roman" w:cs="Times New Roman"/>
          <w:sz w:val="20"/>
          <w:lang w:val="en-US"/>
        </w:rPr>
      </w:pPr>
      <w:r w:rsidRPr="00E743A9">
        <w:rPr>
          <w:rFonts w:ascii="Times New Roman" w:hAnsi="Times New Roman" w:cs="Times New Roman"/>
          <w:sz w:val="20"/>
          <w:lang w:val="en-US"/>
        </w:rPr>
        <w:t>The 100kW grid-connected solar photovoltaic system installed at the Faculty of Electrical Engineering, Andijan Institute of Mechanical Engineering, generated a total of 96,974.04 kWh of electricity in 2024 (see Fig. 3). This system was deployed to help fulfill part of the institute’s electricity needs by utilizing renewable energy sources and to minimize adverse environmental effects</w:t>
      </w:r>
      <w:r>
        <w:rPr>
          <w:rFonts w:ascii="Times New Roman" w:hAnsi="Times New Roman" w:cs="Times New Roman"/>
          <w:sz w:val="20"/>
          <w:lang w:val="en-US"/>
        </w:rPr>
        <w:t>.</w:t>
      </w:r>
    </w:p>
    <w:p w14:paraId="6991B373" w14:textId="6A8A3C5F" w:rsidR="00A654DA" w:rsidRPr="001B4A2A" w:rsidRDefault="00F45F7D" w:rsidP="00CD6765">
      <w:pPr>
        <w:spacing w:before="120" w:after="0" w:line="240" w:lineRule="auto"/>
        <w:jc w:val="center"/>
        <w:rPr>
          <w:noProof/>
          <w:lang w:val="en-US"/>
        </w:rPr>
      </w:pPr>
      <w:r>
        <w:rPr>
          <w:noProof/>
        </w:rPr>
        <w:drawing>
          <wp:anchor distT="0" distB="0" distL="114300" distR="114300" simplePos="0" relativeHeight="251660288" behindDoc="0" locked="0" layoutInCell="1" allowOverlap="1" wp14:anchorId="543B01D2" wp14:editId="7CAD04FC">
            <wp:simplePos x="0" y="0"/>
            <wp:positionH relativeFrom="margin">
              <wp:align>right</wp:align>
            </wp:positionH>
            <wp:positionV relativeFrom="paragraph">
              <wp:posOffset>77379</wp:posOffset>
            </wp:positionV>
            <wp:extent cx="5932170" cy="3053301"/>
            <wp:effectExtent l="0" t="0" r="11430" b="13970"/>
            <wp:wrapNone/>
            <wp:docPr id="5" name="Диаграмма 5">
              <a:extLst xmlns:a="http://schemas.openxmlformats.org/drawingml/2006/main">
                <a:ext uri="{FF2B5EF4-FFF2-40B4-BE49-F238E27FC236}">
                  <a16:creationId xmlns:a16="http://schemas.microsoft.com/office/drawing/2014/main" id="{DA5C3F33-A1D8-418C-898D-62C36439545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14:paraId="7D11E71C" w14:textId="55BB9747" w:rsidR="00F45F7D" w:rsidRPr="001B4A2A" w:rsidRDefault="00F45F7D" w:rsidP="00CD6765">
      <w:pPr>
        <w:spacing w:before="120" w:after="0" w:line="240" w:lineRule="auto"/>
        <w:jc w:val="center"/>
        <w:rPr>
          <w:noProof/>
          <w:lang w:val="en-US"/>
        </w:rPr>
      </w:pPr>
    </w:p>
    <w:p w14:paraId="18A76A9E" w14:textId="69B1F17C" w:rsidR="00F45F7D" w:rsidRPr="001B4A2A" w:rsidRDefault="00F45F7D" w:rsidP="00CD6765">
      <w:pPr>
        <w:spacing w:before="120" w:after="0" w:line="240" w:lineRule="auto"/>
        <w:jc w:val="center"/>
        <w:rPr>
          <w:noProof/>
          <w:lang w:val="en-US"/>
        </w:rPr>
      </w:pPr>
    </w:p>
    <w:p w14:paraId="6A8A03D3" w14:textId="4BC1B76E" w:rsidR="00F45F7D" w:rsidRPr="001B4A2A" w:rsidRDefault="00F45F7D" w:rsidP="00CD6765">
      <w:pPr>
        <w:spacing w:before="120" w:after="0" w:line="240" w:lineRule="auto"/>
        <w:jc w:val="center"/>
        <w:rPr>
          <w:noProof/>
          <w:lang w:val="en-US"/>
        </w:rPr>
      </w:pPr>
    </w:p>
    <w:p w14:paraId="61A6C183" w14:textId="555AB487" w:rsidR="00F45F7D" w:rsidRPr="001B4A2A" w:rsidRDefault="00F45F7D" w:rsidP="00CD6765">
      <w:pPr>
        <w:spacing w:before="120" w:after="0" w:line="240" w:lineRule="auto"/>
        <w:jc w:val="center"/>
        <w:rPr>
          <w:noProof/>
          <w:lang w:val="en-US"/>
        </w:rPr>
      </w:pPr>
    </w:p>
    <w:p w14:paraId="13CC7523" w14:textId="25B68E3E" w:rsidR="00F45F7D" w:rsidRPr="001B4A2A" w:rsidRDefault="00F45F7D" w:rsidP="00CD6765">
      <w:pPr>
        <w:spacing w:before="120" w:after="0" w:line="240" w:lineRule="auto"/>
        <w:jc w:val="center"/>
        <w:rPr>
          <w:noProof/>
          <w:lang w:val="en-US"/>
        </w:rPr>
      </w:pPr>
    </w:p>
    <w:p w14:paraId="677BA1C9" w14:textId="0CFA7DE1" w:rsidR="00F45F7D" w:rsidRPr="001B4A2A" w:rsidRDefault="00F45F7D" w:rsidP="00CD6765">
      <w:pPr>
        <w:spacing w:before="120" w:after="0" w:line="240" w:lineRule="auto"/>
        <w:jc w:val="center"/>
        <w:rPr>
          <w:noProof/>
          <w:lang w:val="en-US"/>
        </w:rPr>
      </w:pPr>
    </w:p>
    <w:p w14:paraId="00BBDCC3" w14:textId="4210C4E9" w:rsidR="00F45F7D" w:rsidRPr="001B4A2A" w:rsidRDefault="00F45F7D" w:rsidP="00CD6765">
      <w:pPr>
        <w:spacing w:before="120" w:after="0" w:line="240" w:lineRule="auto"/>
        <w:jc w:val="center"/>
        <w:rPr>
          <w:noProof/>
          <w:lang w:val="en-US"/>
        </w:rPr>
      </w:pPr>
    </w:p>
    <w:p w14:paraId="185EEE99" w14:textId="0CF41B42" w:rsidR="00F45F7D" w:rsidRPr="001B4A2A" w:rsidRDefault="00F45F7D" w:rsidP="00CD6765">
      <w:pPr>
        <w:spacing w:before="120" w:after="0" w:line="240" w:lineRule="auto"/>
        <w:jc w:val="center"/>
        <w:rPr>
          <w:noProof/>
          <w:lang w:val="en-US"/>
        </w:rPr>
      </w:pPr>
    </w:p>
    <w:p w14:paraId="0BC664E2" w14:textId="5518E487" w:rsidR="00F45F7D" w:rsidRPr="001B4A2A" w:rsidRDefault="00F45F7D" w:rsidP="00CD6765">
      <w:pPr>
        <w:spacing w:before="120" w:after="0" w:line="240" w:lineRule="auto"/>
        <w:jc w:val="center"/>
        <w:rPr>
          <w:noProof/>
          <w:lang w:val="en-US"/>
        </w:rPr>
      </w:pPr>
    </w:p>
    <w:p w14:paraId="3703F240" w14:textId="2D71479C" w:rsidR="00F45F7D" w:rsidRPr="001B4A2A" w:rsidRDefault="00F45F7D" w:rsidP="00CD6765">
      <w:pPr>
        <w:spacing w:before="120" w:after="0" w:line="240" w:lineRule="auto"/>
        <w:jc w:val="center"/>
        <w:rPr>
          <w:noProof/>
          <w:lang w:val="en-US"/>
        </w:rPr>
      </w:pPr>
    </w:p>
    <w:p w14:paraId="6DD4F4A6" w14:textId="1DBA815D" w:rsidR="00F45F7D" w:rsidRPr="001B4A2A" w:rsidRDefault="00F45F7D" w:rsidP="00CD6765">
      <w:pPr>
        <w:spacing w:before="120" w:after="0" w:line="240" w:lineRule="auto"/>
        <w:jc w:val="center"/>
        <w:rPr>
          <w:noProof/>
          <w:lang w:val="en-US"/>
        </w:rPr>
      </w:pPr>
    </w:p>
    <w:p w14:paraId="17018668" w14:textId="77777777" w:rsidR="00F45F7D" w:rsidRPr="001B4A2A" w:rsidRDefault="00F45F7D" w:rsidP="00CD6765">
      <w:pPr>
        <w:spacing w:before="120" w:after="0" w:line="240" w:lineRule="auto"/>
        <w:jc w:val="center"/>
        <w:rPr>
          <w:rFonts w:ascii="Times New Roman" w:hAnsi="Times New Roman" w:cs="Times New Roman"/>
          <w:noProof/>
          <w:sz w:val="20"/>
          <w:szCs w:val="20"/>
          <w:lang w:val="en-US" w:eastAsia="ru-RU"/>
        </w:rPr>
      </w:pPr>
    </w:p>
    <w:p w14:paraId="159E3F89" w14:textId="202B14FB" w:rsidR="00A654DA" w:rsidRPr="00CD6765" w:rsidRDefault="000751A8" w:rsidP="00CD6765">
      <w:pPr>
        <w:spacing w:after="120" w:line="240" w:lineRule="auto"/>
        <w:jc w:val="center"/>
        <w:rPr>
          <w:rFonts w:ascii="Times New Roman" w:eastAsia="Times New Roman" w:hAnsi="Times New Roman" w:cs="Times New Roman"/>
          <w:kern w:val="0"/>
          <w:sz w:val="18"/>
          <w:szCs w:val="18"/>
          <w:lang w:val="en-US" w:eastAsia="ru-RU"/>
          <w14:ligatures w14:val="none"/>
        </w:rPr>
      </w:pPr>
      <w:r w:rsidRPr="00CD6765">
        <w:rPr>
          <w:rFonts w:ascii="Times New Roman" w:hAnsi="Times New Roman" w:cs="Times New Roman"/>
          <w:b/>
          <w:bCs/>
          <w:sz w:val="18"/>
          <w:szCs w:val="18"/>
          <w:lang w:val="en-US"/>
        </w:rPr>
        <w:t>FIGURE</w:t>
      </w:r>
      <w:r w:rsidRPr="00CD6765">
        <w:rPr>
          <w:rFonts w:ascii="Times New Roman" w:hAnsi="Times New Roman" w:cs="Times New Roman"/>
          <w:b/>
          <w:bCs/>
          <w:spacing w:val="-10"/>
          <w:sz w:val="18"/>
          <w:szCs w:val="18"/>
          <w:lang w:val="en-US"/>
        </w:rPr>
        <w:t xml:space="preserve"> 3</w:t>
      </w:r>
      <w:r w:rsidR="00CD6765" w:rsidRPr="00CD6765">
        <w:rPr>
          <w:rFonts w:ascii="Times New Roman" w:hAnsi="Times New Roman" w:cs="Times New Roman"/>
          <w:b/>
          <w:bCs/>
          <w:spacing w:val="-10"/>
          <w:sz w:val="18"/>
          <w:szCs w:val="18"/>
          <w:lang w:val="en-US"/>
        </w:rPr>
        <w:t>.</w:t>
      </w:r>
      <w:r w:rsidRPr="00CD6765">
        <w:rPr>
          <w:rFonts w:ascii="Times New Roman" w:hAnsi="Times New Roman" w:cs="Times New Roman"/>
          <w:b/>
          <w:sz w:val="18"/>
          <w:szCs w:val="18"/>
          <w:lang w:val="en-US"/>
        </w:rPr>
        <w:t xml:space="preserve"> </w:t>
      </w:r>
      <w:r w:rsidR="00A654DA" w:rsidRPr="00CD6765">
        <w:rPr>
          <w:rFonts w:ascii="Times New Roman" w:eastAsia="Times New Roman" w:hAnsi="Times New Roman" w:cs="Times New Roman"/>
          <w:kern w:val="0"/>
          <w:sz w:val="18"/>
          <w:szCs w:val="18"/>
          <w:lang w:val="en-US" w:eastAsia="ru-RU"/>
          <w14:ligatures w14:val="none"/>
        </w:rPr>
        <w:t xml:space="preserve"> </w:t>
      </w:r>
      <w:r w:rsidR="00E743A9" w:rsidRPr="00CD6765">
        <w:rPr>
          <w:rFonts w:ascii="Times New Roman" w:hAnsi="Times New Roman" w:cs="Times New Roman"/>
          <w:sz w:val="18"/>
          <w:szCs w:val="18"/>
          <w:lang w:val="en-US"/>
        </w:rPr>
        <w:t xml:space="preserve">Electricity generated in 2024 by the 100kW grid-connected solar photovoltaic system installed at the </w:t>
      </w:r>
      <w:r w:rsidR="00CD6765">
        <w:rPr>
          <w:rFonts w:ascii="Times New Roman" w:hAnsi="Times New Roman" w:cs="Times New Roman"/>
          <w:sz w:val="18"/>
          <w:szCs w:val="18"/>
          <w:lang w:val="en-US"/>
        </w:rPr>
        <w:br/>
      </w:r>
      <w:r w:rsidR="00E743A9" w:rsidRPr="00CD6765">
        <w:rPr>
          <w:rFonts w:ascii="Times New Roman" w:hAnsi="Times New Roman" w:cs="Times New Roman"/>
          <w:sz w:val="18"/>
          <w:szCs w:val="18"/>
          <w:lang w:val="en-US"/>
        </w:rPr>
        <w:t>Faculty of Electrical Engineering, Andijan State Technical Institute</w:t>
      </w:r>
    </w:p>
    <w:p w14:paraId="55C6AE77" w14:textId="5489A47F" w:rsidR="00E743A9" w:rsidRPr="00793437" w:rsidRDefault="00E743A9" w:rsidP="00CD6765">
      <w:pPr>
        <w:pStyle w:val="a7"/>
        <w:spacing w:after="0" w:line="240" w:lineRule="auto"/>
        <w:ind w:left="0" w:firstLine="284"/>
        <w:jc w:val="both"/>
        <w:rPr>
          <w:rFonts w:ascii="Times New Roman" w:eastAsia="Times New Roman" w:hAnsi="Times New Roman" w:cs="Times New Roman"/>
          <w:kern w:val="0"/>
          <w:sz w:val="20"/>
          <w:szCs w:val="24"/>
          <w:lang w:val="en-US" w:eastAsia="ru-RU"/>
          <w14:ligatures w14:val="none"/>
        </w:rPr>
      </w:pPr>
      <w:r w:rsidRPr="00793437">
        <w:rPr>
          <w:rFonts w:ascii="Times New Roman" w:eastAsia="Times New Roman" w:hAnsi="Times New Roman" w:cs="Times New Roman"/>
          <w:kern w:val="0"/>
          <w:sz w:val="20"/>
          <w:szCs w:val="24"/>
          <w:lang w:val="en-US" w:eastAsia="ru-RU"/>
          <w14:ligatures w14:val="none"/>
        </w:rPr>
        <w:t>Andijan city ranks among the sunniest areas in Uzbekistan, experiencing notable fluctuations in solar radiation and temperature throughout the year. These fluctuations have a direct impact on the performance of solar photovoltaic systems. Below is an analysis of the monthly variations in temperature and solar radiation based on 2024 data</w:t>
      </w:r>
      <w:r w:rsidR="00CD6765">
        <w:rPr>
          <w:rFonts w:ascii="Times New Roman" w:eastAsia="Times New Roman" w:hAnsi="Times New Roman" w:cs="Times New Roman"/>
          <w:kern w:val="0"/>
          <w:sz w:val="20"/>
          <w:szCs w:val="24"/>
          <w:lang w:val="en-US" w:eastAsia="ru-RU"/>
          <w14:ligatures w14:val="none"/>
        </w:rPr>
        <w:t>.</w:t>
      </w:r>
    </w:p>
    <w:p w14:paraId="421FE9D4" w14:textId="77777777" w:rsidR="00E743A9" w:rsidRPr="00793437" w:rsidRDefault="00E743A9" w:rsidP="00CD6765">
      <w:pPr>
        <w:pStyle w:val="a7"/>
        <w:spacing w:after="0" w:line="240" w:lineRule="auto"/>
        <w:ind w:left="0" w:firstLine="284"/>
        <w:rPr>
          <w:rFonts w:ascii="Times New Roman" w:eastAsia="Times New Roman" w:hAnsi="Times New Roman" w:cs="Times New Roman"/>
          <w:kern w:val="0"/>
          <w:sz w:val="20"/>
          <w:szCs w:val="24"/>
          <w:lang w:val="en-US" w:eastAsia="ru-RU"/>
          <w14:ligatures w14:val="none"/>
        </w:rPr>
      </w:pPr>
      <w:r w:rsidRPr="00793437">
        <w:rPr>
          <w:rFonts w:ascii="Times New Roman" w:eastAsia="Times New Roman" w:hAnsi="Times New Roman" w:cs="Times New Roman"/>
          <w:kern w:val="0"/>
          <w:sz w:val="20"/>
          <w:szCs w:val="24"/>
          <w:lang w:val="en-US" w:eastAsia="ru-RU"/>
          <w14:ligatures w14:val="none"/>
        </w:rPr>
        <w:t>In 2024, the average monthly temperature in Andijan is projected to vary as follows:</w:t>
      </w:r>
    </w:p>
    <w:p w14:paraId="32F52D14" w14:textId="77777777" w:rsidR="00793437" w:rsidRPr="00793437" w:rsidRDefault="00793437" w:rsidP="003D6BF2">
      <w:pPr>
        <w:numPr>
          <w:ilvl w:val="0"/>
          <w:numId w:val="27"/>
        </w:numPr>
        <w:tabs>
          <w:tab w:val="left" w:pos="567"/>
        </w:tabs>
        <w:spacing w:after="0" w:line="240" w:lineRule="auto"/>
        <w:ind w:left="0" w:firstLine="284"/>
        <w:jc w:val="both"/>
        <w:rPr>
          <w:rFonts w:ascii="Times New Roman" w:eastAsia="Times New Roman" w:hAnsi="Times New Roman" w:cs="Times New Roman"/>
          <w:kern w:val="0"/>
          <w:sz w:val="20"/>
          <w:szCs w:val="24"/>
          <w:lang w:val="en-US" w:eastAsia="ru-RU"/>
          <w14:ligatures w14:val="none"/>
        </w:rPr>
      </w:pPr>
      <w:r w:rsidRPr="00793437">
        <w:rPr>
          <w:rFonts w:ascii="Times New Roman" w:eastAsia="Times New Roman" w:hAnsi="Times New Roman" w:cs="Times New Roman"/>
          <w:b/>
          <w:bCs/>
          <w:kern w:val="0"/>
          <w:sz w:val="20"/>
          <w:szCs w:val="24"/>
          <w:lang w:val="en-US" w:eastAsia="ru-RU"/>
          <w14:ligatures w14:val="none"/>
        </w:rPr>
        <w:t>Winter (January–February):</w:t>
      </w:r>
      <w:r w:rsidRPr="00793437">
        <w:rPr>
          <w:rFonts w:ascii="Times New Roman" w:eastAsia="Times New Roman" w:hAnsi="Times New Roman" w:cs="Times New Roman"/>
          <w:kern w:val="0"/>
          <w:sz w:val="20"/>
          <w:szCs w:val="24"/>
          <w:lang w:val="en-US" w:eastAsia="ru-RU"/>
          <w14:ligatures w14:val="none"/>
        </w:rPr>
        <w:t xml:space="preserve"> Temperatures range from -2°C to +4°C, accompanied by low solar radiation levels of 60–80 kWh/m².</w:t>
      </w:r>
    </w:p>
    <w:p w14:paraId="02CF157C" w14:textId="77777777" w:rsidR="00793437" w:rsidRPr="00793437" w:rsidRDefault="00793437" w:rsidP="003D6BF2">
      <w:pPr>
        <w:numPr>
          <w:ilvl w:val="0"/>
          <w:numId w:val="27"/>
        </w:numPr>
        <w:tabs>
          <w:tab w:val="left" w:pos="567"/>
        </w:tabs>
        <w:spacing w:after="0" w:line="240" w:lineRule="auto"/>
        <w:ind w:left="0" w:firstLine="284"/>
        <w:jc w:val="both"/>
        <w:rPr>
          <w:rFonts w:ascii="Times New Roman" w:eastAsia="Times New Roman" w:hAnsi="Times New Roman" w:cs="Times New Roman"/>
          <w:kern w:val="0"/>
          <w:sz w:val="20"/>
          <w:szCs w:val="24"/>
          <w:lang w:val="en-US" w:eastAsia="ru-RU"/>
          <w14:ligatures w14:val="none"/>
        </w:rPr>
      </w:pPr>
      <w:r w:rsidRPr="00793437">
        <w:rPr>
          <w:rFonts w:ascii="Times New Roman" w:eastAsia="Times New Roman" w:hAnsi="Times New Roman" w:cs="Times New Roman"/>
          <w:b/>
          <w:bCs/>
          <w:kern w:val="0"/>
          <w:sz w:val="20"/>
          <w:szCs w:val="24"/>
          <w:lang w:val="en-US" w:eastAsia="ru-RU"/>
          <w14:ligatures w14:val="none"/>
        </w:rPr>
        <w:t>Spring (March–May):</w:t>
      </w:r>
      <w:r w:rsidRPr="00793437">
        <w:rPr>
          <w:rFonts w:ascii="Times New Roman" w:eastAsia="Times New Roman" w:hAnsi="Times New Roman" w:cs="Times New Roman"/>
          <w:kern w:val="0"/>
          <w:sz w:val="20"/>
          <w:szCs w:val="24"/>
          <w:lang w:val="en-US" w:eastAsia="ru-RU"/>
          <w14:ligatures w14:val="none"/>
        </w:rPr>
        <w:t xml:space="preserve"> Temperatures increase from +10°C up to +22°C, with moderate solar radiation between 120–160 kWh/m².</w:t>
      </w:r>
    </w:p>
    <w:p w14:paraId="5D77F8E2" w14:textId="77777777" w:rsidR="00793437" w:rsidRPr="00793437" w:rsidRDefault="00793437" w:rsidP="003D6BF2">
      <w:pPr>
        <w:numPr>
          <w:ilvl w:val="0"/>
          <w:numId w:val="27"/>
        </w:numPr>
        <w:tabs>
          <w:tab w:val="left" w:pos="567"/>
        </w:tabs>
        <w:spacing w:after="0" w:line="240" w:lineRule="auto"/>
        <w:ind w:left="0" w:firstLine="284"/>
        <w:jc w:val="both"/>
        <w:rPr>
          <w:rFonts w:ascii="Times New Roman" w:eastAsia="Times New Roman" w:hAnsi="Times New Roman" w:cs="Times New Roman"/>
          <w:kern w:val="0"/>
          <w:sz w:val="20"/>
          <w:szCs w:val="24"/>
          <w:lang w:val="en-US" w:eastAsia="ru-RU"/>
          <w14:ligatures w14:val="none"/>
        </w:rPr>
      </w:pPr>
      <w:r w:rsidRPr="00793437">
        <w:rPr>
          <w:rFonts w:ascii="Times New Roman" w:eastAsia="Times New Roman" w:hAnsi="Times New Roman" w:cs="Times New Roman"/>
          <w:b/>
          <w:bCs/>
          <w:kern w:val="0"/>
          <w:sz w:val="20"/>
          <w:szCs w:val="24"/>
          <w:lang w:val="en-US" w:eastAsia="ru-RU"/>
          <w14:ligatures w14:val="none"/>
        </w:rPr>
        <w:t>Summer (June–August):</w:t>
      </w:r>
      <w:r w:rsidRPr="00793437">
        <w:rPr>
          <w:rFonts w:ascii="Times New Roman" w:eastAsia="Times New Roman" w:hAnsi="Times New Roman" w:cs="Times New Roman"/>
          <w:kern w:val="0"/>
          <w:sz w:val="20"/>
          <w:szCs w:val="24"/>
          <w:lang w:val="en-US" w:eastAsia="ru-RU"/>
          <w14:ligatures w14:val="none"/>
        </w:rPr>
        <w:t xml:space="preserve"> Temperatures peak at around +32°C, while solar radiation reaches its highest levels, ranging from 180 to 210 kWh/m².</w:t>
      </w:r>
    </w:p>
    <w:p w14:paraId="5E93D0D7" w14:textId="77777777" w:rsidR="00793437" w:rsidRPr="00793437" w:rsidRDefault="00793437" w:rsidP="003D6BF2">
      <w:pPr>
        <w:numPr>
          <w:ilvl w:val="0"/>
          <w:numId w:val="27"/>
        </w:numPr>
        <w:tabs>
          <w:tab w:val="left" w:pos="567"/>
        </w:tabs>
        <w:spacing w:after="0" w:line="240" w:lineRule="auto"/>
        <w:ind w:left="0" w:firstLine="284"/>
        <w:jc w:val="both"/>
        <w:rPr>
          <w:rFonts w:ascii="Times New Roman" w:eastAsia="Times New Roman" w:hAnsi="Times New Roman" w:cs="Times New Roman"/>
          <w:kern w:val="0"/>
          <w:sz w:val="20"/>
          <w:szCs w:val="24"/>
          <w:lang w:val="en-US" w:eastAsia="ru-RU"/>
          <w14:ligatures w14:val="none"/>
        </w:rPr>
      </w:pPr>
      <w:r w:rsidRPr="00793437">
        <w:rPr>
          <w:rFonts w:ascii="Times New Roman" w:eastAsia="Times New Roman" w:hAnsi="Times New Roman" w:cs="Times New Roman"/>
          <w:b/>
          <w:bCs/>
          <w:kern w:val="0"/>
          <w:sz w:val="20"/>
          <w:szCs w:val="24"/>
          <w:lang w:val="en-US" w:eastAsia="ru-RU"/>
          <w14:ligatures w14:val="none"/>
        </w:rPr>
        <w:lastRenderedPageBreak/>
        <w:t>Autumn (September–November):</w:t>
      </w:r>
      <w:r w:rsidRPr="00793437">
        <w:rPr>
          <w:rFonts w:ascii="Times New Roman" w:eastAsia="Times New Roman" w:hAnsi="Times New Roman" w:cs="Times New Roman"/>
          <w:kern w:val="0"/>
          <w:sz w:val="20"/>
          <w:szCs w:val="24"/>
          <w:lang w:val="en-US" w:eastAsia="ru-RU"/>
          <w14:ligatures w14:val="none"/>
        </w:rPr>
        <w:t xml:space="preserve"> Temperatures gradually decline from +25°C to +10°C, with solar radiation varying between 100 and 150 kWh/m².</w:t>
      </w:r>
    </w:p>
    <w:p w14:paraId="67BFB7AC" w14:textId="77777777" w:rsidR="00793437" w:rsidRPr="00793437" w:rsidRDefault="00793437" w:rsidP="003D6BF2">
      <w:pPr>
        <w:numPr>
          <w:ilvl w:val="0"/>
          <w:numId w:val="27"/>
        </w:numPr>
        <w:tabs>
          <w:tab w:val="left" w:pos="567"/>
        </w:tabs>
        <w:spacing w:after="0" w:line="240" w:lineRule="auto"/>
        <w:ind w:left="0" w:firstLine="284"/>
        <w:jc w:val="both"/>
        <w:rPr>
          <w:rFonts w:ascii="Times New Roman" w:eastAsia="Times New Roman" w:hAnsi="Times New Roman" w:cs="Times New Roman"/>
          <w:kern w:val="0"/>
          <w:sz w:val="20"/>
          <w:szCs w:val="24"/>
          <w:lang w:val="en-US" w:eastAsia="ru-RU"/>
          <w14:ligatures w14:val="none"/>
        </w:rPr>
      </w:pPr>
      <w:r w:rsidRPr="00793437">
        <w:rPr>
          <w:rFonts w:ascii="Times New Roman" w:eastAsia="Times New Roman" w:hAnsi="Times New Roman" w:cs="Times New Roman"/>
          <w:b/>
          <w:bCs/>
          <w:kern w:val="0"/>
          <w:sz w:val="20"/>
          <w:szCs w:val="24"/>
          <w:lang w:val="en-US" w:eastAsia="ru-RU"/>
          <w14:ligatures w14:val="none"/>
        </w:rPr>
        <w:t>December:</w:t>
      </w:r>
      <w:r w:rsidRPr="00793437">
        <w:rPr>
          <w:rFonts w:ascii="Times New Roman" w:eastAsia="Times New Roman" w:hAnsi="Times New Roman" w:cs="Times New Roman"/>
          <w:kern w:val="0"/>
          <w:sz w:val="20"/>
          <w:szCs w:val="24"/>
          <w:lang w:val="en-US" w:eastAsia="ru-RU"/>
          <w14:ligatures w14:val="none"/>
        </w:rPr>
        <w:t xml:space="preserve"> Temperatures stabilize near +3°C, and solar radiation decreases again to 70–90 kWh/m².</w:t>
      </w:r>
    </w:p>
    <w:p w14:paraId="40F62D15" w14:textId="77777777" w:rsidR="00793437" w:rsidRPr="00793437" w:rsidRDefault="00793437" w:rsidP="003D6BF2">
      <w:pPr>
        <w:spacing w:after="0" w:line="240" w:lineRule="auto"/>
        <w:ind w:firstLine="284"/>
        <w:rPr>
          <w:rFonts w:ascii="Times New Roman" w:eastAsia="Times New Roman" w:hAnsi="Times New Roman" w:cs="Times New Roman"/>
          <w:kern w:val="0"/>
          <w:sz w:val="20"/>
          <w:szCs w:val="24"/>
          <w:lang w:val="en-US" w:eastAsia="ru-RU"/>
          <w14:ligatures w14:val="none"/>
        </w:rPr>
      </w:pPr>
      <w:r w:rsidRPr="00793437">
        <w:rPr>
          <w:rFonts w:ascii="Times New Roman" w:eastAsia="Times New Roman" w:hAnsi="Times New Roman" w:cs="Times New Roman"/>
          <w:kern w:val="0"/>
          <w:sz w:val="20"/>
          <w:szCs w:val="24"/>
          <w:lang w:val="en-US" w:eastAsia="ru-RU"/>
          <w14:ligatures w14:val="none"/>
        </w:rPr>
        <w:t>Solar radiation attains its maximum value in June, exceeding 200 kWh/m². Radiation levels remain relatively stable and moderately high during spring and autumn. Conversely, during winter months, reduced solar radiation leads to a decline in solar panel output efficiency.</w:t>
      </w:r>
    </w:p>
    <w:p w14:paraId="3F2C522D" w14:textId="77777777" w:rsidR="00793437" w:rsidRPr="00793437" w:rsidRDefault="00793437" w:rsidP="003D6BF2">
      <w:pPr>
        <w:spacing w:after="120" w:line="240" w:lineRule="auto"/>
        <w:ind w:firstLine="284"/>
        <w:rPr>
          <w:rFonts w:ascii="Times New Roman" w:eastAsia="Times New Roman" w:hAnsi="Times New Roman" w:cs="Times New Roman"/>
          <w:kern w:val="0"/>
          <w:sz w:val="20"/>
          <w:szCs w:val="24"/>
          <w:lang w:val="en-US" w:eastAsia="ru-RU"/>
          <w14:ligatures w14:val="none"/>
        </w:rPr>
      </w:pPr>
      <w:r w:rsidRPr="00793437">
        <w:rPr>
          <w:rFonts w:ascii="Times New Roman" w:eastAsia="Times New Roman" w:hAnsi="Times New Roman" w:cs="Times New Roman"/>
          <w:kern w:val="0"/>
          <w:sz w:val="20"/>
          <w:szCs w:val="24"/>
          <w:lang w:val="en-US" w:eastAsia="ru-RU"/>
          <w14:ligatures w14:val="none"/>
        </w:rPr>
        <w:t>The performance of solar photovoltaic systems is influenced by both ambient temperature and solar radiation. Although Andijan experiences high temperatures in summer that boost maximum solar radiation and energy generation, excessive heat can sometimes slightly reduce panel efficiency. During winter, the low solar radiation results in minimal energy production [4].</w:t>
      </w:r>
    </w:p>
    <w:p w14:paraId="65FEB36D" w14:textId="234F367A" w:rsidR="00A654DA"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r>
        <w:rPr>
          <w:noProof/>
        </w:rPr>
        <w:drawing>
          <wp:anchor distT="0" distB="0" distL="114300" distR="114300" simplePos="0" relativeHeight="251659264" behindDoc="0" locked="0" layoutInCell="1" allowOverlap="1" wp14:anchorId="2348F921" wp14:editId="5C2C05CE">
            <wp:simplePos x="0" y="0"/>
            <wp:positionH relativeFrom="column">
              <wp:posOffset>46535</wp:posOffset>
            </wp:positionH>
            <wp:positionV relativeFrom="paragraph">
              <wp:posOffset>2086</wp:posOffset>
            </wp:positionV>
            <wp:extent cx="5856515" cy="3216729"/>
            <wp:effectExtent l="0" t="0" r="11430" b="3175"/>
            <wp:wrapNone/>
            <wp:docPr id="3" name="Диаграмма 3">
              <a:extLst xmlns:a="http://schemas.openxmlformats.org/drawingml/2006/main">
                <a:ext uri="{FF2B5EF4-FFF2-40B4-BE49-F238E27FC236}">
                  <a16:creationId xmlns:a16="http://schemas.microsoft.com/office/drawing/2014/main" id="{EB400403-36BF-4B3D-A852-ED450E1E6E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14:paraId="7588FCB6" w14:textId="4D267897"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57ED0D00" w14:textId="3C18922A"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15AC34F2" w14:textId="0A77D9AC"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32E63FFA" w14:textId="46311EE7"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657B6FE3" w14:textId="4B804DDA"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14377DBD" w14:textId="2FDF7176"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2A107F61" w14:textId="55F378F7"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78747591" w14:textId="26CF33B6"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75FFA6A7" w14:textId="6BA95731"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5A82DCD3" w14:textId="695E6563"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656485E4" w14:textId="5C71707D"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06F56480" w14:textId="0F1D23FF"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6BFAA887" w14:textId="0A203A68"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116D68E6" w14:textId="2D5DED1D"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075E35CC" w14:textId="444298CB"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49EC7ABD" w14:textId="102D7A15" w:rsidR="000F06E3" w:rsidRPr="001B4A2A" w:rsidRDefault="000F06E3" w:rsidP="004C6AEE">
      <w:pPr>
        <w:spacing w:after="0" w:line="276" w:lineRule="auto"/>
        <w:ind w:firstLine="284"/>
        <w:jc w:val="center"/>
        <w:rPr>
          <w:rFonts w:ascii="Times New Roman" w:hAnsi="Times New Roman" w:cs="Times New Roman"/>
          <w:noProof/>
          <w:sz w:val="20"/>
          <w:szCs w:val="20"/>
          <w:lang w:val="en-US" w:eastAsia="ru-RU"/>
        </w:rPr>
      </w:pPr>
    </w:p>
    <w:p w14:paraId="3BB12DCD" w14:textId="77777777" w:rsidR="000F06E3" w:rsidRPr="00B34A03" w:rsidRDefault="000F06E3" w:rsidP="004C6AEE">
      <w:pPr>
        <w:spacing w:after="0" w:line="276" w:lineRule="auto"/>
        <w:ind w:firstLine="284"/>
        <w:jc w:val="center"/>
        <w:rPr>
          <w:rFonts w:ascii="Times New Roman" w:hAnsi="Times New Roman" w:cs="Times New Roman"/>
          <w:sz w:val="20"/>
          <w:szCs w:val="20"/>
          <w:lang w:val="en-US"/>
        </w:rPr>
      </w:pPr>
    </w:p>
    <w:p w14:paraId="1FFAE505" w14:textId="77777777" w:rsidR="000F06E3" w:rsidRDefault="000F06E3" w:rsidP="003D6BF2">
      <w:pPr>
        <w:spacing w:after="120" w:line="240" w:lineRule="auto"/>
        <w:jc w:val="center"/>
        <w:rPr>
          <w:rFonts w:ascii="Times New Roman" w:hAnsi="Times New Roman" w:cs="Times New Roman"/>
          <w:b/>
          <w:bCs/>
          <w:sz w:val="18"/>
          <w:szCs w:val="18"/>
          <w:lang w:val="en-US"/>
        </w:rPr>
      </w:pPr>
    </w:p>
    <w:p w14:paraId="7655AF55" w14:textId="10F1E2EE" w:rsidR="00793437" w:rsidRPr="003D6BF2" w:rsidRDefault="000751A8" w:rsidP="003D6BF2">
      <w:pPr>
        <w:spacing w:after="120" w:line="240" w:lineRule="auto"/>
        <w:jc w:val="center"/>
        <w:rPr>
          <w:sz w:val="18"/>
          <w:szCs w:val="18"/>
          <w:lang w:val="en-US"/>
        </w:rPr>
      </w:pPr>
      <w:r w:rsidRPr="003D6BF2">
        <w:rPr>
          <w:rFonts w:ascii="Times New Roman" w:hAnsi="Times New Roman" w:cs="Times New Roman"/>
          <w:b/>
          <w:bCs/>
          <w:sz w:val="18"/>
          <w:szCs w:val="18"/>
          <w:lang w:val="en-US"/>
        </w:rPr>
        <w:t>FIGURE</w:t>
      </w:r>
      <w:r w:rsidRPr="003D6BF2">
        <w:rPr>
          <w:rFonts w:ascii="Times New Roman" w:hAnsi="Times New Roman" w:cs="Times New Roman"/>
          <w:b/>
          <w:bCs/>
          <w:spacing w:val="-10"/>
          <w:sz w:val="18"/>
          <w:szCs w:val="18"/>
          <w:lang w:val="en-US"/>
        </w:rPr>
        <w:t xml:space="preserve"> </w:t>
      </w:r>
      <w:r w:rsidRPr="003D6BF2">
        <w:rPr>
          <w:rFonts w:ascii="Times New Roman" w:hAnsi="Times New Roman" w:cs="Times New Roman"/>
          <w:b/>
          <w:bCs/>
          <w:sz w:val="18"/>
          <w:szCs w:val="18"/>
          <w:lang w:val="en-US"/>
        </w:rPr>
        <w:t>4</w:t>
      </w:r>
      <w:r w:rsidR="00307A65">
        <w:rPr>
          <w:rFonts w:ascii="Times New Roman" w:hAnsi="Times New Roman" w:cs="Times New Roman"/>
          <w:b/>
          <w:bCs/>
          <w:sz w:val="18"/>
          <w:szCs w:val="18"/>
          <w:lang w:val="en-US"/>
        </w:rPr>
        <w:t>.</w:t>
      </w:r>
      <w:r w:rsidR="00A654DA" w:rsidRPr="003D6BF2">
        <w:rPr>
          <w:rFonts w:ascii="Times New Roman" w:eastAsia="Times New Roman" w:hAnsi="Times New Roman" w:cs="Times New Roman"/>
          <w:b/>
          <w:bCs/>
          <w:kern w:val="0"/>
          <w:sz w:val="18"/>
          <w:szCs w:val="18"/>
          <w:lang w:val="en-US" w:eastAsia="ru-RU"/>
          <w14:ligatures w14:val="none"/>
        </w:rPr>
        <w:t xml:space="preserve"> </w:t>
      </w:r>
      <w:r w:rsidR="00793437" w:rsidRPr="003D6BF2">
        <w:rPr>
          <w:rFonts w:ascii="Times New Roman" w:hAnsi="Times New Roman" w:cs="Times New Roman"/>
          <w:sz w:val="18"/>
          <w:szCs w:val="18"/>
          <w:lang w:val="en-US"/>
        </w:rPr>
        <w:t>Monthly Variations of Ambient Temperature and Solar Radiation in Andijan for 2024</w:t>
      </w:r>
    </w:p>
    <w:p w14:paraId="6F1477CD" w14:textId="2826677B" w:rsidR="00793437" w:rsidRPr="0061318C" w:rsidRDefault="00A654DA" w:rsidP="003D6BF2">
      <w:pPr>
        <w:spacing w:after="0" w:line="240" w:lineRule="auto"/>
        <w:ind w:firstLine="284"/>
        <w:jc w:val="both"/>
        <w:rPr>
          <w:rFonts w:ascii="Times New Roman" w:hAnsi="Times New Roman" w:cs="Times New Roman"/>
          <w:sz w:val="20"/>
          <w:lang w:val="en-US"/>
        </w:rPr>
      </w:pPr>
      <w:r w:rsidRPr="00B34A03">
        <w:rPr>
          <w:rFonts w:ascii="Times New Roman" w:eastAsia="Times New Roman" w:hAnsi="Times New Roman" w:cs="Times New Roman"/>
          <w:kern w:val="0"/>
          <w:sz w:val="20"/>
          <w:szCs w:val="20"/>
          <w:lang w:val="en-US" w:eastAsia="ru-RU"/>
          <w14:ligatures w14:val="none"/>
        </w:rPr>
        <w:t xml:space="preserve">A 100kW solar photovoltaic system was commissioned in 2023 at the Andijan Machine-Building Institute. </w:t>
      </w:r>
      <w:r w:rsidR="00793437" w:rsidRPr="0061318C">
        <w:rPr>
          <w:rFonts w:ascii="Times New Roman" w:hAnsi="Times New Roman" w:cs="Times New Roman"/>
          <w:sz w:val="20"/>
          <w:lang w:val="en-US"/>
        </w:rPr>
        <w:t>The system was implemented to help fulfill part of the institute’s electricity demand and to encourage the adoption of eco-friendly energy sources</w:t>
      </w:r>
      <w:r w:rsidR="0061318C">
        <w:rPr>
          <w:rFonts w:ascii="Times New Roman" w:hAnsi="Times New Roman" w:cs="Times New Roman"/>
          <w:sz w:val="20"/>
          <w:lang w:val="en-US"/>
        </w:rPr>
        <w:t>.</w:t>
      </w:r>
    </w:p>
    <w:p w14:paraId="10901A35" w14:textId="6ADC2848"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 xml:space="preserve">Among the main advantages of solar photovoltaic systems are stable electricity generation, environmental friendliness, and long-term economic efficiency. </w:t>
      </w:r>
      <w:r w:rsidR="00793437" w:rsidRPr="00793437">
        <w:rPr>
          <w:rFonts w:ascii="Times New Roman" w:hAnsi="Times New Roman" w:cs="Times New Roman"/>
          <w:sz w:val="20"/>
          <w:lang w:val="en-US"/>
        </w:rPr>
        <w:t>The electricity output and efficiency of the system are strongly influenced by natural factors like ambient temperature and solar radiation in Andijan</w:t>
      </w:r>
      <w:r w:rsidRPr="00B34A03">
        <w:rPr>
          <w:rFonts w:ascii="Times New Roman" w:eastAsia="Times New Roman" w:hAnsi="Times New Roman" w:cs="Times New Roman"/>
          <w:kern w:val="0"/>
          <w:sz w:val="20"/>
          <w:szCs w:val="20"/>
          <w:lang w:val="en-US" w:eastAsia="ru-RU"/>
          <w14:ligatures w14:val="none"/>
        </w:rPr>
        <w:t>.</w:t>
      </w:r>
    </w:p>
    <w:p w14:paraId="034A165C" w14:textId="0FB26C07" w:rsidR="00A654DA" w:rsidRPr="00B34A03" w:rsidRDefault="0061318C"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61318C">
        <w:rPr>
          <w:rFonts w:ascii="Times New Roman" w:hAnsi="Times New Roman" w:cs="Times New Roman"/>
          <w:sz w:val="20"/>
          <w:lang w:val="en-US"/>
        </w:rPr>
        <w:t>In 2024, the system generated an average of 96,974.04 kWh of electricity, though this figure can vary depending on weather conditions and the technical characteristics of the system</w:t>
      </w:r>
      <w:r w:rsidR="00793437" w:rsidRPr="00793437">
        <w:rPr>
          <w:rFonts w:ascii="Times New Roman" w:hAnsi="Times New Roman" w:cs="Times New Roman"/>
          <w:sz w:val="20"/>
          <w:lang w:val="en-US"/>
        </w:rPr>
        <w:t>.</w:t>
      </w:r>
      <w:r w:rsidR="00793437">
        <w:rPr>
          <w:lang w:val="en-US"/>
        </w:rPr>
        <w:t xml:space="preserve"> </w:t>
      </w:r>
      <w:r w:rsidR="00A654DA" w:rsidRPr="00B34A03">
        <w:rPr>
          <w:rFonts w:ascii="Times New Roman" w:eastAsia="Times New Roman" w:hAnsi="Times New Roman" w:cs="Times New Roman"/>
          <w:kern w:val="0"/>
          <w:sz w:val="20"/>
          <w:szCs w:val="20"/>
          <w:lang w:val="en-US" w:eastAsia="ru-RU"/>
          <w14:ligatures w14:val="none"/>
        </w:rPr>
        <w:t>The system’s efficiency decreases over time due to an annual 0.5% reduction in the useful performance coefficient.</w:t>
      </w:r>
    </w:p>
    <w:p w14:paraId="5B33CAA9" w14:textId="77777777" w:rsidR="0061318C" w:rsidRPr="0061318C" w:rsidRDefault="0061318C" w:rsidP="003D6BF2">
      <w:pPr>
        <w:spacing w:after="0" w:line="240" w:lineRule="auto"/>
        <w:ind w:firstLine="284"/>
        <w:jc w:val="both"/>
        <w:rPr>
          <w:rFonts w:ascii="Times New Roman" w:hAnsi="Times New Roman" w:cs="Times New Roman"/>
          <w:sz w:val="20"/>
          <w:lang w:val="en-US"/>
        </w:rPr>
      </w:pPr>
      <w:r w:rsidRPr="0061318C">
        <w:rPr>
          <w:rFonts w:ascii="Times New Roman" w:hAnsi="Times New Roman" w:cs="Times New Roman"/>
          <w:sz w:val="20"/>
          <w:lang w:val="en-US"/>
        </w:rPr>
        <w:t>Considering Uzbekistan’s electricity consumption and its tiered tariff structure, the value of electricity produced by the solar photovoltaic system is evaluated at various rates. This project is vital for promoting the future expansion of sustainable energy sources</w:t>
      </w:r>
    </w:p>
    <w:p w14:paraId="401E5A9E" w14:textId="77777777" w:rsidR="0061318C" w:rsidRPr="0061318C" w:rsidRDefault="0061318C" w:rsidP="003D6BF2">
      <w:pPr>
        <w:spacing w:after="0" w:line="240" w:lineRule="auto"/>
        <w:ind w:firstLine="284"/>
        <w:jc w:val="both"/>
        <w:rPr>
          <w:rFonts w:ascii="Times New Roman" w:hAnsi="Times New Roman" w:cs="Times New Roman"/>
          <w:sz w:val="20"/>
          <w:lang w:val="en-US"/>
        </w:rPr>
      </w:pPr>
      <w:r w:rsidRPr="0061318C">
        <w:rPr>
          <w:rFonts w:ascii="Times New Roman" w:hAnsi="Times New Roman" w:cs="Times New Roman"/>
          <w:sz w:val="20"/>
          <w:lang w:val="en-US"/>
        </w:rPr>
        <w:t>This system represents a significant milestone in Uzbekistan’s green energy transition strategy, contributing to the reduction of carbon emissions and the diversification of energy sources. The example set by this system in Andijan illustrates the potential for implementing similar eco-friendly energy projects in other institutions</w:t>
      </w:r>
    </w:p>
    <w:p w14:paraId="38054B3E" w14:textId="678730EB"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In 2024, the system produced 96</w:t>
      </w:r>
      <w:r w:rsidR="00B33FFA">
        <w:rPr>
          <w:rFonts w:ascii="Times New Roman" w:eastAsia="Times New Roman" w:hAnsi="Times New Roman" w:cs="Times New Roman"/>
          <w:kern w:val="0"/>
          <w:sz w:val="20"/>
          <w:szCs w:val="20"/>
          <w:lang w:val="en-US" w:eastAsia="ru-RU"/>
          <w14:ligatures w14:val="none"/>
        </w:rPr>
        <w:t> </w:t>
      </w:r>
      <w:r w:rsidRPr="00B34A03">
        <w:rPr>
          <w:rFonts w:ascii="Times New Roman" w:eastAsia="Times New Roman" w:hAnsi="Times New Roman" w:cs="Times New Roman"/>
          <w:kern w:val="0"/>
          <w:sz w:val="20"/>
          <w:szCs w:val="20"/>
          <w:lang w:val="en-US" w:eastAsia="ru-RU"/>
          <w14:ligatures w14:val="none"/>
        </w:rPr>
        <w:t>974</w:t>
      </w:r>
      <w:r w:rsidR="00B33FFA">
        <w:rPr>
          <w:rFonts w:ascii="Times New Roman" w:eastAsia="Times New Roman" w:hAnsi="Times New Roman" w:cs="Times New Roman"/>
          <w:kern w:val="0"/>
          <w:sz w:val="20"/>
          <w:szCs w:val="20"/>
          <w:lang w:val="en-US" w:eastAsia="ru-RU"/>
          <w14:ligatures w14:val="none"/>
        </w:rPr>
        <w:t>,</w:t>
      </w:r>
      <w:r w:rsidRPr="00B34A03">
        <w:rPr>
          <w:rFonts w:ascii="Times New Roman" w:eastAsia="Times New Roman" w:hAnsi="Times New Roman" w:cs="Times New Roman"/>
          <w:kern w:val="0"/>
          <w:sz w:val="20"/>
          <w:szCs w:val="20"/>
          <w:lang w:val="en-US" w:eastAsia="ru-RU"/>
          <w14:ligatures w14:val="none"/>
        </w:rPr>
        <w:t>04 kWh of electricity. The value of the energy produced by the solar panels was calculated according to Uzbekistan’s tiered tariffs:</w:t>
      </w:r>
    </w:p>
    <w:p w14:paraId="7DD83BB5" w14:textId="21DCD2AA" w:rsidR="000751A8" w:rsidRDefault="00A654DA" w:rsidP="003D6BF2">
      <w:pPr>
        <w:spacing w:after="0" w:line="240" w:lineRule="auto"/>
        <w:ind w:firstLine="284"/>
        <w:jc w:val="both"/>
        <w:rPr>
          <w:rFonts w:ascii="Times New Roman" w:eastAsia="Times New Roman" w:hAnsi="Times New Roman" w:cs="Times New Roman"/>
          <w:b/>
          <w:bCs/>
          <w:kern w:val="0"/>
          <w:sz w:val="20"/>
          <w:szCs w:val="20"/>
          <w:lang w:val="en-US" w:eastAsia="ru-RU"/>
          <w14:ligatures w14:val="none"/>
        </w:rPr>
      </w:pPr>
      <w:r w:rsidRPr="00B34A03">
        <w:rPr>
          <w:rFonts w:ascii="Times New Roman" w:eastAsia="Times New Roman" w:hAnsi="Times New Roman" w:cs="Times New Roman"/>
          <w:b/>
          <w:bCs/>
          <w:kern w:val="0"/>
          <w:sz w:val="20"/>
          <w:szCs w:val="20"/>
          <w:lang w:val="en-US" w:eastAsia="ru-RU"/>
          <w14:ligatures w14:val="none"/>
        </w:rPr>
        <w:t>2024 tariff rates and revenue</w:t>
      </w:r>
    </w:p>
    <w:p w14:paraId="3E245DD1" w14:textId="6B779D31"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For monthly energy production up to 10,000 kWh, the following tariffs were applied:</w:t>
      </w:r>
    </w:p>
    <w:p w14:paraId="14300208" w14:textId="77777777" w:rsidR="00A654DA" w:rsidRPr="00B34A03" w:rsidRDefault="00A654DA" w:rsidP="003D6BF2">
      <w:pPr>
        <w:spacing w:before="120" w:after="120" w:line="240" w:lineRule="auto"/>
        <w:jc w:val="center"/>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450 UZS/kWh (up to 200 kWh)</w:t>
      </w:r>
      <w:r w:rsidRPr="00B34A03">
        <w:rPr>
          <w:rFonts w:ascii="Times New Roman" w:eastAsia="Times New Roman" w:hAnsi="Times New Roman" w:cs="Times New Roman"/>
          <w:kern w:val="0"/>
          <w:sz w:val="20"/>
          <w:szCs w:val="20"/>
          <w:lang w:val="en-US" w:eastAsia="ru-RU"/>
          <w14:ligatures w14:val="none"/>
        </w:rPr>
        <w:br/>
        <w:t>900 UZS/kWh (201–1,000 kWh)</w:t>
      </w:r>
      <w:r w:rsidRPr="00B34A03">
        <w:rPr>
          <w:rFonts w:ascii="Times New Roman" w:eastAsia="Times New Roman" w:hAnsi="Times New Roman" w:cs="Times New Roman"/>
          <w:kern w:val="0"/>
          <w:sz w:val="20"/>
          <w:szCs w:val="20"/>
          <w:lang w:val="en-US" w:eastAsia="ru-RU"/>
          <w14:ligatures w14:val="none"/>
        </w:rPr>
        <w:br/>
        <w:t>1,350 UZS/kWh (1,001–5,000 kWh)</w:t>
      </w:r>
      <w:r w:rsidRPr="00B34A03">
        <w:rPr>
          <w:rFonts w:ascii="Times New Roman" w:eastAsia="Times New Roman" w:hAnsi="Times New Roman" w:cs="Times New Roman"/>
          <w:kern w:val="0"/>
          <w:sz w:val="20"/>
          <w:szCs w:val="20"/>
          <w:lang w:val="en-US" w:eastAsia="ru-RU"/>
          <w14:ligatures w14:val="none"/>
        </w:rPr>
        <w:br/>
        <w:t>1,575 UZS/kWh (5,001–10,000 kWh)</w:t>
      </w:r>
      <w:r w:rsidRPr="00B34A03">
        <w:rPr>
          <w:rFonts w:ascii="Times New Roman" w:eastAsia="Times New Roman" w:hAnsi="Times New Roman" w:cs="Times New Roman"/>
          <w:kern w:val="0"/>
          <w:sz w:val="20"/>
          <w:szCs w:val="20"/>
          <w:lang w:val="en-US" w:eastAsia="ru-RU"/>
          <w14:ligatures w14:val="none"/>
        </w:rPr>
        <w:br/>
        <w:t>1,800 UZS/kWh (above 10,000 kWh)</w:t>
      </w:r>
    </w:p>
    <w:p w14:paraId="10CA9DFD" w14:textId="3A1BC51D"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The total annual revenue according to these tariffs amounted to 140</w:t>
      </w:r>
      <w:r w:rsidR="00B33FFA">
        <w:rPr>
          <w:rFonts w:ascii="Times New Roman" w:eastAsia="Times New Roman" w:hAnsi="Times New Roman" w:cs="Times New Roman"/>
          <w:kern w:val="0"/>
          <w:sz w:val="20"/>
          <w:szCs w:val="20"/>
          <w:lang w:val="en-US" w:eastAsia="ru-RU"/>
          <w14:ligatures w14:val="none"/>
        </w:rPr>
        <w:t> </w:t>
      </w:r>
      <w:r w:rsidRPr="00B34A03">
        <w:rPr>
          <w:rFonts w:ascii="Times New Roman" w:eastAsia="Times New Roman" w:hAnsi="Times New Roman" w:cs="Times New Roman"/>
          <w:kern w:val="0"/>
          <w:sz w:val="20"/>
          <w:szCs w:val="20"/>
          <w:lang w:val="en-US" w:eastAsia="ru-RU"/>
          <w14:ligatures w14:val="none"/>
        </w:rPr>
        <w:t>648</w:t>
      </w:r>
      <w:r w:rsidR="00B33FFA">
        <w:rPr>
          <w:rFonts w:ascii="Times New Roman" w:eastAsia="Times New Roman" w:hAnsi="Times New Roman" w:cs="Times New Roman"/>
          <w:kern w:val="0"/>
          <w:sz w:val="20"/>
          <w:szCs w:val="20"/>
          <w:lang w:val="en-US" w:eastAsia="ru-RU"/>
          <w14:ligatures w14:val="none"/>
        </w:rPr>
        <w:t xml:space="preserve"> </w:t>
      </w:r>
      <w:r w:rsidRPr="00B34A03">
        <w:rPr>
          <w:rFonts w:ascii="Times New Roman" w:eastAsia="Times New Roman" w:hAnsi="Times New Roman" w:cs="Times New Roman"/>
          <w:kern w:val="0"/>
          <w:sz w:val="20"/>
          <w:szCs w:val="20"/>
          <w:lang w:val="en-US" w:eastAsia="ru-RU"/>
          <w14:ligatures w14:val="none"/>
        </w:rPr>
        <w:t>400 UZS.</w:t>
      </w:r>
    </w:p>
    <w:p w14:paraId="454F2369" w14:textId="2F8A8B51" w:rsidR="000751A8" w:rsidRDefault="00A654DA" w:rsidP="003D6BF2">
      <w:pPr>
        <w:spacing w:after="0" w:line="240" w:lineRule="auto"/>
        <w:ind w:firstLine="284"/>
        <w:jc w:val="both"/>
        <w:rPr>
          <w:rFonts w:ascii="Times New Roman" w:eastAsia="Times New Roman" w:hAnsi="Times New Roman" w:cs="Times New Roman"/>
          <w:b/>
          <w:bCs/>
          <w:kern w:val="0"/>
          <w:sz w:val="20"/>
          <w:szCs w:val="20"/>
          <w:lang w:val="en-US" w:eastAsia="ru-RU"/>
          <w14:ligatures w14:val="none"/>
        </w:rPr>
      </w:pPr>
      <w:r w:rsidRPr="00B34A03">
        <w:rPr>
          <w:rFonts w:ascii="Times New Roman" w:eastAsia="Times New Roman" w:hAnsi="Times New Roman" w:cs="Times New Roman"/>
          <w:b/>
          <w:bCs/>
          <w:kern w:val="0"/>
          <w:sz w:val="20"/>
          <w:szCs w:val="20"/>
          <w:lang w:val="en-US" w:eastAsia="ru-RU"/>
          <w14:ligatures w14:val="none"/>
        </w:rPr>
        <w:t>Tariff rates starting from April 1, 2025</w:t>
      </w:r>
    </w:p>
    <w:p w14:paraId="481BA569" w14:textId="080E3EAD"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New tariffs for monthly energy production:</w:t>
      </w:r>
    </w:p>
    <w:p w14:paraId="67A59751" w14:textId="77777777" w:rsidR="00A654DA" w:rsidRPr="00B34A03" w:rsidRDefault="00A654DA" w:rsidP="003D6BF2">
      <w:pPr>
        <w:spacing w:before="120" w:after="120" w:line="240" w:lineRule="auto"/>
        <w:jc w:val="center"/>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lastRenderedPageBreak/>
        <w:t>600 UZS/kWh (up to 200 kWh)</w:t>
      </w:r>
      <w:r w:rsidRPr="00B34A03">
        <w:rPr>
          <w:rFonts w:ascii="Times New Roman" w:eastAsia="Times New Roman" w:hAnsi="Times New Roman" w:cs="Times New Roman"/>
          <w:kern w:val="0"/>
          <w:sz w:val="20"/>
          <w:szCs w:val="20"/>
          <w:lang w:val="en-US" w:eastAsia="ru-RU"/>
          <w14:ligatures w14:val="none"/>
        </w:rPr>
        <w:br/>
        <w:t>1,000 UZS/kWh (201–1,000 kWh)</w:t>
      </w:r>
      <w:r w:rsidRPr="00B34A03">
        <w:rPr>
          <w:rFonts w:ascii="Times New Roman" w:eastAsia="Times New Roman" w:hAnsi="Times New Roman" w:cs="Times New Roman"/>
          <w:kern w:val="0"/>
          <w:sz w:val="20"/>
          <w:szCs w:val="20"/>
          <w:lang w:val="en-US" w:eastAsia="ru-RU"/>
          <w14:ligatures w14:val="none"/>
        </w:rPr>
        <w:br/>
        <w:t>1,500 UZS/kWh (1,001–5,000 kWh)</w:t>
      </w:r>
      <w:r w:rsidRPr="00B34A03">
        <w:rPr>
          <w:rFonts w:ascii="Times New Roman" w:eastAsia="Times New Roman" w:hAnsi="Times New Roman" w:cs="Times New Roman"/>
          <w:kern w:val="0"/>
          <w:sz w:val="20"/>
          <w:szCs w:val="20"/>
          <w:lang w:val="en-US" w:eastAsia="ru-RU"/>
          <w14:ligatures w14:val="none"/>
        </w:rPr>
        <w:br/>
        <w:t>1,750 UZS/kWh (5,001–10,000 kWh)</w:t>
      </w:r>
      <w:r w:rsidRPr="00B34A03">
        <w:rPr>
          <w:rFonts w:ascii="Times New Roman" w:eastAsia="Times New Roman" w:hAnsi="Times New Roman" w:cs="Times New Roman"/>
          <w:kern w:val="0"/>
          <w:sz w:val="20"/>
          <w:szCs w:val="20"/>
          <w:lang w:val="en-US" w:eastAsia="ru-RU"/>
          <w14:ligatures w14:val="none"/>
        </w:rPr>
        <w:br/>
        <w:t>2,000 UZS/kWh (above 10,000 kWh)</w:t>
      </w:r>
    </w:p>
    <w:p w14:paraId="56AAE706" w14:textId="4583607B"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According to the new tariffs, the estimated annual revenue is approximately 155</w:t>
      </w:r>
      <w:r w:rsidR="00B33FFA">
        <w:rPr>
          <w:rFonts w:ascii="Times New Roman" w:eastAsia="Times New Roman" w:hAnsi="Times New Roman" w:cs="Times New Roman"/>
          <w:kern w:val="0"/>
          <w:sz w:val="20"/>
          <w:szCs w:val="20"/>
          <w:lang w:val="en-US" w:eastAsia="ru-RU"/>
          <w14:ligatures w14:val="none"/>
        </w:rPr>
        <w:t> </w:t>
      </w:r>
      <w:r w:rsidRPr="00B34A03">
        <w:rPr>
          <w:rFonts w:ascii="Times New Roman" w:eastAsia="Times New Roman" w:hAnsi="Times New Roman" w:cs="Times New Roman"/>
          <w:kern w:val="0"/>
          <w:sz w:val="20"/>
          <w:szCs w:val="20"/>
          <w:lang w:val="en-US" w:eastAsia="ru-RU"/>
          <w14:ligatures w14:val="none"/>
        </w:rPr>
        <w:t>000</w:t>
      </w:r>
      <w:r w:rsidR="00B33FFA">
        <w:rPr>
          <w:rFonts w:ascii="Times New Roman" w:eastAsia="Times New Roman" w:hAnsi="Times New Roman" w:cs="Times New Roman"/>
          <w:kern w:val="0"/>
          <w:sz w:val="20"/>
          <w:szCs w:val="20"/>
          <w:lang w:val="en-US" w:eastAsia="ru-RU"/>
          <w14:ligatures w14:val="none"/>
        </w:rPr>
        <w:t xml:space="preserve"> </w:t>
      </w:r>
      <w:r w:rsidRPr="00B34A03">
        <w:rPr>
          <w:rFonts w:ascii="Times New Roman" w:eastAsia="Times New Roman" w:hAnsi="Times New Roman" w:cs="Times New Roman"/>
          <w:kern w:val="0"/>
          <w:sz w:val="20"/>
          <w:szCs w:val="20"/>
          <w:lang w:val="en-US" w:eastAsia="ru-RU"/>
          <w14:ligatures w14:val="none"/>
        </w:rPr>
        <w:t>000 UZS.</w:t>
      </w:r>
    </w:p>
    <w:p w14:paraId="756DC0E5" w14:textId="77777777"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b/>
          <w:bCs/>
          <w:kern w:val="0"/>
          <w:sz w:val="20"/>
          <w:szCs w:val="20"/>
          <w:lang w:val="en-US" w:eastAsia="ru-RU"/>
          <w14:ligatures w14:val="none"/>
        </w:rPr>
        <w:t>Payback Period</w:t>
      </w:r>
    </w:p>
    <w:p w14:paraId="0E8E0ABA" w14:textId="77777777"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Taking into account the total construction cost of the solar power plant (1 billion UZS) and the annual income, the payback period of the system is as follows:</w:t>
      </w:r>
    </w:p>
    <w:p w14:paraId="7A3E4D05" w14:textId="77777777" w:rsidR="00A654DA" w:rsidRPr="00B34A03" w:rsidRDefault="00A654DA" w:rsidP="003D6BF2">
      <w:pPr>
        <w:numPr>
          <w:ilvl w:val="0"/>
          <w:numId w:val="28"/>
        </w:numPr>
        <w:tabs>
          <w:tab w:val="left" w:pos="284"/>
          <w:tab w:val="left" w:pos="567"/>
        </w:tabs>
        <w:spacing w:after="0" w:line="240" w:lineRule="auto"/>
        <w:ind w:left="0" w:firstLine="284"/>
        <w:jc w:val="both"/>
        <w:rPr>
          <w:rFonts w:ascii="Times New Roman" w:eastAsia="Times New Roman" w:hAnsi="Times New Roman" w:cs="Times New Roman"/>
          <w:kern w:val="0"/>
          <w:sz w:val="20"/>
          <w:szCs w:val="20"/>
          <w:lang w:eastAsia="ru-RU"/>
          <w14:ligatures w14:val="none"/>
        </w:rPr>
      </w:pPr>
      <w:r w:rsidRPr="00B34A03">
        <w:rPr>
          <w:rFonts w:ascii="Times New Roman" w:eastAsia="Times New Roman" w:hAnsi="Times New Roman" w:cs="Times New Roman"/>
          <w:kern w:val="0"/>
          <w:sz w:val="20"/>
          <w:szCs w:val="20"/>
          <w:lang w:eastAsia="ru-RU"/>
          <w14:ligatures w14:val="none"/>
        </w:rPr>
        <w:t xml:space="preserve">Based </w:t>
      </w:r>
      <w:proofErr w:type="spellStart"/>
      <w:r w:rsidRPr="00B34A03">
        <w:rPr>
          <w:rFonts w:ascii="Times New Roman" w:eastAsia="Times New Roman" w:hAnsi="Times New Roman" w:cs="Times New Roman"/>
          <w:kern w:val="0"/>
          <w:sz w:val="20"/>
          <w:szCs w:val="20"/>
          <w:lang w:eastAsia="ru-RU"/>
          <w14:ligatures w14:val="none"/>
        </w:rPr>
        <w:t>on</w:t>
      </w:r>
      <w:proofErr w:type="spellEnd"/>
      <w:r w:rsidRPr="00B34A03">
        <w:rPr>
          <w:rFonts w:ascii="Times New Roman" w:eastAsia="Times New Roman" w:hAnsi="Times New Roman" w:cs="Times New Roman"/>
          <w:kern w:val="0"/>
          <w:sz w:val="20"/>
          <w:szCs w:val="20"/>
          <w:lang w:eastAsia="ru-RU"/>
          <w14:ligatures w14:val="none"/>
        </w:rPr>
        <w:t xml:space="preserve"> 2024 </w:t>
      </w:r>
      <w:proofErr w:type="spellStart"/>
      <w:r w:rsidRPr="00B34A03">
        <w:rPr>
          <w:rFonts w:ascii="Times New Roman" w:eastAsia="Times New Roman" w:hAnsi="Times New Roman" w:cs="Times New Roman"/>
          <w:kern w:val="0"/>
          <w:sz w:val="20"/>
          <w:szCs w:val="20"/>
          <w:lang w:eastAsia="ru-RU"/>
          <w14:ligatures w14:val="none"/>
        </w:rPr>
        <w:t>revenues</w:t>
      </w:r>
      <w:proofErr w:type="spellEnd"/>
      <w:r w:rsidRPr="00B34A03">
        <w:rPr>
          <w:rFonts w:ascii="Times New Roman" w:eastAsia="Times New Roman" w:hAnsi="Times New Roman" w:cs="Times New Roman"/>
          <w:kern w:val="0"/>
          <w:sz w:val="20"/>
          <w:szCs w:val="20"/>
          <w:lang w:eastAsia="ru-RU"/>
          <w14:ligatures w14:val="none"/>
        </w:rPr>
        <w:t xml:space="preserve">: 1,000,000,000 ÷ 140,648,400 ≈ 7.1 </w:t>
      </w:r>
      <w:proofErr w:type="spellStart"/>
      <w:r w:rsidRPr="00B34A03">
        <w:rPr>
          <w:rFonts w:ascii="Times New Roman" w:eastAsia="Times New Roman" w:hAnsi="Times New Roman" w:cs="Times New Roman"/>
          <w:kern w:val="0"/>
          <w:sz w:val="20"/>
          <w:szCs w:val="20"/>
          <w:lang w:eastAsia="ru-RU"/>
          <w14:ligatures w14:val="none"/>
        </w:rPr>
        <w:t>years</w:t>
      </w:r>
      <w:proofErr w:type="spellEnd"/>
    </w:p>
    <w:p w14:paraId="431DB5A6" w14:textId="77777777" w:rsidR="00A654DA" w:rsidRPr="00B34A03" w:rsidRDefault="00A654DA" w:rsidP="003D6BF2">
      <w:pPr>
        <w:numPr>
          <w:ilvl w:val="0"/>
          <w:numId w:val="28"/>
        </w:numPr>
        <w:tabs>
          <w:tab w:val="left" w:pos="284"/>
          <w:tab w:val="left" w:pos="567"/>
        </w:tabs>
        <w:spacing w:after="0" w:line="240" w:lineRule="auto"/>
        <w:ind w:left="0" w:firstLine="284"/>
        <w:jc w:val="both"/>
        <w:rPr>
          <w:rFonts w:ascii="Times New Roman" w:eastAsia="Times New Roman" w:hAnsi="Times New Roman" w:cs="Times New Roman"/>
          <w:kern w:val="0"/>
          <w:sz w:val="20"/>
          <w:szCs w:val="20"/>
          <w:lang w:eastAsia="ru-RU"/>
          <w14:ligatures w14:val="none"/>
        </w:rPr>
      </w:pPr>
      <w:r w:rsidRPr="00B34A03">
        <w:rPr>
          <w:rFonts w:ascii="Times New Roman" w:eastAsia="Times New Roman" w:hAnsi="Times New Roman" w:cs="Times New Roman"/>
          <w:kern w:val="0"/>
          <w:sz w:val="20"/>
          <w:szCs w:val="20"/>
          <w:lang w:eastAsia="ru-RU"/>
          <w14:ligatures w14:val="none"/>
        </w:rPr>
        <w:t xml:space="preserve">Based </w:t>
      </w:r>
      <w:proofErr w:type="spellStart"/>
      <w:r w:rsidRPr="00B34A03">
        <w:rPr>
          <w:rFonts w:ascii="Times New Roman" w:eastAsia="Times New Roman" w:hAnsi="Times New Roman" w:cs="Times New Roman"/>
          <w:kern w:val="0"/>
          <w:sz w:val="20"/>
          <w:szCs w:val="20"/>
          <w:lang w:eastAsia="ru-RU"/>
          <w14:ligatures w14:val="none"/>
        </w:rPr>
        <w:t>on</w:t>
      </w:r>
      <w:proofErr w:type="spellEnd"/>
      <w:r w:rsidRPr="00B34A03">
        <w:rPr>
          <w:rFonts w:ascii="Times New Roman" w:eastAsia="Times New Roman" w:hAnsi="Times New Roman" w:cs="Times New Roman"/>
          <w:kern w:val="0"/>
          <w:sz w:val="20"/>
          <w:szCs w:val="20"/>
          <w:lang w:eastAsia="ru-RU"/>
          <w14:ligatures w14:val="none"/>
        </w:rPr>
        <w:t xml:space="preserve"> 2025 </w:t>
      </w:r>
      <w:proofErr w:type="spellStart"/>
      <w:r w:rsidRPr="00B34A03">
        <w:rPr>
          <w:rFonts w:ascii="Times New Roman" w:eastAsia="Times New Roman" w:hAnsi="Times New Roman" w:cs="Times New Roman"/>
          <w:kern w:val="0"/>
          <w:sz w:val="20"/>
          <w:szCs w:val="20"/>
          <w:lang w:eastAsia="ru-RU"/>
          <w14:ligatures w14:val="none"/>
        </w:rPr>
        <w:t>tariffs</w:t>
      </w:r>
      <w:proofErr w:type="spellEnd"/>
      <w:r w:rsidRPr="00B34A03">
        <w:rPr>
          <w:rFonts w:ascii="Times New Roman" w:eastAsia="Times New Roman" w:hAnsi="Times New Roman" w:cs="Times New Roman"/>
          <w:kern w:val="0"/>
          <w:sz w:val="20"/>
          <w:szCs w:val="20"/>
          <w:lang w:eastAsia="ru-RU"/>
          <w14:ligatures w14:val="none"/>
        </w:rPr>
        <w:t xml:space="preserve">: 1,000,000,000 ÷ 155,000,000 ≈ 6.5 </w:t>
      </w:r>
      <w:proofErr w:type="spellStart"/>
      <w:r w:rsidRPr="00B34A03">
        <w:rPr>
          <w:rFonts w:ascii="Times New Roman" w:eastAsia="Times New Roman" w:hAnsi="Times New Roman" w:cs="Times New Roman"/>
          <w:kern w:val="0"/>
          <w:sz w:val="20"/>
          <w:szCs w:val="20"/>
          <w:lang w:eastAsia="ru-RU"/>
          <w14:ligatures w14:val="none"/>
        </w:rPr>
        <w:t>years</w:t>
      </w:r>
      <w:proofErr w:type="spellEnd"/>
    </w:p>
    <w:p w14:paraId="65CE6C75" w14:textId="77777777"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The costs of the monitoring system and technical maintenance are minimal and do not significantly affect the income.</w:t>
      </w:r>
    </w:p>
    <w:p w14:paraId="3B23A576" w14:textId="77777777"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b/>
          <w:bCs/>
          <w:kern w:val="0"/>
          <w:sz w:val="20"/>
          <w:szCs w:val="20"/>
          <w:lang w:val="en-US" w:eastAsia="ru-RU"/>
          <w14:ligatures w14:val="none"/>
        </w:rPr>
        <w:t>Efficiency Decline and Its Impact</w:t>
      </w:r>
    </w:p>
    <w:p w14:paraId="618F7B5A" w14:textId="7AEA6537" w:rsidR="00A654DA" w:rsidRPr="00B34A03" w:rsidRDefault="0061318C"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61318C">
        <w:rPr>
          <w:rFonts w:ascii="Times New Roman" w:hAnsi="Times New Roman" w:cs="Times New Roman"/>
          <w:sz w:val="20"/>
          <w:lang w:val="en-US"/>
        </w:rPr>
        <w:t>Solar panels experience an annual efficiency decline of 0.5–1%. After a decade, their output capacity typically remains around 90–95%.</w:t>
      </w:r>
      <w:r w:rsidRPr="00B34A03">
        <w:rPr>
          <w:rFonts w:ascii="Times New Roman" w:eastAsia="Times New Roman" w:hAnsi="Times New Roman" w:cs="Times New Roman"/>
          <w:kern w:val="0"/>
          <w:sz w:val="20"/>
          <w:szCs w:val="20"/>
          <w:lang w:val="en-US" w:eastAsia="ru-RU"/>
          <w14:ligatures w14:val="none"/>
        </w:rPr>
        <w:t xml:space="preserve"> </w:t>
      </w:r>
      <w:r w:rsidR="00A654DA" w:rsidRPr="00B34A03">
        <w:rPr>
          <w:rFonts w:ascii="Times New Roman" w:eastAsia="Times New Roman" w:hAnsi="Times New Roman" w:cs="Times New Roman"/>
          <w:kern w:val="0"/>
          <w:sz w:val="20"/>
          <w:szCs w:val="20"/>
          <w:lang w:val="en-US" w:eastAsia="ru-RU"/>
          <w14:ligatures w14:val="none"/>
        </w:rPr>
        <w:t>This can affect economic efficiency. However, a 10-year analysis shows that the plant will fully recoup its cost and generate additional income.</w:t>
      </w:r>
    </w:p>
    <w:p w14:paraId="2AC7F67B" w14:textId="77777777" w:rsidR="0061318C" w:rsidRPr="003D6BF2" w:rsidRDefault="0061318C" w:rsidP="003D6BF2">
      <w:pPr>
        <w:spacing w:before="240" w:after="240" w:line="240" w:lineRule="auto"/>
        <w:jc w:val="center"/>
        <w:rPr>
          <w:rFonts w:ascii="Times New Roman" w:hAnsi="Times New Roman" w:cs="Times New Roman"/>
          <w:b/>
          <w:bCs/>
          <w:sz w:val="24"/>
          <w:szCs w:val="24"/>
          <w:lang w:val="en-US"/>
        </w:rPr>
      </w:pPr>
      <w:r w:rsidRPr="003D6BF2">
        <w:rPr>
          <w:rFonts w:ascii="Times New Roman" w:hAnsi="Times New Roman" w:cs="Times New Roman"/>
          <w:b/>
          <w:bCs/>
          <w:sz w:val="24"/>
          <w:szCs w:val="24"/>
          <w:lang w:val="en-US"/>
        </w:rPr>
        <w:t>EVALUATION AND ANALYSIS OF FINANCIAL AND ECONOMIC METRICS</w:t>
      </w:r>
    </w:p>
    <w:p w14:paraId="2D6DD695" w14:textId="1E78AB49" w:rsidR="00A654DA" w:rsidRPr="00B34A03" w:rsidRDefault="00172037"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172037">
        <w:rPr>
          <w:rFonts w:ascii="Times New Roman" w:hAnsi="Times New Roman" w:cs="Times New Roman"/>
          <w:sz w:val="20"/>
          <w:lang w:val="en-US"/>
        </w:rPr>
        <w:t>Several essential financial and economic indicators are taken into account to assess the economic efficiency of solar photovoltaic systems</w:t>
      </w:r>
      <w:r w:rsidR="00A654DA" w:rsidRPr="00B34A03">
        <w:rPr>
          <w:rFonts w:ascii="Times New Roman" w:eastAsia="Times New Roman" w:hAnsi="Times New Roman" w:cs="Times New Roman"/>
          <w:kern w:val="0"/>
          <w:sz w:val="20"/>
          <w:szCs w:val="20"/>
          <w:lang w:val="en-US" w:eastAsia="ru-RU"/>
          <w14:ligatures w14:val="none"/>
        </w:rPr>
        <w:t>. The following formulas and analytical methods were applied for this system:</w:t>
      </w:r>
    </w:p>
    <w:p w14:paraId="2C16877D" w14:textId="77777777" w:rsidR="000751A8" w:rsidRPr="000751A8" w:rsidRDefault="00A654DA" w:rsidP="00F93EE1">
      <w:pPr>
        <w:numPr>
          <w:ilvl w:val="0"/>
          <w:numId w:val="29"/>
        </w:numPr>
        <w:tabs>
          <w:tab w:val="clear" w:pos="720"/>
          <w:tab w:val="left" w:pos="567"/>
        </w:tabs>
        <w:spacing w:after="0" w:line="240" w:lineRule="auto"/>
        <w:ind w:left="0" w:firstLine="284"/>
        <w:jc w:val="both"/>
        <w:rPr>
          <w:rFonts w:ascii="Times New Roman" w:eastAsia="Times New Roman" w:hAnsi="Times New Roman" w:cs="Times New Roman"/>
          <w:kern w:val="0"/>
          <w:sz w:val="20"/>
          <w:szCs w:val="20"/>
          <w:lang w:eastAsia="ru-RU"/>
          <w14:ligatures w14:val="none"/>
        </w:rPr>
      </w:pPr>
      <w:r w:rsidRPr="00B34A03">
        <w:rPr>
          <w:rFonts w:ascii="Times New Roman" w:eastAsia="Times New Roman" w:hAnsi="Times New Roman" w:cs="Times New Roman"/>
          <w:b/>
          <w:bCs/>
          <w:kern w:val="0"/>
          <w:sz w:val="20"/>
          <w:szCs w:val="20"/>
          <w:lang w:val="en-US" w:eastAsia="ru-RU"/>
          <w14:ligatures w14:val="none"/>
        </w:rPr>
        <w:t>Payback Period</w:t>
      </w:r>
    </w:p>
    <w:p w14:paraId="69CDE898" w14:textId="39839BFE" w:rsidR="00A654DA" w:rsidRPr="000751A8" w:rsidRDefault="00172037"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172037">
        <w:rPr>
          <w:rFonts w:ascii="Times New Roman" w:hAnsi="Times New Roman" w:cs="Times New Roman"/>
          <w:sz w:val="20"/>
          <w:szCs w:val="20"/>
          <w:lang w:val="en-US"/>
        </w:rPr>
        <w:t>The payback period represents the time required for the project’s initial investment to be recovered through generated revenues.</w:t>
      </w:r>
      <w:r w:rsidR="00A654DA" w:rsidRPr="00172037">
        <w:rPr>
          <w:rFonts w:ascii="Times New Roman" w:eastAsia="Times New Roman" w:hAnsi="Times New Roman" w:cs="Times New Roman"/>
          <w:kern w:val="0"/>
          <w:sz w:val="20"/>
          <w:szCs w:val="20"/>
          <w:lang w:val="en-US" w:eastAsia="ru-RU"/>
          <w14:ligatures w14:val="none"/>
        </w:rPr>
        <w:t xml:space="preserve"> </w:t>
      </w:r>
      <w:r w:rsidR="00A654DA" w:rsidRPr="000751A8">
        <w:rPr>
          <w:rFonts w:ascii="Times New Roman" w:eastAsia="Times New Roman" w:hAnsi="Times New Roman" w:cs="Times New Roman"/>
          <w:kern w:val="0"/>
          <w:sz w:val="20"/>
          <w:szCs w:val="20"/>
          <w:lang w:val="en-US" w:eastAsia="ru-RU"/>
          <w14:ligatures w14:val="none"/>
        </w:rPr>
        <w:t>The formula to calculate this indicator is:</w:t>
      </w:r>
    </w:p>
    <w:p w14:paraId="491D83D9" w14:textId="025EB520" w:rsidR="00635626" w:rsidRPr="003D6BF2" w:rsidRDefault="003D6BF2" w:rsidP="003D6BF2">
      <w:pPr>
        <w:spacing w:before="120" w:after="120" w:line="240" w:lineRule="auto"/>
        <w:jc w:val="right"/>
        <w:rPr>
          <w:rFonts w:ascii="Times New Roman" w:hAnsi="Times New Roman" w:cs="Times New Roman"/>
          <w:sz w:val="20"/>
          <w:szCs w:val="20"/>
          <w:lang w:val="uz-Cyrl-UZ"/>
        </w:rPr>
      </w:pPr>
      <m:oMath>
        <m:r>
          <w:rPr>
            <w:rFonts w:ascii="Cambria Math" w:hAnsi="Cambria Math" w:cs="Times New Roman"/>
            <w:sz w:val="24"/>
            <w:szCs w:val="24"/>
            <w:lang w:val="en-US"/>
          </w:rPr>
          <m:t>T=</m:t>
        </m:r>
        <m:f>
          <m:fPr>
            <m:ctrlPr>
              <w:rPr>
                <w:rFonts w:ascii="Cambria Math" w:hAnsi="Cambria Math" w:cs="Times New Roman"/>
                <w:i/>
                <w:sz w:val="24"/>
                <w:szCs w:val="24"/>
                <w:lang w:val="en-US"/>
              </w:rPr>
            </m:ctrlPr>
          </m:fPr>
          <m:num>
            <m:r>
              <w:rPr>
                <w:rFonts w:ascii="Cambria Math" w:hAnsi="Cambria Math" w:cs="Times New Roman"/>
                <w:sz w:val="24"/>
                <w:szCs w:val="24"/>
                <w:lang w:val="en-US"/>
              </w:rPr>
              <m:t>I</m:t>
            </m:r>
          </m:num>
          <m:den>
            <m:r>
              <w:rPr>
                <w:rFonts w:ascii="Cambria Math" w:hAnsi="Cambria Math" w:cs="Times New Roman"/>
                <w:sz w:val="24"/>
                <w:szCs w:val="24"/>
                <w:lang w:val="en-US"/>
              </w:rPr>
              <m:t>A</m:t>
            </m:r>
          </m:den>
        </m:f>
      </m:oMath>
      <w:r>
        <w:rPr>
          <w:rFonts w:ascii="Times New Roman" w:eastAsiaTheme="minorEastAsia" w:hAnsi="Times New Roman" w:cs="Times New Roman"/>
          <w:sz w:val="20"/>
          <w:szCs w:val="20"/>
          <w:lang w:val="uz-Cyrl-UZ"/>
        </w:rPr>
        <w:t xml:space="preserve"> </w:t>
      </w:r>
      <w:r>
        <w:rPr>
          <w:rFonts w:ascii="Times New Roman" w:eastAsiaTheme="minorEastAsia" w:hAnsi="Times New Roman" w:cs="Times New Roman"/>
          <w:sz w:val="20"/>
          <w:szCs w:val="20"/>
          <w:lang w:val="uz-Cyrl-UZ"/>
        </w:rPr>
        <w:tab/>
      </w:r>
      <w:r>
        <w:rPr>
          <w:rFonts w:ascii="Times New Roman" w:eastAsiaTheme="minorEastAsia" w:hAnsi="Times New Roman" w:cs="Times New Roman"/>
          <w:sz w:val="20"/>
          <w:szCs w:val="20"/>
          <w:lang w:val="uz-Cyrl-UZ"/>
        </w:rPr>
        <w:tab/>
      </w:r>
      <w:r>
        <w:rPr>
          <w:rFonts w:ascii="Times New Roman" w:eastAsiaTheme="minorEastAsia" w:hAnsi="Times New Roman" w:cs="Times New Roman"/>
          <w:sz w:val="20"/>
          <w:szCs w:val="20"/>
          <w:lang w:val="uz-Cyrl-UZ"/>
        </w:rPr>
        <w:tab/>
      </w:r>
      <w:r>
        <w:rPr>
          <w:rFonts w:ascii="Times New Roman" w:eastAsiaTheme="minorEastAsia" w:hAnsi="Times New Roman" w:cs="Times New Roman"/>
          <w:sz w:val="20"/>
          <w:szCs w:val="20"/>
          <w:lang w:val="uz-Cyrl-UZ"/>
        </w:rPr>
        <w:tab/>
      </w:r>
      <w:r>
        <w:rPr>
          <w:rFonts w:ascii="Times New Roman" w:eastAsiaTheme="minorEastAsia" w:hAnsi="Times New Roman" w:cs="Times New Roman"/>
          <w:sz w:val="20"/>
          <w:szCs w:val="20"/>
          <w:lang w:val="uz-Cyrl-UZ"/>
        </w:rPr>
        <w:tab/>
      </w:r>
      <w:r>
        <w:rPr>
          <w:rFonts w:ascii="Times New Roman" w:eastAsiaTheme="minorEastAsia" w:hAnsi="Times New Roman" w:cs="Times New Roman"/>
          <w:sz w:val="20"/>
          <w:szCs w:val="20"/>
          <w:lang w:val="uz-Cyrl-UZ"/>
        </w:rPr>
        <w:tab/>
        <w:t>(5)</w:t>
      </w:r>
    </w:p>
    <w:p w14:paraId="2AE2A6AE" w14:textId="7837222E" w:rsidR="00A654DA" w:rsidRPr="00B34A03" w:rsidRDefault="003D6BF2" w:rsidP="003D6BF2">
      <w:pPr>
        <w:spacing w:after="0" w:line="240" w:lineRule="auto"/>
        <w:jc w:val="both"/>
        <w:rPr>
          <w:rFonts w:ascii="Times New Roman" w:eastAsia="Times New Roman" w:hAnsi="Times New Roman" w:cs="Times New Roman"/>
          <w:kern w:val="0"/>
          <w:sz w:val="20"/>
          <w:szCs w:val="20"/>
          <w:lang w:val="en-US" w:eastAsia="ru-RU"/>
          <w14:ligatures w14:val="none"/>
        </w:rPr>
      </w:pPr>
      <w:r>
        <w:rPr>
          <w:rFonts w:ascii="Times New Roman" w:eastAsia="Times New Roman" w:hAnsi="Times New Roman" w:cs="Times New Roman"/>
          <w:kern w:val="0"/>
          <w:sz w:val="20"/>
          <w:szCs w:val="20"/>
          <w:lang w:val="en-US" w:eastAsia="ru-RU"/>
          <w14:ligatures w14:val="none"/>
        </w:rPr>
        <w:t>w</w:t>
      </w:r>
      <w:r w:rsidR="00A654DA" w:rsidRPr="00172037">
        <w:rPr>
          <w:rFonts w:ascii="Times New Roman" w:eastAsia="Times New Roman" w:hAnsi="Times New Roman" w:cs="Times New Roman"/>
          <w:kern w:val="0"/>
          <w:sz w:val="20"/>
          <w:szCs w:val="20"/>
          <w:lang w:val="en-US" w:eastAsia="ru-RU"/>
          <w14:ligatures w14:val="none"/>
        </w:rPr>
        <w:t>here:</w:t>
      </w:r>
      <w:r>
        <w:rPr>
          <w:rFonts w:ascii="Times New Roman" w:eastAsia="Times New Roman" w:hAnsi="Times New Roman" w:cs="Times New Roman"/>
          <w:kern w:val="0"/>
          <w:sz w:val="20"/>
          <w:szCs w:val="20"/>
          <w:lang w:val="uz-Cyrl-UZ" w:eastAsia="ru-RU"/>
          <w14:ligatures w14:val="none"/>
        </w:rPr>
        <w:t xml:space="preserve"> </w:t>
      </w:r>
      <w:r w:rsidR="00A654DA" w:rsidRPr="00172037">
        <w:rPr>
          <w:rFonts w:ascii="Times New Roman" w:eastAsia="Times New Roman" w:hAnsi="Times New Roman" w:cs="Times New Roman"/>
          <w:kern w:val="0"/>
          <w:sz w:val="20"/>
          <w:szCs w:val="20"/>
          <w:lang w:val="en-US" w:eastAsia="ru-RU"/>
          <w14:ligatures w14:val="none"/>
        </w:rPr>
        <w:t>T— payback period (years)</w:t>
      </w:r>
      <w:r>
        <w:rPr>
          <w:rFonts w:ascii="Times New Roman" w:eastAsia="Times New Roman" w:hAnsi="Times New Roman" w:cs="Times New Roman"/>
          <w:kern w:val="0"/>
          <w:sz w:val="20"/>
          <w:szCs w:val="20"/>
          <w:lang w:val="en-US" w:eastAsia="ru-RU"/>
          <w14:ligatures w14:val="none"/>
        </w:rPr>
        <w:t xml:space="preserve">; </w:t>
      </w:r>
      <w:r w:rsidR="00A654DA" w:rsidRPr="00B34A03">
        <w:rPr>
          <w:rFonts w:ascii="Times New Roman" w:eastAsia="Times New Roman" w:hAnsi="Times New Roman" w:cs="Times New Roman"/>
          <w:kern w:val="0"/>
          <w:sz w:val="20"/>
          <w:szCs w:val="20"/>
          <w:lang w:val="en-US" w:eastAsia="ru-RU"/>
          <w14:ligatures w14:val="none"/>
        </w:rPr>
        <w:t>I — initial investment amount (UZS)</w:t>
      </w:r>
      <w:r>
        <w:rPr>
          <w:rFonts w:ascii="Times New Roman" w:eastAsia="Times New Roman" w:hAnsi="Times New Roman" w:cs="Times New Roman"/>
          <w:kern w:val="0"/>
          <w:sz w:val="20"/>
          <w:szCs w:val="20"/>
          <w:lang w:val="en-US" w:eastAsia="ru-RU"/>
          <w14:ligatures w14:val="none"/>
        </w:rPr>
        <w:t xml:space="preserve">; </w:t>
      </w:r>
      <w:r w:rsidR="00A654DA" w:rsidRPr="00B34A03">
        <w:rPr>
          <w:rFonts w:ascii="Times New Roman" w:eastAsia="Times New Roman" w:hAnsi="Times New Roman" w:cs="Times New Roman"/>
          <w:kern w:val="0"/>
          <w:sz w:val="20"/>
          <w:szCs w:val="20"/>
          <w:lang w:val="en-US" w:eastAsia="ru-RU"/>
          <w14:ligatures w14:val="none"/>
        </w:rPr>
        <w:t>A — annual net income (UZS)</w:t>
      </w:r>
      <w:r>
        <w:rPr>
          <w:rFonts w:ascii="Times New Roman" w:eastAsia="Times New Roman" w:hAnsi="Times New Roman" w:cs="Times New Roman"/>
          <w:kern w:val="0"/>
          <w:sz w:val="20"/>
          <w:szCs w:val="20"/>
          <w:lang w:val="en-US" w:eastAsia="ru-RU"/>
          <w14:ligatures w14:val="none"/>
        </w:rPr>
        <w:t>.</w:t>
      </w:r>
    </w:p>
    <w:p w14:paraId="5421368E" w14:textId="77777777" w:rsidR="00A654DA" w:rsidRPr="00172037"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172037">
        <w:rPr>
          <w:rFonts w:ascii="Times New Roman" w:eastAsia="Times New Roman" w:hAnsi="Times New Roman" w:cs="Times New Roman"/>
          <w:kern w:val="0"/>
          <w:sz w:val="20"/>
          <w:szCs w:val="20"/>
          <w:lang w:val="en-US" w:eastAsia="ru-RU"/>
          <w14:ligatures w14:val="none"/>
        </w:rPr>
        <w:t>For example:</w:t>
      </w:r>
    </w:p>
    <w:p w14:paraId="1936BB28" w14:textId="54D921C9" w:rsidR="00A654DA" w:rsidRPr="00B34A03" w:rsidRDefault="00A654DA" w:rsidP="003D6BF2">
      <w:pPr>
        <w:numPr>
          <w:ilvl w:val="0"/>
          <w:numId w:val="31"/>
        </w:numPr>
        <w:tabs>
          <w:tab w:val="clear" w:pos="720"/>
          <w:tab w:val="num" w:pos="284"/>
          <w:tab w:val="left" w:pos="567"/>
        </w:tabs>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Initial investment for the solar power plant I=1</w:t>
      </w:r>
      <w:r w:rsidR="00635626">
        <w:rPr>
          <w:rFonts w:ascii="Times New Roman" w:eastAsia="Times New Roman" w:hAnsi="Times New Roman" w:cs="Times New Roman"/>
          <w:kern w:val="0"/>
          <w:sz w:val="20"/>
          <w:szCs w:val="20"/>
          <w:lang w:val="en-US" w:eastAsia="ru-RU"/>
          <w14:ligatures w14:val="none"/>
        </w:rPr>
        <w:t> </w:t>
      </w:r>
      <w:r w:rsidRPr="00B34A03">
        <w:rPr>
          <w:rFonts w:ascii="Times New Roman" w:eastAsia="Times New Roman" w:hAnsi="Times New Roman" w:cs="Times New Roman"/>
          <w:kern w:val="0"/>
          <w:sz w:val="20"/>
          <w:szCs w:val="20"/>
          <w:lang w:val="en-US" w:eastAsia="ru-RU"/>
          <w14:ligatures w14:val="none"/>
        </w:rPr>
        <w:t>000</w:t>
      </w:r>
      <w:r w:rsidR="00635626">
        <w:rPr>
          <w:rFonts w:ascii="Times New Roman" w:eastAsia="Times New Roman" w:hAnsi="Times New Roman" w:cs="Times New Roman"/>
          <w:kern w:val="0"/>
          <w:sz w:val="20"/>
          <w:szCs w:val="20"/>
          <w:lang w:val="en-US" w:eastAsia="ru-RU"/>
          <w14:ligatures w14:val="none"/>
        </w:rPr>
        <w:t> </w:t>
      </w:r>
      <w:r w:rsidRPr="00B34A03">
        <w:rPr>
          <w:rFonts w:ascii="Times New Roman" w:eastAsia="Times New Roman" w:hAnsi="Times New Roman" w:cs="Times New Roman"/>
          <w:kern w:val="0"/>
          <w:sz w:val="20"/>
          <w:szCs w:val="20"/>
          <w:lang w:val="en-US" w:eastAsia="ru-RU"/>
          <w14:ligatures w14:val="none"/>
        </w:rPr>
        <w:t>000</w:t>
      </w:r>
      <w:r w:rsidR="00635626">
        <w:rPr>
          <w:rFonts w:ascii="Times New Roman" w:eastAsia="Times New Roman" w:hAnsi="Times New Roman" w:cs="Times New Roman"/>
          <w:kern w:val="0"/>
          <w:sz w:val="20"/>
          <w:szCs w:val="20"/>
          <w:lang w:val="en-US" w:eastAsia="ru-RU"/>
          <w14:ligatures w14:val="none"/>
        </w:rPr>
        <w:t> </w:t>
      </w:r>
      <w:r w:rsidRPr="00B34A03">
        <w:rPr>
          <w:rFonts w:ascii="Times New Roman" w:eastAsia="Times New Roman" w:hAnsi="Times New Roman" w:cs="Times New Roman"/>
          <w:kern w:val="0"/>
          <w:sz w:val="20"/>
          <w:szCs w:val="20"/>
          <w:lang w:val="en-US" w:eastAsia="ru-RU"/>
          <w14:ligatures w14:val="none"/>
        </w:rPr>
        <w:t>000</w:t>
      </w:r>
      <w:r w:rsidR="00635626">
        <w:rPr>
          <w:rFonts w:ascii="Times New Roman" w:eastAsia="Times New Roman" w:hAnsi="Times New Roman" w:cs="Times New Roman"/>
          <w:kern w:val="0"/>
          <w:sz w:val="20"/>
          <w:szCs w:val="20"/>
          <w:lang w:val="en-US" w:eastAsia="ru-RU"/>
          <w14:ligatures w14:val="none"/>
        </w:rPr>
        <w:t xml:space="preserve"> </w:t>
      </w:r>
      <w:r w:rsidRPr="00B34A03">
        <w:rPr>
          <w:rFonts w:ascii="Times New Roman" w:eastAsia="Times New Roman" w:hAnsi="Times New Roman" w:cs="Times New Roman"/>
          <w:kern w:val="0"/>
          <w:sz w:val="20"/>
          <w:szCs w:val="20"/>
          <w:lang w:val="en-US" w:eastAsia="ru-RU"/>
          <w14:ligatures w14:val="none"/>
        </w:rPr>
        <w:t>UZS</w:t>
      </w:r>
    </w:p>
    <w:p w14:paraId="63B6B1A4" w14:textId="5FD32E42" w:rsidR="00A654DA" w:rsidRPr="00B34A03" w:rsidRDefault="00A654DA" w:rsidP="003D6BF2">
      <w:pPr>
        <w:numPr>
          <w:ilvl w:val="0"/>
          <w:numId w:val="31"/>
        </w:numPr>
        <w:tabs>
          <w:tab w:val="clear" w:pos="720"/>
          <w:tab w:val="num" w:pos="284"/>
          <w:tab w:val="left" w:pos="567"/>
        </w:tabs>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Annual income A=140</w:t>
      </w:r>
      <w:r w:rsidR="00225B4C" w:rsidRPr="00225B4C">
        <w:rPr>
          <w:rFonts w:ascii="Times New Roman" w:eastAsia="Times New Roman" w:hAnsi="Times New Roman" w:cs="Times New Roman"/>
          <w:kern w:val="0"/>
          <w:sz w:val="20"/>
          <w:szCs w:val="20"/>
          <w:lang w:val="en-US" w:eastAsia="ru-RU"/>
          <w14:ligatures w14:val="none"/>
        </w:rPr>
        <w:t xml:space="preserve"> </w:t>
      </w:r>
      <w:r w:rsidRPr="00B34A03">
        <w:rPr>
          <w:rFonts w:ascii="Times New Roman" w:eastAsia="Times New Roman" w:hAnsi="Times New Roman" w:cs="Times New Roman"/>
          <w:kern w:val="0"/>
          <w:sz w:val="20"/>
          <w:szCs w:val="20"/>
          <w:lang w:val="en-US" w:eastAsia="ru-RU"/>
          <w14:ligatures w14:val="none"/>
        </w:rPr>
        <w:t>648</w:t>
      </w:r>
      <w:r w:rsidR="00225B4C" w:rsidRPr="00225B4C">
        <w:rPr>
          <w:rFonts w:ascii="Times New Roman" w:eastAsia="Times New Roman" w:hAnsi="Times New Roman" w:cs="Times New Roman"/>
          <w:kern w:val="0"/>
          <w:sz w:val="20"/>
          <w:szCs w:val="20"/>
          <w:lang w:val="en-US" w:eastAsia="ru-RU"/>
          <w14:ligatures w14:val="none"/>
        </w:rPr>
        <w:t xml:space="preserve"> </w:t>
      </w:r>
      <w:r w:rsidRPr="00B34A03">
        <w:rPr>
          <w:rFonts w:ascii="Times New Roman" w:eastAsia="Times New Roman" w:hAnsi="Times New Roman" w:cs="Times New Roman"/>
          <w:kern w:val="0"/>
          <w:sz w:val="20"/>
          <w:szCs w:val="20"/>
          <w:lang w:val="en-US" w:eastAsia="ru-RU"/>
          <w14:ligatures w14:val="none"/>
        </w:rPr>
        <w:t>400 UZS (according to 2024 tariffs)</w:t>
      </w:r>
    </w:p>
    <w:p w14:paraId="72C9BEAF" w14:textId="77777777"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b/>
          <w:bCs/>
          <w:kern w:val="0"/>
          <w:sz w:val="20"/>
          <w:szCs w:val="20"/>
          <w:lang w:val="en-US" w:eastAsia="ru-RU"/>
          <w14:ligatures w14:val="none"/>
        </w:rPr>
        <w:t>Payback Period:</w:t>
      </w:r>
    </w:p>
    <w:p w14:paraId="354CEFB7" w14:textId="156D4F8B" w:rsidR="0021267C" w:rsidRPr="0021267C" w:rsidRDefault="0086609B" w:rsidP="0086609B">
      <w:pPr>
        <w:spacing w:before="120" w:after="120" w:line="240" w:lineRule="auto"/>
        <w:jc w:val="right"/>
        <w:rPr>
          <w:rFonts w:ascii="Times New Roman" w:hAnsi="Times New Roman" w:cs="Times New Roman"/>
          <w:sz w:val="20"/>
          <w:szCs w:val="20"/>
          <w:lang w:val="en-US"/>
        </w:rPr>
      </w:pPr>
      <w:r>
        <w:rPr>
          <w:rFonts w:ascii="Times New Roman" w:eastAsia="Times New Roman" w:hAnsi="Times New Roman" w:cs="Times New Roman"/>
          <w:sz w:val="20"/>
          <w:szCs w:val="20"/>
          <w:lang w:val="en-US"/>
        </w:rPr>
        <w:t xml:space="preserve">   </w:t>
      </w:r>
      <m:oMath>
        <m:r>
          <w:rPr>
            <w:rFonts w:ascii="Cambria Math" w:hAnsi="Cambria Math" w:cs="Times New Roman"/>
            <w:sz w:val="20"/>
            <w:szCs w:val="20"/>
            <w:lang w:val="en-US"/>
          </w:rPr>
          <m:t>T=</m:t>
        </m:r>
        <m:f>
          <m:fPr>
            <m:ctrlPr>
              <w:rPr>
                <w:rFonts w:ascii="Cambria Math" w:hAnsi="Cambria Math" w:cs="Times New Roman"/>
                <w:i/>
                <w:sz w:val="20"/>
                <w:szCs w:val="20"/>
                <w:lang w:val="en-US"/>
              </w:rPr>
            </m:ctrlPr>
          </m:fPr>
          <m:num>
            <m:r>
              <w:rPr>
                <w:rFonts w:ascii="Cambria Math" w:hAnsi="Cambria Math" w:cs="Times New Roman"/>
                <w:sz w:val="20"/>
                <w:szCs w:val="20"/>
                <w:lang w:val="en-US"/>
              </w:rPr>
              <m:t>1000000000</m:t>
            </m:r>
          </m:num>
          <m:den>
            <m:r>
              <w:rPr>
                <w:rFonts w:ascii="Cambria Math" w:hAnsi="Cambria Math" w:cs="Times New Roman"/>
                <w:sz w:val="20"/>
                <w:szCs w:val="20"/>
                <w:lang w:val="en-US"/>
              </w:rPr>
              <m:t>140648400</m:t>
            </m:r>
          </m:den>
        </m:f>
        <m:r>
          <w:rPr>
            <w:rFonts w:ascii="Cambria Math" w:hAnsi="Cambria Math" w:cs="Times New Roman"/>
            <w:sz w:val="20"/>
            <w:szCs w:val="20"/>
            <w:lang w:val="en-US"/>
          </w:rPr>
          <m:t>≈7.1 years</m:t>
        </m:r>
      </m:oMath>
      <w:r>
        <w:rPr>
          <w:rFonts w:ascii="Times New Roman" w:eastAsiaTheme="minorEastAsia" w:hAnsi="Times New Roman" w:cs="Times New Roman"/>
          <w:sz w:val="20"/>
          <w:szCs w:val="20"/>
          <w:lang w:val="en-US"/>
        </w:rPr>
        <w:t xml:space="preserve">                                                           (6)</w:t>
      </w:r>
    </w:p>
    <w:p w14:paraId="1F5B7DBB" w14:textId="426B51AB"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According to the new tariffs of 2025, income increases to A=155</w:t>
      </w:r>
      <w:r w:rsidR="00225B4C">
        <w:rPr>
          <w:rFonts w:ascii="Times New Roman" w:eastAsia="Times New Roman" w:hAnsi="Times New Roman" w:cs="Times New Roman"/>
          <w:kern w:val="0"/>
          <w:sz w:val="20"/>
          <w:szCs w:val="20"/>
          <w:lang w:val="en-US" w:eastAsia="ru-RU"/>
          <w14:ligatures w14:val="none"/>
        </w:rPr>
        <w:t> </w:t>
      </w:r>
      <w:r w:rsidRPr="00B34A03">
        <w:rPr>
          <w:rFonts w:ascii="Times New Roman" w:eastAsia="Times New Roman" w:hAnsi="Times New Roman" w:cs="Times New Roman"/>
          <w:kern w:val="0"/>
          <w:sz w:val="20"/>
          <w:szCs w:val="20"/>
          <w:lang w:val="en-US" w:eastAsia="ru-RU"/>
          <w14:ligatures w14:val="none"/>
        </w:rPr>
        <w:t>000</w:t>
      </w:r>
      <w:r w:rsidR="00225B4C" w:rsidRPr="00225B4C">
        <w:rPr>
          <w:rFonts w:ascii="Times New Roman" w:eastAsia="Times New Roman" w:hAnsi="Times New Roman" w:cs="Times New Roman"/>
          <w:kern w:val="0"/>
          <w:sz w:val="20"/>
          <w:szCs w:val="20"/>
          <w:lang w:val="en-US" w:eastAsia="ru-RU"/>
          <w14:ligatures w14:val="none"/>
        </w:rPr>
        <w:t xml:space="preserve"> </w:t>
      </w:r>
      <w:r w:rsidRPr="00B34A03">
        <w:rPr>
          <w:rFonts w:ascii="Times New Roman" w:eastAsia="Times New Roman" w:hAnsi="Times New Roman" w:cs="Times New Roman"/>
          <w:kern w:val="0"/>
          <w:sz w:val="20"/>
          <w:szCs w:val="20"/>
          <w:lang w:val="en-US" w:eastAsia="ru-RU"/>
          <w14:ligatures w14:val="none"/>
        </w:rPr>
        <w:t>000 UZS. In this case:</w:t>
      </w:r>
    </w:p>
    <w:p w14:paraId="24C66DE4" w14:textId="7601BBDB" w:rsidR="0021267C" w:rsidRPr="0021267C" w:rsidRDefault="0086609B" w:rsidP="0086609B">
      <w:pPr>
        <w:spacing w:before="120" w:after="120" w:line="240" w:lineRule="auto"/>
        <w:jc w:val="right"/>
        <w:rPr>
          <w:rFonts w:ascii="Times New Roman" w:hAnsi="Times New Roman" w:cs="Times New Roman"/>
          <w:sz w:val="20"/>
          <w:szCs w:val="20"/>
          <w:lang w:val="en-US"/>
        </w:rPr>
      </w:pPr>
      <w:r>
        <w:rPr>
          <w:rFonts w:ascii="Times New Roman" w:eastAsia="Times New Roman" w:hAnsi="Times New Roman" w:cs="Times New Roman"/>
          <w:sz w:val="20"/>
          <w:szCs w:val="20"/>
          <w:lang w:val="en-US"/>
        </w:rPr>
        <w:t xml:space="preserve">      </w:t>
      </w:r>
      <m:oMath>
        <m:r>
          <w:rPr>
            <w:rFonts w:ascii="Cambria Math" w:hAnsi="Cambria Math" w:cs="Times New Roman"/>
            <w:sz w:val="20"/>
            <w:szCs w:val="20"/>
            <w:lang w:val="en-US"/>
          </w:rPr>
          <m:t>T=</m:t>
        </m:r>
        <m:f>
          <m:fPr>
            <m:ctrlPr>
              <w:rPr>
                <w:rFonts w:ascii="Cambria Math" w:hAnsi="Cambria Math" w:cs="Times New Roman"/>
                <w:i/>
                <w:sz w:val="20"/>
                <w:szCs w:val="20"/>
                <w:lang w:val="en-US"/>
              </w:rPr>
            </m:ctrlPr>
          </m:fPr>
          <m:num>
            <m:r>
              <w:rPr>
                <w:rFonts w:ascii="Cambria Math" w:hAnsi="Cambria Math" w:cs="Times New Roman"/>
                <w:sz w:val="20"/>
                <w:szCs w:val="20"/>
                <w:lang w:val="en-US"/>
              </w:rPr>
              <m:t>1000000000</m:t>
            </m:r>
          </m:num>
          <m:den>
            <m:r>
              <w:rPr>
                <w:rFonts w:ascii="Cambria Math" w:hAnsi="Cambria Math" w:cs="Times New Roman"/>
                <w:sz w:val="20"/>
                <w:szCs w:val="20"/>
                <w:lang w:val="en-US"/>
              </w:rPr>
              <m:t>155000000</m:t>
            </m:r>
          </m:den>
        </m:f>
        <m:r>
          <w:rPr>
            <w:rFonts w:ascii="Cambria Math" w:hAnsi="Cambria Math" w:cs="Times New Roman"/>
            <w:sz w:val="20"/>
            <w:szCs w:val="20"/>
            <w:lang w:val="en-US"/>
          </w:rPr>
          <m:t>≈6.5 years</m:t>
        </m:r>
      </m:oMath>
      <w:r>
        <w:rPr>
          <w:rFonts w:ascii="Times New Roman" w:eastAsiaTheme="minorEastAsia" w:hAnsi="Times New Roman" w:cs="Times New Roman"/>
          <w:sz w:val="20"/>
          <w:szCs w:val="20"/>
          <w:lang w:val="en-US"/>
        </w:rPr>
        <w:t xml:space="preserve">                                                          (7)</w:t>
      </w:r>
    </w:p>
    <w:p w14:paraId="16225B34" w14:textId="3F11A98A" w:rsidR="0021267C" w:rsidRPr="0021267C" w:rsidRDefault="00A654DA" w:rsidP="00F93EE1">
      <w:pPr>
        <w:pStyle w:val="a7"/>
        <w:numPr>
          <w:ilvl w:val="0"/>
          <w:numId w:val="29"/>
        </w:numPr>
        <w:tabs>
          <w:tab w:val="clear" w:pos="720"/>
          <w:tab w:val="num" w:pos="360"/>
          <w:tab w:val="left" w:pos="567"/>
        </w:tabs>
        <w:spacing w:after="0" w:line="240" w:lineRule="auto"/>
        <w:ind w:left="0" w:firstLine="284"/>
        <w:jc w:val="both"/>
        <w:rPr>
          <w:rFonts w:ascii="Times New Roman" w:eastAsia="Times New Roman" w:hAnsi="Times New Roman" w:cs="Times New Roman"/>
          <w:b/>
          <w:bCs/>
          <w:kern w:val="0"/>
          <w:sz w:val="20"/>
          <w:szCs w:val="20"/>
          <w:lang w:val="en-US" w:eastAsia="ru-RU"/>
          <w14:ligatures w14:val="none"/>
        </w:rPr>
      </w:pPr>
      <w:r w:rsidRPr="0021267C">
        <w:rPr>
          <w:rFonts w:ascii="Times New Roman" w:eastAsia="Times New Roman" w:hAnsi="Times New Roman" w:cs="Times New Roman"/>
          <w:b/>
          <w:bCs/>
          <w:kern w:val="0"/>
          <w:sz w:val="20"/>
          <w:szCs w:val="20"/>
          <w:lang w:val="en-US" w:eastAsia="ru-RU"/>
          <w14:ligatures w14:val="none"/>
        </w:rPr>
        <w:t>Net Present Value (NPV):</w:t>
      </w:r>
    </w:p>
    <w:p w14:paraId="48CF53EF" w14:textId="19B6BC38" w:rsidR="00A654DA" w:rsidRPr="0021267C" w:rsidRDefault="00172037" w:rsidP="00F93EE1">
      <w:pPr>
        <w:pStyle w:val="a7"/>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172037">
        <w:rPr>
          <w:rFonts w:ascii="Times New Roman" w:hAnsi="Times New Roman" w:cs="Times New Roman"/>
          <w:sz w:val="20"/>
          <w:lang w:val="en-US"/>
        </w:rPr>
        <w:t>Net Present Value calculates the present-day value of anticipated future cash flows by applying a discount rate</w:t>
      </w:r>
      <w:r w:rsidR="00A654DA" w:rsidRPr="0021267C">
        <w:rPr>
          <w:rFonts w:ascii="Times New Roman" w:eastAsia="Times New Roman" w:hAnsi="Times New Roman" w:cs="Times New Roman"/>
          <w:kern w:val="0"/>
          <w:sz w:val="20"/>
          <w:szCs w:val="20"/>
          <w:lang w:val="en-US" w:eastAsia="ru-RU"/>
          <w14:ligatures w14:val="none"/>
        </w:rPr>
        <w:t>. The formula is:</w:t>
      </w:r>
    </w:p>
    <w:p w14:paraId="05081950" w14:textId="6B9545D4" w:rsidR="00635626" w:rsidRPr="00635626" w:rsidRDefault="00635626" w:rsidP="00F93EE1">
      <w:pPr>
        <w:spacing w:before="120" w:after="120" w:line="240" w:lineRule="auto"/>
        <w:jc w:val="right"/>
        <w:rPr>
          <w:rFonts w:ascii="Times New Roman" w:hAnsi="Times New Roman" w:cs="Times New Roman"/>
          <w:sz w:val="20"/>
          <w:szCs w:val="20"/>
          <w:lang w:val="en-US"/>
        </w:rPr>
      </w:pPr>
      <m:oMath>
        <m:r>
          <w:rPr>
            <w:rFonts w:ascii="Cambria Math" w:hAnsi="Cambria Math" w:cs="Times New Roman"/>
            <w:sz w:val="20"/>
            <w:szCs w:val="20"/>
            <w:lang w:val="en-US"/>
          </w:rPr>
          <m:t>NPV=</m:t>
        </m:r>
        <m:nary>
          <m:naryPr>
            <m:chr m:val="∑"/>
            <m:limLoc m:val="undOvr"/>
            <m:ctrlPr>
              <w:rPr>
                <w:rFonts w:ascii="Cambria Math" w:hAnsi="Cambria Math" w:cs="Times New Roman"/>
                <w:i/>
                <w:sz w:val="20"/>
                <w:szCs w:val="20"/>
                <w:lang w:val="en-US"/>
              </w:rPr>
            </m:ctrlPr>
          </m:naryPr>
          <m:sub>
            <m:r>
              <w:rPr>
                <w:rFonts w:ascii="Cambria Math" w:hAnsi="Cambria Math" w:cs="Times New Roman"/>
                <w:sz w:val="20"/>
                <w:szCs w:val="20"/>
                <w:lang w:val="en-US"/>
              </w:rPr>
              <m:t>t=1</m:t>
            </m:r>
          </m:sub>
          <m:sup>
            <m:r>
              <w:rPr>
                <w:rFonts w:ascii="Cambria Math" w:hAnsi="Cambria Math" w:cs="Times New Roman"/>
                <w:sz w:val="20"/>
                <w:szCs w:val="20"/>
                <w:lang w:val="en-US"/>
              </w:rPr>
              <m:t>n</m:t>
            </m:r>
          </m:sup>
          <m:e>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t</m:t>
                    </m:r>
                  </m:sub>
                </m:sSub>
              </m:num>
              <m:den>
                <m:sSup>
                  <m:sSupPr>
                    <m:ctrlPr>
                      <w:rPr>
                        <w:rFonts w:ascii="Cambria Math" w:hAnsi="Cambria Math" w:cs="Times New Roman"/>
                        <w:i/>
                        <w:sz w:val="20"/>
                        <w:szCs w:val="20"/>
                        <w:lang w:val="en-US"/>
                      </w:rPr>
                    </m:ctrlPr>
                  </m:sSupPr>
                  <m:e>
                    <m:r>
                      <w:rPr>
                        <w:rFonts w:ascii="Cambria Math" w:hAnsi="Cambria Math" w:cs="Times New Roman"/>
                        <w:sz w:val="20"/>
                        <w:szCs w:val="20"/>
                        <w:lang w:val="en-US"/>
                      </w:rPr>
                      <m:t>(1+r)</m:t>
                    </m:r>
                  </m:e>
                  <m:sup>
                    <m:r>
                      <w:rPr>
                        <w:rFonts w:ascii="Cambria Math" w:hAnsi="Cambria Math" w:cs="Times New Roman"/>
                        <w:sz w:val="20"/>
                        <w:szCs w:val="20"/>
                        <w:lang w:val="en-US"/>
                      </w:rPr>
                      <m:t>t</m:t>
                    </m:r>
                  </m:sup>
                </m:sSup>
              </m:den>
            </m:f>
            <m:r>
              <w:rPr>
                <w:rFonts w:ascii="Cambria Math" w:hAnsi="Cambria Math" w:cs="Times New Roman"/>
                <w:sz w:val="20"/>
                <w:szCs w:val="20"/>
                <w:lang w:val="en-US"/>
              </w:rPr>
              <m:t>-I</m:t>
            </m:r>
          </m:e>
        </m:nary>
      </m:oMath>
      <w:r w:rsidR="00F93EE1">
        <w:rPr>
          <w:rFonts w:ascii="Times New Roman" w:eastAsiaTheme="minorEastAsia" w:hAnsi="Times New Roman" w:cs="Times New Roman"/>
          <w:sz w:val="20"/>
          <w:szCs w:val="20"/>
          <w:lang w:val="en-US"/>
        </w:rPr>
        <w:t xml:space="preserve"> </w:t>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t>(</w:t>
      </w:r>
      <w:r w:rsidR="0086609B">
        <w:rPr>
          <w:rFonts w:ascii="Times New Roman" w:eastAsiaTheme="minorEastAsia" w:hAnsi="Times New Roman" w:cs="Times New Roman"/>
          <w:sz w:val="20"/>
          <w:szCs w:val="20"/>
          <w:lang w:val="en-US"/>
        </w:rPr>
        <w:t>8</w:t>
      </w:r>
      <w:r w:rsidR="00F93EE1">
        <w:rPr>
          <w:rFonts w:ascii="Times New Roman" w:eastAsiaTheme="minorEastAsia" w:hAnsi="Times New Roman" w:cs="Times New Roman"/>
          <w:sz w:val="20"/>
          <w:szCs w:val="20"/>
          <w:lang w:val="en-US"/>
        </w:rPr>
        <w:t>)</w:t>
      </w:r>
    </w:p>
    <w:p w14:paraId="31295F14" w14:textId="748CE9A9" w:rsidR="00A654DA" w:rsidRPr="00F93EE1" w:rsidRDefault="00F93EE1" w:rsidP="00F93EE1">
      <w:pPr>
        <w:spacing w:after="0" w:line="240" w:lineRule="auto"/>
        <w:jc w:val="both"/>
        <w:rPr>
          <w:rFonts w:ascii="Times New Roman" w:eastAsia="Times New Roman" w:hAnsi="Times New Roman" w:cs="Times New Roman"/>
          <w:kern w:val="0"/>
          <w:sz w:val="20"/>
          <w:szCs w:val="20"/>
          <w:lang w:val="en-US" w:eastAsia="ru-RU"/>
          <w14:ligatures w14:val="none"/>
        </w:rPr>
      </w:pPr>
      <w:r>
        <w:rPr>
          <w:rFonts w:ascii="Times New Roman" w:eastAsia="Times New Roman" w:hAnsi="Times New Roman" w:cs="Times New Roman"/>
          <w:kern w:val="0"/>
          <w:sz w:val="20"/>
          <w:szCs w:val="20"/>
          <w:lang w:val="en-US" w:eastAsia="ru-RU"/>
          <w14:ligatures w14:val="none"/>
        </w:rPr>
        <w:t>w</w:t>
      </w:r>
      <w:r w:rsidR="00A654DA" w:rsidRPr="00F93EE1">
        <w:rPr>
          <w:rFonts w:ascii="Times New Roman" w:eastAsia="Times New Roman" w:hAnsi="Times New Roman" w:cs="Times New Roman"/>
          <w:kern w:val="0"/>
          <w:sz w:val="20"/>
          <w:szCs w:val="20"/>
          <w:lang w:val="en-US" w:eastAsia="ru-RU"/>
          <w14:ligatures w14:val="none"/>
        </w:rPr>
        <w:t>here:</w:t>
      </w:r>
      <w:r>
        <w:rPr>
          <w:rFonts w:ascii="Times New Roman" w:eastAsia="Times New Roman" w:hAnsi="Times New Roman" w:cs="Times New Roman"/>
          <w:kern w:val="0"/>
          <w:sz w:val="20"/>
          <w:szCs w:val="20"/>
          <w:lang w:val="en-US" w:eastAsia="ru-RU"/>
          <w14:ligatures w14:val="none"/>
        </w:rPr>
        <w:t xml:space="preserve"> </w:t>
      </w:r>
      <w:r w:rsidR="00283BFA" w:rsidRPr="00635626">
        <w:rPr>
          <w:rFonts w:ascii="Times New Roman" w:hAnsi="Times New Roman" w:cs="Times New Roman"/>
          <w:sz w:val="20"/>
          <w:szCs w:val="20"/>
          <w:lang w:val="en-US"/>
        </w:rPr>
        <w:t>R</w:t>
      </w:r>
      <w:r w:rsidR="00283BFA" w:rsidRPr="00635626">
        <w:rPr>
          <w:rFonts w:ascii="Times New Roman" w:hAnsi="Times New Roman" w:cs="Times New Roman"/>
          <w:sz w:val="20"/>
          <w:szCs w:val="20"/>
          <w:vertAlign w:val="subscript"/>
          <w:lang w:val="en-US"/>
        </w:rPr>
        <w:t>t</w:t>
      </w:r>
      <w:r w:rsidR="00283BFA" w:rsidRPr="00B34A03">
        <w:rPr>
          <w:rFonts w:ascii="Times New Roman" w:eastAsia="Times New Roman" w:hAnsi="Times New Roman" w:cs="Times New Roman"/>
          <w:kern w:val="0"/>
          <w:sz w:val="20"/>
          <w:szCs w:val="20"/>
          <w:lang w:val="en-US" w:eastAsia="ru-RU"/>
          <w14:ligatures w14:val="none"/>
        </w:rPr>
        <w:t xml:space="preserve"> </w:t>
      </w:r>
      <w:r w:rsidR="00283BFA">
        <w:rPr>
          <w:rFonts w:ascii="Times New Roman" w:eastAsia="Times New Roman" w:hAnsi="Times New Roman" w:cs="Times New Roman"/>
          <w:kern w:val="0"/>
          <w:sz w:val="20"/>
          <w:szCs w:val="20"/>
          <w:lang w:val="en-US" w:eastAsia="ru-RU"/>
          <w14:ligatures w14:val="none"/>
        </w:rPr>
        <w:t xml:space="preserve">- </w:t>
      </w:r>
      <w:r w:rsidR="00A654DA" w:rsidRPr="00B34A03">
        <w:rPr>
          <w:rFonts w:ascii="Times New Roman" w:eastAsia="Times New Roman" w:hAnsi="Times New Roman" w:cs="Times New Roman"/>
          <w:kern w:val="0"/>
          <w:sz w:val="20"/>
          <w:szCs w:val="20"/>
          <w:lang w:val="en-US" w:eastAsia="ru-RU"/>
          <w14:ligatures w14:val="none"/>
        </w:rPr>
        <w:t>t — income in year</w:t>
      </w:r>
      <w:r>
        <w:rPr>
          <w:rFonts w:ascii="Times New Roman" w:eastAsia="Times New Roman" w:hAnsi="Times New Roman" w:cs="Times New Roman"/>
          <w:kern w:val="0"/>
          <w:sz w:val="20"/>
          <w:szCs w:val="20"/>
          <w:lang w:val="en-US" w:eastAsia="ru-RU"/>
          <w14:ligatures w14:val="none"/>
        </w:rPr>
        <w:t xml:space="preserve">; </w:t>
      </w:r>
      <w:r w:rsidR="00A654DA" w:rsidRPr="00B34A03">
        <w:rPr>
          <w:rFonts w:ascii="Times New Roman" w:eastAsia="Times New Roman" w:hAnsi="Times New Roman" w:cs="Times New Roman"/>
          <w:kern w:val="0"/>
          <w:sz w:val="20"/>
          <w:szCs w:val="20"/>
          <w:lang w:val="en-US" w:eastAsia="ru-RU"/>
          <w14:ligatures w14:val="none"/>
        </w:rPr>
        <w:t>r — discount rate (annual percentage)</w:t>
      </w:r>
      <w:r>
        <w:rPr>
          <w:rFonts w:ascii="Times New Roman" w:eastAsia="Times New Roman" w:hAnsi="Times New Roman" w:cs="Times New Roman"/>
          <w:kern w:val="0"/>
          <w:sz w:val="20"/>
          <w:szCs w:val="20"/>
          <w:lang w:val="en-US" w:eastAsia="ru-RU"/>
          <w14:ligatures w14:val="none"/>
        </w:rPr>
        <w:t xml:space="preserve">; </w:t>
      </w:r>
      <w:r w:rsidR="00A654DA" w:rsidRPr="00F93EE1">
        <w:rPr>
          <w:rFonts w:ascii="Times New Roman" w:eastAsia="Times New Roman" w:hAnsi="Times New Roman" w:cs="Times New Roman"/>
          <w:kern w:val="0"/>
          <w:sz w:val="20"/>
          <w:szCs w:val="20"/>
          <w:lang w:val="en-US" w:eastAsia="ru-RU"/>
          <w14:ligatures w14:val="none"/>
        </w:rPr>
        <w:t>t — time period (years)</w:t>
      </w:r>
      <w:r>
        <w:rPr>
          <w:rFonts w:ascii="Times New Roman" w:eastAsia="Times New Roman" w:hAnsi="Times New Roman" w:cs="Times New Roman"/>
          <w:kern w:val="0"/>
          <w:sz w:val="20"/>
          <w:szCs w:val="20"/>
          <w:lang w:val="en-US" w:eastAsia="ru-RU"/>
          <w14:ligatures w14:val="none"/>
        </w:rPr>
        <w:t xml:space="preserve">; </w:t>
      </w:r>
      <w:r w:rsidR="00A654DA" w:rsidRPr="00F93EE1">
        <w:rPr>
          <w:rFonts w:ascii="Times New Roman" w:eastAsia="Times New Roman" w:hAnsi="Times New Roman" w:cs="Times New Roman"/>
          <w:kern w:val="0"/>
          <w:sz w:val="20"/>
          <w:szCs w:val="20"/>
          <w:lang w:val="en-US" w:eastAsia="ru-RU"/>
          <w14:ligatures w14:val="none"/>
        </w:rPr>
        <w:t>n — project duration (years)</w:t>
      </w:r>
      <w:r>
        <w:rPr>
          <w:rFonts w:ascii="Times New Roman" w:eastAsia="Times New Roman" w:hAnsi="Times New Roman" w:cs="Times New Roman"/>
          <w:kern w:val="0"/>
          <w:sz w:val="20"/>
          <w:szCs w:val="20"/>
          <w:lang w:val="en-US" w:eastAsia="ru-RU"/>
          <w14:ligatures w14:val="none"/>
        </w:rPr>
        <w:t xml:space="preserve">; </w:t>
      </w:r>
      <w:r w:rsidR="00A654DA" w:rsidRPr="00F93EE1">
        <w:rPr>
          <w:rFonts w:ascii="Times New Roman" w:eastAsia="Times New Roman" w:hAnsi="Times New Roman" w:cs="Times New Roman"/>
          <w:kern w:val="0"/>
          <w:sz w:val="20"/>
          <w:szCs w:val="20"/>
          <w:lang w:val="en-US" w:eastAsia="ru-RU"/>
          <w14:ligatures w14:val="none"/>
        </w:rPr>
        <w:t>I — initial investment amount.</w:t>
      </w:r>
    </w:p>
    <w:p w14:paraId="7C16938A" w14:textId="09270468" w:rsidR="00283BFA" w:rsidRPr="00283BFA" w:rsidRDefault="00A654DA" w:rsidP="00F93EE1">
      <w:pPr>
        <w:pStyle w:val="a7"/>
        <w:numPr>
          <w:ilvl w:val="0"/>
          <w:numId w:val="29"/>
        </w:numPr>
        <w:tabs>
          <w:tab w:val="clear" w:pos="720"/>
          <w:tab w:val="num" w:pos="360"/>
          <w:tab w:val="left" w:pos="567"/>
        </w:tabs>
        <w:spacing w:after="0" w:line="240" w:lineRule="auto"/>
        <w:ind w:left="0" w:firstLine="284"/>
        <w:jc w:val="both"/>
        <w:rPr>
          <w:rFonts w:ascii="Times New Roman" w:eastAsia="Times New Roman" w:hAnsi="Times New Roman" w:cs="Times New Roman"/>
          <w:b/>
          <w:bCs/>
          <w:kern w:val="0"/>
          <w:sz w:val="20"/>
          <w:szCs w:val="20"/>
          <w:lang w:val="en-US" w:eastAsia="ru-RU"/>
          <w14:ligatures w14:val="none"/>
        </w:rPr>
      </w:pPr>
      <w:r w:rsidRPr="00283BFA">
        <w:rPr>
          <w:rFonts w:ascii="Times New Roman" w:eastAsia="Times New Roman" w:hAnsi="Times New Roman" w:cs="Times New Roman"/>
          <w:b/>
          <w:bCs/>
          <w:kern w:val="0"/>
          <w:sz w:val="20"/>
          <w:szCs w:val="20"/>
          <w:lang w:val="en-US" w:eastAsia="ru-RU"/>
          <w14:ligatures w14:val="none"/>
        </w:rPr>
        <w:t>Internal Rate of Return (IRR)</w:t>
      </w:r>
    </w:p>
    <w:p w14:paraId="4DD87E4D" w14:textId="3E608C42" w:rsidR="00A654DA" w:rsidRPr="00283BFA" w:rsidRDefault="00172037" w:rsidP="00F93EE1">
      <w:pPr>
        <w:pStyle w:val="a7"/>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172037">
        <w:rPr>
          <w:rFonts w:ascii="Times New Roman" w:hAnsi="Times New Roman" w:cs="Times New Roman"/>
          <w:sz w:val="20"/>
          <w:lang w:val="en-US"/>
        </w:rPr>
        <w:t>The Internal Rate of Return (IRR) is a metric used to evaluate the profitability of a project. It is found by identifying the discount rate that reduces the Net Present Value (NPV) to zero</w:t>
      </w:r>
      <w:r w:rsidR="00A654DA" w:rsidRPr="00283BFA">
        <w:rPr>
          <w:rFonts w:ascii="Times New Roman" w:eastAsia="Times New Roman" w:hAnsi="Times New Roman" w:cs="Times New Roman"/>
          <w:kern w:val="0"/>
          <w:sz w:val="20"/>
          <w:szCs w:val="20"/>
          <w:lang w:val="en-US" w:eastAsia="ru-RU"/>
          <w14:ligatures w14:val="none"/>
        </w:rPr>
        <w:t>:</w:t>
      </w:r>
    </w:p>
    <w:p w14:paraId="7F2C557E" w14:textId="44091321" w:rsidR="00283BFA" w:rsidRPr="00283BFA" w:rsidRDefault="00283BFA" w:rsidP="00F93EE1">
      <w:pPr>
        <w:spacing w:before="120" w:after="120" w:line="240" w:lineRule="auto"/>
        <w:jc w:val="right"/>
        <w:rPr>
          <w:rFonts w:ascii="Times New Roman" w:hAnsi="Times New Roman" w:cs="Times New Roman"/>
          <w:sz w:val="20"/>
          <w:szCs w:val="20"/>
          <w:lang w:val="en-US"/>
        </w:rPr>
      </w:pPr>
      <m:oMath>
        <m:r>
          <w:rPr>
            <w:rFonts w:ascii="Cambria Math" w:hAnsi="Cambria Math" w:cs="Times New Roman"/>
            <w:sz w:val="20"/>
            <w:szCs w:val="20"/>
            <w:lang w:val="en-US"/>
          </w:rPr>
          <m:t>0=</m:t>
        </m:r>
        <m:nary>
          <m:naryPr>
            <m:chr m:val="∑"/>
            <m:limLoc m:val="undOvr"/>
            <m:ctrlPr>
              <w:rPr>
                <w:rFonts w:ascii="Cambria Math" w:hAnsi="Cambria Math" w:cs="Times New Roman"/>
                <w:i/>
                <w:sz w:val="20"/>
                <w:szCs w:val="20"/>
                <w:lang w:val="en-US"/>
              </w:rPr>
            </m:ctrlPr>
          </m:naryPr>
          <m:sub>
            <m:r>
              <w:rPr>
                <w:rFonts w:ascii="Cambria Math" w:hAnsi="Cambria Math" w:cs="Times New Roman"/>
                <w:sz w:val="20"/>
                <w:szCs w:val="20"/>
                <w:lang w:val="en-US"/>
              </w:rPr>
              <m:t>t=1</m:t>
            </m:r>
          </m:sub>
          <m:sup>
            <m:r>
              <w:rPr>
                <w:rFonts w:ascii="Cambria Math" w:hAnsi="Cambria Math" w:cs="Times New Roman"/>
                <w:sz w:val="20"/>
                <w:szCs w:val="20"/>
                <w:lang w:val="en-US"/>
              </w:rPr>
              <m:t>n</m:t>
            </m:r>
          </m:sup>
          <m:e>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t</m:t>
                    </m:r>
                  </m:sub>
                </m:sSub>
              </m:num>
              <m:den>
                <m:sSup>
                  <m:sSupPr>
                    <m:ctrlPr>
                      <w:rPr>
                        <w:rFonts w:ascii="Cambria Math" w:hAnsi="Cambria Math" w:cs="Times New Roman"/>
                        <w:i/>
                        <w:sz w:val="20"/>
                        <w:szCs w:val="20"/>
                        <w:lang w:val="en-US"/>
                      </w:rPr>
                    </m:ctrlPr>
                  </m:sSupPr>
                  <m:e>
                    <m:r>
                      <w:rPr>
                        <w:rFonts w:ascii="Cambria Math" w:hAnsi="Cambria Math" w:cs="Times New Roman"/>
                        <w:sz w:val="20"/>
                        <w:szCs w:val="20"/>
                        <w:lang w:val="en-US"/>
                      </w:rPr>
                      <m:t>(1+IRR)</m:t>
                    </m:r>
                  </m:e>
                  <m:sup>
                    <m:r>
                      <w:rPr>
                        <w:rFonts w:ascii="Cambria Math" w:hAnsi="Cambria Math" w:cs="Times New Roman"/>
                        <w:sz w:val="20"/>
                        <w:szCs w:val="20"/>
                        <w:lang w:val="en-US"/>
                      </w:rPr>
                      <m:t>t</m:t>
                    </m:r>
                  </m:sup>
                </m:sSup>
              </m:den>
            </m:f>
            <m:r>
              <w:rPr>
                <w:rFonts w:ascii="Cambria Math" w:hAnsi="Cambria Math" w:cs="Times New Roman"/>
                <w:sz w:val="20"/>
                <w:szCs w:val="20"/>
                <w:lang w:val="en-US"/>
              </w:rPr>
              <m:t>-I</m:t>
            </m:r>
          </m:e>
        </m:nary>
      </m:oMath>
      <w:r w:rsidR="00F93EE1">
        <w:rPr>
          <w:rFonts w:ascii="Times New Roman" w:eastAsiaTheme="minorEastAsia" w:hAnsi="Times New Roman" w:cs="Times New Roman"/>
          <w:sz w:val="20"/>
          <w:szCs w:val="20"/>
          <w:lang w:val="en-US"/>
        </w:rPr>
        <w:t xml:space="preserve"> </w:t>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t>(</w:t>
      </w:r>
      <w:r w:rsidR="0086609B">
        <w:rPr>
          <w:rFonts w:ascii="Times New Roman" w:eastAsiaTheme="minorEastAsia" w:hAnsi="Times New Roman" w:cs="Times New Roman"/>
          <w:sz w:val="20"/>
          <w:szCs w:val="20"/>
          <w:lang w:val="en-US"/>
        </w:rPr>
        <w:t>9</w:t>
      </w:r>
      <w:r w:rsidR="00F93EE1">
        <w:rPr>
          <w:rFonts w:ascii="Times New Roman" w:eastAsiaTheme="minorEastAsia" w:hAnsi="Times New Roman" w:cs="Times New Roman"/>
          <w:sz w:val="20"/>
          <w:szCs w:val="20"/>
          <w:lang w:val="en-US"/>
        </w:rPr>
        <w:t>)</w:t>
      </w:r>
    </w:p>
    <w:p w14:paraId="095BAF7C" w14:textId="24A2D71B" w:rsidR="00A654DA" w:rsidRPr="00172037" w:rsidRDefault="00172037"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172037">
        <w:rPr>
          <w:rFonts w:ascii="Times New Roman" w:hAnsi="Times New Roman" w:cs="Times New Roman"/>
          <w:sz w:val="20"/>
          <w:szCs w:val="20"/>
          <w:lang w:val="en-US"/>
        </w:rPr>
        <w:t>A project is deemed economically viable if its IRR exceeds the discount rate</w:t>
      </w:r>
      <w:r w:rsidR="00A654DA" w:rsidRPr="00172037">
        <w:rPr>
          <w:rFonts w:ascii="Times New Roman" w:eastAsia="Times New Roman" w:hAnsi="Times New Roman" w:cs="Times New Roman"/>
          <w:kern w:val="0"/>
          <w:sz w:val="20"/>
          <w:szCs w:val="20"/>
          <w:lang w:val="en-US" w:eastAsia="ru-RU"/>
          <w14:ligatures w14:val="none"/>
        </w:rPr>
        <w:t>.</w:t>
      </w:r>
    </w:p>
    <w:p w14:paraId="5BC5D694" w14:textId="4FC5D5A3" w:rsidR="00283BFA" w:rsidRPr="00283BFA" w:rsidRDefault="00A654DA" w:rsidP="00F93EE1">
      <w:pPr>
        <w:pStyle w:val="a7"/>
        <w:numPr>
          <w:ilvl w:val="0"/>
          <w:numId w:val="29"/>
        </w:numPr>
        <w:tabs>
          <w:tab w:val="clear" w:pos="720"/>
          <w:tab w:val="num" w:pos="360"/>
          <w:tab w:val="left" w:pos="567"/>
        </w:tabs>
        <w:spacing w:after="0" w:line="240" w:lineRule="auto"/>
        <w:ind w:left="0" w:firstLine="284"/>
        <w:jc w:val="both"/>
        <w:rPr>
          <w:rFonts w:ascii="Times New Roman" w:eastAsia="Times New Roman" w:hAnsi="Times New Roman" w:cs="Times New Roman"/>
          <w:b/>
          <w:bCs/>
          <w:kern w:val="0"/>
          <w:sz w:val="20"/>
          <w:szCs w:val="20"/>
          <w:lang w:val="en-US" w:eastAsia="ru-RU"/>
          <w14:ligatures w14:val="none"/>
        </w:rPr>
      </w:pPr>
      <w:r w:rsidRPr="00283BFA">
        <w:rPr>
          <w:rFonts w:ascii="Times New Roman" w:eastAsia="Times New Roman" w:hAnsi="Times New Roman" w:cs="Times New Roman"/>
          <w:b/>
          <w:bCs/>
          <w:kern w:val="0"/>
          <w:sz w:val="20"/>
          <w:szCs w:val="20"/>
          <w:lang w:val="en-US" w:eastAsia="ru-RU"/>
          <w14:ligatures w14:val="none"/>
        </w:rPr>
        <w:t>Revenues and Operating Costs</w:t>
      </w:r>
    </w:p>
    <w:p w14:paraId="36BBFA11" w14:textId="2328864C" w:rsidR="00A654DA" w:rsidRPr="00283BFA" w:rsidRDefault="00A654DA" w:rsidP="00F93EE1">
      <w:pPr>
        <w:pStyle w:val="a7"/>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283BFA">
        <w:rPr>
          <w:rFonts w:ascii="Times New Roman" w:eastAsia="Times New Roman" w:hAnsi="Times New Roman" w:cs="Times New Roman"/>
          <w:kern w:val="0"/>
          <w:sz w:val="20"/>
          <w:szCs w:val="20"/>
          <w:lang w:val="en-US" w:eastAsia="ru-RU"/>
          <w14:ligatures w14:val="none"/>
        </w:rPr>
        <w:t>Project revenues are calculated based on the value of the electricity produced by the solar power plant. Tiered tariffs are applied according to the following formula:</w:t>
      </w:r>
    </w:p>
    <w:p w14:paraId="3DDEF669" w14:textId="409A2210" w:rsidR="00283BFA" w:rsidRPr="00283BFA" w:rsidRDefault="00283BFA" w:rsidP="00F93EE1">
      <w:pPr>
        <w:spacing w:before="120" w:after="120" w:line="240" w:lineRule="auto"/>
        <w:jc w:val="right"/>
        <w:rPr>
          <w:rFonts w:ascii="Times New Roman" w:hAnsi="Times New Roman" w:cs="Times New Roman"/>
          <w:sz w:val="20"/>
          <w:szCs w:val="20"/>
          <w:lang w:val="en-US"/>
        </w:rPr>
      </w:pPr>
      <m:oMath>
        <m:r>
          <w:rPr>
            <w:rFonts w:ascii="Cambria Math" w:hAnsi="Cambria Math" w:cs="Times New Roman"/>
            <w:sz w:val="20"/>
            <w:szCs w:val="20"/>
            <w:lang w:val="en-US"/>
          </w:rPr>
          <m:t>D=</m:t>
        </m:r>
        <m:nary>
          <m:naryPr>
            <m:chr m:val="∑"/>
            <m:limLoc m:val="undOvr"/>
            <m:ctrlPr>
              <w:rPr>
                <w:rFonts w:ascii="Cambria Math" w:hAnsi="Cambria Math" w:cs="Times New Roman"/>
                <w:i/>
                <w:sz w:val="20"/>
                <w:szCs w:val="20"/>
                <w:lang w:val="en-US"/>
              </w:rPr>
            </m:ctrlPr>
          </m:naryPr>
          <m:sub>
            <m:r>
              <w:rPr>
                <w:rFonts w:ascii="Cambria Math" w:hAnsi="Cambria Math" w:cs="Times New Roman"/>
                <w:sz w:val="20"/>
                <w:szCs w:val="20"/>
                <w:lang w:val="en-US"/>
              </w:rPr>
              <m:t>t=1</m:t>
            </m:r>
          </m:sub>
          <m:sup>
            <m:r>
              <w:rPr>
                <w:rFonts w:ascii="Cambria Math" w:hAnsi="Cambria Math" w:cs="Times New Roman"/>
                <w:sz w:val="20"/>
                <w:szCs w:val="20"/>
                <w:lang w:val="en-US"/>
              </w:rPr>
              <m:t>m</m:t>
            </m:r>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i</m:t>
                </m:r>
              </m:sub>
            </m:sSub>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i</m:t>
                </m:r>
              </m:sub>
            </m:sSub>
          </m:e>
        </m:nary>
      </m:oMath>
      <w:r w:rsidR="00F93EE1">
        <w:rPr>
          <w:rFonts w:ascii="Times New Roman" w:eastAsiaTheme="minorEastAsia" w:hAnsi="Times New Roman" w:cs="Times New Roman"/>
          <w:sz w:val="20"/>
          <w:szCs w:val="20"/>
          <w:lang w:val="en-US"/>
        </w:rPr>
        <w:t xml:space="preserve"> </w:t>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t>(</w:t>
      </w:r>
      <w:r w:rsidR="0086609B">
        <w:rPr>
          <w:rFonts w:ascii="Times New Roman" w:eastAsiaTheme="minorEastAsia" w:hAnsi="Times New Roman" w:cs="Times New Roman"/>
          <w:sz w:val="20"/>
          <w:szCs w:val="20"/>
          <w:lang w:val="en-US"/>
        </w:rPr>
        <w:t>10</w:t>
      </w:r>
      <w:r w:rsidR="00F93EE1">
        <w:rPr>
          <w:rFonts w:ascii="Times New Roman" w:eastAsiaTheme="minorEastAsia" w:hAnsi="Times New Roman" w:cs="Times New Roman"/>
          <w:sz w:val="20"/>
          <w:szCs w:val="20"/>
          <w:lang w:val="en-US"/>
        </w:rPr>
        <w:t>)</w:t>
      </w:r>
    </w:p>
    <w:p w14:paraId="43ABE3F4" w14:textId="25AE8B71" w:rsidR="00A654DA" w:rsidRPr="00B34A03" w:rsidRDefault="00F93EE1" w:rsidP="00F93EE1">
      <w:pPr>
        <w:spacing w:after="0" w:line="240" w:lineRule="auto"/>
        <w:jc w:val="both"/>
        <w:rPr>
          <w:rFonts w:ascii="Times New Roman" w:eastAsia="Times New Roman" w:hAnsi="Times New Roman" w:cs="Times New Roman"/>
          <w:kern w:val="0"/>
          <w:sz w:val="20"/>
          <w:szCs w:val="20"/>
          <w:lang w:val="en-US" w:eastAsia="ru-RU"/>
          <w14:ligatures w14:val="none"/>
        </w:rPr>
      </w:pPr>
      <w:r>
        <w:rPr>
          <w:rFonts w:ascii="Times New Roman" w:eastAsia="Times New Roman" w:hAnsi="Times New Roman" w:cs="Times New Roman"/>
          <w:kern w:val="0"/>
          <w:sz w:val="20"/>
          <w:szCs w:val="20"/>
          <w:lang w:val="en-US" w:eastAsia="ru-RU"/>
          <w14:ligatures w14:val="none"/>
        </w:rPr>
        <w:t>w</w:t>
      </w:r>
      <w:r w:rsidR="00A654DA" w:rsidRPr="00F93EE1">
        <w:rPr>
          <w:rFonts w:ascii="Times New Roman" w:eastAsia="Times New Roman" w:hAnsi="Times New Roman" w:cs="Times New Roman"/>
          <w:kern w:val="0"/>
          <w:sz w:val="20"/>
          <w:szCs w:val="20"/>
          <w:lang w:val="en-US" w:eastAsia="ru-RU"/>
          <w14:ligatures w14:val="none"/>
        </w:rPr>
        <w:t>here:</w:t>
      </w:r>
      <w:r>
        <w:rPr>
          <w:rFonts w:ascii="Times New Roman" w:eastAsia="Times New Roman" w:hAnsi="Times New Roman" w:cs="Times New Roman"/>
          <w:kern w:val="0"/>
          <w:sz w:val="20"/>
          <w:szCs w:val="20"/>
          <w:lang w:val="en-US" w:eastAsia="ru-RU"/>
          <w14:ligatures w14:val="none"/>
        </w:rPr>
        <w:t xml:space="preserve"> </w:t>
      </w:r>
      <w:r w:rsidR="00A654DA" w:rsidRPr="00B34A03">
        <w:rPr>
          <w:rFonts w:ascii="Times New Roman" w:eastAsia="Times New Roman" w:hAnsi="Times New Roman" w:cs="Times New Roman"/>
          <w:kern w:val="0"/>
          <w:sz w:val="20"/>
          <w:szCs w:val="20"/>
          <w:lang w:val="en-US" w:eastAsia="ru-RU"/>
          <w14:ligatures w14:val="none"/>
        </w:rPr>
        <w:t>D — total annual revenue (UZS)</w:t>
      </w:r>
      <w:r>
        <w:rPr>
          <w:rFonts w:ascii="Times New Roman" w:eastAsia="Times New Roman" w:hAnsi="Times New Roman" w:cs="Times New Roman"/>
          <w:kern w:val="0"/>
          <w:sz w:val="20"/>
          <w:szCs w:val="20"/>
          <w:lang w:val="en-US" w:eastAsia="ru-RU"/>
          <w14:ligatures w14:val="none"/>
        </w:rPr>
        <w:t xml:space="preserve">; </w:t>
      </w:r>
      <w:proofErr w:type="spellStart"/>
      <w:r w:rsidR="00283BFA" w:rsidRPr="00635626">
        <w:rPr>
          <w:rFonts w:ascii="Times New Roman" w:hAnsi="Times New Roman" w:cs="Times New Roman"/>
          <w:sz w:val="20"/>
          <w:szCs w:val="20"/>
          <w:lang w:val="en-US"/>
        </w:rPr>
        <w:t>E</w:t>
      </w:r>
      <w:r w:rsidR="00283BFA" w:rsidRPr="00635626">
        <w:rPr>
          <w:rFonts w:ascii="Times New Roman" w:hAnsi="Times New Roman" w:cs="Times New Roman"/>
          <w:sz w:val="20"/>
          <w:szCs w:val="20"/>
          <w:vertAlign w:val="subscript"/>
          <w:lang w:val="en-US"/>
        </w:rPr>
        <w:t>i</w:t>
      </w:r>
      <w:proofErr w:type="spellEnd"/>
      <w:r w:rsidR="00A654DA" w:rsidRPr="00283BFA">
        <w:rPr>
          <w:rFonts w:ascii="Times New Roman" w:eastAsia="Times New Roman" w:hAnsi="Times New Roman" w:cs="Times New Roman"/>
          <w:kern w:val="0"/>
          <w:sz w:val="20"/>
          <w:szCs w:val="20"/>
          <w:lang w:val="en-US" w:eastAsia="ru-RU"/>
          <w14:ligatures w14:val="none"/>
        </w:rPr>
        <w:t xml:space="preserve"> — amount of energy at tariff iii (kWh)</w:t>
      </w:r>
      <w:r>
        <w:rPr>
          <w:rFonts w:ascii="Times New Roman" w:eastAsia="Times New Roman" w:hAnsi="Times New Roman" w:cs="Times New Roman"/>
          <w:kern w:val="0"/>
          <w:sz w:val="20"/>
          <w:szCs w:val="20"/>
          <w:lang w:val="en-US" w:eastAsia="ru-RU"/>
          <w14:ligatures w14:val="none"/>
        </w:rPr>
        <w:t xml:space="preserve">; </w:t>
      </w:r>
      <w:proofErr w:type="spellStart"/>
      <w:r w:rsidR="00283BFA" w:rsidRPr="00635626">
        <w:rPr>
          <w:rFonts w:ascii="Times New Roman" w:hAnsi="Times New Roman" w:cs="Times New Roman"/>
          <w:sz w:val="20"/>
          <w:szCs w:val="20"/>
          <w:lang w:val="en-US"/>
        </w:rPr>
        <w:t>T</w:t>
      </w:r>
      <w:r w:rsidR="00283BFA" w:rsidRPr="00635626">
        <w:rPr>
          <w:rFonts w:ascii="Times New Roman" w:hAnsi="Times New Roman" w:cs="Times New Roman"/>
          <w:sz w:val="20"/>
          <w:szCs w:val="20"/>
          <w:vertAlign w:val="subscript"/>
          <w:lang w:val="en-US"/>
        </w:rPr>
        <w:t>i</w:t>
      </w:r>
      <w:proofErr w:type="spellEnd"/>
      <w:r w:rsidR="00283BFA" w:rsidRPr="00B34A03">
        <w:rPr>
          <w:rFonts w:ascii="Times New Roman" w:eastAsia="Times New Roman" w:hAnsi="Times New Roman" w:cs="Times New Roman"/>
          <w:kern w:val="0"/>
          <w:sz w:val="20"/>
          <w:szCs w:val="20"/>
          <w:lang w:val="en-US" w:eastAsia="ru-RU"/>
          <w14:ligatures w14:val="none"/>
        </w:rPr>
        <w:t xml:space="preserve"> </w:t>
      </w:r>
      <w:r w:rsidR="00A654DA" w:rsidRPr="00B34A03">
        <w:rPr>
          <w:rFonts w:ascii="Times New Roman" w:eastAsia="Times New Roman" w:hAnsi="Times New Roman" w:cs="Times New Roman"/>
          <w:kern w:val="0"/>
          <w:sz w:val="20"/>
          <w:szCs w:val="20"/>
          <w:lang w:val="en-US" w:eastAsia="ru-RU"/>
          <w14:ligatures w14:val="none"/>
        </w:rPr>
        <w:t>— price per tariff (UZS/kWh)</w:t>
      </w:r>
      <w:r>
        <w:rPr>
          <w:rFonts w:ascii="Times New Roman" w:eastAsia="Times New Roman" w:hAnsi="Times New Roman" w:cs="Times New Roman"/>
          <w:kern w:val="0"/>
          <w:sz w:val="20"/>
          <w:szCs w:val="20"/>
          <w:lang w:val="en-US" w:eastAsia="ru-RU"/>
          <w14:ligatures w14:val="none"/>
        </w:rPr>
        <w:t xml:space="preserve">; </w:t>
      </w:r>
      <w:r w:rsidR="00A654DA" w:rsidRPr="00B34A03">
        <w:rPr>
          <w:rFonts w:ascii="Times New Roman" w:eastAsia="Times New Roman" w:hAnsi="Times New Roman" w:cs="Times New Roman"/>
          <w:kern w:val="0"/>
          <w:sz w:val="20"/>
          <w:szCs w:val="20"/>
          <w:lang w:val="en-US" w:eastAsia="ru-RU"/>
          <w14:ligatures w14:val="none"/>
        </w:rPr>
        <w:t>m — number of tariff levels.</w:t>
      </w:r>
    </w:p>
    <w:p w14:paraId="3454EB72" w14:textId="63F8A6E5"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In 2024, 96</w:t>
      </w:r>
      <w:r w:rsidR="00283BFA">
        <w:rPr>
          <w:rFonts w:ascii="Times New Roman" w:eastAsia="Times New Roman" w:hAnsi="Times New Roman" w:cs="Times New Roman"/>
          <w:kern w:val="0"/>
          <w:sz w:val="20"/>
          <w:szCs w:val="20"/>
          <w:lang w:val="en-US" w:eastAsia="ru-RU"/>
          <w14:ligatures w14:val="none"/>
        </w:rPr>
        <w:t> </w:t>
      </w:r>
      <w:r w:rsidRPr="00B34A03">
        <w:rPr>
          <w:rFonts w:ascii="Times New Roman" w:eastAsia="Times New Roman" w:hAnsi="Times New Roman" w:cs="Times New Roman"/>
          <w:kern w:val="0"/>
          <w:sz w:val="20"/>
          <w:szCs w:val="20"/>
          <w:lang w:val="en-US" w:eastAsia="ru-RU"/>
          <w14:ligatures w14:val="none"/>
        </w:rPr>
        <w:t>974</w:t>
      </w:r>
      <w:r w:rsidR="00283BFA">
        <w:rPr>
          <w:rFonts w:ascii="Times New Roman" w:eastAsia="Times New Roman" w:hAnsi="Times New Roman" w:cs="Times New Roman"/>
          <w:kern w:val="0"/>
          <w:sz w:val="20"/>
          <w:szCs w:val="20"/>
          <w:lang w:val="en-US" w:eastAsia="ru-RU"/>
          <w14:ligatures w14:val="none"/>
        </w:rPr>
        <w:t>,</w:t>
      </w:r>
      <w:r w:rsidRPr="00B34A03">
        <w:rPr>
          <w:rFonts w:ascii="Times New Roman" w:eastAsia="Times New Roman" w:hAnsi="Times New Roman" w:cs="Times New Roman"/>
          <w:kern w:val="0"/>
          <w:sz w:val="20"/>
          <w:szCs w:val="20"/>
          <w:lang w:val="en-US" w:eastAsia="ru-RU"/>
          <w14:ligatures w14:val="none"/>
        </w:rPr>
        <w:t>04 kWh of energy was produced and calculated based on tiered tariffs, resulting in an annual revenue of 140</w:t>
      </w:r>
      <w:r w:rsidR="00283BFA">
        <w:rPr>
          <w:rFonts w:ascii="Times New Roman" w:eastAsia="Times New Roman" w:hAnsi="Times New Roman" w:cs="Times New Roman"/>
          <w:kern w:val="0"/>
          <w:sz w:val="20"/>
          <w:szCs w:val="20"/>
          <w:lang w:val="en-US" w:eastAsia="ru-RU"/>
          <w14:ligatures w14:val="none"/>
        </w:rPr>
        <w:t xml:space="preserve"> </w:t>
      </w:r>
      <w:r w:rsidRPr="00B34A03">
        <w:rPr>
          <w:rFonts w:ascii="Times New Roman" w:eastAsia="Times New Roman" w:hAnsi="Times New Roman" w:cs="Times New Roman"/>
          <w:kern w:val="0"/>
          <w:sz w:val="20"/>
          <w:szCs w:val="20"/>
          <w:lang w:val="en-US" w:eastAsia="ru-RU"/>
          <w14:ligatures w14:val="none"/>
        </w:rPr>
        <w:t>648</w:t>
      </w:r>
      <w:r w:rsidR="00283BFA">
        <w:rPr>
          <w:rFonts w:ascii="Times New Roman" w:eastAsia="Times New Roman" w:hAnsi="Times New Roman" w:cs="Times New Roman"/>
          <w:kern w:val="0"/>
          <w:sz w:val="20"/>
          <w:szCs w:val="20"/>
          <w:lang w:val="en-US" w:eastAsia="ru-RU"/>
          <w14:ligatures w14:val="none"/>
        </w:rPr>
        <w:t xml:space="preserve"> </w:t>
      </w:r>
      <w:r w:rsidRPr="00B34A03">
        <w:rPr>
          <w:rFonts w:ascii="Times New Roman" w:eastAsia="Times New Roman" w:hAnsi="Times New Roman" w:cs="Times New Roman"/>
          <w:kern w:val="0"/>
          <w:sz w:val="20"/>
          <w:szCs w:val="20"/>
          <w:lang w:val="en-US" w:eastAsia="ru-RU"/>
          <w14:ligatures w14:val="none"/>
        </w:rPr>
        <w:t>400 UZS.</w:t>
      </w:r>
    </w:p>
    <w:p w14:paraId="38D94C28" w14:textId="77777777" w:rsidR="00A654DA" w:rsidRPr="00B34A03" w:rsidRDefault="00A654DA" w:rsidP="003D6BF2">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lastRenderedPageBreak/>
        <w:t>From 2025 onwards, with new tariffs:</w:t>
      </w:r>
    </w:p>
    <w:p w14:paraId="2AF9699E" w14:textId="53274B49" w:rsidR="00283BFA" w:rsidRPr="0086609B" w:rsidRDefault="00283BFA" w:rsidP="0086609B">
      <w:pPr>
        <w:spacing w:before="120" w:after="120" w:line="240" w:lineRule="auto"/>
        <w:jc w:val="right"/>
        <w:rPr>
          <w:rFonts w:ascii="Times New Roman" w:eastAsiaTheme="minorEastAsia" w:hAnsi="Times New Roman" w:cs="Times New Roman"/>
          <w:sz w:val="20"/>
          <w:szCs w:val="20"/>
          <w:lang w:val="en-US"/>
        </w:rPr>
      </w:pPr>
      <m:oMath>
        <m:r>
          <w:rPr>
            <w:rFonts w:ascii="Cambria Math" w:hAnsi="Cambria Math" w:cs="Times New Roman"/>
            <w:sz w:val="20"/>
            <w:szCs w:val="20"/>
            <w:lang w:val="en-US"/>
          </w:rPr>
          <m:t>D=</m:t>
        </m:r>
        <m:nary>
          <m:naryPr>
            <m:chr m:val="∑"/>
            <m:limLoc m:val="undOvr"/>
            <m:ctrlPr>
              <w:rPr>
                <w:rFonts w:ascii="Cambria Math" w:hAnsi="Cambria Math" w:cs="Times New Roman"/>
                <w:i/>
                <w:sz w:val="20"/>
                <w:szCs w:val="20"/>
                <w:lang w:val="en-US"/>
              </w:rPr>
            </m:ctrlPr>
          </m:naryPr>
          <m:sub>
            <m:r>
              <w:rPr>
                <w:rFonts w:ascii="Cambria Math" w:hAnsi="Cambria Math" w:cs="Times New Roman"/>
                <w:sz w:val="20"/>
                <w:szCs w:val="20"/>
                <w:lang w:val="en-US"/>
              </w:rPr>
              <m:t>t=1</m:t>
            </m:r>
          </m:sub>
          <m:sup>
            <m:r>
              <w:rPr>
                <w:rFonts w:ascii="Cambria Math" w:hAnsi="Cambria Math" w:cs="Times New Roman"/>
                <w:sz w:val="20"/>
                <w:szCs w:val="20"/>
                <w:lang w:val="en-US"/>
              </w:rPr>
              <m:t>m</m:t>
            </m:r>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i</m:t>
                </m:r>
              </m:sub>
            </m:sSub>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i</m:t>
                </m:r>
              </m:sub>
            </m:sSub>
          </m:e>
        </m:nary>
      </m:oMath>
      <w:r w:rsidR="00F93EE1">
        <w:rPr>
          <w:rFonts w:ascii="Times New Roman" w:eastAsiaTheme="minorEastAsia" w:hAnsi="Times New Roman" w:cs="Times New Roman"/>
          <w:sz w:val="20"/>
          <w:szCs w:val="20"/>
          <w:lang w:val="en-US"/>
        </w:rPr>
        <w:t xml:space="preserve"> </w:t>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r>
      <w:r w:rsidR="00F93EE1">
        <w:rPr>
          <w:rFonts w:ascii="Times New Roman" w:eastAsiaTheme="minorEastAsia" w:hAnsi="Times New Roman" w:cs="Times New Roman"/>
          <w:sz w:val="20"/>
          <w:szCs w:val="20"/>
          <w:lang w:val="en-US"/>
        </w:rPr>
        <w:tab/>
        <w:t>(</w:t>
      </w:r>
      <w:r w:rsidR="0086609B">
        <w:rPr>
          <w:rFonts w:ascii="Times New Roman" w:eastAsiaTheme="minorEastAsia" w:hAnsi="Times New Roman" w:cs="Times New Roman"/>
          <w:sz w:val="20"/>
          <w:szCs w:val="20"/>
          <w:lang w:val="en-US"/>
        </w:rPr>
        <w:t>11</w:t>
      </w:r>
      <w:r w:rsidR="00F93EE1">
        <w:rPr>
          <w:rFonts w:ascii="Times New Roman" w:eastAsiaTheme="minorEastAsia" w:hAnsi="Times New Roman" w:cs="Times New Roman"/>
          <w:sz w:val="20"/>
          <w:szCs w:val="20"/>
          <w:lang w:val="en-US"/>
        </w:rPr>
        <w:t>)</w:t>
      </w:r>
    </w:p>
    <w:p w14:paraId="7F0465F8" w14:textId="4B087DAB" w:rsidR="00A654DA" w:rsidRPr="00B34A03" w:rsidRDefault="00A654DA" w:rsidP="00F93EE1">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The calculation resulted in revenue increasing to 155</w:t>
      </w:r>
      <w:r w:rsidR="00283BFA">
        <w:rPr>
          <w:rFonts w:ascii="Times New Roman" w:eastAsia="Times New Roman" w:hAnsi="Times New Roman" w:cs="Times New Roman"/>
          <w:kern w:val="0"/>
          <w:sz w:val="20"/>
          <w:szCs w:val="20"/>
          <w:lang w:val="en-US" w:eastAsia="ru-RU"/>
          <w14:ligatures w14:val="none"/>
        </w:rPr>
        <w:t> </w:t>
      </w:r>
      <w:r w:rsidRPr="00B34A03">
        <w:rPr>
          <w:rFonts w:ascii="Times New Roman" w:eastAsia="Times New Roman" w:hAnsi="Times New Roman" w:cs="Times New Roman"/>
          <w:kern w:val="0"/>
          <w:sz w:val="20"/>
          <w:szCs w:val="20"/>
          <w:lang w:val="en-US" w:eastAsia="ru-RU"/>
          <w14:ligatures w14:val="none"/>
        </w:rPr>
        <w:t>000</w:t>
      </w:r>
      <w:r w:rsidR="00283BFA">
        <w:rPr>
          <w:rFonts w:ascii="Times New Roman" w:eastAsia="Times New Roman" w:hAnsi="Times New Roman" w:cs="Times New Roman"/>
          <w:kern w:val="0"/>
          <w:sz w:val="20"/>
          <w:szCs w:val="20"/>
          <w:lang w:val="en-US" w:eastAsia="ru-RU"/>
          <w14:ligatures w14:val="none"/>
        </w:rPr>
        <w:t xml:space="preserve"> </w:t>
      </w:r>
      <w:r w:rsidRPr="00B34A03">
        <w:rPr>
          <w:rFonts w:ascii="Times New Roman" w:eastAsia="Times New Roman" w:hAnsi="Times New Roman" w:cs="Times New Roman"/>
          <w:kern w:val="0"/>
          <w:sz w:val="20"/>
          <w:szCs w:val="20"/>
          <w:lang w:val="en-US" w:eastAsia="ru-RU"/>
          <w14:ligatures w14:val="none"/>
        </w:rPr>
        <w:t>000 UZS.</w:t>
      </w:r>
    </w:p>
    <w:p w14:paraId="66C8C531" w14:textId="77777777" w:rsidR="00A654DA" w:rsidRPr="00F93EE1" w:rsidRDefault="00A654DA" w:rsidP="00F93EE1">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F93EE1">
        <w:rPr>
          <w:rFonts w:ascii="Times New Roman" w:eastAsia="Times New Roman" w:hAnsi="Times New Roman" w:cs="Times New Roman"/>
          <w:b/>
          <w:bCs/>
          <w:kern w:val="0"/>
          <w:sz w:val="20"/>
          <w:szCs w:val="20"/>
          <w:lang w:val="en-US" w:eastAsia="ru-RU"/>
          <w14:ligatures w14:val="none"/>
        </w:rPr>
        <w:t>5. Efficiency Degradation</w:t>
      </w:r>
    </w:p>
    <w:p w14:paraId="3F41E183" w14:textId="2DAB2C09" w:rsidR="00A654DA" w:rsidRPr="00F93EE1" w:rsidRDefault="00A654DA" w:rsidP="00F93EE1">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F93EE1">
        <w:rPr>
          <w:rFonts w:ascii="Times New Roman" w:eastAsia="Times New Roman" w:hAnsi="Times New Roman" w:cs="Times New Roman"/>
          <w:kern w:val="0"/>
          <w:sz w:val="20"/>
          <w:szCs w:val="20"/>
          <w:lang w:val="en-US" w:eastAsia="ru-RU"/>
          <w14:ligatures w14:val="none"/>
        </w:rPr>
        <w:t xml:space="preserve">Solar panels lose efficiency year by year. The annual degradation rate is usually between 0.5% and 1%. The production capacity of solar panels </w:t>
      </w:r>
      <w:proofErr w:type="spellStart"/>
      <w:r w:rsidRPr="00F93EE1">
        <w:rPr>
          <w:rFonts w:ascii="Times New Roman" w:eastAsia="Times New Roman" w:hAnsi="Times New Roman" w:cs="Times New Roman"/>
          <w:kern w:val="0"/>
          <w:sz w:val="20"/>
          <w:szCs w:val="20"/>
          <w:lang w:val="en-US" w:eastAsia="ru-RU"/>
          <w14:ligatures w14:val="none"/>
        </w:rPr>
        <w:t>PtP</w:t>
      </w:r>
      <w:proofErr w:type="spellEnd"/>
      <w:r w:rsidRPr="00F93EE1">
        <w:rPr>
          <w:rFonts w:ascii="Times New Roman" w:eastAsia="Times New Roman" w:hAnsi="Times New Roman" w:cs="Times New Roman"/>
          <w:kern w:val="0"/>
          <w:sz w:val="20"/>
          <w:szCs w:val="20"/>
          <w:lang w:val="en-US" w:eastAsia="ru-RU"/>
          <w14:ligatures w14:val="none"/>
        </w:rPr>
        <w:t xml:space="preserve"> in year t is calculated using the formula:</w:t>
      </w:r>
    </w:p>
    <w:p w14:paraId="36488FFF" w14:textId="3EE23558" w:rsidR="00635626" w:rsidRPr="00F93EE1" w:rsidRDefault="00642A89" w:rsidP="00F93EE1">
      <w:pPr>
        <w:spacing w:before="120" w:after="120" w:line="240" w:lineRule="auto"/>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t</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lang w:val="en-US"/>
          </w:rPr>
          <m:t>⋅</m:t>
        </m:r>
        <m:d>
          <m:dPr>
            <m:ctrlPr>
              <w:rPr>
                <w:rFonts w:ascii="Cambria Math" w:hAnsi="Cambria Math" w:cs="Times New Roman"/>
                <w:i/>
                <w:sz w:val="20"/>
                <w:szCs w:val="20"/>
                <w:lang w:val="en-US"/>
              </w:rPr>
            </m:ctrlPr>
          </m:dPr>
          <m:e>
            <m:r>
              <w:rPr>
                <w:rFonts w:ascii="Cambria Math" w:hAnsi="Cambria Math" w:cs="Times New Roman"/>
                <w:sz w:val="20"/>
                <w:szCs w:val="20"/>
                <w:lang w:val="en-US"/>
              </w:rPr>
              <m:t>1-d</m:t>
            </m:r>
          </m:e>
        </m:d>
      </m:oMath>
      <w:r w:rsidR="00635626" w:rsidRPr="00F93EE1">
        <w:rPr>
          <w:rFonts w:ascii="Times New Roman" w:eastAsiaTheme="minorEastAsia" w:hAnsi="Times New Roman" w:cs="Times New Roman"/>
          <w:sz w:val="20"/>
          <w:szCs w:val="20"/>
          <w:vertAlign w:val="superscript"/>
          <w:lang w:val="en-US"/>
        </w:rPr>
        <w:t>t</w:t>
      </w:r>
      <w:r w:rsidR="00F93EE1">
        <w:rPr>
          <w:rFonts w:ascii="Times New Roman" w:eastAsiaTheme="minorEastAsia" w:hAnsi="Times New Roman" w:cs="Times New Roman"/>
          <w:sz w:val="20"/>
          <w:szCs w:val="20"/>
          <w:vertAlign w:val="superscript"/>
          <w:lang w:val="en-US"/>
        </w:rPr>
        <w:t xml:space="preserve"> </w:t>
      </w:r>
      <w:r w:rsidR="00F93EE1">
        <w:rPr>
          <w:rFonts w:ascii="Times New Roman" w:eastAsiaTheme="minorEastAsia" w:hAnsi="Times New Roman" w:cs="Times New Roman"/>
          <w:sz w:val="20"/>
          <w:szCs w:val="20"/>
          <w:vertAlign w:val="superscript"/>
          <w:lang w:val="en-US"/>
        </w:rPr>
        <w:tab/>
      </w:r>
      <w:r w:rsidR="00F93EE1">
        <w:rPr>
          <w:rFonts w:ascii="Times New Roman" w:eastAsiaTheme="minorEastAsia" w:hAnsi="Times New Roman" w:cs="Times New Roman"/>
          <w:sz w:val="20"/>
          <w:szCs w:val="20"/>
          <w:vertAlign w:val="superscript"/>
          <w:lang w:val="en-US"/>
        </w:rPr>
        <w:tab/>
      </w:r>
      <w:r w:rsidR="00F93EE1">
        <w:rPr>
          <w:rFonts w:ascii="Times New Roman" w:eastAsiaTheme="minorEastAsia" w:hAnsi="Times New Roman" w:cs="Times New Roman"/>
          <w:sz w:val="20"/>
          <w:szCs w:val="20"/>
          <w:vertAlign w:val="superscript"/>
          <w:lang w:val="en-US"/>
        </w:rPr>
        <w:tab/>
      </w:r>
      <w:r w:rsidR="00F93EE1">
        <w:rPr>
          <w:rFonts w:ascii="Times New Roman" w:eastAsiaTheme="minorEastAsia" w:hAnsi="Times New Roman" w:cs="Times New Roman"/>
          <w:sz w:val="20"/>
          <w:szCs w:val="20"/>
          <w:vertAlign w:val="superscript"/>
          <w:lang w:val="en-US"/>
        </w:rPr>
        <w:tab/>
      </w:r>
      <w:r w:rsidR="00F93EE1">
        <w:rPr>
          <w:rFonts w:ascii="Times New Roman" w:eastAsiaTheme="minorEastAsia" w:hAnsi="Times New Roman" w:cs="Times New Roman"/>
          <w:sz w:val="20"/>
          <w:szCs w:val="20"/>
          <w:vertAlign w:val="superscript"/>
          <w:lang w:val="en-US"/>
        </w:rPr>
        <w:tab/>
      </w:r>
      <w:r w:rsidR="00F93EE1">
        <w:rPr>
          <w:rFonts w:ascii="Times New Roman" w:eastAsiaTheme="minorEastAsia" w:hAnsi="Times New Roman" w:cs="Times New Roman"/>
          <w:sz w:val="20"/>
          <w:szCs w:val="20"/>
          <w:vertAlign w:val="superscript"/>
          <w:lang w:val="en-US"/>
        </w:rPr>
        <w:tab/>
      </w:r>
      <w:r w:rsidR="00F93EE1">
        <w:rPr>
          <w:rFonts w:ascii="Times New Roman" w:eastAsiaTheme="minorEastAsia" w:hAnsi="Times New Roman" w:cs="Times New Roman"/>
          <w:sz w:val="20"/>
          <w:szCs w:val="20"/>
          <w:lang w:val="en-US"/>
        </w:rPr>
        <w:t>(1</w:t>
      </w:r>
      <w:r w:rsidR="0086609B">
        <w:rPr>
          <w:rFonts w:ascii="Times New Roman" w:eastAsiaTheme="minorEastAsia" w:hAnsi="Times New Roman" w:cs="Times New Roman"/>
          <w:sz w:val="20"/>
          <w:szCs w:val="20"/>
          <w:lang w:val="en-US"/>
        </w:rPr>
        <w:t>2</w:t>
      </w:r>
      <w:r w:rsidR="00F93EE1">
        <w:rPr>
          <w:rFonts w:ascii="Times New Roman" w:eastAsiaTheme="minorEastAsia" w:hAnsi="Times New Roman" w:cs="Times New Roman"/>
          <w:sz w:val="20"/>
          <w:szCs w:val="20"/>
          <w:lang w:val="en-US"/>
        </w:rPr>
        <w:t>)</w:t>
      </w:r>
    </w:p>
    <w:p w14:paraId="2BFD8A0D" w14:textId="0746A68E" w:rsidR="00A654DA" w:rsidRPr="00F93EE1" w:rsidRDefault="00F93EE1" w:rsidP="00F93EE1">
      <w:pPr>
        <w:spacing w:after="0" w:line="240" w:lineRule="auto"/>
        <w:jc w:val="both"/>
        <w:rPr>
          <w:rFonts w:ascii="Times New Roman" w:eastAsia="Times New Roman" w:hAnsi="Times New Roman" w:cs="Times New Roman"/>
          <w:kern w:val="0"/>
          <w:sz w:val="20"/>
          <w:szCs w:val="20"/>
          <w:lang w:val="en-US" w:eastAsia="ru-RU"/>
          <w14:ligatures w14:val="none"/>
        </w:rPr>
      </w:pPr>
      <w:r>
        <w:rPr>
          <w:rFonts w:ascii="Times New Roman" w:eastAsia="Times New Roman" w:hAnsi="Times New Roman" w:cs="Times New Roman"/>
          <w:kern w:val="0"/>
          <w:sz w:val="20"/>
          <w:szCs w:val="20"/>
          <w:lang w:val="en-US" w:eastAsia="ru-RU"/>
          <w14:ligatures w14:val="none"/>
        </w:rPr>
        <w:t>w</w:t>
      </w:r>
      <w:r w:rsidR="00A654DA" w:rsidRPr="00F93EE1">
        <w:rPr>
          <w:rFonts w:ascii="Times New Roman" w:eastAsia="Times New Roman" w:hAnsi="Times New Roman" w:cs="Times New Roman"/>
          <w:kern w:val="0"/>
          <w:sz w:val="20"/>
          <w:szCs w:val="20"/>
          <w:lang w:val="en-US" w:eastAsia="ru-RU"/>
          <w14:ligatures w14:val="none"/>
        </w:rPr>
        <w:t>here:</w:t>
      </w:r>
      <w:r>
        <w:rPr>
          <w:rFonts w:ascii="Times New Roman" w:eastAsia="Times New Roman" w:hAnsi="Times New Roman" w:cs="Times New Roman"/>
          <w:kern w:val="0"/>
          <w:sz w:val="20"/>
          <w:szCs w:val="20"/>
          <w:lang w:val="en-US" w:eastAsia="ru-RU"/>
          <w14:ligatures w14:val="none"/>
        </w:rPr>
        <w:t xml:space="preserve"> </w:t>
      </w:r>
      <w:r w:rsidR="00635626" w:rsidRPr="00F93EE1">
        <w:rPr>
          <w:rFonts w:ascii="Times New Roman" w:hAnsi="Times New Roman" w:cs="Times New Roman"/>
          <w:sz w:val="20"/>
          <w:szCs w:val="20"/>
          <w:lang w:val="en-US"/>
        </w:rPr>
        <w:t>P</w:t>
      </w:r>
      <w:r w:rsidR="00635626" w:rsidRPr="00F93EE1">
        <w:rPr>
          <w:rFonts w:ascii="Times New Roman" w:hAnsi="Times New Roman" w:cs="Times New Roman"/>
          <w:sz w:val="20"/>
          <w:szCs w:val="20"/>
          <w:vertAlign w:val="subscript"/>
          <w:lang w:val="en-US"/>
        </w:rPr>
        <w:t xml:space="preserve">t </w:t>
      </w:r>
      <w:r w:rsidR="00635626" w:rsidRPr="00F93EE1">
        <w:rPr>
          <w:rFonts w:ascii="Times New Roman" w:hAnsi="Times New Roman" w:cs="Times New Roman"/>
          <w:sz w:val="20"/>
          <w:szCs w:val="20"/>
          <w:lang w:val="en-US"/>
        </w:rPr>
        <w:t xml:space="preserve">- </w:t>
      </w:r>
      <w:r w:rsidR="00A654DA" w:rsidRPr="00F93EE1">
        <w:rPr>
          <w:rFonts w:ascii="Times New Roman" w:eastAsia="Times New Roman" w:hAnsi="Times New Roman" w:cs="Times New Roman"/>
          <w:kern w:val="0"/>
          <w:sz w:val="20"/>
          <w:szCs w:val="20"/>
          <w:lang w:val="en-US" w:eastAsia="ru-RU"/>
          <w14:ligatures w14:val="none"/>
        </w:rPr>
        <w:t xml:space="preserve">t — production capacity in year </w:t>
      </w:r>
      <w:proofErr w:type="spellStart"/>
      <w:r w:rsidR="00A654DA" w:rsidRPr="00F93EE1">
        <w:rPr>
          <w:rFonts w:ascii="Times New Roman" w:eastAsia="Times New Roman" w:hAnsi="Times New Roman" w:cs="Times New Roman"/>
          <w:kern w:val="0"/>
          <w:sz w:val="20"/>
          <w:szCs w:val="20"/>
          <w:lang w:val="en-US" w:eastAsia="ru-RU"/>
          <w14:ligatures w14:val="none"/>
        </w:rPr>
        <w:t>ttt</w:t>
      </w:r>
      <w:proofErr w:type="spellEnd"/>
      <w:r w:rsidR="00A654DA" w:rsidRPr="00F93EE1">
        <w:rPr>
          <w:rFonts w:ascii="Times New Roman" w:eastAsia="Times New Roman" w:hAnsi="Times New Roman" w:cs="Times New Roman"/>
          <w:kern w:val="0"/>
          <w:sz w:val="20"/>
          <w:szCs w:val="20"/>
          <w:lang w:val="en-US" w:eastAsia="ru-RU"/>
          <w14:ligatures w14:val="none"/>
        </w:rPr>
        <w:t xml:space="preserve"> (kWh)</w:t>
      </w:r>
      <w:r>
        <w:rPr>
          <w:rFonts w:ascii="Times New Roman" w:eastAsia="Times New Roman" w:hAnsi="Times New Roman" w:cs="Times New Roman"/>
          <w:kern w:val="0"/>
          <w:sz w:val="20"/>
          <w:szCs w:val="20"/>
          <w:lang w:val="en-US" w:eastAsia="ru-RU"/>
          <w14:ligatures w14:val="none"/>
        </w:rPr>
        <w:t xml:space="preserve">; </w:t>
      </w:r>
      <w:r w:rsidR="00635626" w:rsidRPr="00F93EE1">
        <w:rPr>
          <w:rFonts w:ascii="Times New Roman" w:hAnsi="Times New Roman" w:cs="Times New Roman"/>
          <w:sz w:val="20"/>
          <w:szCs w:val="20"/>
          <w:lang w:val="en-US"/>
        </w:rPr>
        <w:t>P</w:t>
      </w:r>
      <w:r w:rsidR="00635626" w:rsidRPr="00F93EE1">
        <w:rPr>
          <w:rFonts w:ascii="Times New Roman" w:hAnsi="Times New Roman" w:cs="Times New Roman"/>
          <w:sz w:val="20"/>
          <w:szCs w:val="20"/>
          <w:vertAlign w:val="subscript"/>
          <w:lang w:val="en-US"/>
        </w:rPr>
        <w:t>0</w:t>
      </w:r>
      <w:r w:rsidR="00635626" w:rsidRPr="00F93EE1">
        <w:rPr>
          <w:rFonts w:ascii="Times New Roman" w:hAnsi="Times New Roman" w:cs="Times New Roman"/>
          <w:sz w:val="20"/>
          <w:szCs w:val="20"/>
          <w:lang w:val="en-US"/>
        </w:rPr>
        <w:t xml:space="preserve"> </w:t>
      </w:r>
      <w:r w:rsidR="00A654DA" w:rsidRPr="00F93EE1">
        <w:rPr>
          <w:rFonts w:ascii="Times New Roman" w:eastAsia="Times New Roman" w:hAnsi="Times New Roman" w:cs="Times New Roman"/>
          <w:kern w:val="0"/>
          <w:sz w:val="20"/>
          <w:szCs w:val="20"/>
          <w:lang w:val="en-US" w:eastAsia="ru-RU"/>
          <w14:ligatures w14:val="none"/>
        </w:rPr>
        <w:t>— initial production capacity (kWh)</w:t>
      </w:r>
      <w:r>
        <w:rPr>
          <w:rFonts w:ascii="Times New Roman" w:eastAsia="Times New Roman" w:hAnsi="Times New Roman" w:cs="Times New Roman"/>
          <w:kern w:val="0"/>
          <w:sz w:val="20"/>
          <w:szCs w:val="20"/>
          <w:lang w:val="en-US" w:eastAsia="ru-RU"/>
          <w14:ligatures w14:val="none"/>
        </w:rPr>
        <w:t xml:space="preserve">; </w:t>
      </w:r>
      <w:r w:rsidR="00A654DA" w:rsidRPr="00F93EE1">
        <w:rPr>
          <w:rFonts w:ascii="Times New Roman" w:eastAsia="Times New Roman" w:hAnsi="Times New Roman" w:cs="Times New Roman"/>
          <w:kern w:val="0"/>
          <w:sz w:val="20"/>
          <w:szCs w:val="20"/>
          <w:lang w:val="en-US" w:eastAsia="ru-RU"/>
          <w14:ligatures w14:val="none"/>
        </w:rPr>
        <w:t>d — annual degradation rate (as a decimal)</w:t>
      </w:r>
      <w:r>
        <w:rPr>
          <w:rFonts w:ascii="Times New Roman" w:eastAsia="Times New Roman" w:hAnsi="Times New Roman" w:cs="Times New Roman"/>
          <w:kern w:val="0"/>
          <w:sz w:val="20"/>
          <w:szCs w:val="20"/>
          <w:lang w:val="en-US" w:eastAsia="ru-RU"/>
          <w14:ligatures w14:val="none"/>
        </w:rPr>
        <w:t xml:space="preserve">; </w:t>
      </w:r>
      <w:r w:rsidR="00A654DA" w:rsidRPr="00F93EE1">
        <w:rPr>
          <w:rFonts w:ascii="Times New Roman" w:eastAsia="Times New Roman" w:hAnsi="Times New Roman" w:cs="Times New Roman"/>
          <w:kern w:val="0"/>
          <w:sz w:val="20"/>
          <w:szCs w:val="20"/>
          <w:lang w:val="en-US" w:eastAsia="ru-RU"/>
          <w14:ligatures w14:val="none"/>
        </w:rPr>
        <w:t>t — time (years).</w:t>
      </w:r>
    </w:p>
    <w:p w14:paraId="38A5CCEB" w14:textId="682A2DDC" w:rsidR="00A654DA" w:rsidRPr="00F93EE1" w:rsidRDefault="00A654DA" w:rsidP="00F93EE1">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F93EE1">
        <w:rPr>
          <w:rFonts w:ascii="Times New Roman" w:eastAsia="Times New Roman" w:hAnsi="Times New Roman" w:cs="Times New Roman"/>
          <w:kern w:val="0"/>
          <w:sz w:val="20"/>
          <w:szCs w:val="20"/>
          <w:lang w:val="en-US" w:eastAsia="ru-RU"/>
          <w14:ligatures w14:val="none"/>
        </w:rPr>
        <w:t xml:space="preserve">Given the initial production capacity </w:t>
      </w:r>
      <w:r w:rsidR="00635626" w:rsidRPr="00F93EE1">
        <w:rPr>
          <w:rFonts w:ascii="Times New Roman" w:hAnsi="Times New Roman" w:cs="Times New Roman"/>
          <w:sz w:val="20"/>
          <w:szCs w:val="20"/>
          <w:lang w:val="en-US"/>
        </w:rPr>
        <w:t>P</w:t>
      </w:r>
      <w:r w:rsidR="00635626" w:rsidRPr="00F93EE1">
        <w:rPr>
          <w:rFonts w:ascii="Times New Roman" w:hAnsi="Times New Roman" w:cs="Times New Roman"/>
          <w:sz w:val="20"/>
          <w:szCs w:val="20"/>
          <w:vertAlign w:val="subscript"/>
          <w:lang w:val="en-US"/>
        </w:rPr>
        <w:t>0</w:t>
      </w:r>
      <w:r w:rsidRPr="00F93EE1">
        <w:rPr>
          <w:rFonts w:ascii="Times New Roman" w:eastAsia="Times New Roman" w:hAnsi="Times New Roman" w:cs="Times New Roman"/>
          <w:kern w:val="0"/>
          <w:sz w:val="20"/>
          <w:szCs w:val="20"/>
          <w:lang w:val="en-US" w:eastAsia="ru-RU"/>
          <w14:ligatures w14:val="none"/>
        </w:rPr>
        <w:t>=96</w:t>
      </w:r>
      <w:r w:rsidR="003059F5" w:rsidRPr="00F93EE1">
        <w:rPr>
          <w:rFonts w:ascii="Times New Roman" w:eastAsia="Times New Roman" w:hAnsi="Times New Roman" w:cs="Times New Roman"/>
          <w:kern w:val="0"/>
          <w:sz w:val="20"/>
          <w:szCs w:val="20"/>
          <w:lang w:val="en-US" w:eastAsia="ru-RU"/>
          <w14:ligatures w14:val="none"/>
        </w:rPr>
        <w:t> </w:t>
      </w:r>
      <w:r w:rsidRPr="00F93EE1">
        <w:rPr>
          <w:rFonts w:ascii="Times New Roman" w:eastAsia="Times New Roman" w:hAnsi="Times New Roman" w:cs="Times New Roman"/>
          <w:kern w:val="0"/>
          <w:sz w:val="20"/>
          <w:szCs w:val="20"/>
          <w:lang w:val="en-US" w:eastAsia="ru-RU"/>
          <w14:ligatures w14:val="none"/>
        </w:rPr>
        <w:t>974</w:t>
      </w:r>
      <w:r w:rsidR="003059F5" w:rsidRPr="00F93EE1">
        <w:rPr>
          <w:rFonts w:ascii="Times New Roman" w:eastAsia="Times New Roman" w:hAnsi="Times New Roman" w:cs="Times New Roman"/>
          <w:kern w:val="0"/>
          <w:sz w:val="20"/>
          <w:szCs w:val="20"/>
          <w:lang w:val="en-US" w:eastAsia="ru-RU"/>
          <w14:ligatures w14:val="none"/>
        </w:rPr>
        <w:t>,</w:t>
      </w:r>
      <w:r w:rsidRPr="00F93EE1">
        <w:rPr>
          <w:rFonts w:ascii="Times New Roman" w:eastAsia="Times New Roman" w:hAnsi="Times New Roman" w:cs="Times New Roman"/>
          <w:kern w:val="0"/>
          <w:sz w:val="20"/>
          <w:szCs w:val="20"/>
          <w:lang w:val="en-US" w:eastAsia="ru-RU"/>
          <w14:ligatures w14:val="none"/>
        </w:rPr>
        <w:t>04</w:t>
      </w:r>
      <w:r w:rsidR="003059F5" w:rsidRPr="00F93EE1">
        <w:rPr>
          <w:rFonts w:ascii="Times New Roman" w:eastAsia="Times New Roman" w:hAnsi="Times New Roman" w:cs="Times New Roman"/>
          <w:kern w:val="0"/>
          <w:sz w:val="20"/>
          <w:szCs w:val="20"/>
          <w:lang w:val="en-US" w:eastAsia="ru-RU"/>
          <w14:ligatures w14:val="none"/>
        </w:rPr>
        <w:t xml:space="preserve"> kWh </w:t>
      </w:r>
      <w:r w:rsidRPr="00F93EE1">
        <w:rPr>
          <w:rFonts w:ascii="Times New Roman" w:eastAsia="Times New Roman" w:hAnsi="Times New Roman" w:cs="Times New Roman"/>
          <w:kern w:val="0"/>
          <w:sz w:val="20"/>
          <w:szCs w:val="20"/>
          <w:lang w:val="en-US" w:eastAsia="ru-RU"/>
          <w14:ligatures w14:val="none"/>
        </w:rPr>
        <w:t>and an annual degradation rate of d=1%, we calculate:</w:t>
      </w:r>
    </w:p>
    <w:p w14:paraId="31ECE56C" w14:textId="2E6F628F" w:rsidR="003059F5" w:rsidRPr="00F93EE1" w:rsidRDefault="003059F5" w:rsidP="0086609B">
      <w:pPr>
        <w:spacing w:before="120" w:after="120" w:line="240" w:lineRule="auto"/>
        <w:jc w:val="right"/>
        <w:rPr>
          <w:rFonts w:ascii="Times New Roman" w:hAnsi="Times New Roman" w:cs="Times New Roman"/>
          <w:sz w:val="20"/>
          <w:szCs w:val="20"/>
          <w:lang w:val="en-US"/>
        </w:rPr>
      </w:pPr>
      <w:r w:rsidRPr="00F93EE1">
        <w:rPr>
          <w:rFonts w:ascii="Times New Roman" w:hAnsi="Times New Roman" w:cs="Times New Roman"/>
          <w:sz w:val="20"/>
          <w:szCs w:val="20"/>
          <w:lang w:val="en-US"/>
        </w:rPr>
        <w:t>P</w:t>
      </w:r>
      <w:r w:rsidRPr="00F93EE1">
        <w:rPr>
          <w:rFonts w:ascii="Times New Roman" w:hAnsi="Times New Roman" w:cs="Times New Roman"/>
          <w:sz w:val="20"/>
          <w:szCs w:val="20"/>
          <w:vertAlign w:val="subscript"/>
          <w:lang w:val="en-US"/>
        </w:rPr>
        <w:t>10</w:t>
      </w:r>
      <w:r w:rsidRPr="00F93EE1">
        <w:rPr>
          <w:rFonts w:ascii="Times New Roman" w:hAnsi="Times New Roman" w:cs="Times New Roman"/>
          <w:sz w:val="20"/>
          <w:szCs w:val="20"/>
          <w:lang w:val="en-US"/>
        </w:rPr>
        <w:t>=96,974.04</w:t>
      </w:r>
      <w:proofErr w:type="gramStart"/>
      <w:r w:rsidRPr="00F93EE1">
        <w:rPr>
          <w:rFonts w:ascii="Cambria Math" w:hAnsi="Cambria Math" w:cs="Cambria Math"/>
          <w:sz w:val="20"/>
          <w:szCs w:val="20"/>
          <w:lang w:val="en-US"/>
        </w:rPr>
        <w:t>⋅</w:t>
      </w:r>
      <w:r w:rsidRPr="00F93EE1">
        <w:rPr>
          <w:rFonts w:ascii="Times New Roman" w:hAnsi="Times New Roman" w:cs="Times New Roman"/>
          <w:sz w:val="20"/>
          <w:szCs w:val="20"/>
          <w:lang w:val="en-US"/>
        </w:rPr>
        <w:t>(</w:t>
      </w:r>
      <w:proofErr w:type="gramEnd"/>
      <w:r w:rsidRPr="00F93EE1">
        <w:rPr>
          <w:rFonts w:ascii="Times New Roman" w:hAnsi="Times New Roman" w:cs="Times New Roman"/>
          <w:sz w:val="20"/>
          <w:szCs w:val="20"/>
          <w:lang w:val="en-US"/>
        </w:rPr>
        <w:t>1−0.01)</w:t>
      </w:r>
      <w:r w:rsidRPr="00F93EE1">
        <w:rPr>
          <w:rFonts w:ascii="Times New Roman" w:hAnsi="Times New Roman" w:cs="Times New Roman"/>
          <w:sz w:val="20"/>
          <w:szCs w:val="20"/>
          <w:vertAlign w:val="superscript"/>
          <w:lang w:val="en-US"/>
        </w:rPr>
        <w:t>10</w:t>
      </w:r>
      <w:r w:rsidRPr="00F93EE1">
        <w:rPr>
          <w:rFonts w:ascii="Times New Roman" w:hAnsi="Times New Roman" w:cs="Times New Roman"/>
          <w:sz w:val="20"/>
          <w:szCs w:val="20"/>
          <w:lang w:val="en-US"/>
        </w:rPr>
        <w:t>≈87,320kVt-</w:t>
      </w:r>
      <w:r w:rsidR="00F93EE1">
        <w:rPr>
          <w:rFonts w:ascii="Times New Roman" w:hAnsi="Times New Roman" w:cs="Times New Roman"/>
          <w:sz w:val="20"/>
          <w:szCs w:val="20"/>
          <w:lang w:val="en-US"/>
        </w:rPr>
        <w:t>h</w:t>
      </w:r>
      <w:r w:rsidRPr="00F93EE1">
        <w:rPr>
          <w:rFonts w:ascii="Times New Roman" w:hAnsi="Times New Roman" w:cs="Times New Roman"/>
          <w:sz w:val="20"/>
          <w:szCs w:val="20"/>
          <w:lang w:val="en-US"/>
        </w:rPr>
        <w:t>.</w:t>
      </w:r>
      <w:r w:rsidR="0086609B">
        <w:rPr>
          <w:rFonts w:ascii="Times New Roman" w:hAnsi="Times New Roman" w:cs="Times New Roman"/>
          <w:sz w:val="20"/>
          <w:szCs w:val="20"/>
          <w:lang w:val="en-US"/>
        </w:rPr>
        <w:t xml:space="preserve">                                                           </w:t>
      </w:r>
      <w:r w:rsidR="0086609B">
        <w:rPr>
          <w:rFonts w:ascii="Times New Roman" w:eastAsiaTheme="minorEastAsia" w:hAnsi="Times New Roman" w:cs="Times New Roman"/>
          <w:sz w:val="20"/>
          <w:szCs w:val="20"/>
          <w:lang w:val="en-US"/>
        </w:rPr>
        <w:t>(12)</w:t>
      </w:r>
    </w:p>
    <w:p w14:paraId="352D7308" w14:textId="77777777" w:rsidR="00A654DA" w:rsidRPr="00F93EE1" w:rsidRDefault="00A654DA"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F93EE1">
        <w:rPr>
          <w:rFonts w:ascii="Times New Roman" w:eastAsia="Times New Roman" w:hAnsi="Times New Roman" w:cs="Times New Roman"/>
          <w:kern w:val="0"/>
          <w:sz w:val="20"/>
          <w:szCs w:val="20"/>
          <w:lang w:val="en-US" w:eastAsia="ru-RU"/>
          <w14:ligatures w14:val="none"/>
        </w:rPr>
        <w:t>This decrease also reduces the revenue over time.</w:t>
      </w:r>
    </w:p>
    <w:p w14:paraId="57474EF5" w14:textId="58F936B4" w:rsidR="00A654DA" w:rsidRPr="003059F5" w:rsidRDefault="003059F5" w:rsidP="00A834CC">
      <w:pPr>
        <w:spacing w:before="240" w:after="240" w:line="240" w:lineRule="auto"/>
        <w:jc w:val="center"/>
        <w:rPr>
          <w:rFonts w:ascii="Times New Roman" w:eastAsia="Times New Roman" w:hAnsi="Times New Roman" w:cs="Times New Roman"/>
          <w:kern w:val="0"/>
          <w:sz w:val="24"/>
          <w:szCs w:val="24"/>
          <w:lang w:val="en-US" w:eastAsia="ru-RU"/>
          <w14:ligatures w14:val="none"/>
        </w:rPr>
      </w:pPr>
      <w:r w:rsidRPr="003059F5">
        <w:rPr>
          <w:rFonts w:ascii="Times New Roman" w:eastAsia="Times New Roman" w:hAnsi="Times New Roman" w:cs="Times New Roman"/>
          <w:b/>
          <w:bCs/>
          <w:kern w:val="0"/>
          <w:sz w:val="24"/>
          <w:szCs w:val="24"/>
          <w:lang w:val="en-US" w:eastAsia="ru-RU"/>
          <w14:ligatures w14:val="none"/>
        </w:rPr>
        <w:t>ANNUAL EFFICIENCY, WEATHER CONDITIONS, AND RECALCULATED PAYBACK PERIOD OF THE SOLAR PHOTOVOLTAIC SYSTEM</w:t>
      </w:r>
    </w:p>
    <w:p w14:paraId="431E1DB3" w14:textId="77777777" w:rsidR="003059F5" w:rsidRDefault="00A654DA" w:rsidP="00A834CC">
      <w:pPr>
        <w:spacing w:after="0" w:line="240" w:lineRule="auto"/>
        <w:ind w:firstLine="284"/>
        <w:jc w:val="both"/>
        <w:rPr>
          <w:rFonts w:ascii="Times New Roman" w:eastAsia="Times New Roman" w:hAnsi="Times New Roman" w:cs="Times New Roman"/>
          <w:b/>
          <w:bCs/>
          <w:kern w:val="0"/>
          <w:sz w:val="20"/>
          <w:szCs w:val="20"/>
          <w:lang w:val="en-US" w:eastAsia="ru-RU"/>
          <w14:ligatures w14:val="none"/>
        </w:rPr>
      </w:pPr>
      <w:r w:rsidRPr="00B34A03">
        <w:rPr>
          <w:rFonts w:ascii="Times New Roman" w:eastAsia="Times New Roman" w:hAnsi="Times New Roman" w:cs="Times New Roman"/>
          <w:b/>
          <w:bCs/>
          <w:kern w:val="0"/>
          <w:sz w:val="20"/>
          <w:szCs w:val="20"/>
          <w:lang w:val="en-US" w:eastAsia="ru-RU"/>
          <w14:ligatures w14:val="none"/>
        </w:rPr>
        <w:t>Annual Decrease in Performance Ratio</w:t>
      </w:r>
    </w:p>
    <w:p w14:paraId="65ACE4BE" w14:textId="64667044" w:rsidR="00A654DA" w:rsidRPr="00B34A03" w:rsidRDefault="00172037"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172037">
        <w:rPr>
          <w:rFonts w:ascii="Times New Roman" w:hAnsi="Times New Roman" w:cs="Times New Roman"/>
          <w:sz w:val="20"/>
          <w:lang w:val="en-US"/>
        </w:rPr>
        <w:t>The performance of solar photovoltaic systems declines annually, primarily because of solar panel degradation, usually between 0.5% and 1% each year</w:t>
      </w:r>
      <w:r w:rsidR="00A654DA" w:rsidRPr="00B34A03">
        <w:rPr>
          <w:rFonts w:ascii="Times New Roman" w:eastAsia="Times New Roman" w:hAnsi="Times New Roman" w:cs="Times New Roman"/>
          <w:kern w:val="0"/>
          <w:sz w:val="20"/>
          <w:szCs w:val="20"/>
          <w:lang w:val="en-US" w:eastAsia="ru-RU"/>
          <w14:ligatures w14:val="none"/>
        </w:rPr>
        <w:t>. In this analysis, the annual efficiency decrease is assumed to be 1% [5</w:t>
      </w:r>
      <w:r w:rsidR="00DD08F2">
        <w:rPr>
          <w:rFonts w:ascii="Times New Roman" w:eastAsia="Times New Roman" w:hAnsi="Times New Roman" w:cs="Times New Roman"/>
          <w:kern w:val="0"/>
          <w:sz w:val="20"/>
          <w:szCs w:val="20"/>
          <w:lang w:val="en-US" w:eastAsia="ru-RU"/>
          <w14:ligatures w14:val="none"/>
        </w:rPr>
        <w:t>, 6, 7, 8</w:t>
      </w:r>
      <w:r w:rsidR="00A654DA" w:rsidRPr="00B34A03">
        <w:rPr>
          <w:rFonts w:ascii="Times New Roman" w:eastAsia="Times New Roman" w:hAnsi="Times New Roman" w:cs="Times New Roman"/>
          <w:kern w:val="0"/>
          <w:sz w:val="20"/>
          <w:szCs w:val="20"/>
          <w:lang w:val="en-US" w:eastAsia="ru-RU"/>
          <w14:ligatures w14:val="none"/>
        </w:rPr>
        <w:t>].</w:t>
      </w:r>
    </w:p>
    <w:p w14:paraId="34D041C3" w14:textId="14A52F36" w:rsidR="00A654DA" w:rsidRPr="00B34A03" w:rsidRDefault="00A654DA"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t>The initial annual energy production of the 100kW solar power plant commissioned in 2023 at Andijan Machine-Building Institute was EA=96</w:t>
      </w:r>
      <w:r w:rsidR="003059F5">
        <w:rPr>
          <w:rFonts w:ascii="Times New Roman" w:eastAsia="Times New Roman" w:hAnsi="Times New Roman" w:cs="Times New Roman"/>
          <w:kern w:val="0"/>
          <w:sz w:val="20"/>
          <w:szCs w:val="20"/>
          <w:lang w:val="en-US" w:eastAsia="ru-RU"/>
          <w14:ligatures w14:val="none"/>
        </w:rPr>
        <w:t> </w:t>
      </w:r>
      <w:r w:rsidRPr="00B34A03">
        <w:rPr>
          <w:rFonts w:ascii="Times New Roman" w:eastAsia="Times New Roman" w:hAnsi="Times New Roman" w:cs="Times New Roman"/>
          <w:kern w:val="0"/>
          <w:sz w:val="20"/>
          <w:szCs w:val="20"/>
          <w:lang w:val="en-US" w:eastAsia="ru-RU"/>
          <w14:ligatures w14:val="none"/>
        </w:rPr>
        <w:t>974</w:t>
      </w:r>
      <w:r w:rsidR="003059F5">
        <w:rPr>
          <w:rFonts w:ascii="Times New Roman" w:eastAsia="Times New Roman" w:hAnsi="Times New Roman" w:cs="Times New Roman"/>
          <w:kern w:val="0"/>
          <w:sz w:val="20"/>
          <w:szCs w:val="20"/>
          <w:lang w:val="en-US" w:eastAsia="ru-RU"/>
          <w14:ligatures w14:val="none"/>
        </w:rPr>
        <w:t>,</w:t>
      </w:r>
      <w:r w:rsidRPr="00B34A03">
        <w:rPr>
          <w:rFonts w:ascii="Times New Roman" w:eastAsia="Times New Roman" w:hAnsi="Times New Roman" w:cs="Times New Roman"/>
          <w:kern w:val="0"/>
          <w:sz w:val="20"/>
          <w:szCs w:val="20"/>
          <w:lang w:val="en-US" w:eastAsia="ru-RU"/>
          <w14:ligatures w14:val="none"/>
        </w:rPr>
        <w:t>04 kWh. Taking into account the decrease in performance ratio, the annual energy production decreases as follows:</w:t>
      </w:r>
    </w:p>
    <w:p w14:paraId="54CD0651" w14:textId="5939739C" w:rsidR="0002604F" w:rsidRPr="00A834CC" w:rsidRDefault="00642A89" w:rsidP="00A834CC">
      <w:pPr>
        <w:spacing w:before="120" w:after="120" w:line="240" w:lineRule="auto"/>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t</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A</m:t>
            </m:r>
          </m:sub>
        </m:sSub>
        <m:r>
          <w:rPr>
            <w:rFonts w:ascii="Cambria Math" w:hAnsi="Cambria Math" w:cs="Times New Roman"/>
            <w:sz w:val="20"/>
            <w:szCs w:val="20"/>
            <w:lang w:val="en-US"/>
          </w:rPr>
          <m:t>⋅</m:t>
        </m:r>
        <m:d>
          <m:dPr>
            <m:ctrlPr>
              <w:rPr>
                <w:rFonts w:ascii="Cambria Math" w:hAnsi="Cambria Math" w:cs="Times New Roman"/>
                <w:i/>
                <w:sz w:val="20"/>
                <w:szCs w:val="20"/>
                <w:lang w:val="en-US"/>
              </w:rPr>
            </m:ctrlPr>
          </m:dPr>
          <m:e>
            <m:r>
              <w:rPr>
                <w:rFonts w:ascii="Cambria Math" w:hAnsi="Cambria Math" w:cs="Times New Roman"/>
                <w:sz w:val="20"/>
                <w:szCs w:val="20"/>
                <w:lang w:val="en-US"/>
              </w:rPr>
              <m:t>1-d</m:t>
            </m:r>
          </m:e>
        </m:d>
      </m:oMath>
      <w:r w:rsidR="0002604F" w:rsidRPr="0002604F">
        <w:rPr>
          <w:rFonts w:ascii="Times New Roman" w:eastAsiaTheme="minorEastAsia" w:hAnsi="Times New Roman" w:cs="Times New Roman"/>
          <w:sz w:val="20"/>
          <w:szCs w:val="20"/>
          <w:vertAlign w:val="superscript"/>
          <w:lang w:val="en-US"/>
        </w:rPr>
        <w:t>t</w:t>
      </w:r>
      <w:r w:rsidR="00A834CC">
        <w:rPr>
          <w:rFonts w:ascii="Times New Roman" w:eastAsiaTheme="minorEastAsia" w:hAnsi="Times New Roman" w:cs="Times New Roman"/>
          <w:sz w:val="20"/>
          <w:szCs w:val="20"/>
          <w:vertAlign w:val="superscript"/>
          <w:lang w:val="en-US"/>
        </w:rPr>
        <w:t xml:space="preserve"> </w:t>
      </w:r>
      <w:r w:rsidR="00A834CC">
        <w:rPr>
          <w:rFonts w:ascii="Times New Roman" w:eastAsiaTheme="minorEastAsia" w:hAnsi="Times New Roman" w:cs="Times New Roman"/>
          <w:sz w:val="20"/>
          <w:szCs w:val="20"/>
          <w:vertAlign w:val="superscript"/>
          <w:lang w:val="en-US"/>
        </w:rPr>
        <w:tab/>
      </w:r>
      <w:r w:rsidR="00A834CC">
        <w:rPr>
          <w:rFonts w:ascii="Times New Roman" w:eastAsiaTheme="minorEastAsia" w:hAnsi="Times New Roman" w:cs="Times New Roman"/>
          <w:sz w:val="20"/>
          <w:szCs w:val="20"/>
          <w:vertAlign w:val="superscript"/>
          <w:lang w:val="en-US"/>
        </w:rPr>
        <w:tab/>
      </w:r>
      <w:r w:rsidR="00A834CC">
        <w:rPr>
          <w:rFonts w:ascii="Times New Roman" w:eastAsiaTheme="minorEastAsia" w:hAnsi="Times New Roman" w:cs="Times New Roman"/>
          <w:sz w:val="20"/>
          <w:szCs w:val="20"/>
          <w:vertAlign w:val="superscript"/>
          <w:lang w:val="en-US"/>
        </w:rPr>
        <w:tab/>
      </w:r>
      <w:r w:rsidR="00A834CC">
        <w:rPr>
          <w:rFonts w:ascii="Times New Roman" w:eastAsiaTheme="minorEastAsia" w:hAnsi="Times New Roman" w:cs="Times New Roman"/>
          <w:sz w:val="20"/>
          <w:szCs w:val="20"/>
          <w:vertAlign w:val="superscript"/>
          <w:lang w:val="en-US"/>
        </w:rPr>
        <w:tab/>
      </w:r>
      <w:r w:rsidR="00A834CC">
        <w:rPr>
          <w:rFonts w:ascii="Times New Roman" w:eastAsiaTheme="minorEastAsia" w:hAnsi="Times New Roman" w:cs="Times New Roman"/>
          <w:sz w:val="20"/>
          <w:szCs w:val="20"/>
          <w:vertAlign w:val="superscript"/>
          <w:lang w:val="en-US"/>
        </w:rPr>
        <w:tab/>
      </w:r>
      <w:r w:rsidR="00A834CC">
        <w:rPr>
          <w:rFonts w:ascii="Times New Roman" w:eastAsiaTheme="minorEastAsia" w:hAnsi="Times New Roman" w:cs="Times New Roman"/>
          <w:sz w:val="20"/>
          <w:szCs w:val="20"/>
          <w:vertAlign w:val="superscript"/>
          <w:lang w:val="en-US"/>
        </w:rPr>
        <w:tab/>
      </w:r>
      <w:r w:rsidR="00A834CC">
        <w:rPr>
          <w:rFonts w:ascii="Times New Roman" w:eastAsiaTheme="minorEastAsia" w:hAnsi="Times New Roman" w:cs="Times New Roman"/>
          <w:sz w:val="20"/>
          <w:szCs w:val="20"/>
          <w:lang w:val="en-US"/>
        </w:rPr>
        <w:t>(1</w:t>
      </w:r>
      <w:r w:rsidR="0086609B">
        <w:rPr>
          <w:rFonts w:ascii="Times New Roman" w:eastAsiaTheme="minorEastAsia" w:hAnsi="Times New Roman" w:cs="Times New Roman"/>
          <w:sz w:val="20"/>
          <w:szCs w:val="20"/>
          <w:lang w:val="en-US"/>
        </w:rPr>
        <w:t>3</w:t>
      </w:r>
      <w:r w:rsidR="00A834CC">
        <w:rPr>
          <w:rFonts w:ascii="Times New Roman" w:eastAsiaTheme="minorEastAsia" w:hAnsi="Times New Roman" w:cs="Times New Roman"/>
          <w:sz w:val="20"/>
          <w:szCs w:val="20"/>
          <w:lang w:val="en-US"/>
        </w:rPr>
        <w:t>)</w:t>
      </w:r>
    </w:p>
    <w:p w14:paraId="2D3AEEE3" w14:textId="0526A9EC" w:rsidR="00A654DA" w:rsidRPr="00A834CC" w:rsidRDefault="00A834CC" w:rsidP="00A834CC">
      <w:pPr>
        <w:spacing w:after="0" w:line="240" w:lineRule="auto"/>
        <w:jc w:val="both"/>
        <w:rPr>
          <w:rFonts w:ascii="Times New Roman" w:eastAsia="Times New Roman" w:hAnsi="Times New Roman" w:cs="Times New Roman"/>
          <w:kern w:val="0"/>
          <w:sz w:val="20"/>
          <w:szCs w:val="20"/>
          <w:lang w:val="en-US" w:eastAsia="ru-RU"/>
          <w14:ligatures w14:val="none"/>
        </w:rPr>
      </w:pPr>
      <w:r w:rsidRPr="00A834CC">
        <w:rPr>
          <w:rFonts w:ascii="Times New Roman" w:eastAsia="Times New Roman" w:hAnsi="Times New Roman" w:cs="Times New Roman"/>
          <w:kern w:val="0"/>
          <w:sz w:val="20"/>
          <w:szCs w:val="20"/>
          <w:lang w:val="en-US" w:eastAsia="ru-RU"/>
          <w14:ligatures w14:val="none"/>
        </w:rPr>
        <w:t>w</w:t>
      </w:r>
      <w:r w:rsidR="00A654DA" w:rsidRPr="00A834CC">
        <w:rPr>
          <w:rFonts w:ascii="Times New Roman" w:eastAsia="Times New Roman" w:hAnsi="Times New Roman" w:cs="Times New Roman"/>
          <w:kern w:val="0"/>
          <w:sz w:val="20"/>
          <w:szCs w:val="20"/>
          <w:lang w:val="en-US" w:eastAsia="ru-RU"/>
          <w14:ligatures w14:val="none"/>
        </w:rPr>
        <w:t>here:</w:t>
      </w:r>
      <w:r w:rsidRPr="00A834CC">
        <w:rPr>
          <w:rFonts w:ascii="Times New Roman" w:eastAsia="Times New Roman" w:hAnsi="Times New Roman" w:cs="Times New Roman"/>
          <w:kern w:val="0"/>
          <w:sz w:val="20"/>
          <w:szCs w:val="20"/>
          <w:lang w:val="en-US" w:eastAsia="ru-RU"/>
          <w14:ligatures w14:val="none"/>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A</m:t>
            </m:r>
          </m:sub>
        </m:sSub>
      </m:oMath>
      <w:r w:rsidR="00A654DA" w:rsidRPr="00A834CC">
        <w:rPr>
          <w:rFonts w:ascii="Times New Roman" w:eastAsia="Times New Roman" w:hAnsi="Times New Roman" w:cs="Times New Roman"/>
          <w:kern w:val="0"/>
          <w:sz w:val="20"/>
          <w:szCs w:val="20"/>
          <w:lang w:val="en-US" w:eastAsia="ru-RU"/>
          <w14:ligatures w14:val="none"/>
        </w:rPr>
        <w:t>— initial annual energy production (96</w:t>
      </w:r>
      <w:r w:rsidR="0002604F" w:rsidRPr="00A834CC">
        <w:rPr>
          <w:rFonts w:ascii="Times New Roman" w:eastAsia="Times New Roman" w:hAnsi="Times New Roman" w:cs="Times New Roman"/>
          <w:kern w:val="0"/>
          <w:sz w:val="20"/>
          <w:szCs w:val="20"/>
          <w:lang w:val="en-US" w:eastAsia="ru-RU"/>
          <w14:ligatures w14:val="none"/>
        </w:rPr>
        <w:t> </w:t>
      </w:r>
      <w:r w:rsidR="00A654DA" w:rsidRPr="00A834CC">
        <w:rPr>
          <w:rFonts w:ascii="Times New Roman" w:eastAsia="Times New Roman" w:hAnsi="Times New Roman" w:cs="Times New Roman"/>
          <w:kern w:val="0"/>
          <w:sz w:val="20"/>
          <w:szCs w:val="20"/>
          <w:lang w:val="en-US" w:eastAsia="ru-RU"/>
          <w14:ligatures w14:val="none"/>
        </w:rPr>
        <w:t>974</w:t>
      </w:r>
      <w:r w:rsidR="0002604F" w:rsidRPr="00A834CC">
        <w:rPr>
          <w:rFonts w:ascii="Times New Roman" w:eastAsia="Times New Roman" w:hAnsi="Times New Roman" w:cs="Times New Roman"/>
          <w:kern w:val="0"/>
          <w:sz w:val="20"/>
          <w:szCs w:val="20"/>
          <w:lang w:val="en-US" w:eastAsia="ru-RU"/>
          <w14:ligatures w14:val="none"/>
        </w:rPr>
        <w:t>,</w:t>
      </w:r>
      <w:r w:rsidR="00A654DA" w:rsidRPr="00A834CC">
        <w:rPr>
          <w:rFonts w:ascii="Times New Roman" w:eastAsia="Times New Roman" w:hAnsi="Times New Roman" w:cs="Times New Roman"/>
          <w:kern w:val="0"/>
          <w:sz w:val="20"/>
          <w:szCs w:val="20"/>
          <w:lang w:val="en-US" w:eastAsia="ru-RU"/>
          <w14:ligatures w14:val="none"/>
        </w:rPr>
        <w:t>04 kWh)</w:t>
      </w:r>
      <w:r w:rsidRPr="00A834CC">
        <w:rPr>
          <w:rFonts w:ascii="Times New Roman" w:eastAsia="Times New Roman" w:hAnsi="Times New Roman" w:cs="Times New Roman"/>
          <w:kern w:val="0"/>
          <w:sz w:val="20"/>
          <w:szCs w:val="20"/>
          <w:lang w:val="en-US" w:eastAsia="ru-RU"/>
          <w14:ligatures w14:val="none"/>
        </w:rPr>
        <w:t xml:space="preserve">; </w:t>
      </w:r>
      <w:r w:rsidR="00A654DA" w:rsidRPr="00A834CC">
        <w:rPr>
          <w:rFonts w:ascii="Times New Roman" w:eastAsia="Times New Roman" w:hAnsi="Times New Roman" w:cs="Times New Roman"/>
          <w:kern w:val="0"/>
          <w:sz w:val="20"/>
          <w:szCs w:val="20"/>
          <w:lang w:val="en-US" w:eastAsia="ru-RU"/>
          <w14:ligatures w14:val="none"/>
        </w:rPr>
        <w:t>d=0.01 — annual efficiency degradation (1%)</w:t>
      </w:r>
      <w:r w:rsidRPr="00A834CC">
        <w:rPr>
          <w:rFonts w:ascii="Times New Roman" w:eastAsia="Times New Roman" w:hAnsi="Times New Roman" w:cs="Times New Roman"/>
          <w:kern w:val="0"/>
          <w:sz w:val="20"/>
          <w:szCs w:val="20"/>
          <w:lang w:val="en-US" w:eastAsia="ru-RU"/>
          <w14:ligatures w14:val="none"/>
        </w:rPr>
        <w:t xml:space="preserve">; </w:t>
      </w:r>
      <w:r w:rsidRPr="00A834CC">
        <w:rPr>
          <w:rFonts w:ascii="Times New Roman" w:eastAsia="Times New Roman" w:hAnsi="Times New Roman" w:cs="Times New Roman"/>
          <w:kern w:val="0"/>
          <w:sz w:val="20"/>
          <w:szCs w:val="20"/>
          <w:lang w:val="en-US" w:eastAsia="ru-RU"/>
          <w14:ligatures w14:val="none"/>
        </w:rPr>
        <w:br/>
      </w:r>
      <w:r w:rsidR="00A654DA" w:rsidRPr="00A834CC">
        <w:rPr>
          <w:rFonts w:ascii="Times New Roman" w:eastAsia="Times New Roman" w:hAnsi="Times New Roman" w:cs="Times New Roman"/>
          <w:kern w:val="0"/>
          <w:sz w:val="20"/>
          <w:szCs w:val="20"/>
          <w:lang w:val="en-US" w:eastAsia="ru-RU"/>
          <w14:ligatures w14:val="none"/>
        </w:rPr>
        <w:t>t — project duration (years, t=1,</w:t>
      </w:r>
      <w:r w:rsidRPr="00A834CC">
        <w:rPr>
          <w:rFonts w:ascii="Times New Roman" w:eastAsia="Times New Roman" w:hAnsi="Times New Roman" w:cs="Times New Roman"/>
          <w:kern w:val="0"/>
          <w:sz w:val="20"/>
          <w:szCs w:val="20"/>
          <w:lang w:val="en-US" w:eastAsia="ru-RU"/>
          <w14:ligatures w14:val="none"/>
        </w:rPr>
        <w:t xml:space="preserve"> </w:t>
      </w:r>
      <w:r w:rsidR="00A654DA" w:rsidRPr="00A834CC">
        <w:rPr>
          <w:rFonts w:ascii="Times New Roman" w:eastAsia="Times New Roman" w:hAnsi="Times New Roman" w:cs="Times New Roman"/>
          <w:kern w:val="0"/>
          <w:sz w:val="20"/>
          <w:szCs w:val="20"/>
          <w:lang w:val="en-US" w:eastAsia="ru-RU"/>
          <w14:ligatures w14:val="none"/>
        </w:rPr>
        <w:t>2,</w:t>
      </w:r>
      <w:r>
        <w:rPr>
          <w:rFonts w:ascii="Times New Roman" w:eastAsia="Times New Roman" w:hAnsi="Times New Roman" w:cs="Times New Roman"/>
          <w:kern w:val="0"/>
          <w:sz w:val="20"/>
          <w:szCs w:val="20"/>
          <w:lang w:val="en-US" w:eastAsia="ru-RU"/>
          <w14:ligatures w14:val="none"/>
        </w:rPr>
        <w:t xml:space="preserve"> </w:t>
      </w:r>
      <w:r w:rsidR="00A654DA" w:rsidRPr="00A834CC">
        <w:rPr>
          <w:rFonts w:ascii="Times New Roman" w:eastAsia="Times New Roman" w:hAnsi="Times New Roman" w:cs="Times New Roman"/>
          <w:kern w:val="0"/>
          <w:sz w:val="20"/>
          <w:szCs w:val="20"/>
          <w:lang w:val="en-US" w:eastAsia="ru-RU"/>
          <w14:ligatures w14:val="none"/>
        </w:rPr>
        <w:t>…,25)</w:t>
      </w:r>
      <w:r w:rsidRPr="00A834CC">
        <w:rPr>
          <w:rFonts w:ascii="Times New Roman" w:eastAsia="Times New Roman" w:hAnsi="Times New Roman" w:cs="Times New Roman"/>
          <w:kern w:val="0"/>
          <w:sz w:val="20"/>
          <w:szCs w:val="20"/>
          <w:lang w:val="en-US" w:eastAsia="ru-RU"/>
          <w14:ligatures w14:val="none"/>
        </w:rPr>
        <w:t>.</w:t>
      </w:r>
    </w:p>
    <w:p w14:paraId="0F51166F" w14:textId="77777777" w:rsidR="0002604F" w:rsidRPr="00A834CC" w:rsidRDefault="00A654DA" w:rsidP="00A834CC">
      <w:pPr>
        <w:spacing w:after="0" w:line="240" w:lineRule="auto"/>
        <w:ind w:firstLine="284"/>
        <w:jc w:val="both"/>
        <w:rPr>
          <w:rFonts w:ascii="Times New Roman" w:eastAsia="Times New Roman" w:hAnsi="Times New Roman" w:cs="Times New Roman"/>
          <w:b/>
          <w:bCs/>
          <w:kern w:val="0"/>
          <w:sz w:val="20"/>
          <w:szCs w:val="20"/>
          <w:lang w:val="en-US" w:eastAsia="ru-RU"/>
          <w14:ligatures w14:val="none"/>
        </w:rPr>
      </w:pPr>
      <w:r w:rsidRPr="00A834CC">
        <w:rPr>
          <w:rFonts w:ascii="Times New Roman" w:eastAsia="Times New Roman" w:hAnsi="Times New Roman" w:cs="Times New Roman"/>
          <w:b/>
          <w:bCs/>
          <w:kern w:val="0"/>
          <w:sz w:val="20"/>
          <w:szCs w:val="20"/>
          <w:lang w:val="en-US" w:eastAsia="ru-RU"/>
          <w14:ligatures w14:val="none"/>
        </w:rPr>
        <w:t>Weather Conditions Forecast</w:t>
      </w:r>
    </w:p>
    <w:p w14:paraId="06812C59" w14:textId="34D654A0" w:rsidR="00A654DA" w:rsidRPr="00A834CC" w:rsidRDefault="00A654DA"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A834CC">
        <w:rPr>
          <w:rFonts w:ascii="Times New Roman" w:eastAsia="Times New Roman" w:hAnsi="Times New Roman" w:cs="Times New Roman"/>
          <w:kern w:val="0"/>
          <w:sz w:val="20"/>
          <w:szCs w:val="20"/>
          <w:lang w:val="en-US" w:eastAsia="ru-RU"/>
          <w14:ligatures w14:val="none"/>
        </w:rPr>
        <w:t>Solar radiation in the Andijan region varies throughout the year. During winter, fewer sunny days and during summer, higher radiation cause significant fluctuations in production. According to NASA-SSE data, the Andijan region experiences an average of 2800 sunny hours annually. Currently, the decline in annual production volume is mainly assessed based on efficiency degradation without considering stability of sunny days.</w:t>
      </w:r>
    </w:p>
    <w:p w14:paraId="00CD5021" w14:textId="77777777" w:rsidR="000C283C" w:rsidRPr="00A834CC" w:rsidRDefault="00A654DA" w:rsidP="00A834CC">
      <w:pPr>
        <w:spacing w:after="0" w:line="240" w:lineRule="auto"/>
        <w:ind w:firstLine="284"/>
        <w:jc w:val="both"/>
        <w:rPr>
          <w:rFonts w:ascii="Times New Roman" w:eastAsia="Times New Roman" w:hAnsi="Times New Roman" w:cs="Times New Roman"/>
          <w:b/>
          <w:bCs/>
          <w:kern w:val="0"/>
          <w:sz w:val="20"/>
          <w:szCs w:val="20"/>
          <w:lang w:val="en-US" w:eastAsia="ru-RU"/>
          <w14:ligatures w14:val="none"/>
        </w:rPr>
      </w:pPr>
      <w:r w:rsidRPr="00A834CC">
        <w:rPr>
          <w:rFonts w:ascii="Times New Roman" w:eastAsia="Times New Roman" w:hAnsi="Times New Roman" w:cs="Times New Roman"/>
          <w:b/>
          <w:bCs/>
          <w:kern w:val="0"/>
          <w:sz w:val="20"/>
          <w:szCs w:val="20"/>
          <w:lang w:val="en-US" w:eastAsia="ru-RU"/>
          <w14:ligatures w14:val="none"/>
        </w:rPr>
        <w:t>Total Energy Produced</w:t>
      </w:r>
    </w:p>
    <w:p w14:paraId="1F517731" w14:textId="4D670DD0" w:rsidR="00A654DA" w:rsidRPr="00A834CC" w:rsidRDefault="00A654DA"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A834CC">
        <w:rPr>
          <w:rFonts w:ascii="Times New Roman" w:eastAsia="Times New Roman" w:hAnsi="Times New Roman" w:cs="Times New Roman"/>
          <w:kern w:val="0"/>
          <w:sz w:val="20"/>
          <w:szCs w:val="20"/>
          <w:lang w:val="en-US" w:eastAsia="ru-RU"/>
          <w14:ligatures w14:val="none"/>
        </w:rPr>
        <w:t>The total energy produced over 25 years (</w:t>
      </w:r>
      <w:r w:rsidR="000C283C" w:rsidRPr="00A834CC">
        <w:rPr>
          <w:rFonts w:ascii="Times New Roman" w:hAnsi="Times New Roman" w:cs="Times New Roman"/>
          <w:sz w:val="20"/>
          <w:szCs w:val="20"/>
          <w:lang w:val="en-US"/>
        </w:rPr>
        <w:t>E</w:t>
      </w:r>
      <w:r w:rsidR="000C283C" w:rsidRPr="00A834CC">
        <w:rPr>
          <w:rFonts w:ascii="Times New Roman" w:hAnsi="Times New Roman" w:cs="Times New Roman"/>
          <w:sz w:val="20"/>
          <w:szCs w:val="20"/>
          <w:vertAlign w:val="subscript"/>
          <w:lang w:val="en-US"/>
        </w:rPr>
        <w:t>T</w:t>
      </w:r>
      <w:r w:rsidRPr="00A834CC">
        <w:rPr>
          <w:rFonts w:ascii="Times New Roman" w:eastAsia="Times New Roman" w:hAnsi="Times New Roman" w:cs="Times New Roman"/>
          <w:kern w:val="0"/>
          <w:sz w:val="20"/>
          <w:szCs w:val="20"/>
          <w:lang w:val="en-US" w:eastAsia="ru-RU"/>
          <w14:ligatures w14:val="none"/>
        </w:rPr>
        <w:t>) is calculated by the formula:</w:t>
      </w:r>
    </w:p>
    <w:p w14:paraId="509D8FA8" w14:textId="1E0D1A13" w:rsidR="000C283C" w:rsidRPr="00A834CC" w:rsidRDefault="00642A89" w:rsidP="00A834CC">
      <w:pPr>
        <w:spacing w:before="120" w:after="120" w:line="240" w:lineRule="auto"/>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T</m:t>
            </m:r>
          </m:sub>
        </m:sSub>
        <m:r>
          <w:rPr>
            <w:rFonts w:ascii="Cambria Math" w:hAnsi="Cambria Math" w:cs="Times New Roman"/>
            <w:sz w:val="20"/>
            <w:szCs w:val="20"/>
            <w:lang w:val="en-US"/>
          </w:rPr>
          <m:t>=</m:t>
        </m:r>
        <m:nary>
          <m:naryPr>
            <m:chr m:val="∑"/>
            <m:limLoc m:val="undOvr"/>
            <m:ctrlPr>
              <w:rPr>
                <w:rFonts w:ascii="Cambria Math" w:hAnsi="Cambria Math" w:cs="Times New Roman"/>
                <w:i/>
                <w:sz w:val="20"/>
                <w:szCs w:val="20"/>
                <w:lang w:val="en-US"/>
              </w:rPr>
            </m:ctrlPr>
          </m:naryPr>
          <m:sub>
            <m:r>
              <w:rPr>
                <w:rFonts w:ascii="Cambria Math" w:hAnsi="Cambria Math" w:cs="Times New Roman"/>
                <w:sz w:val="20"/>
                <w:szCs w:val="20"/>
                <w:lang w:val="en-US"/>
              </w:rPr>
              <m:t>t=1</m:t>
            </m:r>
          </m:sub>
          <m:sup>
            <m:r>
              <w:rPr>
                <w:rFonts w:ascii="Cambria Math" w:hAnsi="Cambria Math" w:cs="Times New Roman"/>
                <w:sz w:val="20"/>
                <w:szCs w:val="20"/>
                <w:lang w:val="en-US"/>
              </w:rPr>
              <m:t>25</m:t>
            </m:r>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A</m:t>
                </m:r>
              </m:sub>
            </m:sSub>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(1-d)</m:t>
                </m:r>
              </m:e>
              <m:sup>
                <m:r>
                  <w:rPr>
                    <w:rFonts w:ascii="Cambria Math" w:hAnsi="Cambria Math" w:cs="Times New Roman"/>
                    <w:sz w:val="20"/>
                    <w:szCs w:val="20"/>
                    <w:lang w:val="en-US"/>
                  </w:rPr>
                  <m:t>t</m:t>
                </m:r>
              </m:sup>
            </m:sSup>
          </m:e>
        </m:nary>
      </m:oMath>
      <w:r w:rsidR="00A834CC" w:rsidRPr="00A834CC">
        <w:rPr>
          <w:rFonts w:ascii="Times New Roman" w:eastAsiaTheme="minorEastAsia" w:hAnsi="Times New Roman" w:cs="Times New Roman"/>
          <w:sz w:val="20"/>
          <w:szCs w:val="20"/>
          <w:lang w:val="en-US"/>
        </w:rPr>
        <w:t xml:space="preserve"> </w:t>
      </w:r>
      <w:r w:rsidR="00A834CC" w:rsidRPr="00A834CC">
        <w:rPr>
          <w:rFonts w:ascii="Times New Roman" w:eastAsiaTheme="minorEastAsia" w:hAnsi="Times New Roman" w:cs="Times New Roman"/>
          <w:sz w:val="20"/>
          <w:szCs w:val="20"/>
          <w:lang w:val="en-US"/>
        </w:rPr>
        <w:tab/>
      </w:r>
      <w:r w:rsidR="00A834CC" w:rsidRPr="00A834CC">
        <w:rPr>
          <w:rFonts w:ascii="Times New Roman" w:eastAsiaTheme="minorEastAsia" w:hAnsi="Times New Roman" w:cs="Times New Roman"/>
          <w:sz w:val="20"/>
          <w:szCs w:val="20"/>
          <w:lang w:val="en-US"/>
        </w:rPr>
        <w:tab/>
      </w:r>
      <w:r w:rsidR="00A834CC" w:rsidRPr="00A834CC">
        <w:rPr>
          <w:rFonts w:ascii="Times New Roman" w:eastAsiaTheme="minorEastAsia" w:hAnsi="Times New Roman" w:cs="Times New Roman"/>
          <w:sz w:val="20"/>
          <w:szCs w:val="20"/>
          <w:lang w:val="en-US"/>
        </w:rPr>
        <w:tab/>
      </w:r>
      <w:r w:rsidR="00A834CC" w:rsidRPr="00A834CC">
        <w:rPr>
          <w:rFonts w:ascii="Times New Roman" w:eastAsiaTheme="minorEastAsia" w:hAnsi="Times New Roman" w:cs="Times New Roman"/>
          <w:sz w:val="20"/>
          <w:szCs w:val="20"/>
          <w:lang w:val="en-US"/>
        </w:rPr>
        <w:tab/>
      </w:r>
      <w:r w:rsidR="00A834CC" w:rsidRPr="00A834CC">
        <w:rPr>
          <w:rFonts w:ascii="Times New Roman" w:eastAsiaTheme="minorEastAsia" w:hAnsi="Times New Roman" w:cs="Times New Roman"/>
          <w:sz w:val="20"/>
          <w:szCs w:val="20"/>
          <w:lang w:val="en-US"/>
        </w:rPr>
        <w:tab/>
        <w:t>(1</w:t>
      </w:r>
      <w:r w:rsidR="0086609B">
        <w:rPr>
          <w:rFonts w:ascii="Times New Roman" w:eastAsiaTheme="minorEastAsia" w:hAnsi="Times New Roman" w:cs="Times New Roman"/>
          <w:sz w:val="20"/>
          <w:szCs w:val="20"/>
          <w:lang w:val="en-US"/>
        </w:rPr>
        <w:t>4</w:t>
      </w:r>
      <w:r w:rsidR="00A834CC" w:rsidRPr="00A834CC">
        <w:rPr>
          <w:rFonts w:ascii="Times New Roman" w:eastAsiaTheme="minorEastAsia" w:hAnsi="Times New Roman" w:cs="Times New Roman"/>
          <w:sz w:val="20"/>
          <w:szCs w:val="20"/>
          <w:lang w:val="en-US"/>
        </w:rPr>
        <w:t>)</w:t>
      </w:r>
    </w:p>
    <w:p w14:paraId="70937ACC" w14:textId="77777777" w:rsidR="00A654DA" w:rsidRPr="00A834CC" w:rsidRDefault="00A654DA"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A834CC">
        <w:rPr>
          <w:rFonts w:ascii="Times New Roman" w:eastAsia="Times New Roman" w:hAnsi="Times New Roman" w:cs="Times New Roman"/>
          <w:kern w:val="0"/>
          <w:sz w:val="20"/>
          <w:szCs w:val="20"/>
          <w:lang w:val="en-US" w:eastAsia="ru-RU"/>
          <w14:ligatures w14:val="none"/>
        </w:rPr>
        <w:t>The calculation result is approximately:</w:t>
      </w:r>
    </w:p>
    <w:p w14:paraId="64DADC4B" w14:textId="6822816E" w:rsidR="00A654DA" w:rsidRPr="00A834CC" w:rsidRDefault="00A654DA" w:rsidP="00A834CC">
      <w:pPr>
        <w:spacing w:after="0" w:line="240" w:lineRule="auto"/>
        <w:ind w:firstLine="284"/>
        <w:jc w:val="center"/>
        <w:rPr>
          <w:rFonts w:ascii="Times New Roman" w:eastAsia="Times New Roman" w:hAnsi="Times New Roman" w:cs="Times New Roman"/>
          <w:kern w:val="0"/>
          <w:sz w:val="20"/>
          <w:szCs w:val="20"/>
          <w:lang w:val="en-US" w:eastAsia="ru-RU"/>
          <w14:ligatures w14:val="none"/>
        </w:rPr>
      </w:pPr>
      <w:r w:rsidRPr="00A834CC">
        <w:rPr>
          <w:rFonts w:ascii="Times New Roman" w:eastAsia="Times New Roman" w:hAnsi="Times New Roman" w:cs="Times New Roman"/>
          <w:kern w:val="0"/>
          <w:sz w:val="20"/>
          <w:szCs w:val="20"/>
          <w:lang w:val="en-US" w:eastAsia="ru-RU"/>
          <w14:ligatures w14:val="none"/>
        </w:rPr>
        <w:t>E</w:t>
      </w:r>
      <w:r w:rsidRPr="00A834CC">
        <w:rPr>
          <w:rFonts w:ascii="Times New Roman" w:eastAsia="Times New Roman" w:hAnsi="Times New Roman" w:cs="Times New Roman"/>
          <w:kern w:val="0"/>
          <w:sz w:val="20"/>
          <w:szCs w:val="20"/>
          <w:vertAlign w:val="subscript"/>
          <w:lang w:val="en-US" w:eastAsia="ru-RU"/>
          <w14:ligatures w14:val="none"/>
        </w:rPr>
        <w:t>T</w:t>
      </w:r>
      <w:r w:rsidRPr="00A834CC">
        <w:rPr>
          <w:rFonts w:ascii="Times New Roman" w:eastAsia="Times New Roman" w:hAnsi="Times New Roman" w:cs="Times New Roman"/>
          <w:kern w:val="0"/>
          <w:sz w:val="20"/>
          <w:szCs w:val="20"/>
          <w:lang w:val="en-US" w:eastAsia="ru-RU"/>
          <w14:ligatures w14:val="none"/>
        </w:rPr>
        <w:t>≈2</w:t>
      </w:r>
      <w:r w:rsidR="000C283C" w:rsidRPr="00A834CC">
        <w:rPr>
          <w:rFonts w:ascii="Times New Roman" w:eastAsia="Times New Roman" w:hAnsi="Times New Roman" w:cs="Times New Roman"/>
          <w:kern w:val="0"/>
          <w:sz w:val="20"/>
          <w:szCs w:val="20"/>
          <w:lang w:val="en-US" w:eastAsia="ru-RU"/>
          <w14:ligatures w14:val="none"/>
        </w:rPr>
        <w:t xml:space="preserve"> </w:t>
      </w:r>
      <w:r w:rsidRPr="00A834CC">
        <w:rPr>
          <w:rFonts w:ascii="Times New Roman" w:eastAsia="Times New Roman" w:hAnsi="Times New Roman" w:cs="Times New Roman"/>
          <w:kern w:val="0"/>
          <w:sz w:val="20"/>
          <w:szCs w:val="20"/>
          <w:lang w:val="en-US" w:eastAsia="ru-RU"/>
          <w14:ligatures w14:val="none"/>
        </w:rPr>
        <w:t>085</w:t>
      </w:r>
      <w:r w:rsidR="00A834CC" w:rsidRPr="00A834CC">
        <w:rPr>
          <w:rFonts w:ascii="Times New Roman" w:eastAsia="Times New Roman" w:hAnsi="Times New Roman" w:cs="Times New Roman"/>
          <w:kern w:val="0"/>
          <w:sz w:val="20"/>
          <w:szCs w:val="20"/>
          <w:lang w:val="en-US" w:eastAsia="ru-RU"/>
          <w14:ligatures w14:val="none"/>
        </w:rPr>
        <w:t> </w:t>
      </w:r>
      <w:r w:rsidRPr="00A834CC">
        <w:rPr>
          <w:rFonts w:ascii="Times New Roman" w:eastAsia="Times New Roman" w:hAnsi="Times New Roman" w:cs="Times New Roman"/>
          <w:kern w:val="0"/>
          <w:sz w:val="20"/>
          <w:szCs w:val="20"/>
          <w:lang w:val="en-US" w:eastAsia="ru-RU"/>
          <w14:ligatures w14:val="none"/>
        </w:rPr>
        <w:t>152</w:t>
      </w:r>
      <w:r w:rsidR="00A834CC" w:rsidRPr="00A834CC">
        <w:rPr>
          <w:rFonts w:ascii="Times New Roman" w:eastAsia="Times New Roman" w:hAnsi="Times New Roman" w:cs="Times New Roman"/>
          <w:kern w:val="0"/>
          <w:sz w:val="20"/>
          <w:szCs w:val="20"/>
          <w:lang w:val="en-US" w:eastAsia="ru-RU"/>
          <w14:ligatures w14:val="none"/>
        </w:rPr>
        <w:t xml:space="preserve"> </w:t>
      </w:r>
      <w:r w:rsidRPr="00A834CC">
        <w:rPr>
          <w:rFonts w:ascii="Times New Roman" w:eastAsia="Times New Roman" w:hAnsi="Times New Roman" w:cs="Times New Roman"/>
          <w:kern w:val="0"/>
          <w:sz w:val="20"/>
          <w:szCs w:val="20"/>
          <w:lang w:val="en-US" w:eastAsia="ru-RU"/>
          <w14:ligatures w14:val="none"/>
        </w:rPr>
        <w:t>kWh</w:t>
      </w:r>
    </w:p>
    <w:p w14:paraId="36F004A3" w14:textId="77777777" w:rsidR="00A321E5" w:rsidRPr="00A834CC" w:rsidRDefault="00A654DA" w:rsidP="00A834CC">
      <w:pPr>
        <w:spacing w:after="0" w:line="240" w:lineRule="auto"/>
        <w:ind w:firstLine="284"/>
        <w:jc w:val="both"/>
        <w:rPr>
          <w:rFonts w:ascii="Times New Roman" w:eastAsia="Times New Roman" w:hAnsi="Times New Roman" w:cs="Times New Roman"/>
          <w:b/>
          <w:bCs/>
          <w:kern w:val="0"/>
          <w:sz w:val="20"/>
          <w:szCs w:val="20"/>
          <w:lang w:val="en-US" w:eastAsia="ru-RU"/>
          <w14:ligatures w14:val="none"/>
        </w:rPr>
      </w:pPr>
      <w:r w:rsidRPr="00A834CC">
        <w:rPr>
          <w:rFonts w:ascii="Times New Roman" w:eastAsia="Times New Roman" w:hAnsi="Times New Roman" w:cs="Times New Roman"/>
          <w:b/>
          <w:bCs/>
          <w:kern w:val="0"/>
          <w:sz w:val="20"/>
          <w:szCs w:val="20"/>
          <w:lang w:val="en-US" w:eastAsia="ru-RU"/>
          <w14:ligatures w14:val="none"/>
        </w:rPr>
        <w:t>Recalculated Payback Period</w:t>
      </w:r>
    </w:p>
    <w:p w14:paraId="21D56CC0" w14:textId="77777777" w:rsidR="00A321E5" w:rsidRPr="00A834CC" w:rsidRDefault="00A654DA"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A834CC">
        <w:rPr>
          <w:rFonts w:ascii="Times New Roman" w:eastAsia="Times New Roman" w:hAnsi="Times New Roman" w:cs="Times New Roman"/>
          <w:kern w:val="0"/>
          <w:sz w:val="20"/>
          <w:szCs w:val="20"/>
          <w:lang w:val="en-US" w:eastAsia="ru-RU"/>
          <w14:ligatures w14:val="none"/>
        </w:rPr>
        <w:t>The payback period is recalculated taking into account the annual decrease in efficiency. The annual revenue of the project is calculated as:</w:t>
      </w:r>
    </w:p>
    <w:p w14:paraId="1E52AAD7" w14:textId="6D968C46" w:rsidR="00A321E5" w:rsidRPr="00A834CC" w:rsidRDefault="00A321E5" w:rsidP="00A834CC">
      <w:pPr>
        <w:spacing w:before="120" w:after="120" w:line="240" w:lineRule="auto"/>
        <w:jc w:val="right"/>
        <w:rPr>
          <w:rFonts w:ascii="Times New Roman" w:hAnsi="Times New Roman" w:cs="Times New Roman"/>
          <w:sz w:val="20"/>
          <w:szCs w:val="20"/>
          <w:lang w:val="en-US"/>
        </w:rPr>
      </w:pPr>
      <w:proofErr w:type="spellStart"/>
      <w:r w:rsidRPr="00A834CC">
        <w:rPr>
          <w:rFonts w:ascii="Times New Roman" w:hAnsi="Times New Roman" w:cs="Times New Roman"/>
          <w:sz w:val="20"/>
          <w:szCs w:val="20"/>
          <w:lang w:val="en-US"/>
        </w:rPr>
        <w:t>CF</w:t>
      </w:r>
      <w:r w:rsidRPr="00A834CC">
        <w:rPr>
          <w:rFonts w:ascii="Times New Roman" w:hAnsi="Times New Roman" w:cs="Times New Roman"/>
          <w:sz w:val="20"/>
          <w:szCs w:val="20"/>
          <w:vertAlign w:val="subscript"/>
          <w:lang w:val="en-US"/>
        </w:rPr>
        <w:t>t</w:t>
      </w:r>
      <w:proofErr w:type="spellEnd"/>
      <w:r w:rsidRPr="00A834CC">
        <w:rPr>
          <w:rFonts w:ascii="Times New Roman" w:hAnsi="Times New Roman" w:cs="Times New Roman"/>
          <w:sz w:val="20"/>
          <w:szCs w:val="20"/>
          <w:lang w:val="en-US"/>
        </w:rPr>
        <w:t>=</w:t>
      </w:r>
      <w:proofErr w:type="spellStart"/>
      <w:r w:rsidRPr="00A834CC">
        <w:rPr>
          <w:rFonts w:ascii="Times New Roman" w:hAnsi="Times New Roman" w:cs="Times New Roman"/>
          <w:sz w:val="20"/>
          <w:szCs w:val="20"/>
          <w:lang w:val="en-US"/>
        </w:rPr>
        <w:t>E</w:t>
      </w:r>
      <w:r w:rsidRPr="00A834CC">
        <w:rPr>
          <w:rFonts w:ascii="Times New Roman" w:hAnsi="Times New Roman" w:cs="Times New Roman"/>
          <w:sz w:val="20"/>
          <w:szCs w:val="20"/>
          <w:vertAlign w:val="subscript"/>
          <w:lang w:val="en-US"/>
        </w:rPr>
        <w:t>t</w:t>
      </w:r>
      <w:r w:rsidRPr="00A834CC">
        <w:rPr>
          <w:rFonts w:ascii="Cambria Math" w:hAnsi="Cambria Math" w:cs="Cambria Math"/>
          <w:sz w:val="20"/>
          <w:szCs w:val="20"/>
          <w:lang w:val="en-US"/>
        </w:rPr>
        <w:t>⋅</w:t>
      </w:r>
      <w:r w:rsidRPr="00A834CC">
        <w:rPr>
          <w:rFonts w:ascii="Times New Roman" w:hAnsi="Times New Roman" w:cs="Times New Roman"/>
          <w:sz w:val="20"/>
          <w:szCs w:val="20"/>
          <w:lang w:val="en-US"/>
        </w:rPr>
        <w:t>P</w:t>
      </w:r>
      <w:proofErr w:type="spellEnd"/>
      <w:r w:rsidR="00A834CC">
        <w:rPr>
          <w:rFonts w:ascii="Times New Roman" w:hAnsi="Times New Roman" w:cs="Times New Roman"/>
          <w:sz w:val="20"/>
          <w:szCs w:val="20"/>
          <w:lang w:val="en-US"/>
        </w:rPr>
        <w:t xml:space="preserve"> </w:t>
      </w:r>
      <w:r w:rsidR="00A834CC">
        <w:rPr>
          <w:rFonts w:ascii="Times New Roman" w:hAnsi="Times New Roman" w:cs="Times New Roman"/>
          <w:sz w:val="20"/>
          <w:szCs w:val="20"/>
          <w:lang w:val="en-US"/>
        </w:rPr>
        <w:tab/>
      </w:r>
      <w:r w:rsidR="00A834CC">
        <w:rPr>
          <w:rFonts w:ascii="Times New Roman" w:hAnsi="Times New Roman" w:cs="Times New Roman"/>
          <w:sz w:val="20"/>
          <w:szCs w:val="20"/>
          <w:lang w:val="en-US"/>
        </w:rPr>
        <w:tab/>
      </w:r>
      <w:r w:rsidR="00A834CC">
        <w:rPr>
          <w:rFonts w:ascii="Times New Roman" w:hAnsi="Times New Roman" w:cs="Times New Roman"/>
          <w:sz w:val="20"/>
          <w:szCs w:val="20"/>
          <w:lang w:val="en-US"/>
        </w:rPr>
        <w:tab/>
      </w:r>
      <w:r w:rsidR="00A834CC">
        <w:rPr>
          <w:rFonts w:ascii="Times New Roman" w:hAnsi="Times New Roman" w:cs="Times New Roman"/>
          <w:sz w:val="20"/>
          <w:szCs w:val="20"/>
          <w:lang w:val="en-US"/>
        </w:rPr>
        <w:tab/>
      </w:r>
      <w:r w:rsidR="00A834CC">
        <w:rPr>
          <w:rFonts w:ascii="Times New Roman" w:hAnsi="Times New Roman" w:cs="Times New Roman"/>
          <w:sz w:val="20"/>
          <w:szCs w:val="20"/>
          <w:lang w:val="en-US"/>
        </w:rPr>
        <w:tab/>
      </w:r>
      <w:r w:rsidR="00A834CC">
        <w:rPr>
          <w:rFonts w:ascii="Times New Roman" w:hAnsi="Times New Roman" w:cs="Times New Roman"/>
          <w:sz w:val="20"/>
          <w:szCs w:val="20"/>
          <w:lang w:val="en-US"/>
        </w:rPr>
        <w:tab/>
        <w:t>(1</w:t>
      </w:r>
      <w:r w:rsidR="0086609B">
        <w:rPr>
          <w:rFonts w:ascii="Times New Roman" w:hAnsi="Times New Roman" w:cs="Times New Roman"/>
          <w:sz w:val="20"/>
          <w:szCs w:val="20"/>
          <w:lang w:val="en-US"/>
        </w:rPr>
        <w:t>5</w:t>
      </w:r>
      <w:r w:rsidR="00A834CC">
        <w:rPr>
          <w:rFonts w:ascii="Times New Roman" w:hAnsi="Times New Roman" w:cs="Times New Roman"/>
          <w:sz w:val="20"/>
          <w:szCs w:val="20"/>
          <w:lang w:val="en-US"/>
        </w:rPr>
        <w:t>)</w:t>
      </w:r>
    </w:p>
    <w:p w14:paraId="38DE6D6C" w14:textId="68BD46B2" w:rsidR="00A654DA" w:rsidRPr="00A834CC" w:rsidRDefault="00A834CC" w:rsidP="00A834CC">
      <w:pPr>
        <w:spacing w:after="0" w:line="240" w:lineRule="auto"/>
        <w:jc w:val="both"/>
        <w:rPr>
          <w:rFonts w:ascii="Times New Roman" w:eastAsia="Times New Roman" w:hAnsi="Times New Roman" w:cs="Times New Roman"/>
          <w:kern w:val="0"/>
          <w:sz w:val="20"/>
          <w:szCs w:val="20"/>
          <w:lang w:val="en-US" w:eastAsia="ru-RU"/>
          <w14:ligatures w14:val="none"/>
        </w:rPr>
      </w:pPr>
      <w:r>
        <w:rPr>
          <w:rFonts w:ascii="Times New Roman" w:eastAsia="Times New Roman" w:hAnsi="Times New Roman" w:cs="Times New Roman"/>
          <w:kern w:val="0"/>
          <w:sz w:val="20"/>
          <w:szCs w:val="20"/>
          <w:lang w:val="en-US" w:eastAsia="ru-RU"/>
          <w14:ligatures w14:val="none"/>
        </w:rPr>
        <w:t>w</w:t>
      </w:r>
      <w:r w:rsidR="00A654DA" w:rsidRPr="00A834CC">
        <w:rPr>
          <w:rFonts w:ascii="Times New Roman" w:eastAsia="Times New Roman" w:hAnsi="Times New Roman" w:cs="Times New Roman"/>
          <w:kern w:val="0"/>
          <w:sz w:val="20"/>
          <w:szCs w:val="20"/>
          <w:lang w:val="en-US" w:eastAsia="ru-RU"/>
          <w14:ligatures w14:val="none"/>
        </w:rPr>
        <w:t>here:</w:t>
      </w:r>
      <w:r>
        <w:rPr>
          <w:rFonts w:ascii="Times New Roman" w:eastAsia="Times New Roman" w:hAnsi="Times New Roman" w:cs="Times New Roman"/>
          <w:kern w:val="0"/>
          <w:sz w:val="20"/>
          <w:szCs w:val="20"/>
          <w:lang w:val="en-US" w:eastAsia="ru-RU"/>
          <w14:ligatures w14:val="none"/>
        </w:rPr>
        <w:t xml:space="preserve"> </w:t>
      </w:r>
      <w:r w:rsidR="00A654DA" w:rsidRPr="00A834CC">
        <w:rPr>
          <w:rFonts w:ascii="Times New Roman" w:eastAsia="Times New Roman" w:hAnsi="Times New Roman" w:cs="Times New Roman"/>
          <w:kern w:val="0"/>
          <w:sz w:val="20"/>
          <w:szCs w:val="20"/>
          <w:lang w:val="en-US" w:eastAsia="ru-RU"/>
          <w14:ligatures w14:val="none"/>
        </w:rPr>
        <w:t>P=0.081 USD/kWh — electricity selling price</w:t>
      </w:r>
      <w:r>
        <w:rPr>
          <w:rFonts w:ascii="Times New Roman" w:eastAsia="Times New Roman" w:hAnsi="Times New Roman" w:cs="Times New Roman"/>
          <w:kern w:val="0"/>
          <w:sz w:val="20"/>
          <w:szCs w:val="20"/>
          <w:lang w:val="en-US" w:eastAsia="ru-RU"/>
          <w14:ligatures w14:val="none"/>
        </w:rPr>
        <w:t xml:space="preserve">; </w:t>
      </w:r>
      <w:r w:rsidR="00A321E5" w:rsidRPr="00A834CC">
        <w:rPr>
          <w:rFonts w:ascii="Times New Roman" w:hAnsi="Times New Roman" w:cs="Times New Roman"/>
          <w:sz w:val="20"/>
          <w:szCs w:val="20"/>
          <w:lang w:val="en-US"/>
        </w:rPr>
        <w:t>E</w:t>
      </w:r>
      <w:r w:rsidR="00A321E5" w:rsidRPr="00A834CC">
        <w:rPr>
          <w:rFonts w:ascii="Times New Roman" w:hAnsi="Times New Roman" w:cs="Times New Roman"/>
          <w:sz w:val="20"/>
          <w:szCs w:val="20"/>
          <w:vertAlign w:val="subscript"/>
          <w:lang w:val="en-US"/>
        </w:rPr>
        <w:t>t</w:t>
      </w:r>
      <w:r w:rsidR="00A654DA" w:rsidRPr="00A834CC">
        <w:rPr>
          <w:rFonts w:ascii="Times New Roman" w:eastAsia="Times New Roman" w:hAnsi="Times New Roman" w:cs="Times New Roman"/>
          <w:kern w:val="0"/>
          <w:sz w:val="20"/>
          <w:szCs w:val="20"/>
          <w:lang w:val="en-US" w:eastAsia="ru-RU"/>
          <w14:ligatures w14:val="none"/>
        </w:rPr>
        <w:t>— annual electricity production (kWh)</w:t>
      </w:r>
      <w:r>
        <w:rPr>
          <w:rFonts w:ascii="Times New Roman" w:eastAsia="Times New Roman" w:hAnsi="Times New Roman" w:cs="Times New Roman"/>
          <w:kern w:val="0"/>
          <w:sz w:val="20"/>
          <w:szCs w:val="20"/>
          <w:lang w:val="en-US" w:eastAsia="ru-RU"/>
          <w14:ligatures w14:val="none"/>
        </w:rPr>
        <w:t>.</w:t>
      </w:r>
    </w:p>
    <w:p w14:paraId="4818A166" w14:textId="38686440" w:rsidR="00A654DA" w:rsidRPr="00A834CC" w:rsidRDefault="00A654DA"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A834CC">
        <w:rPr>
          <w:rFonts w:ascii="Times New Roman" w:eastAsia="Times New Roman" w:hAnsi="Times New Roman" w:cs="Times New Roman"/>
          <w:kern w:val="0"/>
          <w:sz w:val="20"/>
          <w:szCs w:val="20"/>
          <w:lang w:val="en-US" w:eastAsia="ru-RU"/>
          <w14:ligatures w14:val="none"/>
        </w:rPr>
        <w:t xml:space="preserve">With an initial investment cost </w:t>
      </w:r>
      <w:r w:rsidR="00A321E5" w:rsidRPr="00A834CC">
        <w:rPr>
          <w:rFonts w:ascii="Times New Roman" w:hAnsi="Times New Roman" w:cs="Times New Roman"/>
          <w:sz w:val="20"/>
          <w:szCs w:val="20"/>
          <w:lang w:val="en-US"/>
        </w:rPr>
        <w:t>IC</w:t>
      </w:r>
      <w:r w:rsidR="00A321E5" w:rsidRPr="00A834CC">
        <w:rPr>
          <w:rFonts w:ascii="Times New Roman" w:hAnsi="Times New Roman" w:cs="Times New Roman"/>
          <w:sz w:val="20"/>
          <w:szCs w:val="20"/>
          <w:vertAlign w:val="subscript"/>
          <w:lang w:val="en-US"/>
        </w:rPr>
        <w:t>0</w:t>
      </w:r>
      <w:r w:rsidRPr="00A834CC">
        <w:rPr>
          <w:rFonts w:ascii="Times New Roman" w:eastAsia="Times New Roman" w:hAnsi="Times New Roman" w:cs="Times New Roman"/>
          <w:kern w:val="0"/>
          <w:sz w:val="20"/>
          <w:szCs w:val="20"/>
          <w:lang w:val="en-US" w:eastAsia="ru-RU"/>
          <w14:ligatures w14:val="none"/>
        </w:rPr>
        <w:t>=1</w:t>
      </w:r>
      <w:r w:rsidR="00A321E5" w:rsidRPr="00A834CC">
        <w:rPr>
          <w:rFonts w:ascii="Times New Roman" w:eastAsia="Times New Roman" w:hAnsi="Times New Roman" w:cs="Times New Roman"/>
          <w:kern w:val="0"/>
          <w:sz w:val="20"/>
          <w:szCs w:val="20"/>
          <w:lang w:val="en-US" w:eastAsia="ru-RU"/>
          <w14:ligatures w14:val="none"/>
        </w:rPr>
        <w:t> </w:t>
      </w:r>
      <w:r w:rsidRPr="00A834CC">
        <w:rPr>
          <w:rFonts w:ascii="Times New Roman" w:eastAsia="Times New Roman" w:hAnsi="Times New Roman" w:cs="Times New Roman"/>
          <w:kern w:val="0"/>
          <w:sz w:val="20"/>
          <w:szCs w:val="20"/>
          <w:lang w:val="en-US" w:eastAsia="ru-RU"/>
          <w14:ligatures w14:val="none"/>
        </w:rPr>
        <w:t>000</w:t>
      </w:r>
      <w:r w:rsidR="00A321E5" w:rsidRPr="00A834CC">
        <w:rPr>
          <w:rFonts w:ascii="Times New Roman" w:eastAsia="Times New Roman" w:hAnsi="Times New Roman" w:cs="Times New Roman"/>
          <w:kern w:val="0"/>
          <w:sz w:val="20"/>
          <w:szCs w:val="20"/>
          <w:lang w:val="en-US" w:eastAsia="ru-RU"/>
          <w14:ligatures w14:val="none"/>
        </w:rPr>
        <w:t> </w:t>
      </w:r>
      <w:r w:rsidRPr="00A834CC">
        <w:rPr>
          <w:rFonts w:ascii="Times New Roman" w:eastAsia="Times New Roman" w:hAnsi="Times New Roman" w:cs="Times New Roman"/>
          <w:kern w:val="0"/>
          <w:sz w:val="20"/>
          <w:szCs w:val="20"/>
          <w:lang w:val="en-US" w:eastAsia="ru-RU"/>
          <w14:ligatures w14:val="none"/>
        </w:rPr>
        <w:t>000</w:t>
      </w:r>
      <w:r w:rsidR="00A321E5" w:rsidRPr="00A834CC">
        <w:rPr>
          <w:rFonts w:ascii="Times New Roman" w:eastAsia="Times New Roman" w:hAnsi="Times New Roman" w:cs="Times New Roman"/>
          <w:kern w:val="0"/>
          <w:sz w:val="20"/>
          <w:szCs w:val="20"/>
          <w:lang w:val="en-US" w:eastAsia="ru-RU"/>
          <w14:ligatures w14:val="none"/>
        </w:rPr>
        <w:t xml:space="preserve"> </w:t>
      </w:r>
      <w:r w:rsidRPr="00A834CC">
        <w:rPr>
          <w:rFonts w:ascii="Times New Roman" w:eastAsia="Times New Roman" w:hAnsi="Times New Roman" w:cs="Times New Roman"/>
          <w:kern w:val="0"/>
          <w:sz w:val="20"/>
          <w:szCs w:val="20"/>
          <w:lang w:val="en-US" w:eastAsia="ru-RU"/>
          <w14:ligatures w14:val="none"/>
        </w:rPr>
        <w:t>000 UZS, the payback period, defined as the time when accumulated revenues cover the investment, is calculated by:</w:t>
      </w:r>
    </w:p>
    <w:p w14:paraId="73F4A5BC" w14:textId="0F985DF8" w:rsidR="00A654DA" w:rsidRPr="00A834CC" w:rsidRDefault="003F1A11" w:rsidP="00A834CC">
      <w:pPr>
        <w:spacing w:before="120" w:after="120" w:line="240" w:lineRule="auto"/>
        <w:ind w:firstLine="284"/>
        <w:jc w:val="right"/>
        <w:rPr>
          <w:rFonts w:ascii="Times New Roman" w:eastAsia="Times New Roman" w:hAnsi="Times New Roman" w:cs="Times New Roman"/>
          <w:kern w:val="0"/>
          <w:sz w:val="20"/>
          <w:szCs w:val="20"/>
          <w:lang w:val="en-US" w:eastAsia="ru-RU"/>
          <w14:ligatures w14:val="none"/>
        </w:rPr>
      </w:pPr>
      <m:oMath>
        <m:r>
          <w:rPr>
            <w:rFonts w:ascii="Cambria Math" w:hAnsi="Cambria Math" w:cs="Times New Roman"/>
            <w:sz w:val="20"/>
            <w:szCs w:val="20"/>
            <w:lang w:val="en-US"/>
          </w:rPr>
          <m:t>PP=</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IC</m:t>
                </m:r>
              </m:e>
              <m:sub>
                <m:r>
                  <w:rPr>
                    <w:rFonts w:ascii="Cambria Math" w:hAnsi="Cambria Math" w:cs="Times New Roman"/>
                    <w:sz w:val="20"/>
                    <w:szCs w:val="20"/>
                    <w:lang w:val="en-US"/>
                  </w:rPr>
                  <m:t>0</m:t>
                </m:r>
              </m:sub>
            </m:sSub>
          </m:num>
          <m:den>
            <m:nary>
              <m:naryPr>
                <m:chr m:val="∑"/>
                <m:limLoc m:val="subSup"/>
                <m:ctrlPr>
                  <w:rPr>
                    <w:rFonts w:ascii="Cambria Math" w:hAnsi="Cambria Math" w:cs="Times New Roman"/>
                    <w:i/>
                    <w:sz w:val="20"/>
                    <w:szCs w:val="20"/>
                    <w:lang w:val="en-US"/>
                  </w:rPr>
                </m:ctrlPr>
              </m:naryPr>
              <m:sub>
                <m:r>
                  <w:rPr>
                    <w:rFonts w:ascii="Cambria Math" w:hAnsi="Cambria Math" w:cs="Times New Roman"/>
                    <w:sz w:val="20"/>
                    <w:szCs w:val="20"/>
                    <w:lang w:val="en-US"/>
                  </w:rPr>
                  <m:t>t=1</m:t>
                </m:r>
              </m:sub>
              <m:sup>
                <m:r>
                  <w:rPr>
                    <w:rFonts w:ascii="Cambria Math" w:hAnsi="Cambria Math" w:cs="Times New Roman"/>
                    <w:sz w:val="20"/>
                    <w:szCs w:val="20"/>
                    <w:lang w:val="en-US"/>
                  </w:rPr>
                  <m:t>T</m:t>
                </m:r>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CF</m:t>
                    </m:r>
                  </m:e>
                  <m:sub>
                    <m:r>
                      <w:rPr>
                        <w:rFonts w:ascii="Cambria Math" w:hAnsi="Cambria Math" w:cs="Times New Roman"/>
                        <w:sz w:val="20"/>
                        <w:szCs w:val="20"/>
                        <w:lang w:val="en-US"/>
                      </w:rPr>
                      <m:t>t</m:t>
                    </m:r>
                  </m:sub>
                </m:sSub>
              </m:e>
            </m:nary>
          </m:den>
        </m:f>
      </m:oMath>
      <w:r w:rsidR="00A834CC">
        <w:rPr>
          <w:rFonts w:ascii="Times New Roman" w:eastAsia="Times New Roman" w:hAnsi="Times New Roman" w:cs="Times New Roman"/>
          <w:kern w:val="0"/>
          <w:sz w:val="20"/>
          <w:szCs w:val="20"/>
          <w:lang w:val="en-US" w:eastAsia="ru-RU"/>
          <w14:ligatures w14:val="none"/>
        </w:rPr>
        <w:t xml:space="preserve"> </w:t>
      </w:r>
      <w:r w:rsidR="00A834CC">
        <w:rPr>
          <w:rFonts w:ascii="Times New Roman" w:eastAsia="Times New Roman" w:hAnsi="Times New Roman" w:cs="Times New Roman"/>
          <w:kern w:val="0"/>
          <w:sz w:val="20"/>
          <w:szCs w:val="20"/>
          <w:lang w:val="en-US" w:eastAsia="ru-RU"/>
          <w14:ligatures w14:val="none"/>
        </w:rPr>
        <w:tab/>
      </w:r>
      <w:r w:rsidR="00A834CC">
        <w:rPr>
          <w:rFonts w:ascii="Times New Roman" w:eastAsia="Times New Roman" w:hAnsi="Times New Roman" w:cs="Times New Roman"/>
          <w:kern w:val="0"/>
          <w:sz w:val="20"/>
          <w:szCs w:val="20"/>
          <w:lang w:val="en-US" w:eastAsia="ru-RU"/>
          <w14:ligatures w14:val="none"/>
        </w:rPr>
        <w:tab/>
      </w:r>
      <w:r w:rsidR="00A834CC">
        <w:rPr>
          <w:rFonts w:ascii="Times New Roman" w:eastAsia="Times New Roman" w:hAnsi="Times New Roman" w:cs="Times New Roman"/>
          <w:kern w:val="0"/>
          <w:sz w:val="20"/>
          <w:szCs w:val="20"/>
          <w:lang w:val="en-US" w:eastAsia="ru-RU"/>
          <w14:ligatures w14:val="none"/>
        </w:rPr>
        <w:tab/>
      </w:r>
      <w:r w:rsidR="00A834CC">
        <w:rPr>
          <w:rFonts w:ascii="Times New Roman" w:eastAsia="Times New Roman" w:hAnsi="Times New Roman" w:cs="Times New Roman"/>
          <w:kern w:val="0"/>
          <w:sz w:val="20"/>
          <w:szCs w:val="20"/>
          <w:lang w:val="en-US" w:eastAsia="ru-RU"/>
          <w14:ligatures w14:val="none"/>
        </w:rPr>
        <w:tab/>
      </w:r>
      <w:r w:rsidR="00A834CC">
        <w:rPr>
          <w:rFonts w:ascii="Times New Roman" w:eastAsia="Times New Roman" w:hAnsi="Times New Roman" w:cs="Times New Roman"/>
          <w:kern w:val="0"/>
          <w:sz w:val="20"/>
          <w:szCs w:val="20"/>
          <w:lang w:val="en-US" w:eastAsia="ru-RU"/>
          <w14:ligatures w14:val="none"/>
        </w:rPr>
        <w:tab/>
      </w:r>
      <w:r w:rsidR="00A834CC">
        <w:rPr>
          <w:rFonts w:ascii="Times New Roman" w:eastAsia="Times New Roman" w:hAnsi="Times New Roman" w:cs="Times New Roman"/>
          <w:kern w:val="0"/>
          <w:sz w:val="20"/>
          <w:szCs w:val="20"/>
          <w:lang w:val="en-US" w:eastAsia="ru-RU"/>
          <w14:ligatures w14:val="none"/>
        </w:rPr>
        <w:tab/>
      </w:r>
      <w:r w:rsidR="00A834CC">
        <w:rPr>
          <w:rFonts w:ascii="Times New Roman" w:eastAsia="Times New Roman" w:hAnsi="Times New Roman" w:cs="Times New Roman"/>
          <w:kern w:val="0"/>
          <w:sz w:val="20"/>
          <w:szCs w:val="20"/>
          <w:lang w:val="en-US" w:eastAsia="ru-RU"/>
          <w14:ligatures w14:val="none"/>
        </w:rPr>
        <w:tab/>
        <w:t>(1</w:t>
      </w:r>
      <w:r w:rsidR="0086609B">
        <w:rPr>
          <w:rFonts w:ascii="Times New Roman" w:eastAsia="Times New Roman" w:hAnsi="Times New Roman" w:cs="Times New Roman"/>
          <w:kern w:val="0"/>
          <w:sz w:val="20"/>
          <w:szCs w:val="20"/>
          <w:lang w:val="en-US" w:eastAsia="ru-RU"/>
          <w14:ligatures w14:val="none"/>
        </w:rPr>
        <w:t>6</w:t>
      </w:r>
      <w:r w:rsidR="00A834CC">
        <w:rPr>
          <w:rFonts w:ascii="Times New Roman" w:eastAsia="Times New Roman" w:hAnsi="Times New Roman" w:cs="Times New Roman"/>
          <w:kern w:val="0"/>
          <w:sz w:val="20"/>
          <w:szCs w:val="20"/>
          <w:lang w:val="en-US" w:eastAsia="ru-RU"/>
          <w14:ligatures w14:val="none"/>
        </w:rPr>
        <w:t>)</w:t>
      </w:r>
    </w:p>
    <w:p w14:paraId="0B871BC8" w14:textId="77777777" w:rsidR="00A654DA" w:rsidRPr="00A834CC" w:rsidRDefault="00A654DA" w:rsidP="00A834CC">
      <w:pPr>
        <w:spacing w:after="0" w:line="240" w:lineRule="auto"/>
        <w:ind w:firstLine="284"/>
        <w:jc w:val="both"/>
        <w:rPr>
          <w:rFonts w:ascii="Times New Roman" w:eastAsia="Times New Roman" w:hAnsi="Times New Roman" w:cs="Times New Roman"/>
          <w:kern w:val="0"/>
          <w:sz w:val="20"/>
          <w:szCs w:val="20"/>
          <w:lang w:val="uz-Cyrl-UZ" w:eastAsia="ru-RU"/>
          <w14:ligatures w14:val="none"/>
        </w:rPr>
      </w:pPr>
      <w:r w:rsidRPr="00A834CC">
        <w:rPr>
          <w:rFonts w:ascii="Times New Roman" w:eastAsia="Times New Roman" w:hAnsi="Times New Roman" w:cs="Times New Roman"/>
          <w:kern w:val="0"/>
          <w:sz w:val="20"/>
          <w:szCs w:val="20"/>
          <w:lang w:val="en-US" w:eastAsia="ru-RU"/>
          <w14:ligatures w14:val="none"/>
        </w:rPr>
        <w:t>Since annual cash flow decreases due to efficiency degradation, the total payback period is calculated to be approximately 8.3 years.</w:t>
      </w:r>
    </w:p>
    <w:p w14:paraId="0B7779FB" w14:textId="2391B0EE" w:rsidR="001B4A2A" w:rsidRDefault="003F1A11" w:rsidP="00497ECA">
      <w:pPr>
        <w:spacing w:before="240" w:after="240" w:line="240" w:lineRule="auto"/>
        <w:jc w:val="center"/>
        <w:rPr>
          <w:rFonts w:ascii="Times New Roman" w:eastAsia="Times New Roman" w:hAnsi="Times New Roman" w:cs="Times New Roman"/>
          <w:b/>
          <w:bCs/>
          <w:kern w:val="0"/>
          <w:sz w:val="24"/>
          <w:szCs w:val="24"/>
          <w:lang w:val="en-US" w:eastAsia="ru-RU"/>
          <w14:ligatures w14:val="none"/>
        </w:rPr>
      </w:pPr>
      <w:r w:rsidRPr="003F1A11">
        <w:rPr>
          <w:rFonts w:ascii="Times New Roman" w:eastAsia="Times New Roman" w:hAnsi="Times New Roman" w:cs="Times New Roman"/>
          <w:b/>
          <w:bCs/>
          <w:kern w:val="0"/>
          <w:sz w:val="24"/>
          <w:szCs w:val="24"/>
          <w:lang w:val="en-US" w:eastAsia="ru-RU"/>
          <w14:ligatures w14:val="none"/>
        </w:rPr>
        <w:t>CONCLUSION</w:t>
      </w:r>
    </w:p>
    <w:p w14:paraId="3DDEB2E4" w14:textId="0CD96800" w:rsidR="00A654DA" w:rsidRPr="00B34A03" w:rsidRDefault="00172037" w:rsidP="00497ECA">
      <w:pPr>
        <w:spacing w:before="240" w:after="240" w:line="240" w:lineRule="auto"/>
        <w:ind w:firstLine="284"/>
        <w:jc w:val="both"/>
        <w:rPr>
          <w:rFonts w:ascii="Times New Roman" w:eastAsia="Times New Roman" w:hAnsi="Times New Roman" w:cs="Times New Roman"/>
          <w:kern w:val="0"/>
          <w:sz w:val="20"/>
          <w:szCs w:val="20"/>
          <w:lang w:val="en-US" w:eastAsia="ru-RU"/>
          <w14:ligatures w14:val="none"/>
        </w:rPr>
      </w:pPr>
      <w:r w:rsidRPr="00172037">
        <w:rPr>
          <w:rFonts w:ascii="Times New Roman" w:hAnsi="Times New Roman" w:cs="Times New Roman"/>
          <w:sz w:val="20"/>
          <w:lang w:val="en-US"/>
        </w:rPr>
        <w:t>Studies on solar energy utilization in Uzbekistan indicate that the 100kW solar photovoltaic system installed in Andijan performs effectively under the region’s climatic conditions</w:t>
      </w:r>
      <w:r w:rsidR="00A654DA" w:rsidRPr="00172037">
        <w:rPr>
          <w:rFonts w:ascii="Times New Roman" w:eastAsia="Times New Roman" w:hAnsi="Times New Roman" w:cs="Times New Roman"/>
          <w:kern w:val="0"/>
          <w:sz w:val="20"/>
          <w:lang w:val="en-US" w:eastAsia="ru-RU"/>
          <w14:ligatures w14:val="none"/>
        </w:rPr>
        <w:t xml:space="preserve">. </w:t>
      </w:r>
      <w:r w:rsidR="00A654DA" w:rsidRPr="00B34A03">
        <w:rPr>
          <w:rFonts w:ascii="Times New Roman" w:eastAsia="Times New Roman" w:hAnsi="Times New Roman" w:cs="Times New Roman"/>
          <w:kern w:val="0"/>
          <w:sz w:val="20"/>
          <w:szCs w:val="20"/>
          <w:lang w:val="en-US" w:eastAsia="ru-RU"/>
          <w14:ligatures w14:val="none"/>
        </w:rPr>
        <w:t>In 2024, the system produced 96</w:t>
      </w:r>
      <w:r w:rsidR="003F1A11">
        <w:rPr>
          <w:rFonts w:ascii="Times New Roman" w:eastAsia="Times New Roman" w:hAnsi="Times New Roman" w:cs="Times New Roman"/>
          <w:kern w:val="0"/>
          <w:sz w:val="20"/>
          <w:szCs w:val="20"/>
          <w:lang w:val="en-US" w:eastAsia="ru-RU"/>
          <w14:ligatures w14:val="none"/>
        </w:rPr>
        <w:t> </w:t>
      </w:r>
      <w:r w:rsidR="00A654DA" w:rsidRPr="00B34A03">
        <w:rPr>
          <w:rFonts w:ascii="Times New Roman" w:eastAsia="Times New Roman" w:hAnsi="Times New Roman" w:cs="Times New Roman"/>
          <w:kern w:val="0"/>
          <w:sz w:val="20"/>
          <w:szCs w:val="20"/>
          <w:lang w:val="en-US" w:eastAsia="ru-RU"/>
          <w14:ligatures w14:val="none"/>
        </w:rPr>
        <w:t>974</w:t>
      </w:r>
      <w:r w:rsidR="003F1A11">
        <w:rPr>
          <w:rFonts w:ascii="Times New Roman" w:eastAsia="Times New Roman" w:hAnsi="Times New Roman" w:cs="Times New Roman"/>
          <w:kern w:val="0"/>
          <w:sz w:val="20"/>
          <w:szCs w:val="20"/>
          <w:lang w:val="en-US" w:eastAsia="ru-RU"/>
          <w14:ligatures w14:val="none"/>
        </w:rPr>
        <w:t>,</w:t>
      </w:r>
      <w:r w:rsidR="00A654DA" w:rsidRPr="00B34A03">
        <w:rPr>
          <w:rFonts w:ascii="Times New Roman" w:eastAsia="Times New Roman" w:hAnsi="Times New Roman" w:cs="Times New Roman"/>
          <w:kern w:val="0"/>
          <w:sz w:val="20"/>
          <w:szCs w:val="20"/>
          <w:lang w:val="en-US" w:eastAsia="ru-RU"/>
          <w14:ligatures w14:val="none"/>
        </w:rPr>
        <w:t>04 kWh of electricity, which corresponds to indicators aligned with the project’s goals for the local environment.</w:t>
      </w:r>
    </w:p>
    <w:p w14:paraId="23819A70" w14:textId="77777777" w:rsidR="00A654DA" w:rsidRPr="00B34A03" w:rsidRDefault="00A654DA" w:rsidP="003F1A11">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B34A03">
        <w:rPr>
          <w:rFonts w:ascii="Times New Roman" w:eastAsia="Times New Roman" w:hAnsi="Times New Roman" w:cs="Times New Roman"/>
          <w:kern w:val="0"/>
          <w:sz w:val="20"/>
          <w:szCs w:val="20"/>
          <w:lang w:val="en-US" w:eastAsia="ru-RU"/>
          <w14:ligatures w14:val="none"/>
        </w:rPr>
        <w:lastRenderedPageBreak/>
        <w:t>High production levels were observed in spring and summer months, while efficiency declined during autumn and winter. The annual decrease in efficiency is mainly related to climate conditions, solar radiation, and technical losses, and accounting for this is crucial for ensuring the system’s long-term stability.</w:t>
      </w:r>
    </w:p>
    <w:p w14:paraId="3E0E8AB6" w14:textId="64E7F8CB" w:rsidR="00A654DA" w:rsidRDefault="00AE02A9" w:rsidP="00086EAE">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AE02A9">
        <w:rPr>
          <w:rFonts w:ascii="Times New Roman" w:hAnsi="Times New Roman" w:cs="Times New Roman"/>
          <w:sz w:val="20"/>
          <w:lang w:val="en-US"/>
        </w:rPr>
        <w:t>The electricity generated by the system has demonstrated economic advantages according to Uzbekistan’s tiered tariff structure.</w:t>
      </w:r>
      <w:r>
        <w:rPr>
          <w:lang w:val="en-US"/>
        </w:rPr>
        <w:t xml:space="preserve"> </w:t>
      </w:r>
      <w:r w:rsidR="00A654DA" w:rsidRPr="00B34A03">
        <w:rPr>
          <w:rFonts w:ascii="Times New Roman" w:eastAsia="Times New Roman" w:hAnsi="Times New Roman" w:cs="Times New Roman"/>
          <w:kern w:val="0"/>
          <w:sz w:val="20"/>
          <w:szCs w:val="20"/>
          <w:lang w:val="en-US" w:eastAsia="ru-RU"/>
          <w14:ligatures w14:val="none"/>
        </w:rPr>
        <w:t>Calculations based on the initial investment cost and tariffs confirm that the system will fully pay off during its service life and generate economic profit.</w:t>
      </w:r>
    </w:p>
    <w:p w14:paraId="787CBFAB" w14:textId="7F5FF3D5" w:rsidR="00DB088E" w:rsidRPr="00DB088E" w:rsidRDefault="00000C76" w:rsidP="00A834CC">
      <w:pPr>
        <w:spacing w:before="240" w:after="240" w:line="240" w:lineRule="auto"/>
        <w:jc w:val="center"/>
        <w:rPr>
          <w:rFonts w:ascii="Times New Roman" w:eastAsia="Times New Roman" w:hAnsi="Times New Roman" w:cs="Times New Roman"/>
          <w:b/>
          <w:bCs/>
          <w:kern w:val="0"/>
          <w:sz w:val="24"/>
          <w:szCs w:val="24"/>
          <w:lang w:val="en-US" w:eastAsia="ru-RU"/>
          <w14:ligatures w14:val="none"/>
        </w:rPr>
      </w:pPr>
      <w:r w:rsidRPr="00DB088E">
        <w:rPr>
          <w:rFonts w:ascii="Times New Roman" w:eastAsia="Times New Roman" w:hAnsi="Times New Roman" w:cs="Times New Roman"/>
          <w:b/>
          <w:bCs/>
          <w:kern w:val="0"/>
          <w:sz w:val="24"/>
          <w:szCs w:val="24"/>
          <w:lang w:val="en-US" w:eastAsia="ru-RU"/>
          <w14:ligatures w14:val="none"/>
        </w:rPr>
        <w:t>FUTURE SCOPE</w:t>
      </w:r>
    </w:p>
    <w:p w14:paraId="7F6D8D84" w14:textId="29A6AA8B" w:rsidR="00086EAE" w:rsidRPr="00086EAE" w:rsidRDefault="00086EAE"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086EAE">
        <w:rPr>
          <w:rFonts w:ascii="Times New Roman" w:eastAsia="Times New Roman" w:hAnsi="Times New Roman" w:cs="Times New Roman"/>
          <w:kern w:val="0"/>
          <w:sz w:val="20"/>
          <w:szCs w:val="20"/>
          <w:lang w:val="en-US" w:eastAsia="ru-RU"/>
          <w14:ligatures w14:val="none"/>
        </w:rPr>
        <w:t>The system can be expanded to 500 kw or above in future projects and this will enable the institute to meet a larger portion of their electricity requirements and possibly a surplus that can be sold to the national grid.</w:t>
      </w:r>
    </w:p>
    <w:p w14:paraId="795A341E" w14:textId="47C20632" w:rsidR="00086EAE" w:rsidRPr="00086EAE" w:rsidRDefault="00AE02A9"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AE02A9">
        <w:rPr>
          <w:rFonts w:ascii="Times New Roman" w:hAnsi="Times New Roman" w:cs="Times New Roman"/>
          <w:sz w:val="20"/>
          <w:lang w:val="en-US"/>
        </w:rPr>
        <w:t>System reliability can be enhanced by integrating hybrid renewable energy solutions, such as combining solar energy with wind power or battery storage, ensuring a stable energy supply during winter months when solar radiation is low</w:t>
      </w:r>
      <w:r w:rsidR="00086EAE" w:rsidRPr="00086EAE">
        <w:rPr>
          <w:rFonts w:ascii="Times New Roman" w:eastAsia="Times New Roman" w:hAnsi="Times New Roman" w:cs="Times New Roman"/>
          <w:kern w:val="0"/>
          <w:sz w:val="20"/>
          <w:szCs w:val="20"/>
          <w:lang w:val="en-US" w:eastAsia="ru-RU"/>
          <w14:ligatures w14:val="none"/>
        </w:rPr>
        <w:t>.</w:t>
      </w:r>
    </w:p>
    <w:p w14:paraId="60CD88BD" w14:textId="0CF7893B" w:rsidR="00086EAE" w:rsidRPr="00086EAE" w:rsidRDefault="00086EAE"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086EAE">
        <w:rPr>
          <w:rFonts w:ascii="Times New Roman" w:eastAsia="Times New Roman" w:hAnsi="Times New Roman" w:cs="Times New Roman"/>
          <w:kern w:val="0"/>
          <w:sz w:val="20"/>
          <w:szCs w:val="20"/>
          <w:lang w:val="en-US" w:eastAsia="ru-RU"/>
          <w14:ligatures w14:val="none"/>
        </w:rPr>
        <w:t>Predictive diagnostics using AI and machine learning to predict failure of both inverters or modules could minimize the downtime of the system and increase efficiency in the operation leading to minimal maintenance cost.</w:t>
      </w:r>
    </w:p>
    <w:p w14:paraId="0F584892" w14:textId="4372A5EC" w:rsidR="00086EAE" w:rsidRPr="00086EAE" w:rsidRDefault="00086EAE"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086EAE">
        <w:rPr>
          <w:rFonts w:ascii="Times New Roman" w:eastAsia="Times New Roman" w:hAnsi="Times New Roman" w:cs="Times New Roman"/>
          <w:kern w:val="0"/>
          <w:sz w:val="20"/>
          <w:szCs w:val="20"/>
          <w:lang w:val="en-US" w:eastAsia="ru-RU"/>
          <w14:ligatures w14:val="none"/>
        </w:rPr>
        <w:t>This should be further developed to enable the use of sophisticated data analytics platforms where efficiency can be measured in real time, carbon offset progress can be monitored and benchmarking of performance verses other institutions or locations can be carried out.</w:t>
      </w:r>
    </w:p>
    <w:p w14:paraId="20542A99" w14:textId="3F1B8D6A" w:rsidR="00086EAE" w:rsidRPr="00086EAE" w:rsidRDefault="00086EAE"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086EAE">
        <w:rPr>
          <w:rFonts w:ascii="Times New Roman" w:eastAsia="Times New Roman" w:hAnsi="Times New Roman" w:cs="Times New Roman"/>
          <w:kern w:val="0"/>
          <w:sz w:val="20"/>
          <w:szCs w:val="20"/>
          <w:lang w:val="en-US" w:eastAsia="ru-RU"/>
          <w14:ligatures w14:val="none"/>
        </w:rPr>
        <w:t xml:space="preserve">Smart EMS will enhance a balance of energy consumption between buildings, </w:t>
      </w:r>
      <w:proofErr w:type="spellStart"/>
      <w:r w:rsidRPr="00086EAE">
        <w:rPr>
          <w:rFonts w:ascii="Times New Roman" w:eastAsia="Times New Roman" w:hAnsi="Times New Roman" w:cs="Times New Roman"/>
          <w:kern w:val="0"/>
          <w:sz w:val="20"/>
          <w:szCs w:val="20"/>
          <w:lang w:val="en-US" w:eastAsia="ru-RU"/>
          <w14:ligatures w14:val="none"/>
        </w:rPr>
        <w:t>prioritisation</w:t>
      </w:r>
      <w:proofErr w:type="spellEnd"/>
      <w:r w:rsidRPr="00086EAE">
        <w:rPr>
          <w:rFonts w:ascii="Times New Roman" w:eastAsia="Times New Roman" w:hAnsi="Times New Roman" w:cs="Times New Roman"/>
          <w:kern w:val="0"/>
          <w:sz w:val="20"/>
          <w:szCs w:val="20"/>
          <w:lang w:val="en-US" w:eastAsia="ru-RU"/>
          <w14:ligatures w14:val="none"/>
        </w:rPr>
        <w:t xml:space="preserve"> of important loads, and </w:t>
      </w:r>
      <w:proofErr w:type="spellStart"/>
      <w:r w:rsidRPr="00086EAE">
        <w:rPr>
          <w:rFonts w:ascii="Times New Roman" w:eastAsia="Times New Roman" w:hAnsi="Times New Roman" w:cs="Times New Roman"/>
          <w:kern w:val="0"/>
          <w:sz w:val="20"/>
          <w:szCs w:val="20"/>
          <w:lang w:val="en-US" w:eastAsia="ru-RU"/>
          <w14:ligatures w14:val="none"/>
        </w:rPr>
        <w:t>optimisation</w:t>
      </w:r>
      <w:proofErr w:type="spellEnd"/>
      <w:r w:rsidRPr="00086EAE">
        <w:rPr>
          <w:rFonts w:ascii="Times New Roman" w:eastAsia="Times New Roman" w:hAnsi="Times New Roman" w:cs="Times New Roman"/>
          <w:kern w:val="0"/>
          <w:sz w:val="20"/>
          <w:szCs w:val="20"/>
          <w:lang w:val="en-US" w:eastAsia="ru-RU"/>
          <w14:ligatures w14:val="none"/>
        </w:rPr>
        <w:t xml:space="preserve"> of the schedule of using energy according to the generation trends and hours of peak tariffs.</w:t>
      </w:r>
    </w:p>
    <w:p w14:paraId="1F0CFD4B" w14:textId="0D9F2FD7" w:rsidR="00086EAE" w:rsidRPr="00086EAE" w:rsidRDefault="00086EAE"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086EAE">
        <w:rPr>
          <w:rFonts w:ascii="Times New Roman" w:eastAsia="Times New Roman" w:hAnsi="Times New Roman" w:cs="Times New Roman"/>
          <w:kern w:val="0"/>
          <w:sz w:val="20"/>
          <w:szCs w:val="20"/>
          <w:lang w:val="en-US" w:eastAsia="ru-RU"/>
          <w14:ligatures w14:val="none"/>
        </w:rPr>
        <w:t>The existing installation can be used to create a live lab by students and researchers. The potential benefit and contribution to renewable energy education and innovation may be the extension of the scope to involving integration of IoT-based sensors and experimental algorithms.</w:t>
      </w:r>
    </w:p>
    <w:p w14:paraId="2EFB0D6B" w14:textId="6DBF9701" w:rsidR="00086EAE" w:rsidRPr="00086EAE" w:rsidRDefault="00086EAE"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086EAE">
        <w:rPr>
          <w:rFonts w:ascii="Times New Roman" w:eastAsia="Times New Roman" w:hAnsi="Times New Roman" w:cs="Times New Roman"/>
          <w:kern w:val="0"/>
          <w:sz w:val="20"/>
          <w:szCs w:val="20"/>
          <w:lang w:val="en-US" w:eastAsia="ru-RU"/>
          <w14:ligatures w14:val="none"/>
        </w:rPr>
        <w:t xml:space="preserve">The logical way is their combination with the developing smart grid system in Uzbekistan, which would permit dynamic pricing schemes, two-way communications, and the participation of energy resource (DER) in a </w:t>
      </w:r>
      <w:proofErr w:type="spellStart"/>
      <w:r w:rsidRPr="00086EAE">
        <w:rPr>
          <w:rFonts w:ascii="Times New Roman" w:eastAsia="Times New Roman" w:hAnsi="Times New Roman" w:cs="Times New Roman"/>
          <w:kern w:val="0"/>
          <w:sz w:val="20"/>
          <w:szCs w:val="20"/>
          <w:lang w:val="en-US" w:eastAsia="ru-RU"/>
          <w14:ligatures w14:val="none"/>
        </w:rPr>
        <w:t>decentralised</w:t>
      </w:r>
      <w:proofErr w:type="spellEnd"/>
      <w:r w:rsidRPr="00086EAE">
        <w:rPr>
          <w:rFonts w:ascii="Times New Roman" w:eastAsia="Times New Roman" w:hAnsi="Times New Roman" w:cs="Times New Roman"/>
          <w:kern w:val="0"/>
          <w:sz w:val="20"/>
          <w:szCs w:val="20"/>
          <w:lang w:val="en-US" w:eastAsia="ru-RU"/>
          <w14:ligatures w14:val="none"/>
        </w:rPr>
        <w:t xml:space="preserve"> way.</w:t>
      </w:r>
    </w:p>
    <w:p w14:paraId="6A1101B7" w14:textId="12419136" w:rsidR="00086EAE" w:rsidRPr="00086EAE" w:rsidRDefault="00086EAE"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086EAE">
        <w:rPr>
          <w:rFonts w:ascii="Times New Roman" w:eastAsia="Times New Roman" w:hAnsi="Times New Roman" w:cs="Times New Roman"/>
          <w:kern w:val="0"/>
          <w:sz w:val="20"/>
          <w:szCs w:val="20"/>
          <w:lang w:val="en-US" w:eastAsia="ru-RU"/>
          <w14:ligatures w14:val="none"/>
        </w:rPr>
        <w:t>The system can be used as the pilot model of development of institutional energy policy and local governmental policy. Recorded outcomes may be referred to green finance or grants to carry sustainable development further.</w:t>
      </w:r>
    </w:p>
    <w:p w14:paraId="786C8F18" w14:textId="52D6E241" w:rsidR="00086EAE" w:rsidRPr="00086EAE" w:rsidRDefault="00086EAE"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086EAE">
        <w:rPr>
          <w:rFonts w:ascii="Times New Roman" w:eastAsia="Times New Roman" w:hAnsi="Times New Roman" w:cs="Times New Roman"/>
          <w:kern w:val="0"/>
          <w:sz w:val="20"/>
          <w:szCs w:val="20"/>
          <w:lang w:val="en-US" w:eastAsia="ru-RU"/>
          <w14:ligatures w14:val="none"/>
        </w:rPr>
        <w:t>Future is to improve on dust build-up which has massive effects on efficiency. Performance degradation can be curtailed to a considerable level by the use of automated cleaning systems by means of waterless or robotic methods.</w:t>
      </w:r>
    </w:p>
    <w:p w14:paraId="18B2AF35" w14:textId="0785443B" w:rsidR="00086EAE" w:rsidRPr="00086EAE" w:rsidRDefault="00086EAE" w:rsidP="00A834CC">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086EAE">
        <w:rPr>
          <w:rFonts w:ascii="Times New Roman" w:eastAsia="Times New Roman" w:hAnsi="Times New Roman" w:cs="Times New Roman"/>
          <w:kern w:val="0"/>
          <w:sz w:val="20"/>
          <w:szCs w:val="20"/>
          <w:lang w:val="en-US" w:eastAsia="ru-RU"/>
          <w14:ligatures w14:val="none"/>
        </w:rPr>
        <w:t>Such solar projects can be rendered more economically feasible and internationally viable by selling the reductions in CO 2 emissions internationally via carbon credits or joining in green finance schemes.</w:t>
      </w:r>
    </w:p>
    <w:p w14:paraId="4EEC41A8" w14:textId="1F1A3162" w:rsidR="00A654DA" w:rsidRDefault="00A654DA" w:rsidP="00A834CC">
      <w:pPr>
        <w:spacing w:before="240" w:after="240" w:line="240" w:lineRule="auto"/>
        <w:jc w:val="center"/>
        <w:rPr>
          <w:rFonts w:ascii="Times New Roman" w:hAnsi="Times New Roman" w:cs="Times New Roman"/>
          <w:b/>
          <w:bCs/>
          <w:sz w:val="24"/>
          <w:szCs w:val="24"/>
          <w:lang w:val="en-US"/>
        </w:rPr>
      </w:pPr>
      <w:r w:rsidRPr="003F1A11">
        <w:rPr>
          <w:rFonts w:ascii="Times New Roman" w:hAnsi="Times New Roman" w:cs="Times New Roman"/>
          <w:b/>
          <w:bCs/>
          <w:sz w:val="24"/>
          <w:szCs w:val="24"/>
          <w:lang w:val="en-US"/>
        </w:rPr>
        <w:t>REFERENCES</w:t>
      </w:r>
    </w:p>
    <w:p w14:paraId="4E205288" w14:textId="646E2C25" w:rsidR="00A834CC" w:rsidRPr="00BA5DE6" w:rsidRDefault="00A834CC" w:rsidP="00A834CC">
      <w:pPr>
        <w:pStyle w:val="ac"/>
        <w:numPr>
          <w:ilvl w:val="0"/>
          <w:numId w:val="38"/>
        </w:numPr>
        <w:spacing w:after="0" w:line="240" w:lineRule="auto"/>
        <w:ind w:left="425" w:hanging="425"/>
        <w:jc w:val="both"/>
        <w:rPr>
          <w:sz w:val="20"/>
          <w:szCs w:val="20"/>
          <w:lang w:val="en-US"/>
        </w:rPr>
      </w:pPr>
      <w:r w:rsidRPr="00BA5DE6">
        <w:rPr>
          <w:sz w:val="20"/>
          <w:szCs w:val="20"/>
          <w:lang w:val="en-US"/>
        </w:rPr>
        <w:t xml:space="preserve">I. </w:t>
      </w:r>
      <w:proofErr w:type="spellStart"/>
      <w:r w:rsidRPr="00BA5DE6">
        <w:rPr>
          <w:sz w:val="20"/>
          <w:szCs w:val="20"/>
          <w:lang w:val="en-US"/>
        </w:rPr>
        <w:t>Raxmatov</w:t>
      </w:r>
      <w:proofErr w:type="spellEnd"/>
      <w:r w:rsidRPr="00BA5DE6">
        <w:rPr>
          <w:sz w:val="20"/>
          <w:szCs w:val="20"/>
          <w:lang w:val="en-US"/>
        </w:rPr>
        <w:t xml:space="preserve">, K. </w:t>
      </w:r>
      <w:proofErr w:type="spellStart"/>
      <w:r w:rsidRPr="00BA5DE6">
        <w:rPr>
          <w:sz w:val="20"/>
          <w:szCs w:val="20"/>
          <w:lang w:val="en-US"/>
        </w:rPr>
        <w:t>Samiyev</w:t>
      </w:r>
      <w:proofErr w:type="spellEnd"/>
      <w:r w:rsidRPr="00BA5DE6">
        <w:rPr>
          <w:sz w:val="20"/>
          <w:szCs w:val="20"/>
          <w:lang w:val="en-US"/>
        </w:rPr>
        <w:t xml:space="preserve">, and M. </w:t>
      </w:r>
      <w:proofErr w:type="spellStart"/>
      <w:r w:rsidRPr="00BA5DE6">
        <w:rPr>
          <w:sz w:val="20"/>
          <w:szCs w:val="20"/>
          <w:lang w:val="en-US"/>
        </w:rPr>
        <w:t>Mirzayev</w:t>
      </w:r>
      <w:proofErr w:type="spellEnd"/>
      <w:r w:rsidRPr="00BA5DE6">
        <w:rPr>
          <w:sz w:val="20"/>
          <w:szCs w:val="20"/>
          <w:lang w:val="en-US"/>
        </w:rPr>
        <w:t xml:space="preserve">, (2024). Analysis of the efficiency of a 300kW solar photovoltaic system in the climate of Uzbekistan, </w:t>
      </w:r>
      <w:r w:rsidRPr="00BA5DE6">
        <w:rPr>
          <w:rStyle w:val="af9"/>
          <w:sz w:val="20"/>
          <w:szCs w:val="20"/>
          <w:lang w:val="en-US"/>
        </w:rPr>
        <w:t>BIO Web Conf.</w:t>
      </w:r>
      <w:r w:rsidRPr="00BA5DE6">
        <w:rPr>
          <w:sz w:val="20"/>
          <w:szCs w:val="20"/>
          <w:lang w:val="en-US"/>
        </w:rPr>
        <w:t xml:space="preserve"> </w:t>
      </w:r>
      <w:r w:rsidRPr="00BA5DE6">
        <w:rPr>
          <w:rStyle w:val="af1"/>
          <w:sz w:val="20"/>
          <w:szCs w:val="20"/>
          <w:lang w:val="en-US"/>
        </w:rPr>
        <w:t>84</w:t>
      </w:r>
      <w:r w:rsidRPr="00BA5DE6">
        <w:rPr>
          <w:sz w:val="20"/>
          <w:szCs w:val="20"/>
          <w:lang w:val="en-US"/>
        </w:rPr>
        <w:t xml:space="preserve">, 05020. </w:t>
      </w:r>
      <w:hyperlink r:id="rId13" w:tgtFrame="_new" w:history="1">
        <w:r w:rsidRPr="00BA5DE6">
          <w:rPr>
            <w:rStyle w:val="af0"/>
            <w:color w:val="auto"/>
            <w:sz w:val="20"/>
            <w:szCs w:val="20"/>
            <w:u w:val="none"/>
            <w:lang w:val="en-US"/>
          </w:rPr>
          <w:t>https://doi.org/10.1051/bioconf/20248405020</w:t>
        </w:r>
      </w:hyperlink>
    </w:p>
    <w:p w14:paraId="490B1308" w14:textId="29663537" w:rsidR="00A834CC" w:rsidRPr="00BA5DE6" w:rsidRDefault="00A834CC" w:rsidP="00A834CC">
      <w:pPr>
        <w:pStyle w:val="ac"/>
        <w:numPr>
          <w:ilvl w:val="0"/>
          <w:numId w:val="38"/>
        </w:numPr>
        <w:spacing w:after="0" w:line="240" w:lineRule="auto"/>
        <w:ind w:left="425" w:hanging="425"/>
        <w:jc w:val="both"/>
        <w:rPr>
          <w:sz w:val="20"/>
          <w:szCs w:val="20"/>
          <w:lang w:val="en-US"/>
        </w:rPr>
      </w:pPr>
      <w:r w:rsidRPr="00BA5DE6">
        <w:rPr>
          <w:sz w:val="20"/>
          <w:szCs w:val="20"/>
          <w:lang w:val="en-US"/>
        </w:rPr>
        <w:t xml:space="preserve">E. </w:t>
      </w:r>
      <w:proofErr w:type="spellStart"/>
      <w:r w:rsidRPr="00BA5DE6">
        <w:rPr>
          <w:sz w:val="20"/>
          <w:szCs w:val="20"/>
          <w:lang w:val="en-US"/>
        </w:rPr>
        <w:t>Ayora</w:t>
      </w:r>
      <w:proofErr w:type="spellEnd"/>
      <w:r w:rsidRPr="00BA5DE6">
        <w:rPr>
          <w:sz w:val="20"/>
          <w:szCs w:val="20"/>
          <w:lang w:val="en-US"/>
        </w:rPr>
        <w:t xml:space="preserve">, M. </w:t>
      </w:r>
      <w:proofErr w:type="spellStart"/>
      <w:r w:rsidRPr="00BA5DE6">
        <w:rPr>
          <w:sz w:val="20"/>
          <w:szCs w:val="20"/>
          <w:lang w:val="en-US"/>
        </w:rPr>
        <w:t>Munji</w:t>
      </w:r>
      <w:proofErr w:type="spellEnd"/>
      <w:r w:rsidRPr="00BA5DE6">
        <w:rPr>
          <w:sz w:val="20"/>
          <w:szCs w:val="20"/>
          <w:lang w:val="en-US"/>
        </w:rPr>
        <w:t xml:space="preserve">, K. </w:t>
      </w:r>
      <w:proofErr w:type="spellStart"/>
      <w:r w:rsidRPr="00BA5DE6">
        <w:rPr>
          <w:sz w:val="20"/>
          <w:szCs w:val="20"/>
          <w:lang w:val="en-US"/>
        </w:rPr>
        <w:t>Kaberere</w:t>
      </w:r>
      <w:proofErr w:type="spellEnd"/>
      <w:r w:rsidRPr="00BA5DE6">
        <w:rPr>
          <w:sz w:val="20"/>
          <w:szCs w:val="20"/>
          <w:lang w:val="en-US"/>
        </w:rPr>
        <w:t xml:space="preserve">, and B. Thomas, (2023). Performance analysis of 600 </w:t>
      </w:r>
      <w:proofErr w:type="spellStart"/>
      <w:r w:rsidRPr="00BA5DE6">
        <w:rPr>
          <w:sz w:val="20"/>
          <w:szCs w:val="20"/>
          <w:lang w:val="en-US"/>
        </w:rPr>
        <w:t>kWp</w:t>
      </w:r>
      <w:proofErr w:type="spellEnd"/>
      <w:r w:rsidRPr="00BA5DE6">
        <w:rPr>
          <w:sz w:val="20"/>
          <w:szCs w:val="20"/>
          <w:lang w:val="en-US"/>
        </w:rPr>
        <w:t xml:space="preserve"> grid-</w:t>
      </w:r>
      <w:proofErr w:type="spellStart"/>
      <w:r w:rsidRPr="00BA5DE6">
        <w:rPr>
          <w:sz w:val="20"/>
          <w:szCs w:val="20"/>
          <w:lang w:val="en-US"/>
        </w:rPr>
        <w:t>tied</w:t>
      </w:r>
      <w:proofErr w:type="spellEnd"/>
      <w:r w:rsidRPr="00BA5DE6">
        <w:rPr>
          <w:sz w:val="20"/>
          <w:szCs w:val="20"/>
          <w:lang w:val="en-US"/>
        </w:rPr>
        <w:t xml:space="preserve"> rooftop solar photovoltaic systems at Strathmore University in Kenya, </w:t>
      </w:r>
      <w:r w:rsidRPr="00BA5DE6">
        <w:rPr>
          <w:rStyle w:val="af9"/>
          <w:sz w:val="20"/>
          <w:szCs w:val="20"/>
          <w:lang w:val="en-US"/>
        </w:rPr>
        <w:t>Results Eng.</w:t>
      </w:r>
      <w:r w:rsidRPr="00BA5DE6">
        <w:rPr>
          <w:sz w:val="20"/>
          <w:szCs w:val="20"/>
          <w:lang w:val="en-US"/>
        </w:rPr>
        <w:t xml:space="preserve"> </w:t>
      </w:r>
      <w:r w:rsidRPr="00BA5DE6">
        <w:rPr>
          <w:rStyle w:val="af1"/>
          <w:sz w:val="20"/>
          <w:szCs w:val="20"/>
          <w:lang w:val="en-US"/>
        </w:rPr>
        <w:t>19</w:t>
      </w:r>
      <w:r w:rsidRPr="00BA5DE6">
        <w:rPr>
          <w:sz w:val="20"/>
          <w:szCs w:val="20"/>
          <w:lang w:val="en-US"/>
        </w:rPr>
        <w:t xml:space="preserve">, 101302. </w:t>
      </w:r>
      <w:hyperlink r:id="rId14" w:tgtFrame="_new" w:history="1">
        <w:r w:rsidRPr="00BA5DE6">
          <w:rPr>
            <w:rStyle w:val="af0"/>
            <w:color w:val="auto"/>
            <w:sz w:val="20"/>
            <w:szCs w:val="20"/>
            <w:u w:val="none"/>
            <w:lang w:val="en-US"/>
          </w:rPr>
          <w:t>https://doi.org/10.1016/j.rineng.2023.101302</w:t>
        </w:r>
      </w:hyperlink>
    </w:p>
    <w:p w14:paraId="48E5FBC3" w14:textId="51145812" w:rsidR="00A834CC" w:rsidRPr="00BA5DE6" w:rsidRDefault="00A834CC" w:rsidP="00A834CC">
      <w:pPr>
        <w:pStyle w:val="ac"/>
        <w:numPr>
          <w:ilvl w:val="0"/>
          <w:numId w:val="38"/>
        </w:numPr>
        <w:spacing w:after="0" w:line="240" w:lineRule="auto"/>
        <w:ind w:left="425" w:hanging="425"/>
        <w:jc w:val="both"/>
        <w:rPr>
          <w:sz w:val="20"/>
          <w:szCs w:val="20"/>
          <w:lang w:val="en-US"/>
        </w:rPr>
      </w:pPr>
      <w:r w:rsidRPr="00BA5DE6">
        <w:rPr>
          <w:sz w:val="20"/>
          <w:szCs w:val="20"/>
          <w:lang w:val="en-US"/>
        </w:rPr>
        <w:t xml:space="preserve">L. N. Velasco, P. Fernandes, A. Reis, T. M. Francisco, Ê. C. </w:t>
      </w:r>
      <w:proofErr w:type="spellStart"/>
      <w:r w:rsidRPr="00BA5DE6">
        <w:rPr>
          <w:sz w:val="20"/>
          <w:szCs w:val="20"/>
          <w:lang w:val="en-US"/>
        </w:rPr>
        <w:t>Resende</w:t>
      </w:r>
      <w:proofErr w:type="spellEnd"/>
      <w:r w:rsidRPr="00BA5DE6">
        <w:rPr>
          <w:sz w:val="20"/>
          <w:szCs w:val="20"/>
          <w:lang w:val="en-US"/>
        </w:rPr>
        <w:t xml:space="preserve">, and L. C. G. Freitas, (2024). Evaluation of a grid-connected photovoltaic system at the University of Brasília based on Brazilian standard for performance monitoring and analysis, </w:t>
      </w:r>
      <w:r w:rsidRPr="00BA5DE6">
        <w:rPr>
          <w:rStyle w:val="af9"/>
          <w:sz w:val="20"/>
          <w:szCs w:val="20"/>
          <w:lang w:val="en-US"/>
        </w:rPr>
        <w:t>Sustainability</w:t>
      </w:r>
      <w:r w:rsidRPr="00BA5DE6">
        <w:rPr>
          <w:sz w:val="20"/>
          <w:szCs w:val="20"/>
          <w:lang w:val="en-US"/>
        </w:rPr>
        <w:t xml:space="preserve"> </w:t>
      </w:r>
      <w:r w:rsidRPr="00BA5DE6">
        <w:rPr>
          <w:rStyle w:val="af1"/>
          <w:sz w:val="20"/>
          <w:szCs w:val="20"/>
          <w:lang w:val="en-US"/>
        </w:rPr>
        <w:t>16</w:t>
      </w:r>
      <w:r w:rsidRPr="00BA5DE6">
        <w:rPr>
          <w:sz w:val="20"/>
          <w:szCs w:val="20"/>
          <w:lang w:val="en-US"/>
        </w:rPr>
        <w:t xml:space="preserve">, 11212. </w:t>
      </w:r>
      <w:hyperlink r:id="rId15" w:tgtFrame="_new" w:history="1">
        <w:r w:rsidRPr="00BA5DE6">
          <w:rPr>
            <w:rStyle w:val="af0"/>
            <w:color w:val="auto"/>
            <w:sz w:val="20"/>
            <w:szCs w:val="20"/>
            <w:u w:val="none"/>
            <w:lang w:val="en-US"/>
          </w:rPr>
          <w:t>https://doi.org/10.3390/su162411212</w:t>
        </w:r>
      </w:hyperlink>
    </w:p>
    <w:p w14:paraId="39F84A39" w14:textId="14838342" w:rsidR="00A834CC" w:rsidRPr="00BA5DE6" w:rsidRDefault="00A834CC" w:rsidP="00A834CC">
      <w:pPr>
        <w:pStyle w:val="ac"/>
        <w:numPr>
          <w:ilvl w:val="0"/>
          <w:numId w:val="38"/>
        </w:numPr>
        <w:spacing w:after="0" w:line="240" w:lineRule="auto"/>
        <w:ind w:left="425" w:hanging="425"/>
        <w:jc w:val="both"/>
        <w:rPr>
          <w:sz w:val="20"/>
          <w:szCs w:val="20"/>
          <w:lang w:val="en-US"/>
        </w:rPr>
      </w:pPr>
      <w:r w:rsidRPr="00BA5DE6">
        <w:rPr>
          <w:sz w:val="20"/>
          <w:szCs w:val="20"/>
          <w:lang w:val="en-US"/>
        </w:rPr>
        <w:t xml:space="preserve">S. Ahmad, M. M. Khan, S. A. R. Bukhari, M. L. Othman, and M. U. Tariq, (2024). Solar potential assessment of 600 MW grid-connected photovoltaic system for remote area in South Punjab, </w:t>
      </w:r>
      <w:r w:rsidRPr="00BA5DE6">
        <w:rPr>
          <w:rStyle w:val="af9"/>
          <w:sz w:val="20"/>
          <w:szCs w:val="20"/>
          <w:lang w:val="en-US"/>
        </w:rPr>
        <w:t>Sir Syed Univ. Res. J. Technol. Eng.</w:t>
      </w:r>
      <w:r w:rsidRPr="00BA5DE6">
        <w:rPr>
          <w:sz w:val="20"/>
          <w:szCs w:val="20"/>
          <w:lang w:val="en-US"/>
        </w:rPr>
        <w:t xml:space="preserve"> </w:t>
      </w:r>
      <w:r w:rsidRPr="00BA5DE6">
        <w:rPr>
          <w:rStyle w:val="af1"/>
          <w:sz w:val="20"/>
          <w:szCs w:val="20"/>
          <w:lang w:val="en-US"/>
        </w:rPr>
        <w:t>79-84</w:t>
      </w:r>
      <w:r w:rsidRPr="00BA5DE6">
        <w:rPr>
          <w:sz w:val="20"/>
          <w:szCs w:val="20"/>
          <w:lang w:val="en-US"/>
        </w:rPr>
        <w:t xml:space="preserve">. </w:t>
      </w:r>
      <w:hyperlink r:id="rId16" w:tgtFrame="_new" w:history="1">
        <w:r w:rsidRPr="00BA5DE6">
          <w:rPr>
            <w:rStyle w:val="af0"/>
            <w:color w:val="auto"/>
            <w:sz w:val="20"/>
            <w:szCs w:val="20"/>
            <w:u w:val="none"/>
            <w:lang w:val="en-US"/>
          </w:rPr>
          <w:t>https://doi.org/10.33317/ssurj.623</w:t>
        </w:r>
      </w:hyperlink>
    </w:p>
    <w:p w14:paraId="05443325" w14:textId="144F30DA" w:rsidR="00A834CC" w:rsidRPr="00BA5DE6" w:rsidRDefault="00A834CC" w:rsidP="00A834CC">
      <w:pPr>
        <w:pStyle w:val="ac"/>
        <w:numPr>
          <w:ilvl w:val="0"/>
          <w:numId w:val="38"/>
        </w:numPr>
        <w:spacing w:after="0" w:line="240" w:lineRule="auto"/>
        <w:ind w:left="425" w:hanging="425"/>
        <w:jc w:val="both"/>
        <w:rPr>
          <w:sz w:val="20"/>
          <w:szCs w:val="20"/>
          <w:lang w:val="en-US"/>
        </w:rPr>
      </w:pPr>
      <w:r w:rsidRPr="00BA5DE6">
        <w:rPr>
          <w:sz w:val="20"/>
          <w:szCs w:val="20"/>
          <w:lang w:val="en-US"/>
        </w:rPr>
        <w:t xml:space="preserve">I. </w:t>
      </w:r>
      <w:proofErr w:type="spellStart"/>
      <w:r w:rsidRPr="00BA5DE6">
        <w:rPr>
          <w:sz w:val="20"/>
          <w:szCs w:val="20"/>
          <w:lang w:val="en-US"/>
        </w:rPr>
        <w:t>Raxmatov</w:t>
      </w:r>
      <w:proofErr w:type="spellEnd"/>
      <w:r w:rsidRPr="00BA5DE6">
        <w:rPr>
          <w:sz w:val="20"/>
          <w:szCs w:val="20"/>
          <w:lang w:val="en-US"/>
        </w:rPr>
        <w:t xml:space="preserve">, K. </w:t>
      </w:r>
      <w:proofErr w:type="spellStart"/>
      <w:r w:rsidRPr="00BA5DE6">
        <w:rPr>
          <w:sz w:val="20"/>
          <w:szCs w:val="20"/>
          <w:lang w:val="en-US"/>
        </w:rPr>
        <w:t>Samiyev</w:t>
      </w:r>
      <w:proofErr w:type="spellEnd"/>
      <w:r w:rsidRPr="00BA5DE6">
        <w:rPr>
          <w:sz w:val="20"/>
          <w:szCs w:val="20"/>
          <w:lang w:val="en-US"/>
        </w:rPr>
        <w:t xml:space="preserve">, and M. </w:t>
      </w:r>
      <w:proofErr w:type="spellStart"/>
      <w:r w:rsidRPr="00BA5DE6">
        <w:rPr>
          <w:sz w:val="20"/>
          <w:szCs w:val="20"/>
          <w:lang w:val="en-US"/>
        </w:rPr>
        <w:t>Mirzayev</w:t>
      </w:r>
      <w:proofErr w:type="spellEnd"/>
      <w:r w:rsidRPr="00BA5DE6">
        <w:rPr>
          <w:sz w:val="20"/>
          <w:szCs w:val="20"/>
          <w:lang w:val="en-US"/>
        </w:rPr>
        <w:t xml:space="preserve">, (2024). RETRACTED: Analysis of the efficiency of 300 kW grid-connected solar photovoltaic systems at Bukhara State University, </w:t>
      </w:r>
      <w:r w:rsidRPr="00BA5DE6">
        <w:rPr>
          <w:rStyle w:val="af9"/>
          <w:sz w:val="20"/>
          <w:szCs w:val="20"/>
          <w:lang w:val="en-US"/>
        </w:rPr>
        <w:t>BIO Web Conf.</w:t>
      </w:r>
      <w:r w:rsidRPr="00BA5DE6">
        <w:rPr>
          <w:sz w:val="20"/>
          <w:szCs w:val="20"/>
          <w:lang w:val="en-US"/>
        </w:rPr>
        <w:t xml:space="preserve"> </w:t>
      </w:r>
      <w:r w:rsidRPr="00BA5DE6">
        <w:rPr>
          <w:rStyle w:val="af1"/>
          <w:sz w:val="20"/>
          <w:szCs w:val="20"/>
          <w:lang w:val="en-US"/>
        </w:rPr>
        <w:t>84</w:t>
      </w:r>
      <w:r w:rsidRPr="00BA5DE6">
        <w:rPr>
          <w:sz w:val="20"/>
          <w:szCs w:val="20"/>
          <w:lang w:val="en-US"/>
        </w:rPr>
        <w:t xml:space="preserve">, 05020. </w:t>
      </w:r>
      <w:hyperlink r:id="rId17" w:tgtFrame="_new" w:history="1">
        <w:r w:rsidRPr="00BA5DE6">
          <w:rPr>
            <w:rStyle w:val="af0"/>
            <w:color w:val="auto"/>
            <w:sz w:val="20"/>
            <w:szCs w:val="20"/>
            <w:u w:val="none"/>
            <w:lang w:val="en-US"/>
          </w:rPr>
          <w:t>https://doi.org/10.1051/bioconf/20248405020</w:t>
        </w:r>
      </w:hyperlink>
    </w:p>
    <w:p w14:paraId="246ABC07" w14:textId="3D11E5AD" w:rsidR="00A834CC" w:rsidRPr="00BA5DE6" w:rsidRDefault="00A834CC" w:rsidP="00A834CC">
      <w:pPr>
        <w:pStyle w:val="ac"/>
        <w:numPr>
          <w:ilvl w:val="0"/>
          <w:numId w:val="38"/>
        </w:numPr>
        <w:spacing w:after="0" w:line="240" w:lineRule="auto"/>
        <w:ind w:left="425" w:hanging="425"/>
        <w:jc w:val="both"/>
        <w:rPr>
          <w:sz w:val="20"/>
          <w:szCs w:val="20"/>
          <w:lang w:val="en-US"/>
        </w:rPr>
      </w:pPr>
      <w:r w:rsidRPr="00BA5DE6">
        <w:rPr>
          <w:sz w:val="20"/>
          <w:szCs w:val="20"/>
          <w:lang w:val="en-US"/>
        </w:rPr>
        <w:t>B. Hammad, A. Al-</w:t>
      </w:r>
      <w:proofErr w:type="spellStart"/>
      <w:r w:rsidRPr="00BA5DE6">
        <w:rPr>
          <w:sz w:val="20"/>
          <w:szCs w:val="20"/>
          <w:lang w:val="en-US"/>
        </w:rPr>
        <w:t>Sardeah</w:t>
      </w:r>
      <w:proofErr w:type="spellEnd"/>
      <w:r w:rsidRPr="00BA5DE6">
        <w:rPr>
          <w:sz w:val="20"/>
          <w:szCs w:val="20"/>
          <w:lang w:val="en-US"/>
        </w:rPr>
        <w:t xml:space="preserve">, M. Al-Abed, S. </w:t>
      </w:r>
      <w:proofErr w:type="spellStart"/>
      <w:r w:rsidRPr="00BA5DE6">
        <w:rPr>
          <w:sz w:val="20"/>
          <w:szCs w:val="20"/>
          <w:lang w:val="en-US"/>
        </w:rPr>
        <w:t>Nijmeh</w:t>
      </w:r>
      <w:proofErr w:type="spellEnd"/>
      <w:r w:rsidRPr="00BA5DE6">
        <w:rPr>
          <w:sz w:val="20"/>
          <w:szCs w:val="20"/>
          <w:lang w:val="en-US"/>
        </w:rPr>
        <w:t>, and A. Al-</w:t>
      </w:r>
      <w:proofErr w:type="spellStart"/>
      <w:r w:rsidRPr="00BA5DE6">
        <w:rPr>
          <w:sz w:val="20"/>
          <w:szCs w:val="20"/>
          <w:lang w:val="en-US"/>
        </w:rPr>
        <w:t>Ghandoor</w:t>
      </w:r>
      <w:proofErr w:type="spellEnd"/>
      <w:r w:rsidRPr="00BA5DE6">
        <w:rPr>
          <w:sz w:val="20"/>
          <w:szCs w:val="20"/>
          <w:lang w:val="en-US"/>
        </w:rPr>
        <w:t xml:space="preserve">, (2017). Economic and performance comparison of fixed and tracking photovoltaic systems in Jordan, </w:t>
      </w:r>
      <w:r w:rsidRPr="00BA5DE6">
        <w:rPr>
          <w:rStyle w:val="af9"/>
          <w:sz w:val="20"/>
          <w:szCs w:val="20"/>
          <w:lang w:val="en-US"/>
        </w:rPr>
        <w:t>Renew. Sustain. Energy Rev.</w:t>
      </w:r>
      <w:r w:rsidRPr="00BA5DE6">
        <w:rPr>
          <w:sz w:val="20"/>
          <w:szCs w:val="20"/>
          <w:lang w:val="en-US"/>
        </w:rPr>
        <w:t xml:space="preserve"> </w:t>
      </w:r>
      <w:r w:rsidRPr="00BA5DE6">
        <w:rPr>
          <w:rStyle w:val="af1"/>
          <w:sz w:val="20"/>
          <w:szCs w:val="20"/>
          <w:lang w:val="en-US"/>
        </w:rPr>
        <w:t>827–839</w:t>
      </w:r>
      <w:r w:rsidRPr="00BA5DE6">
        <w:rPr>
          <w:sz w:val="20"/>
          <w:szCs w:val="20"/>
          <w:lang w:val="en-US"/>
        </w:rPr>
        <w:t>. https://doi.org/10.1016/j.rser.2017.05.241</w:t>
      </w:r>
    </w:p>
    <w:p w14:paraId="2DBC2B1E" w14:textId="72A4E673" w:rsidR="00A834CC" w:rsidRPr="00BA5DE6" w:rsidRDefault="00A834CC" w:rsidP="00A834CC">
      <w:pPr>
        <w:pStyle w:val="ac"/>
        <w:numPr>
          <w:ilvl w:val="0"/>
          <w:numId w:val="38"/>
        </w:numPr>
        <w:spacing w:after="0" w:line="240" w:lineRule="auto"/>
        <w:ind w:left="425" w:hanging="425"/>
        <w:jc w:val="both"/>
        <w:rPr>
          <w:sz w:val="20"/>
          <w:szCs w:val="20"/>
          <w:lang w:val="en-US"/>
        </w:rPr>
      </w:pPr>
      <w:r w:rsidRPr="00BA5DE6">
        <w:rPr>
          <w:sz w:val="20"/>
          <w:szCs w:val="20"/>
          <w:lang w:val="en-US"/>
        </w:rPr>
        <w:t xml:space="preserve">N. A. Rahim and J. F. Lee, (2013). Performance comparison of dual-axis solar tracker vs static solar system in Malaysia, in </w:t>
      </w:r>
      <w:r w:rsidRPr="00BA5DE6">
        <w:rPr>
          <w:rStyle w:val="af9"/>
          <w:sz w:val="20"/>
          <w:szCs w:val="20"/>
          <w:lang w:val="en-US"/>
        </w:rPr>
        <w:t>Proc. IEEE Conf. Clean Energy Technol.</w:t>
      </w:r>
      <w:r w:rsidRPr="00BA5DE6">
        <w:rPr>
          <w:sz w:val="20"/>
          <w:szCs w:val="20"/>
          <w:lang w:val="en-US"/>
        </w:rPr>
        <w:t xml:space="preserve">, pp. 102–107. </w:t>
      </w:r>
      <w:r w:rsidR="00642A89" w:rsidRPr="00BA5DE6">
        <w:fldChar w:fldCharType="begin"/>
      </w:r>
      <w:r w:rsidR="00642A89" w:rsidRPr="00BA5DE6">
        <w:rPr>
          <w:lang w:val="en-US"/>
        </w:rPr>
        <w:instrText xml:space="preserve"> HYPERLINK "https://doi.org/10.1109/CEAT.2013.6775608" \t "_new" </w:instrText>
      </w:r>
      <w:r w:rsidR="00642A89" w:rsidRPr="00BA5DE6">
        <w:fldChar w:fldCharType="separate"/>
      </w:r>
      <w:r w:rsidRPr="00BA5DE6">
        <w:rPr>
          <w:rStyle w:val="af0"/>
          <w:color w:val="auto"/>
          <w:sz w:val="20"/>
          <w:szCs w:val="20"/>
          <w:u w:val="none"/>
          <w:lang w:val="en-US"/>
        </w:rPr>
        <w:t>https://doi.org/10.1109/CEAT.2013.6775608</w:t>
      </w:r>
      <w:r w:rsidR="00642A89" w:rsidRPr="00BA5DE6">
        <w:rPr>
          <w:rStyle w:val="af0"/>
          <w:color w:val="auto"/>
          <w:sz w:val="20"/>
          <w:szCs w:val="20"/>
          <w:u w:val="none"/>
          <w:lang w:val="en-US"/>
        </w:rPr>
        <w:fldChar w:fldCharType="end"/>
      </w:r>
    </w:p>
    <w:p w14:paraId="26CED7D2" w14:textId="3B29CA5B" w:rsidR="00A834CC" w:rsidRPr="00BA5DE6" w:rsidRDefault="00A834CC" w:rsidP="00A834CC">
      <w:pPr>
        <w:pStyle w:val="ac"/>
        <w:numPr>
          <w:ilvl w:val="0"/>
          <w:numId w:val="38"/>
        </w:numPr>
        <w:spacing w:after="0" w:line="240" w:lineRule="auto"/>
        <w:ind w:left="425" w:hanging="425"/>
        <w:jc w:val="both"/>
        <w:rPr>
          <w:sz w:val="20"/>
          <w:szCs w:val="20"/>
        </w:rPr>
      </w:pPr>
      <w:r w:rsidRPr="00BA5DE6">
        <w:rPr>
          <w:sz w:val="20"/>
          <w:szCs w:val="20"/>
          <w:lang w:val="en-US"/>
        </w:rPr>
        <w:t xml:space="preserve">W. </w:t>
      </w:r>
      <w:proofErr w:type="spellStart"/>
      <w:r w:rsidRPr="00BA5DE6">
        <w:rPr>
          <w:sz w:val="20"/>
          <w:szCs w:val="20"/>
          <w:lang w:val="en-US"/>
        </w:rPr>
        <w:t>Krongpha</w:t>
      </w:r>
      <w:proofErr w:type="spellEnd"/>
      <w:r w:rsidRPr="00BA5DE6">
        <w:rPr>
          <w:sz w:val="20"/>
          <w:szCs w:val="20"/>
          <w:lang w:val="en-US"/>
        </w:rPr>
        <w:t xml:space="preserve">, C. </w:t>
      </w:r>
      <w:proofErr w:type="spellStart"/>
      <w:r w:rsidRPr="00BA5DE6">
        <w:rPr>
          <w:sz w:val="20"/>
          <w:szCs w:val="20"/>
          <w:lang w:val="en-US"/>
        </w:rPr>
        <w:t>Jamroen</w:t>
      </w:r>
      <w:proofErr w:type="spellEnd"/>
      <w:r w:rsidRPr="00BA5DE6">
        <w:rPr>
          <w:sz w:val="20"/>
          <w:szCs w:val="20"/>
          <w:lang w:val="en-US"/>
        </w:rPr>
        <w:t xml:space="preserve">, C. </w:t>
      </w:r>
      <w:proofErr w:type="spellStart"/>
      <w:r w:rsidRPr="00BA5DE6">
        <w:rPr>
          <w:sz w:val="20"/>
          <w:szCs w:val="20"/>
          <w:lang w:val="en-US"/>
        </w:rPr>
        <w:t>Fongkerd</w:t>
      </w:r>
      <w:proofErr w:type="spellEnd"/>
      <w:r w:rsidRPr="00BA5DE6">
        <w:rPr>
          <w:sz w:val="20"/>
          <w:szCs w:val="20"/>
          <w:lang w:val="en-US"/>
        </w:rPr>
        <w:t xml:space="preserve">, P. </w:t>
      </w:r>
      <w:proofErr w:type="spellStart"/>
      <w:r w:rsidRPr="00BA5DE6">
        <w:rPr>
          <w:sz w:val="20"/>
          <w:szCs w:val="20"/>
          <w:lang w:val="en-US"/>
        </w:rPr>
        <w:t>Komkum</w:t>
      </w:r>
      <w:proofErr w:type="spellEnd"/>
      <w:r w:rsidRPr="00BA5DE6">
        <w:rPr>
          <w:sz w:val="20"/>
          <w:szCs w:val="20"/>
          <w:lang w:val="en-US"/>
        </w:rPr>
        <w:t xml:space="preserve">, A. </w:t>
      </w:r>
      <w:proofErr w:type="spellStart"/>
      <w:r w:rsidRPr="00BA5DE6">
        <w:rPr>
          <w:sz w:val="20"/>
          <w:szCs w:val="20"/>
          <w:lang w:val="en-US"/>
        </w:rPr>
        <w:t>Pirayawaraporn</w:t>
      </w:r>
      <w:proofErr w:type="spellEnd"/>
      <w:r w:rsidRPr="00BA5DE6">
        <w:rPr>
          <w:sz w:val="20"/>
          <w:szCs w:val="20"/>
          <w:lang w:val="en-US"/>
        </w:rPr>
        <w:t xml:space="preserve">, and N. </w:t>
      </w:r>
      <w:proofErr w:type="spellStart"/>
      <w:r w:rsidRPr="00BA5DE6">
        <w:rPr>
          <w:sz w:val="20"/>
          <w:szCs w:val="20"/>
          <w:lang w:val="en-US"/>
        </w:rPr>
        <w:t>Chindakham</w:t>
      </w:r>
      <w:proofErr w:type="spellEnd"/>
      <w:r w:rsidRPr="00BA5DE6">
        <w:rPr>
          <w:sz w:val="20"/>
          <w:szCs w:val="20"/>
          <w:lang w:val="en-US"/>
        </w:rPr>
        <w:t xml:space="preserve">, (2021). A novel dual-axis solar tracking system UV sensor-based: performance analysis and implementation, </w:t>
      </w:r>
      <w:r w:rsidRPr="00BA5DE6">
        <w:rPr>
          <w:rStyle w:val="af9"/>
          <w:sz w:val="20"/>
          <w:szCs w:val="20"/>
          <w:lang w:val="en-US"/>
        </w:rPr>
        <w:t xml:space="preserve">Appl. </w:t>
      </w:r>
      <w:r w:rsidRPr="00BA5DE6">
        <w:rPr>
          <w:rStyle w:val="af9"/>
          <w:sz w:val="20"/>
          <w:szCs w:val="20"/>
        </w:rPr>
        <w:t>Energy</w:t>
      </w:r>
      <w:r w:rsidRPr="00BA5DE6">
        <w:rPr>
          <w:sz w:val="20"/>
          <w:szCs w:val="20"/>
        </w:rPr>
        <w:t xml:space="preserve"> </w:t>
      </w:r>
      <w:r w:rsidRPr="00BA5DE6">
        <w:rPr>
          <w:rStyle w:val="af1"/>
          <w:sz w:val="20"/>
          <w:szCs w:val="20"/>
        </w:rPr>
        <w:t>117295</w:t>
      </w:r>
      <w:r w:rsidRPr="00BA5DE6">
        <w:rPr>
          <w:sz w:val="20"/>
          <w:szCs w:val="20"/>
        </w:rPr>
        <w:t>. https://doi.org/10.1016/j.apenergy.2021.117295</w:t>
      </w:r>
    </w:p>
    <w:sectPr w:rsidR="00A834CC" w:rsidRPr="00BA5DE6" w:rsidSect="00F23F6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DB9A8" w14:textId="77777777" w:rsidR="00642A89" w:rsidRDefault="00642A89" w:rsidP="00E743A9">
      <w:pPr>
        <w:spacing w:after="0" w:line="240" w:lineRule="auto"/>
      </w:pPr>
      <w:r>
        <w:separator/>
      </w:r>
    </w:p>
  </w:endnote>
  <w:endnote w:type="continuationSeparator" w:id="0">
    <w:p w14:paraId="41BF2D1F" w14:textId="77777777" w:rsidR="00642A89" w:rsidRDefault="00642A89" w:rsidP="00E74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0E7D6" w14:textId="77777777" w:rsidR="00642A89" w:rsidRDefault="00642A89" w:rsidP="00E743A9">
      <w:pPr>
        <w:spacing w:after="0" w:line="240" w:lineRule="auto"/>
      </w:pPr>
      <w:r>
        <w:separator/>
      </w:r>
    </w:p>
  </w:footnote>
  <w:footnote w:type="continuationSeparator" w:id="0">
    <w:p w14:paraId="25EC07F5" w14:textId="77777777" w:rsidR="00642A89" w:rsidRDefault="00642A89" w:rsidP="00E743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B19F5"/>
    <w:multiLevelType w:val="multilevel"/>
    <w:tmpl w:val="0D7CB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FA7E8B"/>
    <w:multiLevelType w:val="multilevel"/>
    <w:tmpl w:val="C4E29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43286B"/>
    <w:multiLevelType w:val="multilevel"/>
    <w:tmpl w:val="84D45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A40E6F"/>
    <w:multiLevelType w:val="multilevel"/>
    <w:tmpl w:val="D242C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F57854"/>
    <w:multiLevelType w:val="multilevel"/>
    <w:tmpl w:val="0A082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782DE4"/>
    <w:multiLevelType w:val="multilevel"/>
    <w:tmpl w:val="9CE0E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877341"/>
    <w:multiLevelType w:val="multilevel"/>
    <w:tmpl w:val="9F3C5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660F8"/>
    <w:multiLevelType w:val="multilevel"/>
    <w:tmpl w:val="CE042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A04A0F"/>
    <w:multiLevelType w:val="multilevel"/>
    <w:tmpl w:val="EF1ED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09315D"/>
    <w:multiLevelType w:val="hybridMultilevel"/>
    <w:tmpl w:val="FA02A2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5D7BE9"/>
    <w:multiLevelType w:val="multilevel"/>
    <w:tmpl w:val="FDC62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BD4834"/>
    <w:multiLevelType w:val="multilevel"/>
    <w:tmpl w:val="78024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F742E2"/>
    <w:multiLevelType w:val="multilevel"/>
    <w:tmpl w:val="1FF42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1C3103"/>
    <w:multiLevelType w:val="multilevel"/>
    <w:tmpl w:val="F9608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AC7809"/>
    <w:multiLevelType w:val="multilevel"/>
    <w:tmpl w:val="88081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3D25FC"/>
    <w:multiLevelType w:val="multilevel"/>
    <w:tmpl w:val="D5440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753A33"/>
    <w:multiLevelType w:val="multilevel"/>
    <w:tmpl w:val="F0E2C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BB3B0B"/>
    <w:multiLevelType w:val="multilevel"/>
    <w:tmpl w:val="8EB43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456D61"/>
    <w:multiLevelType w:val="multilevel"/>
    <w:tmpl w:val="D62AC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49798A"/>
    <w:multiLevelType w:val="multilevel"/>
    <w:tmpl w:val="FA729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DE261E"/>
    <w:multiLevelType w:val="multilevel"/>
    <w:tmpl w:val="E9202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DE1D95"/>
    <w:multiLevelType w:val="multilevel"/>
    <w:tmpl w:val="22D83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025DA7"/>
    <w:multiLevelType w:val="multilevel"/>
    <w:tmpl w:val="1A5A6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1923BE"/>
    <w:multiLevelType w:val="multilevel"/>
    <w:tmpl w:val="E3AE0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1547CE"/>
    <w:multiLevelType w:val="multilevel"/>
    <w:tmpl w:val="C65C6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5E28F6"/>
    <w:multiLevelType w:val="multilevel"/>
    <w:tmpl w:val="52A61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7813F2"/>
    <w:multiLevelType w:val="multilevel"/>
    <w:tmpl w:val="DA3A8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EF3FE7"/>
    <w:multiLevelType w:val="multilevel"/>
    <w:tmpl w:val="67D6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D577BF"/>
    <w:multiLevelType w:val="multilevel"/>
    <w:tmpl w:val="B62C5C80"/>
    <w:lvl w:ilvl="0">
      <w:start w:val="1"/>
      <w:numFmt w:val="decimal"/>
      <w:lvlText w:val="%1."/>
      <w:lvlJc w:val="left"/>
      <w:pPr>
        <w:tabs>
          <w:tab w:val="num" w:pos="720"/>
        </w:tabs>
        <w:ind w:left="720" w:hanging="360"/>
      </w:pPr>
      <w:rPr>
        <w:rFonts w:ascii="Times New Roman" w:hAnsi="Times New Roman" w:cs="Times New Roman" w:hint="default"/>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C33EEC"/>
    <w:multiLevelType w:val="multilevel"/>
    <w:tmpl w:val="36EEB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6144E2"/>
    <w:multiLevelType w:val="multilevel"/>
    <w:tmpl w:val="AB7C2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9A29A9"/>
    <w:multiLevelType w:val="multilevel"/>
    <w:tmpl w:val="F4CAA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0D55D6"/>
    <w:multiLevelType w:val="hybridMultilevel"/>
    <w:tmpl w:val="8DD0D0DE"/>
    <w:lvl w:ilvl="0" w:tplc="04190001">
      <w:start w:val="1"/>
      <w:numFmt w:val="bullet"/>
      <w:lvlText w:val=""/>
      <w:lvlJc w:val="left"/>
      <w:pPr>
        <w:ind w:left="1777" w:hanging="360"/>
      </w:pPr>
      <w:rPr>
        <w:rFonts w:ascii="Symbol" w:hAnsi="Symbol" w:hint="default"/>
      </w:rPr>
    </w:lvl>
    <w:lvl w:ilvl="1" w:tplc="04190003" w:tentative="1">
      <w:start w:val="1"/>
      <w:numFmt w:val="bullet"/>
      <w:lvlText w:val="o"/>
      <w:lvlJc w:val="left"/>
      <w:pPr>
        <w:ind w:left="2497" w:hanging="360"/>
      </w:pPr>
      <w:rPr>
        <w:rFonts w:ascii="Courier New" w:hAnsi="Courier New" w:cs="Courier New" w:hint="default"/>
      </w:rPr>
    </w:lvl>
    <w:lvl w:ilvl="2" w:tplc="04190005" w:tentative="1">
      <w:start w:val="1"/>
      <w:numFmt w:val="bullet"/>
      <w:lvlText w:val=""/>
      <w:lvlJc w:val="left"/>
      <w:pPr>
        <w:ind w:left="3217" w:hanging="360"/>
      </w:pPr>
      <w:rPr>
        <w:rFonts w:ascii="Wingdings" w:hAnsi="Wingdings" w:hint="default"/>
      </w:rPr>
    </w:lvl>
    <w:lvl w:ilvl="3" w:tplc="04190001" w:tentative="1">
      <w:start w:val="1"/>
      <w:numFmt w:val="bullet"/>
      <w:lvlText w:val=""/>
      <w:lvlJc w:val="left"/>
      <w:pPr>
        <w:ind w:left="3937" w:hanging="360"/>
      </w:pPr>
      <w:rPr>
        <w:rFonts w:ascii="Symbol" w:hAnsi="Symbol" w:hint="default"/>
      </w:rPr>
    </w:lvl>
    <w:lvl w:ilvl="4" w:tplc="04190003" w:tentative="1">
      <w:start w:val="1"/>
      <w:numFmt w:val="bullet"/>
      <w:lvlText w:val="o"/>
      <w:lvlJc w:val="left"/>
      <w:pPr>
        <w:ind w:left="4657" w:hanging="360"/>
      </w:pPr>
      <w:rPr>
        <w:rFonts w:ascii="Courier New" w:hAnsi="Courier New" w:cs="Courier New" w:hint="default"/>
      </w:rPr>
    </w:lvl>
    <w:lvl w:ilvl="5" w:tplc="04190005" w:tentative="1">
      <w:start w:val="1"/>
      <w:numFmt w:val="bullet"/>
      <w:lvlText w:val=""/>
      <w:lvlJc w:val="left"/>
      <w:pPr>
        <w:ind w:left="5377" w:hanging="360"/>
      </w:pPr>
      <w:rPr>
        <w:rFonts w:ascii="Wingdings" w:hAnsi="Wingdings" w:hint="default"/>
      </w:rPr>
    </w:lvl>
    <w:lvl w:ilvl="6" w:tplc="04190001" w:tentative="1">
      <w:start w:val="1"/>
      <w:numFmt w:val="bullet"/>
      <w:lvlText w:val=""/>
      <w:lvlJc w:val="left"/>
      <w:pPr>
        <w:ind w:left="6097" w:hanging="360"/>
      </w:pPr>
      <w:rPr>
        <w:rFonts w:ascii="Symbol" w:hAnsi="Symbol" w:hint="default"/>
      </w:rPr>
    </w:lvl>
    <w:lvl w:ilvl="7" w:tplc="04190003" w:tentative="1">
      <w:start w:val="1"/>
      <w:numFmt w:val="bullet"/>
      <w:lvlText w:val="o"/>
      <w:lvlJc w:val="left"/>
      <w:pPr>
        <w:ind w:left="6817" w:hanging="360"/>
      </w:pPr>
      <w:rPr>
        <w:rFonts w:ascii="Courier New" w:hAnsi="Courier New" w:cs="Courier New" w:hint="default"/>
      </w:rPr>
    </w:lvl>
    <w:lvl w:ilvl="8" w:tplc="04190005" w:tentative="1">
      <w:start w:val="1"/>
      <w:numFmt w:val="bullet"/>
      <w:lvlText w:val=""/>
      <w:lvlJc w:val="left"/>
      <w:pPr>
        <w:ind w:left="7537" w:hanging="360"/>
      </w:pPr>
      <w:rPr>
        <w:rFonts w:ascii="Wingdings" w:hAnsi="Wingdings" w:hint="default"/>
      </w:rPr>
    </w:lvl>
  </w:abstractNum>
  <w:abstractNum w:abstractNumId="33" w15:restartNumberingAfterBreak="0">
    <w:nsid w:val="714B2552"/>
    <w:multiLevelType w:val="multilevel"/>
    <w:tmpl w:val="FD0E8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A43BAF"/>
    <w:multiLevelType w:val="multilevel"/>
    <w:tmpl w:val="EED62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4076F09"/>
    <w:multiLevelType w:val="multilevel"/>
    <w:tmpl w:val="F226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F33EA9"/>
    <w:multiLevelType w:val="multilevel"/>
    <w:tmpl w:val="3D3C9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910335B"/>
    <w:multiLevelType w:val="multilevel"/>
    <w:tmpl w:val="BBCCF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7"/>
  </w:num>
  <w:num w:numId="3">
    <w:abstractNumId w:val="1"/>
  </w:num>
  <w:num w:numId="4">
    <w:abstractNumId w:val="37"/>
  </w:num>
  <w:num w:numId="5">
    <w:abstractNumId w:val="15"/>
  </w:num>
  <w:num w:numId="6">
    <w:abstractNumId w:val="34"/>
  </w:num>
  <w:num w:numId="7">
    <w:abstractNumId w:val="10"/>
  </w:num>
  <w:num w:numId="8">
    <w:abstractNumId w:val="33"/>
  </w:num>
  <w:num w:numId="9">
    <w:abstractNumId w:val="18"/>
  </w:num>
  <w:num w:numId="10">
    <w:abstractNumId w:val="31"/>
  </w:num>
  <w:num w:numId="11">
    <w:abstractNumId w:val="12"/>
  </w:num>
  <w:num w:numId="12">
    <w:abstractNumId w:val="24"/>
  </w:num>
  <w:num w:numId="13">
    <w:abstractNumId w:val="11"/>
  </w:num>
  <w:num w:numId="14">
    <w:abstractNumId w:val="29"/>
  </w:num>
  <w:num w:numId="15">
    <w:abstractNumId w:val="6"/>
  </w:num>
  <w:num w:numId="16">
    <w:abstractNumId w:val="5"/>
  </w:num>
  <w:num w:numId="17">
    <w:abstractNumId w:val="8"/>
  </w:num>
  <w:num w:numId="18">
    <w:abstractNumId w:val="0"/>
  </w:num>
  <w:num w:numId="19">
    <w:abstractNumId w:val="4"/>
  </w:num>
  <w:num w:numId="20">
    <w:abstractNumId w:val="13"/>
  </w:num>
  <w:num w:numId="21">
    <w:abstractNumId w:val="21"/>
  </w:num>
  <w:num w:numId="22">
    <w:abstractNumId w:val="27"/>
  </w:num>
  <w:num w:numId="23">
    <w:abstractNumId w:val="36"/>
  </w:num>
  <w:num w:numId="24">
    <w:abstractNumId w:val="30"/>
  </w:num>
  <w:num w:numId="25">
    <w:abstractNumId w:val="26"/>
  </w:num>
  <w:num w:numId="26">
    <w:abstractNumId w:val="19"/>
  </w:num>
  <w:num w:numId="27">
    <w:abstractNumId w:val="16"/>
  </w:num>
  <w:num w:numId="28">
    <w:abstractNumId w:val="20"/>
  </w:num>
  <w:num w:numId="29">
    <w:abstractNumId w:val="28"/>
  </w:num>
  <w:num w:numId="30">
    <w:abstractNumId w:val="14"/>
  </w:num>
  <w:num w:numId="31">
    <w:abstractNumId w:val="23"/>
  </w:num>
  <w:num w:numId="32">
    <w:abstractNumId w:val="35"/>
  </w:num>
  <w:num w:numId="33">
    <w:abstractNumId w:val="2"/>
  </w:num>
  <w:num w:numId="34">
    <w:abstractNumId w:val="3"/>
  </w:num>
  <w:num w:numId="35">
    <w:abstractNumId w:val="25"/>
  </w:num>
  <w:num w:numId="36">
    <w:abstractNumId w:val="32"/>
  </w:num>
  <w:num w:numId="37">
    <w:abstractNumId w:val="7"/>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E9F"/>
    <w:rsid w:val="00000C76"/>
    <w:rsid w:val="0002604F"/>
    <w:rsid w:val="00041440"/>
    <w:rsid w:val="00043F01"/>
    <w:rsid w:val="00066839"/>
    <w:rsid w:val="000751A8"/>
    <w:rsid w:val="00086EAE"/>
    <w:rsid w:val="000A0AA6"/>
    <w:rsid w:val="000A4543"/>
    <w:rsid w:val="000A5C53"/>
    <w:rsid w:val="000C283C"/>
    <w:rsid w:val="000C41CF"/>
    <w:rsid w:val="000D064F"/>
    <w:rsid w:val="000D5994"/>
    <w:rsid w:val="000E24EC"/>
    <w:rsid w:val="000F06E3"/>
    <w:rsid w:val="000F4A62"/>
    <w:rsid w:val="001645C6"/>
    <w:rsid w:val="00172037"/>
    <w:rsid w:val="001B46A4"/>
    <w:rsid w:val="001B4A2A"/>
    <w:rsid w:val="001D1AAC"/>
    <w:rsid w:val="001E759F"/>
    <w:rsid w:val="0021267C"/>
    <w:rsid w:val="00225B4C"/>
    <w:rsid w:val="00226AA6"/>
    <w:rsid w:val="00246D54"/>
    <w:rsid w:val="00261104"/>
    <w:rsid w:val="00271251"/>
    <w:rsid w:val="00281219"/>
    <w:rsid w:val="00283BFA"/>
    <w:rsid w:val="002F066F"/>
    <w:rsid w:val="003002A1"/>
    <w:rsid w:val="003059F5"/>
    <w:rsid w:val="00307A65"/>
    <w:rsid w:val="00314C02"/>
    <w:rsid w:val="003773F2"/>
    <w:rsid w:val="003C2E34"/>
    <w:rsid w:val="003D6BF2"/>
    <w:rsid w:val="003F1A11"/>
    <w:rsid w:val="00483507"/>
    <w:rsid w:val="00497ECA"/>
    <w:rsid w:val="004C1324"/>
    <w:rsid w:val="004C6AEE"/>
    <w:rsid w:val="00506818"/>
    <w:rsid w:val="0053331B"/>
    <w:rsid w:val="00555BC9"/>
    <w:rsid w:val="0056345F"/>
    <w:rsid w:val="005A6072"/>
    <w:rsid w:val="005B1F88"/>
    <w:rsid w:val="005B6940"/>
    <w:rsid w:val="005C6219"/>
    <w:rsid w:val="005D4BD1"/>
    <w:rsid w:val="005F4FEF"/>
    <w:rsid w:val="0061318C"/>
    <w:rsid w:val="0063422A"/>
    <w:rsid w:val="00635626"/>
    <w:rsid w:val="00642A89"/>
    <w:rsid w:val="0066584B"/>
    <w:rsid w:val="006753A8"/>
    <w:rsid w:val="00677244"/>
    <w:rsid w:val="006946B3"/>
    <w:rsid w:val="006A1DDA"/>
    <w:rsid w:val="006C56BD"/>
    <w:rsid w:val="006F5243"/>
    <w:rsid w:val="00713425"/>
    <w:rsid w:val="007478EF"/>
    <w:rsid w:val="00761A45"/>
    <w:rsid w:val="00793437"/>
    <w:rsid w:val="007C712E"/>
    <w:rsid w:val="007D43EC"/>
    <w:rsid w:val="007D7762"/>
    <w:rsid w:val="00804196"/>
    <w:rsid w:val="00822E40"/>
    <w:rsid w:val="00831379"/>
    <w:rsid w:val="00854A2E"/>
    <w:rsid w:val="00861429"/>
    <w:rsid w:val="0086609B"/>
    <w:rsid w:val="008769C4"/>
    <w:rsid w:val="00882245"/>
    <w:rsid w:val="008965B2"/>
    <w:rsid w:val="008A30C2"/>
    <w:rsid w:val="008A7897"/>
    <w:rsid w:val="008D2092"/>
    <w:rsid w:val="008D34CA"/>
    <w:rsid w:val="008D4732"/>
    <w:rsid w:val="008D6948"/>
    <w:rsid w:val="00903BB4"/>
    <w:rsid w:val="00934B72"/>
    <w:rsid w:val="0098713A"/>
    <w:rsid w:val="00990BE1"/>
    <w:rsid w:val="009A013B"/>
    <w:rsid w:val="009A1CA6"/>
    <w:rsid w:val="009B4B75"/>
    <w:rsid w:val="009E6DF2"/>
    <w:rsid w:val="009F54EB"/>
    <w:rsid w:val="009F5957"/>
    <w:rsid w:val="00A012C1"/>
    <w:rsid w:val="00A070BC"/>
    <w:rsid w:val="00A22F0D"/>
    <w:rsid w:val="00A321E5"/>
    <w:rsid w:val="00A5612C"/>
    <w:rsid w:val="00A654DA"/>
    <w:rsid w:val="00A834CC"/>
    <w:rsid w:val="00AE02A9"/>
    <w:rsid w:val="00B05BF2"/>
    <w:rsid w:val="00B309BA"/>
    <w:rsid w:val="00B33FFA"/>
    <w:rsid w:val="00B34A03"/>
    <w:rsid w:val="00B66F36"/>
    <w:rsid w:val="00BA5DE6"/>
    <w:rsid w:val="00BB5F37"/>
    <w:rsid w:val="00C0542D"/>
    <w:rsid w:val="00C130BB"/>
    <w:rsid w:val="00C845C6"/>
    <w:rsid w:val="00CB55E7"/>
    <w:rsid w:val="00CD6765"/>
    <w:rsid w:val="00D16134"/>
    <w:rsid w:val="00DB088E"/>
    <w:rsid w:val="00DB55E4"/>
    <w:rsid w:val="00DC1941"/>
    <w:rsid w:val="00DD08F2"/>
    <w:rsid w:val="00DE00D5"/>
    <w:rsid w:val="00E36824"/>
    <w:rsid w:val="00E37FCE"/>
    <w:rsid w:val="00E4409E"/>
    <w:rsid w:val="00E4649E"/>
    <w:rsid w:val="00E472CE"/>
    <w:rsid w:val="00E743A9"/>
    <w:rsid w:val="00EC0E51"/>
    <w:rsid w:val="00EC56D5"/>
    <w:rsid w:val="00F10C10"/>
    <w:rsid w:val="00F23F69"/>
    <w:rsid w:val="00F45F7D"/>
    <w:rsid w:val="00F473FA"/>
    <w:rsid w:val="00F73DD8"/>
    <w:rsid w:val="00F75E9F"/>
    <w:rsid w:val="00F82BE0"/>
    <w:rsid w:val="00F93EE1"/>
    <w:rsid w:val="00FA7FD9"/>
    <w:rsid w:val="00FB795F"/>
    <w:rsid w:val="00FD2373"/>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C7280"/>
  <w15:docId w15:val="{DE1E0346-18FF-4C37-8453-4791AE43E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69C4"/>
  </w:style>
  <w:style w:type="paragraph" w:styleId="1">
    <w:name w:val="heading 1"/>
    <w:basedOn w:val="a"/>
    <w:next w:val="a"/>
    <w:link w:val="10"/>
    <w:uiPriority w:val="9"/>
    <w:qFormat/>
    <w:rsid w:val="00F75E9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75E9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75E9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75E9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75E9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75E9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75E9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75E9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75E9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5E9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75E9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75E9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75E9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75E9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75E9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75E9F"/>
    <w:rPr>
      <w:rFonts w:eastAsiaTheme="majorEastAsia" w:cstheme="majorBidi"/>
      <w:color w:val="595959" w:themeColor="text1" w:themeTint="A6"/>
    </w:rPr>
  </w:style>
  <w:style w:type="character" w:customStyle="1" w:styleId="80">
    <w:name w:val="Заголовок 8 Знак"/>
    <w:basedOn w:val="a0"/>
    <w:link w:val="8"/>
    <w:uiPriority w:val="9"/>
    <w:semiHidden/>
    <w:rsid w:val="00F75E9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75E9F"/>
    <w:rPr>
      <w:rFonts w:eastAsiaTheme="majorEastAsia" w:cstheme="majorBidi"/>
      <w:color w:val="272727" w:themeColor="text1" w:themeTint="D8"/>
    </w:rPr>
  </w:style>
  <w:style w:type="paragraph" w:styleId="a3">
    <w:name w:val="Title"/>
    <w:basedOn w:val="a"/>
    <w:next w:val="a"/>
    <w:link w:val="a4"/>
    <w:uiPriority w:val="10"/>
    <w:qFormat/>
    <w:rsid w:val="00F75E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75E9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75E9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75E9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75E9F"/>
    <w:pPr>
      <w:spacing w:before="160"/>
      <w:jc w:val="center"/>
    </w:pPr>
    <w:rPr>
      <w:i/>
      <w:iCs/>
      <w:color w:val="404040" w:themeColor="text1" w:themeTint="BF"/>
    </w:rPr>
  </w:style>
  <w:style w:type="character" w:customStyle="1" w:styleId="22">
    <w:name w:val="Цитата 2 Знак"/>
    <w:basedOn w:val="a0"/>
    <w:link w:val="21"/>
    <w:uiPriority w:val="29"/>
    <w:rsid w:val="00F75E9F"/>
    <w:rPr>
      <w:i/>
      <w:iCs/>
      <w:color w:val="404040" w:themeColor="text1" w:themeTint="BF"/>
    </w:rPr>
  </w:style>
  <w:style w:type="paragraph" w:styleId="a7">
    <w:name w:val="List Paragraph"/>
    <w:basedOn w:val="a"/>
    <w:uiPriority w:val="34"/>
    <w:qFormat/>
    <w:rsid w:val="00F75E9F"/>
    <w:pPr>
      <w:ind w:left="720"/>
      <w:contextualSpacing/>
    </w:pPr>
  </w:style>
  <w:style w:type="character" w:styleId="a8">
    <w:name w:val="Intense Emphasis"/>
    <w:basedOn w:val="a0"/>
    <w:uiPriority w:val="21"/>
    <w:qFormat/>
    <w:rsid w:val="00F75E9F"/>
    <w:rPr>
      <w:i/>
      <w:iCs/>
      <w:color w:val="2F5496" w:themeColor="accent1" w:themeShade="BF"/>
    </w:rPr>
  </w:style>
  <w:style w:type="paragraph" w:styleId="a9">
    <w:name w:val="Intense Quote"/>
    <w:basedOn w:val="a"/>
    <w:next w:val="a"/>
    <w:link w:val="aa"/>
    <w:uiPriority w:val="30"/>
    <w:qFormat/>
    <w:rsid w:val="00F75E9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75E9F"/>
    <w:rPr>
      <w:i/>
      <w:iCs/>
      <w:color w:val="2F5496" w:themeColor="accent1" w:themeShade="BF"/>
    </w:rPr>
  </w:style>
  <w:style w:type="character" w:styleId="ab">
    <w:name w:val="Intense Reference"/>
    <w:basedOn w:val="a0"/>
    <w:uiPriority w:val="32"/>
    <w:qFormat/>
    <w:rsid w:val="00F75E9F"/>
    <w:rPr>
      <w:b/>
      <w:bCs/>
      <w:smallCaps/>
      <w:color w:val="2F5496" w:themeColor="accent1" w:themeShade="BF"/>
      <w:spacing w:val="5"/>
    </w:rPr>
  </w:style>
  <w:style w:type="paragraph" w:styleId="ac">
    <w:name w:val="Normal (Web)"/>
    <w:basedOn w:val="a"/>
    <w:uiPriority w:val="99"/>
    <w:semiHidden/>
    <w:unhideWhenUsed/>
    <w:rsid w:val="00F75E9F"/>
    <w:rPr>
      <w:rFonts w:ascii="Times New Roman" w:hAnsi="Times New Roman" w:cs="Times New Roman"/>
      <w:sz w:val="24"/>
      <w:szCs w:val="24"/>
    </w:rPr>
  </w:style>
  <w:style w:type="table" w:customStyle="1" w:styleId="TableNormal1">
    <w:name w:val="Table Normal1"/>
    <w:uiPriority w:val="2"/>
    <w:semiHidden/>
    <w:unhideWhenUsed/>
    <w:qFormat/>
    <w:rsid w:val="0063422A"/>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422A"/>
    <w:pPr>
      <w:widowControl w:val="0"/>
      <w:autoSpaceDE w:val="0"/>
      <w:autoSpaceDN w:val="0"/>
      <w:spacing w:after="0" w:line="186" w:lineRule="exact"/>
      <w:ind w:left="105"/>
    </w:pPr>
    <w:rPr>
      <w:rFonts w:ascii="Times New Roman" w:eastAsia="Times New Roman" w:hAnsi="Times New Roman" w:cs="Times New Roman"/>
      <w:kern w:val="0"/>
      <w:lang w:val="en-US"/>
      <w14:ligatures w14:val="none"/>
    </w:rPr>
  </w:style>
  <w:style w:type="character" w:styleId="ad">
    <w:name w:val="Placeholder Text"/>
    <w:basedOn w:val="a0"/>
    <w:uiPriority w:val="99"/>
    <w:semiHidden/>
    <w:rsid w:val="008965B2"/>
    <w:rPr>
      <w:color w:val="666666"/>
    </w:rPr>
  </w:style>
  <w:style w:type="table" w:styleId="ae">
    <w:name w:val="Table Grid"/>
    <w:basedOn w:val="a1"/>
    <w:uiPriority w:val="39"/>
    <w:rsid w:val="00B05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basedOn w:val="a"/>
    <w:next w:val="a"/>
    <w:uiPriority w:val="35"/>
    <w:unhideWhenUsed/>
    <w:qFormat/>
    <w:rsid w:val="00B05BF2"/>
    <w:pPr>
      <w:spacing w:after="200" w:line="240" w:lineRule="auto"/>
    </w:pPr>
    <w:rPr>
      <w:i/>
      <w:iCs/>
      <w:color w:val="44546A" w:themeColor="text2"/>
      <w:sz w:val="18"/>
      <w:szCs w:val="18"/>
    </w:rPr>
  </w:style>
  <w:style w:type="character" w:styleId="af0">
    <w:name w:val="Hyperlink"/>
    <w:basedOn w:val="a0"/>
    <w:uiPriority w:val="99"/>
    <w:unhideWhenUsed/>
    <w:rsid w:val="007C712E"/>
    <w:rPr>
      <w:color w:val="0563C1" w:themeColor="hyperlink"/>
      <w:u w:val="single"/>
    </w:rPr>
  </w:style>
  <w:style w:type="character" w:customStyle="1" w:styleId="11">
    <w:name w:val="Неразрешенное упоминание1"/>
    <w:basedOn w:val="a0"/>
    <w:uiPriority w:val="99"/>
    <w:semiHidden/>
    <w:unhideWhenUsed/>
    <w:rsid w:val="007C712E"/>
    <w:rPr>
      <w:color w:val="605E5C"/>
      <w:shd w:val="clear" w:color="auto" w:fill="E1DFDD"/>
    </w:rPr>
  </w:style>
  <w:style w:type="character" w:styleId="af1">
    <w:name w:val="Strong"/>
    <w:basedOn w:val="a0"/>
    <w:uiPriority w:val="22"/>
    <w:qFormat/>
    <w:rsid w:val="00A654DA"/>
    <w:rPr>
      <w:b/>
      <w:bCs/>
    </w:rPr>
  </w:style>
  <w:style w:type="paragraph" w:styleId="af2">
    <w:name w:val="Balloon Text"/>
    <w:basedOn w:val="a"/>
    <w:link w:val="af3"/>
    <w:uiPriority w:val="99"/>
    <w:semiHidden/>
    <w:unhideWhenUsed/>
    <w:rsid w:val="0056345F"/>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56345F"/>
    <w:rPr>
      <w:rFonts w:ascii="Tahoma" w:hAnsi="Tahoma" w:cs="Tahoma"/>
      <w:sz w:val="16"/>
      <w:szCs w:val="16"/>
    </w:rPr>
  </w:style>
  <w:style w:type="paragraph" w:styleId="af4">
    <w:name w:val="header"/>
    <w:basedOn w:val="a"/>
    <w:link w:val="af5"/>
    <w:uiPriority w:val="99"/>
    <w:unhideWhenUsed/>
    <w:rsid w:val="00E743A9"/>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E743A9"/>
  </w:style>
  <w:style w:type="paragraph" w:styleId="af6">
    <w:name w:val="footer"/>
    <w:basedOn w:val="a"/>
    <w:link w:val="af7"/>
    <w:uiPriority w:val="99"/>
    <w:unhideWhenUsed/>
    <w:rsid w:val="00E743A9"/>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E743A9"/>
  </w:style>
  <w:style w:type="character" w:styleId="af8">
    <w:name w:val="Unresolved Mention"/>
    <w:basedOn w:val="a0"/>
    <w:uiPriority w:val="99"/>
    <w:semiHidden/>
    <w:unhideWhenUsed/>
    <w:rsid w:val="000A4543"/>
    <w:rPr>
      <w:color w:val="605E5C"/>
      <w:shd w:val="clear" w:color="auto" w:fill="E1DFDD"/>
    </w:rPr>
  </w:style>
  <w:style w:type="character" w:styleId="af9">
    <w:name w:val="Emphasis"/>
    <w:basedOn w:val="a0"/>
    <w:uiPriority w:val="20"/>
    <w:qFormat/>
    <w:rsid w:val="00A834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283">
      <w:bodyDiv w:val="1"/>
      <w:marLeft w:val="0"/>
      <w:marRight w:val="0"/>
      <w:marTop w:val="0"/>
      <w:marBottom w:val="0"/>
      <w:divBdr>
        <w:top w:val="none" w:sz="0" w:space="0" w:color="auto"/>
        <w:left w:val="none" w:sz="0" w:space="0" w:color="auto"/>
        <w:bottom w:val="none" w:sz="0" w:space="0" w:color="auto"/>
        <w:right w:val="none" w:sz="0" w:space="0" w:color="auto"/>
      </w:divBdr>
    </w:div>
    <w:div w:id="66929530">
      <w:bodyDiv w:val="1"/>
      <w:marLeft w:val="0"/>
      <w:marRight w:val="0"/>
      <w:marTop w:val="0"/>
      <w:marBottom w:val="0"/>
      <w:divBdr>
        <w:top w:val="none" w:sz="0" w:space="0" w:color="auto"/>
        <w:left w:val="none" w:sz="0" w:space="0" w:color="auto"/>
        <w:bottom w:val="none" w:sz="0" w:space="0" w:color="auto"/>
        <w:right w:val="none" w:sz="0" w:space="0" w:color="auto"/>
      </w:divBdr>
    </w:div>
    <w:div w:id="70007783">
      <w:bodyDiv w:val="1"/>
      <w:marLeft w:val="0"/>
      <w:marRight w:val="0"/>
      <w:marTop w:val="0"/>
      <w:marBottom w:val="0"/>
      <w:divBdr>
        <w:top w:val="none" w:sz="0" w:space="0" w:color="auto"/>
        <w:left w:val="none" w:sz="0" w:space="0" w:color="auto"/>
        <w:bottom w:val="none" w:sz="0" w:space="0" w:color="auto"/>
        <w:right w:val="none" w:sz="0" w:space="0" w:color="auto"/>
      </w:divBdr>
    </w:div>
    <w:div w:id="165024934">
      <w:bodyDiv w:val="1"/>
      <w:marLeft w:val="0"/>
      <w:marRight w:val="0"/>
      <w:marTop w:val="0"/>
      <w:marBottom w:val="0"/>
      <w:divBdr>
        <w:top w:val="none" w:sz="0" w:space="0" w:color="auto"/>
        <w:left w:val="none" w:sz="0" w:space="0" w:color="auto"/>
        <w:bottom w:val="none" w:sz="0" w:space="0" w:color="auto"/>
        <w:right w:val="none" w:sz="0" w:space="0" w:color="auto"/>
      </w:divBdr>
    </w:div>
    <w:div w:id="176312357">
      <w:bodyDiv w:val="1"/>
      <w:marLeft w:val="0"/>
      <w:marRight w:val="0"/>
      <w:marTop w:val="0"/>
      <w:marBottom w:val="0"/>
      <w:divBdr>
        <w:top w:val="none" w:sz="0" w:space="0" w:color="auto"/>
        <w:left w:val="none" w:sz="0" w:space="0" w:color="auto"/>
        <w:bottom w:val="none" w:sz="0" w:space="0" w:color="auto"/>
        <w:right w:val="none" w:sz="0" w:space="0" w:color="auto"/>
      </w:divBdr>
    </w:div>
    <w:div w:id="305399300">
      <w:bodyDiv w:val="1"/>
      <w:marLeft w:val="0"/>
      <w:marRight w:val="0"/>
      <w:marTop w:val="0"/>
      <w:marBottom w:val="0"/>
      <w:divBdr>
        <w:top w:val="none" w:sz="0" w:space="0" w:color="auto"/>
        <w:left w:val="none" w:sz="0" w:space="0" w:color="auto"/>
        <w:bottom w:val="none" w:sz="0" w:space="0" w:color="auto"/>
        <w:right w:val="none" w:sz="0" w:space="0" w:color="auto"/>
      </w:divBdr>
    </w:div>
    <w:div w:id="329794372">
      <w:bodyDiv w:val="1"/>
      <w:marLeft w:val="0"/>
      <w:marRight w:val="0"/>
      <w:marTop w:val="0"/>
      <w:marBottom w:val="0"/>
      <w:divBdr>
        <w:top w:val="none" w:sz="0" w:space="0" w:color="auto"/>
        <w:left w:val="none" w:sz="0" w:space="0" w:color="auto"/>
        <w:bottom w:val="none" w:sz="0" w:space="0" w:color="auto"/>
        <w:right w:val="none" w:sz="0" w:space="0" w:color="auto"/>
      </w:divBdr>
    </w:div>
    <w:div w:id="342635006">
      <w:bodyDiv w:val="1"/>
      <w:marLeft w:val="0"/>
      <w:marRight w:val="0"/>
      <w:marTop w:val="0"/>
      <w:marBottom w:val="0"/>
      <w:divBdr>
        <w:top w:val="none" w:sz="0" w:space="0" w:color="auto"/>
        <w:left w:val="none" w:sz="0" w:space="0" w:color="auto"/>
        <w:bottom w:val="none" w:sz="0" w:space="0" w:color="auto"/>
        <w:right w:val="none" w:sz="0" w:space="0" w:color="auto"/>
      </w:divBdr>
    </w:div>
    <w:div w:id="385879541">
      <w:bodyDiv w:val="1"/>
      <w:marLeft w:val="0"/>
      <w:marRight w:val="0"/>
      <w:marTop w:val="0"/>
      <w:marBottom w:val="0"/>
      <w:divBdr>
        <w:top w:val="none" w:sz="0" w:space="0" w:color="auto"/>
        <w:left w:val="none" w:sz="0" w:space="0" w:color="auto"/>
        <w:bottom w:val="none" w:sz="0" w:space="0" w:color="auto"/>
        <w:right w:val="none" w:sz="0" w:space="0" w:color="auto"/>
      </w:divBdr>
    </w:div>
    <w:div w:id="433553029">
      <w:bodyDiv w:val="1"/>
      <w:marLeft w:val="0"/>
      <w:marRight w:val="0"/>
      <w:marTop w:val="0"/>
      <w:marBottom w:val="0"/>
      <w:divBdr>
        <w:top w:val="none" w:sz="0" w:space="0" w:color="auto"/>
        <w:left w:val="none" w:sz="0" w:space="0" w:color="auto"/>
        <w:bottom w:val="none" w:sz="0" w:space="0" w:color="auto"/>
        <w:right w:val="none" w:sz="0" w:space="0" w:color="auto"/>
      </w:divBdr>
    </w:div>
    <w:div w:id="439881942">
      <w:bodyDiv w:val="1"/>
      <w:marLeft w:val="0"/>
      <w:marRight w:val="0"/>
      <w:marTop w:val="0"/>
      <w:marBottom w:val="0"/>
      <w:divBdr>
        <w:top w:val="none" w:sz="0" w:space="0" w:color="auto"/>
        <w:left w:val="none" w:sz="0" w:space="0" w:color="auto"/>
        <w:bottom w:val="none" w:sz="0" w:space="0" w:color="auto"/>
        <w:right w:val="none" w:sz="0" w:space="0" w:color="auto"/>
      </w:divBdr>
    </w:div>
    <w:div w:id="490174447">
      <w:bodyDiv w:val="1"/>
      <w:marLeft w:val="0"/>
      <w:marRight w:val="0"/>
      <w:marTop w:val="0"/>
      <w:marBottom w:val="0"/>
      <w:divBdr>
        <w:top w:val="none" w:sz="0" w:space="0" w:color="auto"/>
        <w:left w:val="none" w:sz="0" w:space="0" w:color="auto"/>
        <w:bottom w:val="none" w:sz="0" w:space="0" w:color="auto"/>
        <w:right w:val="none" w:sz="0" w:space="0" w:color="auto"/>
      </w:divBdr>
    </w:div>
    <w:div w:id="498035247">
      <w:bodyDiv w:val="1"/>
      <w:marLeft w:val="0"/>
      <w:marRight w:val="0"/>
      <w:marTop w:val="0"/>
      <w:marBottom w:val="0"/>
      <w:divBdr>
        <w:top w:val="none" w:sz="0" w:space="0" w:color="auto"/>
        <w:left w:val="none" w:sz="0" w:space="0" w:color="auto"/>
        <w:bottom w:val="none" w:sz="0" w:space="0" w:color="auto"/>
        <w:right w:val="none" w:sz="0" w:space="0" w:color="auto"/>
      </w:divBdr>
    </w:div>
    <w:div w:id="548037353">
      <w:bodyDiv w:val="1"/>
      <w:marLeft w:val="0"/>
      <w:marRight w:val="0"/>
      <w:marTop w:val="0"/>
      <w:marBottom w:val="0"/>
      <w:divBdr>
        <w:top w:val="none" w:sz="0" w:space="0" w:color="auto"/>
        <w:left w:val="none" w:sz="0" w:space="0" w:color="auto"/>
        <w:bottom w:val="none" w:sz="0" w:space="0" w:color="auto"/>
        <w:right w:val="none" w:sz="0" w:space="0" w:color="auto"/>
      </w:divBdr>
    </w:div>
    <w:div w:id="639965774">
      <w:bodyDiv w:val="1"/>
      <w:marLeft w:val="0"/>
      <w:marRight w:val="0"/>
      <w:marTop w:val="0"/>
      <w:marBottom w:val="0"/>
      <w:divBdr>
        <w:top w:val="none" w:sz="0" w:space="0" w:color="auto"/>
        <w:left w:val="none" w:sz="0" w:space="0" w:color="auto"/>
        <w:bottom w:val="none" w:sz="0" w:space="0" w:color="auto"/>
        <w:right w:val="none" w:sz="0" w:space="0" w:color="auto"/>
      </w:divBdr>
    </w:div>
    <w:div w:id="674500640">
      <w:bodyDiv w:val="1"/>
      <w:marLeft w:val="0"/>
      <w:marRight w:val="0"/>
      <w:marTop w:val="0"/>
      <w:marBottom w:val="0"/>
      <w:divBdr>
        <w:top w:val="none" w:sz="0" w:space="0" w:color="auto"/>
        <w:left w:val="none" w:sz="0" w:space="0" w:color="auto"/>
        <w:bottom w:val="none" w:sz="0" w:space="0" w:color="auto"/>
        <w:right w:val="none" w:sz="0" w:space="0" w:color="auto"/>
      </w:divBdr>
    </w:div>
    <w:div w:id="689138119">
      <w:bodyDiv w:val="1"/>
      <w:marLeft w:val="0"/>
      <w:marRight w:val="0"/>
      <w:marTop w:val="0"/>
      <w:marBottom w:val="0"/>
      <w:divBdr>
        <w:top w:val="none" w:sz="0" w:space="0" w:color="auto"/>
        <w:left w:val="none" w:sz="0" w:space="0" w:color="auto"/>
        <w:bottom w:val="none" w:sz="0" w:space="0" w:color="auto"/>
        <w:right w:val="none" w:sz="0" w:space="0" w:color="auto"/>
      </w:divBdr>
    </w:div>
    <w:div w:id="761880101">
      <w:bodyDiv w:val="1"/>
      <w:marLeft w:val="0"/>
      <w:marRight w:val="0"/>
      <w:marTop w:val="0"/>
      <w:marBottom w:val="0"/>
      <w:divBdr>
        <w:top w:val="none" w:sz="0" w:space="0" w:color="auto"/>
        <w:left w:val="none" w:sz="0" w:space="0" w:color="auto"/>
        <w:bottom w:val="none" w:sz="0" w:space="0" w:color="auto"/>
        <w:right w:val="none" w:sz="0" w:space="0" w:color="auto"/>
      </w:divBdr>
    </w:div>
    <w:div w:id="806973657">
      <w:bodyDiv w:val="1"/>
      <w:marLeft w:val="0"/>
      <w:marRight w:val="0"/>
      <w:marTop w:val="0"/>
      <w:marBottom w:val="0"/>
      <w:divBdr>
        <w:top w:val="none" w:sz="0" w:space="0" w:color="auto"/>
        <w:left w:val="none" w:sz="0" w:space="0" w:color="auto"/>
        <w:bottom w:val="none" w:sz="0" w:space="0" w:color="auto"/>
        <w:right w:val="none" w:sz="0" w:space="0" w:color="auto"/>
      </w:divBdr>
    </w:div>
    <w:div w:id="852380413">
      <w:bodyDiv w:val="1"/>
      <w:marLeft w:val="0"/>
      <w:marRight w:val="0"/>
      <w:marTop w:val="0"/>
      <w:marBottom w:val="0"/>
      <w:divBdr>
        <w:top w:val="none" w:sz="0" w:space="0" w:color="auto"/>
        <w:left w:val="none" w:sz="0" w:space="0" w:color="auto"/>
        <w:bottom w:val="none" w:sz="0" w:space="0" w:color="auto"/>
        <w:right w:val="none" w:sz="0" w:space="0" w:color="auto"/>
      </w:divBdr>
    </w:div>
    <w:div w:id="853880331">
      <w:bodyDiv w:val="1"/>
      <w:marLeft w:val="0"/>
      <w:marRight w:val="0"/>
      <w:marTop w:val="0"/>
      <w:marBottom w:val="0"/>
      <w:divBdr>
        <w:top w:val="none" w:sz="0" w:space="0" w:color="auto"/>
        <w:left w:val="none" w:sz="0" w:space="0" w:color="auto"/>
        <w:bottom w:val="none" w:sz="0" w:space="0" w:color="auto"/>
        <w:right w:val="none" w:sz="0" w:space="0" w:color="auto"/>
      </w:divBdr>
    </w:div>
    <w:div w:id="871499894">
      <w:bodyDiv w:val="1"/>
      <w:marLeft w:val="0"/>
      <w:marRight w:val="0"/>
      <w:marTop w:val="0"/>
      <w:marBottom w:val="0"/>
      <w:divBdr>
        <w:top w:val="none" w:sz="0" w:space="0" w:color="auto"/>
        <w:left w:val="none" w:sz="0" w:space="0" w:color="auto"/>
        <w:bottom w:val="none" w:sz="0" w:space="0" w:color="auto"/>
        <w:right w:val="none" w:sz="0" w:space="0" w:color="auto"/>
      </w:divBdr>
    </w:div>
    <w:div w:id="967902485">
      <w:bodyDiv w:val="1"/>
      <w:marLeft w:val="0"/>
      <w:marRight w:val="0"/>
      <w:marTop w:val="0"/>
      <w:marBottom w:val="0"/>
      <w:divBdr>
        <w:top w:val="none" w:sz="0" w:space="0" w:color="auto"/>
        <w:left w:val="none" w:sz="0" w:space="0" w:color="auto"/>
        <w:bottom w:val="none" w:sz="0" w:space="0" w:color="auto"/>
        <w:right w:val="none" w:sz="0" w:space="0" w:color="auto"/>
      </w:divBdr>
    </w:div>
    <w:div w:id="1043863817">
      <w:bodyDiv w:val="1"/>
      <w:marLeft w:val="0"/>
      <w:marRight w:val="0"/>
      <w:marTop w:val="0"/>
      <w:marBottom w:val="0"/>
      <w:divBdr>
        <w:top w:val="none" w:sz="0" w:space="0" w:color="auto"/>
        <w:left w:val="none" w:sz="0" w:space="0" w:color="auto"/>
        <w:bottom w:val="none" w:sz="0" w:space="0" w:color="auto"/>
        <w:right w:val="none" w:sz="0" w:space="0" w:color="auto"/>
      </w:divBdr>
    </w:div>
    <w:div w:id="1045371762">
      <w:bodyDiv w:val="1"/>
      <w:marLeft w:val="0"/>
      <w:marRight w:val="0"/>
      <w:marTop w:val="0"/>
      <w:marBottom w:val="0"/>
      <w:divBdr>
        <w:top w:val="none" w:sz="0" w:space="0" w:color="auto"/>
        <w:left w:val="none" w:sz="0" w:space="0" w:color="auto"/>
        <w:bottom w:val="none" w:sz="0" w:space="0" w:color="auto"/>
        <w:right w:val="none" w:sz="0" w:space="0" w:color="auto"/>
      </w:divBdr>
    </w:div>
    <w:div w:id="1084106569">
      <w:bodyDiv w:val="1"/>
      <w:marLeft w:val="0"/>
      <w:marRight w:val="0"/>
      <w:marTop w:val="0"/>
      <w:marBottom w:val="0"/>
      <w:divBdr>
        <w:top w:val="none" w:sz="0" w:space="0" w:color="auto"/>
        <w:left w:val="none" w:sz="0" w:space="0" w:color="auto"/>
        <w:bottom w:val="none" w:sz="0" w:space="0" w:color="auto"/>
        <w:right w:val="none" w:sz="0" w:space="0" w:color="auto"/>
      </w:divBdr>
    </w:div>
    <w:div w:id="1132819766">
      <w:bodyDiv w:val="1"/>
      <w:marLeft w:val="0"/>
      <w:marRight w:val="0"/>
      <w:marTop w:val="0"/>
      <w:marBottom w:val="0"/>
      <w:divBdr>
        <w:top w:val="none" w:sz="0" w:space="0" w:color="auto"/>
        <w:left w:val="none" w:sz="0" w:space="0" w:color="auto"/>
        <w:bottom w:val="none" w:sz="0" w:space="0" w:color="auto"/>
        <w:right w:val="none" w:sz="0" w:space="0" w:color="auto"/>
      </w:divBdr>
    </w:div>
    <w:div w:id="1214121206">
      <w:bodyDiv w:val="1"/>
      <w:marLeft w:val="0"/>
      <w:marRight w:val="0"/>
      <w:marTop w:val="0"/>
      <w:marBottom w:val="0"/>
      <w:divBdr>
        <w:top w:val="none" w:sz="0" w:space="0" w:color="auto"/>
        <w:left w:val="none" w:sz="0" w:space="0" w:color="auto"/>
        <w:bottom w:val="none" w:sz="0" w:space="0" w:color="auto"/>
        <w:right w:val="none" w:sz="0" w:space="0" w:color="auto"/>
      </w:divBdr>
    </w:div>
    <w:div w:id="1233661070">
      <w:bodyDiv w:val="1"/>
      <w:marLeft w:val="0"/>
      <w:marRight w:val="0"/>
      <w:marTop w:val="0"/>
      <w:marBottom w:val="0"/>
      <w:divBdr>
        <w:top w:val="none" w:sz="0" w:space="0" w:color="auto"/>
        <w:left w:val="none" w:sz="0" w:space="0" w:color="auto"/>
        <w:bottom w:val="none" w:sz="0" w:space="0" w:color="auto"/>
        <w:right w:val="none" w:sz="0" w:space="0" w:color="auto"/>
      </w:divBdr>
    </w:div>
    <w:div w:id="1272278749">
      <w:bodyDiv w:val="1"/>
      <w:marLeft w:val="0"/>
      <w:marRight w:val="0"/>
      <w:marTop w:val="0"/>
      <w:marBottom w:val="0"/>
      <w:divBdr>
        <w:top w:val="none" w:sz="0" w:space="0" w:color="auto"/>
        <w:left w:val="none" w:sz="0" w:space="0" w:color="auto"/>
        <w:bottom w:val="none" w:sz="0" w:space="0" w:color="auto"/>
        <w:right w:val="none" w:sz="0" w:space="0" w:color="auto"/>
      </w:divBdr>
    </w:div>
    <w:div w:id="1282491345">
      <w:bodyDiv w:val="1"/>
      <w:marLeft w:val="0"/>
      <w:marRight w:val="0"/>
      <w:marTop w:val="0"/>
      <w:marBottom w:val="0"/>
      <w:divBdr>
        <w:top w:val="none" w:sz="0" w:space="0" w:color="auto"/>
        <w:left w:val="none" w:sz="0" w:space="0" w:color="auto"/>
        <w:bottom w:val="none" w:sz="0" w:space="0" w:color="auto"/>
        <w:right w:val="none" w:sz="0" w:space="0" w:color="auto"/>
      </w:divBdr>
    </w:div>
    <w:div w:id="1284770918">
      <w:bodyDiv w:val="1"/>
      <w:marLeft w:val="0"/>
      <w:marRight w:val="0"/>
      <w:marTop w:val="0"/>
      <w:marBottom w:val="0"/>
      <w:divBdr>
        <w:top w:val="none" w:sz="0" w:space="0" w:color="auto"/>
        <w:left w:val="none" w:sz="0" w:space="0" w:color="auto"/>
        <w:bottom w:val="none" w:sz="0" w:space="0" w:color="auto"/>
        <w:right w:val="none" w:sz="0" w:space="0" w:color="auto"/>
      </w:divBdr>
    </w:div>
    <w:div w:id="1292322876">
      <w:bodyDiv w:val="1"/>
      <w:marLeft w:val="0"/>
      <w:marRight w:val="0"/>
      <w:marTop w:val="0"/>
      <w:marBottom w:val="0"/>
      <w:divBdr>
        <w:top w:val="none" w:sz="0" w:space="0" w:color="auto"/>
        <w:left w:val="none" w:sz="0" w:space="0" w:color="auto"/>
        <w:bottom w:val="none" w:sz="0" w:space="0" w:color="auto"/>
        <w:right w:val="none" w:sz="0" w:space="0" w:color="auto"/>
      </w:divBdr>
    </w:div>
    <w:div w:id="1323198100">
      <w:bodyDiv w:val="1"/>
      <w:marLeft w:val="0"/>
      <w:marRight w:val="0"/>
      <w:marTop w:val="0"/>
      <w:marBottom w:val="0"/>
      <w:divBdr>
        <w:top w:val="none" w:sz="0" w:space="0" w:color="auto"/>
        <w:left w:val="none" w:sz="0" w:space="0" w:color="auto"/>
        <w:bottom w:val="none" w:sz="0" w:space="0" w:color="auto"/>
        <w:right w:val="none" w:sz="0" w:space="0" w:color="auto"/>
      </w:divBdr>
    </w:div>
    <w:div w:id="1388333074">
      <w:bodyDiv w:val="1"/>
      <w:marLeft w:val="0"/>
      <w:marRight w:val="0"/>
      <w:marTop w:val="0"/>
      <w:marBottom w:val="0"/>
      <w:divBdr>
        <w:top w:val="none" w:sz="0" w:space="0" w:color="auto"/>
        <w:left w:val="none" w:sz="0" w:space="0" w:color="auto"/>
        <w:bottom w:val="none" w:sz="0" w:space="0" w:color="auto"/>
        <w:right w:val="none" w:sz="0" w:space="0" w:color="auto"/>
      </w:divBdr>
    </w:div>
    <w:div w:id="1420979119">
      <w:bodyDiv w:val="1"/>
      <w:marLeft w:val="0"/>
      <w:marRight w:val="0"/>
      <w:marTop w:val="0"/>
      <w:marBottom w:val="0"/>
      <w:divBdr>
        <w:top w:val="none" w:sz="0" w:space="0" w:color="auto"/>
        <w:left w:val="none" w:sz="0" w:space="0" w:color="auto"/>
        <w:bottom w:val="none" w:sz="0" w:space="0" w:color="auto"/>
        <w:right w:val="none" w:sz="0" w:space="0" w:color="auto"/>
      </w:divBdr>
    </w:div>
    <w:div w:id="1438139680">
      <w:bodyDiv w:val="1"/>
      <w:marLeft w:val="0"/>
      <w:marRight w:val="0"/>
      <w:marTop w:val="0"/>
      <w:marBottom w:val="0"/>
      <w:divBdr>
        <w:top w:val="none" w:sz="0" w:space="0" w:color="auto"/>
        <w:left w:val="none" w:sz="0" w:space="0" w:color="auto"/>
        <w:bottom w:val="none" w:sz="0" w:space="0" w:color="auto"/>
        <w:right w:val="none" w:sz="0" w:space="0" w:color="auto"/>
      </w:divBdr>
    </w:div>
    <w:div w:id="1646356517">
      <w:bodyDiv w:val="1"/>
      <w:marLeft w:val="0"/>
      <w:marRight w:val="0"/>
      <w:marTop w:val="0"/>
      <w:marBottom w:val="0"/>
      <w:divBdr>
        <w:top w:val="none" w:sz="0" w:space="0" w:color="auto"/>
        <w:left w:val="none" w:sz="0" w:space="0" w:color="auto"/>
        <w:bottom w:val="none" w:sz="0" w:space="0" w:color="auto"/>
        <w:right w:val="none" w:sz="0" w:space="0" w:color="auto"/>
      </w:divBdr>
    </w:div>
    <w:div w:id="1689059874">
      <w:bodyDiv w:val="1"/>
      <w:marLeft w:val="0"/>
      <w:marRight w:val="0"/>
      <w:marTop w:val="0"/>
      <w:marBottom w:val="0"/>
      <w:divBdr>
        <w:top w:val="none" w:sz="0" w:space="0" w:color="auto"/>
        <w:left w:val="none" w:sz="0" w:space="0" w:color="auto"/>
        <w:bottom w:val="none" w:sz="0" w:space="0" w:color="auto"/>
        <w:right w:val="none" w:sz="0" w:space="0" w:color="auto"/>
      </w:divBdr>
    </w:div>
    <w:div w:id="1698120812">
      <w:bodyDiv w:val="1"/>
      <w:marLeft w:val="0"/>
      <w:marRight w:val="0"/>
      <w:marTop w:val="0"/>
      <w:marBottom w:val="0"/>
      <w:divBdr>
        <w:top w:val="none" w:sz="0" w:space="0" w:color="auto"/>
        <w:left w:val="none" w:sz="0" w:space="0" w:color="auto"/>
        <w:bottom w:val="none" w:sz="0" w:space="0" w:color="auto"/>
        <w:right w:val="none" w:sz="0" w:space="0" w:color="auto"/>
      </w:divBdr>
    </w:div>
    <w:div w:id="1832987142">
      <w:bodyDiv w:val="1"/>
      <w:marLeft w:val="0"/>
      <w:marRight w:val="0"/>
      <w:marTop w:val="0"/>
      <w:marBottom w:val="0"/>
      <w:divBdr>
        <w:top w:val="none" w:sz="0" w:space="0" w:color="auto"/>
        <w:left w:val="none" w:sz="0" w:space="0" w:color="auto"/>
        <w:bottom w:val="none" w:sz="0" w:space="0" w:color="auto"/>
        <w:right w:val="none" w:sz="0" w:space="0" w:color="auto"/>
      </w:divBdr>
    </w:div>
    <w:div w:id="1877885035">
      <w:bodyDiv w:val="1"/>
      <w:marLeft w:val="0"/>
      <w:marRight w:val="0"/>
      <w:marTop w:val="0"/>
      <w:marBottom w:val="0"/>
      <w:divBdr>
        <w:top w:val="none" w:sz="0" w:space="0" w:color="auto"/>
        <w:left w:val="none" w:sz="0" w:space="0" w:color="auto"/>
        <w:bottom w:val="none" w:sz="0" w:space="0" w:color="auto"/>
        <w:right w:val="none" w:sz="0" w:space="0" w:color="auto"/>
      </w:divBdr>
    </w:div>
    <w:div w:id="1964654875">
      <w:bodyDiv w:val="1"/>
      <w:marLeft w:val="0"/>
      <w:marRight w:val="0"/>
      <w:marTop w:val="0"/>
      <w:marBottom w:val="0"/>
      <w:divBdr>
        <w:top w:val="none" w:sz="0" w:space="0" w:color="auto"/>
        <w:left w:val="none" w:sz="0" w:space="0" w:color="auto"/>
        <w:bottom w:val="none" w:sz="0" w:space="0" w:color="auto"/>
        <w:right w:val="none" w:sz="0" w:space="0" w:color="auto"/>
      </w:divBdr>
    </w:div>
    <w:div w:id="1977832720">
      <w:bodyDiv w:val="1"/>
      <w:marLeft w:val="0"/>
      <w:marRight w:val="0"/>
      <w:marTop w:val="0"/>
      <w:marBottom w:val="0"/>
      <w:divBdr>
        <w:top w:val="none" w:sz="0" w:space="0" w:color="auto"/>
        <w:left w:val="none" w:sz="0" w:space="0" w:color="auto"/>
        <w:bottom w:val="none" w:sz="0" w:space="0" w:color="auto"/>
        <w:right w:val="none" w:sz="0" w:space="0" w:color="auto"/>
      </w:divBdr>
    </w:div>
    <w:div w:id="2016805422">
      <w:bodyDiv w:val="1"/>
      <w:marLeft w:val="0"/>
      <w:marRight w:val="0"/>
      <w:marTop w:val="0"/>
      <w:marBottom w:val="0"/>
      <w:divBdr>
        <w:top w:val="none" w:sz="0" w:space="0" w:color="auto"/>
        <w:left w:val="none" w:sz="0" w:space="0" w:color="auto"/>
        <w:bottom w:val="none" w:sz="0" w:space="0" w:color="auto"/>
        <w:right w:val="none" w:sz="0" w:space="0" w:color="auto"/>
      </w:divBdr>
    </w:div>
    <w:div w:id="202362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i.al@mail.ru" TargetMode="External"/><Relationship Id="rId13" Type="http://schemas.openxmlformats.org/officeDocument/2006/relationships/hyperlink" Target="https://doi.org/10.1051/bioconf/2024840502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slomov_0303@mail.ru" TargetMode="External"/><Relationship Id="rId12" Type="http://schemas.openxmlformats.org/officeDocument/2006/relationships/chart" Target="charts/chart2.xml"/><Relationship Id="rId17" Type="http://schemas.openxmlformats.org/officeDocument/2006/relationships/hyperlink" Target="https://doi.org/10.1051/bioconf/20248405020" TargetMode="External"/><Relationship Id="rId2" Type="http://schemas.openxmlformats.org/officeDocument/2006/relationships/styles" Target="styles.xml"/><Relationship Id="rId16" Type="http://schemas.openxmlformats.org/officeDocument/2006/relationships/hyperlink" Target="https://doi.org/10.33317/ssurj.62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hyperlink" Target="https://doi.org/10.3390/su162411212"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doi.org/10.1016/j.rineng.2023.101302"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Лист1!$B$22:$N$22</c:f>
              <c:strCache>
                <c:ptCount val="13"/>
                <c:pt idx="0">
                  <c:v>power (kW)</c:v>
                </c:pt>
                <c:pt idx="1">
                  <c:v>January</c:v>
                </c:pt>
                <c:pt idx="2">
                  <c:v>February</c:v>
                </c:pt>
                <c:pt idx="3">
                  <c:v>March</c:v>
                </c:pt>
                <c:pt idx="4">
                  <c:v>April</c:v>
                </c:pt>
                <c:pt idx="5">
                  <c:v>May</c:v>
                </c:pt>
                <c:pt idx="6">
                  <c:v>June</c:v>
                </c:pt>
                <c:pt idx="7">
                  <c:v>July</c:v>
                </c:pt>
                <c:pt idx="8">
                  <c:v>August</c:v>
                </c:pt>
                <c:pt idx="9">
                  <c:v>September</c:v>
                </c:pt>
                <c:pt idx="10">
                  <c:v>October</c:v>
                </c:pt>
                <c:pt idx="11">
                  <c:v>November</c:v>
                </c:pt>
                <c:pt idx="12">
                  <c:v>December</c:v>
                </c:pt>
              </c:strCache>
            </c:strRef>
          </c:cat>
          <c:val>
            <c:numRef>
              <c:f>Лист1!$B$23:$N$23</c:f>
              <c:numCache>
                <c:formatCode>General</c:formatCode>
                <c:ptCount val="13"/>
                <c:pt idx="1">
                  <c:v>3642.64</c:v>
                </c:pt>
                <c:pt idx="2">
                  <c:v>4696.4399999999996</c:v>
                </c:pt>
                <c:pt idx="3">
                  <c:v>7631.48</c:v>
                </c:pt>
                <c:pt idx="4">
                  <c:v>9858.24</c:v>
                </c:pt>
                <c:pt idx="5">
                  <c:v>11443.92</c:v>
                </c:pt>
                <c:pt idx="6">
                  <c:v>12430.7</c:v>
                </c:pt>
                <c:pt idx="7">
                  <c:v>12977.28</c:v>
                </c:pt>
                <c:pt idx="8">
                  <c:v>12038.1</c:v>
                </c:pt>
                <c:pt idx="9">
                  <c:v>9587.34</c:v>
                </c:pt>
                <c:pt idx="10">
                  <c:v>6650.14</c:v>
                </c:pt>
                <c:pt idx="11">
                  <c:v>3813.24</c:v>
                </c:pt>
                <c:pt idx="12">
                  <c:v>2204.52</c:v>
                </c:pt>
              </c:numCache>
            </c:numRef>
          </c:val>
          <c:extLst>
            <c:ext xmlns:c16="http://schemas.microsoft.com/office/drawing/2014/chart" uri="{C3380CC4-5D6E-409C-BE32-E72D297353CC}">
              <c16:uniqueId val="{00000000-5DD8-41D9-83C1-1274ABBF42F1}"/>
            </c:ext>
          </c:extLst>
        </c:ser>
        <c:dLbls>
          <c:dLblPos val="outEnd"/>
          <c:showLegendKey val="0"/>
          <c:showVal val="1"/>
          <c:showCatName val="0"/>
          <c:showSerName val="0"/>
          <c:showPercent val="0"/>
          <c:showBubbleSize val="0"/>
        </c:dLbls>
        <c:gapWidth val="219"/>
        <c:overlap val="-27"/>
        <c:axId val="1171371631"/>
        <c:axId val="1171369135"/>
      </c:barChart>
      <c:catAx>
        <c:axId val="1171371631"/>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Power</a:t>
                </a:r>
                <a:r>
                  <a:rPr lang="en-US" b="1" baseline="0"/>
                  <a:t> (kW)</a:t>
                </a:r>
                <a:endParaRPr lang="en-US" b="1"/>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crossAx val="1171369135"/>
        <c:crosses val="autoZero"/>
        <c:auto val="1"/>
        <c:lblAlgn val="ctr"/>
        <c:lblOffset val="100"/>
        <c:noMultiLvlLbl val="0"/>
      </c:catAx>
      <c:valAx>
        <c:axId val="117136913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crossAx val="1171371631"/>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Лист1!$B$18</c:f>
              <c:strCache>
                <c:ptCount val="1"/>
                <c:pt idx="0">
                  <c:v>average  temperature °C</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Лист1!$C$17:$N$17</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Лист1!$C$18:$N$18</c:f>
              <c:numCache>
                <c:formatCode>General</c:formatCode>
                <c:ptCount val="12"/>
                <c:pt idx="0">
                  <c:v>-2</c:v>
                </c:pt>
                <c:pt idx="1">
                  <c:v>2</c:v>
                </c:pt>
                <c:pt idx="2">
                  <c:v>10</c:v>
                </c:pt>
                <c:pt idx="3">
                  <c:v>16</c:v>
                </c:pt>
                <c:pt idx="4">
                  <c:v>22</c:v>
                </c:pt>
                <c:pt idx="5">
                  <c:v>28</c:v>
                </c:pt>
                <c:pt idx="6">
                  <c:v>32</c:v>
                </c:pt>
                <c:pt idx="7">
                  <c:v>30</c:v>
                </c:pt>
                <c:pt idx="8">
                  <c:v>25</c:v>
                </c:pt>
                <c:pt idx="9">
                  <c:v>16</c:v>
                </c:pt>
                <c:pt idx="10">
                  <c:v>8</c:v>
                </c:pt>
                <c:pt idx="11">
                  <c:v>3</c:v>
                </c:pt>
              </c:numCache>
            </c:numRef>
          </c:val>
          <c:extLst>
            <c:ext xmlns:c16="http://schemas.microsoft.com/office/drawing/2014/chart" uri="{C3380CC4-5D6E-409C-BE32-E72D297353CC}">
              <c16:uniqueId val="{00000000-63D4-4CC4-802F-DF560F171994}"/>
            </c:ext>
          </c:extLst>
        </c:ser>
        <c:ser>
          <c:idx val="1"/>
          <c:order val="1"/>
          <c:tx>
            <c:strRef>
              <c:f>Лист1!$B$19</c:f>
              <c:strCache>
                <c:ptCount val="1"/>
                <c:pt idx="0">
                  <c:v>solar radiation (kW)</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Лист1!$C$17:$N$17</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Лист1!$C$19:$N$19</c:f>
              <c:numCache>
                <c:formatCode>General</c:formatCode>
                <c:ptCount val="12"/>
                <c:pt idx="0">
                  <c:v>60</c:v>
                </c:pt>
                <c:pt idx="1">
                  <c:v>70</c:v>
                </c:pt>
                <c:pt idx="2">
                  <c:v>120</c:v>
                </c:pt>
                <c:pt idx="3">
                  <c:v>140</c:v>
                </c:pt>
                <c:pt idx="4">
                  <c:v>160</c:v>
                </c:pt>
                <c:pt idx="5">
                  <c:v>200</c:v>
                </c:pt>
                <c:pt idx="6">
                  <c:v>210</c:v>
                </c:pt>
                <c:pt idx="7">
                  <c:v>200</c:v>
                </c:pt>
                <c:pt idx="8">
                  <c:v>150</c:v>
                </c:pt>
                <c:pt idx="9">
                  <c:v>120</c:v>
                </c:pt>
                <c:pt idx="10">
                  <c:v>80</c:v>
                </c:pt>
                <c:pt idx="11">
                  <c:v>70</c:v>
                </c:pt>
              </c:numCache>
            </c:numRef>
          </c:val>
          <c:extLst>
            <c:ext xmlns:c16="http://schemas.microsoft.com/office/drawing/2014/chart" uri="{C3380CC4-5D6E-409C-BE32-E72D297353CC}">
              <c16:uniqueId val="{00000001-63D4-4CC4-802F-DF560F171994}"/>
            </c:ext>
          </c:extLst>
        </c:ser>
        <c:dLbls>
          <c:dLblPos val="outEnd"/>
          <c:showLegendKey val="0"/>
          <c:showVal val="1"/>
          <c:showCatName val="0"/>
          <c:showSerName val="0"/>
          <c:showPercent val="0"/>
          <c:showBubbleSize val="0"/>
        </c:dLbls>
        <c:gapWidth val="219"/>
        <c:overlap val="-27"/>
        <c:axId val="1187837119"/>
        <c:axId val="1187825887"/>
      </c:barChart>
      <c:catAx>
        <c:axId val="118783711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crossAx val="1187825887"/>
        <c:crosses val="autoZero"/>
        <c:auto val="1"/>
        <c:lblAlgn val="ctr"/>
        <c:lblOffset val="100"/>
        <c:noMultiLvlLbl val="0"/>
      </c:catAx>
      <c:valAx>
        <c:axId val="118782588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crossAx val="118783711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3F6CDE2-EF55-4233-AE59-C9EF00F16B50}">
  <we:reference id="wa104381909" version="3.14.0.0" store="ru-RU" storeType="OMEX"/>
  <we:alternateReferences>
    <we:reference id="wa104381909" version="3.14.0.0" store="ru-RU"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83</TotalTime>
  <Pages>8</Pages>
  <Words>3835</Words>
  <Characters>21866</Characters>
  <Application>Microsoft Office Word</Application>
  <DocSecurity>0</DocSecurity>
  <Lines>182</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Talipov Miraziz</cp:lastModifiedBy>
  <cp:revision>16</cp:revision>
  <cp:lastPrinted>2025-02-08T05:25:00Z</cp:lastPrinted>
  <dcterms:created xsi:type="dcterms:W3CDTF">2025-09-22T03:53:00Z</dcterms:created>
  <dcterms:modified xsi:type="dcterms:W3CDTF">2025-10-02T04:37:00Z</dcterms:modified>
</cp:coreProperties>
</file>