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BC41B" w14:textId="3D5A78DA" w:rsidR="00B37C50" w:rsidRPr="0033284B" w:rsidRDefault="00B37C50" w:rsidP="00B83761">
      <w:pPr>
        <w:spacing w:before="1200" w:after="0" w:line="240" w:lineRule="auto"/>
        <w:jc w:val="center"/>
        <w:rPr>
          <w:rFonts w:ascii="Times New Roman" w:hAnsi="Times New Roman" w:cs="Times New Roman"/>
          <w:b/>
          <w:bCs/>
          <w:sz w:val="36"/>
          <w:szCs w:val="36"/>
          <w:lang w:val="en-US"/>
        </w:rPr>
      </w:pPr>
      <w:r w:rsidRPr="0033284B">
        <w:rPr>
          <w:rFonts w:ascii="Times New Roman" w:hAnsi="Times New Roman" w:cs="Times New Roman"/>
          <w:b/>
          <w:bCs/>
          <w:sz w:val="36"/>
          <w:szCs w:val="36"/>
          <w:lang w:val="en-US"/>
        </w:rPr>
        <w:t>Physicochemical Analysis and Kinetics of Monosaccharide Formation in Sulfite Acid Hydrolysis of Wood Raw Materials</w:t>
      </w:r>
    </w:p>
    <w:p w14:paraId="48603AA0" w14:textId="644D58B9" w:rsidR="00CF0693" w:rsidRPr="00AB4C8A" w:rsidRDefault="00177BCA" w:rsidP="00232948">
      <w:pPr>
        <w:spacing w:before="360" w:after="360" w:line="240" w:lineRule="auto"/>
        <w:jc w:val="center"/>
        <w:rPr>
          <w:rFonts w:ascii="Times New Roman" w:hAnsi="Times New Roman" w:cs="Times New Roman"/>
          <w:bCs/>
          <w:sz w:val="28"/>
          <w:szCs w:val="28"/>
          <w:vertAlign w:val="superscript"/>
          <w:lang w:val="en-US"/>
        </w:rPr>
      </w:pPr>
      <w:r w:rsidRPr="0033284B">
        <w:rPr>
          <w:rFonts w:ascii="Times New Roman" w:hAnsi="Times New Roman" w:cs="Times New Roman"/>
          <w:bCs/>
          <w:sz w:val="28"/>
          <w:szCs w:val="28"/>
          <w:lang w:val="en-US"/>
        </w:rPr>
        <w:t>Nazokat Giyasova</w:t>
      </w:r>
      <w:r w:rsidR="00AC4013" w:rsidRPr="0033284B">
        <w:rPr>
          <w:rFonts w:ascii="Times New Roman" w:hAnsi="Times New Roman" w:cs="Times New Roman"/>
          <w:bCs/>
          <w:sz w:val="28"/>
          <w:szCs w:val="28"/>
          <w:vertAlign w:val="superscript"/>
          <w:lang w:val="en-US"/>
        </w:rPr>
        <w:t>1</w:t>
      </w:r>
      <w:r w:rsidR="002D2EC4" w:rsidRPr="0033284B">
        <w:rPr>
          <w:rFonts w:ascii="Times New Roman" w:hAnsi="Times New Roman" w:cs="Times New Roman"/>
          <w:sz w:val="28"/>
          <w:szCs w:val="28"/>
          <w:vertAlign w:val="superscript"/>
          <w:lang w:val="en-US"/>
        </w:rPr>
        <w:t>,</w:t>
      </w:r>
      <w:r w:rsidR="002D2EC4" w:rsidRPr="0033284B">
        <w:rPr>
          <w:rFonts w:ascii="Times New Roman" w:hAnsi="Times New Roman" w:cs="Times New Roman"/>
          <w:bCs/>
          <w:sz w:val="28"/>
          <w:szCs w:val="28"/>
          <w:vertAlign w:val="superscript"/>
          <w:lang w:val="en-US"/>
        </w:rPr>
        <w:t xml:space="preserve"> a)</w:t>
      </w:r>
      <w:r w:rsidRPr="0033284B">
        <w:rPr>
          <w:rFonts w:ascii="Times New Roman" w:hAnsi="Times New Roman" w:cs="Times New Roman"/>
          <w:bCs/>
          <w:sz w:val="28"/>
          <w:szCs w:val="28"/>
          <w:lang w:val="en-US"/>
        </w:rPr>
        <w:t>,</w:t>
      </w:r>
      <w:r w:rsidR="00363B12" w:rsidRPr="0033284B">
        <w:rPr>
          <w:rFonts w:ascii="Times New Roman" w:hAnsi="Times New Roman" w:cs="Times New Roman"/>
          <w:bCs/>
          <w:sz w:val="28"/>
          <w:szCs w:val="28"/>
          <w:lang w:val="en-US"/>
        </w:rPr>
        <w:t xml:space="preserve"> </w:t>
      </w:r>
      <w:r w:rsidRPr="0033284B">
        <w:rPr>
          <w:rFonts w:ascii="Times New Roman" w:hAnsi="Times New Roman" w:cs="Times New Roman"/>
          <w:bCs/>
          <w:sz w:val="28"/>
          <w:szCs w:val="28"/>
          <w:lang w:val="en-US"/>
        </w:rPr>
        <w:t>Madina Nematova</w:t>
      </w:r>
      <w:r w:rsidR="002D2EC4" w:rsidRPr="0033284B">
        <w:rPr>
          <w:rFonts w:ascii="Times New Roman" w:hAnsi="Times New Roman" w:cs="Times New Roman"/>
          <w:bCs/>
          <w:sz w:val="28"/>
          <w:szCs w:val="28"/>
          <w:vertAlign w:val="superscript"/>
          <w:lang w:val="en-US"/>
        </w:rPr>
        <w:t>1</w:t>
      </w:r>
      <w:r w:rsidR="002D2EC4" w:rsidRPr="0033284B">
        <w:rPr>
          <w:rFonts w:ascii="Times New Roman" w:hAnsi="Times New Roman" w:cs="Times New Roman"/>
          <w:sz w:val="28"/>
          <w:szCs w:val="28"/>
          <w:vertAlign w:val="superscript"/>
          <w:lang w:val="en-US"/>
        </w:rPr>
        <w:t>,</w:t>
      </w:r>
      <w:r w:rsidR="002D2EC4" w:rsidRPr="0033284B">
        <w:rPr>
          <w:rFonts w:ascii="Times New Roman" w:hAnsi="Times New Roman" w:cs="Times New Roman"/>
          <w:bCs/>
          <w:sz w:val="28"/>
          <w:szCs w:val="28"/>
          <w:vertAlign w:val="superscript"/>
          <w:lang w:val="en-US"/>
        </w:rPr>
        <w:t xml:space="preserve"> b)</w:t>
      </w:r>
      <w:r w:rsidRPr="0033284B">
        <w:rPr>
          <w:rFonts w:ascii="Times New Roman" w:hAnsi="Times New Roman" w:cs="Times New Roman"/>
          <w:bCs/>
          <w:sz w:val="28"/>
          <w:szCs w:val="28"/>
          <w:lang w:val="en-US"/>
        </w:rPr>
        <w:t>,</w:t>
      </w:r>
      <w:r w:rsidR="00363B12" w:rsidRPr="0033284B">
        <w:rPr>
          <w:rFonts w:ascii="Times New Roman" w:hAnsi="Times New Roman" w:cs="Times New Roman"/>
          <w:bCs/>
          <w:sz w:val="28"/>
          <w:szCs w:val="28"/>
          <w:lang w:val="en-US"/>
        </w:rPr>
        <w:t xml:space="preserve"> </w:t>
      </w:r>
      <w:r w:rsidRPr="0033284B">
        <w:rPr>
          <w:rFonts w:ascii="Times New Roman" w:hAnsi="Times New Roman" w:cs="Times New Roman"/>
          <w:bCs/>
          <w:sz w:val="28"/>
          <w:szCs w:val="28"/>
          <w:lang w:val="en-US"/>
        </w:rPr>
        <w:t>Fakhriddin Umarov</w:t>
      </w:r>
      <w:r w:rsidR="002D2EC4" w:rsidRPr="0033284B">
        <w:rPr>
          <w:rFonts w:ascii="Times New Roman" w:hAnsi="Times New Roman" w:cs="Times New Roman"/>
          <w:bCs/>
          <w:sz w:val="28"/>
          <w:szCs w:val="28"/>
          <w:vertAlign w:val="superscript"/>
          <w:lang w:val="en-US"/>
        </w:rPr>
        <w:t>1</w:t>
      </w:r>
      <w:r w:rsidR="002D2EC4" w:rsidRPr="0033284B">
        <w:rPr>
          <w:rFonts w:ascii="Times New Roman" w:hAnsi="Times New Roman" w:cs="Times New Roman"/>
          <w:sz w:val="28"/>
          <w:szCs w:val="28"/>
          <w:vertAlign w:val="superscript"/>
          <w:lang w:val="en-US"/>
        </w:rPr>
        <w:t>,</w:t>
      </w:r>
      <w:r w:rsidR="00B05D1F" w:rsidRPr="0033284B">
        <w:rPr>
          <w:rFonts w:ascii="Times New Roman" w:hAnsi="Times New Roman" w:cs="Times New Roman"/>
          <w:sz w:val="28"/>
          <w:szCs w:val="28"/>
          <w:vertAlign w:val="superscript"/>
          <w:lang w:val="en-US"/>
        </w:rPr>
        <w:t xml:space="preserve"> </w:t>
      </w:r>
      <w:r w:rsidR="002D2EC4" w:rsidRPr="0033284B">
        <w:rPr>
          <w:rFonts w:ascii="Times New Roman" w:hAnsi="Times New Roman" w:cs="Times New Roman"/>
          <w:bCs/>
          <w:sz w:val="28"/>
          <w:szCs w:val="28"/>
          <w:vertAlign w:val="superscript"/>
          <w:lang w:val="en-US"/>
        </w:rPr>
        <w:t>c)</w:t>
      </w:r>
      <w:r w:rsidR="00363B12" w:rsidRPr="0033284B">
        <w:rPr>
          <w:rFonts w:ascii="Times New Roman" w:hAnsi="Times New Roman" w:cs="Times New Roman"/>
          <w:bCs/>
          <w:sz w:val="28"/>
          <w:szCs w:val="28"/>
          <w:lang w:val="en-US"/>
        </w:rPr>
        <w:t>,</w:t>
      </w:r>
      <w:r w:rsidR="00AB4C8A">
        <w:rPr>
          <w:rFonts w:ascii="Times New Roman" w:hAnsi="Times New Roman" w:cs="Times New Roman"/>
          <w:bCs/>
          <w:sz w:val="28"/>
          <w:szCs w:val="28"/>
          <w:lang w:val="en-US"/>
        </w:rPr>
        <w:br/>
      </w:r>
      <w:r w:rsidRPr="0033284B">
        <w:rPr>
          <w:rFonts w:ascii="Times New Roman" w:hAnsi="Times New Roman" w:cs="Times New Roman"/>
          <w:bCs/>
          <w:sz w:val="28"/>
          <w:szCs w:val="28"/>
          <w:lang w:val="en-US"/>
        </w:rPr>
        <w:t>Bekmurod Rakhimdjanov</w:t>
      </w:r>
      <w:r w:rsidR="002D2EC4" w:rsidRPr="0033284B">
        <w:rPr>
          <w:rFonts w:ascii="Times New Roman" w:hAnsi="Times New Roman" w:cs="Times New Roman"/>
          <w:bCs/>
          <w:sz w:val="28"/>
          <w:szCs w:val="28"/>
          <w:vertAlign w:val="superscript"/>
          <w:lang w:val="en-US"/>
        </w:rPr>
        <w:t>2</w:t>
      </w:r>
      <w:r w:rsidR="002D2EC4" w:rsidRPr="0033284B">
        <w:rPr>
          <w:rFonts w:ascii="Times New Roman" w:hAnsi="Times New Roman" w:cs="Times New Roman"/>
          <w:sz w:val="28"/>
          <w:szCs w:val="28"/>
          <w:vertAlign w:val="superscript"/>
          <w:lang w:val="en-US"/>
        </w:rPr>
        <w:t>,</w:t>
      </w:r>
      <w:r w:rsidR="002D2EC4" w:rsidRPr="0033284B">
        <w:rPr>
          <w:rFonts w:ascii="Times New Roman" w:hAnsi="Times New Roman" w:cs="Times New Roman"/>
          <w:bCs/>
          <w:sz w:val="28"/>
          <w:szCs w:val="28"/>
          <w:vertAlign w:val="superscript"/>
          <w:lang w:val="en-US"/>
        </w:rPr>
        <w:t xml:space="preserve"> d)</w:t>
      </w:r>
      <w:r w:rsidR="00AB4C8A">
        <w:rPr>
          <w:rFonts w:ascii="Times New Roman" w:hAnsi="Times New Roman" w:cs="Times New Roman"/>
          <w:bCs/>
          <w:sz w:val="28"/>
          <w:szCs w:val="28"/>
          <w:lang w:val="en-US"/>
        </w:rPr>
        <w:t xml:space="preserve">, </w:t>
      </w:r>
      <w:r w:rsidR="00CF0693" w:rsidRPr="0033284B">
        <w:rPr>
          <w:rFonts w:ascii="Times New Roman" w:hAnsi="Times New Roman" w:cs="Times New Roman"/>
          <w:bCs/>
          <w:sz w:val="28"/>
          <w:szCs w:val="28"/>
          <w:lang w:val="en-US"/>
        </w:rPr>
        <w:t>Elmurod Egamberdiev</w:t>
      </w:r>
      <w:r w:rsidR="002D2EC4" w:rsidRPr="0033284B">
        <w:rPr>
          <w:rFonts w:ascii="Times New Roman" w:hAnsi="Times New Roman" w:cs="Times New Roman"/>
          <w:bCs/>
          <w:sz w:val="28"/>
          <w:szCs w:val="28"/>
          <w:vertAlign w:val="superscript"/>
          <w:lang w:val="en-US"/>
        </w:rPr>
        <w:t>1</w:t>
      </w:r>
      <w:r w:rsidR="002D2EC4" w:rsidRPr="0033284B">
        <w:rPr>
          <w:rFonts w:ascii="Times New Roman" w:hAnsi="Times New Roman" w:cs="Times New Roman"/>
          <w:sz w:val="28"/>
          <w:szCs w:val="28"/>
          <w:vertAlign w:val="superscript"/>
          <w:lang w:val="en-US"/>
        </w:rPr>
        <w:t>,</w:t>
      </w:r>
      <w:r w:rsidR="002D2EC4" w:rsidRPr="0033284B">
        <w:rPr>
          <w:rFonts w:ascii="Times New Roman" w:hAnsi="Times New Roman" w:cs="Times New Roman"/>
          <w:bCs/>
          <w:sz w:val="28"/>
          <w:szCs w:val="28"/>
          <w:vertAlign w:val="superscript"/>
          <w:lang w:val="en-US"/>
        </w:rPr>
        <w:t xml:space="preserve"> e</w:t>
      </w:r>
      <w:r w:rsidR="00AB4C8A">
        <w:rPr>
          <w:rFonts w:ascii="Times New Roman" w:hAnsi="Times New Roman" w:cs="Times New Roman"/>
          <w:bCs/>
          <w:sz w:val="28"/>
          <w:szCs w:val="28"/>
          <w:vertAlign w:val="superscript"/>
          <w:lang w:val="en-US"/>
        </w:rPr>
        <w:t>)</w:t>
      </w:r>
      <w:r w:rsidR="00AB4C8A">
        <w:rPr>
          <w:rFonts w:ascii="Times New Roman" w:hAnsi="Times New Roman" w:cs="Times New Roman"/>
          <w:bCs/>
          <w:sz w:val="28"/>
          <w:szCs w:val="28"/>
          <w:lang w:val="en-US"/>
        </w:rPr>
        <w:t xml:space="preserve"> and Miraziz Talipov</w:t>
      </w:r>
      <w:r w:rsidR="00AB4C8A">
        <w:rPr>
          <w:rFonts w:ascii="Times New Roman" w:hAnsi="Times New Roman" w:cs="Times New Roman"/>
          <w:bCs/>
          <w:sz w:val="28"/>
          <w:szCs w:val="28"/>
          <w:vertAlign w:val="superscript"/>
          <w:lang w:val="en-US"/>
        </w:rPr>
        <w:t>3, f)</w:t>
      </w:r>
    </w:p>
    <w:p w14:paraId="27EFCF6C" w14:textId="0A0912A8" w:rsidR="003737AA" w:rsidRPr="00AB4C8A" w:rsidRDefault="00AB4C8A" w:rsidP="00AB4C8A">
      <w:pPr>
        <w:jc w:val="center"/>
        <w:rPr>
          <w:rFonts w:ascii="Times New Roman" w:hAnsi="Times New Roman" w:cs="Times New Roman"/>
          <w:i/>
          <w:iCs/>
          <w:sz w:val="20"/>
          <w:szCs w:val="20"/>
          <w:highlight w:val="yellow"/>
          <w:lang w:val="en-US"/>
        </w:rPr>
      </w:pPr>
      <w:r w:rsidRPr="00AB4C8A">
        <w:rPr>
          <w:rFonts w:ascii="Times New Roman" w:hAnsi="Times New Roman" w:cs="Times New Roman"/>
          <w:sz w:val="20"/>
          <w:szCs w:val="20"/>
          <w:vertAlign w:val="superscript"/>
          <w:lang w:val="en-US"/>
        </w:rPr>
        <w:t>1</w:t>
      </w:r>
      <w:r w:rsidRPr="00AB4C8A">
        <w:rPr>
          <w:rFonts w:ascii="Times New Roman" w:hAnsi="Times New Roman" w:cs="Times New Roman"/>
          <w:i/>
          <w:iCs/>
          <w:sz w:val="20"/>
          <w:szCs w:val="20"/>
          <w:lang w:val="en-US"/>
        </w:rPr>
        <w:t>Tashkent State Technical University, 2 University Street, 100095 Tashkent, Uzbekistan</w:t>
      </w:r>
      <w:r w:rsidRPr="00AB4C8A">
        <w:rPr>
          <w:rFonts w:ascii="Times New Roman" w:hAnsi="Times New Roman" w:cs="Times New Roman"/>
          <w:bCs/>
          <w:i/>
          <w:iCs/>
          <w:sz w:val="20"/>
          <w:szCs w:val="20"/>
          <w:vertAlign w:val="superscript"/>
          <w:lang w:val="uz-Cyrl-UZ"/>
        </w:rPr>
        <w:br/>
      </w:r>
      <w:r w:rsidRPr="00AB4C8A">
        <w:rPr>
          <w:rFonts w:ascii="Times New Roman" w:hAnsi="Times New Roman" w:cs="Times New Roman"/>
          <w:sz w:val="20"/>
          <w:szCs w:val="20"/>
          <w:vertAlign w:val="superscript"/>
          <w:lang w:val="en-US"/>
        </w:rPr>
        <w:t>2</w:t>
      </w:r>
      <w:r w:rsidRPr="00AB4C8A">
        <w:rPr>
          <w:rFonts w:ascii="Times New Roman" w:hAnsi="Times New Roman" w:cs="Times New Roman"/>
          <w:i/>
          <w:iCs/>
          <w:sz w:val="20"/>
          <w:szCs w:val="20"/>
          <w:lang w:val="en-US"/>
        </w:rPr>
        <w:t>Tashkent Institute of Chemical Technology, 32 Navoi Street, Tashkent 100011, Uzbekistan</w:t>
      </w:r>
      <w:r w:rsidRPr="00AB4C8A">
        <w:rPr>
          <w:rFonts w:ascii="Times New Roman" w:hAnsi="Times New Roman" w:cs="Times New Roman"/>
          <w:bCs/>
          <w:i/>
          <w:iCs/>
          <w:sz w:val="20"/>
          <w:szCs w:val="20"/>
          <w:vertAlign w:val="superscript"/>
          <w:lang w:val="uz-Cyrl-UZ"/>
        </w:rPr>
        <w:br/>
      </w:r>
      <w:r w:rsidRPr="00AB4C8A">
        <w:rPr>
          <w:rFonts w:ascii="Times New Roman" w:hAnsi="Times New Roman" w:cs="Times New Roman"/>
          <w:bCs/>
          <w:sz w:val="20"/>
          <w:szCs w:val="20"/>
          <w:vertAlign w:val="superscript"/>
          <w:lang w:val="en-US"/>
        </w:rPr>
        <w:t>3</w:t>
      </w:r>
      <w:r w:rsidR="00ED4978" w:rsidRPr="00AB4C8A">
        <w:rPr>
          <w:rFonts w:ascii="Times New Roman" w:hAnsi="Times New Roman" w:cs="Times New Roman"/>
          <w:bCs/>
          <w:i/>
          <w:iCs/>
          <w:sz w:val="20"/>
          <w:szCs w:val="20"/>
          <w:lang w:val="en-US"/>
        </w:rPr>
        <w:t>Tashkent State Transport University, 1 Temiryulchilar St., Tashkent 100167, Uzbekistan</w:t>
      </w:r>
    </w:p>
    <w:p w14:paraId="4179AD43" w14:textId="4B6F6632" w:rsidR="00AC4013" w:rsidRPr="00AB4C8A" w:rsidRDefault="003737AA" w:rsidP="00B05D1F">
      <w:pPr>
        <w:spacing w:after="0" w:line="240" w:lineRule="auto"/>
        <w:jc w:val="center"/>
        <w:rPr>
          <w:rFonts w:ascii="Times New Roman" w:hAnsi="Times New Roman" w:cs="Times New Roman"/>
          <w:i/>
          <w:iCs/>
          <w:sz w:val="20"/>
          <w:szCs w:val="20"/>
          <w:lang w:val="en-US"/>
        </w:rPr>
      </w:pPr>
      <w:bookmarkStart w:id="0" w:name="_Hlk205814057"/>
      <w:r w:rsidRPr="00AB4C8A">
        <w:rPr>
          <w:rFonts w:ascii="Times New Roman" w:hAnsi="Times New Roman" w:cs="Times New Roman"/>
          <w:i/>
          <w:iCs/>
          <w:sz w:val="20"/>
          <w:szCs w:val="20"/>
          <w:vertAlign w:val="superscript"/>
          <w:lang w:val="en-US"/>
        </w:rPr>
        <w:t>a)</w:t>
      </w:r>
      <w:bookmarkEnd w:id="0"/>
      <w:r w:rsidRPr="00AB4C8A">
        <w:rPr>
          <w:rFonts w:ascii="Times New Roman" w:hAnsi="Times New Roman" w:cs="Times New Roman"/>
          <w:i/>
          <w:iCs/>
          <w:sz w:val="20"/>
          <w:szCs w:val="20"/>
          <w:vertAlign w:val="superscript"/>
          <w:lang w:val="en-US"/>
        </w:rPr>
        <w:t xml:space="preserve"> </w:t>
      </w:r>
      <w:r w:rsidRPr="00AB4C8A">
        <w:rPr>
          <w:rFonts w:ascii="Times New Roman" w:hAnsi="Times New Roman" w:cs="Times New Roman"/>
          <w:i/>
          <w:iCs/>
          <w:sz w:val="20"/>
          <w:szCs w:val="20"/>
          <w:lang w:val="en-US"/>
        </w:rPr>
        <w:t>Corresponding author</w:t>
      </w:r>
      <w:r w:rsidR="00AB4C8A" w:rsidRPr="00AB4C8A">
        <w:rPr>
          <w:rFonts w:ascii="Times New Roman" w:hAnsi="Times New Roman" w:cs="Times New Roman"/>
          <w:i/>
          <w:iCs/>
          <w:sz w:val="20"/>
          <w:szCs w:val="20"/>
          <w:lang w:val="en-US"/>
        </w:rPr>
        <w:t>:</w:t>
      </w:r>
      <w:r w:rsidRPr="00AB4C8A">
        <w:rPr>
          <w:rFonts w:ascii="Times New Roman" w:hAnsi="Times New Roman" w:cs="Times New Roman"/>
          <w:i/>
          <w:iCs/>
          <w:sz w:val="20"/>
          <w:szCs w:val="20"/>
          <w:lang w:val="en-US"/>
        </w:rPr>
        <w:t xml:space="preserve"> </w:t>
      </w:r>
      <w:hyperlink r:id="rId7" w:history="1">
        <w:r w:rsidRPr="00AB4C8A">
          <w:rPr>
            <w:rStyle w:val="a9"/>
            <w:rFonts w:ascii="Times New Roman" w:hAnsi="Times New Roman" w:cs="Times New Roman"/>
            <w:i/>
            <w:iCs/>
            <w:color w:val="auto"/>
            <w:sz w:val="20"/>
            <w:szCs w:val="20"/>
            <w:u w:val="none"/>
            <w:lang w:val="en-US"/>
          </w:rPr>
          <w:t>giyasovanazokat9@gmail.com</w:t>
        </w:r>
      </w:hyperlink>
      <w:r w:rsidRPr="00AB4C8A">
        <w:rPr>
          <w:rFonts w:ascii="Times New Roman" w:hAnsi="Times New Roman" w:cs="Times New Roman"/>
          <w:i/>
          <w:iCs/>
          <w:sz w:val="20"/>
          <w:szCs w:val="20"/>
          <w:lang w:val="en-US"/>
        </w:rPr>
        <w:br/>
      </w:r>
      <w:r w:rsidR="00AC4013" w:rsidRPr="00AB4C8A">
        <w:rPr>
          <w:rFonts w:ascii="Times New Roman" w:hAnsi="Times New Roman" w:cs="Times New Roman"/>
          <w:i/>
          <w:iCs/>
          <w:sz w:val="20"/>
          <w:szCs w:val="20"/>
          <w:vertAlign w:val="superscript"/>
          <w:lang w:val="en-US"/>
        </w:rPr>
        <w:t>b)</w:t>
      </w:r>
      <w:r w:rsidR="00AB4C8A" w:rsidRPr="00AB4C8A">
        <w:rPr>
          <w:rFonts w:ascii="Times New Roman" w:hAnsi="Times New Roman" w:cs="Times New Roman"/>
          <w:i/>
          <w:iCs/>
          <w:sz w:val="20"/>
          <w:szCs w:val="20"/>
          <w:vertAlign w:val="superscript"/>
          <w:lang w:val="en-US"/>
        </w:rPr>
        <w:t xml:space="preserve"> </w:t>
      </w:r>
      <w:hyperlink r:id="rId8" w:history="1">
        <w:r w:rsidR="00AB4C8A" w:rsidRPr="00AB4C8A">
          <w:rPr>
            <w:rStyle w:val="a9"/>
            <w:rFonts w:ascii="Times New Roman" w:hAnsi="Times New Roman" w:cs="Times New Roman"/>
            <w:i/>
            <w:iCs/>
            <w:color w:val="auto"/>
            <w:sz w:val="20"/>
            <w:szCs w:val="20"/>
            <w:u w:val="none"/>
            <w:lang w:val="en-US"/>
          </w:rPr>
          <w:t>madinanematova1012@gmail.com</w:t>
        </w:r>
      </w:hyperlink>
      <w:r w:rsidRPr="00AB4C8A">
        <w:rPr>
          <w:rFonts w:ascii="Times New Roman" w:hAnsi="Times New Roman" w:cs="Times New Roman"/>
          <w:i/>
          <w:iCs/>
          <w:sz w:val="20"/>
          <w:szCs w:val="20"/>
          <w:lang w:val="en-US"/>
        </w:rPr>
        <w:br/>
      </w:r>
      <w:r w:rsidR="00AC4013" w:rsidRPr="00AB4C8A">
        <w:rPr>
          <w:rFonts w:ascii="Times New Roman" w:hAnsi="Times New Roman" w:cs="Times New Roman"/>
          <w:i/>
          <w:iCs/>
          <w:sz w:val="20"/>
          <w:szCs w:val="20"/>
          <w:vertAlign w:val="superscript"/>
          <w:lang w:val="en-US"/>
        </w:rPr>
        <w:t>c)</w:t>
      </w:r>
      <w:r w:rsidR="00AB4C8A" w:rsidRPr="00AB4C8A">
        <w:rPr>
          <w:rFonts w:ascii="Times New Roman" w:hAnsi="Times New Roman" w:cs="Times New Roman"/>
          <w:i/>
          <w:iCs/>
          <w:sz w:val="20"/>
          <w:szCs w:val="20"/>
          <w:vertAlign w:val="superscript"/>
          <w:lang w:val="en-US"/>
        </w:rPr>
        <w:t xml:space="preserve"> </w:t>
      </w:r>
      <w:hyperlink r:id="rId9" w:history="1">
        <w:r w:rsidR="00AB4C8A" w:rsidRPr="00AB4C8A">
          <w:rPr>
            <w:rStyle w:val="a9"/>
            <w:rFonts w:ascii="Times New Roman" w:hAnsi="Times New Roman" w:cs="Times New Roman"/>
            <w:i/>
            <w:iCs/>
            <w:color w:val="auto"/>
            <w:sz w:val="20"/>
            <w:szCs w:val="20"/>
            <w:u w:val="none"/>
            <w:lang w:val="en-US"/>
          </w:rPr>
          <w:t>misterfrank003@gmail.com</w:t>
        </w:r>
      </w:hyperlink>
      <w:r w:rsidRPr="00AB4C8A">
        <w:rPr>
          <w:rFonts w:ascii="Times New Roman" w:hAnsi="Times New Roman" w:cs="Times New Roman"/>
          <w:i/>
          <w:iCs/>
          <w:sz w:val="20"/>
          <w:szCs w:val="20"/>
          <w:lang w:val="en-US"/>
        </w:rPr>
        <w:br/>
      </w:r>
      <w:r w:rsidR="00526A27" w:rsidRPr="00AB4C8A">
        <w:rPr>
          <w:rFonts w:ascii="Times New Roman" w:hAnsi="Times New Roman" w:cs="Times New Roman"/>
          <w:i/>
          <w:iCs/>
          <w:sz w:val="20"/>
          <w:szCs w:val="20"/>
          <w:vertAlign w:val="superscript"/>
          <w:lang w:val="en-US"/>
        </w:rPr>
        <w:t>d)</w:t>
      </w:r>
      <w:r w:rsidR="00AB4C8A" w:rsidRPr="00AB4C8A">
        <w:rPr>
          <w:rFonts w:ascii="Times New Roman" w:hAnsi="Times New Roman" w:cs="Times New Roman"/>
          <w:i/>
          <w:iCs/>
          <w:sz w:val="20"/>
          <w:szCs w:val="20"/>
          <w:vertAlign w:val="superscript"/>
          <w:lang w:val="en-US"/>
        </w:rPr>
        <w:t xml:space="preserve"> </w:t>
      </w:r>
      <w:hyperlink r:id="rId10" w:history="1">
        <w:r w:rsidR="00AB4C8A" w:rsidRPr="00AB4C8A">
          <w:rPr>
            <w:rStyle w:val="a9"/>
            <w:rFonts w:ascii="Times New Roman" w:hAnsi="Times New Roman" w:cs="Times New Roman"/>
            <w:i/>
            <w:iCs/>
            <w:color w:val="auto"/>
            <w:sz w:val="20"/>
            <w:szCs w:val="20"/>
            <w:u w:val="none"/>
            <w:lang w:val="en-US"/>
          </w:rPr>
          <w:t>bekmurodjon0319@mail.ru</w:t>
        </w:r>
      </w:hyperlink>
      <w:r w:rsidRPr="00AB4C8A">
        <w:rPr>
          <w:rFonts w:ascii="Times New Roman" w:hAnsi="Times New Roman" w:cs="Times New Roman"/>
          <w:i/>
          <w:iCs/>
          <w:sz w:val="20"/>
          <w:szCs w:val="20"/>
          <w:lang w:val="en-US"/>
        </w:rPr>
        <w:br/>
      </w:r>
      <w:r w:rsidR="00AC4013" w:rsidRPr="00AB4C8A">
        <w:rPr>
          <w:rFonts w:ascii="Times New Roman" w:hAnsi="Times New Roman" w:cs="Times New Roman"/>
          <w:i/>
          <w:iCs/>
          <w:sz w:val="20"/>
          <w:szCs w:val="20"/>
          <w:vertAlign w:val="superscript"/>
          <w:lang w:val="en-US"/>
        </w:rPr>
        <w:t>e)</w:t>
      </w:r>
      <w:r w:rsidR="00AB4C8A" w:rsidRPr="00AB4C8A">
        <w:rPr>
          <w:rFonts w:ascii="Times New Roman" w:hAnsi="Times New Roman" w:cs="Times New Roman"/>
          <w:i/>
          <w:iCs/>
          <w:sz w:val="20"/>
          <w:szCs w:val="20"/>
          <w:vertAlign w:val="superscript"/>
          <w:lang w:val="en-US"/>
        </w:rPr>
        <w:t xml:space="preserve"> </w:t>
      </w:r>
      <w:hyperlink r:id="rId11" w:history="1">
        <w:r w:rsidR="00AB4C8A" w:rsidRPr="00AB4C8A">
          <w:rPr>
            <w:rStyle w:val="a9"/>
            <w:rFonts w:ascii="Times New Roman" w:hAnsi="Times New Roman" w:cs="Times New Roman"/>
            <w:i/>
            <w:iCs/>
            <w:color w:val="auto"/>
            <w:sz w:val="20"/>
            <w:szCs w:val="20"/>
            <w:u w:val="none"/>
            <w:lang w:val="en-US"/>
          </w:rPr>
          <w:t>el.1909@mail.ru</w:t>
        </w:r>
      </w:hyperlink>
      <w:r w:rsidR="00AB4C8A">
        <w:rPr>
          <w:rFonts w:ascii="Times New Roman" w:hAnsi="Times New Roman" w:cs="Times New Roman"/>
          <w:i/>
          <w:iCs/>
          <w:sz w:val="20"/>
          <w:szCs w:val="20"/>
          <w:lang w:val="en-US"/>
        </w:rPr>
        <w:br/>
      </w:r>
      <w:r w:rsidR="00AB4C8A">
        <w:rPr>
          <w:rFonts w:ascii="Times New Roman" w:hAnsi="Times New Roman" w:cs="Times New Roman"/>
          <w:i/>
          <w:iCs/>
          <w:sz w:val="20"/>
          <w:szCs w:val="20"/>
          <w:vertAlign w:val="superscript"/>
          <w:lang w:val="en-US"/>
        </w:rPr>
        <w:t xml:space="preserve">f) </w:t>
      </w:r>
      <w:r w:rsidR="00AB4C8A">
        <w:rPr>
          <w:rFonts w:ascii="Times New Roman" w:hAnsi="Times New Roman" w:cs="Times New Roman"/>
          <w:i/>
          <w:iCs/>
          <w:sz w:val="20"/>
          <w:szCs w:val="20"/>
          <w:lang w:val="en-US"/>
        </w:rPr>
        <w:t>talipov_m@tatu.uz</w:t>
      </w:r>
    </w:p>
    <w:p w14:paraId="2F6EFCA7" w14:textId="77777777" w:rsidR="00B37C50" w:rsidRPr="0033284B" w:rsidRDefault="00B37C50" w:rsidP="00541907">
      <w:pPr>
        <w:spacing w:before="360" w:after="360" w:line="240" w:lineRule="auto"/>
        <w:ind w:left="289" w:right="289"/>
        <w:jc w:val="both"/>
        <w:rPr>
          <w:rFonts w:ascii="Times New Roman" w:hAnsi="Times New Roman" w:cs="Times New Roman"/>
          <w:sz w:val="18"/>
          <w:szCs w:val="18"/>
          <w:lang w:val="en-US"/>
        </w:rPr>
      </w:pPr>
      <w:r w:rsidRPr="0033284B">
        <w:rPr>
          <w:rFonts w:ascii="Times New Roman" w:hAnsi="Times New Roman" w:cs="Times New Roman"/>
          <w:b/>
          <w:bCs/>
          <w:sz w:val="18"/>
          <w:szCs w:val="18"/>
          <w:lang w:val="en-US"/>
        </w:rPr>
        <w:t>Abstract.</w:t>
      </w:r>
      <w:r w:rsidRPr="0033284B">
        <w:rPr>
          <w:rFonts w:ascii="Times New Roman" w:hAnsi="Times New Roman" w:cs="Times New Roman"/>
          <w:sz w:val="18"/>
          <w:szCs w:val="18"/>
          <w:lang w:val="en-US"/>
        </w:rPr>
        <w:t xml:space="preserve"> This paper studies the sulfite acid hydrolysis of wood raw materials, looking closely at its physicochemical steps. The process has two phases: a liquid phase (sulfite acid solution) and a solid phase (wood chips). The stages include: capillary impregnation, breakdown of hemicellulose and cellulose, monosaccharide formation, and secondary changes. Experiments used poplar wood, a 5% sulfite acid solution, and temperatures of 150-180 °C. A MacKenna-Shoorl method determined the amount of reducing substances in the hydrolyzate. We also looked at the hydrolysis, how the water to wood ratio affects it, how sugars form, and the good things about using sulfite acid. The liquid parts obtained could be useful in making biopolymers, while the solid parts could be used as alternative fuels or composite material filler.</w:t>
      </w:r>
    </w:p>
    <w:p w14:paraId="4FDF5906" w14:textId="21C4D1F3" w:rsidR="00B37C50" w:rsidRPr="0033284B" w:rsidRDefault="00B37C50" w:rsidP="002C2CB8">
      <w:pPr>
        <w:spacing w:before="360" w:after="0" w:line="240" w:lineRule="auto"/>
        <w:ind w:left="289" w:right="289"/>
        <w:jc w:val="both"/>
        <w:rPr>
          <w:rFonts w:ascii="Times New Roman" w:hAnsi="Times New Roman" w:cs="Times New Roman"/>
          <w:sz w:val="18"/>
          <w:szCs w:val="18"/>
          <w:lang w:val="en-US"/>
        </w:rPr>
      </w:pPr>
      <w:r w:rsidRPr="0033284B">
        <w:rPr>
          <w:rFonts w:ascii="Times New Roman" w:hAnsi="Times New Roman" w:cs="Times New Roman"/>
          <w:b/>
          <w:bCs/>
          <w:sz w:val="18"/>
          <w:szCs w:val="18"/>
          <w:lang w:val="en-US"/>
        </w:rPr>
        <w:t>Keywords</w:t>
      </w:r>
      <w:r w:rsidR="00CF0693" w:rsidRPr="0033284B">
        <w:rPr>
          <w:rFonts w:ascii="Times New Roman" w:hAnsi="Times New Roman" w:cs="Times New Roman"/>
          <w:b/>
          <w:bCs/>
          <w:sz w:val="18"/>
          <w:szCs w:val="18"/>
          <w:lang w:val="en-US"/>
        </w:rPr>
        <w:t>:</w:t>
      </w:r>
      <w:r w:rsidRPr="0033284B">
        <w:rPr>
          <w:rFonts w:ascii="Times New Roman" w:hAnsi="Times New Roman" w:cs="Times New Roman"/>
          <w:sz w:val="18"/>
          <w:szCs w:val="18"/>
          <w:lang w:val="en-US"/>
        </w:rPr>
        <w:t xml:space="preserve"> Wood raw materials, hydrolysis, sulfite acid, heterogeneous process, hemicellulose, cellulose, monosaccharides, reducing substances, water to solid ratio, hydrolysis kinetics, MacKenna-Shoorl method, biopolymer, alternative fuel</w:t>
      </w:r>
    </w:p>
    <w:p w14:paraId="5E960D7C" w14:textId="27945288" w:rsidR="00CF0693" w:rsidRPr="0033284B" w:rsidRDefault="00526A27" w:rsidP="002C2CB8">
      <w:pPr>
        <w:spacing w:before="240" w:after="240" w:line="240" w:lineRule="auto"/>
        <w:jc w:val="center"/>
        <w:rPr>
          <w:rFonts w:ascii="Times New Roman" w:hAnsi="Times New Roman" w:cs="Times New Roman"/>
          <w:sz w:val="24"/>
          <w:szCs w:val="24"/>
          <w:lang w:val="en-US"/>
        </w:rPr>
      </w:pPr>
      <w:r w:rsidRPr="0033284B">
        <w:rPr>
          <w:rFonts w:ascii="Times New Roman" w:hAnsi="Times New Roman" w:cs="Times New Roman"/>
          <w:b/>
          <w:bCs/>
          <w:sz w:val="24"/>
          <w:szCs w:val="24"/>
          <w:lang w:val="en-US"/>
        </w:rPr>
        <w:t>INTRODUCTION</w:t>
      </w:r>
    </w:p>
    <w:p w14:paraId="46672A86" w14:textId="1EF1F1D6" w:rsidR="00B37C50" w:rsidRPr="0033284B" w:rsidRDefault="00B37C50" w:rsidP="00541907">
      <w:pPr>
        <w:spacing w:after="0" w:line="240" w:lineRule="auto"/>
        <w:ind w:firstLine="284"/>
        <w:jc w:val="both"/>
        <w:rPr>
          <w:rFonts w:ascii="Times New Roman" w:hAnsi="Times New Roman" w:cs="Times New Roman"/>
          <w:sz w:val="20"/>
          <w:szCs w:val="20"/>
          <w:lang w:val="en-US"/>
        </w:rPr>
      </w:pPr>
      <w:bookmarkStart w:id="1" w:name="_Hlk203489954"/>
      <w:r w:rsidRPr="0033284B">
        <w:rPr>
          <w:rFonts w:ascii="Times New Roman" w:hAnsi="Times New Roman" w:cs="Times New Roman"/>
          <w:sz w:val="20"/>
          <w:szCs w:val="20"/>
          <w:lang w:val="en-US"/>
        </w:rPr>
        <w:t>Wood raw material hydrolysis has a heterogeneous nature, with two key phases: a liquid phase of sulfite acid and distilled water, and a solid phase of wood raw material, or wood chips. The wood hydrolysis process has these steps. Wood chips are soaked in a low concentration sulfite acid solution</w:t>
      </w:r>
      <w:r w:rsidR="00A8773B" w:rsidRPr="0033284B">
        <w:rPr>
          <w:rFonts w:ascii="Times New Roman" w:hAnsi="Times New Roman" w:cs="Times New Roman"/>
          <w:sz w:val="20"/>
          <w:szCs w:val="20"/>
          <w:lang w:val="en-US"/>
        </w:rPr>
        <w:t xml:space="preserve"> [1]</w:t>
      </w:r>
      <w:r w:rsidRPr="0033284B">
        <w:rPr>
          <w:rFonts w:ascii="Times New Roman" w:hAnsi="Times New Roman" w:cs="Times New Roman"/>
          <w:sz w:val="20"/>
          <w:szCs w:val="20"/>
          <w:lang w:val="en-US"/>
        </w:rPr>
        <w:t xml:space="preserve">. Chemical reactions occur between the sulfite acid solution and wood components, including polysaccharide breakdown. This creates monosaccharides and a byproduct, </w:t>
      </w:r>
      <w:r w:rsidR="00AD00A8" w:rsidRPr="0033284B">
        <w:rPr>
          <w:rFonts w:ascii="Times New Roman" w:hAnsi="Times New Roman" w:cs="Times New Roman"/>
          <w:sz w:val="20"/>
          <w:szCs w:val="20"/>
          <w:lang w:val="en-US"/>
        </w:rPr>
        <w:t>c</w:t>
      </w:r>
      <w:r w:rsidRPr="0033284B">
        <w:rPr>
          <w:rFonts w:ascii="Times New Roman" w:hAnsi="Times New Roman" w:cs="Times New Roman"/>
          <w:sz w:val="20"/>
          <w:szCs w:val="20"/>
          <w:lang w:val="en-US"/>
        </w:rPr>
        <w:t>ellolignin</w:t>
      </w:r>
      <w:r w:rsidR="00A8773B" w:rsidRPr="0033284B">
        <w:rPr>
          <w:rFonts w:ascii="Times New Roman" w:hAnsi="Times New Roman" w:cs="Times New Roman"/>
          <w:sz w:val="20"/>
          <w:szCs w:val="20"/>
          <w:lang w:val="en-US"/>
        </w:rPr>
        <w:t xml:space="preserve"> [1,</w:t>
      </w:r>
      <w:r w:rsidR="002C2CB8">
        <w:rPr>
          <w:rFonts w:ascii="Times New Roman" w:hAnsi="Times New Roman" w:cs="Times New Roman"/>
          <w:sz w:val="20"/>
          <w:szCs w:val="20"/>
          <w:lang w:val="en-US"/>
        </w:rPr>
        <w:t xml:space="preserve"> </w:t>
      </w:r>
      <w:r w:rsidR="00A8773B" w:rsidRPr="0033284B">
        <w:rPr>
          <w:rFonts w:ascii="Times New Roman" w:hAnsi="Times New Roman" w:cs="Times New Roman"/>
          <w:sz w:val="20"/>
          <w:szCs w:val="20"/>
          <w:lang w:val="en-US"/>
        </w:rPr>
        <w:t>2]</w:t>
      </w:r>
      <w:r w:rsidRPr="0033284B">
        <w:rPr>
          <w:rFonts w:ascii="Times New Roman" w:hAnsi="Times New Roman" w:cs="Times New Roman"/>
          <w:sz w:val="20"/>
          <w:szCs w:val="20"/>
          <w:lang w:val="en-US"/>
        </w:rPr>
        <w:t>. Monosaccharides then break down, creating other products. At first, capillary forces drive the soaking of wood chips. Solution goes into the wood fibers, pushing air out of the wood capillaries. Some air stays in the capillaries and diffuses out</w:t>
      </w:r>
      <w:r w:rsidR="00A8773B" w:rsidRPr="0033284B">
        <w:rPr>
          <w:rFonts w:ascii="Times New Roman" w:hAnsi="Times New Roman" w:cs="Times New Roman"/>
          <w:sz w:val="20"/>
          <w:szCs w:val="20"/>
          <w:lang w:val="en-US"/>
        </w:rPr>
        <w:t xml:space="preserve"> [3]</w:t>
      </w:r>
      <w:r w:rsidRPr="0033284B">
        <w:rPr>
          <w:rFonts w:ascii="Times New Roman" w:hAnsi="Times New Roman" w:cs="Times New Roman"/>
          <w:sz w:val="20"/>
          <w:szCs w:val="20"/>
          <w:lang w:val="en-US"/>
        </w:rPr>
        <w:t xml:space="preserve">. The sulfite acid solution slowly starts chemical reactions. How good the sulfite acid wash is directly </w:t>
      </w:r>
      <w:r w:rsidR="00CF0693" w:rsidRPr="0033284B">
        <w:rPr>
          <w:rFonts w:ascii="Times New Roman" w:hAnsi="Times New Roman" w:cs="Times New Roman"/>
          <w:sz w:val="20"/>
          <w:szCs w:val="20"/>
          <w:lang w:val="en-US"/>
        </w:rPr>
        <w:t>affecting</w:t>
      </w:r>
      <w:r w:rsidRPr="0033284B">
        <w:rPr>
          <w:rFonts w:ascii="Times New Roman" w:hAnsi="Times New Roman" w:cs="Times New Roman"/>
          <w:sz w:val="20"/>
          <w:szCs w:val="20"/>
          <w:lang w:val="en-US"/>
        </w:rPr>
        <w:t xml:space="preserve"> how fast the chemical reaction happens. The faster the wash, the faster the reaction. The reactions can be divided into two stages</w:t>
      </w:r>
      <w:r w:rsidR="00A8773B" w:rsidRPr="0033284B">
        <w:rPr>
          <w:rFonts w:ascii="Times New Roman" w:hAnsi="Times New Roman" w:cs="Times New Roman"/>
          <w:sz w:val="20"/>
          <w:szCs w:val="20"/>
          <w:lang w:val="en-US"/>
        </w:rPr>
        <w:t xml:space="preserve"> [4]</w:t>
      </w:r>
      <w:r w:rsidRPr="0033284B">
        <w:rPr>
          <w:rFonts w:ascii="Times New Roman" w:hAnsi="Times New Roman" w:cs="Times New Roman"/>
          <w:sz w:val="20"/>
          <w:szCs w:val="20"/>
          <w:lang w:val="en-US"/>
        </w:rPr>
        <w:t>. The start of temperature rise causes the first stage, which activates and breaks down wood components, starting the easy to hydrolyze hemicellulose breakdown, because it is more amorphous than cellulose. As hemicellulose breaks down into monosaccharides, they move into the reaction liquid, letting sulfite acid go deeper. The liquid then breaks down cellulose, forming most of the monosaccharides</w:t>
      </w:r>
      <w:r w:rsidR="00A8773B" w:rsidRPr="0033284B">
        <w:rPr>
          <w:rFonts w:ascii="Times New Roman" w:hAnsi="Times New Roman" w:cs="Times New Roman"/>
          <w:sz w:val="20"/>
          <w:szCs w:val="20"/>
          <w:lang w:val="en-US"/>
        </w:rPr>
        <w:t xml:space="preserve"> [5</w:t>
      </w:r>
      <w:r w:rsidR="002C2CB8">
        <w:rPr>
          <w:rFonts w:ascii="Times New Roman" w:hAnsi="Times New Roman" w:cs="Times New Roman"/>
          <w:sz w:val="20"/>
          <w:szCs w:val="20"/>
          <w:lang w:val="en-US"/>
        </w:rPr>
        <w:t xml:space="preserve">, 6, </w:t>
      </w:r>
      <w:r w:rsidR="00A8773B" w:rsidRPr="0033284B">
        <w:rPr>
          <w:rFonts w:ascii="Times New Roman" w:hAnsi="Times New Roman" w:cs="Times New Roman"/>
          <w:sz w:val="20"/>
          <w:szCs w:val="20"/>
          <w:lang w:val="en-US"/>
        </w:rPr>
        <w:t>7]</w:t>
      </w:r>
      <w:r w:rsidRPr="0033284B">
        <w:rPr>
          <w:rFonts w:ascii="Times New Roman" w:hAnsi="Times New Roman" w:cs="Times New Roman"/>
          <w:sz w:val="20"/>
          <w:szCs w:val="20"/>
          <w:lang w:val="en-US"/>
        </w:rPr>
        <w:t>.</w:t>
      </w:r>
    </w:p>
    <w:p w14:paraId="7ED72D5E" w14:textId="42D7610E" w:rsidR="00B37C50" w:rsidRPr="0033284B" w:rsidRDefault="00B37C50" w:rsidP="00541907">
      <w:pPr>
        <w:spacing w:after="0" w:line="240" w:lineRule="auto"/>
        <w:ind w:firstLine="284"/>
        <w:jc w:val="both"/>
        <w:rPr>
          <w:rFonts w:ascii="Times New Roman" w:hAnsi="Times New Roman" w:cs="Times New Roman"/>
          <w:sz w:val="20"/>
          <w:szCs w:val="20"/>
          <w:lang w:val="en-US"/>
        </w:rPr>
      </w:pPr>
      <w:r w:rsidRPr="0033284B">
        <w:rPr>
          <w:rFonts w:ascii="Times New Roman" w:hAnsi="Times New Roman" w:cs="Times New Roman"/>
          <w:sz w:val="20"/>
          <w:szCs w:val="20"/>
          <w:lang w:val="en-US"/>
        </w:rPr>
        <w:t>Because hydrolysis takes a while, the monosaccharides change a lot. They break down into products like fural, acetic acid, and formic acid. The products can be used in ways such as the liquid fractions used as food for Xanthomonas campestris and Cupriavidus necator bacteria to create biopolymers</w:t>
      </w:r>
      <w:r w:rsidR="00A8773B" w:rsidRPr="0033284B">
        <w:rPr>
          <w:rFonts w:ascii="Times New Roman" w:hAnsi="Times New Roman" w:cs="Times New Roman"/>
          <w:sz w:val="20"/>
          <w:szCs w:val="20"/>
          <w:lang w:val="en-US"/>
        </w:rPr>
        <w:t xml:space="preserve"> [8]</w:t>
      </w:r>
      <w:r w:rsidRPr="0033284B">
        <w:rPr>
          <w:rFonts w:ascii="Times New Roman" w:hAnsi="Times New Roman" w:cs="Times New Roman"/>
          <w:sz w:val="20"/>
          <w:szCs w:val="20"/>
          <w:lang w:val="en-US"/>
        </w:rPr>
        <w:t>. The solid fractions (</w:t>
      </w:r>
      <w:r w:rsidR="00AD00A8" w:rsidRPr="0033284B">
        <w:rPr>
          <w:rFonts w:ascii="Times New Roman" w:hAnsi="Times New Roman" w:cs="Times New Roman"/>
          <w:sz w:val="20"/>
          <w:szCs w:val="20"/>
          <w:lang w:val="en-US"/>
        </w:rPr>
        <w:t>c</w:t>
      </w:r>
      <w:r w:rsidRPr="0033284B">
        <w:rPr>
          <w:rFonts w:ascii="Times New Roman" w:hAnsi="Times New Roman" w:cs="Times New Roman"/>
          <w:sz w:val="20"/>
          <w:szCs w:val="20"/>
          <w:lang w:val="en-US"/>
        </w:rPr>
        <w:t>ellolignin) can be used to provide energy or as filler. Research has shown that poplar wood works best for hydrolysis [</w:t>
      </w:r>
      <w:r w:rsidR="00A8773B" w:rsidRPr="0033284B">
        <w:rPr>
          <w:rFonts w:ascii="Times New Roman" w:hAnsi="Times New Roman" w:cs="Times New Roman"/>
          <w:sz w:val="20"/>
          <w:szCs w:val="20"/>
          <w:lang w:val="en-US"/>
        </w:rPr>
        <w:t>9</w:t>
      </w:r>
      <w:r w:rsidRPr="0033284B">
        <w:rPr>
          <w:rFonts w:ascii="Times New Roman" w:hAnsi="Times New Roman" w:cs="Times New Roman"/>
          <w:sz w:val="20"/>
          <w:szCs w:val="20"/>
          <w:lang w:val="en-US"/>
        </w:rPr>
        <w:t>]. So, poplar wood chips (under 2 mm) and a 5% sulfite acid solution made in the lab acted as raw materials.</w:t>
      </w:r>
      <w:r w:rsidR="0053440D" w:rsidRPr="0033284B">
        <w:rPr>
          <w:rFonts w:ascii="Times New Roman" w:hAnsi="Times New Roman" w:cs="Times New Roman"/>
          <w:sz w:val="20"/>
          <w:szCs w:val="20"/>
          <w:lang w:val="en-US"/>
        </w:rPr>
        <w:t xml:space="preserve"> </w:t>
      </w:r>
      <w:r w:rsidRPr="0033284B">
        <w:rPr>
          <w:rFonts w:ascii="Times New Roman" w:hAnsi="Times New Roman" w:cs="Times New Roman"/>
          <w:sz w:val="20"/>
          <w:szCs w:val="20"/>
          <w:lang w:val="en-US"/>
        </w:rPr>
        <w:t>Treating wood raw materials with sulfite acid reduces the poisonous nature of the hydrolyzate to biopolymers</w:t>
      </w:r>
      <w:r w:rsidR="00A8773B" w:rsidRPr="0033284B">
        <w:rPr>
          <w:rFonts w:ascii="Times New Roman" w:hAnsi="Times New Roman" w:cs="Times New Roman"/>
          <w:sz w:val="20"/>
          <w:szCs w:val="20"/>
          <w:lang w:val="en-US"/>
        </w:rPr>
        <w:t xml:space="preserve"> [10,</w:t>
      </w:r>
      <w:r w:rsidR="002C2CB8">
        <w:rPr>
          <w:rFonts w:ascii="Times New Roman" w:hAnsi="Times New Roman" w:cs="Times New Roman"/>
          <w:sz w:val="20"/>
          <w:szCs w:val="20"/>
          <w:lang w:val="en-US"/>
        </w:rPr>
        <w:t xml:space="preserve"> </w:t>
      </w:r>
      <w:r w:rsidR="00A8773B" w:rsidRPr="0033284B">
        <w:rPr>
          <w:rFonts w:ascii="Times New Roman" w:hAnsi="Times New Roman" w:cs="Times New Roman"/>
          <w:sz w:val="20"/>
          <w:szCs w:val="20"/>
          <w:lang w:val="en-US"/>
        </w:rPr>
        <w:t>11]</w:t>
      </w:r>
      <w:r w:rsidRPr="0033284B">
        <w:rPr>
          <w:rFonts w:ascii="Times New Roman" w:hAnsi="Times New Roman" w:cs="Times New Roman"/>
          <w:sz w:val="20"/>
          <w:szCs w:val="20"/>
          <w:lang w:val="en-US"/>
        </w:rPr>
        <w:t>. As sulfite acid use makes it simpler to purify of hydrolyzates. Also, sulfite acid is a good option due to being simple to store and use, cheap, and decreases equipment wear because of its low corrosive properties.</w:t>
      </w:r>
    </w:p>
    <w:p w14:paraId="661F91AF" w14:textId="72E4AED2" w:rsidR="00BA67E1" w:rsidRPr="0033284B" w:rsidRDefault="00526A27" w:rsidP="002C2CB8">
      <w:pPr>
        <w:spacing w:before="240" w:after="240" w:line="240" w:lineRule="auto"/>
        <w:jc w:val="center"/>
        <w:rPr>
          <w:rFonts w:ascii="Times New Roman" w:hAnsi="Times New Roman" w:cs="Times New Roman"/>
          <w:sz w:val="20"/>
          <w:szCs w:val="20"/>
          <w:lang w:val="en-US"/>
        </w:rPr>
      </w:pPr>
      <w:r w:rsidRPr="0033284B">
        <w:rPr>
          <w:rFonts w:ascii="Times New Roman" w:hAnsi="Times New Roman" w:cs="Times New Roman"/>
          <w:b/>
          <w:bCs/>
          <w:sz w:val="24"/>
          <w:szCs w:val="24"/>
          <w:lang w:val="en-US"/>
        </w:rPr>
        <w:lastRenderedPageBreak/>
        <w:t>MATERIALS AND METHODS</w:t>
      </w:r>
    </w:p>
    <w:p w14:paraId="1FF4756C" w14:textId="55E989AE" w:rsidR="00B37C50" w:rsidRPr="0033284B" w:rsidRDefault="00B37C50" w:rsidP="00541907">
      <w:pPr>
        <w:spacing w:after="0" w:line="240" w:lineRule="auto"/>
        <w:ind w:firstLine="284"/>
        <w:jc w:val="both"/>
        <w:rPr>
          <w:rFonts w:ascii="Times New Roman" w:hAnsi="Times New Roman" w:cs="Times New Roman"/>
          <w:sz w:val="20"/>
          <w:szCs w:val="20"/>
          <w:lang w:val="en-US"/>
        </w:rPr>
      </w:pPr>
      <w:r w:rsidRPr="0033284B">
        <w:rPr>
          <w:rFonts w:ascii="Times New Roman" w:hAnsi="Times New Roman" w:cs="Times New Roman"/>
          <w:sz w:val="20"/>
          <w:szCs w:val="20"/>
          <w:lang w:val="en-US"/>
        </w:rPr>
        <w:t>A capsule device studied acid hydrolysis in acid. Prepared poplar wood chips went into 30 ml stainless steel capsules. The capsules then went into a heating jacket. Wood raw material hydrolysis occurred at 150–180 °C. A DM90 (0 − 2,5 MPa) manometer measured pressure, and a TPM 210 thermoregulator measured temperature</w:t>
      </w:r>
      <w:r w:rsidR="00A8773B" w:rsidRPr="0033284B">
        <w:rPr>
          <w:rFonts w:ascii="Times New Roman" w:hAnsi="Times New Roman" w:cs="Times New Roman"/>
          <w:sz w:val="20"/>
          <w:szCs w:val="20"/>
          <w:lang w:val="en-US"/>
        </w:rPr>
        <w:t xml:space="preserve"> [1</w:t>
      </w:r>
      <w:r w:rsidR="00CA5C2E">
        <w:rPr>
          <w:rFonts w:ascii="Times New Roman" w:hAnsi="Times New Roman" w:cs="Times New Roman"/>
          <w:sz w:val="20"/>
          <w:szCs w:val="20"/>
          <w:lang w:val="uz-Cyrl-UZ"/>
        </w:rPr>
        <w:t>0</w:t>
      </w:r>
      <w:r w:rsidR="00A8773B" w:rsidRPr="0033284B">
        <w:rPr>
          <w:rFonts w:ascii="Times New Roman" w:hAnsi="Times New Roman" w:cs="Times New Roman"/>
          <w:sz w:val="20"/>
          <w:szCs w:val="20"/>
          <w:lang w:val="en-US"/>
        </w:rPr>
        <w:t>]</w:t>
      </w:r>
      <w:r w:rsidRPr="0033284B">
        <w:rPr>
          <w:rFonts w:ascii="Times New Roman" w:hAnsi="Times New Roman" w:cs="Times New Roman"/>
          <w:sz w:val="20"/>
          <w:szCs w:val="20"/>
          <w:lang w:val="en-US"/>
        </w:rPr>
        <w:t>. An analytical scale weighed the poplar wood and placed it into capsules. We then put water and sulfite acid solution into each capsule based on the weighing results</w:t>
      </w:r>
      <w:r w:rsidR="00A8773B" w:rsidRPr="0033284B">
        <w:rPr>
          <w:rFonts w:ascii="Times New Roman" w:hAnsi="Times New Roman" w:cs="Times New Roman"/>
          <w:sz w:val="20"/>
          <w:szCs w:val="20"/>
          <w:lang w:val="en-US"/>
        </w:rPr>
        <w:t xml:space="preserve"> [1</w:t>
      </w:r>
      <w:r w:rsidR="00CA5C2E">
        <w:rPr>
          <w:rFonts w:ascii="Times New Roman" w:hAnsi="Times New Roman" w:cs="Times New Roman"/>
          <w:sz w:val="20"/>
          <w:szCs w:val="20"/>
          <w:lang w:val="uz-Cyrl-UZ"/>
        </w:rPr>
        <w:t>1</w:t>
      </w:r>
      <w:r w:rsidR="00A8773B" w:rsidRPr="0033284B">
        <w:rPr>
          <w:rFonts w:ascii="Times New Roman" w:hAnsi="Times New Roman" w:cs="Times New Roman"/>
          <w:sz w:val="20"/>
          <w:szCs w:val="20"/>
          <w:lang w:val="en-US"/>
        </w:rPr>
        <w:t>]</w:t>
      </w:r>
      <w:r w:rsidRPr="0033284B">
        <w:rPr>
          <w:rFonts w:ascii="Times New Roman" w:hAnsi="Times New Roman" w:cs="Times New Roman"/>
          <w:sz w:val="20"/>
          <w:szCs w:val="20"/>
          <w:lang w:val="en-US"/>
        </w:rPr>
        <w:t>. The total mass in each capsule equaled 34.5 g.</w:t>
      </w:r>
    </w:p>
    <w:p w14:paraId="508D7CFE" w14:textId="465C4327" w:rsidR="00BA67E1" w:rsidRPr="0033284B" w:rsidRDefault="00526A27" w:rsidP="002C2CB8">
      <w:pPr>
        <w:spacing w:before="240" w:after="120" w:line="240" w:lineRule="auto"/>
        <w:jc w:val="center"/>
        <w:rPr>
          <w:rFonts w:ascii="Times New Roman" w:hAnsi="Times New Roman" w:cs="Times New Roman"/>
          <w:sz w:val="24"/>
          <w:szCs w:val="24"/>
          <w:lang w:val="en-US"/>
        </w:rPr>
      </w:pPr>
      <w:r w:rsidRPr="0033284B">
        <w:rPr>
          <w:rFonts w:ascii="Times New Roman" w:hAnsi="Times New Roman" w:cs="Times New Roman"/>
          <w:b/>
          <w:bCs/>
          <w:sz w:val="24"/>
          <w:szCs w:val="24"/>
          <w:lang w:val="en-US"/>
        </w:rPr>
        <w:t>RESULTS AND DISCUSSION</w:t>
      </w:r>
    </w:p>
    <w:p w14:paraId="64540C14" w14:textId="77777777" w:rsidR="00377799" w:rsidRPr="0033284B" w:rsidRDefault="00B37C50" w:rsidP="00541907">
      <w:pPr>
        <w:spacing w:after="0" w:line="240" w:lineRule="auto"/>
        <w:ind w:firstLine="284"/>
        <w:jc w:val="both"/>
        <w:rPr>
          <w:rFonts w:ascii="Times New Roman" w:hAnsi="Times New Roman" w:cs="Times New Roman"/>
          <w:sz w:val="20"/>
          <w:szCs w:val="20"/>
          <w:lang w:val="en-US"/>
        </w:rPr>
      </w:pPr>
      <w:r w:rsidRPr="0033284B">
        <w:rPr>
          <w:rFonts w:ascii="Times New Roman" w:hAnsi="Times New Roman" w:cs="Times New Roman"/>
          <w:sz w:val="20"/>
          <w:szCs w:val="20"/>
          <w:lang w:val="en-US"/>
        </w:rPr>
        <w:t xml:space="preserve">Before starting, the support cylinder had to heat to 10 °C higher than the working hydrolysis temperature. After the initial heat, the thermoregulator was set to working temperature, and the hydrolyzer went into the support heating cylinder. Hydrolysis occurred over time. The first capsule was removed from the cylinder with a special holder and cooled fast in cold water. The other capsules were removed during that same time to find the process. The capsule contents were filtered by hand through a cloth filter to isolate the solid material from the liquid. We measured the number of reducing components as well as the number of monosaccharides. Sulfite acid was created with equipment that uses clean sulfur. The sulfur was put into the equipment, lit, and closed with a dense stopper with an oxygen meter. This meter controlled the sulfur burning and steam levels. The burning sulfur makes sulfite (SO₂) gas that is cooled in a cooling chamber. The cooled gas moves to the column, in which the gas travels downward in a circular motion. In this process, the gas goes into the water. The equipment sorbs about 40% </w:t>
      </w:r>
      <w:r w:rsidRPr="0033284B">
        <w:rPr>
          <w:rFonts w:ascii="Times New Roman" w:hAnsi="Times New Roman" w:cs="Times New Roman"/>
          <w:sz w:val="20"/>
          <w:szCs w:val="20"/>
        </w:rPr>
        <w:t>газ</w:t>
      </w:r>
      <w:r w:rsidRPr="0033284B">
        <w:rPr>
          <w:rFonts w:ascii="Times New Roman" w:hAnsi="Times New Roman" w:cs="Times New Roman"/>
          <w:sz w:val="20"/>
          <w:szCs w:val="20"/>
          <w:lang w:val="en-US"/>
        </w:rPr>
        <w:t xml:space="preserve">. The resulting sulfite acid concentration measures 8%. We watered this solution to 5 mass% for the studies. </w:t>
      </w:r>
    </w:p>
    <w:p w14:paraId="127D2BFD" w14:textId="77777777" w:rsidR="00377799" w:rsidRPr="0033284B" w:rsidRDefault="00B37C50" w:rsidP="00541907">
      <w:pPr>
        <w:spacing w:after="0" w:line="240" w:lineRule="auto"/>
        <w:ind w:firstLine="284"/>
        <w:jc w:val="both"/>
        <w:rPr>
          <w:rFonts w:ascii="Times New Roman" w:hAnsi="Times New Roman" w:cs="Times New Roman"/>
          <w:sz w:val="20"/>
          <w:szCs w:val="20"/>
          <w:lang w:val="en-US"/>
        </w:rPr>
      </w:pPr>
      <w:r w:rsidRPr="0033284B">
        <w:rPr>
          <w:rFonts w:ascii="Times New Roman" w:hAnsi="Times New Roman" w:cs="Times New Roman"/>
          <w:sz w:val="20"/>
          <w:szCs w:val="20"/>
          <w:lang w:val="en-US"/>
        </w:rPr>
        <w:t xml:space="preserve">A MacKenna-Shoorl method determined the amount of reducing components. This method measures volume and modifies the Bertran method. Volume measures use a Fehling solution with a definite copper amount. The amount of copper returned through sugars while boiling figures out from the residue of unused copper (II), using a iodometric method. Process of measuring: Put 1.0 ml hydrolyzate solution and 1.0 ml 2N hydrochloric acid in a heat resistant flask. Heat the flask in a water bath at 80 °C for 10 minutes to hydrolyze the saccharides within the hydrolyzate. Afterward, put 8 ml of distilled water, 10 ml of Fehling I solution, and 10 ml of Fehling II solution. Boil the mixture for two minutes on a hot plate, then immediately cool it to 25 °C in cold water. Put 2 g potassium iodide and 15 ml of 20% sulfuric acid to the mixture and titrate using 0.1N sodium thiosulfate solution, using 1% starch solution as an indicator, stirring constantly. Keep titrating until the blue tint runs out. Under those exact same conditions, do different control analysis (empty experiment) without hydrolyzate. By the difference in sodium thiosulfate solution amount used for working and empty analysis, the empirical table shows the content of reducing substance in the hydrolyzate sample. Put the separated dry residue into an AND MS-70 moisture thermogravimetric analyzer to measure the quantity of dry material in the hydrolyzing mixture. The water to solid ratio, that is, the ratio of raw plant material mass to acidic water solution mass, is key during the hydrolysis. </w:t>
      </w:r>
    </w:p>
    <w:p w14:paraId="6AA8FB4C" w14:textId="07603FD3" w:rsidR="00B37C50" w:rsidRPr="0033284B" w:rsidRDefault="00B37C50" w:rsidP="002C2CB8">
      <w:pPr>
        <w:spacing w:after="120" w:line="240" w:lineRule="auto"/>
        <w:ind w:firstLine="284"/>
        <w:jc w:val="both"/>
        <w:rPr>
          <w:rFonts w:ascii="Times New Roman" w:hAnsi="Times New Roman" w:cs="Times New Roman"/>
          <w:sz w:val="20"/>
          <w:szCs w:val="20"/>
          <w:lang w:val="en-US"/>
        </w:rPr>
      </w:pPr>
      <w:r w:rsidRPr="0033284B">
        <w:rPr>
          <w:rFonts w:ascii="Times New Roman" w:hAnsi="Times New Roman" w:cs="Times New Roman"/>
          <w:sz w:val="20"/>
          <w:szCs w:val="20"/>
          <w:lang w:val="en-US"/>
        </w:rPr>
        <w:t xml:space="preserve">The amount of sugar from the raw materials and its concentration in the hydrolyzate, as well as the amount of acid used, depend on this. Empirically, the best ratio has been found to be 1:5.8. To model mathematically, the hydrolysis has chemical reaction speed rates to hydrolyze hemicellulose, cellulose, and monosaccharides. So, studies attempted to find the relevant speed rates for further math modeling. The initial conditions used poplar wood concentration values. In order to discover the chemical reaction speed rate for easy to hydrolyze </w:t>
      </w:r>
      <w:r w:rsidR="00AD00A8" w:rsidRPr="0033284B">
        <w:rPr>
          <w:rFonts w:ascii="Times New Roman" w:hAnsi="Times New Roman" w:cs="Times New Roman"/>
          <w:sz w:val="20"/>
          <w:szCs w:val="20"/>
          <w:lang w:val="en-US"/>
        </w:rPr>
        <w:t>polysaccharides</w:t>
      </w:r>
      <w:r w:rsidRPr="0033284B">
        <w:rPr>
          <w:rFonts w:ascii="Times New Roman" w:hAnsi="Times New Roman" w:cs="Times New Roman"/>
          <w:sz w:val="20"/>
          <w:szCs w:val="20"/>
          <w:lang w:val="en-US"/>
        </w:rPr>
        <w:t xml:space="preserve"> (mainly hemicellulose) in poplyar wood experimentations were done in the settings. Fine wood raw material with 2 mm divisions were used. Conducted hydrolysis with 4 </w:t>
      </w:r>
      <w:r w:rsidR="00AD00A8" w:rsidRPr="0033284B">
        <w:rPr>
          <w:rFonts w:ascii="Times New Roman" w:hAnsi="Times New Roman" w:cs="Times New Roman"/>
          <w:sz w:val="20"/>
          <w:szCs w:val="20"/>
          <w:lang w:val="en-US"/>
        </w:rPr>
        <w:t>mess sulfite</w:t>
      </w:r>
      <w:r w:rsidRPr="0033284B">
        <w:rPr>
          <w:rFonts w:ascii="Times New Roman" w:hAnsi="Times New Roman" w:cs="Times New Roman"/>
          <w:sz w:val="20"/>
          <w:szCs w:val="20"/>
          <w:lang w:val="en-US"/>
        </w:rPr>
        <w:t xml:space="preserve"> </w:t>
      </w:r>
      <w:r w:rsidR="00DD3663" w:rsidRPr="0033284B">
        <w:rPr>
          <w:rFonts w:ascii="Times New Roman" w:hAnsi="Times New Roman" w:cs="Times New Roman"/>
          <w:sz w:val="20"/>
          <w:szCs w:val="20"/>
          <w:lang w:val="en-US"/>
        </w:rPr>
        <w:t>a</w:t>
      </w:r>
      <w:r w:rsidRPr="0033284B">
        <w:rPr>
          <w:rFonts w:ascii="Times New Roman" w:hAnsi="Times New Roman" w:cs="Times New Roman"/>
          <w:sz w:val="20"/>
          <w:szCs w:val="20"/>
          <w:lang w:val="en-US"/>
        </w:rPr>
        <w:t xml:space="preserve">cid. Temperatures: 150, 160 °C, 170 °C and 180 °C; Duration of hydrolysis: 40 minutes at 160 °C, 30 minutes at 170 and 180 °C. Figure 1 shows the change in hemicellulose during hydrolysis. The wood hemicellulose drops over time. The graph has three sections: Soak section as you set up for hydrolysis. Straight section defining hemicellulose going down during the main hydrolysis. Tensity decreases here because the rate of </w:t>
      </w:r>
      <w:r w:rsidR="00BA67E1" w:rsidRPr="0033284B">
        <w:rPr>
          <w:rFonts w:ascii="Times New Roman" w:hAnsi="Times New Roman" w:cs="Times New Roman"/>
          <w:sz w:val="20"/>
          <w:szCs w:val="20"/>
          <w:lang w:val="en-US"/>
        </w:rPr>
        <w:t>hydrolysis</w:t>
      </w:r>
      <w:r w:rsidRPr="0033284B">
        <w:rPr>
          <w:rFonts w:ascii="Times New Roman" w:hAnsi="Times New Roman" w:cs="Times New Roman"/>
          <w:sz w:val="20"/>
          <w:szCs w:val="20"/>
          <w:lang w:val="en-US"/>
        </w:rPr>
        <w:t xml:space="preserve"> goes down due to hemicellulose reduction. It is from here that you can find the </w:t>
      </w:r>
      <w:r w:rsidR="00BA67E1" w:rsidRPr="0033284B">
        <w:rPr>
          <w:rFonts w:ascii="Times New Roman" w:hAnsi="Times New Roman" w:cs="Times New Roman"/>
          <w:sz w:val="20"/>
          <w:szCs w:val="20"/>
          <w:lang w:val="en-US"/>
        </w:rPr>
        <w:t>reaction</w:t>
      </w:r>
      <w:r w:rsidRPr="0033284B">
        <w:rPr>
          <w:rFonts w:ascii="Times New Roman" w:hAnsi="Times New Roman" w:cs="Times New Roman"/>
          <w:sz w:val="20"/>
          <w:szCs w:val="20"/>
          <w:lang w:val="en-US"/>
        </w:rPr>
        <w:t xml:space="preserve"> for modeling.</w:t>
      </w:r>
    </w:p>
    <w:p w14:paraId="758440A9" w14:textId="015C5D98" w:rsidR="00BA67E1" w:rsidRPr="0033284B" w:rsidRDefault="00BA67E1" w:rsidP="002C2CB8">
      <w:pPr>
        <w:spacing w:after="0" w:line="240" w:lineRule="auto"/>
        <w:jc w:val="center"/>
        <w:rPr>
          <w:rFonts w:ascii="Times New Roman" w:hAnsi="Times New Roman" w:cs="Times New Roman"/>
          <w:sz w:val="20"/>
          <w:szCs w:val="20"/>
          <w:lang w:val="en-US"/>
        </w:rPr>
      </w:pPr>
      <w:r w:rsidRPr="0033284B">
        <w:rPr>
          <w:noProof/>
          <w:sz w:val="20"/>
          <w:szCs w:val="20"/>
          <w:lang w:eastAsia="ru-RU"/>
        </w:rPr>
        <w:drawing>
          <wp:inline distT="0" distB="0" distL="0" distR="0" wp14:anchorId="4F7F5155" wp14:editId="4221C129">
            <wp:extent cx="4174490" cy="2130950"/>
            <wp:effectExtent l="0" t="0" r="16510" b="3175"/>
            <wp:docPr id="2" name="Диаграмма 2">
              <a:extLst xmlns:a="http://schemas.openxmlformats.org/drawingml/2006/main">
                <a:ext uri="{FF2B5EF4-FFF2-40B4-BE49-F238E27FC236}">
                  <a16:creationId xmlns:a16="http://schemas.microsoft.com/office/drawing/2014/main" id="{3D6E930E-03E4-9FC0-35E3-843ECB6465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E61D0BC" w14:textId="100DD762" w:rsidR="00B37C50" w:rsidRPr="0033284B" w:rsidRDefault="00541907" w:rsidP="002C2CB8">
      <w:pPr>
        <w:spacing w:after="0" w:line="240" w:lineRule="auto"/>
        <w:jc w:val="center"/>
        <w:rPr>
          <w:rFonts w:ascii="Times New Roman" w:hAnsi="Times New Roman" w:cs="Times New Roman"/>
          <w:b/>
          <w:bCs/>
          <w:sz w:val="18"/>
          <w:szCs w:val="18"/>
          <w:lang w:val="en-US"/>
        </w:rPr>
      </w:pPr>
      <w:r w:rsidRPr="0033284B">
        <w:rPr>
          <w:rFonts w:ascii="Times New Roman" w:hAnsi="Times New Roman" w:cs="Times New Roman"/>
          <w:b/>
          <w:bCs/>
          <w:sz w:val="18"/>
          <w:szCs w:val="18"/>
          <w:lang w:val="en-US"/>
        </w:rPr>
        <w:t>FIG</w:t>
      </w:r>
      <w:r w:rsidR="002C2CB8">
        <w:rPr>
          <w:rFonts w:ascii="Times New Roman" w:hAnsi="Times New Roman" w:cs="Times New Roman"/>
          <w:b/>
          <w:bCs/>
          <w:sz w:val="18"/>
          <w:szCs w:val="18"/>
          <w:lang w:val="en-US"/>
        </w:rPr>
        <w:t>URE</w:t>
      </w:r>
      <w:r w:rsidRPr="0033284B">
        <w:rPr>
          <w:rFonts w:ascii="Times New Roman" w:hAnsi="Times New Roman" w:cs="Times New Roman"/>
          <w:b/>
          <w:bCs/>
          <w:sz w:val="18"/>
          <w:szCs w:val="18"/>
          <w:lang w:val="en-US"/>
        </w:rPr>
        <w:t xml:space="preserve"> 1. </w:t>
      </w:r>
      <w:r w:rsidR="00B37C50" w:rsidRPr="0033284B">
        <w:rPr>
          <w:rFonts w:ascii="Times New Roman" w:hAnsi="Times New Roman" w:cs="Times New Roman"/>
          <w:sz w:val="18"/>
          <w:szCs w:val="18"/>
          <w:lang w:val="en-US"/>
        </w:rPr>
        <w:t>Kinetics of hemicellulose content change versus hydrolysis time in the sample</w:t>
      </w:r>
    </w:p>
    <w:p w14:paraId="7DCD9D43" w14:textId="3BD11130" w:rsidR="000A42B2" w:rsidRPr="0033284B" w:rsidRDefault="00B37C50" w:rsidP="00541907">
      <w:pPr>
        <w:spacing w:after="0" w:line="240" w:lineRule="auto"/>
        <w:ind w:firstLine="284"/>
        <w:jc w:val="both"/>
        <w:rPr>
          <w:rFonts w:ascii="Times New Roman" w:hAnsi="Times New Roman" w:cs="Times New Roman"/>
          <w:sz w:val="20"/>
          <w:szCs w:val="20"/>
          <w:lang w:val="en-US"/>
        </w:rPr>
      </w:pPr>
      <w:r w:rsidRPr="0033284B">
        <w:rPr>
          <w:rFonts w:ascii="Times New Roman" w:hAnsi="Times New Roman" w:cs="Times New Roman"/>
          <w:sz w:val="20"/>
          <w:szCs w:val="20"/>
          <w:lang w:val="en-US"/>
        </w:rPr>
        <w:lastRenderedPageBreak/>
        <w:t>The chemical reaction rate constant for hemicellulose hydrolysis is expressed using</w:t>
      </w:r>
      <w:r w:rsidR="00A228F4" w:rsidRPr="0033284B">
        <w:rPr>
          <w:rFonts w:ascii="Times New Roman" w:hAnsi="Times New Roman" w:cs="Times New Roman"/>
          <w:sz w:val="20"/>
          <w:szCs w:val="20"/>
          <w:lang w:val="en-US"/>
        </w:rPr>
        <w:t>:</w:t>
      </w:r>
    </w:p>
    <w:p w14:paraId="43C370F4" w14:textId="63436503" w:rsidR="00A228F4" w:rsidRPr="0033284B" w:rsidRDefault="00A228F4" w:rsidP="003576EC">
      <w:pPr>
        <w:spacing w:before="240" w:after="240" w:line="240" w:lineRule="auto"/>
        <w:ind w:firstLine="284"/>
        <w:jc w:val="right"/>
        <w:rPr>
          <w:rFonts w:ascii="Times New Roman" w:hAnsi="Times New Roman" w:cs="Times New Roman"/>
          <w:sz w:val="20"/>
          <w:szCs w:val="20"/>
          <w:lang w:val="en-US"/>
        </w:rPr>
      </w:pPr>
      <m:oMath>
        <m:r>
          <w:rPr>
            <w:rFonts w:ascii="Cambria Math" w:hAnsi="Cambria Math" w:cs="Times New Roman"/>
            <w:noProof/>
            <w:sz w:val="20"/>
            <w:szCs w:val="20"/>
            <w:lang w:val="en-US" w:eastAsia="ru-RU"/>
          </w:rPr>
          <m:t>k=</m:t>
        </m:r>
        <m:f>
          <m:fPr>
            <m:ctrlPr>
              <w:rPr>
                <w:rFonts w:ascii="Cambria Math" w:hAnsi="Cambria Math" w:cs="Times New Roman"/>
                <w:i/>
                <w:noProof/>
                <w:sz w:val="20"/>
                <w:szCs w:val="20"/>
                <w:lang w:val="en-US" w:eastAsia="ru-RU"/>
              </w:rPr>
            </m:ctrlPr>
          </m:fPr>
          <m:num>
            <m:r>
              <w:rPr>
                <w:rFonts w:ascii="Cambria Math" w:hAnsi="Cambria Math" w:cs="Times New Roman"/>
                <w:noProof/>
                <w:sz w:val="20"/>
                <w:szCs w:val="20"/>
                <w:lang w:val="en-US" w:eastAsia="ru-RU"/>
              </w:rPr>
              <m:t>1</m:t>
            </m:r>
          </m:num>
          <m:den>
            <m:r>
              <w:rPr>
                <w:rFonts w:ascii="Cambria Math" w:hAnsi="Cambria Math" w:cs="Times New Roman"/>
                <w:noProof/>
                <w:sz w:val="20"/>
                <w:szCs w:val="20"/>
                <w:lang w:val="en-US" w:eastAsia="ru-RU"/>
              </w:rPr>
              <m:t>τ</m:t>
            </m:r>
          </m:den>
        </m:f>
        <m:func>
          <m:funcPr>
            <m:ctrlPr>
              <w:rPr>
                <w:rFonts w:ascii="Cambria Math" w:hAnsi="Cambria Math" w:cs="Times New Roman"/>
                <w:i/>
                <w:noProof/>
                <w:sz w:val="20"/>
                <w:szCs w:val="20"/>
                <w:lang w:val="en-US" w:eastAsia="ru-RU"/>
              </w:rPr>
            </m:ctrlPr>
          </m:funcPr>
          <m:fName>
            <m:r>
              <m:rPr>
                <m:sty m:val="p"/>
              </m:rPr>
              <w:rPr>
                <w:rFonts w:ascii="Cambria Math" w:hAnsi="Cambria Math" w:cs="Times New Roman"/>
                <w:noProof/>
                <w:sz w:val="20"/>
                <w:szCs w:val="20"/>
                <w:lang w:val="en-US" w:eastAsia="ru-RU"/>
              </w:rPr>
              <m:t xml:space="preserve"> </m:t>
            </m:r>
          </m:fName>
          <m:e>
            <m:d>
              <m:dPr>
                <m:ctrlPr>
                  <w:rPr>
                    <w:rFonts w:ascii="Cambria Math" w:hAnsi="Cambria Math" w:cs="Times New Roman"/>
                    <w:i/>
                    <w:noProof/>
                    <w:sz w:val="20"/>
                    <w:szCs w:val="20"/>
                    <w:lang w:val="en-US" w:eastAsia="ru-RU"/>
                  </w:rPr>
                </m:ctrlPr>
              </m:dPr>
              <m:e>
                <m:r>
                  <w:rPr>
                    <w:rFonts w:ascii="Cambria Math" w:hAnsi="Cambria Math" w:cs="Times New Roman"/>
                    <w:noProof/>
                    <w:sz w:val="20"/>
                    <w:szCs w:val="20"/>
                    <w:lang w:val="en-US" w:eastAsia="ru-RU"/>
                  </w:rPr>
                  <m:t>1-</m:t>
                </m:r>
                <m:f>
                  <m:fPr>
                    <m:ctrlPr>
                      <w:rPr>
                        <w:rFonts w:ascii="Cambria Math" w:hAnsi="Cambria Math" w:cs="Times New Roman"/>
                        <w:i/>
                        <w:noProof/>
                        <w:sz w:val="20"/>
                        <w:szCs w:val="20"/>
                        <w:lang w:val="en-US" w:eastAsia="ru-RU"/>
                      </w:rPr>
                    </m:ctrlPr>
                  </m:fPr>
                  <m:num>
                    <m:sSub>
                      <m:sSubPr>
                        <m:ctrlPr>
                          <w:rPr>
                            <w:rFonts w:ascii="Cambria Math" w:hAnsi="Cambria Math" w:cs="Times New Roman"/>
                            <w:i/>
                            <w:noProof/>
                            <w:sz w:val="20"/>
                            <w:szCs w:val="20"/>
                            <w:lang w:val="en-US" w:eastAsia="ru-RU"/>
                          </w:rPr>
                        </m:ctrlPr>
                      </m:sSubPr>
                      <m:e>
                        <m:r>
                          <w:rPr>
                            <w:rFonts w:ascii="Cambria Math" w:hAnsi="Cambria Math" w:cs="Times New Roman"/>
                            <w:noProof/>
                            <w:sz w:val="20"/>
                            <w:szCs w:val="20"/>
                            <w:lang w:val="en-US" w:eastAsia="ru-RU"/>
                          </w:rPr>
                          <m:t>C</m:t>
                        </m:r>
                      </m:e>
                      <m:sub>
                        <m:r>
                          <w:rPr>
                            <w:rFonts w:ascii="Cambria Math" w:hAnsi="Cambria Math" w:cs="Times New Roman"/>
                            <w:noProof/>
                            <w:sz w:val="20"/>
                            <w:szCs w:val="20"/>
                            <w:lang w:val="en-US" w:eastAsia="ru-RU"/>
                          </w:rPr>
                          <m:t>h.c.final</m:t>
                        </m:r>
                      </m:sub>
                    </m:sSub>
                  </m:num>
                  <m:den>
                    <m:sSub>
                      <m:sSubPr>
                        <m:ctrlPr>
                          <w:rPr>
                            <w:rFonts w:ascii="Cambria Math" w:hAnsi="Cambria Math" w:cs="Times New Roman"/>
                            <w:i/>
                            <w:noProof/>
                            <w:sz w:val="20"/>
                            <w:szCs w:val="20"/>
                            <w:lang w:val="en-US" w:eastAsia="ru-RU"/>
                          </w:rPr>
                        </m:ctrlPr>
                      </m:sSubPr>
                      <m:e>
                        <m:r>
                          <w:rPr>
                            <w:rFonts w:ascii="Cambria Math" w:hAnsi="Cambria Math" w:cs="Times New Roman"/>
                            <w:noProof/>
                            <w:sz w:val="20"/>
                            <w:szCs w:val="20"/>
                            <w:lang w:val="en-US" w:eastAsia="ru-RU"/>
                          </w:rPr>
                          <m:t>C</m:t>
                        </m:r>
                      </m:e>
                      <m:sub>
                        <m:r>
                          <w:rPr>
                            <w:rFonts w:ascii="Cambria Math" w:hAnsi="Cambria Math" w:cs="Times New Roman"/>
                            <w:noProof/>
                            <w:sz w:val="20"/>
                            <w:szCs w:val="20"/>
                            <w:lang w:val="en-US" w:eastAsia="ru-RU"/>
                          </w:rPr>
                          <m:t>h.c.initial</m:t>
                        </m:r>
                      </m:sub>
                    </m:sSub>
                  </m:den>
                </m:f>
              </m:e>
            </m:d>
          </m:e>
        </m:func>
      </m:oMath>
      <w:r w:rsidR="003576EC" w:rsidRPr="0033284B">
        <w:rPr>
          <w:rFonts w:ascii="Times New Roman" w:eastAsiaTheme="minorEastAsia" w:hAnsi="Times New Roman" w:cs="Times New Roman"/>
          <w:sz w:val="20"/>
          <w:szCs w:val="20"/>
          <w:lang w:val="en-US" w:eastAsia="ru-RU"/>
        </w:rPr>
        <w:tab/>
      </w:r>
      <w:r w:rsidR="00541907" w:rsidRPr="0033284B">
        <w:rPr>
          <w:rFonts w:ascii="Times New Roman" w:eastAsiaTheme="minorEastAsia" w:hAnsi="Times New Roman" w:cs="Times New Roman"/>
          <w:sz w:val="20"/>
          <w:szCs w:val="20"/>
          <w:lang w:val="en-US" w:eastAsia="ru-RU"/>
        </w:rPr>
        <w:tab/>
      </w:r>
      <w:r w:rsidR="00541907" w:rsidRPr="0033284B">
        <w:rPr>
          <w:rFonts w:ascii="Times New Roman" w:eastAsiaTheme="minorEastAsia" w:hAnsi="Times New Roman" w:cs="Times New Roman"/>
          <w:sz w:val="20"/>
          <w:szCs w:val="20"/>
          <w:lang w:val="en-US" w:eastAsia="ru-RU"/>
        </w:rPr>
        <w:tab/>
      </w:r>
      <w:r w:rsidR="00541907" w:rsidRPr="0033284B">
        <w:rPr>
          <w:rFonts w:ascii="Times New Roman" w:eastAsiaTheme="minorEastAsia" w:hAnsi="Times New Roman" w:cs="Times New Roman"/>
          <w:sz w:val="20"/>
          <w:szCs w:val="20"/>
          <w:lang w:val="en-US" w:eastAsia="ru-RU"/>
        </w:rPr>
        <w:tab/>
      </w:r>
      <w:r w:rsidR="00541907" w:rsidRPr="0033284B">
        <w:rPr>
          <w:rFonts w:ascii="Times New Roman" w:eastAsiaTheme="minorEastAsia" w:hAnsi="Times New Roman" w:cs="Times New Roman"/>
          <w:sz w:val="20"/>
          <w:szCs w:val="20"/>
          <w:lang w:val="en-US" w:eastAsia="ru-RU"/>
        </w:rPr>
        <w:tab/>
        <w:t>(1)</w:t>
      </w:r>
    </w:p>
    <w:p w14:paraId="1EDD6A34" w14:textId="37E34449" w:rsidR="00B37C50" w:rsidRPr="0033284B" w:rsidRDefault="00B37C50" w:rsidP="00541907">
      <w:pPr>
        <w:spacing w:after="0" w:line="240" w:lineRule="auto"/>
        <w:ind w:firstLine="284"/>
        <w:jc w:val="both"/>
        <w:rPr>
          <w:rFonts w:ascii="Times New Roman" w:hAnsi="Times New Roman" w:cs="Times New Roman"/>
          <w:sz w:val="20"/>
          <w:szCs w:val="20"/>
          <w:lang w:val="en-US"/>
        </w:rPr>
      </w:pPr>
      <w:r w:rsidRPr="0033284B">
        <w:rPr>
          <w:rFonts w:ascii="Times New Roman" w:hAnsi="Times New Roman" w:cs="Times New Roman"/>
          <w:sz w:val="20"/>
          <w:szCs w:val="20"/>
          <w:lang w:val="en-US"/>
        </w:rPr>
        <w:t xml:space="preserve">To find the cellulose hydrolysis rate constant, treated cellulose mass was prepared as follows: Pine wood raw material was first dried in a vacuum oven at 105 °C. It was next treated with 2% sodium hydroxide solution for </w:t>
      </w:r>
      <w:r w:rsidR="00C62E7B" w:rsidRPr="0033284B">
        <w:rPr>
          <w:rFonts w:ascii="Times New Roman" w:hAnsi="Times New Roman" w:cs="Times New Roman"/>
          <w:sz w:val="20"/>
          <w:szCs w:val="20"/>
          <w:lang w:val="en-US"/>
        </w:rPr>
        <w:br/>
      </w:r>
      <w:r w:rsidRPr="0033284B">
        <w:rPr>
          <w:rFonts w:ascii="Times New Roman" w:hAnsi="Times New Roman" w:cs="Times New Roman"/>
          <w:sz w:val="20"/>
          <w:szCs w:val="20"/>
          <w:lang w:val="en-US"/>
        </w:rPr>
        <w:t>45 minutes at 80 °C using a magnetic stirrer. The resulting cellulose fiber was filtered, washed several times in distilled water until neutral, and dried at 60 °C for 4 hours. Then, the fibers were bleached in a mixture of glacial acetic acid, 1.7% sodium chlorite, and distilled water at 90 °C for 12 hours under constant stirring; at this step, lignin was removed. After bleaching, the cellulose underwent hydrolysis, and the chemical reaction rate constant was found. Hydrolysis was done at 150, 160, 170, and 180 °C in 5% sulfurous acid solution by taking capsules out every 10 minutes. The bleached fibers were washed again and dried at 80 °C to a constant weight. The first-order kinetic equation for cellulose hydrolysis is expressed in the following integral form: Formula 2.</w:t>
      </w:r>
    </w:p>
    <w:p w14:paraId="22E8F1C7" w14:textId="02DC94C1" w:rsidR="001C436F" w:rsidRPr="0033284B" w:rsidRDefault="00B47EE1" w:rsidP="00F41A6A">
      <w:pPr>
        <w:spacing w:before="120" w:after="120" w:line="240" w:lineRule="auto"/>
        <w:ind w:firstLine="284"/>
        <w:jc w:val="right"/>
        <w:rPr>
          <w:rFonts w:ascii="Times New Roman" w:hAnsi="Times New Roman" w:cs="Times New Roman"/>
          <w:noProof/>
          <w:sz w:val="20"/>
          <w:szCs w:val="20"/>
          <w:lang w:val="en-US" w:eastAsia="ru-RU"/>
        </w:rPr>
      </w:pPr>
      <m:oMath>
        <m:r>
          <w:rPr>
            <w:rFonts w:ascii="Cambria Math" w:hAnsi="Cambria Math" w:cs="Times New Roman"/>
            <w:noProof/>
            <w:sz w:val="20"/>
            <w:szCs w:val="20"/>
            <w:lang w:val="en-US" w:eastAsia="ru-RU"/>
          </w:rPr>
          <m:t>k=</m:t>
        </m:r>
        <m:f>
          <m:fPr>
            <m:ctrlPr>
              <w:rPr>
                <w:rFonts w:ascii="Cambria Math" w:hAnsi="Cambria Math" w:cs="Times New Roman"/>
                <w:i/>
                <w:noProof/>
                <w:sz w:val="20"/>
                <w:szCs w:val="20"/>
                <w:lang w:val="en-US" w:eastAsia="ru-RU"/>
              </w:rPr>
            </m:ctrlPr>
          </m:fPr>
          <m:num>
            <m:r>
              <w:rPr>
                <w:rFonts w:ascii="Cambria Math" w:hAnsi="Cambria Math" w:cs="Times New Roman"/>
                <w:noProof/>
                <w:sz w:val="20"/>
                <w:szCs w:val="20"/>
                <w:lang w:val="en-US" w:eastAsia="ru-RU"/>
              </w:rPr>
              <m:t>1</m:t>
            </m:r>
          </m:num>
          <m:den>
            <m:r>
              <w:rPr>
                <w:rFonts w:ascii="Cambria Math" w:hAnsi="Cambria Math" w:cs="Times New Roman"/>
                <w:noProof/>
                <w:sz w:val="20"/>
                <w:szCs w:val="20"/>
                <w:lang w:val="en-US" w:eastAsia="ru-RU"/>
              </w:rPr>
              <m:t>τ</m:t>
            </m:r>
          </m:den>
        </m:f>
        <m:func>
          <m:funcPr>
            <m:ctrlPr>
              <w:rPr>
                <w:rFonts w:ascii="Cambria Math" w:hAnsi="Cambria Math" w:cs="Times New Roman"/>
                <w:i/>
                <w:noProof/>
                <w:sz w:val="20"/>
                <w:szCs w:val="20"/>
                <w:lang w:val="en-US" w:eastAsia="ru-RU"/>
              </w:rPr>
            </m:ctrlPr>
          </m:funcPr>
          <m:fName>
            <m:r>
              <m:rPr>
                <m:sty m:val="p"/>
              </m:rPr>
              <w:rPr>
                <w:rFonts w:ascii="Cambria Math" w:hAnsi="Cambria Math" w:cs="Times New Roman"/>
                <w:noProof/>
                <w:sz w:val="20"/>
                <w:szCs w:val="20"/>
                <w:lang w:val="en-US"/>
              </w:rPr>
              <m:t>ln</m:t>
            </m:r>
          </m:fName>
          <m:e>
            <m:d>
              <m:dPr>
                <m:ctrlPr>
                  <w:rPr>
                    <w:rFonts w:ascii="Cambria Math" w:hAnsi="Cambria Math" w:cs="Times New Roman"/>
                    <w:i/>
                    <w:noProof/>
                    <w:sz w:val="20"/>
                    <w:szCs w:val="20"/>
                    <w:lang w:val="en-US" w:eastAsia="ru-RU"/>
                  </w:rPr>
                </m:ctrlPr>
              </m:dPr>
              <m:e>
                <m:f>
                  <m:fPr>
                    <m:ctrlPr>
                      <w:rPr>
                        <w:rFonts w:ascii="Cambria Math" w:hAnsi="Cambria Math" w:cs="Times New Roman"/>
                        <w:i/>
                        <w:noProof/>
                        <w:sz w:val="20"/>
                        <w:szCs w:val="20"/>
                        <w:lang w:val="en-US" w:eastAsia="ru-RU"/>
                      </w:rPr>
                    </m:ctrlPr>
                  </m:fPr>
                  <m:num>
                    <m:sSub>
                      <m:sSubPr>
                        <m:ctrlPr>
                          <w:rPr>
                            <w:rFonts w:ascii="Cambria Math" w:hAnsi="Cambria Math" w:cs="Times New Roman"/>
                            <w:i/>
                            <w:noProof/>
                            <w:sz w:val="20"/>
                            <w:szCs w:val="20"/>
                            <w:lang w:val="en-US" w:eastAsia="ru-RU"/>
                          </w:rPr>
                        </m:ctrlPr>
                      </m:sSubPr>
                      <m:e>
                        <m:r>
                          <w:rPr>
                            <w:rFonts w:ascii="Cambria Math" w:hAnsi="Cambria Math" w:cs="Times New Roman"/>
                            <w:noProof/>
                            <w:sz w:val="20"/>
                            <w:szCs w:val="20"/>
                            <w:lang w:val="en-US" w:eastAsia="ru-RU"/>
                          </w:rPr>
                          <m:t>C</m:t>
                        </m:r>
                      </m:e>
                      <m:sub>
                        <m:r>
                          <w:rPr>
                            <w:rFonts w:ascii="Cambria Math" w:hAnsi="Cambria Math" w:cs="Times New Roman"/>
                            <w:noProof/>
                            <w:sz w:val="20"/>
                            <w:szCs w:val="20"/>
                            <w:lang w:val="en-US" w:eastAsia="ru-RU"/>
                          </w:rPr>
                          <m:t>cell.initial</m:t>
                        </m:r>
                      </m:sub>
                    </m:sSub>
                  </m:num>
                  <m:den>
                    <m:sSub>
                      <m:sSubPr>
                        <m:ctrlPr>
                          <w:rPr>
                            <w:rFonts w:ascii="Cambria Math" w:hAnsi="Cambria Math" w:cs="Times New Roman"/>
                            <w:i/>
                            <w:noProof/>
                            <w:sz w:val="20"/>
                            <w:szCs w:val="20"/>
                            <w:lang w:val="en-US" w:eastAsia="ru-RU"/>
                          </w:rPr>
                        </m:ctrlPr>
                      </m:sSubPr>
                      <m:e>
                        <m:r>
                          <w:rPr>
                            <w:rFonts w:ascii="Cambria Math" w:hAnsi="Cambria Math" w:cs="Times New Roman"/>
                            <w:noProof/>
                            <w:sz w:val="20"/>
                            <w:szCs w:val="20"/>
                            <w:lang w:val="en-US" w:eastAsia="ru-RU"/>
                          </w:rPr>
                          <m:t>C</m:t>
                        </m:r>
                      </m:e>
                      <m:sub>
                        <m:r>
                          <w:rPr>
                            <w:rFonts w:ascii="Cambria Math" w:hAnsi="Cambria Math" w:cs="Times New Roman"/>
                            <w:noProof/>
                            <w:sz w:val="20"/>
                            <w:szCs w:val="20"/>
                            <w:lang w:val="en-US" w:eastAsia="ru-RU"/>
                          </w:rPr>
                          <m:t>cell.final</m:t>
                        </m:r>
                      </m:sub>
                    </m:sSub>
                  </m:den>
                </m:f>
              </m:e>
            </m:d>
          </m:e>
        </m:func>
      </m:oMath>
      <w:r w:rsidR="00541907" w:rsidRPr="0033284B">
        <w:rPr>
          <w:rFonts w:ascii="Times New Roman" w:eastAsiaTheme="minorEastAsia" w:hAnsi="Times New Roman" w:cs="Times New Roman"/>
          <w:noProof/>
          <w:sz w:val="20"/>
          <w:szCs w:val="20"/>
          <w:lang w:val="en-US" w:eastAsia="ru-RU"/>
        </w:rPr>
        <w:tab/>
      </w:r>
      <w:r w:rsidR="00F41A6A" w:rsidRPr="0033284B">
        <w:rPr>
          <w:rFonts w:ascii="Times New Roman" w:eastAsiaTheme="minorEastAsia" w:hAnsi="Times New Roman" w:cs="Times New Roman"/>
          <w:noProof/>
          <w:sz w:val="20"/>
          <w:szCs w:val="20"/>
          <w:lang w:val="en-US" w:eastAsia="ru-RU"/>
        </w:rPr>
        <w:tab/>
      </w:r>
      <w:r w:rsidR="00541907" w:rsidRPr="0033284B">
        <w:rPr>
          <w:rFonts w:ascii="Times New Roman" w:eastAsiaTheme="minorEastAsia" w:hAnsi="Times New Roman" w:cs="Times New Roman"/>
          <w:noProof/>
          <w:sz w:val="20"/>
          <w:szCs w:val="20"/>
          <w:lang w:val="en-US" w:eastAsia="ru-RU"/>
        </w:rPr>
        <w:tab/>
      </w:r>
      <w:r w:rsidR="00541907" w:rsidRPr="0033284B">
        <w:rPr>
          <w:rFonts w:ascii="Times New Roman" w:eastAsiaTheme="minorEastAsia" w:hAnsi="Times New Roman" w:cs="Times New Roman"/>
          <w:noProof/>
          <w:sz w:val="20"/>
          <w:szCs w:val="20"/>
          <w:lang w:val="en-US" w:eastAsia="ru-RU"/>
        </w:rPr>
        <w:tab/>
      </w:r>
      <w:r w:rsidR="00541907" w:rsidRPr="0033284B">
        <w:rPr>
          <w:rFonts w:ascii="Times New Roman" w:eastAsiaTheme="minorEastAsia" w:hAnsi="Times New Roman" w:cs="Times New Roman"/>
          <w:noProof/>
          <w:sz w:val="20"/>
          <w:szCs w:val="20"/>
          <w:lang w:val="en-US" w:eastAsia="ru-RU"/>
        </w:rPr>
        <w:tab/>
        <w:t>(2)</w:t>
      </w:r>
    </w:p>
    <w:p w14:paraId="620B090F" w14:textId="0EEE22F1" w:rsidR="00B37C50" w:rsidRPr="0033284B" w:rsidRDefault="00B37C50" w:rsidP="00541907">
      <w:pPr>
        <w:spacing w:after="120" w:line="240" w:lineRule="auto"/>
        <w:ind w:firstLine="284"/>
        <w:jc w:val="both"/>
        <w:rPr>
          <w:rFonts w:ascii="Times New Roman" w:hAnsi="Times New Roman" w:cs="Times New Roman"/>
          <w:sz w:val="20"/>
          <w:szCs w:val="20"/>
          <w:lang w:val="en-US"/>
        </w:rPr>
      </w:pPr>
      <w:r w:rsidRPr="0033284B">
        <w:rPr>
          <w:rFonts w:ascii="Times New Roman" w:hAnsi="Times New Roman" w:cs="Times New Roman"/>
          <w:sz w:val="20"/>
          <w:szCs w:val="20"/>
          <w:lang w:val="en-US"/>
        </w:rPr>
        <w:t>The results for the change in cellulose content versus hydrolysis time are in Figure 2.</w:t>
      </w:r>
    </w:p>
    <w:p w14:paraId="2AD7BBB2" w14:textId="228BE829" w:rsidR="00FF6E61" w:rsidRPr="0033284B" w:rsidRDefault="002E78A6" w:rsidP="002E78A6">
      <w:pPr>
        <w:spacing w:after="0" w:line="240" w:lineRule="auto"/>
        <w:jc w:val="center"/>
        <w:rPr>
          <w:rFonts w:ascii="Times New Roman" w:hAnsi="Times New Roman" w:cs="Times New Roman"/>
          <w:b/>
          <w:bCs/>
          <w:sz w:val="20"/>
          <w:szCs w:val="20"/>
          <w:lang w:val="en-US"/>
        </w:rPr>
      </w:pPr>
      <w:r w:rsidRPr="0033284B">
        <w:rPr>
          <w:noProof/>
          <w:sz w:val="20"/>
          <w:szCs w:val="20"/>
          <w:lang w:eastAsia="ru-RU"/>
        </w:rPr>
        <w:drawing>
          <wp:inline distT="0" distB="0" distL="0" distR="0" wp14:anchorId="6C563F2A" wp14:editId="50102EE8">
            <wp:extent cx="4023360" cy="2640787"/>
            <wp:effectExtent l="0" t="0" r="15240" b="7620"/>
            <wp:docPr id="4" name="Диаграмма 4">
              <a:extLst xmlns:a="http://schemas.openxmlformats.org/drawingml/2006/main">
                <a:ext uri="{FF2B5EF4-FFF2-40B4-BE49-F238E27FC236}">
                  <a16:creationId xmlns:a16="http://schemas.microsoft.com/office/drawing/2014/main" id="{5B32566B-0832-5D59-D00F-FD362A4E8D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44527C4" w14:textId="4FCDD7D6" w:rsidR="00B37C50" w:rsidRPr="0033284B" w:rsidRDefault="00541907" w:rsidP="002C2CB8">
      <w:pPr>
        <w:spacing w:after="120" w:line="240" w:lineRule="auto"/>
        <w:jc w:val="center"/>
        <w:rPr>
          <w:rFonts w:ascii="Times New Roman" w:hAnsi="Times New Roman" w:cs="Times New Roman"/>
          <w:sz w:val="18"/>
          <w:szCs w:val="18"/>
          <w:lang w:val="en-US"/>
        </w:rPr>
      </w:pPr>
      <w:r w:rsidRPr="0033284B">
        <w:rPr>
          <w:rFonts w:ascii="Times New Roman" w:hAnsi="Times New Roman" w:cs="Times New Roman"/>
          <w:b/>
          <w:bCs/>
          <w:sz w:val="18"/>
          <w:szCs w:val="18"/>
          <w:lang w:val="en-US"/>
        </w:rPr>
        <w:t>FIG</w:t>
      </w:r>
      <w:r w:rsidR="002C2CB8">
        <w:rPr>
          <w:rFonts w:ascii="Times New Roman" w:hAnsi="Times New Roman" w:cs="Times New Roman"/>
          <w:b/>
          <w:bCs/>
          <w:sz w:val="18"/>
          <w:szCs w:val="18"/>
          <w:lang w:val="en-US"/>
        </w:rPr>
        <w:t>URE</w:t>
      </w:r>
      <w:r w:rsidRPr="0033284B">
        <w:rPr>
          <w:rFonts w:ascii="Times New Roman" w:hAnsi="Times New Roman" w:cs="Times New Roman"/>
          <w:b/>
          <w:bCs/>
          <w:sz w:val="18"/>
          <w:szCs w:val="18"/>
          <w:lang w:val="en-US"/>
        </w:rPr>
        <w:t xml:space="preserve"> 2. </w:t>
      </w:r>
      <w:r w:rsidR="00B37C50" w:rsidRPr="0033284B">
        <w:rPr>
          <w:rFonts w:ascii="Times New Roman" w:hAnsi="Times New Roman" w:cs="Times New Roman"/>
          <w:sz w:val="18"/>
          <w:szCs w:val="18"/>
          <w:lang w:val="en-US"/>
        </w:rPr>
        <w:t>Monosaccharide levels in solution during hydrolysis</w:t>
      </w:r>
    </w:p>
    <w:p w14:paraId="3BFE7899" w14:textId="38A267DC" w:rsidR="00B37C50" w:rsidRPr="0033284B" w:rsidRDefault="00B37C50" w:rsidP="00541907">
      <w:pPr>
        <w:spacing w:after="0" w:line="240" w:lineRule="auto"/>
        <w:ind w:firstLine="284"/>
        <w:jc w:val="both"/>
        <w:rPr>
          <w:rFonts w:ascii="Times New Roman" w:hAnsi="Times New Roman" w:cs="Times New Roman"/>
          <w:sz w:val="20"/>
          <w:szCs w:val="20"/>
          <w:lang w:val="en-US"/>
        </w:rPr>
      </w:pPr>
      <w:r w:rsidRPr="0033284B">
        <w:rPr>
          <w:rFonts w:ascii="Times New Roman" w:hAnsi="Times New Roman" w:cs="Times New Roman"/>
          <w:sz w:val="20"/>
          <w:szCs w:val="20"/>
          <w:lang w:val="en-US"/>
        </w:rPr>
        <w:t>The chemical reaction rate constant for the re-hydrolysis of the hydrolyzate can be shown as:</w:t>
      </w:r>
    </w:p>
    <w:p w14:paraId="0F7AD867" w14:textId="30785F3D" w:rsidR="00A228F4" w:rsidRPr="0033284B" w:rsidRDefault="00A228F4" w:rsidP="00541907">
      <w:pPr>
        <w:spacing w:before="120" w:after="120" w:line="240" w:lineRule="auto"/>
        <w:ind w:firstLine="284"/>
        <w:jc w:val="right"/>
        <w:rPr>
          <w:rFonts w:ascii="Times New Roman" w:hAnsi="Times New Roman" w:cs="Times New Roman"/>
          <w:noProof/>
          <w:sz w:val="20"/>
          <w:szCs w:val="20"/>
          <w:lang w:val="en-US" w:eastAsia="ru-RU"/>
        </w:rPr>
      </w:pPr>
      <m:oMath>
        <m:r>
          <w:rPr>
            <w:rFonts w:ascii="Cambria Math" w:hAnsi="Cambria Math" w:cs="Times New Roman"/>
            <w:noProof/>
            <w:sz w:val="20"/>
            <w:szCs w:val="20"/>
            <w:lang w:val="en-US" w:eastAsia="ru-RU"/>
          </w:rPr>
          <m:t>k=</m:t>
        </m:r>
        <m:f>
          <m:fPr>
            <m:ctrlPr>
              <w:rPr>
                <w:rFonts w:ascii="Cambria Math" w:hAnsi="Cambria Math" w:cs="Times New Roman"/>
                <w:i/>
                <w:noProof/>
                <w:sz w:val="20"/>
                <w:szCs w:val="20"/>
                <w:lang w:val="en-US" w:eastAsia="ru-RU"/>
              </w:rPr>
            </m:ctrlPr>
          </m:fPr>
          <m:num>
            <m:r>
              <w:rPr>
                <w:rFonts w:ascii="Cambria Math" w:hAnsi="Cambria Math" w:cs="Times New Roman"/>
                <w:noProof/>
                <w:sz w:val="20"/>
                <w:szCs w:val="20"/>
                <w:lang w:val="en-US" w:eastAsia="ru-RU"/>
              </w:rPr>
              <m:t>1</m:t>
            </m:r>
          </m:num>
          <m:den>
            <m:r>
              <w:rPr>
                <w:rFonts w:ascii="Cambria Math" w:hAnsi="Cambria Math" w:cs="Times New Roman"/>
                <w:noProof/>
                <w:sz w:val="20"/>
                <w:szCs w:val="20"/>
                <w:lang w:val="en-US" w:eastAsia="ru-RU"/>
              </w:rPr>
              <m:t>τ</m:t>
            </m:r>
          </m:den>
        </m:f>
        <m:func>
          <m:funcPr>
            <m:ctrlPr>
              <w:rPr>
                <w:rFonts w:ascii="Cambria Math" w:hAnsi="Cambria Math" w:cs="Times New Roman"/>
                <w:i/>
                <w:noProof/>
                <w:sz w:val="20"/>
                <w:szCs w:val="20"/>
                <w:lang w:val="en-US" w:eastAsia="ru-RU"/>
              </w:rPr>
            </m:ctrlPr>
          </m:funcPr>
          <m:fName>
            <m:r>
              <m:rPr>
                <m:sty m:val="p"/>
              </m:rPr>
              <w:rPr>
                <w:rFonts w:ascii="Cambria Math" w:hAnsi="Cambria Math" w:cs="Times New Roman"/>
                <w:noProof/>
                <w:sz w:val="20"/>
                <w:szCs w:val="20"/>
                <w:lang w:val="en-US"/>
              </w:rPr>
              <m:t>ln</m:t>
            </m:r>
          </m:fName>
          <m:e>
            <m:d>
              <m:dPr>
                <m:ctrlPr>
                  <w:rPr>
                    <w:rFonts w:ascii="Cambria Math" w:hAnsi="Cambria Math" w:cs="Times New Roman"/>
                    <w:i/>
                    <w:noProof/>
                    <w:sz w:val="20"/>
                    <w:szCs w:val="20"/>
                    <w:lang w:val="en-US" w:eastAsia="ru-RU"/>
                  </w:rPr>
                </m:ctrlPr>
              </m:dPr>
              <m:e>
                <m:f>
                  <m:fPr>
                    <m:ctrlPr>
                      <w:rPr>
                        <w:rFonts w:ascii="Cambria Math" w:hAnsi="Cambria Math" w:cs="Times New Roman"/>
                        <w:i/>
                        <w:noProof/>
                        <w:sz w:val="20"/>
                        <w:szCs w:val="20"/>
                        <w:lang w:val="en-US" w:eastAsia="ru-RU"/>
                      </w:rPr>
                    </m:ctrlPr>
                  </m:fPr>
                  <m:num>
                    <m:sSub>
                      <m:sSubPr>
                        <m:ctrlPr>
                          <w:rPr>
                            <w:rFonts w:ascii="Cambria Math" w:hAnsi="Cambria Math" w:cs="Times New Roman"/>
                            <w:i/>
                            <w:noProof/>
                            <w:sz w:val="20"/>
                            <w:szCs w:val="20"/>
                            <w:lang w:val="en-US" w:eastAsia="ru-RU"/>
                          </w:rPr>
                        </m:ctrlPr>
                      </m:sSubPr>
                      <m:e>
                        <m:r>
                          <w:rPr>
                            <w:rFonts w:ascii="Cambria Math" w:hAnsi="Cambria Math" w:cs="Times New Roman"/>
                            <w:noProof/>
                            <w:sz w:val="20"/>
                            <w:szCs w:val="20"/>
                            <w:lang w:val="en-US" w:eastAsia="ru-RU"/>
                          </w:rPr>
                          <m:t>C</m:t>
                        </m:r>
                      </m:e>
                      <m:sub>
                        <m:r>
                          <w:rPr>
                            <w:rFonts w:ascii="Cambria Math" w:hAnsi="Cambria Math" w:cs="Times New Roman"/>
                            <w:noProof/>
                            <w:sz w:val="20"/>
                            <w:szCs w:val="20"/>
                            <w:lang w:val="en-US" w:eastAsia="ru-RU"/>
                          </w:rPr>
                          <m:t>m.s.initial</m:t>
                        </m:r>
                      </m:sub>
                    </m:sSub>
                  </m:num>
                  <m:den>
                    <m:sSub>
                      <m:sSubPr>
                        <m:ctrlPr>
                          <w:rPr>
                            <w:rFonts w:ascii="Cambria Math" w:hAnsi="Cambria Math" w:cs="Times New Roman"/>
                            <w:i/>
                            <w:noProof/>
                            <w:sz w:val="20"/>
                            <w:szCs w:val="20"/>
                            <w:lang w:val="en-US" w:eastAsia="ru-RU"/>
                          </w:rPr>
                        </m:ctrlPr>
                      </m:sSubPr>
                      <m:e>
                        <m:r>
                          <w:rPr>
                            <w:rFonts w:ascii="Cambria Math" w:hAnsi="Cambria Math" w:cs="Times New Roman"/>
                            <w:noProof/>
                            <w:sz w:val="20"/>
                            <w:szCs w:val="20"/>
                            <w:lang w:val="en-US" w:eastAsia="ru-RU"/>
                          </w:rPr>
                          <m:t>C</m:t>
                        </m:r>
                      </m:e>
                      <m:sub>
                        <m:r>
                          <w:rPr>
                            <w:rFonts w:ascii="Cambria Math" w:hAnsi="Cambria Math" w:cs="Times New Roman"/>
                            <w:noProof/>
                            <w:sz w:val="20"/>
                            <w:szCs w:val="20"/>
                            <w:lang w:val="en-US" w:eastAsia="ru-RU"/>
                          </w:rPr>
                          <m:t>m.s.final</m:t>
                        </m:r>
                      </m:sub>
                    </m:sSub>
                  </m:den>
                </m:f>
              </m:e>
            </m:d>
          </m:e>
        </m:func>
      </m:oMath>
      <w:r w:rsidR="00541907" w:rsidRPr="0033284B">
        <w:rPr>
          <w:rFonts w:ascii="Times New Roman" w:eastAsiaTheme="minorEastAsia" w:hAnsi="Times New Roman" w:cs="Times New Roman"/>
          <w:noProof/>
          <w:sz w:val="20"/>
          <w:szCs w:val="20"/>
          <w:lang w:val="en-US" w:eastAsia="ru-RU"/>
        </w:rPr>
        <w:tab/>
      </w:r>
      <w:r w:rsidR="00541907" w:rsidRPr="0033284B">
        <w:rPr>
          <w:rFonts w:ascii="Times New Roman" w:eastAsiaTheme="minorEastAsia" w:hAnsi="Times New Roman" w:cs="Times New Roman"/>
          <w:noProof/>
          <w:sz w:val="20"/>
          <w:szCs w:val="20"/>
          <w:lang w:val="en-US" w:eastAsia="ru-RU"/>
        </w:rPr>
        <w:tab/>
      </w:r>
      <w:r w:rsidR="00F41A6A" w:rsidRPr="0033284B">
        <w:rPr>
          <w:rFonts w:ascii="Times New Roman" w:eastAsiaTheme="minorEastAsia" w:hAnsi="Times New Roman" w:cs="Times New Roman"/>
          <w:noProof/>
          <w:sz w:val="20"/>
          <w:szCs w:val="20"/>
          <w:lang w:val="en-US" w:eastAsia="ru-RU"/>
        </w:rPr>
        <w:tab/>
      </w:r>
      <w:r w:rsidR="00541907" w:rsidRPr="0033284B">
        <w:rPr>
          <w:rFonts w:ascii="Times New Roman" w:eastAsiaTheme="minorEastAsia" w:hAnsi="Times New Roman" w:cs="Times New Roman"/>
          <w:noProof/>
          <w:sz w:val="20"/>
          <w:szCs w:val="20"/>
          <w:lang w:val="en-US" w:eastAsia="ru-RU"/>
        </w:rPr>
        <w:tab/>
      </w:r>
      <w:r w:rsidR="00541907" w:rsidRPr="0033284B">
        <w:rPr>
          <w:rFonts w:ascii="Times New Roman" w:eastAsiaTheme="minorEastAsia" w:hAnsi="Times New Roman" w:cs="Times New Roman"/>
          <w:noProof/>
          <w:sz w:val="20"/>
          <w:szCs w:val="20"/>
          <w:lang w:val="en-US" w:eastAsia="ru-RU"/>
        </w:rPr>
        <w:tab/>
      </w:r>
      <w:r w:rsidR="00541907" w:rsidRPr="0033284B">
        <w:rPr>
          <w:rFonts w:ascii="Times New Roman" w:eastAsiaTheme="minorEastAsia" w:hAnsi="Times New Roman" w:cs="Times New Roman"/>
          <w:noProof/>
          <w:sz w:val="20"/>
          <w:szCs w:val="20"/>
          <w:lang w:val="en-US" w:eastAsia="ru-RU"/>
        </w:rPr>
        <w:tab/>
        <w:t>(3)</w:t>
      </w:r>
    </w:p>
    <w:p w14:paraId="5DE34C31" w14:textId="1BA4F103" w:rsidR="00B37C50" w:rsidRPr="0033284B" w:rsidRDefault="00B37C50" w:rsidP="00541907">
      <w:pPr>
        <w:spacing w:after="120" w:line="240" w:lineRule="auto"/>
        <w:ind w:firstLine="284"/>
        <w:jc w:val="both"/>
        <w:rPr>
          <w:rFonts w:ascii="Times New Roman" w:hAnsi="Times New Roman" w:cs="Times New Roman"/>
          <w:sz w:val="20"/>
          <w:szCs w:val="20"/>
          <w:lang w:val="en-US"/>
        </w:rPr>
      </w:pPr>
      <w:r w:rsidRPr="0033284B">
        <w:rPr>
          <w:rFonts w:ascii="Times New Roman" w:hAnsi="Times New Roman" w:cs="Times New Roman"/>
          <w:sz w:val="20"/>
          <w:szCs w:val="20"/>
          <w:lang w:val="en-US"/>
        </w:rPr>
        <w:t>For ease, Table 1 shows the chemical reaction rate constants for hemicellulose, cellulose, and monosaccharides at 150, 160, 170, and 180°C over different time periods, after they were determined.</w:t>
      </w:r>
    </w:p>
    <w:p w14:paraId="43FD1754" w14:textId="15FBFAB5" w:rsidR="00B37C50" w:rsidRPr="0033284B" w:rsidRDefault="0081159F" w:rsidP="002C2CB8">
      <w:pPr>
        <w:spacing w:after="0" w:line="240" w:lineRule="auto"/>
        <w:jc w:val="center"/>
        <w:rPr>
          <w:rFonts w:ascii="Times New Roman" w:hAnsi="Times New Roman" w:cs="Times New Roman"/>
          <w:sz w:val="18"/>
          <w:szCs w:val="18"/>
          <w:lang w:val="en-US"/>
        </w:rPr>
      </w:pPr>
      <w:r w:rsidRPr="0033284B">
        <w:rPr>
          <w:rFonts w:ascii="Times New Roman" w:hAnsi="Times New Roman" w:cs="Times New Roman"/>
          <w:b/>
          <w:bCs/>
          <w:sz w:val="18"/>
          <w:szCs w:val="18"/>
          <w:lang w:val="en-US"/>
        </w:rPr>
        <w:t xml:space="preserve">TABLE </w:t>
      </w:r>
      <w:r w:rsidR="002C2CB8">
        <w:rPr>
          <w:rFonts w:ascii="Times New Roman" w:hAnsi="Times New Roman" w:cs="Times New Roman"/>
          <w:b/>
          <w:bCs/>
          <w:sz w:val="18"/>
          <w:szCs w:val="18"/>
          <w:lang w:val="en-US"/>
        </w:rPr>
        <w:t>1</w:t>
      </w:r>
      <w:r w:rsidR="00541907" w:rsidRPr="0033284B">
        <w:rPr>
          <w:rFonts w:ascii="Times New Roman" w:hAnsi="Times New Roman" w:cs="Times New Roman"/>
          <w:b/>
          <w:bCs/>
          <w:sz w:val="18"/>
          <w:szCs w:val="18"/>
          <w:lang w:val="en-US"/>
        </w:rPr>
        <w:t xml:space="preserve">. </w:t>
      </w:r>
      <w:r w:rsidR="00B37C50" w:rsidRPr="0033284B">
        <w:rPr>
          <w:rFonts w:ascii="Times New Roman" w:hAnsi="Times New Roman" w:cs="Times New Roman"/>
          <w:sz w:val="18"/>
          <w:szCs w:val="18"/>
          <w:lang w:val="en-US"/>
        </w:rPr>
        <w:t>Calculation of the chemical reaction rate constant</w:t>
      </w:r>
    </w:p>
    <w:tbl>
      <w:tblPr>
        <w:tblStyle w:val="TableNormal1"/>
        <w:tblW w:w="72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8"/>
        <w:gridCol w:w="1701"/>
        <w:gridCol w:w="1843"/>
        <w:gridCol w:w="1843"/>
      </w:tblGrid>
      <w:tr w:rsidR="00B37C50" w:rsidRPr="0033284B" w14:paraId="1F90E37C" w14:textId="77777777" w:rsidTr="00C4284A">
        <w:trPr>
          <w:trHeight w:val="321"/>
          <w:jc w:val="center"/>
        </w:trPr>
        <w:tc>
          <w:tcPr>
            <w:tcW w:w="1838" w:type="dxa"/>
            <w:vMerge w:val="restart"/>
            <w:vAlign w:val="center"/>
          </w:tcPr>
          <w:p w14:paraId="2E5F6147" w14:textId="13E2AEAD" w:rsidR="00B37C50" w:rsidRPr="0033284B" w:rsidRDefault="00B37C50" w:rsidP="002E78A6">
            <w:pPr>
              <w:pStyle w:val="TableParagraph"/>
              <w:rPr>
                <w:b/>
                <w:sz w:val="18"/>
                <w:szCs w:val="18"/>
              </w:rPr>
            </w:pPr>
            <w:r w:rsidRPr="0033284B">
              <w:rPr>
                <w:b/>
                <w:sz w:val="18"/>
                <w:szCs w:val="18"/>
              </w:rPr>
              <w:t>Processing time</w:t>
            </w:r>
          </w:p>
        </w:tc>
        <w:tc>
          <w:tcPr>
            <w:tcW w:w="5387" w:type="dxa"/>
            <w:gridSpan w:val="3"/>
            <w:vAlign w:val="center"/>
          </w:tcPr>
          <w:p w14:paraId="1C23AC2C" w14:textId="12347021" w:rsidR="00B37C50" w:rsidRPr="0033284B" w:rsidRDefault="00B37C50" w:rsidP="002E78A6">
            <w:pPr>
              <w:pStyle w:val="TableParagraph"/>
              <w:rPr>
                <w:b/>
                <w:sz w:val="18"/>
                <w:szCs w:val="18"/>
              </w:rPr>
            </w:pPr>
            <w:r w:rsidRPr="0033284B">
              <w:rPr>
                <w:b/>
                <w:sz w:val="18"/>
                <w:szCs w:val="18"/>
              </w:rPr>
              <w:t>Component name</w:t>
            </w:r>
          </w:p>
        </w:tc>
      </w:tr>
      <w:tr w:rsidR="00B37C50" w:rsidRPr="0033284B" w14:paraId="36790442" w14:textId="77777777" w:rsidTr="00C4284A">
        <w:trPr>
          <w:trHeight w:val="321"/>
          <w:jc w:val="center"/>
        </w:trPr>
        <w:tc>
          <w:tcPr>
            <w:tcW w:w="1838" w:type="dxa"/>
            <w:vMerge/>
            <w:tcBorders>
              <w:top w:val="nil"/>
            </w:tcBorders>
            <w:vAlign w:val="center"/>
          </w:tcPr>
          <w:p w14:paraId="1473DB2D" w14:textId="77777777" w:rsidR="00B37C50" w:rsidRPr="0033284B" w:rsidRDefault="00B37C50" w:rsidP="002E78A6">
            <w:pPr>
              <w:jc w:val="center"/>
              <w:rPr>
                <w:sz w:val="18"/>
                <w:szCs w:val="18"/>
              </w:rPr>
            </w:pPr>
          </w:p>
        </w:tc>
        <w:tc>
          <w:tcPr>
            <w:tcW w:w="1701" w:type="dxa"/>
            <w:vAlign w:val="center"/>
          </w:tcPr>
          <w:p w14:paraId="3BABF9A2" w14:textId="05802382" w:rsidR="00B37C50" w:rsidRPr="0033284B" w:rsidRDefault="00B37C50" w:rsidP="002E78A6">
            <w:pPr>
              <w:pStyle w:val="TableParagraph"/>
              <w:rPr>
                <w:b/>
                <w:sz w:val="18"/>
                <w:szCs w:val="18"/>
              </w:rPr>
            </w:pPr>
            <w:r w:rsidRPr="0033284B">
              <w:rPr>
                <w:b/>
                <w:spacing w:val="-2"/>
                <w:sz w:val="18"/>
                <w:szCs w:val="18"/>
              </w:rPr>
              <w:t>Hemicelluloses</w:t>
            </w:r>
          </w:p>
        </w:tc>
        <w:tc>
          <w:tcPr>
            <w:tcW w:w="1843" w:type="dxa"/>
            <w:vAlign w:val="center"/>
          </w:tcPr>
          <w:p w14:paraId="4F947CBD" w14:textId="5B17E84C" w:rsidR="00B37C50" w:rsidRPr="0033284B" w:rsidRDefault="00B37C50" w:rsidP="002E78A6">
            <w:pPr>
              <w:pStyle w:val="TableParagraph"/>
              <w:rPr>
                <w:b/>
                <w:sz w:val="18"/>
                <w:szCs w:val="18"/>
              </w:rPr>
            </w:pPr>
            <w:r w:rsidRPr="0033284B">
              <w:rPr>
                <w:b/>
                <w:spacing w:val="-2"/>
                <w:sz w:val="18"/>
                <w:szCs w:val="18"/>
              </w:rPr>
              <w:t>Celluloses</w:t>
            </w:r>
          </w:p>
        </w:tc>
        <w:tc>
          <w:tcPr>
            <w:tcW w:w="1843" w:type="dxa"/>
            <w:vAlign w:val="center"/>
          </w:tcPr>
          <w:p w14:paraId="0E82440B" w14:textId="0F54E12C" w:rsidR="00B37C50" w:rsidRPr="0033284B" w:rsidRDefault="00B37C50" w:rsidP="002E78A6">
            <w:pPr>
              <w:pStyle w:val="TableParagraph"/>
              <w:rPr>
                <w:b/>
                <w:sz w:val="18"/>
                <w:szCs w:val="18"/>
              </w:rPr>
            </w:pPr>
            <w:r w:rsidRPr="0033284B">
              <w:rPr>
                <w:b/>
                <w:spacing w:val="-2"/>
                <w:sz w:val="18"/>
                <w:szCs w:val="18"/>
              </w:rPr>
              <w:t>Monosaccharides</w:t>
            </w:r>
          </w:p>
        </w:tc>
      </w:tr>
      <w:tr w:rsidR="00B37C50" w:rsidRPr="0033284B" w14:paraId="496E2488" w14:textId="77777777" w:rsidTr="00C4284A">
        <w:trPr>
          <w:trHeight w:val="323"/>
          <w:jc w:val="center"/>
        </w:trPr>
        <w:tc>
          <w:tcPr>
            <w:tcW w:w="1838" w:type="dxa"/>
            <w:vMerge/>
            <w:tcBorders>
              <w:top w:val="nil"/>
            </w:tcBorders>
            <w:vAlign w:val="center"/>
          </w:tcPr>
          <w:p w14:paraId="5BA51C89" w14:textId="77777777" w:rsidR="00B37C50" w:rsidRPr="0033284B" w:rsidRDefault="00B37C50" w:rsidP="002E78A6">
            <w:pPr>
              <w:jc w:val="center"/>
              <w:rPr>
                <w:sz w:val="18"/>
                <w:szCs w:val="18"/>
              </w:rPr>
            </w:pPr>
          </w:p>
        </w:tc>
        <w:tc>
          <w:tcPr>
            <w:tcW w:w="1701" w:type="dxa"/>
            <w:vAlign w:val="center"/>
          </w:tcPr>
          <w:p w14:paraId="68449553" w14:textId="77777777" w:rsidR="00B37C50" w:rsidRPr="0033284B" w:rsidRDefault="00B37C50" w:rsidP="002E78A6">
            <w:pPr>
              <w:pStyle w:val="TableParagraph"/>
              <w:rPr>
                <w:b/>
                <w:sz w:val="18"/>
                <w:szCs w:val="18"/>
              </w:rPr>
            </w:pPr>
            <w:r w:rsidRPr="0033284B">
              <w:rPr>
                <w:b/>
                <w:sz w:val="18"/>
                <w:szCs w:val="18"/>
              </w:rPr>
              <w:t>k,</w:t>
            </w:r>
            <w:r w:rsidRPr="0033284B">
              <w:rPr>
                <w:b/>
                <w:spacing w:val="-4"/>
                <w:sz w:val="18"/>
                <w:szCs w:val="18"/>
              </w:rPr>
              <w:t xml:space="preserve"> </w:t>
            </w:r>
            <w:r w:rsidRPr="0033284B">
              <w:rPr>
                <w:b/>
                <w:sz w:val="18"/>
                <w:szCs w:val="18"/>
              </w:rPr>
              <w:t>с</w:t>
            </w:r>
            <w:r w:rsidRPr="0033284B">
              <w:rPr>
                <w:b/>
                <w:sz w:val="18"/>
                <w:szCs w:val="18"/>
                <w:vertAlign w:val="superscript"/>
              </w:rPr>
              <w:t>-</w:t>
            </w:r>
            <w:r w:rsidRPr="0033284B">
              <w:rPr>
                <w:b/>
                <w:spacing w:val="-10"/>
                <w:sz w:val="18"/>
                <w:szCs w:val="18"/>
                <w:vertAlign w:val="superscript"/>
              </w:rPr>
              <w:t>1</w:t>
            </w:r>
          </w:p>
        </w:tc>
        <w:tc>
          <w:tcPr>
            <w:tcW w:w="1843" w:type="dxa"/>
            <w:vAlign w:val="center"/>
          </w:tcPr>
          <w:p w14:paraId="2A217E06" w14:textId="77777777" w:rsidR="00B37C50" w:rsidRPr="0033284B" w:rsidRDefault="00B37C50" w:rsidP="002E78A6">
            <w:pPr>
              <w:pStyle w:val="TableParagraph"/>
              <w:rPr>
                <w:b/>
                <w:sz w:val="18"/>
                <w:szCs w:val="18"/>
              </w:rPr>
            </w:pPr>
            <w:r w:rsidRPr="0033284B">
              <w:rPr>
                <w:b/>
                <w:sz w:val="18"/>
                <w:szCs w:val="18"/>
              </w:rPr>
              <w:t>k,</w:t>
            </w:r>
            <w:r w:rsidRPr="0033284B">
              <w:rPr>
                <w:b/>
                <w:spacing w:val="-4"/>
                <w:sz w:val="18"/>
                <w:szCs w:val="18"/>
              </w:rPr>
              <w:t xml:space="preserve"> </w:t>
            </w:r>
            <w:r w:rsidRPr="0033284B">
              <w:rPr>
                <w:b/>
                <w:sz w:val="18"/>
                <w:szCs w:val="18"/>
              </w:rPr>
              <w:t>с</w:t>
            </w:r>
            <w:r w:rsidRPr="0033284B">
              <w:rPr>
                <w:b/>
                <w:sz w:val="18"/>
                <w:szCs w:val="18"/>
                <w:vertAlign w:val="superscript"/>
              </w:rPr>
              <w:t>-</w:t>
            </w:r>
            <w:r w:rsidRPr="0033284B">
              <w:rPr>
                <w:b/>
                <w:spacing w:val="-10"/>
                <w:sz w:val="18"/>
                <w:szCs w:val="18"/>
                <w:vertAlign w:val="superscript"/>
              </w:rPr>
              <w:t>1</w:t>
            </w:r>
          </w:p>
        </w:tc>
        <w:tc>
          <w:tcPr>
            <w:tcW w:w="1843" w:type="dxa"/>
            <w:vAlign w:val="center"/>
          </w:tcPr>
          <w:p w14:paraId="61EC8318" w14:textId="77777777" w:rsidR="00B37C50" w:rsidRPr="0033284B" w:rsidRDefault="00B37C50" w:rsidP="002E78A6">
            <w:pPr>
              <w:pStyle w:val="TableParagraph"/>
              <w:rPr>
                <w:b/>
                <w:sz w:val="18"/>
                <w:szCs w:val="18"/>
              </w:rPr>
            </w:pPr>
            <w:r w:rsidRPr="0033284B">
              <w:rPr>
                <w:b/>
                <w:sz w:val="18"/>
                <w:szCs w:val="18"/>
              </w:rPr>
              <w:t>k,</w:t>
            </w:r>
            <w:r w:rsidRPr="0033284B">
              <w:rPr>
                <w:b/>
                <w:spacing w:val="-4"/>
                <w:sz w:val="18"/>
                <w:szCs w:val="18"/>
              </w:rPr>
              <w:t xml:space="preserve"> </w:t>
            </w:r>
            <w:r w:rsidRPr="0033284B">
              <w:rPr>
                <w:b/>
                <w:sz w:val="18"/>
                <w:szCs w:val="18"/>
              </w:rPr>
              <w:t>с</w:t>
            </w:r>
            <w:r w:rsidRPr="0033284B">
              <w:rPr>
                <w:b/>
                <w:sz w:val="18"/>
                <w:szCs w:val="18"/>
                <w:vertAlign w:val="superscript"/>
              </w:rPr>
              <w:t>-</w:t>
            </w:r>
            <w:r w:rsidRPr="0033284B">
              <w:rPr>
                <w:b/>
                <w:spacing w:val="-10"/>
                <w:sz w:val="18"/>
                <w:szCs w:val="18"/>
                <w:vertAlign w:val="superscript"/>
              </w:rPr>
              <w:t>1</w:t>
            </w:r>
          </w:p>
        </w:tc>
      </w:tr>
      <w:tr w:rsidR="00B37C50" w:rsidRPr="0033284B" w14:paraId="453FE8C9" w14:textId="77777777" w:rsidTr="00C4284A">
        <w:trPr>
          <w:trHeight w:val="347"/>
          <w:jc w:val="center"/>
        </w:trPr>
        <w:tc>
          <w:tcPr>
            <w:tcW w:w="1838" w:type="dxa"/>
            <w:tcBorders>
              <w:top w:val="nil"/>
            </w:tcBorders>
            <w:vAlign w:val="center"/>
          </w:tcPr>
          <w:p w14:paraId="217C5611" w14:textId="77777777" w:rsidR="00B37C50" w:rsidRPr="0033284B" w:rsidRDefault="00B37C50" w:rsidP="002E78A6">
            <w:pPr>
              <w:jc w:val="center"/>
              <w:rPr>
                <w:sz w:val="18"/>
                <w:szCs w:val="18"/>
              </w:rPr>
            </w:pPr>
            <w:r w:rsidRPr="0033284B">
              <w:rPr>
                <w:sz w:val="18"/>
                <w:szCs w:val="18"/>
              </w:rPr>
              <w:t>150</w:t>
            </w:r>
            <w:r w:rsidRPr="0033284B">
              <w:rPr>
                <w:spacing w:val="-1"/>
                <w:sz w:val="18"/>
                <w:szCs w:val="18"/>
              </w:rPr>
              <w:t xml:space="preserve"> </w:t>
            </w:r>
            <w:r w:rsidRPr="0033284B">
              <w:rPr>
                <w:spacing w:val="-5"/>
                <w:sz w:val="18"/>
                <w:szCs w:val="18"/>
              </w:rPr>
              <w:t>°C</w:t>
            </w:r>
          </w:p>
        </w:tc>
        <w:tc>
          <w:tcPr>
            <w:tcW w:w="1701" w:type="dxa"/>
            <w:vAlign w:val="center"/>
          </w:tcPr>
          <w:p w14:paraId="39FE89CA" w14:textId="77777777" w:rsidR="00B37C50" w:rsidRPr="0033284B" w:rsidRDefault="00B37C50" w:rsidP="002E78A6">
            <w:pPr>
              <w:pStyle w:val="TableParagraph"/>
              <w:rPr>
                <w:sz w:val="18"/>
                <w:szCs w:val="18"/>
              </w:rPr>
            </w:pPr>
            <w:r w:rsidRPr="0033284B">
              <w:rPr>
                <w:sz w:val="18"/>
                <w:szCs w:val="18"/>
              </w:rPr>
              <w:t>0,00025</w:t>
            </w:r>
          </w:p>
        </w:tc>
        <w:tc>
          <w:tcPr>
            <w:tcW w:w="1843" w:type="dxa"/>
            <w:vAlign w:val="center"/>
          </w:tcPr>
          <w:p w14:paraId="74F8EC63" w14:textId="77777777" w:rsidR="00B37C50" w:rsidRPr="0033284B" w:rsidRDefault="00B37C50" w:rsidP="002E78A6">
            <w:pPr>
              <w:pStyle w:val="TableParagraph"/>
              <w:rPr>
                <w:sz w:val="18"/>
                <w:szCs w:val="18"/>
              </w:rPr>
            </w:pPr>
            <w:r w:rsidRPr="0033284B">
              <w:rPr>
                <w:sz w:val="18"/>
                <w:szCs w:val="18"/>
              </w:rPr>
              <w:t>0,00014</w:t>
            </w:r>
          </w:p>
        </w:tc>
        <w:tc>
          <w:tcPr>
            <w:tcW w:w="1843" w:type="dxa"/>
            <w:vAlign w:val="center"/>
          </w:tcPr>
          <w:p w14:paraId="0C918249" w14:textId="77777777" w:rsidR="00B37C50" w:rsidRPr="0033284B" w:rsidRDefault="00B37C50" w:rsidP="002E78A6">
            <w:pPr>
              <w:pStyle w:val="TableParagraph"/>
              <w:rPr>
                <w:sz w:val="18"/>
                <w:szCs w:val="18"/>
              </w:rPr>
            </w:pPr>
            <w:r w:rsidRPr="0033284B">
              <w:rPr>
                <w:sz w:val="18"/>
                <w:szCs w:val="18"/>
              </w:rPr>
              <w:t>0,00011</w:t>
            </w:r>
          </w:p>
        </w:tc>
      </w:tr>
      <w:tr w:rsidR="00B37C50" w:rsidRPr="0033284B" w14:paraId="3C5B609B" w14:textId="77777777" w:rsidTr="00C4284A">
        <w:trPr>
          <w:trHeight w:val="321"/>
          <w:jc w:val="center"/>
        </w:trPr>
        <w:tc>
          <w:tcPr>
            <w:tcW w:w="1838" w:type="dxa"/>
            <w:vAlign w:val="center"/>
          </w:tcPr>
          <w:p w14:paraId="3FD23EB0" w14:textId="77777777" w:rsidR="00B37C50" w:rsidRPr="0033284B" w:rsidRDefault="00B37C50" w:rsidP="002E78A6">
            <w:pPr>
              <w:pStyle w:val="TableParagraph"/>
              <w:rPr>
                <w:sz w:val="18"/>
                <w:szCs w:val="18"/>
              </w:rPr>
            </w:pPr>
            <w:r w:rsidRPr="0033284B">
              <w:rPr>
                <w:sz w:val="18"/>
                <w:szCs w:val="18"/>
              </w:rPr>
              <w:t>160</w:t>
            </w:r>
            <w:r w:rsidRPr="0033284B">
              <w:rPr>
                <w:spacing w:val="-1"/>
                <w:sz w:val="18"/>
                <w:szCs w:val="18"/>
              </w:rPr>
              <w:t xml:space="preserve"> </w:t>
            </w:r>
            <w:r w:rsidRPr="0033284B">
              <w:rPr>
                <w:spacing w:val="-5"/>
                <w:sz w:val="18"/>
                <w:szCs w:val="18"/>
              </w:rPr>
              <w:t>°C</w:t>
            </w:r>
          </w:p>
        </w:tc>
        <w:tc>
          <w:tcPr>
            <w:tcW w:w="1701" w:type="dxa"/>
            <w:vAlign w:val="center"/>
          </w:tcPr>
          <w:p w14:paraId="7FBBAD57" w14:textId="77777777" w:rsidR="00B37C50" w:rsidRPr="0033284B" w:rsidRDefault="00B37C50" w:rsidP="002E78A6">
            <w:pPr>
              <w:pStyle w:val="TableParagraph"/>
              <w:rPr>
                <w:sz w:val="18"/>
                <w:szCs w:val="18"/>
              </w:rPr>
            </w:pPr>
            <w:r w:rsidRPr="0033284B">
              <w:rPr>
                <w:spacing w:val="-2"/>
                <w:sz w:val="18"/>
                <w:szCs w:val="18"/>
              </w:rPr>
              <w:t>0,0004</w:t>
            </w:r>
          </w:p>
        </w:tc>
        <w:tc>
          <w:tcPr>
            <w:tcW w:w="1843" w:type="dxa"/>
            <w:vAlign w:val="center"/>
          </w:tcPr>
          <w:p w14:paraId="5DF5E6C7" w14:textId="77777777" w:rsidR="00B37C50" w:rsidRPr="0033284B" w:rsidRDefault="00B37C50" w:rsidP="002E78A6">
            <w:pPr>
              <w:pStyle w:val="TableParagraph"/>
              <w:rPr>
                <w:sz w:val="18"/>
                <w:szCs w:val="18"/>
              </w:rPr>
            </w:pPr>
            <w:r w:rsidRPr="0033284B">
              <w:rPr>
                <w:spacing w:val="-2"/>
                <w:sz w:val="18"/>
                <w:szCs w:val="18"/>
              </w:rPr>
              <w:t>0,00023</w:t>
            </w:r>
          </w:p>
        </w:tc>
        <w:tc>
          <w:tcPr>
            <w:tcW w:w="1843" w:type="dxa"/>
            <w:vAlign w:val="center"/>
          </w:tcPr>
          <w:p w14:paraId="3DA34A04" w14:textId="77777777" w:rsidR="00B37C50" w:rsidRPr="0033284B" w:rsidRDefault="00B37C50" w:rsidP="002E78A6">
            <w:pPr>
              <w:pStyle w:val="TableParagraph"/>
              <w:rPr>
                <w:sz w:val="18"/>
                <w:szCs w:val="18"/>
              </w:rPr>
            </w:pPr>
            <w:r w:rsidRPr="0033284B">
              <w:rPr>
                <w:spacing w:val="-2"/>
                <w:sz w:val="18"/>
                <w:szCs w:val="18"/>
              </w:rPr>
              <w:t>0,00014</w:t>
            </w:r>
          </w:p>
        </w:tc>
      </w:tr>
      <w:tr w:rsidR="00B37C50" w:rsidRPr="0033284B" w14:paraId="08D87651" w14:textId="77777777" w:rsidTr="00C4284A">
        <w:trPr>
          <w:trHeight w:val="321"/>
          <w:jc w:val="center"/>
        </w:trPr>
        <w:tc>
          <w:tcPr>
            <w:tcW w:w="1838" w:type="dxa"/>
            <w:vAlign w:val="center"/>
          </w:tcPr>
          <w:p w14:paraId="1895FC64" w14:textId="77777777" w:rsidR="00B37C50" w:rsidRPr="0033284B" w:rsidRDefault="00B37C50" w:rsidP="002E78A6">
            <w:pPr>
              <w:pStyle w:val="TableParagraph"/>
              <w:rPr>
                <w:sz w:val="18"/>
                <w:szCs w:val="18"/>
              </w:rPr>
            </w:pPr>
            <w:r w:rsidRPr="0033284B">
              <w:rPr>
                <w:sz w:val="18"/>
                <w:szCs w:val="18"/>
              </w:rPr>
              <w:t>170</w:t>
            </w:r>
            <w:r w:rsidRPr="0033284B">
              <w:rPr>
                <w:spacing w:val="-1"/>
                <w:sz w:val="18"/>
                <w:szCs w:val="18"/>
              </w:rPr>
              <w:t xml:space="preserve"> </w:t>
            </w:r>
            <w:r w:rsidRPr="0033284B">
              <w:rPr>
                <w:spacing w:val="-5"/>
                <w:sz w:val="18"/>
                <w:szCs w:val="18"/>
              </w:rPr>
              <w:t>°C</w:t>
            </w:r>
          </w:p>
        </w:tc>
        <w:tc>
          <w:tcPr>
            <w:tcW w:w="1701" w:type="dxa"/>
            <w:vAlign w:val="center"/>
          </w:tcPr>
          <w:p w14:paraId="4D005940" w14:textId="77777777" w:rsidR="00B37C50" w:rsidRPr="0033284B" w:rsidRDefault="00B37C50" w:rsidP="002E78A6">
            <w:pPr>
              <w:pStyle w:val="TableParagraph"/>
              <w:rPr>
                <w:sz w:val="18"/>
                <w:szCs w:val="18"/>
              </w:rPr>
            </w:pPr>
            <w:r w:rsidRPr="0033284B">
              <w:rPr>
                <w:spacing w:val="-2"/>
                <w:sz w:val="18"/>
                <w:szCs w:val="18"/>
              </w:rPr>
              <w:t>0,0007</w:t>
            </w:r>
          </w:p>
        </w:tc>
        <w:tc>
          <w:tcPr>
            <w:tcW w:w="1843" w:type="dxa"/>
            <w:vAlign w:val="center"/>
          </w:tcPr>
          <w:p w14:paraId="216CCCAF" w14:textId="77777777" w:rsidR="00B37C50" w:rsidRPr="0033284B" w:rsidRDefault="00B37C50" w:rsidP="002E78A6">
            <w:pPr>
              <w:pStyle w:val="TableParagraph"/>
              <w:rPr>
                <w:sz w:val="18"/>
                <w:szCs w:val="18"/>
              </w:rPr>
            </w:pPr>
            <w:r w:rsidRPr="0033284B">
              <w:rPr>
                <w:spacing w:val="-2"/>
                <w:sz w:val="18"/>
                <w:szCs w:val="18"/>
              </w:rPr>
              <w:t>0,00038</w:t>
            </w:r>
          </w:p>
        </w:tc>
        <w:tc>
          <w:tcPr>
            <w:tcW w:w="1843" w:type="dxa"/>
            <w:vAlign w:val="center"/>
          </w:tcPr>
          <w:p w14:paraId="65F526A5" w14:textId="77777777" w:rsidR="00B37C50" w:rsidRPr="0033284B" w:rsidRDefault="00B37C50" w:rsidP="002E78A6">
            <w:pPr>
              <w:pStyle w:val="TableParagraph"/>
              <w:rPr>
                <w:sz w:val="18"/>
                <w:szCs w:val="18"/>
              </w:rPr>
            </w:pPr>
            <w:r w:rsidRPr="0033284B">
              <w:rPr>
                <w:spacing w:val="-2"/>
                <w:sz w:val="18"/>
                <w:szCs w:val="18"/>
              </w:rPr>
              <w:t>0,00016</w:t>
            </w:r>
          </w:p>
        </w:tc>
      </w:tr>
      <w:tr w:rsidR="00B37C50" w:rsidRPr="0033284B" w14:paraId="1F2A414A" w14:textId="77777777" w:rsidTr="00C4284A">
        <w:trPr>
          <w:trHeight w:val="323"/>
          <w:jc w:val="center"/>
        </w:trPr>
        <w:tc>
          <w:tcPr>
            <w:tcW w:w="1838" w:type="dxa"/>
            <w:vAlign w:val="center"/>
          </w:tcPr>
          <w:p w14:paraId="733FA3E4" w14:textId="77777777" w:rsidR="00B37C50" w:rsidRPr="0033284B" w:rsidRDefault="00B37C50" w:rsidP="002E78A6">
            <w:pPr>
              <w:pStyle w:val="TableParagraph"/>
              <w:rPr>
                <w:sz w:val="18"/>
                <w:szCs w:val="18"/>
              </w:rPr>
            </w:pPr>
            <w:r w:rsidRPr="0033284B">
              <w:rPr>
                <w:sz w:val="18"/>
                <w:szCs w:val="18"/>
              </w:rPr>
              <w:t>180</w:t>
            </w:r>
            <w:r w:rsidRPr="0033284B">
              <w:rPr>
                <w:spacing w:val="-1"/>
                <w:sz w:val="18"/>
                <w:szCs w:val="18"/>
              </w:rPr>
              <w:t xml:space="preserve"> </w:t>
            </w:r>
            <w:r w:rsidRPr="0033284B">
              <w:rPr>
                <w:spacing w:val="-5"/>
                <w:sz w:val="18"/>
                <w:szCs w:val="18"/>
              </w:rPr>
              <w:t>°C</w:t>
            </w:r>
          </w:p>
        </w:tc>
        <w:tc>
          <w:tcPr>
            <w:tcW w:w="1701" w:type="dxa"/>
            <w:vAlign w:val="center"/>
          </w:tcPr>
          <w:p w14:paraId="6B7F50F2" w14:textId="77777777" w:rsidR="00B37C50" w:rsidRPr="0033284B" w:rsidRDefault="00B37C50" w:rsidP="002E78A6">
            <w:pPr>
              <w:pStyle w:val="TableParagraph"/>
              <w:rPr>
                <w:sz w:val="18"/>
                <w:szCs w:val="18"/>
              </w:rPr>
            </w:pPr>
            <w:r w:rsidRPr="0033284B">
              <w:rPr>
                <w:spacing w:val="-2"/>
                <w:sz w:val="18"/>
                <w:szCs w:val="18"/>
              </w:rPr>
              <w:t>0,0013</w:t>
            </w:r>
          </w:p>
        </w:tc>
        <w:tc>
          <w:tcPr>
            <w:tcW w:w="1843" w:type="dxa"/>
            <w:vAlign w:val="center"/>
          </w:tcPr>
          <w:p w14:paraId="0E513C25" w14:textId="77777777" w:rsidR="00B37C50" w:rsidRPr="0033284B" w:rsidRDefault="00B37C50" w:rsidP="002E78A6">
            <w:pPr>
              <w:pStyle w:val="TableParagraph"/>
              <w:rPr>
                <w:sz w:val="18"/>
                <w:szCs w:val="18"/>
              </w:rPr>
            </w:pPr>
            <w:r w:rsidRPr="0033284B">
              <w:rPr>
                <w:spacing w:val="-2"/>
                <w:sz w:val="18"/>
                <w:szCs w:val="18"/>
              </w:rPr>
              <w:t>0,00053</w:t>
            </w:r>
          </w:p>
        </w:tc>
        <w:tc>
          <w:tcPr>
            <w:tcW w:w="1843" w:type="dxa"/>
            <w:vAlign w:val="center"/>
          </w:tcPr>
          <w:p w14:paraId="5D7CFE07" w14:textId="77777777" w:rsidR="00B37C50" w:rsidRPr="0033284B" w:rsidRDefault="00B37C50" w:rsidP="002E78A6">
            <w:pPr>
              <w:pStyle w:val="TableParagraph"/>
              <w:rPr>
                <w:sz w:val="18"/>
                <w:szCs w:val="18"/>
              </w:rPr>
            </w:pPr>
            <w:r w:rsidRPr="0033284B">
              <w:rPr>
                <w:spacing w:val="-2"/>
                <w:sz w:val="18"/>
                <w:szCs w:val="18"/>
              </w:rPr>
              <w:t>0,00019</w:t>
            </w:r>
          </w:p>
        </w:tc>
      </w:tr>
    </w:tbl>
    <w:p w14:paraId="5D29E893" w14:textId="10D9DD03" w:rsidR="0053440D" w:rsidRPr="0033284B" w:rsidRDefault="0053440D" w:rsidP="002C2CB8">
      <w:pPr>
        <w:spacing w:before="120" w:after="0" w:line="240" w:lineRule="auto"/>
        <w:ind w:firstLine="284"/>
        <w:jc w:val="both"/>
        <w:rPr>
          <w:rFonts w:ascii="Times New Roman" w:hAnsi="Times New Roman" w:cs="Times New Roman"/>
          <w:sz w:val="20"/>
          <w:szCs w:val="20"/>
          <w:lang w:val="en-US"/>
        </w:rPr>
      </w:pPr>
      <w:r w:rsidRPr="0033284B">
        <w:rPr>
          <w:rFonts w:ascii="Times New Roman" w:hAnsi="Times New Roman" w:cs="Times New Roman"/>
          <w:sz w:val="20"/>
          <w:szCs w:val="20"/>
          <w:lang w:val="en-US"/>
        </w:rPr>
        <w:t>Based on the data, the reaction rate constant for hemicellulose formation at 150 °C is 0.00025 s⁻¹, and it increases notably as the temperature rises. For instance, there are increases of +60% from 150 °C to 160 °C, +75% from 160 °C to 170 °C, and +86% from 170 °C to 180 °C, which is typical for an exothermic reaction. Hemicellulose is a component that degrades easily, with this process starting in the initial hydrolysis stage.</w:t>
      </w:r>
    </w:p>
    <w:p w14:paraId="540BED89" w14:textId="0BF375B1" w:rsidR="0053440D" w:rsidRPr="0033284B" w:rsidRDefault="0053440D" w:rsidP="00541907">
      <w:pPr>
        <w:spacing w:after="0" w:line="240" w:lineRule="auto"/>
        <w:ind w:firstLine="284"/>
        <w:jc w:val="both"/>
        <w:rPr>
          <w:rFonts w:ascii="Times New Roman" w:hAnsi="Times New Roman" w:cs="Times New Roman"/>
          <w:sz w:val="20"/>
          <w:szCs w:val="20"/>
          <w:lang w:val="en-US"/>
        </w:rPr>
      </w:pPr>
      <w:r w:rsidRPr="0033284B">
        <w:rPr>
          <w:rFonts w:ascii="Times New Roman" w:hAnsi="Times New Roman" w:cs="Times New Roman"/>
          <w:sz w:val="20"/>
          <w:szCs w:val="20"/>
          <w:lang w:val="en-US"/>
        </w:rPr>
        <w:t xml:space="preserve">Looking at cellulose formation, the approximate rate constant at 150 °C is 0.00014 s⁻¹, with a lower rate increase of +64% from 150 °C to 160 °C, +65% from 160 °C to 170 °C, and +39% from 170 °C to 180 °C. Cellulose is more </w:t>
      </w:r>
      <w:r w:rsidRPr="0033284B">
        <w:rPr>
          <w:rFonts w:ascii="Times New Roman" w:hAnsi="Times New Roman" w:cs="Times New Roman"/>
          <w:sz w:val="20"/>
          <w:szCs w:val="20"/>
          <w:lang w:val="en-US"/>
        </w:rPr>
        <w:lastRenderedPageBreak/>
        <w:t>stable and, therefore, more resistant to temperature. However, the reaction rate increases considerably between 170 °C and 180 °C.</w:t>
      </w:r>
    </w:p>
    <w:p w14:paraId="0CCC18A3" w14:textId="21A5935D" w:rsidR="0053440D" w:rsidRPr="0033284B" w:rsidRDefault="0053440D" w:rsidP="00541907">
      <w:pPr>
        <w:spacing w:after="0" w:line="240" w:lineRule="auto"/>
        <w:ind w:firstLine="284"/>
        <w:jc w:val="both"/>
        <w:rPr>
          <w:rFonts w:ascii="Times New Roman" w:hAnsi="Times New Roman" w:cs="Times New Roman"/>
          <w:sz w:val="20"/>
          <w:szCs w:val="20"/>
          <w:lang w:val="en-US"/>
        </w:rPr>
      </w:pPr>
      <w:r w:rsidRPr="0033284B">
        <w:rPr>
          <w:rFonts w:ascii="Times New Roman" w:hAnsi="Times New Roman" w:cs="Times New Roman"/>
          <w:sz w:val="20"/>
          <w:szCs w:val="20"/>
          <w:lang w:val="en-US"/>
        </w:rPr>
        <w:t xml:space="preserve">For monosaccharide formation, the rate constant at 150 °C is 0.00011 s⁻¹, rising slightly with temperature, such as +27% from 150 °C to 160 °C, +14% from 160 °C to 170 °C, and +19% from 170 °C to 180 °C. This component both forms and decomposes into products like furfural, acetic acid, and </w:t>
      </w:r>
      <w:r w:rsidR="00AD00A8" w:rsidRPr="0033284B">
        <w:rPr>
          <w:rFonts w:ascii="Times New Roman" w:hAnsi="Times New Roman" w:cs="Times New Roman"/>
          <w:sz w:val="20"/>
          <w:szCs w:val="20"/>
          <w:lang w:val="en-US"/>
        </w:rPr>
        <w:t>formats</w:t>
      </w:r>
      <w:r w:rsidRPr="0033284B">
        <w:rPr>
          <w:rFonts w:ascii="Times New Roman" w:hAnsi="Times New Roman" w:cs="Times New Roman"/>
          <w:sz w:val="20"/>
          <w:szCs w:val="20"/>
          <w:lang w:val="en-US"/>
        </w:rPr>
        <w:t>, which slows the overall reaction rate increase. In short, 150 °C is a slow initial stage for the hydrolysis process, where components begin to react but with low efficiency.</w:t>
      </w:r>
    </w:p>
    <w:p w14:paraId="1A83652F" w14:textId="33D2E833" w:rsidR="0053440D" w:rsidRPr="0033284B" w:rsidRDefault="0053440D" w:rsidP="00541907">
      <w:pPr>
        <w:spacing w:after="0" w:line="240" w:lineRule="auto"/>
        <w:ind w:firstLine="284"/>
        <w:jc w:val="both"/>
        <w:rPr>
          <w:rFonts w:ascii="Times New Roman" w:hAnsi="Times New Roman" w:cs="Times New Roman"/>
          <w:sz w:val="20"/>
          <w:szCs w:val="20"/>
          <w:lang w:val="en-US"/>
        </w:rPr>
      </w:pPr>
      <w:r w:rsidRPr="0033284B">
        <w:rPr>
          <w:rFonts w:ascii="Times New Roman" w:hAnsi="Times New Roman" w:cs="Times New Roman"/>
          <w:sz w:val="20"/>
          <w:szCs w:val="20"/>
          <w:lang w:val="en-US"/>
        </w:rPr>
        <w:t>The ranges for optimum temperatures are: hemicellulose at 160-170 °C, as it is a quickly degrading component; cellulose at 170-180 °C, which has a more stable structure but becomes active at higher temperatures; and monosaccharides, which have more of a balance between formation and decomposition, with formation increasing at higher temperatures but with a higher risk of decomposition.</w:t>
      </w:r>
    </w:p>
    <w:p w14:paraId="7750646D" w14:textId="68758B6D" w:rsidR="00CF0693" w:rsidRPr="0033284B" w:rsidRDefault="00377799" w:rsidP="002C2CB8">
      <w:pPr>
        <w:spacing w:before="240" w:after="240" w:line="240" w:lineRule="auto"/>
        <w:jc w:val="center"/>
        <w:rPr>
          <w:rFonts w:ascii="Times New Roman" w:hAnsi="Times New Roman" w:cs="Times New Roman"/>
          <w:sz w:val="20"/>
          <w:szCs w:val="20"/>
          <w:lang w:val="en-US"/>
        </w:rPr>
      </w:pPr>
      <w:r w:rsidRPr="0033284B">
        <w:rPr>
          <w:rFonts w:ascii="Times New Roman" w:hAnsi="Times New Roman" w:cs="Times New Roman"/>
          <w:b/>
          <w:bCs/>
          <w:sz w:val="24"/>
          <w:szCs w:val="24"/>
          <w:lang w:val="en-US"/>
        </w:rPr>
        <w:t>CONCLUSION</w:t>
      </w:r>
    </w:p>
    <w:p w14:paraId="0C943FC7" w14:textId="4F2E358B" w:rsidR="00B37C50" w:rsidRPr="0033284B" w:rsidRDefault="00CF0693" w:rsidP="00541907">
      <w:pPr>
        <w:spacing w:after="0" w:line="240" w:lineRule="auto"/>
        <w:ind w:firstLine="284"/>
        <w:jc w:val="both"/>
        <w:rPr>
          <w:rFonts w:ascii="Times New Roman" w:hAnsi="Times New Roman" w:cs="Times New Roman"/>
          <w:sz w:val="20"/>
          <w:szCs w:val="20"/>
          <w:lang w:val="en-US"/>
        </w:rPr>
      </w:pPr>
      <w:r w:rsidRPr="0033284B">
        <w:rPr>
          <w:rFonts w:ascii="Times New Roman" w:hAnsi="Times New Roman" w:cs="Times New Roman"/>
          <w:sz w:val="20"/>
          <w:szCs w:val="20"/>
          <w:lang w:val="en-US"/>
        </w:rPr>
        <w:t>A</w:t>
      </w:r>
      <w:r w:rsidR="0053440D" w:rsidRPr="0033284B">
        <w:rPr>
          <w:rFonts w:ascii="Times New Roman" w:hAnsi="Times New Roman" w:cs="Times New Roman"/>
          <w:sz w:val="20"/>
          <w:szCs w:val="20"/>
          <w:lang w:val="en-US"/>
        </w:rPr>
        <w:t xml:space="preserve"> study was done on the sulfite acid hydrolysis of wood raw material, detailing its physical and chemical properties and its kinetic parameters related to temperature. The results showed that the hydrolysis process has a heterophase nature, including capillary impregnation, component decomposition, and the transfer of created products into the solution. The analysis used raw material consisting of a fraction of poplar wood up to 2 mm and a 5% solution of sulfite acid. As temperature increased, so did the reaction rate constants for hemicellulose, cellulose, and monosaccharides. Hydrolysis begins slowly at 150 °C, but reactions become notably active between 150-180 °C. Hemicellulose, the fastest degrading component, showed a maximum k = 0.0013 s⁻¹ at 180 °C. Cellulose and monosaccharides reacted more slowly but with a stable rate. Amounts of reducing substances in the hydrolyzate were found using the MacKenna-Shoorl method. The study included an examination of the created products. The key rate constants needed for mathematical modeling of hydrolysis kinetics were determined based on this data. Results point to wood raw materials, especially poplar wood, as an efficient and economically suitable material for sulfite acid hydrolysis. The liquid fractions created are hopeful for use in biotechnology and biopolymer production, and solid residues could be a source of energy or fillers for composite materials.</w:t>
      </w:r>
    </w:p>
    <w:p w14:paraId="0B015F2A" w14:textId="3022CC62" w:rsidR="00BA67E1" w:rsidRPr="0033284B" w:rsidRDefault="00377799" w:rsidP="00541907">
      <w:pPr>
        <w:spacing w:before="240" w:after="240" w:line="240" w:lineRule="auto"/>
        <w:ind w:firstLine="284"/>
        <w:jc w:val="center"/>
        <w:rPr>
          <w:rFonts w:ascii="Times New Roman" w:hAnsi="Times New Roman" w:cs="Times New Roman"/>
          <w:b/>
          <w:bCs/>
          <w:sz w:val="20"/>
          <w:szCs w:val="20"/>
          <w:lang w:val="en-US"/>
        </w:rPr>
      </w:pPr>
      <w:r w:rsidRPr="0033284B">
        <w:rPr>
          <w:rFonts w:ascii="Times New Roman" w:hAnsi="Times New Roman" w:cs="Times New Roman"/>
          <w:b/>
          <w:bCs/>
          <w:sz w:val="24"/>
          <w:szCs w:val="24"/>
          <w:lang w:val="en-US"/>
        </w:rPr>
        <w:t>REFERENCES</w:t>
      </w:r>
    </w:p>
    <w:bookmarkEnd w:id="1"/>
    <w:p w14:paraId="7B14F3F6" w14:textId="14231A05" w:rsidR="00CA5C2E" w:rsidRPr="00CA5C2E" w:rsidRDefault="00CA5C2E" w:rsidP="00CA5C2E">
      <w:pPr>
        <w:pStyle w:val="ab"/>
        <w:numPr>
          <w:ilvl w:val="0"/>
          <w:numId w:val="2"/>
        </w:numPr>
        <w:spacing w:before="0" w:beforeAutospacing="0" w:after="0" w:afterAutospacing="0"/>
        <w:ind w:left="425" w:hanging="425"/>
        <w:jc w:val="both"/>
        <w:rPr>
          <w:sz w:val="20"/>
          <w:szCs w:val="20"/>
          <w:lang w:val="en-US"/>
        </w:rPr>
      </w:pPr>
      <w:r w:rsidRPr="00CA5C2E">
        <w:rPr>
          <w:sz w:val="20"/>
          <w:szCs w:val="20"/>
          <w:lang w:val="en-US"/>
        </w:rPr>
        <w:t xml:space="preserve">M. Dashtban, A. Gilbert, and P. Fatehi, “A combined adsorption and flocculation process for producing lignocellulosic complexes from spent liquors of neutral sulfite semichemical pulping process,” </w:t>
      </w:r>
      <w:r w:rsidRPr="00CA5C2E">
        <w:rPr>
          <w:rStyle w:val="ac"/>
          <w:sz w:val="20"/>
          <w:szCs w:val="20"/>
          <w:lang w:val="en-US"/>
        </w:rPr>
        <w:t>Bioresour. Technol.</w:t>
      </w:r>
      <w:r w:rsidRPr="00CA5C2E">
        <w:rPr>
          <w:sz w:val="20"/>
          <w:szCs w:val="20"/>
          <w:lang w:val="en-US"/>
        </w:rPr>
        <w:t xml:space="preserve"> </w:t>
      </w:r>
      <w:r w:rsidRPr="00CA5C2E">
        <w:rPr>
          <w:rStyle w:val="ad"/>
          <w:sz w:val="20"/>
          <w:szCs w:val="20"/>
          <w:lang w:val="en-US"/>
        </w:rPr>
        <w:t>159</w:t>
      </w:r>
      <w:r w:rsidRPr="00CA5C2E">
        <w:rPr>
          <w:sz w:val="20"/>
          <w:szCs w:val="20"/>
          <w:lang w:val="en-US"/>
        </w:rPr>
        <w:t>, 373–379 (2014). https://doi.org/10.1016/j.biortech.2014.03.006.</w:t>
      </w:r>
    </w:p>
    <w:p w14:paraId="6DE0120F" w14:textId="0ACCB866" w:rsidR="00CA5C2E" w:rsidRPr="00CA5C2E" w:rsidRDefault="00CA5C2E" w:rsidP="00CA5C2E">
      <w:pPr>
        <w:pStyle w:val="ab"/>
        <w:numPr>
          <w:ilvl w:val="0"/>
          <w:numId w:val="2"/>
        </w:numPr>
        <w:spacing w:before="0" w:beforeAutospacing="0" w:after="0" w:afterAutospacing="0"/>
        <w:ind w:left="425" w:hanging="425"/>
        <w:jc w:val="both"/>
        <w:rPr>
          <w:sz w:val="20"/>
          <w:szCs w:val="20"/>
          <w:lang w:val="en-US"/>
        </w:rPr>
      </w:pPr>
      <w:r w:rsidRPr="00CA5C2E">
        <w:rPr>
          <w:sz w:val="20"/>
          <w:szCs w:val="20"/>
          <w:lang w:val="en-US"/>
        </w:rPr>
        <w:t xml:space="preserve">F. Oveissi and P. Fatehi, “Production of modified bentonite via adsorbing lignocelluloses from spent liquor of NSSC process,” </w:t>
      </w:r>
      <w:r w:rsidRPr="00CA5C2E">
        <w:rPr>
          <w:rStyle w:val="ac"/>
          <w:sz w:val="20"/>
          <w:szCs w:val="20"/>
          <w:lang w:val="en-US"/>
        </w:rPr>
        <w:t>Bioresour. Technol.</w:t>
      </w:r>
      <w:r w:rsidRPr="00CA5C2E">
        <w:rPr>
          <w:sz w:val="20"/>
          <w:szCs w:val="20"/>
          <w:lang w:val="en-US"/>
        </w:rPr>
        <w:t xml:space="preserve"> </w:t>
      </w:r>
      <w:r w:rsidRPr="00CA5C2E">
        <w:rPr>
          <w:rStyle w:val="ad"/>
          <w:sz w:val="20"/>
          <w:szCs w:val="20"/>
          <w:lang w:val="en-US"/>
        </w:rPr>
        <w:t>174</w:t>
      </w:r>
      <w:r w:rsidRPr="00CA5C2E">
        <w:rPr>
          <w:sz w:val="20"/>
          <w:szCs w:val="20"/>
          <w:lang w:val="en-US"/>
        </w:rPr>
        <w:t>, 152–158 (2014). https://doi.org/10.1016/j.biortech.2014.10.014.</w:t>
      </w:r>
    </w:p>
    <w:p w14:paraId="4821C6A7" w14:textId="6ACAE397" w:rsidR="00CA5C2E" w:rsidRPr="00CA5C2E" w:rsidRDefault="00CA5C2E" w:rsidP="00CA5C2E">
      <w:pPr>
        <w:pStyle w:val="ab"/>
        <w:numPr>
          <w:ilvl w:val="0"/>
          <w:numId w:val="2"/>
        </w:numPr>
        <w:spacing w:before="0" w:beforeAutospacing="0" w:after="0" w:afterAutospacing="0"/>
        <w:ind w:left="425" w:hanging="425"/>
        <w:jc w:val="both"/>
        <w:rPr>
          <w:sz w:val="20"/>
          <w:szCs w:val="20"/>
          <w:lang w:val="en-US"/>
        </w:rPr>
      </w:pPr>
      <w:r w:rsidRPr="00CA5C2E">
        <w:rPr>
          <w:sz w:val="20"/>
          <w:szCs w:val="20"/>
          <w:lang w:val="en-US"/>
        </w:rPr>
        <w:t xml:space="preserve">S. Liu, H. Lu, R. Hu, A. Shupe, L. Lin, and B. Liang, “A sustainable woody biomass biorefinery,” </w:t>
      </w:r>
      <w:r w:rsidRPr="00CA5C2E">
        <w:rPr>
          <w:rStyle w:val="ac"/>
          <w:sz w:val="20"/>
          <w:szCs w:val="20"/>
          <w:lang w:val="en-US"/>
        </w:rPr>
        <w:t>Biotechnol. Adv.</w:t>
      </w:r>
      <w:r w:rsidRPr="00CA5C2E">
        <w:rPr>
          <w:sz w:val="20"/>
          <w:szCs w:val="20"/>
          <w:lang w:val="en-US"/>
        </w:rPr>
        <w:t xml:space="preserve"> </w:t>
      </w:r>
      <w:r w:rsidRPr="00CA5C2E">
        <w:rPr>
          <w:rStyle w:val="ad"/>
          <w:sz w:val="20"/>
          <w:szCs w:val="20"/>
          <w:lang w:val="en-US"/>
        </w:rPr>
        <w:t>30</w:t>
      </w:r>
      <w:r w:rsidRPr="00CA5C2E">
        <w:rPr>
          <w:sz w:val="20"/>
          <w:szCs w:val="20"/>
          <w:lang w:val="en-US"/>
        </w:rPr>
        <w:t>(4), 785–810 (2012). https://doi.org/10.1016/j.biotechadv.2012.01.013.</w:t>
      </w:r>
    </w:p>
    <w:p w14:paraId="52CEE296" w14:textId="0489FD16" w:rsidR="00CA5C2E" w:rsidRPr="00CA5C2E" w:rsidRDefault="00CA5C2E" w:rsidP="00CA5C2E">
      <w:pPr>
        <w:pStyle w:val="ab"/>
        <w:numPr>
          <w:ilvl w:val="0"/>
          <w:numId w:val="2"/>
        </w:numPr>
        <w:spacing w:before="0" w:beforeAutospacing="0" w:after="0" w:afterAutospacing="0"/>
        <w:ind w:left="425" w:hanging="425"/>
        <w:jc w:val="both"/>
        <w:rPr>
          <w:sz w:val="20"/>
          <w:szCs w:val="20"/>
          <w:lang w:val="en-US"/>
        </w:rPr>
      </w:pPr>
      <w:r w:rsidRPr="00CA5C2E">
        <w:rPr>
          <w:sz w:val="20"/>
          <w:szCs w:val="20"/>
          <w:lang w:val="en-US"/>
        </w:rPr>
        <w:t xml:space="preserve">E. Egamberdiev, Y. Ergashev, N. Lutfullaeva, U. Alamov, S. Shamuratova, I. Usmanxadjaeva, A. Tukhtamushova, and B. Saparov, “Physico-chemical research of the processes of hydration of cements,” </w:t>
      </w:r>
      <w:r w:rsidRPr="00CA5C2E">
        <w:rPr>
          <w:rStyle w:val="ac"/>
          <w:sz w:val="20"/>
          <w:szCs w:val="20"/>
          <w:lang w:val="en-US"/>
        </w:rPr>
        <w:t>E3S Web Conf.</w:t>
      </w:r>
      <w:r w:rsidRPr="00CA5C2E">
        <w:rPr>
          <w:sz w:val="20"/>
          <w:szCs w:val="20"/>
          <w:lang w:val="en-US"/>
        </w:rPr>
        <w:t xml:space="preserve"> </w:t>
      </w:r>
      <w:r w:rsidRPr="00CA5C2E">
        <w:rPr>
          <w:rStyle w:val="ad"/>
          <w:sz w:val="20"/>
          <w:szCs w:val="20"/>
          <w:lang w:val="en-US"/>
        </w:rPr>
        <w:t>497</w:t>
      </w:r>
      <w:r w:rsidRPr="00CA5C2E">
        <w:rPr>
          <w:sz w:val="20"/>
          <w:szCs w:val="20"/>
          <w:lang w:val="en-US"/>
        </w:rPr>
        <w:t>, 02034 (2024). https://doi.org/10.1051/e3sconf/202449702034.</w:t>
      </w:r>
    </w:p>
    <w:p w14:paraId="65D7803D" w14:textId="3CBEF7C1" w:rsidR="00CA5C2E" w:rsidRPr="00CA5C2E" w:rsidRDefault="00CA5C2E" w:rsidP="00CA5C2E">
      <w:pPr>
        <w:pStyle w:val="ab"/>
        <w:numPr>
          <w:ilvl w:val="0"/>
          <w:numId w:val="2"/>
        </w:numPr>
        <w:spacing w:before="0" w:beforeAutospacing="0" w:after="0" w:afterAutospacing="0"/>
        <w:ind w:left="425" w:hanging="425"/>
        <w:jc w:val="both"/>
        <w:rPr>
          <w:sz w:val="20"/>
          <w:szCs w:val="20"/>
          <w:lang w:val="en-US"/>
        </w:rPr>
      </w:pPr>
      <w:r w:rsidRPr="00CA5C2E">
        <w:rPr>
          <w:sz w:val="20"/>
          <w:szCs w:val="20"/>
          <w:lang w:val="en-US"/>
        </w:rPr>
        <w:t xml:space="preserve">T. Aro and P. Fatehi, “Production and application of lignosulfonates and sulfonated lignin,” </w:t>
      </w:r>
      <w:r w:rsidRPr="00CA5C2E">
        <w:rPr>
          <w:rStyle w:val="ac"/>
          <w:sz w:val="20"/>
          <w:szCs w:val="20"/>
          <w:lang w:val="en-US"/>
        </w:rPr>
        <w:t>ChemSusChem</w:t>
      </w:r>
      <w:r w:rsidRPr="00CA5C2E">
        <w:rPr>
          <w:sz w:val="20"/>
          <w:szCs w:val="20"/>
          <w:lang w:val="en-US"/>
        </w:rPr>
        <w:t xml:space="preserve"> </w:t>
      </w:r>
      <w:r w:rsidRPr="00CA5C2E">
        <w:rPr>
          <w:rStyle w:val="ad"/>
          <w:sz w:val="20"/>
          <w:szCs w:val="20"/>
          <w:lang w:val="en-US"/>
        </w:rPr>
        <w:t>10</w:t>
      </w:r>
      <w:r w:rsidRPr="00CA5C2E">
        <w:rPr>
          <w:sz w:val="20"/>
          <w:szCs w:val="20"/>
          <w:lang w:val="en-US"/>
        </w:rPr>
        <w:t>(9), 1861–1877 (2017). https://doi.org/10.1002/cssc.201700082.</w:t>
      </w:r>
    </w:p>
    <w:p w14:paraId="175F85A5" w14:textId="05337AE3" w:rsidR="00CA5C2E" w:rsidRPr="00CA5C2E" w:rsidRDefault="00CA5C2E" w:rsidP="00CA5C2E">
      <w:pPr>
        <w:pStyle w:val="ab"/>
        <w:numPr>
          <w:ilvl w:val="0"/>
          <w:numId w:val="2"/>
        </w:numPr>
        <w:spacing w:before="0" w:beforeAutospacing="0" w:after="0" w:afterAutospacing="0"/>
        <w:ind w:left="425" w:hanging="425"/>
        <w:jc w:val="both"/>
        <w:rPr>
          <w:sz w:val="20"/>
          <w:szCs w:val="20"/>
          <w:lang w:val="en-US"/>
        </w:rPr>
      </w:pPr>
      <w:r w:rsidRPr="00CA5C2E">
        <w:rPr>
          <w:sz w:val="20"/>
          <w:szCs w:val="20"/>
          <w:lang w:val="en-US"/>
        </w:rPr>
        <w:t xml:space="preserve">G. Brodeur, E. Yau, K. Badal, J. Collier, K. B. Ramachandran, and S. Ramakrishnan, “Chemical and physicochemical pretreatment of lignocellulosic biomass: A review,” </w:t>
      </w:r>
      <w:r w:rsidRPr="00CA5C2E">
        <w:rPr>
          <w:rStyle w:val="ac"/>
          <w:sz w:val="20"/>
          <w:szCs w:val="20"/>
          <w:lang w:val="en-US"/>
        </w:rPr>
        <w:t>Enzyme Res.</w:t>
      </w:r>
      <w:r w:rsidRPr="00CA5C2E">
        <w:rPr>
          <w:sz w:val="20"/>
          <w:szCs w:val="20"/>
          <w:lang w:val="en-US"/>
        </w:rPr>
        <w:t xml:space="preserve"> </w:t>
      </w:r>
      <w:r w:rsidRPr="00CA5C2E">
        <w:rPr>
          <w:rStyle w:val="ad"/>
          <w:sz w:val="20"/>
          <w:szCs w:val="20"/>
          <w:lang w:val="en-US"/>
        </w:rPr>
        <w:t>2011</w:t>
      </w:r>
      <w:r w:rsidRPr="00CA5C2E">
        <w:rPr>
          <w:sz w:val="20"/>
          <w:szCs w:val="20"/>
          <w:lang w:val="en-US"/>
        </w:rPr>
        <w:t>, 787532 (2011). https://doi.org/10.4061/2011/787532.</w:t>
      </w:r>
    </w:p>
    <w:p w14:paraId="4696CA7B" w14:textId="22FE0CCA" w:rsidR="00CA5C2E" w:rsidRPr="00CA5C2E" w:rsidRDefault="00CA5C2E" w:rsidP="00CA5C2E">
      <w:pPr>
        <w:pStyle w:val="ab"/>
        <w:numPr>
          <w:ilvl w:val="0"/>
          <w:numId w:val="2"/>
        </w:numPr>
        <w:spacing w:before="0" w:beforeAutospacing="0" w:after="0" w:afterAutospacing="0"/>
        <w:ind w:left="425" w:hanging="425"/>
        <w:jc w:val="both"/>
        <w:rPr>
          <w:sz w:val="20"/>
          <w:szCs w:val="20"/>
          <w:lang w:val="en-US"/>
        </w:rPr>
      </w:pPr>
      <w:r w:rsidRPr="00CA5C2E">
        <w:rPr>
          <w:sz w:val="20"/>
          <w:szCs w:val="20"/>
          <w:lang w:val="en-US"/>
        </w:rPr>
        <w:t xml:space="preserve">I. Aslam, S. Davlatov, D. Yuldasheva, E. Egamberdiev, N. Sultanova, Z. Adilova, G. Kurbanov, J. Khayitov, G. Axmadjonova, X. Babadjanova, D. Nabieva, D. Haydarov, and O. Orzieva, “Synergistic effects of silica nanoparticles with cisplatin in ovarian cancer management: A review,” </w:t>
      </w:r>
      <w:r w:rsidRPr="00CA5C2E">
        <w:rPr>
          <w:rStyle w:val="ac"/>
          <w:sz w:val="20"/>
          <w:szCs w:val="20"/>
          <w:lang w:val="en-US"/>
        </w:rPr>
        <w:t>J. Nanostruct.</w:t>
      </w:r>
      <w:r w:rsidRPr="00CA5C2E">
        <w:rPr>
          <w:sz w:val="20"/>
          <w:szCs w:val="20"/>
          <w:lang w:val="en-US"/>
        </w:rPr>
        <w:t xml:space="preserve"> </w:t>
      </w:r>
      <w:r w:rsidRPr="00CA5C2E">
        <w:rPr>
          <w:rStyle w:val="ad"/>
          <w:sz w:val="20"/>
          <w:szCs w:val="20"/>
          <w:lang w:val="en-US"/>
        </w:rPr>
        <w:t>15</w:t>
      </w:r>
      <w:r w:rsidRPr="00CA5C2E">
        <w:rPr>
          <w:sz w:val="20"/>
          <w:szCs w:val="20"/>
          <w:lang w:val="en-US"/>
        </w:rPr>
        <w:t>(1), 255–265 (2025). https://doi.org/10.22052/JNS.2025.01.025.</w:t>
      </w:r>
    </w:p>
    <w:p w14:paraId="21E2ABB9" w14:textId="073D6F50" w:rsidR="00CA5C2E" w:rsidRPr="00CA5C2E" w:rsidRDefault="00CA5C2E" w:rsidP="00CA5C2E">
      <w:pPr>
        <w:pStyle w:val="ab"/>
        <w:numPr>
          <w:ilvl w:val="0"/>
          <w:numId w:val="2"/>
        </w:numPr>
        <w:spacing w:before="0" w:beforeAutospacing="0" w:after="0" w:afterAutospacing="0"/>
        <w:ind w:left="425" w:hanging="425"/>
        <w:jc w:val="both"/>
        <w:rPr>
          <w:sz w:val="20"/>
          <w:szCs w:val="20"/>
          <w:lang w:val="en-US"/>
        </w:rPr>
      </w:pPr>
      <w:r w:rsidRPr="00CA5C2E">
        <w:rPr>
          <w:sz w:val="20"/>
          <w:szCs w:val="20"/>
          <w:lang w:val="en-US"/>
        </w:rPr>
        <w:t xml:space="preserve">Z. A. Duschanova, S. X. Isaev, B. M. Abduraimov, D. B. Makhmarejabov, S. B. Gaibnazarov, A. A. Umirzokov, E. A. Egamberdiev, D. T. Rabbimova, G. E. Turaeva, V. Z. Jalalova, O. K. Bobojonov, Z. O. Bafoyeva, and X. G. Sharafutdinova, “Biocompatibility and toxicity assessment of gold nanoparticles in NMRI mice,” </w:t>
      </w:r>
      <w:r w:rsidRPr="00CA5C2E">
        <w:rPr>
          <w:rStyle w:val="ac"/>
          <w:sz w:val="20"/>
          <w:szCs w:val="20"/>
          <w:lang w:val="en-US"/>
        </w:rPr>
        <w:t>J. Nanostruct.</w:t>
      </w:r>
      <w:r w:rsidRPr="00CA5C2E">
        <w:rPr>
          <w:sz w:val="20"/>
          <w:szCs w:val="20"/>
          <w:lang w:val="en-US"/>
        </w:rPr>
        <w:t xml:space="preserve"> </w:t>
      </w:r>
      <w:r w:rsidRPr="00CA5C2E">
        <w:rPr>
          <w:rStyle w:val="ad"/>
          <w:sz w:val="20"/>
          <w:szCs w:val="20"/>
          <w:lang w:val="en-US"/>
        </w:rPr>
        <w:t>14</w:t>
      </w:r>
      <w:r w:rsidRPr="00CA5C2E">
        <w:rPr>
          <w:sz w:val="20"/>
          <w:szCs w:val="20"/>
          <w:lang w:val="en-US"/>
        </w:rPr>
        <w:t>(3), 789–799 (2024). https://doi.org/10.22052/JNS.2024.03.009.</w:t>
      </w:r>
    </w:p>
    <w:p w14:paraId="0FE2A649" w14:textId="5AE3FFF1" w:rsidR="00CA5C2E" w:rsidRPr="00CA5C2E" w:rsidRDefault="00CA5C2E" w:rsidP="00CA5C2E">
      <w:pPr>
        <w:pStyle w:val="ab"/>
        <w:numPr>
          <w:ilvl w:val="0"/>
          <w:numId w:val="2"/>
        </w:numPr>
        <w:spacing w:before="0" w:beforeAutospacing="0" w:after="0" w:afterAutospacing="0"/>
        <w:ind w:left="425" w:hanging="425"/>
        <w:jc w:val="both"/>
        <w:rPr>
          <w:sz w:val="20"/>
          <w:szCs w:val="20"/>
          <w:lang w:val="en-US"/>
        </w:rPr>
      </w:pPr>
      <w:r w:rsidRPr="00CA5C2E">
        <w:rPr>
          <w:sz w:val="20"/>
          <w:szCs w:val="20"/>
          <w:lang w:val="en-US"/>
        </w:rPr>
        <w:t xml:space="preserve">E. Egamberdiev, Y. Ergashev, G. Akmalova, M. Umarova, I. Ayubova, S. Kholiqova, M. Mirzakhmedova, and S. Turabdjanov, “Production of filter material from various natural fibers,” </w:t>
      </w:r>
      <w:r w:rsidRPr="00CA5C2E">
        <w:rPr>
          <w:rStyle w:val="ac"/>
          <w:sz w:val="20"/>
          <w:szCs w:val="20"/>
          <w:lang w:val="en-US"/>
        </w:rPr>
        <w:t>E3S Web Conf.</w:t>
      </w:r>
      <w:r w:rsidRPr="00CA5C2E">
        <w:rPr>
          <w:sz w:val="20"/>
          <w:szCs w:val="20"/>
          <w:lang w:val="en-US"/>
        </w:rPr>
        <w:t xml:space="preserve"> </w:t>
      </w:r>
      <w:r w:rsidRPr="00CA5C2E">
        <w:rPr>
          <w:rStyle w:val="ad"/>
          <w:sz w:val="20"/>
          <w:szCs w:val="20"/>
          <w:lang w:val="en-US"/>
        </w:rPr>
        <w:t>497</w:t>
      </w:r>
      <w:r w:rsidRPr="00CA5C2E">
        <w:rPr>
          <w:sz w:val="20"/>
          <w:szCs w:val="20"/>
          <w:lang w:val="en-US"/>
        </w:rPr>
        <w:t>, 03052 (2024). https://doi.org/10.1051/e3sconf/202449703052.</w:t>
      </w:r>
    </w:p>
    <w:p w14:paraId="0511FC57" w14:textId="77DE9D02" w:rsidR="00CA5C2E" w:rsidRPr="00CA5C2E" w:rsidRDefault="00CA5C2E" w:rsidP="00CA5C2E">
      <w:pPr>
        <w:pStyle w:val="ab"/>
        <w:numPr>
          <w:ilvl w:val="0"/>
          <w:numId w:val="2"/>
        </w:numPr>
        <w:spacing w:before="0" w:beforeAutospacing="0" w:after="0" w:afterAutospacing="0"/>
        <w:ind w:left="425" w:hanging="425"/>
        <w:jc w:val="both"/>
        <w:rPr>
          <w:sz w:val="20"/>
          <w:szCs w:val="20"/>
          <w:lang w:val="en-US"/>
        </w:rPr>
      </w:pPr>
      <w:r w:rsidRPr="00CA5C2E">
        <w:rPr>
          <w:sz w:val="20"/>
          <w:szCs w:val="20"/>
          <w:lang w:val="en-US"/>
        </w:rPr>
        <w:t xml:space="preserve">Y. Ergashev, E. Egamberdiev, and G. Akmalova, “Effects and analysis of Chytazone in the process of processing paper from natural polymers,” </w:t>
      </w:r>
      <w:r w:rsidRPr="00CA5C2E">
        <w:rPr>
          <w:rStyle w:val="ac"/>
          <w:sz w:val="20"/>
          <w:szCs w:val="20"/>
          <w:lang w:val="en-US"/>
        </w:rPr>
        <w:t>E3S Web Conf.</w:t>
      </w:r>
      <w:r w:rsidRPr="00CA5C2E">
        <w:rPr>
          <w:sz w:val="20"/>
          <w:szCs w:val="20"/>
          <w:lang w:val="en-US"/>
        </w:rPr>
        <w:t xml:space="preserve"> </w:t>
      </w:r>
      <w:r w:rsidRPr="00CA5C2E">
        <w:rPr>
          <w:rStyle w:val="ad"/>
          <w:sz w:val="20"/>
          <w:szCs w:val="20"/>
          <w:lang w:val="en-US"/>
        </w:rPr>
        <w:t>477</w:t>
      </w:r>
      <w:r w:rsidRPr="00CA5C2E">
        <w:rPr>
          <w:sz w:val="20"/>
          <w:szCs w:val="20"/>
          <w:lang w:val="en-US"/>
        </w:rPr>
        <w:t>, 00053 (2024). https://doi.org/10.1051/e3sconf/202447700053.</w:t>
      </w:r>
    </w:p>
    <w:p w14:paraId="1E0A4377" w14:textId="323A5B7A" w:rsidR="00CA5C2E" w:rsidRPr="00CA5C2E" w:rsidRDefault="00CA5C2E" w:rsidP="00CA5C2E">
      <w:pPr>
        <w:pStyle w:val="ab"/>
        <w:numPr>
          <w:ilvl w:val="0"/>
          <w:numId w:val="2"/>
        </w:numPr>
        <w:spacing w:before="0" w:beforeAutospacing="0" w:after="0" w:afterAutospacing="0"/>
        <w:ind w:left="425" w:hanging="425"/>
        <w:jc w:val="both"/>
        <w:rPr>
          <w:sz w:val="20"/>
          <w:szCs w:val="20"/>
          <w:lang w:val="en-US"/>
        </w:rPr>
      </w:pPr>
      <w:r w:rsidRPr="00CA5C2E">
        <w:rPr>
          <w:sz w:val="20"/>
          <w:szCs w:val="20"/>
          <w:lang w:val="en-US"/>
        </w:rPr>
        <w:t xml:space="preserve">E. Egamberdiev, K. Khaydullaev, S. Abdurazakova, Q. Khoshimov, O. Muratkulov, K. Tilovov, B. Rakhimjonov, and M. Alieva, “Composite papers based on natural polymers,” </w:t>
      </w:r>
      <w:r w:rsidRPr="00CA5C2E">
        <w:rPr>
          <w:rStyle w:val="ac"/>
          <w:sz w:val="20"/>
          <w:szCs w:val="20"/>
          <w:lang w:val="en-US"/>
        </w:rPr>
        <w:t>E3S Web Conf.</w:t>
      </w:r>
      <w:r w:rsidRPr="00CA5C2E">
        <w:rPr>
          <w:sz w:val="20"/>
          <w:szCs w:val="20"/>
          <w:lang w:val="en-US"/>
        </w:rPr>
        <w:t xml:space="preserve"> </w:t>
      </w:r>
      <w:r w:rsidRPr="00CA5C2E">
        <w:rPr>
          <w:rStyle w:val="ad"/>
          <w:sz w:val="20"/>
          <w:szCs w:val="20"/>
          <w:lang w:val="en-US"/>
        </w:rPr>
        <w:t>497</w:t>
      </w:r>
      <w:r w:rsidRPr="00CA5C2E">
        <w:rPr>
          <w:sz w:val="20"/>
          <w:szCs w:val="20"/>
          <w:lang w:val="en-US"/>
        </w:rPr>
        <w:t>, 03031 (2024). https://doi.org/10.1051/e3sconf/202449703031.</w:t>
      </w:r>
    </w:p>
    <w:sectPr w:rsidR="00CA5C2E" w:rsidRPr="00CA5C2E" w:rsidSect="00AB4C8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94A6E" w14:textId="77777777" w:rsidR="00BC421A" w:rsidRDefault="00BC421A" w:rsidP="005E0177">
      <w:pPr>
        <w:spacing w:after="0" w:line="240" w:lineRule="auto"/>
      </w:pPr>
      <w:r>
        <w:separator/>
      </w:r>
    </w:p>
  </w:endnote>
  <w:endnote w:type="continuationSeparator" w:id="0">
    <w:p w14:paraId="184B28E6" w14:textId="77777777" w:rsidR="00BC421A" w:rsidRDefault="00BC421A" w:rsidP="005E0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E1AC3" w14:textId="77777777" w:rsidR="00BC421A" w:rsidRDefault="00BC421A" w:rsidP="005E0177">
      <w:pPr>
        <w:spacing w:after="0" w:line="240" w:lineRule="auto"/>
      </w:pPr>
      <w:r>
        <w:separator/>
      </w:r>
    </w:p>
  </w:footnote>
  <w:footnote w:type="continuationSeparator" w:id="0">
    <w:p w14:paraId="6B043E71" w14:textId="77777777" w:rsidR="00BC421A" w:rsidRDefault="00BC421A" w:rsidP="005E01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633E3"/>
    <w:multiLevelType w:val="hybridMultilevel"/>
    <w:tmpl w:val="7A0204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A90EC8"/>
    <w:multiLevelType w:val="hybridMultilevel"/>
    <w:tmpl w:val="14BA9EAE"/>
    <w:lvl w:ilvl="0" w:tplc="06AE7B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3786539"/>
    <w:multiLevelType w:val="hybridMultilevel"/>
    <w:tmpl w:val="80CC83E6"/>
    <w:lvl w:ilvl="0" w:tplc="01FC9A7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451"/>
    <w:rsid w:val="000A42B2"/>
    <w:rsid w:val="000D725B"/>
    <w:rsid w:val="001509AC"/>
    <w:rsid w:val="00172267"/>
    <w:rsid w:val="001722FA"/>
    <w:rsid w:val="00177BCA"/>
    <w:rsid w:val="0019118E"/>
    <w:rsid w:val="001C436F"/>
    <w:rsid w:val="00202F1C"/>
    <w:rsid w:val="00232948"/>
    <w:rsid w:val="00282F91"/>
    <w:rsid w:val="002972AC"/>
    <w:rsid w:val="002B4076"/>
    <w:rsid w:val="002B5701"/>
    <w:rsid w:val="002C2CB8"/>
    <w:rsid w:val="002D2EC4"/>
    <w:rsid w:val="002E78A6"/>
    <w:rsid w:val="0033284B"/>
    <w:rsid w:val="003576EC"/>
    <w:rsid w:val="00363B12"/>
    <w:rsid w:val="003737AA"/>
    <w:rsid w:val="00377799"/>
    <w:rsid w:val="00396167"/>
    <w:rsid w:val="003F1421"/>
    <w:rsid w:val="003F6125"/>
    <w:rsid w:val="00436D6D"/>
    <w:rsid w:val="00474EB3"/>
    <w:rsid w:val="00491137"/>
    <w:rsid w:val="00494F47"/>
    <w:rsid w:val="00526A27"/>
    <w:rsid w:val="0053440D"/>
    <w:rsid w:val="00541907"/>
    <w:rsid w:val="005E0177"/>
    <w:rsid w:val="00632CF8"/>
    <w:rsid w:val="00644AB4"/>
    <w:rsid w:val="00665451"/>
    <w:rsid w:val="006963E9"/>
    <w:rsid w:val="006C6C00"/>
    <w:rsid w:val="00701B42"/>
    <w:rsid w:val="007359F8"/>
    <w:rsid w:val="007B06E9"/>
    <w:rsid w:val="0081159F"/>
    <w:rsid w:val="008E5812"/>
    <w:rsid w:val="00930FC9"/>
    <w:rsid w:val="0098078E"/>
    <w:rsid w:val="009B0D10"/>
    <w:rsid w:val="00A228F4"/>
    <w:rsid w:val="00A8773B"/>
    <w:rsid w:val="00AB4C8A"/>
    <w:rsid w:val="00AC4013"/>
    <w:rsid w:val="00AD00A8"/>
    <w:rsid w:val="00B05D1F"/>
    <w:rsid w:val="00B33118"/>
    <w:rsid w:val="00B37C50"/>
    <w:rsid w:val="00B47EE1"/>
    <w:rsid w:val="00B748FD"/>
    <w:rsid w:val="00B83761"/>
    <w:rsid w:val="00BA67E1"/>
    <w:rsid w:val="00BC421A"/>
    <w:rsid w:val="00C004C8"/>
    <w:rsid w:val="00C4284A"/>
    <w:rsid w:val="00C62E7B"/>
    <w:rsid w:val="00CA5C2E"/>
    <w:rsid w:val="00CF0693"/>
    <w:rsid w:val="00D47D65"/>
    <w:rsid w:val="00D92392"/>
    <w:rsid w:val="00DD3663"/>
    <w:rsid w:val="00E349D5"/>
    <w:rsid w:val="00E40CB8"/>
    <w:rsid w:val="00E74833"/>
    <w:rsid w:val="00ED4978"/>
    <w:rsid w:val="00F41A6A"/>
    <w:rsid w:val="00F42A0F"/>
    <w:rsid w:val="00F90ABE"/>
    <w:rsid w:val="00FD42FA"/>
    <w:rsid w:val="00FF6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2EDAF"/>
  <w15:chartTrackingRefBased/>
  <w15:docId w15:val="{3E977D9F-E85F-4680-8D52-035C86260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B37C5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37C50"/>
    <w:pPr>
      <w:widowControl w:val="0"/>
      <w:autoSpaceDE w:val="0"/>
      <w:autoSpaceDN w:val="0"/>
      <w:spacing w:after="0" w:line="240" w:lineRule="auto"/>
      <w:jc w:val="center"/>
    </w:pPr>
    <w:rPr>
      <w:rFonts w:ascii="Times New Roman" w:eastAsia="Times New Roman" w:hAnsi="Times New Roman" w:cs="Times New Roman"/>
    </w:rPr>
  </w:style>
  <w:style w:type="character" w:styleId="a3">
    <w:name w:val="Placeholder Text"/>
    <w:basedOn w:val="a0"/>
    <w:uiPriority w:val="99"/>
    <w:semiHidden/>
    <w:rsid w:val="00B47EE1"/>
    <w:rPr>
      <w:color w:val="808080"/>
    </w:rPr>
  </w:style>
  <w:style w:type="paragraph" w:styleId="a4">
    <w:name w:val="List Paragraph"/>
    <w:basedOn w:val="a"/>
    <w:uiPriority w:val="34"/>
    <w:qFormat/>
    <w:rsid w:val="00436D6D"/>
    <w:pPr>
      <w:ind w:left="720"/>
      <w:contextualSpacing/>
    </w:pPr>
  </w:style>
  <w:style w:type="paragraph" w:styleId="a5">
    <w:name w:val="header"/>
    <w:basedOn w:val="a"/>
    <w:link w:val="a6"/>
    <w:uiPriority w:val="99"/>
    <w:unhideWhenUsed/>
    <w:rsid w:val="005E017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0177"/>
  </w:style>
  <w:style w:type="paragraph" w:styleId="a7">
    <w:name w:val="footer"/>
    <w:basedOn w:val="a"/>
    <w:link w:val="a8"/>
    <w:uiPriority w:val="99"/>
    <w:unhideWhenUsed/>
    <w:rsid w:val="005E017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E0177"/>
  </w:style>
  <w:style w:type="character" w:styleId="a9">
    <w:name w:val="Hyperlink"/>
    <w:basedOn w:val="a0"/>
    <w:uiPriority w:val="99"/>
    <w:unhideWhenUsed/>
    <w:rsid w:val="00AC4013"/>
    <w:rPr>
      <w:color w:val="0563C1" w:themeColor="hyperlink"/>
      <w:u w:val="single"/>
    </w:rPr>
  </w:style>
  <w:style w:type="character" w:customStyle="1" w:styleId="1">
    <w:name w:val="Неразрешенное упоминание1"/>
    <w:basedOn w:val="a0"/>
    <w:uiPriority w:val="99"/>
    <w:semiHidden/>
    <w:unhideWhenUsed/>
    <w:rsid w:val="00AC4013"/>
    <w:rPr>
      <w:color w:val="605E5C"/>
      <w:shd w:val="clear" w:color="auto" w:fill="E1DFDD"/>
    </w:rPr>
  </w:style>
  <w:style w:type="character" w:styleId="aa">
    <w:name w:val="Unresolved Mention"/>
    <w:basedOn w:val="a0"/>
    <w:uiPriority w:val="99"/>
    <w:semiHidden/>
    <w:unhideWhenUsed/>
    <w:rsid w:val="00AB4C8A"/>
    <w:rPr>
      <w:color w:val="605E5C"/>
      <w:shd w:val="clear" w:color="auto" w:fill="E1DFDD"/>
    </w:rPr>
  </w:style>
  <w:style w:type="paragraph" w:styleId="ab">
    <w:name w:val="Normal (Web)"/>
    <w:basedOn w:val="a"/>
    <w:uiPriority w:val="99"/>
    <w:semiHidden/>
    <w:unhideWhenUsed/>
    <w:rsid w:val="00CA5C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uiPriority w:val="20"/>
    <w:qFormat/>
    <w:rsid w:val="00CA5C2E"/>
    <w:rPr>
      <w:i/>
      <w:iCs/>
    </w:rPr>
  </w:style>
  <w:style w:type="character" w:styleId="ad">
    <w:name w:val="Strong"/>
    <w:basedOn w:val="a0"/>
    <w:uiPriority w:val="22"/>
    <w:qFormat/>
    <w:rsid w:val="00CA5C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dinanematova1012@gmail.com" TargetMode="External"/><Relationship Id="rId13"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hyperlink" Target="mailto:giyasovanazokat9@gmail.com" TargetMode="External"/><Relationship Id="rId12"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l.1909@mail.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bekmurodjon0319@mail.ru" TargetMode="External"/><Relationship Id="rId4" Type="http://schemas.openxmlformats.org/officeDocument/2006/relationships/webSettings" Target="webSettings.xml"/><Relationship Id="rId9" Type="http://schemas.openxmlformats.org/officeDocument/2006/relationships/hyperlink" Target="mailto:misterfrank003@gmail.com"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embeddings/oleObject2.bin"/><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'[Scopus-2,3 graphics.xlsx]Sheet1'!$G$35</c:f>
              <c:strCache>
                <c:ptCount val="1"/>
                <c:pt idx="0">
                  <c:v>150°C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'[Scopus-2,3 graphics.xlsx]Sheet1'!$F$36:$F$48</c:f>
              <c:numCache>
                <c:formatCode>General</c:formatCode>
                <c:ptCount val="13"/>
                <c:pt idx="0">
                  <c:v>0</c:v>
                </c:pt>
                <c:pt idx="1">
                  <c:v>10</c:v>
                </c:pt>
                <c:pt idx="2">
                  <c:v>20</c:v>
                </c:pt>
                <c:pt idx="3">
                  <c:v>30</c:v>
                </c:pt>
                <c:pt idx="4">
                  <c:v>40</c:v>
                </c:pt>
                <c:pt idx="5">
                  <c:v>50</c:v>
                </c:pt>
                <c:pt idx="6">
                  <c:v>60</c:v>
                </c:pt>
                <c:pt idx="7">
                  <c:v>70</c:v>
                </c:pt>
                <c:pt idx="8">
                  <c:v>80</c:v>
                </c:pt>
                <c:pt idx="9">
                  <c:v>90</c:v>
                </c:pt>
                <c:pt idx="10">
                  <c:v>100</c:v>
                </c:pt>
                <c:pt idx="11">
                  <c:v>110</c:v>
                </c:pt>
                <c:pt idx="12">
                  <c:v>120</c:v>
                </c:pt>
              </c:numCache>
            </c:numRef>
          </c:cat>
          <c:val>
            <c:numRef>
              <c:f>'[Scopus-2,3 graphics.xlsx]Sheet1'!$G$36:$G$48</c:f>
              <c:numCache>
                <c:formatCode>General</c:formatCode>
                <c:ptCount val="13"/>
                <c:pt idx="0">
                  <c:v>100</c:v>
                </c:pt>
                <c:pt idx="1">
                  <c:v>95</c:v>
                </c:pt>
                <c:pt idx="2">
                  <c:v>88</c:v>
                </c:pt>
                <c:pt idx="3">
                  <c:v>80</c:v>
                </c:pt>
                <c:pt idx="4">
                  <c:v>73</c:v>
                </c:pt>
                <c:pt idx="5">
                  <c:v>64</c:v>
                </c:pt>
                <c:pt idx="6">
                  <c:v>57</c:v>
                </c:pt>
                <c:pt idx="7">
                  <c:v>52</c:v>
                </c:pt>
                <c:pt idx="8">
                  <c:v>48</c:v>
                </c:pt>
                <c:pt idx="9">
                  <c:v>45</c:v>
                </c:pt>
                <c:pt idx="10">
                  <c:v>42</c:v>
                </c:pt>
                <c:pt idx="11">
                  <c:v>41</c:v>
                </c:pt>
                <c:pt idx="12">
                  <c:v>40</c:v>
                </c:pt>
              </c:numCache>
            </c:numRef>
          </c:val>
          <c:smooth val="0"/>
          <c:extLst>
            <c:ext xmlns:c16="http://schemas.microsoft.com/office/drawing/2014/chart" uri="{C3380CC4-5D6E-409C-BE32-E72D297353CC}">
              <c16:uniqueId val="{00000000-1A73-4A99-9A58-3675D5660661}"/>
            </c:ext>
          </c:extLst>
        </c:ser>
        <c:ser>
          <c:idx val="1"/>
          <c:order val="1"/>
          <c:tx>
            <c:strRef>
              <c:f>'[Scopus-2,3 graphics.xlsx]Sheet1'!$H$35</c:f>
              <c:strCache>
                <c:ptCount val="1"/>
                <c:pt idx="0">
                  <c:v>160°C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'[Scopus-2,3 graphics.xlsx]Sheet1'!$F$36:$F$48</c:f>
              <c:numCache>
                <c:formatCode>General</c:formatCode>
                <c:ptCount val="13"/>
                <c:pt idx="0">
                  <c:v>0</c:v>
                </c:pt>
                <c:pt idx="1">
                  <c:v>10</c:v>
                </c:pt>
                <c:pt idx="2">
                  <c:v>20</c:v>
                </c:pt>
                <c:pt idx="3">
                  <c:v>30</c:v>
                </c:pt>
                <c:pt idx="4">
                  <c:v>40</c:v>
                </c:pt>
                <c:pt idx="5">
                  <c:v>50</c:v>
                </c:pt>
                <c:pt idx="6">
                  <c:v>60</c:v>
                </c:pt>
                <c:pt idx="7">
                  <c:v>70</c:v>
                </c:pt>
                <c:pt idx="8">
                  <c:v>80</c:v>
                </c:pt>
                <c:pt idx="9">
                  <c:v>90</c:v>
                </c:pt>
                <c:pt idx="10">
                  <c:v>100</c:v>
                </c:pt>
                <c:pt idx="11">
                  <c:v>110</c:v>
                </c:pt>
                <c:pt idx="12">
                  <c:v>120</c:v>
                </c:pt>
              </c:numCache>
            </c:numRef>
          </c:cat>
          <c:val>
            <c:numRef>
              <c:f>'[Scopus-2,3 graphics.xlsx]Sheet1'!$H$36:$H$48</c:f>
              <c:numCache>
                <c:formatCode>General</c:formatCode>
                <c:ptCount val="13"/>
                <c:pt idx="0">
                  <c:v>100</c:v>
                </c:pt>
                <c:pt idx="1">
                  <c:v>88</c:v>
                </c:pt>
                <c:pt idx="2">
                  <c:v>76</c:v>
                </c:pt>
                <c:pt idx="3">
                  <c:v>66</c:v>
                </c:pt>
                <c:pt idx="4">
                  <c:v>58</c:v>
                </c:pt>
                <c:pt idx="5">
                  <c:v>49</c:v>
                </c:pt>
                <c:pt idx="6">
                  <c:v>41</c:v>
                </c:pt>
                <c:pt idx="7">
                  <c:v>37</c:v>
                </c:pt>
                <c:pt idx="8">
                  <c:v>34</c:v>
                </c:pt>
                <c:pt idx="9">
                  <c:v>31</c:v>
                </c:pt>
                <c:pt idx="10">
                  <c:v>30</c:v>
                </c:pt>
                <c:pt idx="11">
                  <c:v>29</c:v>
                </c:pt>
                <c:pt idx="12">
                  <c:v>28</c:v>
                </c:pt>
              </c:numCache>
            </c:numRef>
          </c:val>
          <c:smooth val="0"/>
          <c:extLst>
            <c:ext xmlns:c16="http://schemas.microsoft.com/office/drawing/2014/chart" uri="{C3380CC4-5D6E-409C-BE32-E72D297353CC}">
              <c16:uniqueId val="{00000001-1A73-4A99-9A58-3675D5660661}"/>
            </c:ext>
          </c:extLst>
        </c:ser>
        <c:ser>
          <c:idx val="2"/>
          <c:order val="2"/>
          <c:tx>
            <c:strRef>
              <c:f>'[Scopus-2,3 graphics.xlsx]Sheet1'!$I$35</c:f>
              <c:strCache>
                <c:ptCount val="1"/>
                <c:pt idx="0">
                  <c:v>170°C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'[Scopus-2,3 graphics.xlsx]Sheet1'!$F$36:$F$48</c:f>
              <c:numCache>
                <c:formatCode>General</c:formatCode>
                <c:ptCount val="13"/>
                <c:pt idx="0">
                  <c:v>0</c:v>
                </c:pt>
                <c:pt idx="1">
                  <c:v>10</c:v>
                </c:pt>
                <c:pt idx="2">
                  <c:v>20</c:v>
                </c:pt>
                <c:pt idx="3">
                  <c:v>30</c:v>
                </c:pt>
                <c:pt idx="4">
                  <c:v>40</c:v>
                </c:pt>
                <c:pt idx="5">
                  <c:v>50</c:v>
                </c:pt>
                <c:pt idx="6">
                  <c:v>60</c:v>
                </c:pt>
                <c:pt idx="7">
                  <c:v>70</c:v>
                </c:pt>
                <c:pt idx="8">
                  <c:v>80</c:v>
                </c:pt>
                <c:pt idx="9">
                  <c:v>90</c:v>
                </c:pt>
                <c:pt idx="10">
                  <c:v>100</c:v>
                </c:pt>
                <c:pt idx="11">
                  <c:v>110</c:v>
                </c:pt>
                <c:pt idx="12">
                  <c:v>120</c:v>
                </c:pt>
              </c:numCache>
            </c:numRef>
          </c:cat>
          <c:val>
            <c:numRef>
              <c:f>'[Scopus-2,3 graphics.xlsx]Sheet1'!$I$36:$I$48</c:f>
              <c:numCache>
                <c:formatCode>General</c:formatCode>
                <c:ptCount val="13"/>
                <c:pt idx="0">
                  <c:v>100</c:v>
                </c:pt>
                <c:pt idx="1">
                  <c:v>80</c:v>
                </c:pt>
                <c:pt idx="2">
                  <c:v>65</c:v>
                </c:pt>
                <c:pt idx="3">
                  <c:v>53</c:v>
                </c:pt>
                <c:pt idx="4">
                  <c:v>43</c:v>
                </c:pt>
                <c:pt idx="5">
                  <c:v>35</c:v>
                </c:pt>
                <c:pt idx="6">
                  <c:v>27</c:v>
                </c:pt>
                <c:pt idx="7">
                  <c:v>22</c:v>
                </c:pt>
                <c:pt idx="8">
                  <c:v>19</c:v>
                </c:pt>
                <c:pt idx="9">
                  <c:v>17</c:v>
                </c:pt>
                <c:pt idx="10">
                  <c:v>15</c:v>
                </c:pt>
                <c:pt idx="11">
                  <c:v>14</c:v>
                </c:pt>
                <c:pt idx="12">
                  <c:v>13</c:v>
                </c:pt>
              </c:numCache>
            </c:numRef>
          </c:val>
          <c:smooth val="0"/>
          <c:extLst>
            <c:ext xmlns:c16="http://schemas.microsoft.com/office/drawing/2014/chart" uri="{C3380CC4-5D6E-409C-BE32-E72D297353CC}">
              <c16:uniqueId val="{00000002-1A73-4A99-9A58-3675D5660661}"/>
            </c:ext>
          </c:extLst>
        </c:ser>
        <c:ser>
          <c:idx val="3"/>
          <c:order val="3"/>
          <c:tx>
            <c:strRef>
              <c:f>'[Scopus-2,3 graphics.xlsx]Sheet1'!$J$35</c:f>
              <c:strCache>
                <c:ptCount val="1"/>
                <c:pt idx="0">
                  <c:v>180°C (%)</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numRef>
              <c:f>'[Scopus-2,3 graphics.xlsx]Sheet1'!$F$36:$F$48</c:f>
              <c:numCache>
                <c:formatCode>General</c:formatCode>
                <c:ptCount val="13"/>
                <c:pt idx="0">
                  <c:v>0</c:v>
                </c:pt>
                <c:pt idx="1">
                  <c:v>10</c:v>
                </c:pt>
                <c:pt idx="2">
                  <c:v>20</c:v>
                </c:pt>
                <c:pt idx="3">
                  <c:v>30</c:v>
                </c:pt>
                <c:pt idx="4">
                  <c:v>40</c:v>
                </c:pt>
                <c:pt idx="5">
                  <c:v>50</c:v>
                </c:pt>
                <c:pt idx="6">
                  <c:v>60</c:v>
                </c:pt>
                <c:pt idx="7">
                  <c:v>70</c:v>
                </c:pt>
                <c:pt idx="8">
                  <c:v>80</c:v>
                </c:pt>
                <c:pt idx="9">
                  <c:v>90</c:v>
                </c:pt>
                <c:pt idx="10">
                  <c:v>100</c:v>
                </c:pt>
                <c:pt idx="11">
                  <c:v>110</c:v>
                </c:pt>
                <c:pt idx="12">
                  <c:v>120</c:v>
                </c:pt>
              </c:numCache>
            </c:numRef>
          </c:cat>
          <c:val>
            <c:numRef>
              <c:f>'[Scopus-2,3 graphics.xlsx]Sheet1'!$J$36:$J$48</c:f>
              <c:numCache>
                <c:formatCode>General</c:formatCode>
                <c:ptCount val="13"/>
                <c:pt idx="0">
                  <c:v>100</c:v>
                </c:pt>
                <c:pt idx="1">
                  <c:v>70</c:v>
                </c:pt>
                <c:pt idx="2">
                  <c:v>54</c:v>
                </c:pt>
                <c:pt idx="3">
                  <c:v>40</c:v>
                </c:pt>
                <c:pt idx="4">
                  <c:v>28</c:v>
                </c:pt>
                <c:pt idx="5">
                  <c:v>20</c:v>
                </c:pt>
                <c:pt idx="6">
                  <c:v>15</c:v>
                </c:pt>
                <c:pt idx="7">
                  <c:v>12</c:v>
                </c:pt>
                <c:pt idx="8">
                  <c:v>10</c:v>
                </c:pt>
                <c:pt idx="9">
                  <c:v>9</c:v>
                </c:pt>
                <c:pt idx="10">
                  <c:v>8</c:v>
                </c:pt>
                <c:pt idx="11">
                  <c:v>7</c:v>
                </c:pt>
                <c:pt idx="12">
                  <c:v>6</c:v>
                </c:pt>
              </c:numCache>
            </c:numRef>
          </c:val>
          <c:smooth val="0"/>
          <c:extLst>
            <c:ext xmlns:c16="http://schemas.microsoft.com/office/drawing/2014/chart" uri="{C3380CC4-5D6E-409C-BE32-E72D297353CC}">
              <c16:uniqueId val="{00000003-1A73-4A99-9A58-3675D5660661}"/>
            </c:ext>
          </c:extLst>
        </c:ser>
        <c:dLbls>
          <c:showLegendKey val="0"/>
          <c:showVal val="0"/>
          <c:showCatName val="0"/>
          <c:showSerName val="0"/>
          <c:showPercent val="0"/>
          <c:showBubbleSize val="0"/>
        </c:dLbls>
        <c:marker val="1"/>
        <c:smooth val="0"/>
        <c:axId val="404997280"/>
        <c:axId val="403567584"/>
      </c:lineChart>
      <c:catAx>
        <c:axId val="40499728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a:t>time (min)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403567584"/>
        <c:crosses val="autoZero"/>
        <c:auto val="1"/>
        <c:lblAlgn val="ctr"/>
        <c:lblOffset val="100"/>
        <c:noMultiLvlLbl val="0"/>
      </c:catAx>
      <c:valAx>
        <c:axId val="403567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a:t>C,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4049972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spcAft>
          <a:spcPts val="600"/>
        </a:spcAft>
        <a:defRPr sz="1200" baseline="0">
          <a:solidFill>
            <a:schemeClr val="tx1"/>
          </a:solidFill>
          <a:latin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440214149367695"/>
          <c:y val="3.845941322112064E-2"/>
          <c:w val="0.84055210785362722"/>
          <c:h val="0.7239683331177158"/>
        </c:manualLayout>
      </c:layout>
      <c:scatterChart>
        <c:scatterStyle val="lineMarker"/>
        <c:varyColors val="0"/>
        <c:ser>
          <c:idx val="0"/>
          <c:order val="0"/>
          <c:tx>
            <c:strRef>
              <c:f>'[Scopus-2,3 graphics.xlsx]Sheet1'!$G$63</c:f>
              <c:strCache>
                <c:ptCount val="1"/>
                <c:pt idx="0">
                  <c:v>150°C (%)</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'[Scopus-2,3 graphics.xlsx]Sheet1'!$F$64:$F$71</c:f>
              <c:numCache>
                <c:formatCode>General</c:formatCode>
                <c:ptCount val="8"/>
                <c:pt idx="0">
                  <c:v>20</c:v>
                </c:pt>
                <c:pt idx="1">
                  <c:v>30</c:v>
                </c:pt>
                <c:pt idx="2">
                  <c:v>40</c:v>
                </c:pt>
                <c:pt idx="3">
                  <c:v>50</c:v>
                </c:pt>
                <c:pt idx="4">
                  <c:v>60</c:v>
                </c:pt>
                <c:pt idx="5">
                  <c:v>70</c:v>
                </c:pt>
                <c:pt idx="6">
                  <c:v>80</c:v>
                </c:pt>
                <c:pt idx="7">
                  <c:v>90</c:v>
                </c:pt>
              </c:numCache>
            </c:numRef>
          </c:xVal>
          <c:yVal>
            <c:numRef>
              <c:f>'[Scopus-2,3 graphics.xlsx]Sheet1'!$G$64:$G$71</c:f>
              <c:numCache>
                <c:formatCode>General</c:formatCode>
                <c:ptCount val="8"/>
                <c:pt idx="0">
                  <c:v>4.3</c:v>
                </c:pt>
                <c:pt idx="1">
                  <c:v>4.2</c:v>
                </c:pt>
                <c:pt idx="2">
                  <c:v>3.9</c:v>
                </c:pt>
                <c:pt idx="3">
                  <c:v>3.5</c:v>
                </c:pt>
                <c:pt idx="4">
                  <c:v>3</c:v>
                </c:pt>
                <c:pt idx="5">
                  <c:v>2.7</c:v>
                </c:pt>
                <c:pt idx="6">
                  <c:v>2.5</c:v>
                </c:pt>
                <c:pt idx="7">
                  <c:v>2.4</c:v>
                </c:pt>
              </c:numCache>
            </c:numRef>
          </c:yVal>
          <c:smooth val="0"/>
          <c:extLst>
            <c:ext xmlns:c16="http://schemas.microsoft.com/office/drawing/2014/chart" uri="{C3380CC4-5D6E-409C-BE32-E72D297353CC}">
              <c16:uniqueId val="{00000000-AF54-4980-8BAC-E75D48D53431}"/>
            </c:ext>
          </c:extLst>
        </c:ser>
        <c:ser>
          <c:idx val="1"/>
          <c:order val="1"/>
          <c:tx>
            <c:strRef>
              <c:f>'[Scopus-2,3 graphics.xlsx]Sheet1'!$H$63</c:f>
              <c:strCache>
                <c:ptCount val="1"/>
                <c:pt idx="0">
                  <c:v>160°C (%)</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'[Scopus-2,3 graphics.xlsx]Sheet1'!$F$64:$F$71</c:f>
              <c:numCache>
                <c:formatCode>General</c:formatCode>
                <c:ptCount val="8"/>
                <c:pt idx="0">
                  <c:v>20</c:v>
                </c:pt>
                <c:pt idx="1">
                  <c:v>30</c:v>
                </c:pt>
                <c:pt idx="2">
                  <c:v>40</c:v>
                </c:pt>
                <c:pt idx="3">
                  <c:v>50</c:v>
                </c:pt>
                <c:pt idx="4">
                  <c:v>60</c:v>
                </c:pt>
                <c:pt idx="5">
                  <c:v>70</c:v>
                </c:pt>
                <c:pt idx="6">
                  <c:v>80</c:v>
                </c:pt>
                <c:pt idx="7">
                  <c:v>90</c:v>
                </c:pt>
              </c:numCache>
            </c:numRef>
          </c:xVal>
          <c:yVal>
            <c:numRef>
              <c:f>'[Scopus-2,3 graphics.xlsx]Sheet1'!$H$64:$H$71</c:f>
              <c:numCache>
                <c:formatCode>General</c:formatCode>
                <c:ptCount val="8"/>
                <c:pt idx="0">
                  <c:v>4.3</c:v>
                </c:pt>
                <c:pt idx="1">
                  <c:v>4.0999999999999996</c:v>
                </c:pt>
                <c:pt idx="2">
                  <c:v>3.8</c:v>
                </c:pt>
                <c:pt idx="3">
                  <c:v>3.3</c:v>
                </c:pt>
                <c:pt idx="4">
                  <c:v>2.8</c:v>
                </c:pt>
                <c:pt idx="5">
                  <c:v>2.4</c:v>
                </c:pt>
                <c:pt idx="6">
                  <c:v>2.2000000000000002</c:v>
                </c:pt>
                <c:pt idx="7">
                  <c:v>2.1</c:v>
                </c:pt>
              </c:numCache>
            </c:numRef>
          </c:yVal>
          <c:smooth val="0"/>
          <c:extLst>
            <c:ext xmlns:c16="http://schemas.microsoft.com/office/drawing/2014/chart" uri="{C3380CC4-5D6E-409C-BE32-E72D297353CC}">
              <c16:uniqueId val="{00000001-AF54-4980-8BAC-E75D48D53431}"/>
            </c:ext>
          </c:extLst>
        </c:ser>
        <c:ser>
          <c:idx val="2"/>
          <c:order val="2"/>
          <c:tx>
            <c:strRef>
              <c:f>'[Scopus-2,3 graphics.xlsx]Sheet1'!$I$63</c:f>
              <c:strCache>
                <c:ptCount val="1"/>
                <c:pt idx="0">
                  <c:v>170°C (%)</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'[Scopus-2,3 graphics.xlsx]Sheet1'!$F$64:$F$71</c:f>
              <c:numCache>
                <c:formatCode>General</c:formatCode>
                <c:ptCount val="8"/>
                <c:pt idx="0">
                  <c:v>20</c:v>
                </c:pt>
                <c:pt idx="1">
                  <c:v>30</c:v>
                </c:pt>
                <c:pt idx="2">
                  <c:v>40</c:v>
                </c:pt>
                <c:pt idx="3">
                  <c:v>50</c:v>
                </c:pt>
                <c:pt idx="4">
                  <c:v>60</c:v>
                </c:pt>
                <c:pt idx="5">
                  <c:v>70</c:v>
                </c:pt>
                <c:pt idx="6">
                  <c:v>80</c:v>
                </c:pt>
                <c:pt idx="7">
                  <c:v>90</c:v>
                </c:pt>
              </c:numCache>
            </c:numRef>
          </c:xVal>
          <c:yVal>
            <c:numRef>
              <c:f>'[Scopus-2,3 graphics.xlsx]Sheet1'!$I$64:$I$71</c:f>
              <c:numCache>
                <c:formatCode>General</c:formatCode>
                <c:ptCount val="8"/>
                <c:pt idx="0">
                  <c:v>4.3</c:v>
                </c:pt>
                <c:pt idx="1">
                  <c:v>3.9</c:v>
                </c:pt>
                <c:pt idx="2">
                  <c:v>3.1</c:v>
                </c:pt>
                <c:pt idx="3">
                  <c:v>2.7</c:v>
                </c:pt>
                <c:pt idx="4">
                  <c:v>2.2999999999999998</c:v>
                </c:pt>
                <c:pt idx="5">
                  <c:v>2.1</c:v>
                </c:pt>
                <c:pt idx="6">
                  <c:v>2</c:v>
                </c:pt>
                <c:pt idx="7">
                  <c:v>1.9</c:v>
                </c:pt>
              </c:numCache>
            </c:numRef>
          </c:yVal>
          <c:smooth val="0"/>
          <c:extLst>
            <c:ext xmlns:c16="http://schemas.microsoft.com/office/drawing/2014/chart" uri="{C3380CC4-5D6E-409C-BE32-E72D297353CC}">
              <c16:uniqueId val="{00000002-AF54-4980-8BAC-E75D48D53431}"/>
            </c:ext>
          </c:extLst>
        </c:ser>
        <c:ser>
          <c:idx val="3"/>
          <c:order val="3"/>
          <c:tx>
            <c:strRef>
              <c:f>'[Scopus-2,3 graphics.xlsx]Sheet1'!$J$63</c:f>
              <c:strCache>
                <c:ptCount val="1"/>
                <c:pt idx="0">
                  <c:v>180°C (%)</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'[Scopus-2,3 graphics.xlsx]Sheet1'!$F$64:$F$71</c:f>
              <c:numCache>
                <c:formatCode>General</c:formatCode>
                <c:ptCount val="8"/>
                <c:pt idx="0">
                  <c:v>20</c:v>
                </c:pt>
                <c:pt idx="1">
                  <c:v>30</c:v>
                </c:pt>
                <c:pt idx="2">
                  <c:v>40</c:v>
                </c:pt>
                <c:pt idx="3">
                  <c:v>50</c:v>
                </c:pt>
                <c:pt idx="4">
                  <c:v>60</c:v>
                </c:pt>
                <c:pt idx="5">
                  <c:v>70</c:v>
                </c:pt>
                <c:pt idx="6">
                  <c:v>80</c:v>
                </c:pt>
                <c:pt idx="7">
                  <c:v>90</c:v>
                </c:pt>
              </c:numCache>
            </c:numRef>
          </c:xVal>
          <c:yVal>
            <c:numRef>
              <c:f>'[Scopus-2,3 graphics.xlsx]Sheet1'!$J$64:$J$71</c:f>
              <c:numCache>
                <c:formatCode>General</c:formatCode>
                <c:ptCount val="8"/>
                <c:pt idx="0">
                  <c:v>4.3</c:v>
                </c:pt>
                <c:pt idx="1">
                  <c:v>2.7</c:v>
                </c:pt>
                <c:pt idx="2">
                  <c:v>2.2000000000000002</c:v>
                </c:pt>
                <c:pt idx="3">
                  <c:v>1.8</c:v>
                </c:pt>
                <c:pt idx="4">
                  <c:v>1.6</c:v>
                </c:pt>
                <c:pt idx="5">
                  <c:v>1.5</c:v>
                </c:pt>
                <c:pt idx="6">
                  <c:v>1.5</c:v>
                </c:pt>
                <c:pt idx="7">
                  <c:v>1.5</c:v>
                </c:pt>
              </c:numCache>
            </c:numRef>
          </c:yVal>
          <c:smooth val="0"/>
          <c:extLst>
            <c:ext xmlns:c16="http://schemas.microsoft.com/office/drawing/2014/chart" uri="{C3380CC4-5D6E-409C-BE32-E72D297353CC}">
              <c16:uniqueId val="{00000003-AF54-4980-8BAC-E75D48D53431}"/>
            </c:ext>
          </c:extLst>
        </c:ser>
        <c:dLbls>
          <c:showLegendKey val="0"/>
          <c:showVal val="0"/>
          <c:showCatName val="0"/>
          <c:showSerName val="0"/>
          <c:showPercent val="0"/>
          <c:showBubbleSize val="0"/>
        </c:dLbls>
        <c:axId val="440160944"/>
        <c:axId val="440151696"/>
      </c:scatterChart>
      <c:valAx>
        <c:axId val="44016094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a:t>time (min)</a:t>
                </a:r>
              </a:p>
            </c:rich>
          </c:tx>
          <c:layout>
            <c:manualLayout>
              <c:xMode val="edge"/>
              <c:yMode val="edge"/>
              <c:x val="0.45813151197009461"/>
              <c:y val="0.8383144329996168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440151696"/>
        <c:crosses val="autoZero"/>
        <c:crossBetween val="midCat"/>
      </c:valAx>
      <c:valAx>
        <c:axId val="4401516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a:t>C,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crossAx val="440160944"/>
        <c:crosses val="autoZero"/>
        <c:crossBetween val="midCat"/>
      </c:valAx>
      <c:spPr>
        <a:noFill/>
        <a:ln>
          <a:noFill/>
        </a:ln>
        <a:effectLst/>
      </c:spPr>
    </c:plotArea>
    <c:legend>
      <c:legendPos val="b"/>
      <c:layout>
        <c:manualLayout>
          <c:xMode val="edge"/>
          <c:yMode val="edge"/>
          <c:x val="0.05"/>
          <c:y val="0.89746063473540483"/>
          <c:w val="0.9"/>
          <c:h val="8.2974679522359776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baseline="0">
          <a:solidFill>
            <a:schemeClr val="tx1"/>
          </a:solidFill>
          <a:latin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4</Pages>
  <Words>2543</Words>
  <Characters>14499</Characters>
  <Application>Microsoft Office Word</Application>
  <DocSecurity>0</DocSecurity>
  <Lines>120</Lines>
  <Paragraphs>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Abdulaziz G'ulomov</dc:creator>
  <cp:keywords/>
  <dc:description/>
  <cp:lastModifiedBy>Talipov Miraziz</cp:lastModifiedBy>
  <cp:revision>44</cp:revision>
  <dcterms:created xsi:type="dcterms:W3CDTF">2025-07-14T15:04:00Z</dcterms:created>
  <dcterms:modified xsi:type="dcterms:W3CDTF">2025-10-04T11:20:00Z</dcterms:modified>
</cp:coreProperties>
</file>