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pPr>
    </w:p>
    <w:p>
      <w:pPr>
        <w:pStyle w:val="BodyText"/>
      </w:pPr>
    </w:p>
    <w:p>
      <w:pPr>
        <w:pStyle w:val="BodyText"/>
      </w:pPr>
    </w:p>
    <w:p>
      <w:pPr>
        <w:pStyle w:val="BodyText"/>
      </w:pPr>
    </w:p>
    <w:p>
      <w:pPr>
        <w:spacing w:before="220"/>
        <w:ind w:left="1926" w:right="1927" w:firstLine="0"/>
        <w:jc w:val="center"/>
        <w:rPr>
          <w:b/>
          <w:sz w:val="36"/>
        </w:rPr>
      </w:pPr>
      <w:r>
        <w:rPr>
          <w:b/>
          <w:sz w:val="36"/>
        </w:rPr>
        <w:t>Blue Light-Emitting Carbon Dots from Victorian Brown Coal</w:t>
      </w:r>
    </w:p>
    <w:p>
      <w:pPr>
        <w:pStyle w:val="BodyText"/>
        <w:spacing w:before="4"/>
        <w:rPr>
          <w:b/>
          <w:sz w:val="55"/>
        </w:rPr>
      </w:pPr>
    </w:p>
    <w:p>
      <w:pPr>
        <w:spacing w:line="232" w:lineRule="auto" w:before="0"/>
        <w:ind w:left="178" w:right="176" w:firstLine="0"/>
        <w:jc w:val="center"/>
        <w:rPr>
          <w:sz w:val="18"/>
        </w:rPr>
      </w:pPr>
      <w:r>
        <w:rPr>
          <w:sz w:val="28"/>
        </w:rPr>
        <w:t>Ken Inoue</w:t>
      </w:r>
      <w:r>
        <w:rPr>
          <w:position w:val="10"/>
          <w:sz w:val="18"/>
        </w:rPr>
        <w:t>1, a)</w:t>
      </w:r>
      <w:r>
        <w:rPr>
          <w:sz w:val="28"/>
        </w:rPr>
        <w:t>, Yuma Nishi</w:t>
      </w:r>
      <w:r>
        <w:rPr>
          <w:position w:val="10"/>
          <w:sz w:val="18"/>
        </w:rPr>
        <w:t>1</w:t>
      </w:r>
      <w:r>
        <w:rPr>
          <w:sz w:val="28"/>
        </w:rPr>
        <w:t>, Juri Miyamoto</w:t>
      </w:r>
      <w:r>
        <w:rPr>
          <w:position w:val="10"/>
          <w:sz w:val="18"/>
        </w:rPr>
        <w:t>1</w:t>
      </w:r>
      <w:r>
        <w:rPr>
          <w:sz w:val="28"/>
        </w:rPr>
        <w:t>, Ryo Suzuki</w:t>
      </w:r>
      <w:r>
        <w:rPr>
          <w:position w:val="10"/>
          <w:sz w:val="18"/>
        </w:rPr>
        <w:t>1</w:t>
      </w:r>
      <w:r>
        <w:rPr>
          <w:sz w:val="28"/>
        </w:rPr>
        <w:t>, Tadahiko Hirai</w:t>
      </w:r>
      <w:r>
        <w:rPr>
          <w:position w:val="10"/>
          <w:sz w:val="18"/>
        </w:rPr>
        <w:t>2</w:t>
      </w:r>
      <w:r>
        <w:rPr>
          <w:sz w:val="28"/>
        </w:rPr>
        <w:t>, Doki Yamaguchi</w:t>
      </w:r>
      <w:r>
        <w:rPr>
          <w:position w:val="10"/>
          <w:sz w:val="18"/>
        </w:rPr>
        <w:t>3</w:t>
      </w:r>
      <w:r>
        <w:rPr>
          <w:sz w:val="28"/>
        </w:rPr>
        <w:t>, Makoto Tanimura</w:t>
      </w:r>
      <w:r>
        <w:rPr>
          <w:position w:val="10"/>
          <w:sz w:val="18"/>
        </w:rPr>
        <w:t>4</w:t>
      </w:r>
      <w:r>
        <w:rPr>
          <w:sz w:val="28"/>
        </w:rPr>
        <w:t>, Yuko Kaneda</w:t>
      </w:r>
      <w:r>
        <w:rPr>
          <w:position w:val="10"/>
          <w:sz w:val="18"/>
        </w:rPr>
        <w:t>4 </w:t>
      </w:r>
      <w:r>
        <w:rPr>
          <w:sz w:val="28"/>
        </w:rPr>
        <w:t>and Masaru Tachibana</w:t>
      </w:r>
      <w:r>
        <w:rPr>
          <w:position w:val="10"/>
          <w:sz w:val="18"/>
        </w:rPr>
        <w:t>1, b)</w:t>
      </w:r>
    </w:p>
    <w:p>
      <w:pPr>
        <w:pStyle w:val="BodyText"/>
        <w:rPr>
          <w:sz w:val="32"/>
        </w:rPr>
      </w:pPr>
    </w:p>
    <w:p>
      <w:pPr>
        <w:pStyle w:val="BodyText"/>
        <w:spacing w:before="3"/>
        <w:rPr>
          <w:sz w:val="39"/>
        </w:rPr>
      </w:pPr>
    </w:p>
    <w:p>
      <w:pPr>
        <w:spacing w:before="0"/>
        <w:ind w:left="1133" w:right="1134" w:firstLine="0"/>
        <w:jc w:val="center"/>
        <w:rPr>
          <w:i/>
          <w:sz w:val="20"/>
        </w:rPr>
      </w:pPr>
      <w:r>
        <w:rPr>
          <w:position w:val="7"/>
          <w:sz w:val="13"/>
        </w:rPr>
        <w:t>1 </w:t>
      </w:r>
      <w:r>
        <w:rPr>
          <w:i/>
          <w:sz w:val="20"/>
        </w:rPr>
        <w:t>Graduate School of Nanobioscience, Yokohama City University, 22-2 Seto, Kanazawa-ku, </w:t>
      </w:r>
      <w:r>
        <w:rPr>
          <w:i/>
          <w:sz w:val="20"/>
        </w:rPr>
        <w:t>Yokohama 236-0027, Japan</w:t>
      </w:r>
    </w:p>
    <w:p>
      <w:pPr>
        <w:spacing w:line="227" w:lineRule="exact" w:before="0"/>
        <w:ind w:left="224" w:right="173" w:firstLine="0"/>
        <w:jc w:val="center"/>
        <w:rPr>
          <w:i/>
          <w:sz w:val="20"/>
        </w:rPr>
      </w:pPr>
      <w:r>
        <w:rPr>
          <w:position w:val="7"/>
          <w:sz w:val="13"/>
        </w:rPr>
        <w:t>2 </w:t>
      </w:r>
      <w:r>
        <w:rPr>
          <w:i/>
          <w:sz w:val="20"/>
        </w:rPr>
        <w:t>CSIRO Manufacturing, Research Way, Clayton, Victoria 3168, Australia</w:t>
      </w:r>
    </w:p>
    <w:p>
      <w:pPr>
        <w:spacing w:line="230" w:lineRule="exact" w:before="0"/>
        <w:ind w:left="176" w:right="176" w:firstLine="0"/>
        <w:jc w:val="center"/>
        <w:rPr>
          <w:i/>
          <w:sz w:val="20"/>
        </w:rPr>
      </w:pPr>
      <w:r>
        <w:rPr>
          <w:position w:val="7"/>
          <w:sz w:val="13"/>
        </w:rPr>
        <w:t>3 </w:t>
      </w:r>
      <w:r>
        <w:rPr>
          <w:i/>
          <w:sz w:val="20"/>
        </w:rPr>
        <w:t>CSIRO Energy, Private Bag 10, Clayton South, Victoria 3168, Australia</w:t>
      </w:r>
    </w:p>
    <w:p>
      <w:pPr>
        <w:spacing w:before="0"/>
        <w:ind w:left="181" w:right="176" w:firstLine="0"/>
        <w:jc w:val="center"/>
        <w:rPr>
          <w:i/>
          <w:sz w:val="20"/>
        </w:rPr>
      </w:pPr>
      <w:r>
        <w:rPr>
          <w:position w:val="7"/>
          <w:sz w:val="13"/>
        </w:rPr>
        <w:t>4 </w:t>
      </w:r>
      <w:r>
        <w:rPr>
          <w:i/>
          <w:sz w:val="20"/>
        </w:rPr>
        <w:t>Instrumental Analysis Center, Yokohama National University, 79-5 Tokiwadai, Hodogaya-ku, Yokohama 240- </w:t>
      </w:r>
      <w:r>
        <w:rPr>
          <w:i/>
          <w:sz w:val="20"/>
        </w:rPr>
        <w:t>8501, Japan</w:t>
      </w:r>
    </w:p>
    <w:p>
      <w:pPr>
        <w:pStyle w:val="BodyText"/>
        <w:spacing w:before="4"/>
        <w:rPr>
          <w:i/>
          <w:sz w:val="19"/>
        </w:rPr>
      </w:pPr>
    </w:p>
    <w:p>
      <w:pPr>
        <w:pStyle w:val="BodyText"/>
        <w:spacing w:line="233" w:lineRule="exact"/>
        <w:ind w:left="3481"/>
      </w:pPr>
      <w:r>
        <w:rPr>
          <w:i/>
          <w:position w:val="7"/>
          <w:sz w:val="13"/>
        </w:rPr>
        <w:t>a) </w:t>
      </w:r>
      <w:hyperlink r:id="rId5">
        <w:r>
          <w:rPr/>
          <w:t>n225204a@yokohama-cu.ac.jp</w:t>
        </w:r>
      </w:hyperlink>
    </w:p>
    <w:p>
      <w:pPr>
        <w:spacing w:line="233" w:lineRule="exact" w:before="0"/>
        <w:ind w:left="2573" w:right="0" w:firstLine="0"/>
        <w:jc w:val="left"/>
        <w:rPr>
          <w:sz w:val="20"/>
        </w:rPr>
      </w:pPr>
      <w:r>
        <w:rPr>
          <w:position w:val="7"/>
          <w:sz w:val="13"/>
        </w:rPr>
        <w:t>b) </w:t>
      </w:r>
      <w:r>
        <w:rPr>
          <w:i/>
          <w:sz w:val="20"/>
        </w:rPr>
        <w:t>Corresponding author: </w:t>
      </w:r>
      <w:hyperlink r:id="rId6">
        <w:r>
          <w:rPr>
            <w:sz w:val="20"/>
          </w:rPr>
          <w:t>tachiban@yokohama-cu.ac.jp</w:t>
        </w:r>
      </w:hyperlink>
    </w:p>
    <w:p>
      <w:pPr>
        <w:pStyle w:val="BodyText"/>
        <w:spacing w:before="4"/>
        <w:rPr>
          <w:sz w:val="31"/>
        </w:rPr>
      </w:pPr>
    </w:p>
    <w:p>
      <w:pPr>
        <w:spacing w:line="240" w:lineRule="auto" w:before="0"/>
        <w:ind w:left="408" w:right="402" w:firstLine="0"/>
        <w:jc w:val="both"/>
        <w:rPr>
          <w:sz w:val="18"/>
        </w:rPr>
      </w:pPr>
      <w:r>
        <w:rPr>
          <w:b/>
          <w:sz w:val="18"/>
        </w:rPr>
        <w:t>Abstract.</w:t>
      </w:r>
      <w:r>
        <w:rPr>
          <w:b/>
          <w:spacing w:val="-7"/>
          <w:sz w:val="18"/>
        </w:rPr>
        <w:t> </w:t>
      </w:r>
      <w:r>
        <w:rPr>
          <w:sz w:val="18"/>
        </w:rPr>
        <w:t>Carbon</w:t>
      </w:r>
      <w:r>
        <w:rPr>
          <w:spacing w:val="-10"/>
          <w:sz w:val="18"/>
        </w:rPr>
        <w:t> </w:t>
      </w:r>
      <w:r>
        <w:rPr>
          <w:sz w:val="18"/>
        </w:rPr>
        <w:t>dots</w:t>
      </w:r>
      <w:r>
        <w:rPr>
          <w:spacing w:val="-5"/>
          <w:sz w:val="18"/>
        </w:rPr>
        <w:t> </w:t>
      </w:r>
      <w:r>
        <w:rPr>
          <w:sz w:val="18"/>
        </w:rPr>
        <w:t>(CDs)</w:t>
      </w:r>
      <w:r>
        <w:rPr>
          <w:spacing w:val="-7"/>
          <w:sz w:val="18"/>
        </w:rPr>
        <w:t> </w:t>
      </w:r>
      <w:r>
        <w:rPr>
          <w:sz w:val="18"/>
        </w:rPr>
        <w:t>are</w:t>
      </w:r>
      <w:r>
        <w:rPr>
          <w:spacing w:val="-7"/>
          <w:sz w:val="18"/>
        </w:rPr>
        <w:t> </w:t>
      </w:r>
      <w:r>
        <w:rPr>
          <w:sz w:val="18"/>
        </w:rPr>
        <w:t>innovative</w:t>
      </w:r>
      <w:r>
        <w:rPr>
          <w:spacing w:val="-7"/>
          <w:sz w:val="18"/>
        </w:rPr>
        <w:t> </w:t>
      </w:r>
      <w:r>
        <w:rPr>
          <w:sz w:val="18"/>
        </w:rPr>
        <w:t>fluorescent</w:t>
      </w:r>
      <w:r>
        <w:rPr>
          <w:spacing w:val="-9"/>
          <w:sz w:val="18"/>
        </w:rPr>
        <w:t> </w:t>
      </w:r>
      <w:r>
        <w:rPr>
          <w:sz w:val="18"/>
        </w:rPr>
        <w:t>carbon</w:t>
      </w:r>
      <w:r>
        <w:rPr>
          <w:spacing w:val="-6"/>
          <w:sz w:val="18"/>
        </w:rPr>
        <w:t> </w:t>
      </w:r>
      <w:r>
        <w:rPr>
          <w:sz w:val="18"/>
        </w:rPr>
        <w:t>nanomaterials</w:t>
      </w:r>
      <w:r>
        <w:rPr>
          <w:spacing w:val="-9"/>
          <w:sz w:val="18"/>
        </w:rPr>
        <w:t> </w:t>
      </w:r>
      <w:r>
        <w:rPr>
          <w:sz w:val="18"/>
        </w:rPr>
        <w:t>with</w:t>
      </w:r>
      <w:r>
        <w:rPr>
          <w:spacing w:val="-10"/>
          <w:sz w:val="18"/>
        </w:rPr>
        <w:t> </w:t>
      </w:r>
      <w:r>
        <w:rPr>
          <w:sz w:val="18"/>
        </w:rPr>
        <w:t>sizes</w:t>
      </w:r>
      <w:r>
        <w:rPr>
          <w:spacing w:val="-8"/>
          <w:sz w:val="18"/>
        </w:rPr>
        <w:t> </w:t>
      </w:r>
      <w:r>
        <w:rPr>
          <w:sz w:val="18"/>
        </w:rPr>
        <w:t>smaller</w:t>
      </w:r>
      <w:r>
        <w:rPr>
          <w:spacing w:val="-11"/>
          <w:sz w:val="18"/>
        </w:rPr>
        <w:t> </w:t>
      </w:r>
      <w:r>
        <w:rPr>
          <w:sz w:val="18"/>
        </w:rPr>
        <w:t>than</w:t>
      </w:r>
      <w:r>
        <w:rPr>
          <w:spacing w:val="-6"/>
          <w:sz w:val="18"/>
        </w:rPr>
        <w:t> </w:t>
      </w:r>
      <w:r>
        <w:rPr>
          <w:sz w:val="18"/>
        </w:rPr>
        <w:t>10</w:t>
      </w:r>
      <w:r>
        <w:rPr>
          <w:spacing w:val="-5"/>
          <w:sz w:val="18"/>
        </w:rPr>
        <w:t> </w:t>
      </w:r>
      <w:r>
        <w:rPr>
          <w:sz w:val="18"/>
        </w:rPr>
        <w:t>nm.</w:t>
      </w:r>
      <w:r>
        <w:rPr>
          <w:spacing w:val="-13"/>
          <w:sz w:val="18"/>
        </w:rPr>
        <w:t> </w:t>
      </w:r>
      <w:r>
        <w:rPr>
          <w:sz w:val="18"/>
        </w:rPr>
        <w:t>However,</w:t>
      </w:r>
      <w:r>
        <w:rPr>
          <w:spacing w:val="-8"/>
          <w:sz w:val="18"/>
        </w:rPr>
        <w:t> </w:t>
      </w:r>
      <w:r>
        <w:rPr>
          <w:sz w:val="18"/>
        </w:rPr>
        <w:t>the practical applications of CDs have been hindered by the relatively high cost of precursors, which limits their large-scale production. Coal is known to be the most abundant with low cost and broadly distributed natural resource on the Earth. It is an organic matter mainly composed of carbon, hydrogen, and oxygen. Thus, coal is an attractive precursor for synthesizing</w:t>
      </w:r>
      <w:r>
        <w:rPr>
          <w:spacing w:val="-2"/>
          <w:sz w:val="18"/>
        </w:rPr>
        <w:t> </w:t>
      </w:r>
      <w:r>
        <w:rPr>
          <w:sz w:val="18"/>
        </w:rPr>
        <w:t>CDs</w:t>
      </w:r>
      <w:r>
        <w:rPr>
          <w:spacing w:val="-5"/>
          <w:sz w:val="18"/>
        </w:rPr>
        <w:t> </w:t>
      </w:r>
      <w:r>
        <w:rPr>
          <w:sz w:val="18"/>
        </w:rPr>
        <w:t>with</w:t>
      </w:r>
      <w:r>
        <w:rPr>
          <w:spacing w:val="1"/>
          <w:sz w:val="18"/>
        </w:rPr>
        <w:t> </w:t>
      </w:r>
      <w:r>
        <w:rPr>
          <w:sz w:val="18"/>
        </w:rPr>
        <w:t>a</w:t>
      </w:r>
      <w:r>
        <w:rPr>
          <w:spacing w:val="-6"/>
          <w:sz w:val="18"/>
        </w:rPr>
        <w:t> </w:t>
      </w:r>
      <w:r>
        <w:rPr>
          <w:sz w:val="18"/>
        </w:rPr>
        <w:t>large-scaled</w:t>
      </w:r>
      <w:r>
        <w:rPr>
          <w:spacing w:val="-4"/>
          <w:sz w:val="18"/>
        </w:rPr>
        <w:t> </w:t>
      </w:r>
      <w:r>
        <w:rPr>
          <w:sz w:val="18"/>
        </w:rPr>
        <w:t>production.</w:t>
      </w:r>
      <w:r>
        <w:rPr>
          <w:spacing w:val="-4"/>
          <w:sz w:val="18"/>
        </w:rPr>
        <w:t> </w:t>
      </w:r>
      <w:r>
        <w:rPr>
          <w:sz w:val="18"/>
        </w:rPr>
        <w:t>In</w:t>
      </w:r>
      <w:r>
        <w:rPr>
          <w:spacing w:val="-6"/>
          <w:sz w:val="18"/>
        </w:rPr>
        <w:t> </w:t>
      </w:r>
      <w:r>
        <w:rPr>
          <w:sz w:val="18"/>
        </w:rPr>
        <w:t>this</w:t>
      </w:r>
      <w:r>
        <w:rPr>
          <w:spacing w:val="-5"/>
          <w:sz w:val="18"/>
        </w:rPr>
        <w:t> </w:t>
      </w:r>
      <w:r>
        <w:rPr>
          <w:sz w:val="18"/>
        </w:rPr>
        <w:t>study,</w:t>
      </w:r>
      <w:r>
        <w:rPr>
          <w:spacing w:val="-8"/>
          <w:sz w:val="18"/>
        </w:rPr>
        <w:t> </w:t>
      </w:r>
      <w:r>
        <w:rPr>
          <w:sz w:val="18"/>
        </w:rPr>
        <w:t>we</w:t>
      </w:r>
      <w:r>
        <w:rPr>
          <w:spacing w:val="-6"/>
          <w:sz w:val="18"/>
        </w:rPr>
        <w:t> </w:t>
      </w:r>
      <w:r>
        <w:rPr>
          <w:sz w:val="18"/>
        </w:rPr>
        <w:t>demonstrate</w:t>
      </w:r>
      <w:r>
        <w:rPr>
          <w:spacing w:val="-3"/>
          <w:sz w:val="18"/>
        </w:rPr>
        <w:t> </w:t>
      </w:r>
      <w:r>
        <w:rPr>
          <w:sz w:val="18"/>
        </w:rPr>
        <w:t>a</w:t>
      </w:r>
      <w:r>
        <w:rPr>
          <w:spacing w:val="-6"/>
          <w:sz w:val="18"/>
        </w:rPr>
        <w:t> </w:t>
      </w:r>
      <w:r>
        <w:rPr>
          <w:sz w:val="18"/>
        </w:rPr>
        <w:t>one-step</w:t>
      </w:r>
      <w:r>
        <w:rPr>
          <w:spacing w:val="-1"/>
          <w:sz w:val="18"/>
        </w:rPr>
        <w:t> </w:t>
      </w:r>
      <w:r>
        <w:rPr>
          <w:sz w:val="18"/>
        </w:rPr>
        <w:t>extraction</w:t>
      </w:r>
      <w:r>
        <w:rPr>
          <w:spacing w:val="-1"/>
          <w:sz w:val="18"/>
        </w:rPr>
        <w:t> </w:t>
      </w:r>
      <w:r>
        <w:rPr>
          <w:sz w:val="18"/>
        </w:rPr>
        <w:t>method</w:t>
      </w:r>
      <w:r>
        <w:rPr>
          <w:spacing w:val="-6"/>
          <w:sz w:val="18"/>
        </w:rPr>
        <w:t> </w:t>
      </w:r>
      <w:r>
        <w:rPr>
          <w:sz w:val="18"/>
        </w:rPr>
        <w:t>for</w:t>
      </w:r>
      <w:r>
        <w:rPr>
          <w:spacing w:val="-6"/>
          <w:sz w:val="18"/>
        </w:rPr>
        <w:t> </w:t>
      </w:r>
      <w:r>
        <w:rPr>
          <w:sz w:val="18"/>
        </w:rPr>
        <w:t>obtaining blue light-emitting CDs from Victorian brown coal in Australia, which is low cost and has an abundant reserve over the world. The extraction of certain substances from the brown coal was achieved using ethanol as a solvent. Subsequently, the</w:t>
      </w:r>
      <w:r>
        <w:rPr>
          <w:spacing w:val="-7"/>
          <w:sz w:val="18"/>
        </w:rPr>
        <w:t> </w:t>
      </w:r>
      <w:r>
        <w:rPr>
          <w:sz w:val="18"/>
        </w:rPr>
        <w:t>solution</w:t>
      </w:r>
      <w:r>
        <w:rPr>
          <w:spacing w:val="-5"/>
          <w:sz w:val="18"/>
        </w:rPr>
        <w:t> </w:t>
      </w:r>
      <w:r>
        <w:rPr>
          <w:sz w:val="18"/>
        </w:rPr>
        <w:t>of</w:t>
      </w:r>
      <w:r>
        <w:rPr>
          <w:spacing w:val="-6"/>
          <w:sz w:val="18"/>
        </w:rPr>
        <w:t> </w:t>
      </w:r>
      <w:r>
        <w:rPr>
          <w:sz w:val="18"/>
        </w:rPr>
        <w:t>the</w:t>
      </w:r>
      <w:r>
        <w:rPr>
          <w:spacing w:val="-6"/>
          <w:sz w:val="18"/>
        </w:rPr>
        <w:t> </w:t>
      </w:r>
      <w:r>
        <w:rPr>
          <w:sz w:val="18"/>
        </w:rPr>
        <w:t>extracted</w:t>
      </w:r>
      <w:r>
        <w:rPr>
          <w:spacing w:val="-5"/>
          <w:sz w:val="18"/>
        </w:rPr>
        <w:t> </w:t>
      </w:r>
      <w:r>
        <w:rPr>
          <w:sz w:val="18"/>
        </w:rPr>
        <w:t>substances</w:t>
      </w:r>
      <w:r>
        <w:rPr>
          <w:spacing w:val="-5"/>
          <w:sz w:val="18"/>
        </w:rPr>
        <w:t> </w:t>
      </w:r>
      <w:r>
        <w:rPr>
          <w:sz w:val="18"/>
        </w:rPr>
        <w:t>exhibited</w:t>
      </w:r>
      <w:r>
        <w:rPr>
          <w:spacing w:val="-5"/>
          <w:sz w:val="18"/>
        </w:rPr>
        <w:t> </w:t>
      </w:r>
      <w:r>
        <w:rPr>
          <w:sz w:val="18"/>
        </w:rPr>
        <w:t>blue</w:t>
      </w:r>
      <w:r>
        <w:rPr>
          <w:spacing w:val="-6"/>
          <w:sz w:val="18"/>
        </w:rPr>
        <w:t> </w:t>
      </w:r>
      <w:r>
        <w:rPr>
          <w:sz w:val="18"/>
        </w:rPr>
        <w:t>luminescence</w:t>
      </w:r>
      <w:r>
        <w:rPr>
          <w:spacing w:val="-6"/>
          <w:sz w:val="18"/>
        </w:rPr>
        <w:t> </w:t>
      </w:r>
      <w:r>
        <w:rPr>
          <w:sz w:val="18"/>
        </w:rPr>
        <w:t>when</w:t>
      </w:r>
      <w:r>
        <w:rPr>
          <w:spacing w:val="-6"/>
          <w:sz w:val="18"/>
        </w:rPr>
        <w:t> </w:t>
      </w:r>
      <w:r>
        <w:rPr>
          <w:sz w:val="18"/>
        </w:rPr>
        <w:t>exposed</w:t>
      </w:r>
      <w:r>
        <w:rPr>
          <w:spacing w:val="-5"/>
          <w:sz w:val="18"/>
        </w:rPr>
        <w:t> </w:t>
      </w:r>
      <w:r>
        <w:rPr>
          <w:sz w:val="18"/>
        </w:rPr>
        <w:t>to</w:t>
      </w:r>
      <w:r>
        <w:rPr>
          <w:spacing w:val="-5"/>
          <w:sz w:val="18"/>
        </w:rPr>
        <w:t> </w:t>
      </w:r>
      <w:r>
        <w:rPr>
          <w:sz w:val="18"/>
        </w:rPr>
        <w:t>ultraviolet</w:t>
      </w:r>
      <w:r>
        <w:rPr>
          <w:spacing w:val="-5"/>
          <w:sz w:val="18"/>
        </w:rPr>
        <w:t> </w:t>
      </w:r>
      <w:r>
        <w:rPr>
          <w:sz w:val="18"/>
        </w:rPr>
        <w:t>irradiation.</w:t>
      </w:r>
      <w:r>
        <w:rPr>
          <w:spacing w:val="-8"/>
          <w:sz w:val="18"/>
        </w:rPr>
        <w:t> </w:t>
      </w:r>
      <w:r>
        <w:rPr>
          <w:sz w:val="18"/>
        </w:rPr>
        <w:t>Transmission electron microscopy images revealed nanoparticles with an average size of 4.0 nm. The photoluminescence spectrum displayed a broad peak with a full width at half maximum of 116 nm, centered around 448 nm, when excited at 360 nm. Remarkably, these characteristic features closely resemble those observed in fluorescent CDs obtained from high-cost precursors</w:t>
      </w:r>
      <w:r>
        <w:rPr>
          <w:spacing w:val="-14"/>
          <w:sz w:val="18"/>
        </w:rPr>
        <w:t> </w:t>
      </w:r>
      <w:r>
        <w:rPr>
          <w:sz w:val="18"/>
        </w:rPr>
        <w:t>using</w:t>
      </w:r>
      <w:r>
        <w:rPr>
          <w:spacing w:val="-13"/>
          <w:sz w:val="18"/>
        </w:rPr>
        <w:t> </w:t>
      </w:r>
      <w:r>
        <w:rPr>
          <w:sz w:val="18"/>
        </w:rPr>
        <w:t>multi-step</w:t>
      </w:r>
      <w:r>
        <w:rPr>
          <w:spacing w:val="-12"/>
          <w:sz w:val="18"/>
        </w:rPr>
        <w:t> </w:t>
      </w:r>
      <w:r>
        <w:rPr>
          <w:sz w:val="18"/>
        </w:rPr>
        <w:t>procedures</w:t>
      </w:r>
      <w:r>
        <w:rPr>
          <w:spacing w:val="-12"/>
          <w:sz w:val="18"/>
        </w:rPr>
        <w:t> </w:t>
      </w:r>
      <w:r>
        <w:rPr>
          <w:sz w:val="18"/>
        </w:rPr>
        <w:t>such</w:t>
      </w:r>
      <w:r>
        <w:rPr>
          <w:spacing w:val="-13"/>
          <w:sz w:val="18"/>
        </w:rPr>
        <w:t> </w:t>
      </w:r>
      <w:r>
        <w:rPr>
          <w:sz w:val="18"/>
        </w:rPr>
        <w:t>as</w:t>
      </w:r>
      <w:r>
        <w:rPr>
          <w:spacing w:val="-13"/>
          <w:sz w:val="18"/>
        </w:rPr>
        <w:t> </w:t>
      </w:r>
      <w:r>
        <w:rPr>
          <w:sz w:val="18"/>
        </w:rPr>
        <w:t>pyrolysis</w:t>
      </w:r>
      <w:r>
        <w:rPr>
          <w:spacing w:val="-13"/>
          <w:sz w:val="18"/>
        </w:rPr>
        <w:t> </w:t>
      </w:r>
      <w:r>
        <w:rPr>
          <w:sz w:val="18"/>
        </w:rPr>
        <w:t>decomposition,</w:t>
      </w:r>
      <w:r>
        <w:rPr>
          <w:spacing w:val="-16"/>
          <w:sz w:val="18"/>
        </w:rPr>
        <w:t> </w:t>
      </w:r>
      <w:r>
        <w:rPr>
          <w:sz w:val="18"/>
        </w:rPr>
        <w:t>chemical</w:t>
      </w:r>
      <w:r>
        <w:rPr>
          <w:spacing w:val="-14"/>
          <w:sz w:val="18"/>
        </w:rPr>
        <w:t> </w:t>
      </w:r>
      <w:r>
        <w:rPr>
          <w:sz w:val="18"/>
        </w:rPr>
        <w:t>oxidation,</w:t>
      </w:r>
      <w:r>
        <w:rPr>
          <w:spacing w:val="-16"/>
          <w:sz w:val="18"/>
        </w:rPr>
        <w:t> </w:t>
      </w:r>
      <w:r>
        <w:rPr>
          <w:sz w:val="18"/>
        </w:rPr>
        <w:t>microwave-assisted</w:t>
      </w:r>
      <w:r>
        <w:rPr>
          <w:spacing w:val="-16"/>
          <w:sz w:val="18"/>
        </w:rPr>
        <w:t> </w:t>
      </w:r>
      <w:r>
        <w:rPr>
          <w:sz w:val="18"/>
        </w:rPr>
        <w:t>synthesis, ultrasonic synthesis, and laser ablation synthesis. These results demonstrate the successful extraction of fluorescent substances</w:t>
      </w:r>
      <w:r>
        <w:rPr>
          <w:spacing w:val="-11"/>
          <w:sz w:val="18"/>
        </w:rPr>
        <w:t> </w:t>
      </w:r>
      <w:r>
        <w:rPr>
          <w:sz w:val="18"/>
        </w:rPr>
        <w:t>or</w:t>
      </w:r>
      <w:r>
        <w:rPr>
          <w:spacing w:val="-11"/>
          <w:sz w:val="18"/>
        </w:rPr>
        <w:t> </w:t>
      </w:r>
      <w:r>
        <w:rPr>
          <w:sz w:val="18"/>
        </w:rPr>
        <w:t>CDs</w:t>
      </w:r>
      <w:r>
        <w:rPr>
          <w:spacing w:val="-11"/>
          <w:sz w:val="18"/>
        </w:rPr>
        <w:t> </w:t>
      </w:r>
      <w:r>
        <w:rPr>
          <w:sz w:val="18"/>
        </w:rPr>
        <w:t>from</w:t>
      </w:r>
      <w:r>
        <w:rPr>
          <w:spacing w:val="-10"/>
          <w:sz w:val="18"/>
        </w:rPr>
        <w:t> </w:t>
      </w:r>
      <w:r>
        <w:rPr>
          <w:sz w:val="18"/>
        </w:rPr>
        <w:t>the</w:t>
      </w:r>
      <w:r>
        <w:rPr>
          <w:spacing w:val="-11"/>
          <w:sz w:val="18"/>
        </w:rPr>
        <w:t> </w:t>
      </w:r>
      <w:r>
        <w:rPr>
          <w:sz w:val="18"/>
        </w:rPr>
        <w:t>brown</w:t>
      </w:r>
      <w:r>
        <w:rPr>
          <w:spacing w:val="-11"/>
          <w:sz w:val="18"/>
        </w:rPr>
        <w:t> </w:t>
      </w:r>
      <w:r>
        <w:rPr>
          <w:sz w:val="18"/>
        </w:rPr>
        <w:t>coal</w:t>
      </w:r>
      <w:r>
        <w:rPr>
          <w:spacing w:val="-14"/>
          <w:sz w:val="18"/>
        </w:rPr>
        <w:t> </w:t>
      </w:r>
      <w:r>
        <w:rPr>
          <w:sz w:val="18"/>
        </w:rPr>
        <w:t>using</w:t>
      </w:r>
      <w:r>
        <w:rPr>
          <w:spacing w:val="-10"/>
          <w:sz w:val="18"/>
        </w:rPr>
        <w:t> </w:t>
      </w:r>
      <w:r>
        <w:rPr>
          <w:sz w:val="18"/>
        </w:rPr>
        <w:t>a</w:t>
      </w:r>
      <w:r>
        <w:rPr>
          <w:spacing w:val="-12"/>
          <w:sz w:val="18"/>
        </w:rPr>
        <w:t> </w:t>
      </w:r>
      <w:r>
        <w:rPr>
          <w:sz w:val="18"/>
        </w:rPr>
        <w:t>simple</w:t>
      </w:r>
      <w:r>
        <w:rPr>
          <w:spacing w:val="-10"/>
          <w:sz w:val="18"/>
        </w:rPr>
        <w:t> </w:t>
      </w:r>
      <w:r>
        <w:rPr>
          <w:sz w:val="18"/>
        </w:rPr>
        <w:t>one</w:t>
      </w:r>
      <w:r>
        <w:rPr>
          <w:spacing w:val="-11"/>
          <w:sz w:val="18"/>
        </w:rPr>
        <w:t> </w:t>
      </w:r>
      <w:r>
        <w:rPr>
          <w:sz w:val="18"/>
        </w:rPr>
        <w:t>step</w:t>
      </w:r>
      <w:r>
        <w:rPr>
          <w:spacing w:val="-11"/>
          <w:sz w:val="18"/>
        </w:rPr>
        <w:t> </w:t>
      </w:r>
      <w:r>
        <w:rPr>
          <w:sz w:val="18"/>
        </w:rPr>
        <w:t>extraction</w:t>
      </w:r>
      <w:r>
        <w:rPr>
          <w:spacing w:val="-8"/>
          <w:sz w:val="18"/>
        </w:rPr>
        <w:t> </w:t>
      </w:r>
      <w:r>
        <w:rPr>
          <w:sz w:val="18"/>
        </w:rPr>
        <w:t>method.</w:t>
      </w:r>
      <w:r>
        <w:rPr>
          <w:spacing w:val="-14"/>
          <w:sz w:val="18"/>
        </w:rPr>
        <w:t> </w:t>
      </w:r>
      <w:r>
        <w:rPr>
          <w:sz w:val="18"/>
        </w:rPr>
        <w:t>Furthermore,</w:t>
      </w:r>
      <w:r>
        <w:rPr>
          <w:spacing w:val="-12"/>
          <w:sz w:val="18"/>
        </w:rPr>
        <w:t> </w:t>
      </w:r>
      <w:r>
        <w:rPr>
          <w:sz w:val="18"/>
        </w:rPr>
        <w:t>we</w:t>
      </w:r>
      <w:r>
        <w:rPr>
          <w:spacing w:val="-15"/>
          <w:sz w:val="18"/>
        </w:rPr>
        <w:t> </w:t>
      </w:r>
      <w:r>
        <w:rPr>
          <w:sz w:val="18"/>
        </w:rPr>
        <w:t>suggest</w:t>
      </w:r>
      <w:r>
        <w:rPr>
          <w:spacing w:val="-14"/>
          <w:sz w:val="18"/>
        </w:rPr>
        <w:t> </w:t>
      </w:r>
      <w:r>
        <w:rPr>
          <w:sz w:val="18"/>
        </w:rPr>
        <w:t>that</w:t>
      </w:r>
      <w:r>
        <w:rPr>
          <w:spacing w:val="-11"/>
          <w:sz w:val="18"/>
        </w:rPr>
        <w:t> </w:t>
      </w:r>
      <w:r>
        <w:rPr>
          <w:sz w:val="18"/>
        </w:rPr>
        <w:t>fluorescent substances or CDs may naturally be present in Victorian brown</w:t>
      </w:r>
      <w:r>
        <w:rPr>
          <w:spacing w:val="-5"/>
          <w:sz w:val="18"/>
        </w:rPr>
        <w:t> </w:t>
      </w:r>
      <w:r>
        <w:rPr>
          <w:sz w:val="18"/>
        </w:rPr>
        <w:t>coals.</w:t>
      </w:r>
    </w:p>
    <w:p>
      <w:pPr>
        <w:spacing w:after="0" w:line="240" w:lineRule="auto"/>
        <w:jc w:val="both"/>
        <w:rPr>
          <w:sz w:val="18"/>
        </w:rPr>
        <w:sectPr>
          <w:type w:val="continuous"/>
          <w:pgSz w:w="12240" w:h="15840"/>
          <w:pgMar w:top="1500" w:bottom="280" w:left="1320" w:right="1320"/>
        </w:sectPr>
      </w:pPr>
    </w:p>
    <w:p>
      <w:pPr>
        <w:pStyle w:val="Heading1"/>
        <w:spacing w:before="60"/>
      </w:pPr>
      <w:r>
        <w:rPr/>
        <w:t>INTRODUCTION</w:t>
      </w:r>
    </w:p>
    <w:p>
      <w:pPr>
        <w:pStyle w:val="BodyText"/>
        <w:rPr>
          <w:b/>
          <w:sz w:val="26"/>
        </w:rPr>
      </w:pPr>
    </w:p>
    <w:p>
      <w:pPr>
        <w:pStyle w:val="BodyText"/>
        <w:spacing w:before="166"/>
        <w:ind w:left="120" w:right="113" w:firstLine="284"/>
        <w:jc w:val="both"/>
      </w:pPr>
      <w:r>
        <w:rPr/>
        <w:t>Carbon dots (CDs) are a novel class of fluorescent carbon nanomaterials characterized by their sub-10 nm size. Compared to traditional semiconductor quantum dots, CDs offer several advantages, including high photostability, excellent aqueous solubility, robust chemical inertness, and easy modifiability [1]. They have been successfully synthesized from a variety of carbon-containing materials such as graphite [2], graphene [3], and organic molecules like citric acid [4, 5]. In recent years, there has been a growing interest in utilizing natural resources as precursors for CDs</w:t>
      </w:r>
      <w:r>
        <w:rPr>
          <w:spacing w:val="-12"/>
        </w:rPr>
        <w:t> </w:t>
      </w:r>
      <w:r>
        <w:rPr/>
        <w:t>due</w:t>
      </w:r>
      <w:r>
        <w:rPr>
          <w:spacing w:val="-10"/>
        </w:rPr>
        <w:t> </w:t>
      </w:r>
      <w:r>
        <w:rPr/>
        <w:t>to</w:t>
      </w:r>
      <w:r>
        <w:rPr>
          <w:spacing w:val="-8"/>
        </w:rPr>
        <w:t> </w:t>
      </w:r>
      <w:r>
        <w:rPr/>
        <w:t>their</w:t>
      </w:r>
      <w:r>
        <w:rPr>
          <w:spacing w:val="-8"/>
        </w:rPr>
        <w:t> </w:t>
      </w:r>
      <w:r>
        <w:rPr/>
        <w:t>eco-friendliness,</w:t>
      </w:r>
      <w:r>
        <w:rPr>
          <w:spacing w:val="-8"/>
        </w:rPr>
        <w:t> </w:t>
      </w:r>
      <w:r>
        <w:rPr/>
        <w:t>low</w:t>
      </w:r>
      <w:r>
        <w:rPr>
          <w:spacing w:val="-8"/>
        </w:rPr>
        <w:t> </w:t>
      </w:r>
      <w:r>
        <w:rPr/>
        <w:t>cost,</w:t>
      </w:r>
      <w:r>
        <w:rPr>
          <w:spacing w:val="-7"/>
        </w:rPr>
        <w:t> </w:t>
      </w:r>
      <w:r>
        <w:rPr/>
        <w:t>and</w:t>
      </w:r>
      <w:r>
        <w:rPr>
          <w:spacing w:val="-9"/>
        </w:rPr>
        <w:t> </w:t>
      </w:r>
      <w:r>
        <w:rPr/>
        <w:t>abundance</w:t>
      </w:r>
      <w:r>
        <w:rPr>
          <w:spacing w:val="-8"/>
        </w:rPr>
        <w:t> </w:t>
      </w:r>
      <w:r>
        <w:rPr/>
        <w:t>[6].</w:t>
      </w:r>
      <w:r>
        <w:rPr>
          <w:spacing w:val="-8"/>
        </w:rPr>
        <w:t> </w:t>
      </w:r>
      <w:r>
        <w:rPr/>
        <w:t>Notably,</w:t>
      </w:r>
      <w:r>
        <w:rPr>
          <w:spacing w:val="-11"/>
        </w:rPr>
        <w:t> </w:t>
      </w:r>
      <w:r>
        <w:rPr/>
        <w:t>facile,</w:t>
      </w:r>
      <w:r>
        <w:rPr>
          <w:spacing w:val="-6"/>
        </w:rPr>
        <w:t> </w:t>
      </w:r>
      <w:r>
        <w:rPr/>
        <w:t>and</w:t>
      </w:r>
      <w:r>
        <w:rPr>
          <w:spacing w:val="-9"/>
        </w:rPr>
        <w:t> </w:t>
      </w:r>
      <w:r>
        <w:rPr/>
        <w:t>effective</w:t>
      </w:r>
      <w:r>
        <w:rPr>
          <w:spacing w:val="-10"/>
        </w:rPr>
        <w:t> </w:t>
      </w:r>
      <w:r>
        <w:rPr/>
        <w:t>methods</w:t>
      </w:r>
      <w:r>
        <w:rPr>
          <w:spacing w:val="-10"/>
        </w:rPr>
        <w:t> </w:t>
      </w:r>
      <w:r>
        <w:rPr/>
        <w:t>for</w:t>
      </w:r>
      <w:r>
        <w:rPr>
          <w:spacing w:val="-8"/>
        </w:rPr>
        <w:t> </w:t>
      </w:r>
      <w:r>
        <w:rPr/>
        <w:t>synthesizing CDs from plant seeds have been developed with </w:t>
      </w:r>
      <w:r>
        <w:rPr>
          <w:spacing w:val="-3"/>
        </w:rPr>
        <w:t>an </w:t>
      </w:r>
      <w:r>
        <w:rPr/>
        <w:t>application in LED technology</w:t>
      </w:r>
      <w:r>
        <w:rPr>
          <w:spacing w:val="11"/>
        </w:rPr>
        <w:t> </w:t>
      </w:r>
      <w:r>
        <w:rPr/>
        <w:t>[7-9].</w:t>
      </w:r>
    </w:p>
    <w:p>
      <w:pPr>
        <w:pStyle w:val="BodyText"/>
        <w:spacing w:before="3"/>
        <w:ind w:left="120" w:right="109" w:firstLine="284"/>
        <w:jc w:val="both"/>
      </w:pPr>
      <w:r>
        <w:rPr/>
        <w:t>Coal is</w:t>
      </w:r>
      <w:r>
        <w:rPr>
          <w:spacing w:val="-1"/>
        </w:rPr>
        <w:t> </w:t>
      </w:r>
      <w:r>
        <w:rPr/>
        <w:t>known</w:t>
      </w:r>
      <w:r>
        <w:rPr>
          <w:spacing w:val="-4"/>
        </w:rPr>
        <w:t> </w:t>
      </w:r>
      <w:r>
        <w:rPr/>
        <w:t>to</w:t>
      </w:r>
      <w:r>
        <w:rPr>
          <w:spacing w:val="-3"/>
        </w:rPr>
        <w:t> </w:t>
      </w:r>
      <w:r>
        <w:rPr/>
        <w:t>be</w:t>
      </w:r>
      <w:r>
        <w:rPr>
          <w:spacing w:val="-4"/>
        </w:rPr>
        <w:t> </w:t>
      </w:r>
      <w:r>
        <w:rPr/>
        <w:t>the</w:t>
      </w:r>
      <w:r>
        <w:rPr>
          <w:spacing w:val="-4"/>
        </w:rPr>
        <w:t> </w:t>
      </w:r>
      <w:r>
        <w:rPr/>
        <w:t>low</w:t>
      </w:r>
      <w:r>
        <w:rPr>
          <w:spacing w:val="-4"/>
        </w:rPr>
        <w:t> </w:t>
      </w:r>
      <w:r>
        <w:rPr/>
        <w:t>cost</w:t>
      </w:r>
      <w:r>
        <w:rPr>
          <w:spacing w:val="1"/>
        </w:rPr>
        <w:t> </w:t>
      </w:r>
      <w:r>
        <w:rPr/>
        <w:t>and</w:t>
      </w:r>
      <w:r>
        <w:rPr>
          <w:spacing w:val="-4"/>
        </w:rPr>
        <w:t> </w:t>
      </w:r>
      <w:r>
        <w:rPr/>
        <w:t>one</w:t>
      </w:r>
      <w:r>
        <w:rPr>
          <w:spacing w:val="-4"/>
        </w:rPr>
        <w:t> </w:t>
      </w:r>
      <w:r>
        <w:rPr/>
        <w:t>of</w:t>
      </w:r>
      <w:r>
        <w:rPr>
          <w:spacing w:val="-2"/>
        </w:rPr>
        <w:t> </w:t>
      </w:r>
      <w:r>
        <w:rPr/>
        <w:t>the</w:t>
      </w:r>
      <w:r>
        <w:rPr>
          <w:spacing w:val="-4"/>
        </w:rPr>
        <w:t> </w:t>
      </w:r>
      <w:r>
        <w:rPr/>
        <w:t>most</w:t>
      </w:r>
      <w:r>
        <w:rPr>
          <w:spacing w:val="1"/>
        </w:rPr>
        <w:t> </w:t>
      </w:r>
      <w:r>
        <w:rPr/>
        <w:t>abundant natural</w:t>
      </w:r>
      <w:r>
        <w:rPr>
          <w:spacing w:val="-3"/>
        </w:rPr>
        <w:t> </w:t>
      </w:r>
      <w:r>
        <w:rPr/>
        <w:t>resources</w:t>
      </w:r>
      <w:r>
        <w:rPr>
          <w:spacing w:val="-2"/>
        </w:rPr>
        <w:t> </w:t>
      </w:r>
      <w:r>
        <w:rPr/>
        <w:t>distributed</w:t>
      </w:r>
      <w:r>
        <w:rPr>
          <w:spacing w:val="-4"/>
        </w:rPr>
        <w:t> </w:t>
      </w:r>
      <w:r>
        <w:rPr/>
        <w:t>across</w:t>
      </w:r>
      <w:r>
        <w:rPr>
          <w:spacing w:val="-2"/>
        </w:rPr>
        <w:t> </w:t>
      </w:r>
      <w:r>
        <w:rPr/>
        <w:t>the</w:t>
      </w:r>
      <w:r>
        <w:rPr>
          <w:spacing w:val="-4"/>
        </w:rPr>
        <w:t> </w:t>
      </w:r>
      <w:r>
        <w:rPr/>
        <w:t>globe</w:t>
      </w:r>
      <w:r>
        <w:rPr>
          <w:spacing w:val="-4"/>
        </w:rPr>
        <w:t> </w:t>
      </w:r>
      <w:r>
        <w:rPr/>
        <w:t>[10]. It</w:t>
      </w:r>
      <w:r>
        <w:rPr>
          <w:spacing w:val="-8"/>
        </w:rPr>
        <w:t> </w:t>
      </w:r>
      <w:r>
        <w:rPr/>
        <w:t>is</w:t>
      </w:r>
      <w:r>
        <w:rPr>
          <w:spacing w:val="-9"/>
        </w:rPr>
        <w:t> </w:t>
      </w:r>
      <w:r>
        <w:rPr/>
        <w:t>a</w:t>
      </w:r>
      <w:r>
        <w:rPr>
          <w:spacing w:val="-9"/>
        </w:rPr>
        <w:t> </w:t>
      </w:r>
      <w:r>
        <w:rPr/>
        <w:t>plant</w:t>
      </w:r>
      <w:r>
        <w:rPr>
          <w:spacing w:val="-11"/>
        </w:rPr>
        <w:t> </w:t>
      </w:r>
      <w:r>
        <w:rPr/>
        <w:t>based</w:t>
      </w:r>
      <w:r>
        <w:rPr>
          <w:spacing w:val="-8"/>
        </w:rPr>
        <w:t> </w:t>
      </w:r>
      <w:r>
        <w:rPr/>
        <w:t>organic</w:t>
      </w:r>
      <w:r>
        <w:rPr>
          <w:spacing w:val="-8"/>
        </w:rPr>
        <w:t> </w:t>
      </w:r>
      <w:r>
        <w:rPr/>
        <w:t>matter</w:t>
      </w:r>
      <w:r>
        <w:rPr>
          <w:spacing w:val="-10"/>
        </w:rPr>
        <w:t> </w:t>
      </w:r>
      <w:r>
        <w:rPr/>
        <w:t>mainly</w:t>
      </w:r>
      <w:r>
        <w:rPr>
          <w:spacing w:val="-7"/>
        </w:rPr>
        <w:t> </w:t>
      </w:r>
      <w:r>
        <w:rPr/>
        <w:t>composed</w:t>
      </w:r>
      <w:r>
        <w:rPr>
          <w:spacing w:val="-11"/>
        </w:rPr>
        <w:t> </w:t>
      </w:r>
      <w:r>
        <w:rPr/>
        <w:t>of</w:t>
      </w:r>
      <w:r>
        <w:rPr>
          <w:spacing w:val="-7"/>
        </w:rPr>
        <w:t> </w:t>
      </w:r>
      <w:r>
        <w:rPr/>
        <w:t>carbon,</w:t>
      </w:r>
      <w:r>
        <w:rPr>
          <w:spacing w:val="-9"/>
        </w:rPr>
        <w:t> </w:t>
      </w:r>
      <w:r>
        <w:rPr/>
        <w:t>hydrogen,</w:t>
      </w:r>
      <w:r>
        <w:rPr>
          <w:spacing w:val="-10"/>
        </w:rPr>
        <w:t> </w:t>
      </w:r>
      <w:r>
        <w:rPr/>
        <w:t>and</w:t>
      </w:r>
      <w:r>
        <w:rPr>
          <w:spacing w:val="-7"/>
        </w:rPr>
        <w:t> </w:t>
      </w:r>
      <w:r>
        <w:rPr/>
        <w:t>oxygen</w:t>
      </w:r>
      <w:r>
        <w:rPr>
          <w:spacing w:val="-12"/>
        </w:rPr>
        <w:t> </w:t>
      </w:r>
      <w:r>
        <w:rPr/>
        <w:t>with</w:t>
      </w:r>
      <w:r>
        <w:rPr>
          <w:spacing w:val="-7"/>
        </w:rPr>
        <w:t> </w:t>
      </w:r>
      <w:r>
        <w:rPr/>
        <w:t>nitrogen,</w:t>
      </w:r>
      <w:r>
        <w:rPr>
          <w:spacing w:val="-7"/>
        </w:rPr>
        <w:t> </w:t>
      </w:r>
      <w:r>
        <w:rPr/>
        <w:t>sulfur</w:t>
      </w:r>
      <w:r>
        <w:rPr>
          <w:spacing w:val="-6"/>
        </w:rPr>
        <w:t> </w:t>
      </w:r>
      <w:r>
        <w:rPr/>
        <w:t>and</w:t>
      </w:r>
      <w:r>
        <w:rPr>
          <w:spacing w:val="-8"/>
        </w:rPr>
        <w:t> </w:t>
      </w:r>
      <w:r>
        <w:rPr/>
        <w:t>chlorine being minor elements. Therefore, coal, as a natural resource, is attractive for a precursor for synthesizing CDs with a large-scaled production. Generally, coal is classified into four main types including anthracite, bituminous, subbituminous, and brown coal [11]. Among coals, brown coal, also known as lignite, is classified as low rank coal which contains the least fixed carbon and the most volatile matter (organic components). Brown coal is generally considered to be a low-cost resource. Australia is known to have abundant reserves of brown coal resources with a total</w:t>
      </w:r>
      <w:r>
        <w:rPr>
          <w:spacing w:val="-3"/>
        </w:rPr>
        <w:t> </w:t>
      </w:r>
      <w:r>
        <w:rPr/>
        <w:t>estimated</w:t>
      </w:r>
      <w:r>
        <w:rPr>
          <w:spacing w:val="-3"/>
        </w:rPr>
        <w:t> </w:t>
      </w:r>
      <w:r>
        <w:rPr/>
        <w:t>reserve</w:t>
      </w:r>
      <w:r>
        <w:rPr>
          <w:spacing w:val="-4"/>
        </w:rPr>
        <w:t> </w:t>
      </w:r>
      <w:r>
        <w:rPr/>
        <w:t>of</w:t>
      </w:r>
      <w:r>
        <w:rPr>
          <w:spacing w:val="-2"/>
        </w:rPr>
        <w:t> </w:t>
      </w:r>
      <w:r>
        <w:rPr/>
        <w:t>430</w:t>
      </w:r>
      <w:r>
        <w:rPr>
          <w:spacing w:val="-6"/>
        </w:rPr>
        <w:t> </w:t>
      </w:r>
      <w:r>
        <w:rPr/>
        <w:t>billion</w:t>
      </w:r>
      <w:r>
        <w:rPr>
          <w:spacing w:val="-7"/>
        </w:rPr>
        <w:t> </w:t>
      </w:r>
      <w:r>
        <w:rPr/>
        <w:t>tonnes</w:t>
      </w:r>
      <w:r>
        <w:rPr>
          <w:spacing w:val="-6"/>
        </w:rPr>
        <w:t> </w:t>
      </w:r>
      <w:r>
        <w:rPr/>
        <w:t>(a</w:t>
      </w:r>
      <w:r>
        <w:rPr>
          <w:spacing w:val="-8"/>
        </w:rPr>
        <w:t> </w:t>
      </w:r>
      <w:r>
        <w:rPr/>
        <w:t>total</w:t>
      </w:r>
      <w:r>
        <w:rPr>
          <w:spacing w:val="-6"/>
        </w:rPr>
        <w:t> </w:t>
      </w:r>
      <w:r>
        <w:rPr/>
        <w:t>production</w:t>
      </w:r>
      <w:r>
        <w:rPr>
          <w:spacing w:val="-7"/>
        </w:rPr>
        <w:t> </w:t>
      </w:r>
      <w:r>
        <w:rPr/>
        <w:t>of</w:t>
      </w:r>
      <w:r>
        <w:rPr>
          <w:spacing w:val="-6"/>
        </w:rPr>
        <w:t> </w:t>
      </w:r>
      <w:r>
        <w:rPr/>
        <w:t>57.8</w:t>
      </w:r>
      <w:r>
        <w:rPr>
          <w:spacing w:val="-7"/>
        </w:rPr>
        <w:t> </w:t>
      </w:r>
      <w:r>
        <w:rPr/>
        <w:t>million</w:t>
      </w:r>
      <w:r>
        <w:rPr>
          <w:spacing w:val="-6"/>
        </w:rPr>
        <w:t> </w:t>
      </w:r>
      <w:r>
        <w:rPr/>
        <w:t>tonnes</w:t>
      </w:r>
      <w:r>
        <w:rPr>
          <w:spacing w:val="-6"/>
        </w:rPr>
        <w:t> </w:t>
      </w:r>
      <w:r>
        <w:rPr/>
        <w:t>in</w:t>
      </w:r>
      <w:r>
        <w:rPr>
          <w:spacing w:val="-7"/>
        </w:rPr>
        <w:t> </w:t>
      </w:r>
      <w:r>
        <w:rPr/>
        <w:t>2013-2014)</w:t>
      </w:r>
      <w:r>
        <w:rPr>
          <w:spacing w:val="-6"/>
        </w:rPr>
        <w:t> </w:t>
      </w:r>
      <w:r>
        <w:rPr/>
        <w:t>[12].</w:t>
      </w:r>
      <w:r>
        <w:rPr>
          <w:spacing w:val="-4"/>
        </w:rPr>
        <w:t> </w:t>
      </w:r>
      <w:r>
        <w:rPr/>
        <w:t>Most</w:t>
      </w:r>
      <w:r>
        <w:rPr>
          <w:spacing w:val="-3"/>
        </w:rPr>
        <w:t> </w:t>
      </w:r>
      <w:r>
        <w:rPr/>
        <w:t>of</w:t>
      </w:r>
      <w:r>
        <w:rPr>
          <w:spacing w:val="-2"/>
        </w:rPr>
        <w:t> </w:t>
      </w:r>
      <w:r>
        <w:rPr/>
        <w:t>the brown coal resources are located in the state of Victoria, with an approximate 65 billion tonnes </w:t>
      </w:r>
      <w:r>
        <w:rPr>
          <w:spacing w:val="3"/>
        </w:rPr>
        <w:t>of </w:t>
      </w:r>
      <w:r>
        <w:rPr/>
        <w:t>the resources confirmed in the Latrobe Valley (southeast of Victoria), which is equivalent to 25% of the world confirmed brown coal</w:t>
      </w:r>
      <w:r>
        <w:rPr>
          <w:spacing w:val="1"/>
        </w:rPr>
        <w:t> </w:t>
      </w:r>
      <w:r>
        <w:rPr/>
        <w:t>reserve.</w:t>
      </w:r>
    </w:p>
    <w:p>
      <w:pPr>
        <w:pStyle w:val="BodyText"/>
        <w:ind w:left="120" w:right="112" w:firstLine="284"/>
        <w:jc w:val="right"/>
      </w:pPr>
      <w:r>
        <w:rPr/>
        <w:t>There</w:t>
      </w:r>
      <w:r>
        <w:rPr>
          <w:spacing w:val="-1"/>
        </w:rPr>
        <w:t> </w:t>
      </w:r>
      <w:r>
        <w:rPr/>
        <w:t>are</w:t>
      </w:r>
      <w:r>
        <w:rPr>
          <w:spacing w:val="-5"/>
        </w:rPr>
        <w:t> </w:t>
      </w:r>
      <w:r>
        <w:rPr/>
        <w:t>some</w:t>
      </w:r>
      <w:r>
        <w:rPr>
          <w:spacing w:val="-1"/>
        </w:rPr>
        <w:t> </w:t>
      </w:r>
      <w:r>
        <w:rPr/>
        <w:t>studies</w:t>
      </w:r>
      <w:r>
        <w:rPr>
          <w:spacing w:val="-3"/>
        </w:rPr>
        <w:t> </w:t>
      </w:r>
      <w:r>
        <w:rPr/>
        <w:t>on</w:t>
      </w:r>
      <w:r>
        <w:rPr>
          <w:spacing w:val="-5"/>
        </w:rPr>
        <w:t> </w:t>
      </w:r>
      <w:r>
        <w:rPr/>
        <w:t>the</w:t>
      </w:r>
      <w:r>
        <w:rPr>
          <w:spacing w:val="-4"/>
        </w:rPr>
        <w:t> </w:t>
      </w:r>
      <w:r>
        <w:rPr/>
        <w:t>synthesis</w:t>
      </w:r>
      <w:r>
        <w:rPr>
          <w:spacing w:val="-2"/>
        </w:rPr>
        <w:t> </w:t>
      </w:r>
      <w:r>
        <w:rPr/>
        <w:t>of</w:t>
      </w:r>
      <w:r>
        <w:rPr>
          <w:spacing w:val="-3"/>
        </w:rPr>
        <w:t> </w:t>
      </w:r>
      <w:r>
        <w:rPr/>
        <w:t>CDs</w:t>
      </w:r>
      <w:r>
        <w:rPr>
          <w:spacing w:val="-3"/>
        </w:rPr>
        <w:t> </w:t>
      </w:r>
      <w:r>
        <w:rPr/>
        <w:t>from</w:t>
      </w:r>
      <w:r>
        <w:rPr>
          <w:spacing w:val="4"/>
        </w:rPr>
        <w:t> </w:t>
      </w:r>
      <w:r>
        <w:rPr/>
        <w:t>coal</w:t>
      </w:r>
      <w:r>
        <w:rPr>
          <w:spacing w:val="-4"/>
        </w:rPr>
        <w:t> </w:t>
      </w:r>
      <w:r>
        <w:rPr/>
        <w:t>[13],</w:t>
      </w:r>
      <w:r>
        <w:rPr>
          <w:spacing w:val="-3"/>
        </w:rPr>
        <w:t> </w:t>
      </w:r>
      <w:r>
        <w:rPr/>
        <w:t>as</w:t>
      </w:r>
      <w:r>
        <w:rPr>
          <w:spacing w:val="-2"/>
        </w:rPr>
        <w:t> </w:t>
      </w:r>
      <w:r>
        <w:rPr/>
        <w:t>well</w:t>
      </w:r>
      <w:r>
        <w:rPr>
          <w:spacing w:val="-4"/>
        </w:rPr>
        <w:t> </w:t>
      </w:r>
      <w:r>
        <w:rPr/>
        <w:t>the</w:t>
      </w:r>
      <w:r>
        <w:rPr>
          <w:spacing w:val="-1"/>
        </w:rPr>
        <w:t> </w:t>
      </w:r>
      <w:r>
        <w:rPr/>
        <w:t>synthesis</w:t>
      </w:r>
      <w:r>
        <w:rPr>
          <w:spacing w:val="-2"/>
        </w:rPr>
        <w:t> </w:t>
      </w:r>
      <w:r>
        <w:rPr/>
        <w:t>of</w:t>
      </w:r>
      <w:r>
        <w:rPr>
          <w:spacing w:val="-3"/>
        </w:rPr>
        <w:t> </w:t>
      </w:r>
      <w:r>
        <w:rPr/>
        <w:t>other</w:t>
      </w:r>
      <w:r>
        <w:rPr>
          <w:spacing w:val="-4"/>
        </w:rPr>
        <w:t> </w:t>
      </w:r>
      <w:r>
        <w:rPr/>
        <w:t>nanocarbons such</w:t>
      </w:r>
      <w:r>
        <w:rPr>
          <w:spacing w:val="1"/>
        </w:rPr>
        <w:t> </w:t>
      </w:r>
      <w:r>
        <w:rPr/>
        <w:t>as carbon</w:t>
      </w:r>
      <w:r>
        <w:rPr>
          <w:spacing w:val="-8"/>
        </w:rPr>
        <w:t> </w:t>
      </w:r>
      <w:r>
        <w:rPr/>
        <w:t>nanotubes</w:t>
      </w:r>
      <w:r>
        <w:rPr>
          <w:spacing w:val="-9"/>
        </w:rPr>
        <w:t> </w:t>
      </w:r>
      <w:r>
        <w:rPr/>
        <w:t>[14]</w:t>
      </w:r>
      <w:r>
        <w:rPr>
          <w:spacing w:val="-11"/>
        </w:rPr>
        <w:t> </w:t>
      </w:r>
      <w:r>
        <w:rPr/>
        <w:t>and</w:t>
      </w:r>
      <w:r>
        <w:rPr>
          <w:spacing w:val="-7"/>
        </w:rPr>
        <w:t> </w:t>
      </w:r>
      <w:r>
        <w:rPr/>
        <w:t>graphene</w:t>
      </w:r>
      <w:r>
        <w:rPr>
          <w:spacing w:val="-12"/>
        </w:rPr>
        <w:t> </w:t>
      </w:r>
      <w:r>
        <w:rPr/>
        <w:t>[15].</w:t>
      </w:r>
      <w:r>
        <w:rPr>
          <w:spacing w:val="-9"/>
        </w:rPr>
        <w:t> </w:t>
      </w:r>
      <w:r>
        <w:rPr/>
        <w:t>CDs</w:t>
      </w:r>
      <w:r>
        <w:rPr>
          <w:spacing w:val="-10"/>
        </w:rPr>
        <w:t> </w:t>
      </w:r>
      <w:r>
        <w:rPr/>
        <w:t>derived</w:t>
      </w:r>
      <w:r>
        <w:rPr>
          <w:spacing w:val="-8"/>
        </w:rPr>
        <w:t> </w:t>
      </w:r>
      <w:r>
        <w:rPr/>
        <w:t>from</w:t>
      </w:r>
      <w:r>
        <w:rPr>
          <w:spacing w:val="-11"/>
        </w:rPr>
        <w:t> </w:t>
      </w:r>
      <w:r>
        <w:rPr/>
        <w:t>coal</w:t>
      </w:r>
      <w:r>
        <w:rPr>
          <w:spacing w:val="-8"/>
        </w:rPr>
        <w:t> </w:t>
      </w:r>
      <w:r>
        <w:rPr/>
        <w:t>have</w:t>
      </w:r>
      <w:r>
        <w:rPr>
          <w:spacing w:val="-8"/>
        </w:rPr>
        <w:t> </w:t>
      </w:r>
      <w:r>
        <w:rPr/>
        <w:t>mainly</w:t>
      </w:r>
      <w:r>
        <w:rPr>
          <w:spacing w:val="-12"/>
        </w:rPr>
        <w:t> </w:t>
      </w:r>
      <w:r>
        <w:rPr/>
        <w:t>been</w:t>
      </w:r>
      <w:r>
        <w:rPr>
          <w:spacing w:val="-7"/>
        </w:rPr>
        <w:t> </w:t>
      </w:r>
      <w:r>
        <w:rPr/>
        <w:t>synthesized</w:t>
      </w:r>
      <w:r>
        <w:rPr>
          <w:spacing w:val="-8"/>
        </w:rPr>
        <w:t> </w:t>
      </w:r>
      <w:r>
        <w:rPr/>
        <w:t>by</w:t>
      </w:r>
      <w:r>
        <w:rPr>
          <w:spacing w:val="-7"/>
        </w:rPr>
        <w:t> </w:t>
      </w:r>
      <w:r>
        <w:rPr/>
        <w:t>chemical</w:t>
      </w:r>
      <w:r>
        <w:rPr>
          <w:spacing w:val="-7"/>
        </w:rPr>
        <w:t> </w:t>
      </w:r>
      <w:r>
        <w:rPr/>
        <w:t>oxidation methods utilizing sulfuric acid [16] and nitric acid [17]. However, these methods require multi-step</w:t>
      </w:r>
      <w:r>
        <w:rPr>
          <w:spacing w:val="4"/>
        </w:rPr>
        <w:t> </w:t>
      </w:r>
      <w:r>
        <w:rPr/>
        <w:t>procedures</w:t>
      </w:r>
      <w:r>
        <w:rPr>
          <w:spacing w:val="2"/>
        </w:rPr>
        <w:t> </w:t>
      </w:r>
      <w:r>
        <w:rPr/>
        <w:t>with</w:t>
      </w:r>
      <w:r>
        <w:rPr>
          <w:spacing w:val="-1"/>
        </w:rPr>
        <w:t> </w:t>
      </w:r>
      <w:r>
        <w:rPr/>
        <w:t>the</w:t>
      </w:r>
      <w:r>
        <w:rPr>
          <w:spacing w:val="-5"/>
        </w:rPr>
        <w:t> </w:t>
      </w:r>
      <w:r>
        <w:rPr/>
        <w:t>usage</w:t>
      </w:r>
      <w:r>
        <w:rPr>
          <w:spacing w:val="-4"/>
        </w:rPr>
        <w:t> </w:t>
      </w:r>
      <w:r>
        <w:rPr/>
        <w:t>of</w:t>
      </w:r>
      <w:r>
        <w:rPr>
          <w:spacing w:val="-3"/>
        </w:rPr>
        <w:t> </w:t>
      </w:r>
      <w:r>
        <w:rPr/>
        <w:t>toxic</w:t>
      </w:r>
      <w:r>
        <w:rPr>
          <w:spacing w:val="-4"/>
        </w:rPr>
        <w:t> </w:t>
      </w:r>
      <w:r>
        <w:rPr/>
        <w:t>oxidants.</w:t>
      </w:r>
      <w:r>
        <w:rPr>
          <w:spacing w:val="-2"/>
        </w:rPr>
        <w:t> </w:t>
      </w:r>
      <w:r>
        <w:rPr/>
        <w:t>Thus,</w:t>
      </w:r>
      <w:r>
        <w:rPr>
          <w:spacing w:val="-6"/>
        </w:rPr>
        <w:t> </w:t>
      </w:r>
      <w:r>
        <w:rPr/>
        <w:t>a</w:t>
      </w:r>
      <w:r>
        <w:rPr>
          <w:spacing w:val="-3"/>
        </w:rPr>
        <w:t> </w:t>
      </w:r>
      <w:r>
        <w:rPr/>
        <w:t>simpler</w:t>
      </w:r>
      <w:r>
        <w:rPr>
          <w:spacing w:val="-4"/>
        </w:rPr>
        <w:t> </w:t>
      </w:r>
      <w:r>
        <w:rPr/>
        <w:t>and</w:t>
      </w:r>
      <w:r>
        <w:rPr>
          <w:spacing w:val="-3"/>
        </w:rPr>
        <w:t> </w:t>
      </w:r>
      <w:r>
        <w:rPr/>
        <w:t>safer</w:t>
      </w:r>
      <w:r>
        <w:rPr>
          <w:spacing w:val="-2"/>
        </w:rPr>
        <w:t> </w:t>
      </w:r>
      <w:r>
        <w:rPr/>
        <w:t>method</w:t>
      </w:r>
      <w:r>
        <w:rPr>
          <w:spacing w:val="-4"/>
        </w:rPr>
        <w:t> </w:t>
      </w:r>
      <w:r>
        <w:rPr/>
        <w:t>is</w:t>
      </w:r>
      <w:r>
        <w:rPr>
          <w:spacing w:val="-5"/>
        </w:rPr>
        <w:t> </w:t>
      </w:r>
      <w:r>
        <w:rPr/>
        <w:t>desired</w:t>
      </w:r>
      <w:r>
        <w:rPr>
          <w:spacing w:val="-4"/>
        </w:rPr>
        <w:t> </w:t>
      </w:r>
      <w:r>
        <w:rPr/>
        <w:t>as</w:t>
      </w:r>
      <w:r>
        <w:rPr>
          <w:spacing w:val="-5"/>
        </w:rPr>
        <w:t> </w:t>
      </w:r>
      <w:r>
        <w:rPr/>
        <w:t>a</w:t>
      </w:r>
      <w:r>
        <w:rPr>
          <w:spacing w:val="-3"/>
        </w:rPr>
        <w:t> </w:t>
      </w:r>
      <w:r>
        <w:rPr/>
        <w:t>more</w:t>
      </w:r>
      <w:r>
        <w:rPr>
          <w:spacing w:val="-5"/>
        </w:rPr>
        <w:t> </w:t>
      </w:r>
      <w:r>
        <w:rPr/>
        <w:t>environmentally</w:t>
      </w:r>
      <w:r>
        <w:rPr>
          <w:spacing w:val="-7"/>
        </w:rPr>
        <w:t> </w:t>
      </w:r>
      <w:r>
        <w:rPr/>
        <w:t>friendly</w:t>
      </w:r>
      <w:r>
        <w:rPr>
          <w:spacing w:val="-3"/>
        </w:rPr>
        <w:t> </w:t>
      </w:r>
      <w:r>
        <w:rPr/>
        <w:t>approach. An</w:t>
      </w:r>
      <w:r>
        <w:rPr>
          <w:spacing w:val="7"/>
        </w:rPr>
        <w:t> </w:t>
      </w:r>
      <w:r>
        <w:rPr/>
        <w:t>extraction</w:t>
      </w:r>
      <w:r>
        <w:rPr>
          <w:spacing w:val="8"/>
        </w:rPr>
        <w:t> </w:t>
      </w:r>
      <w:r>
        <w:rPr/>
        <w:t>method</w:t>
      </w:r>
      <w:r>
        <w:rPr>
          <w:spacing w:val="8"/>
        </w:rPr>
        <w:t> </w:t>
      </w:r>
      <w:r>
        <w:rPr/>
        <w:t>is</w:t>
      </w:r>
      <w:r>
        <w:rPr>
          <w:spacing w:val="6"/>
        </w:rPr>
        <w:t> </w:t>
      </w:r>
      <w:r>
        <w:rPr/>
        <w:t>one</w:t>
      </w:r>
      <w:r>
        <w:rPr>
          <w:spacing w:val="8"/>
        </w:rPr>
        <w:t> </w:t>
      </w:r>
      <w:r>
        <w:rPr/>
        <w:t>of</w:t>
      </w:r>
      <w:r>
        <w:rPr>
          <w:spacing w:val="10"/>
        </w:rPr>
        <w:t> </w:t>
      </w:r>
      <w:r>
        <w:rPr/>
        <w:t>the</w:t>
      </w:r>
      <w:r>
        <w:rPr>
          <w:spacing w:val="8"/>
        </w:rPr>
        <w:t> </w:t>
      </w:r>
      <w:r>
        <w:rPr/>
        <w:t>simplest</w:t>
      </w:r>
      <w:r>
        <w:rPr>
          <w:spacing w:val="8"/>
        </w:rPr>
        <w:t> </w:t>
      </w:r>
      <w:r>
        <w:rPr/>
        <w:t>methods</w:t>
      </w:r>
      <w:r>
        <w:rPr>
          <w:spacing w:val="7"/>
        </w:rPr>
        <w:t> </w:t>
      </w:r>
      <w:r>
        <w:rPr/>
        <w:t>for</w:t>
      </w:r>
      <w:r>
        <w:rPr>
          <w:spacing w:val="10"/>
        </w:rPr>
        <w:t> </w:t>
      </w:r>
      <w:r>
        <w:rPr/>
        <w:t>the</w:t>
      </w:r>
      <w:r>
        <w:rPr>
          <w:spacing w:val="7"/>
        </w:rPr>
        <w:t> </w:t>
      </w:r>
      <w:r>
        <w:rPr/>
        <w:t>synthesis</w:t>
      </w:r>
      <w:r>
        <w:rPr>
          <w:spacing w:val="7"/>
        </w:rPr>
        <w:t> </w:t>
      </w:r>
      <w:r>
        <w:rPr/>
        <w:t>of</w:t>
      </w:r>
      <w:r>
        <w:rPr>
          <w:spacing w:val="10"/>
        </w:rPr>
        <w:t> </w:t>
      </w:r>
      <w:r>
        <w:rPr/>
        <w:t>CDs</w:t>
      </w:r>
      <w:r>
        <w:rPr>
          <w:spacing w:val="6"/>
        </w:rPr>
        <w:t> </w:t>
      </w:r>
      <w:r>
        <w:rPr/>
        <w:t>[18].</w:t>
      </w:r>
      <w:r>
        <w:rPr>
          <w:spacing w:val="6"/>
        </w:rPr>
        <w:t> </w:t>
      </w:r>
      <w:r>
        <w:rPr/>
        <w:t>To</w:t>
      </w:r>
      <w:r>
        <w:rPr>
          <w:spacing w:val="4"/>
        </w:rPr>
        <w:t> </w:t>
      </w:r>
      <w:r>
        <w:rPr/>
        <w:t>date,</w:t>
      </w:r>
      <w:r>
        <w:rPr>
          <w:spacing w:val="11"/>
        </w:rPr>
        <w:t> </w:t>
      </w:r>
      <w:r>
        <w:rPr/>
        <w:t>extraction</w:t>
      </w:r>
      <w:r>
        <w:rPr>
          <w:spacing w:val="9"/>
        </w:rPr>
        <w:t> </w:t>
      </w:r>
      <w:r>
        <w:rPr/>
        <w:t>methods have</w:t>
      </w:r>
      <w:r>
        <w:rPr>
          <w:spacing w:val="10"/>
        </w:rPr>
        <w:t> </w:t>
      </w:r>
      <w:r>
        <w:rPr/>
        <w:t>been</w:t>
      </w:r>
      <w:r>
        <w:rPr>
          <w:spacing w:val="12"/>
        </w:rPr>
        <w:t> </w:t>
      </w:r>
      <w:r>
        <w:rPr/>
        <w:t>employed</w:t>
      </w:r>
      <w:r>
        <w:rPr>
          <w:spacing w:val="11"/>
        </w:rPr>
        <w:t> </w:t>
      </w:r>
      <w:r>
        <w:rPr/>
        <w:t>to</w:t>
      </w:r>
      <w:r>
        <w:rPr>
          <w:spacing w:val="8"/>
        </w:rPr>
        <w:t> </w:t>
      </w:r>
      <w:r>
        <w:rPr/>
        <w:t>extract</w:t>
      </w:r>
      <w:r>
        <w:rPr>
          <w:spacing w:val="10"/>
        </w:rPr>
        <w:t> </w:t>
      </w:r>
      <w:r>
        <w:rPr/>
        <w:t>CDs</w:t>
      </w:r>
      <w:r>
        <w:rPr>
          <w:spacing w:val="9"/>
        </w:rPr>
        <w:t> </w:t>
      </w:r>
      <w:r>
        <w:rPr/>
        <w:t>from</w:t>
      </w:r>
      <w:r>
        <w:rPr>
          <w:spacing w:val="11"/>
        </w:rPr>
        <w:t> </w:t>
      </w:r>
      <w:r>
        <w:rPr/>
        <w:t>some</w:t>
      </w:r>
      <w:r>
        <w:rPr>
          <w:spacing w:val="7"/>
        </w:rPr>
        <w:t> </w:t>
      </w:r>
      <w:r>
        <w:rPr/>
        <w:t>sources</w:t>
      </w:r>
      <w:r>
        <w:rPr>
          <w:spacing w:val="9"/>
        </w:rPr>
        <w:t> </w:t>
      </w:r>
      <w:r>
        <w:rPr/>
        <w:t>such</w:t>
      </w:r>
      <w:r>
        <w:rPr>
          <w:spacing w:val="11"/>
        </w:rPr>
        <w:t> </w:t>
      </w:r>
      <w:r>
        <w:rPr/>
        <w:t>as</w:t>
      </w:r>
      <w:r>
        <w:rPr>
          <w:spacing w:val="11"/>
        </w:rPr>
        <w:t> </w:t>
      </w:r>
      <w:r>
        <w:rPr/>
        <w:t>man-made</w:t>
      </w:r>
      <w:r>
        <w:rPr>
          <w:spacing w:val="10"/>
        </w:rPr>
        <w:t> </w:t>
      </w:r>
      <w:r>
        <w:rPr/>
        <w:t>carbon</w:t>
      </w:r>
      <w:r>
        <w:rPr>
          <w:spacing w:val="10"/>
        </w:rPr>
        <w:t> </w:t>
      </w:r>
      <w:r>
        <w:rPr/>
        <w:t>black</w:t>
      </w:r>
      <w:r>
        <w:rPr>
          <w:spacing w:val="9"/>
        </w:rPr>
        <w:t> </w:t>
      </w:r>
      <w:r>
        <w:rPr/>
        <w:t>[19],</w:t>
      </w:r>
      <w:r>
        <w:rPr>
          <w:spacing w:val="13"/>
        </w:rPr>
        <w:t> </w:t>
      </w:r>
      <w:r>
        <w:rPr/>
        <w:t>coffee</w:t>
      </w:r>
      <w:r>
        <w:rPr>
          <w:spacing w:val="8"/>
        </w:rPr>
        <w:t> </w:t>
      </w:r>
      <w:r>
        <w:rPr/>
        <w:t>[20],</w:t>
      </w:r>
      <w:r>
        <w:rPr>
          <w:spacing w:val="10"/>
        </w:rPr>
        <w:t> </w:t>
      </w:r>
      <w:r>
        <w:rPr/>
        <w:t>and</w:t>
      </w:r>
      <w:r>
        <w:rPr>
          <w:spacing w:val="11"/>
        </w:rPr>
        <w:t> </w:t>
      </w:r>
      <w:r>
        <w:rPr/>
        <w:t>beer [21].</w:t>
      </w:r>
      <w:r>
        <w:rPr>
          <w:spacing w:val="5"/>
        </w:rPr>
        <w:t> </w:t>
      </w:r>
      <w:r>
        <w:rPr/>
        <w:t>However,</w:t>
      </w:r>
      <w:r>
        <w:rPr>
          <w:spacing w:val="6"/>
        </w:rPr>
        <w:t> </w:t>
      </w:r>
      <w:r>
        <w:rPr/>
        <w:t>to</w:t>
      </w:r>
      <w:r>
        <w:rPr>
          <w:spacing w:val="4"/>
        </w:rPr>
        <w:t> </w:t>
      </w:r>
      <w:r>
        <w:rPr/>
        <w:t>the</w:t>
      </w:r>
      <w:r>
        <w:rPr>
          <w:spacing w:val="3"/>
        </w:rPr>
        <w:t> </w:t>
      </w:r>
      <w:r>
        <w:rPr/>
        <w:t>best</w:t>
      </w:r>
      <w:r>
        <w:rPr>
          <w:spacing w:val="8"/>
        </w:rPr>
        <w:t> </w:t>
      </w:r>
      <w:r>
        <w:rPr/>
        <w:t>of</w:t>
      </w:r>
      <w:r>
        <w:rPr>
          <w:spacing w:val="5"/>
        </w:rPr>
        <w:t> </w:t>
      </w:r>
      <w:r>
        <w:rPr/>
        <w:t>our</w:t>
      </w:r>
      <w:r>
        <w:rPr>
          <w:spacing w:val="10"/>
        </w:rPr>
        <w:t> </w:t>
      </w:r>
      <w:r>
        <w:rPr/>
        <w:t>knowledge,</w:t>
      </w:r>
      <w:r>
        <w:rPr>
          <w:spacing w:val="9"/>
        </w:rPr>
        <w:t> </w:t>
      </w:r>
      <w:r>
        <w:rPr/>
        <w:t>there</w:t>
      </w:r>
      <w:r>
        <w:rPr>
          <w:spacing w:val="7"/>
        </w:rPr>
        <w:t> </w:t>
      </w:r>
      <w:r>
        <w:rPr/>
        <w:t>have</w:t>
      </w:r>
      <w:r>
        <w:rPr>
          <w:spacing w:val="7"/>
        </w:rPr>
        <w:t> </w:t>
      </w:r>
      <w:r>
        <w:rPr/>
        <w:t>been</w:t>
      </w:r>
      <w:r>
        <w:rPr>
          <w:spacing w:val="3"/>
        </w:rPr>
        <w:t> </w:t>
      </w:r>
      <w:r>
        <w:rPr/>
        <w:t>no</w:t>
      </w:r>
      <w:r>
        <w:rPr>
          <w:spacing w:val="4"/>
        </w:rPr>
        <w:t> </w:t>
      </w:r>
      <w:r>
        <w:rPr/>
        <w:t>reports</w:t>
      </w:r>
      <w:r>
        <w:rPr>
          <w:spacing w:val="6"/>
        </w:rPr>
        <w:t> </w:t>
      </w:r>
      <w:r>
        <w:rPr/>
        <w:t>on</w:t>
      </w:r>
      <w:r>
        <w:rPr>
          <w:spacing w:val="3"/>
        </w:rPr>
        <w:t> </w:t>
      </w:r>
      <w:r>
        <w:rPr/>
        <w:t>the</w:t>
      </w:r>
      <w:r>
        <w:rPr>
          <w:spacing w:val="3"/>
        </w:rPr>
        <w:t> </w:t>
      </w:r>
      <w:r>
        <w:rPr/>
        <w:t>extraction</w:t>
      </w:r>
      <w:r>
        <w:rPr>
          <w:spacing w:val="3"/>
        </w:rPr>
        <w:t> </w:t>
      </w:r>
      <w:r>
        <w:rPr/>
        <w:t>of</w:t>
      </w:r>
      <w:r>
        <w:rPr>
          <w:spacing w:val="5"/>
        </w:rPr>
        <w:t> </w:t>
      </w:r>
      <w:r>
        <w:rPr/>
        <w:t>CDs</w:t>
      </w:r>
      <w:r>
        <w:rPr>
          <w:spacing w:val="5"/>
        </w:rPr>
        <w:t> </w:t>
      </w:r>
      <w:r>
        <w:rPr/>
        <w:t>from</w:t>
      </w:r>
      <w:r>
        <w:rPr>
          <w:spacing w:val="8"/>
        </w:rPr>
        <w:t> </w:t>
      </w:r>
      <w:r>
        <w:rPr/>
        <w:t>coal</w:t>
      </w:r>
      <w:r>
        <w:rPr>
          <w:spacing w:val="8"/>
        </w:rPr>
        <w:t> </w:t>
      </w:r>
      <w:r>
        <w:rPr/>
        <w:t>using</w:t>
      </w:r>
      <w:r>
        <w:rPr>
          <w:spacing w:val="5"/>
        </w:rPr>
        <w:t> </w:t>
      </w:r>
      <w:r>
        <w:rPr/>
        <w:t>a solvent extraction method. Solvent extraction has long been used to examine the complex chemical</w:t>
      </w:r>
      <w:r>
        <w:rPr>
          <w:spacing w:val="2"/>
        </w:rPr>
        <w:t> </w:t>
      </w:r>
      <w:r>
        <w:rPr/>
        <w:t>compositions</w:t>
      </w:r>
      <w:r>
        <w:rPr>
          <w:spacing w:val="3"/>
        </w:rPr>
        <w:t> </w:t>
      </w:r>
      <w:r>
        <w:rPr/>
        <w:t>of coal</w:t>
      </w:r>
      <w:r>
        <w:rPr>
          <w:spacing w:val="7"/>
        </w:rPr>
        <w:t> </w:t>
      </w:r>
      <w:r>
        <w:rPr/>
        <w:t>[22].</w:t>
      </w:r>
      <w:r>
        <w:rPr>
          <w:spacing w:val="6"/>
        </w:rPr>
        <w:t> </w:t>
      </w:r>
      <w:r>
        <w:rPr/>
        <w:t>Additionally,</w:t>
      </w:r>
      <w:r>
        <w:rPr>
          <w:spacing w:val="4"/>
        </w:rPr>
        <w:t> </w:t>
      </w:r>
      <w:r>
        <w:rPr/>
        <w:t>some</w:t>
      </w:r>
      <w:r>
        <w:rPr>
          <w:spacing w:val="7"/>
        </w:rPr>
        <w:t> </w:t>
      </w:r>
      <w:r>
        <w:rPr/>
        <w:t>solutions</w:t>
      </w:r>
      <w:r>
        <w:rPr>
          <w:spacing w:val="2"/>
        </w:rPr>
        <w:t> </w:t>
      </w:r>
      <w:r>
        <w:rPr/>
        <w:t>extracted</w:t>
      </w:r>
      <w:r>
        <w:rPr>
          <w:spacing w:val="3"/>
        </w:rPr>
        <w:t> </w:t>
      </w:r>
      <w:r>
        <w:rPr/>
        <w:t>from</w:t>
      </w:r>
      <w:r>
        <w:rPr>
          <w:spacing w:val="7"/>
        </w:rPr>
        <w:t> </w:t>
      </w:r>
      <w:r>
        <w:rPr/>
        <w:t>coal</w:t>
      </w:r>
      <w:r>
        <w:rPr>
          <w:spacing w:val="4"/>
        </w:rPr>
        <w:t> </w:t>
      </w:r>
      <w:r>
        <w:rPr/>
        <w:t>have</w:t>
      </w:r>
      <w:r>
        <w:rPr>
          <w:spacing w:val="3"/>
        </w:rPr>
        <w:t> </w:t>
      </w:r>
      <w:r>
        <w:rPr/>
        <w:t>been</w:t>
      </w:r>
      <w:r>
        <w:rPr>
          <w:spacing w:val="2"/>
        </w:rPr>
        <w:t> </w:t>
      </w:r>
      <w:r>
        <w:rPr/>
        <w:t>reported</w:t>
      </w:r>
      <w:r>
        <w:rPr>
          <w:spacing w:val="3"/>
        </w:rPr>
        <w:t> </w:t>
      </w:r>
      <w:r>
        <w:rPr/>
        <w:t>to</w:t>
      </w:r>
      <w:r>
        <w:rPr>
          <w:spacing w:val="4"/>
        </w:rPr>
        <w:t> </w:t>
      </w:r>
      <w:r>
        <w:rPr/>
        <w:t>exhibit</w:t>
      </w:r>
      <w:r>
        <w:rPr>
          <w:spacing w:val="4"/>
        </w:rPr>
        <w:t> </w:t>
      </w:r>
      <w:r>
        <w:rPr/>
        <w:t>fluorescence</w:t>
      </w:r>
      <w:r>
        <w:rPr>
          <w:spacing w:val="6"/>
        </w:rPr>
        <w:t> </w:t>
      </w:r>
      <w:r>
        <w:rPr/>
        <w:t>[23].</w:t>
      </w:r>
      <w:r>
        <w:rPr>
          <w:spacing w:val="5"/>
        </w:rPr>
        <w:t> </w:t>
      </w:r>
      <w:r>
        <w:rPr/>
        <w:t>Thus,</w:t>
      </w:r>
      <w:r>
        <w:rPr>
          <w:spacing w:val="5"/>
        </w:rPr>
        <w:t> </w:t>
      </w:r>
      <w:r>
        <w:rPr/>
        <w:t>it is expected that fluorescent CDs may be present in solvent extracts from coal. Based on</w:t>
      </w:r>
      <w:r>
        <w:rPr>
          <w:spacing w:val="-11"/>
        </w:rPr>
        <w:t> </w:t>
      </w:r>
      <w:r>
        <w:rPr/>
        <w:t>the</w:t>
      </w:r>
      <w:r>
        <w:rPr>
          <w:spacing w:val="40"/>
        </w:rPr>
        <w:t> </w:t>
      </w:r>
      <w:r>
        <w:rPr/>
        <w:t>aforementioned discussions regarding the starting materials and methodology to extract carbon-based nanomaterials,</w:t>
      </w:r>
      <w:r>
        <w:rPr>
          <w:spacing w:val="1"/>
        </w:rPr>
        <w:t> </w:t>
      </w:r>
      <w:r>
        <w:rPr/>
        <w:t>we</w:t>
      </w:r>
      <w:r>
        <w:rPr>
          <w:spacing w:val="11"/>
        </w:rPr>
        <w:t> </w:t>
      </w:r>
      <w:r>
        <w:rPr/>
        <w:t>conceived the original idea of extracting CDs from brown coal as a starting material, using a simpler and more</w:t>
      </w:r>
      <w:r>
        <w:rPr>
          <w:spacing w:val="-8"/>
        </w:rPr>
        <w:t> </w:t>
      </w:r>
      <w:r>
        <w:rPr/>
        <w:t>environmentally</w:t>
      </w:r>
    </w:p>
    <w:p>
      <w:pPr>
        <w:pStyle w:val="BodyText"/>
        <w:ind w:left="120"/>
      </w:pPr>
      <w:r>
        <w:rPr/>
        <w:t>friendly methodology.</w:t>
      </w:r>
    </w:p>
    <w:p>
      <w:pPr>
        <w:pStyle w:val="BodyText"/>
        <w:spacing w:before="2"/>
        <w:ind w:left="120" w:right="109" w:firstLine="336"/>
        <w:jc w:val="both"/>
      </w:pPr>
      <w:r>
        <w:rPr/>
        <w:t>In this paper, we utilized one of the Victorian brown coals and report a novel one-step extraction method for obtaining blue light-emitting CDs from the brown coal.</w:t>
      </w:r>
    </w:p>
    <w:p>
      <w:pPr>
        <w:pStyle w:val="BodyText"/>
        <w:spacing w:before="1"/>
        <w:rPr>
          <w:sz w:val="21"/>
        </w:rPr>
      </w:pPr>
    </w:p>
    <w:p>
      <w:pPr>
        <w:pStyle w:val="Heading1"/>
      </w:pPr>
      <w:r>
        <w:rPr/>
        <w:t>MATERIAL AND METHOD</w:t>
      </w:r>
    </w:p>
    <w:p>
      <w:pPr>
        <w:pStyle w:val="BodyText"/>
        <w:rPr>
          <w:b/>
          <w:sz w:val="26"/>
        </w:rPr>
      </w:pPr>
    </w:p>
    <w:p>
      <w:pPr>
        <w:spacing w:before="217"/>
        <w:ind w:left="1929" w:right="1927" w:firstLine="0"/>
        <w:jc w:val="center"/>
        <w:rPr>
          <w:b/>
          <w:sz w:val="24"/>
        </w:rPr>
      </w:pPr>
      <w:r>
        <w:rPr>
          <w:b/>
          <w:sz w:val="24"/>
        </w:rPr>
        <w:t>Extraction with Ethanol</w:t>
      </w:r>
    </w:p>
    <w:p>
      <w:pPr>
        <w:pStyle w:val="BodyText"/>
        <w:spacing w:before="8"/>
        <w:rPr>
          <w:b/>
        </w:rPr>
      </w:pPr>
    </w:p>
    <w:p>
      <w:pPr>
        <w:pStyle w:val="BodyText"/>
        <w:spacing w:line="229" w:lineRule="exact"/>
        <w:ind w:left="404"/>
        <w:jc w:val="both"/>
      </w:pPr>
      <w:r>
        <w:rPr/>
        <w:t>Yallourn brown coal, one of the several Victorian brown coals, was used as a starting source material. A total of</w:t>
      </w:r>
    </w:p>
    <w:p>
      <w:pPr>
        <w:pStyle w:val="BodyText"/>
        <w:ind w:left="120" w:right="111"/>
        <w:jc w:val="both"/>
      </w:pPr>
      <w:r>
        <w:rPr/>
        <w:t>0.2 g of the brown coal was dissolved in 5 mL of ethanol through sonication at room temperature for 10 minutes. Ethanol (99.5%, KANTO CHEMICAL CO., INC.) was used in its as-received state. Subsequently, the resulting mixture, appearing black in color, was subjected to centrifugation at 15,000 rcf for 12 minutes to remove any undissolved particles. The supernatant was then filtered using a 0.1 µm-pore size filter (PALL ACRO DISC, Japan). The filtered solution, referred to as the ethanol-extracted sample, underwent various optical and structural characterizations to determine their properties. Additionally, water-extracted samples were prepared for comparative analysis.</w:t>
      </w:r>
    </w:p>
    <w:p>
      <w:pPr>
        <w:spacing w:after="0"/>
        <w:jc w:val="both"/>
        <w:sectPr>
          <w:pgSz w:w="12240" w:h="15840"/>
          <w:pgMar w:top="1380" w:bottom="280" w:left="1320" w:right="1320"/>
        </w:sectPr>
      </w:pPr>
    </w:p>
    <w:p>
      <w:pPr>
        <w:pStyle w:val="Heading1"/>
        <w:spacing w:before="60"/>
        <w:ind w:left="1926"/>
      </w:pPr>
      <w:r>
        <w:rPr/>
        <w:t>Refluxing with Ethylenediamine</w:t>
      </w:r>
    </w:p>
    <w:p>
      <w:pPr>
        <w:pStyle w:val="BodyText"/>
        <w:spacing w:before="7"/>
        <w:rPr>
          <w:b/>
        </w:rPr>
      </w:pPr>
    </w:p>
    <w:p>
      <w:pPr>
        <w:pStyle w:val="BodyText"/>
        <w:spacing w:before="1"/>
        <w:ind w:left="120" w:right="111" w:firstLine="284"/>
        <w:jc w:val="both"/>
      </w:pPr>
      <w:r>
        <w:rPr/>
        <w:t>0.4 g of the brown coal was added to 20 mL of a 5% ethylenediamine (EDA) solution, diluted with water. The mixture was refluxed at 100 °C for 12 hours. After refluxing, the resulting suspension was heated at 200 °C, and the solvent was evaporated to obtain a solid residue. Subsequently, the solid residue was immersed into 5 mL of ethanol, and it was sonicated for 10 minutes at room temperature. The resulting blackish mixture was centrifugated at 15,000 rcf</w:t>
      </w:r>
      <w:r>
        <w:rPr>
          <w:spacing w:val="-11"/>
        </w:rPr>
        <w:t> </w:t>
      </w:r>
      <w:r>
        <w:rPr/>
        <w:t>for</w:t>
      </w:r>
      <w:r>
        <w:rPr>
          <w:spacing w:val="-11"/>
        </w:rPr>
        <w:t> </w:t>
      </w:r>
      <w:r>
        <w:rPr/>
        <w:t>12</w:t>
      </w:r>
      <w:r>
        <w:rPr>
          <w:spacing w:val="-11"/>
        </w:rPr>
        <w:t> </w:t>
      </w:r>
      <w:r>
        <w:rPr/>
        <w:t>minutes</w:t>
      </w:r>
      <w:r>
        <w:rPr>
          <w:spacing w:val="-15"/>
        </w:rPr>
        <w:t> </w:t>
      </w:r>
      <w:r>
        <w:rPr/>
        <w:t>to</w:t>
      </w:r>
      <w:r>
        <w:rPr>
          <w:spacing w:val="-10"/>
        </w:rPr>
        <w:t> </w:t>
      </w:r>
      <w:r>
        <w:rPr/>
        <w:t>separate</w:t>
      </w:r>
      <w:r>
        <w:rPr>
          <w:spacing w:val="-9"/>
        </w:rPr>
        <w:t> </w:t>
      </w:r>
      <w:r>
        <w:rPr/>
        <w:t>undissolved</w:t>
      </w:r>
      <w:r>
        <w:rPr>
          <w:spacing w:val="-8"/>
        </w:rPr>
        <w:t> </w:t>
      </w:r>
      <w:r>
        <w:rPr/>
        <w:t>solid</w:t>
      </w:r>
      <w:r>
        <w:rPr>
          <w:spacing w:val="-11"/>
        </w:rPr>
        <w:t> </w:t>
      </w:r>
      <w:r>
        <w:rPr/>
        <w:t>particles</w:t>
      </w:r>
      <w:r>
        <w:rPr>
          <w:spacing w:val="-11"/>
        </w:rPr>
        <w:t> </w:t>
      </w:r>
      <w:r>
        <w:rPr/>
        <w:t>from</w:t>
      </w:r>
      <w:r>
        <w:rPr>
          <w:spacing w:val="-11"/>
        </w:rPr>
        <w:t> </w:t>
      </w:r>
      <w:r>
        <w:rPr/>
        <w:t>the</w:t>
      </w:r>
      <w:r>
        <w:rPr>
          <w:spacing w:val="-13"/>
        </w:rPr>
        <w:t> </w:t>
      </w:r>
      <w:r>
        <w:rPr/>
        <w:t>supernatant.</w:t>
      </w:r>
      <w:r>
        <w:rPr>
          <w:spacing w:val="-9"/>
        </w:rPr>
        <w:t> </w:t>
      </w:r>
      <w:r>
        <w:rPr/>
        <w:t>Then,</w:t>
      </w:r>
      <w:r>
        <w:rPr>
          <w:spacing w:val="-10"/>
        </w:rPr>
        <w:t> </w:t>
      </w:r>
      <w:r>
        <w:rPr/>
        <w:t>the</w:t>
      </w:r>
      <w:r>
        <w:rPr>
          <w:spacing w:val="-9"/>
        </w:rPr>
        <w:t> </w:t>
      </w:r>
      <w:r>
        <w:rPr/>
        <w:t>supernatant</w:t>
      </w:r>
      <w:r>
        <w:rPr>
          <w:spacing w:val="-11"/>
        </w:rPr>
        <w:t> </w:t>
      </w:r>
      <w:r>
        <w:rPr/>
        <w:t>was</w:t>
      </w:r>
      <w:r>
        <w:rPr>
          <w:spacing w:val="-10"/>
        </w:rPr>
        <w:t> </w:t>
      </w:r>
      <w:r>
        <w:rPr/>
        <w:t>filtered</w:t>
      </w:r>
      <w:r>
        <w:rPr>
          <w:spacing w:val="-11"/>
        </w:rPr>
        <w:t> </w:t>
      </w:r>
      <w:r>
        <w:rPr/>
        <w:t>using a 0.1 µm-pore size filter (PALL ACRO DISC, Japan). The filtered solution, referred to as the EDA-refluxed sample, underwent various optical and structural characterizations to assess their</w:t>
      </w:r>
      <w:r>
        <w:rPr>
          <w:spacing w:val="6"/>
        </w:rPr>
        <w:t> </w:t>
      </w:r>
      <w:r>
        <w:rPr/>
        <w:t>properties.</w:t>
      </w:r>
    </w:p>
    <w:p>
      <w:pPr>
        <w:pStyle w:val="BodyText"/>
        <w:spacing w:before="11"/>
      </w:pPr>
    </w:p>
    <w:p>
      <w:pPr>
        <w:pStyle w:val="Heading1"/>
        <w:ind w:left="1925"/>
      </w:pPr>
      <w:r>
        <w:rPr/>
        <w:t>CHARACTERIZATION</w:t>
      </w:r>
    </w:p>
    <w:p>
      <w:pPr>
        <w:pStyle w:val="BodyText"/>
        <w:rPr>
          <w:b/>
          <w:sz w:val="26"/>
        </w:rPr>
      </w:pPr>
    </w:p>
    <w:p>
      <w:pPr>
        <w:pStyle w:val="BodyText"/>
        <w:spacing w:before="170"/>
        <w:ind w:left="120" w:right="113" w:firstLine="284"/>
        <w:jc w:val="both"/>
      </w:pPr>
      <w:r>
        <w:rPr/>
        <w:t>The structural characterization of brown coal and the ethanol-extracted sample was performed using an X-ray diffractometer (D8-ADVANCE, BRUKER) with a Cu Kα radiation (a wavelength of 1.5418 Å). To gain insight into the detailed structure of the ethanol-extracted CDs and EDA-refluxed CDs, transmission electron microscopy (JEM- 2100F,</w:t>
      </w:r>
      <w:r>
        <w:rPr>
          <w:spacing w:val="-8"/>
        </w:rPr>
        <w:t> </w:t>
      </w:r>
      <w:r>
        <w:rPr/>
        <w:t>JEOL)</w:t>
      </w:r>
      <w:r>
        <w:rPr>
          <w:spacing w:val="-7"/>
        </w:rPr>
        <w:t> </w:t>
      </w:r>
      <w:r>
        <w:rPr/>
        <w:t>was</w:t>
      </w:r>
      <w:r>
        <w:rPr>
          <w:spacing w:val="-10"/>
        </w:rPr>
        <w:t> </w:t>
      </w:r>
      <w:r>
        <w:rPr/>
        <w:t>employed.</w:t>
      </w:r>
      <w:r>
        <w:rPr>
          <w:spacing w:val="-7"/>
        </w:rPr>
        <w:t> </w:t>
      </w:r>
      <w:r>
        <w:rPr/>
        <w:t>Furthermore,</w:t>
      </w:r>
      <w:r>
        <w:rPr>
          <w:spacing w:val="-7"/>
        </w:rPr>
        <w:t> </w:t>
      </w:r>
      <w:r>
        <w:rPr/>
        <w:t>the</w:t>
      </w:r>
      <w:r>
        <w:rPr>
          <w:spacing w:val="-9"/>
        </w:rPr>
        <w:t> </w:t>
      </w:r>
      <w:r>
        <w:rPr/>
        <w:t>composition</w:t>
      </w:r>
      <w:r>
        <w:rPr>
          <w:spacing w:val="-8"/>
        </w:rPr>
        <w:t> </w:t>
      </w:r>
      <w:r>
        <w:rPr/>
        <w:t>and</w:t>
      </w:r>
      <w:r>
        <w:rPr>
          <w:spacing w:val="-8"/>
        </w:rPr>
        <w:t> </w:t>
      </w:r>
      <w:r>
        <w:rPr/>
        <w:t>elemental</w:t>
      </w:r>
      <w:r>
        <w:rPr>
          <w:spacing w:val="-8"/>
        </w:rPr>
        <w:t> </w:t>
      </w:r>
      <w:r>
        <w:rPr/>
        <w:t>analysis</w:t>
      </w:r>
      <w:r>
        <w:rPr>
          <w:spacing w:val="-10"/>
        </w:rPr>
        <w:t> </w:t>
      </w:r>
      <w:r>
        <w:rPr/>
        <w:t>of</w:t>
      </w:r>
      <w:r>
        <w:rPr>
          <w:spacing w:val="-4"/>
        </w:rPr>
        <w:t> </w:t>
      </w:r>
      <w:r>
        <w:rPr/>
        <w:t>all</w:t>
      </w:r>
      <w:r>
        <w:rPr>
          <w:spacing w:val="-8"/>
        </w:rPr>
        <w:t> </w:t>
      </w:r>
      <w:r>
        <w:rPr/>
        <w:t>the</w:t>
      </w:r>
      <w:r>
        <w:rPr>
          <w:spacing w:val="-8"/>
        </w:rPr>
        <w:t> </w:t>
      </w:r>
      <w:r>
        <w:rPr/>
        <w:t>samples</w:t>
      </w:r>
      <w:r>
        <w:rPr>
          <w:spacing w:val="-7"/>
        </w:rPr>
        <w:t> </w:t>
      </w:r>
      <w:r>
        <w:rPr/>
        <w:t>were</w:t>
      </w:r>
      <w:r>
        <w:rPr>
          <w:spacing w:val="-9"/>
        </w:rPr>
        <w:t> </w:t>
      </w:r>
      <w:r>
        <w:rPr/>
        <w:t>conducted using a Fourier-transform infrared spectrometer (FT/IR-4100, JASCO) and an X-ray photoelectron spectrometer (Quantera-SXM,</w:t>
      </w:r>
      <w:r>
        <w:rPr>
          <w:spacing w:val="-9"/>
        </w:rPr>
        <w:t> </w:t>
      </w:r>
      <w:r>
        <w:rPr/>
        <w:t>ULVAC-PHI,</w:t>
      </w:r>
      <w:r>
        <w:rPr>
          <w:spacing w:val="-8"/>
        </w:rPr>
        <w:t> </w:t>
      </w:r>
      <w:r>
        <w:rPr/>
        <w:t>INC),</w:t>
      </w:r>
      <w:r>
        <w:rPr>
          <w:spacing w:val="-11"/>
        </w:rPr>
        <w:t> </w:t>
      </w:r>
      <w:r>
        <w:rPr/>
        <w:t>respectively.</w:t>
      </w:r>
      <w:r>
        <w:rPr>
          <w:spacing w:val="-11"/>
        </w:rPr>
        <w:t> </w:t>
      </w:r>
      <w:r>
        <w:rPr/>
        <w:t>The</w:t>
      </w:r>
      <w:r>
        <w:rPr>
          <w:spacing w:val="-10"/>
        </w:rPr>
        <w:t> </w:t>
      </w:r>
      <w:r>
        <w:rPr/>
        <w:t>optical</w:t>
      </w:r>
      <w:r>
        <w:rPr>
          <w:spacing w:val="-13"/>
        </w:rPr>
        <w:t> </w:t>
      </w:r>
      <w:r>
        <w:rPr/>
        <w:t>properties</w:t>
      </w:r>
      <w:r>
        <w:rPr>
          <w:spacing w:val="-11"/>
        </w:rPr>
        <w:t> </w:t>
      </w:r>
      <w:r>
        <w:rPr/>
        <w:t>of</w:t>
      </w:r>
      <w:r>
        <w:rPr>
          <w:spacing w:val="-8"/>
        </w:rPr>
        <w:t> </w:t>
      </w:r>
      <w:r>
        <w:rPr/>
        <w:t>the</w:t>
      </w:r>
      <w:r>
        <w:rPr>
          <w:spacing w:val="-10"/>
        </w:rPr>
        <w:t> </w:t>
      </w:r>
      <w:r>
        <w:rPr/>
        <w:t>ethanol-extracted</w:t>
      </w:r>
      <w:r>
        <w:rPr>
          <w:spacing w:val="-10"/>
        </w:rPr>
        <w:t> </w:t>
      </w:r>
      <w:r>
        <w:rPr/>
        <w:t>samples</w:t>
      </w:r>
      <w:r>
        <w:rPr>
          <w:spacing w:val="-11"/>
        </w:rPr>
        <w:t> </w:t>
      </w:r>
      <w:r>
        <w:rPr/>
        <w:t>containing CDs</w:t>
      </w:r>
      <w:r>
        <w:rPr>
          <w:spacing w:val="-13"/>
        </w:rPr>
        <w:t> </w:t>
      </w:r>
      <w:r>
        <w:rPr/>
        <w:t>and</w:t>
      </w:r>
      <w:r>
        <w:rPr>
          <w:spacing w:val="-10"/>
        </w:rPr>
        <w:t> </w:t>
      </w:r>
      <w:r>
        <w:rPr/>
        <w:t>EDA-refluxed</w:t>
      </w:r>
      <w:r>
        <w:rPr>
          <w:spacing w:val="-11"/>
        </w:rPr>
        <w:t> </w:t>
      </w:r>
      <w:r>
        <w:rPr/>
        <w:t>sample</w:t>
      </w:r>
      <w:r>
        <w:rPr>
          <w:spacing w:val="-11"/>
        </w:rPr>
        <w:t> </w:t>
      </w:r>
      <w:r>
        <w:rPr/>
        <w:t>were</w:t>
      </w:r>
      <w:r>
        <w:rPr>
          <w:spacing w:val="-14"/>
        </w:rPr>
        <w:t> </w:t>
      </w:r>
      <w:r>
        <w:rPr/>
        <w:t>investigated</w:t>
      </w:r>
      <w:r>
        <w:rPr>
          <w:spacing w:val="-11"/>
        </w:rPr>
        <w:t> </w:t>
      </w:r>
      <w:r>
        <w:rPr/>
        <w:t>through</w:t>
      </w:r>
      <w:r>
        <w:rPr>
          <w:spacing w:val="-10"/>
        </w:rPr>
        <w:t> </w:t>
      </w:r>
      <w:r>
        <w:rPr/>
        <w:t>photoluminescence</w:t>
      </w:r>
      <w:r>
        <w:rPr>
          <w:spacing w:val="-11"/>
        </w:rPr>
        <w:t> </w:t>
      </w:r>
      <w:r>
        <w:rPr/>
        <w:t>spectroscopy</w:t>
      </w:r>
      <w:r>
        <w:rPr>
          <w:spacing w:val="-10"/>
        </w:rPr>
        <w:t> </w:t>
      </w:r>
      <w:r>
        <w:rPr/>
        <w:t>(FP-8500,</w:t>
      </w:r>
      <w:r>
        <w:rPr>
          <w:spacing w:val="-9"/>
        </w:rPr>
        <w:t> </w:t>
      </w:r>
      <w:r>
        <w:rPr/>
        <w:t>JASCO,</w:t>
      </w:r>
      <w:r>
        <w:rPr>
          <w:spacing w:val="-9"/>
        </w:rPr>
        <w:t> </w:t>
      </w:r>
      <w:r>
        <w:rPr/>
        <w:t>Japan) and ultraviolet-visible absorption spectroscopy (V-730, JASCO, Japan). Additionally, the quantum yield for the PL emission was determined using a fluorescence spectrometer (FP-8500,</w:t>
      </w:r>
      <w:r>
        <w:rPr>
          <w:spacing w:val="8"/>
        </w:rPr>
        <w:t> </w:t>
      </w:r>
      <w:r>
        <w:rPr/>
        <w:t>JASCO).</w:t>
      </w:r>
    </w:p>
    <w:p>
      <w:pPr>
        <w:pStyle w:val="BodyText"/>
        <w:rPr>
          <w:sz w:val="21"/>
        </w:rPr>
      </w:pPr>
    </w:p>
    <w:p>
      <w:pPr>
        <w:pStyle w:val="Heading1"/>
      </w:pPr>
      <w:r>
        <w:rPr/>
        <w:t>RESULTS AND DISUCUSSION</w:t>
      </w:r>
    </w:p>
    <w:p>
      <w:pPr>
        <w:pStyle w:val="BodyText"/>
        <w:rPr>
          <w:b/>
          <w:sz w:val="26"/>
        </w:rPr>
      </w:pPr>
    </w:p>
    <w:p>
      <w:pPr>
        <w:spacing w:before="218"/>
        <w:ind w:left="1929" w:right="1927" w:firstLine="0"/>
        <w:jc w:val="center"/>
        <w:rPr>
          <w:b/>
          <w:sz w:val="24"/>
        </w:rPr>
      </w:pPr>
      <w:r>
        <w:rPr>
          <w:b/>
          <w:sz w:val="24"/>
        </w:rPr>
        <w:t>Characterization of the Brown Coal</w:t>
      </w:r>
    </w:p>
    <w:p>
      <w:pPr>
        <w:pStyle w:val="BodyText"/>
        <w:spacing w:before="5"/>
        <w:rPr>
          <w:b/>
          <w:sz w:val="17"/>
        </w:rPr>
      </w:pPr>
      <w:r>
        <w:rPr/>
        <w:drawing>
          <wp:anchor distT="0" distB="0" distL="0" distR="0" allowOverlap="1" layoutInCell="1" locked="0" behindDoc="0" simplePos="0" relativeHeight="0">
            <wp:simplePos x="0" y="0"/>
            <wp:positionH relativeFrom="page">
              <wp:posOffset>1066417</wp:posOffset>
            </wp:positionH>
            <wp:positionV relativeFrom="paragraph">
              <wp:posOffset>152156</wp:posOffset>
            </wp:positionV>
            <wp:extent cx="5691278" cy="2187130"/>
            <wp:effectExtent l="0" t="0" r="0" b="0"/>
            <wp:wrapTopAndBottom/>
            <wp:docPr id="1" name="image1.jpeg"/>
            <wp:cNvGraphicFramePr>
              <a:graphicFrameLocks noChangeAspect="1"/>
            </wp:cNvGraphicFramePr>
            <a:graphic>
              <a:graphicData uri="http://schemas.openxmlformats.org/drawingml/2006/picture">
                <pic:pic>
                  <pic:nvPicPr>
                    <pic:cNvPr id="2" name="image1.jpeg"/>
                    <pic:cNvPicPr/>
                  </pic:nvPicPr>
                  <pic:blipFill>
                    <a:blip r:embed="rId7" cstate="print"/>
                    <a:stretch>
                      <a:fillRect/>
                    </a:stretch>
                  </pic:blipFill>
                  <pic:spPr>
                    <a:xfrm>
                      <a:off x="0" y="0"/>
                      <a:ext cx="5691278" cy="2187130"/>
                    </a:xfrm>
                    <a:prstGeom prst="rect">
                      <a:avLst/>
                    </a:prstGeom>
                  </pic:spPr>
                </pic:pic>
              </a:graphicData>
            </a:graphic>
          </wp:anchor>
        </w:drawing>
      </w:r>
    </w:p>
    <w:p>
      <w:pPr>
        <w:spacing w:before="20"/>
        <w:ind w:left="1256" w:right="0" w:firstLine="0"/>
        <w:jc w:val="left"/>
        <w:rPr>
          <w:sz w:val="18"/>
        </w:rPr>
      </w:pPr>
      <w:r>
        <w:rPr>
          <w:b/>
          <w:sz w:val="18"/>
        </w:rPr>
        <w:t>FIGURE 1. </w:t>
      </w:r>
      <w:r>
        <w:rPr>
          <w:sz w:val="18"/>
        </w:rPr>
        <w:t>(a) Photograph of Yallourn brown coal used in this work. (b) XRD pattern of brown coal.</w:t>
      </w:r>
    </w:p>
    <w:p>
      <w:pPr>
        <w:pStyle w:val="BodyText"/>
        <w:spacing w:before="9"/>
        <w:rPr>
          <w:sz w:val="17"/>
        </w:rPr>
      </w:pPr>
    </w:p>
    <w:p>
      <w:pPr>
        <w:spacing w:before="0"/>
        <w:ind w:left="1181" w:right="0" w:firstLine="0"/>
        <w:jc w:val="left"/>
        <w:rPr>
          <w:b/>
          <w:sz w:val="18"/>
        </w:rPr>
      </w:pPr>
      <w:r>
        <w:rPr>
          <w:b/>
          <w:sz w:val="18"/>
        </w:rPr>
        <w:t>TABLE 1. Proximate and ultimate analyses of the Yallourn coal sample used in this work [24].</w:t>
      </w:r>
    </w:p>
    <w:p>
      <w:pPr>
        <w:pStyle w:val="BodyText"/>
        <w:spacing w:line="20" w:lineRule="exact"/>
        <w:ind w:left="116"/>
        <w:rPr>
          <w:sz w:val="2"/>
        </w:rPr>
      </w:pPr>
      <w:r>
        <w:rPr>
          <w:sz w:val="2"/>
        </w:rPr>
        <w:pict>
          <v:group style="width:468.35pt;height:.4pt;mso-position-horizontal-relative:char;mso-position-vertical-relative:line" coordorigin="0,0" coordsize="9367,8">
            <v:line style="position:absolute" from="0,4" to="3689,4" stroked="true" strokeweight=".39996pt" strokecolor="#000000">
              <v:stroke dashstyle="solid"/>
            </v:line>
            <v:rect style="position:absolute;left:3689;top:0;width:8;height:8" filled="true" fillcolor="#000000" stroked="false">
              <v:fill type="solid"/>
            </v:rect>
            <v:line style="position:absolute" from="3697,4" to="4538,4" stroked="true" strokeweight=".39996pt" strokecolor="#000000">
              <v:stroke dashstyle="solid"/>
            </v:line>
            <v:rect style="position:absolute;left:4537;top:0;width:8;height:8" filled="true" fillcolor="#000000" stroked="false">
              <v:fill type="solid"/>
            </v:rect>
            <v:line style="position:absolute" from="4545,4" to="9367,4" stroked="true" strokeweight=".39996pt" strokecolor="#000000">
              <v:stroke dashstyle="solid"/>
            </v:line>
          </v:group>
        </w:pict>
      </w:r>
      <w:r>
        <w:rPr>
          <w:sz w:val="2"/>
        </w:rPr>
      </w:r>
    </w:p>
    <w:p>
      <w:pPr>
        <w:tabs>
          <w:tab w:pos="4537" w:val="left" w:leader="none"/>
        </w:tabs>
        <w:spacing w:before="0" w:after="5"/>
        <w:ind w:left="0" w:right="1502" w:firstLine="0"/>
        <w:jc w:val="center"/>
        <w:rPr>
          <w:sz w:val="18"/>
        </w:rPr>
      </w:pPr>
      <w:r>
        <w:rPr>
          <w:sz w:val="18"/>
        </w:rPr>
        <w:t>Proximate analysis [wt%,</w:t>
      </w:r>
      <w:r>
        <w:rPr>
          <w:spacing w:val="-7"/>
          <w:sz w:val="18"/>
        </w:rPr>
        <w:t> </w:t>
      </w:r>
      <w:r>
        <w:rPr>
          <w:sz w:val="18"/>
        </w:rPr>
        <w:t>dry basis]</w:t>
        <w:tab/>
        <w:t>Ultimate analysis [wt%, dry ash free</w:t>
      </w:r>
      <w:r>
        <w:rPr>
          <w:spacing w:val="-5"/>
          <w:sz w:val="18"/>
        </w:rPr>
        <w:t> </w:t>
      </w:r>
      <w:r>
        <w:rPr>
          <w:sz w:val="18"/>
        </w:rPr>
        <w:t>basis]</w:t>
      </w: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289"/>
        <w:gridCol w:w="1488"/>
        <w:gridCol w:w="1176"/>
        <w:gridCol w:w="1287"/>
        <w:gridCol w:w="739"/>
        <w:gridCol w:w="1711"/>
        <w:gridCol w:w="774"/>
        <w:gridCol w:w="909"/>
      </w:tblGrid>
      <w:tr>
        <w:trPr>
          <w:trHeight w:val="205" w:hRule="atLeast"/>
        </w:trPr>
        <w:tc>
          <w:tcPr>
            <w:tcW w:w="1289" w:type="dxa"/>
            <w:tcBorders>
              <w:top w:val="single" w:sz="4" w:space="0" w:color="000000"/>
              <w:bottom w:val="single" w:sz="4" w:space="0" w:color="000000"/>
            </w:tcBorders>
          </w:tcPr>
          <w:p>
            <w:pPr>
              <w:pStyle w:val="TableParagraph"/>
              <w:spacing w:line="186" w:lineRule="exact"/>
              <w:ind w:left="107"/>
              <w:rPr>
                <w:sz w:val="18"/>
              </w:rPr>
            </w:pPr>
            <w:r>
              <w:rPr>
                <w:sz w:val="18"/>
              </w:rPr>
              <w:t>Fixed carbon</w:t>
            </w:r>
          </w:p>
        </w:tc>
        <w:tc>
          <w:tcPr>
            <w:tcW w:w="1488" w:type="dxa"/>
            <w:tcBorders>
              <w:top w:val="single" w:sz="4" w:space="0" w:color="000000"/>
              <w:bottom w:val="single" w:sz="4" w:space="0" w:color="000000"/>
            </w:tcBorders>
          </w:tcPr>
          <w:p>
            <w:pPr>
              <w:pStyle w:val="TableParagraph"/>
              <w:spacing w:line="186" w:lineRule="exact"/>
              <w:ind w:left="235"/>
              <w:rPr>
                <w:sz w:val="18"/>
              </w:rPr>
            </w:pPr>
            <w:r>
              <w:rPr>
                <w:sz w:val="18"/>
              </w:rPr>
              <w:t>Volatile matter</w:t>
            </w:r>
          </w:p>
        </w:tc>
        <w:tc>
          <w:tcPr>
            <w:tcW w:w="1176" w:type="dxa"/>
            <w:tcBorders>
              <w:top w:val="single" w:sz="4" w:space="0" w:color="000000"/>
              <w:bottom w:val="single" w:sz="4" w:space="0" w:color="000000"/>
            </w:tcBorders>
          </w:tcPr>
          <w:p>
            <w:pPr>
              <w:pStyle w:val="TableParagraph"/>
              <w:spacing w:line="186" w:lineRule="exact"/>
              <w:ind w:left="164"/>
              <w:rPr>
                <w:sz w:val="18"/>
              </w:rPr>
            </w:pPr>
            <w:r>
              <w:rPr>
                <w:sz w:val="18"/>
              </w:rPr>
              <w:t>Ash</w:t>
            </w:r>
          </w:p>
        </w:tc>
        <w:tc>
          <w:tcPr>
            <w:tcW w:w="1287" w:type="dxa"/>
            <w:tcBorders>
              <w:top w:val="single" w:sz="4" w:space="0" w:color="000000"/>
              <w:bottom w:val="single" w:sz="4" w:space="0" w:color="000000"/>
            </w:tcBorders>
          </w:tcPr>
          <w:p>
            <w:pPr>
              <w:pStyle w:val="TableParagraph"/>
              <w:spacing w:line="186" w:lineRule="exact"/>
              <w:ind w:left="692"/>
              <w:rPr>
                <w:sz w:val="18"/>
              </w:rPr>
            </w:pPr>
            <w:r>
              <w:rPr>
                <w:sz w:val="18"/>
              </w:rPr>
              <w:t>C</w:t>
            </w:r>
          </w:p>
        </w:tc>
        <w:tc>
          <w:tcPr>
            <w:tcW w:w="739" w:type="dxa"/>
            <w:tcBorders>
              <w:top w:val="single" w:sz="4" w:space="0" w:color="000000"/>
              <w:bottom w:val="single" w:sz="4" w:space="0" w:color="000000"/>
            </w:tcBorders>
          </w:tcPr>
          <w:p>
            <w:pPr>
              <w:pStyle w:val="TableParagraph"/>
              <w:spacing w:line="186" w:lineRule="exact"/>
              <w:ind w:left="185"/>
              <w:rPr>
                <w:sz w:val="18"/>
              </w:rPr>
            </w:pPr>
            <w:r>
              <w:rPr>
                <w:sz w:val="18"/>
              </w:rPr>
              <w:t>H</w:t>
            </w:r>
          </w:p>
        </w:tc>
        <w:tc>
          <w:tcPr>
            <w:tcW w:w="1711" w:type="dxa"/>
            <w:tcBorders>
              <w:top w:val="single" w:sz="4" w:space="0" w:color="000000"/>
              <w:bottom w:val="single" w:sz="4" w:space="0" w:color="000000"/>
            </w:tcBorders>
          </w:tcPr>
          <w:p>
            <w:pPr>
              <w:pStyle w:val="TableParagraph"/>
              <w:spacing w:line="186" w:lineRule="exact"/>
              <w:ind w:left="230"/>
              <w:rPr>
                <w:sz w:val="18"/>
              </w:rPr>
            </w:pPr>
            <w:r>
              <w:rPr>
                <w:sz w:val="18"/>
              </w:rPr>
              <w:t>O (by difference)</w:t>
            </w:r>
          </w:p>
        </w:tc>
        <w:tc>
          <w:tcPr>
            <w:tcW w:w="774" w:type="dxa"/>
            <w:tcBorders>
              <w:top w:val="single" w:sz="4" w:space="0" w:color="000000"/>
              <w:bottom w:val="single" w:sz="4" w:space="0" w:color="000000"/>
            </w:tcBorders>
          </w:tcPr>
          <w:p>
            <w:pPr>
              <w:pStyle w:val="TableParagraph"/>
              <w:spacing w:line="186" w:lineRule="exact"/>
              <w:ind w:left="220"/>
              <w:rPr>
                <w:sz w:val="18"/>
              </w:rPr>
            </w:pPr>
            <w:r>
              <w:rPr>
                <w:sz w:val="18"/>
              </w:rPr>
              <w:t>N</w:t>
            </w:r>
          </w:p>
        </w:tc>
        <w:tc>
          <w:tcPr>
            <w:tcW w:w="909" w:type="dxa"/>
            <w:tcBorders>
              <w:top w:val="single" w:sz="4" w:space="0" w:color="000000"/>
              <w:bottom w:val="single" w:sz="4" w:space="0" w:color="000000"/>
            </w:tcBorders>
          </w:tcPr>
          <w:p>
            <w:pPr>
              <w:pStyle w:val="TableParagraph"/>
              <w:spacing w:line="186" w:lineRule="exact"/>
              <w:ind w:left="226"/>
              <w:rPr>
                <w:sz w:val="18"/>
              </w:rPr>
            </w:pPr>
            <w:r>
              <w:rPr>
                <w:sz w:val="18"/>
              </w:rPr>
              <w:t>S</w:t>
            </w:r>
          </w:p>
        </w:tc>
      </w:tr>
      <w:tr>
        <w:trPr>
          <w:trHeight w:val="206" w:hRule="atLeast"/>
        </w:trPr>
        <w:tc>
          <w:tcPr>
            <w:tcW w:w="1289" w:type="dxa"/>
            <w:tcBorders>
              <w:top w:val="single" w:sz="4" w:space="0" w:color="000000"/>
              <w:bottom w:val="single" w:sz="4" w:space="0" w:color="000000"/>
            </w:tcBorders>
          </w:tcPr>
          <w:p>
            <w:pPr>
              <w:pStyle w:val="TableParagraph"/>
              <w:spacing w:line="186" w:lineRule="exact"/>
              <w:ind w:left="107"/>
              <w:rPr>
                <w:sz w:val="18"/>
              </w:rPr>
            </w:pPr>
            <w:r>
              <w:rPr>
                <w:sz w:val="18"/>
              </w:rPr>
              <w:t>48.05</w:t>
            </w:r>
          </w:p>
        </w:tc>
        <w:tc>
          <w:tcPr>
            <w:tcW w:w="1488" w:type="dxa"/>
            <w:tcBorders>
              <w:top w:val="single" w:sz="4" w:space="0" w:color="000000"/>
              <w:bottom w:val="single" w:sz="4" w:space="0" w:color="000000"/>
            </w:tcBorders>
          </w:tcPr>
          <w:p>
            <w:pPr>
              <w:pStyle w:val="TableParagraph"/>
              <w:spacing w:line="186" w:lineRule="exact"/>
              <w:ind w:left="235"/>
              <w:rPr>
                <w:sz w:val="18"/>
              </w:rPr>
            </w:pPr>
            <w:r>
              <w:rPr>
                <w:sz w:val="18"/>
              </w:rPr>
              <w:t>49.25</w:t>
            </w:r>
          </w:p>
        </w:tc>
        <w:tc>
          <w:tcPr>
            <w:tcW w:w="1176" w:type="dxa"/>
            <w:tcBorders>
              <w:top w:val="single" w:sz="4" w:space="0" w:color="000000"/>
              <w:bottom w:val="single" w:sz="4" w:space="0" w:color="000000"/>
            </w:tcBorders>
          </w:tcPr>
          <w:p>
            <w:pPr>
              <w:pStyle w:val="TableParagraph"/>
              <w:spacing w:line="186" w:lineRule="exact"/>
              <w:ind w:left="164"/>
              <w:rPr>
                <w:sz w:val="18"/>
              </w:rPr>
            </w:pPr>
            <w:r>
              <w:rPr>
                <w:sz w:val="18"/>
              </w:rPr>
              <w:t>2.15</w:t>
            </w:r>
          </w:p>
        </w:tc>
        <w:tc>
          <w:tcPr>
            <w:tcW w:w="1287" w:type="dxa"/>
            <w:tcBorders>
              <w:top w:val="single" w:sz="4" w:space="0" w:color="000000"/>
              <w:bottom w:val="single" w:sz="4" w:space="0" w:color="000000"/>
            </w:tcBorders>
          </w:tcPr>
          <w:p>
            <w:pPr>
              <w:pStyle w:val="TableParagraph"/>
              <w:spacing w:line="186" w:lineRule="exact"/>
              <w:ind w:left="692"/>
              <w:rPr>
                <w:sz w:val="18"/>
              </w:rPr>
            </w:pPr>
            <w:r>
              <w:rPr>
                <w:sz w:val="18"/>
              </w:rPr>
              <w:t>65.75</w:t>
            </w:r>
          </w:p>
        </w:tc>
        <w:tc>
          <w:tcPr>
            <w:tcW w:w="739" w:type="dxa"/>
            <w:tcBorders>
              <w:top w:val="single" w:sz="4" w:space="0" w:color="000000"/>
              <w:bottom w:val="single" w:sz="4" w:space="0" w:color="000000"/>
            </w:tcBorders>
          </w:tcPr>
          <w:p>
            <w:pPr>
              <w:pStyle w:val="TableParagraph"/>
              <w:spacing w:line="186" w:lineRule="exact"/>
              <w:ind w:left="185"/>
              <w:rPr>
                <w:sz w:val="18"/>
              </w:rPr>
            </w:pPr>
            <w:r>
              <w:rPr>
                <w:sz w:val="18"/>
              </w:rPr>
              <w:t>4.30</w:t>
            </w:r>
          </w:p>
        </w:tc>
        <w:tc>
          <w:tcPr>
            <w:tcW w:w="1711" w:type="dxa"/>
            <w:tcBorders>
              <w:top w:val="single" w:sz="4" w:space="0" w:color="000000"/>
              <w:bottom w:val="single" w:sz="4" w:space="0" w:color="000000"/>
            </w:tcBorders>
          </w:tcPr>
          <w:p>
            <w:pPr>
              <w:pStyle w:val="TableParagraph"/>
              <w:spacing w:line="186" w:lineRule="exact"/>
              <w:ind w:left="230"/>
              <w:rPr>
                <w:sz w:val="18"/>
              </w:rPr>
            </w:pPr>
            <w:r>
              <w:rPr>
                <w:sz w:val="18"/>
              </w:rPr>
              <w:t>29.25</w:t>
            </w:r>
          </w:p>
        </w:tc>
        <w:tc>
          <w:tcPr>
            <w:tcW w:w="774" w:type="dxa"/>
            <w:tcBorders>
              <w:top w:val="single" w:sz="4" w:space="0" w:color="000000"/>
              <w:bottom w:val="single" w:sz="4" w:space="0" w:color="000000"/>
            </w:tcBorders>
          </w:tcPr>
          <w:p>
            <w:pPr>
              <w:pStyle w:val="TableParagraph"/>
              <w:spacing w:line="186" w:lineRule="exact"/>
              <w:ind w:left="220"/>
              <w:rPr>
                <w:sz w:val="18"/>
              </w:rPr>
            </w:pPr>
            <w:r>
              <w:rPr>
                <w:sz w:val="18"/>
              </w:rPr>
              <w:t>0.45</w:t>
            </w:r>
          </w:p>
        </w:tc>
        <w:tc>
          <w:tcPr>
            <w:tcW w:w="909" w:type="dxa"/>
            <w:tcBorders>
              <w:top w:val="single" w:sz="4" w:space="0" w:color="000000"/>
              <w:bottom w:val="single" w:sz="4" w:space="0" w:color="000000"/>
            </w:tcBorders>
          </w:tcPr>
          <w:p>
            <w:pPr>
              <w:pStyle w:val="TableParagraph"/>
              <w:spacing w:line="186" w:lineRule="exact"/>
              <w:ind w:left="226"/>
              <w:rPr>
                <w:sz w:val="18"/>
              </w:rPr>
            </w:pPr>
            <w:r>
              <w:rPr>
                <w:sz w:val="18"/>
              </w:rPr>
              <w:t>0.25</w:t>
            </w:r>
          </w:p>
        </w:tc>
      </w:tr>
    </w:tbl>
    <w:p>
      <w:pPr>
        <w:spacing w:after="0" w:line="186" w:lineRule="exact"/>
        <w:rPr>
          <w:sz w:val="18"/>
        </w:rPr>
        <w:sectPr>
          <w:pgSz w:w="12240" w:h="15840"/>
          <w:pgMar w:top="1380" w:bottom="280" w:left="1320" w:right="1320"/>
        </w:sectPr>
      </w:pPr>
    </w:p>
    <w:p>
      <w:pPr>
        <w:spacing w:before="80" w:after="6"/>
        <w:ind w:left="1936" w:right="1927" w:firstLine="0"/>
        <w:jc w:val="center"/>
        <w:rPr>
          <w:b/>
          <w:sz w:val="18"/>
        </w:rPr>
      </w:pPr>
      <w:r>
        <w:rPr>
          <w:b/>
          <w:sz w:val="18"/>
        </w:rPr>
        <w:t>TABLE 2. Ash analysis of the Yallourn coal sample used in this work [24].</w:t>
      </w:r>
    </w:p>
    <w:tbl>
      <w:tblPr>
        <w:tblW w:w="0" w:type="auto"/>
        <w:jc w:val="left"/>
        <w:tblInd w:w="1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599"/>
        <w:gridCol w:w="5775"/>
      </w:tblGrid>
      <w:tr>
        <w:trPr>
          <w:trHeight w:val="205" w:hRule="atLeast"/>
        </w:trPr>
        <w:tc>
          <w:tcPr>
            <w:tcW w:w="3599" w:type="dxa"/>
            <w:tcBorders>
              <w:top w:val="single" w:sz="4" w:space="0" w:color="000000"/>
              <w:bottom w:val="single" w:sz="4" w:space="0" w:color="000000"/>
            </w:tcBorders>
          </w:tcPr>
          <w:p>
            <w:pPr>
              <w:pStyle w:val="TableParagraph"/>
              <w:spacing w:line="186" w:lineRule="exact"/>
              <w:ind w:left="114"/>
              <w:rPr>
                <w:sz w:val="18"/>
              </w:rPr>
            </w:pPr>
            <w:r>
              <w:rPr>
                <w:sz w:val="18"/>
              </w:rPr>
              <w:t>Minerals and Inorganics</w:t>
            </w:r>
          </w:p>
        </w:tc>
        <w:tc>
          <w:tcPr>
            <w:tcW w:w="5775" w:type="dxa"/>
            <w:tcBorders>
              <w:top w:val="single" w:sz="4" w:space="0" w:color="000000"/>
              <w:bottom w:val="single" w:sz="4" w:space="0" w:color="000000"/>
            </w:tcBorders>
          </w:tcPr>
          <w:p>
            <w:pPr>
              <w:pStyle w:val="TableParagraph"/>
              <w:spacing w:line="186" w:lineRule="exact"/>
              <w:ind w:left="1736"/>
              <w:rPr>
                <w:sz w:val="18"/>
              </w:rPr>
            </w:pPr>
            <w:r>
              <w:rPr>
                <w:sz w:val="18"/>
              </w:rPr>
              <w:t>Composition [wt%]</w:t>
            </w:r>
          </w:p>
        </w:tc>
      </w:tr>
      <w:tr>
        <w:trPr>
          <w:trHeight w:val="210" w:hRule="atLeast"/>
        </w:trPr>
        <w:tc>
          <w:tcPr>
            <w:tcW w:w="3599" w:type="dxa"/>
            <w:tcBorders>
              <w:top w:val="single" w:sz="4" w:space="0" w:color="000000"/>
            </w:tcBorders>
          </w:tcPr>
          <w:p>
            <w:pPr>
              <w:pStyle w:val="TableParagraph"/>
              <w:spacing w:line="189" w:lineRule="exact" w:before="1"/>
              <w:ind w:left="114"/>
              <w:rPr>
                <w:sz w:val="12"/>
              </w:rPr>
            </w:pPr>
            <w:r>
              <w:rPr>
                <w:position w:val="1"/>
                <w:sz w:val="18"/>
              </w:rPr>
              <w:t>SiO</w:t>
            </w:r>
            <w:r>
              <w:rPr>
                <w:sz w:val="12"/>
              </w:rPr>
              <w:t>2</w:t>
            </w:r>
          </w:p>
        </w:tc>
        <w:tc>
          <w:tcPr>
            <w:tcW w:w="5775" w:type="dxa"/>
            <w:tcBorders>
              <w:top w:val="single" w:sz="4" w:space="0" w:color="000000"/>
            </w:tcBorders>
          </w:tcPr>
          <w:p>
            <w:pPr>
              <w:pStyle w:val="TableParagraph"/>
              <w:spacing w:line="190" w:lineRule="exact"/>
              <w:ind w:left="1736"/>
              <w:rPr>
                <w:sz w:val="18"/>
              </w:rPr>
            </w:pPr>
            <w:r>
              <w:rPr>
                <w:sz w:val="18"/>
              </w:rPr>
              <w:t>5.3-15</w:t>
            </w:r>
          </w:p>
        </w:tc>
      </w:tr>
      <w:tr>
        <w:trPr>
          <w:trHeight w:val="208" w:hRule="atLeast"/>
        </w:trPr>
        <w:tc>
          <w:tcPr>
            <w:tcW w:w="3599" w:type="dxa"/>
          </w:tcPr>
          <w:p>
            <w:pPr>
              <w:pStyle w:val="TableParagraph"/>
              <w:spacing w:line="188" w:lineRule="exact"/>
              <w:ind w:left="114"/>
              <w:rPr>
                <w:sz w:val="12"/>
              </w:rPr>
            </w:pPr>
            <w:r>
              <w:rPr>
                <w:position w:val="1"/>
                <w:sz w:val="18"/>
              </w:rPr>
              <w:t>Al</w:t>
            </w:r>
            <w:r>
              <w:rPr>
                <w:sz w:val="12"/>
              </w:rPr>
              <w:t>2</w:t>
            </w:r>
            <w:r>
              <w:rPr>
                <w:position w:val="1"/>
                <w:sz w:val="18"/>
              </w:rPr>
              <w:t>O</w:t>
            </w:r>
            <w:r>
              <w:rPr>
                <w:sz w:val="12"/>
              </w:rPr>
              <w:t>3</w:t>
            </w:r>
          </w:p>
        </w:tc>
        <w:tc>
          <w:tcPr>
            <w:tcW w:w="5775" w:type="dxa"/>
          </w:tcPr>
          <w:p>
            <w:pPr>
              <w:pStyle w:val="TableParagraph"/>
              <w:spacing w:line="188" w:lineRule="exact"/>
              <w:ind w:left="1736"/>
              <w:rPr>
                <w:sz w:val="18"/>
              </w:rPr>
            </w:pPr>
            <w:r>
              <w:rPr>
                <w:sz w:val="18"/>
              </w:rPr>
              <w:t>3-5</w:t>
            </w:r>
          </w:p>
        </w:tc>
      </w:tr>
      <w:tr>
        <w:trPr>
          <w:trHeight w:val="206" w:hRule="atLeast"/>
        </w:trPr>
        <w:tc>
          <w:tcPr>
            <w:tcW w:w="3599" w:type="dxa"/>
          </w:tcPr>
          <w:p>
            <w:pPr>
              <w:pStyle w:val="TableParagraph"/>
              <w:spacing w:line="186" w:lineRule="exact"/>
              <w:ind w:left="114"/>
              <w:rPr>
                <w:sz w:val="12"/>
              </w:rPr>
            </w:pPr>
            <w:r>
              <w:rPr>
                <w:position w:val="1"/>
                <w:sz w:val="18"/>
              </w:rPr>
              <w:t>Fe</w:t>
            </w:r>
            <w:r>
              <w:rPr>
                <w:sz w:val="12"/>
              </w:rPr>
              <w:t>2</w:t>
            </w:r>
            <w:r>
              <w:rPr>
                <w:position w:val="1"/>
                <w:sz w:val="18"/>
              </w:rPr>
              <w:t>O</w:t>
            </w:r>
            <w:r>
              <w:rPr>
                <w:sz w:val="12"/>
              </w:rPr>
              <w:t>3</w:t>
            </w:r>
          </w:p>
        </w:tc>
        <w:tc>
          <w:tcPr>
            <w:tcW w:w="5775" w:type="dxa"/>
          </w:tcPr>
          <w:p>
            <w:pPr>
              <w:pStyle w:val="TableParagraph"/>
              <w:spacing w:line="186" w:lineRule="exact"/>
              <w:ind w:left="1736"/>
              <w:rPr>
                <w:sz w:val="18"/>
              </w:rPr>
            </w:pPr>
            <w:r>
              <w:rPr>
                <w:sz w:val="18"/>
              </w:rPr>
              <w:t>34.1-40.4</w:t>
            </w:r>
          </w:p>
        </w:tc>
      </w:tr>
      <w:tr>
        <w:trPr>
          <w:trHeight w:val="205" w:hRule="atLeast"/>
        </w:trPr>
        <w:tc>
          <w:tcPr>
            <w:tcW w:w="3599" w:type="dxa"/>
          </w:tcPr>
          <w:p>
            <w:pPr>
              <w:pStyle w:val="TableParagraph"/>
              <w:spacing w:line="186" w:lineRule="exact"/>
              <w:ind w:left="114"/>
              <w:rPr>
                <w:sz w:val="12"/>
              </w:rPr>
            </w:pPr>
            <w:r>
              <w:rPr>
                <w:position w:val="1"/>
                <w:sz w:val="18"/>
              </w:rPr>
              <w:t>TiO</w:t>
            </w:r>
            <w:r>
              <w:rPr>
                <w:sz w:val="12"/>
              </w:rPr>
              <w:t>2</w:t>
            </w:r>
          </w:p>
        </w:tc>
        <w:tc>
          <w:tcPr>
            <w:tcW w:w="5775" w:type="dxa"/>
          </w:tcPr>
          <w:p>
            <w:pPr>
              <w:pStyle w:val="TableParagraph"/>
              <w:spacing w:line="186" w:lineRule="exact"/>
              <w:ind w:left="1736"/>
              <w:rPr>
                <w:sz w:val="18"/>
              </w:rPr>
            </w:pPr>
            <w:r>
              <w:rPr>
                <w:sz w:val="18"/>
              </w:rPr>
              <w:t>0.1-0.44</w:t>
            </w:r>
          </w:p>
        </w:tc>
      </w:tr>
      <w:tr>
        <w:trPr>
          <w:trHeight w:val="208" w:hRule="atLeast"/>
        </w:trPr>
        <w:tc>
          <w:tcPr>
            <w:tcW w:w="3599" w:type="dxa"/>
          </w:tcPr>
          <w:p>
            <w:pPr>
              <w:pStyle w:val="TableParagraph"/>
              <w:spacing w:line="188" w:lineRule="exact"/>
              <w:ind w:left="114"/>
              <w:rPr>
                <w:sz w:val="18"/>
              </w:rPr>
            </w:pPr>
            <w:r>
              <w:rPr>
                <w:position w:val="1"/>
                <w:sz w:val="18"/>
              </w:rPr>
              <w:t>K</w:t>
            </w:r>
            <w:r>
              <w:rPr>
                <w:sz w:val="12"/>
              </w:rPr>
              <w:t>2</w:t>
            </w:r>
            <w:r>
              <w:rPr>
                <w:position w:val="1"/>
                <w:sz w:val="18"/>
              </w:rPr>
              <w:t>O</w:t>
            </w:r>
          </w:p>
        </w:tc>
        <w:tc>
          <w:tcPr>
            <w:tcW w:w="5775" w:type="dxa"/>
          </w:tcPr>
          <w:p>
            <w:pPr>
              <w:pStyle w:val="TableParagraph"/>
              <w:spacing w:line="188" w:lineRule="exact"/>
              <w:ind w:left="1736"/>
              <w:rPr>
                <w:sz w:val="18"/>
              </w:rPr>
            </w:pPr>
            <w:r>
              <w:rPr>
                <w:sz w:val="18"/>
              </w:rPr>
              <w:t>0.3-1.0</w:t>
            </w:r>
          </w:p>
        </w:tc>
      </w:tr>
      <w:tr>
        <w:trPr>
          <w:trHeight w:val="208" w:hRule="atLeast"/>
        </w:trPr>
        <w:tc>
          <w:tcPr>
            <w:tcW w:w="3599" w:type="dxa"/>
          </w:tcPr>
          <w:p>
            <w:pPr>
              <w:pStyle w:val="TableParagraph"/>
              <w:spacing w:line="188" w:lineRule="exact"/>
              <w:ind w:left="114"/>
              <w:rPr>
                <w:sz w:val="18"/>
              </w:rPr>
            </w:pPr>
            <w:r>
              <w:rPr>
                <w:sz w:val="18"/>
              </w:rPr>
              <w:t>MgO</w:t>
            </w:r>
          </w:p>
        </w:tc>
        <w:tc>
          <w:tcPr>
            <w:tcW w:w="5775" w:type="dxa"/>
          </w:tcPr>
          <w:p>
            <w:pPr>
              <w:pStyle w:val="TableParagraph"/>
              <w:spacing w:line="188" w:lineRule="exact"/>
              <w:ind w:left="1736"/>
              <w:rPr>
                <w:sz w:val="18"/>
              </w:rPr>
            </w:pPr>
            <w:r>
              <w:rPr>
                <w:sz w:val="18"/>
              </w:rPr>
              <w:t>14.2-17.2</w:t>
            </w:r>
          </w:p>
        </w:tc>
      </w:tr>
      <w:tr>
        <w:trPr>
          <w:trHeight w:val="206" w:hRule="atLeast"/>
        </w:trPr>
        <w:tc>
          <w:tcPr>
            <w:tcW w:w="3599" w:type="dxa"/>
          </w:tcPr>
          <w:p>
            <w:pPr>
              <w:pStyle w:val="TableParagraph"/>
              <w:spacing w:line="186" w:lineRule="exact"/>
              <w:ind w:left="114"/>
              <w:rPr>
                <w:sz w:val="18"/>
              </w:rPr>
            </w:pPr>
            <w:r>
              <w:rPr>
                <w:position w:val="1"/>
                <w:sz w:val="18"/>
              </w:rPr>
              <w:t>Na</w:t>
            </w:r>
            <w:r>
              <w:rPr>
                <w:sz w:val="12"/>
              </w:rPr>
              <w:t>2</w:t>
            </w:r>
            <w:r>
              <w:rPr>
                <w:position w:val="1"/>
                <w:sz w:val="18"/>
              </w:rPr>
              <w:t>O</w:t>
            </w:r>
          </w:p>
        </w:tc>
        <w:tc>
          <w:tcPr>
            <w:tcW w:w="5775" w:type="dxa"/>
          </w:tcPr>
          <w:p>
            <w:pPr>
              <w:pStyle w:val="TableParagraph"/>
              <w:spacing w:line="186" w:lineRule="exact"/>
              <w:ind w:left="1736"/>
              <w:rPr>
                <w:sz w:val="18"/>
              </w:rPr>
            </w:pPr>
            <w:r>
              <w:rPr>
                <w:sz w:val="18"/>
              </w:rPr>
              <w:t>4.8-6.0</w:t>
            </w:r>
          </w:p>
        </w:tc>
      </w:tr>
      <w:tr>
        <w:trPr>
          <w:trHeight w:val="206" w:hRule="atLeast"/>
        </w:trPr>
        <w:tc>
          <w:tcPr>
            <w:tcW w:w="3599" w:type="dxa"/>
          </w:tcPr>
          <w:p>
            <w:pPr>
              <w:pStyle w:val="TableParagraph"/>
              <w:spacing w:line="186" w:lineRule="exact"/>
              <w:ind w:left="114"/>
              <w:rPr>
                <w:sz w:val="18"/>
              </w:rPr>
            </w:pPr>
            <w:r>
              <w:rPr>
                <w:sz w:val="18"/>
              </w:rPr>
              <w:t>CaO</w:t>
            </w:r>
          </w:p>
        </w:tc>
        <w:tc>
          <w:tcPr>
            <w:tcW w:w="5775" w:type="dxa"/>
          </w:tcPr>
          <w:p>
            <w:pPr>
              <w:pStyle w:val="TableParagraph"/>
              <w:spacing w:line="186" w:lineRule="exact"/>
              <w:ind w:left="1736"/>
              <w:rPr>
                <w:sz w:val="18"/>
              </w:rPr>
            </w:pPr>
            <w:r>
              <w:rPr>
                <w:sz w:val="18"/>
              </w:rPr>
              <w:t>6.3-8.3</w:t>
            </w:r>
          </w:p>
        </w:tc>
      </w:tr>
      <w:tr>
        <w:trPr>
          <w:trHeight w:val="207" w:hRule="atLeast"/>
        </w:trPr>
        <w:tc>
          <w:tcPr>
            <w:tcW w:w="3599" w:type="dxa"/>
            <w:tcBorders>
              <w:bottom w:val="single" w:sz="4" w:space="0" w:color="000000"/>
            </w:tcBorders>
          </w:tcPr>
          <w:p>
            <w:pPr>
              <w:pStyle w:val="TableParagraph"/>
              <w:spacing w:line="188" w:lineRule="exact"/>
              <w:ind w:left="114"/>
              <w:rPr>
                <w:sz w:val="12"/>
              </w:rPr>
            </w:pPr>
            <w:r>
              <w:rPr>
                <w:position w:val="1"/>
                <w:sz w:val="18"/>
              </w:rPr>
              <w:t>SO</w:t>
            </w:r>
            <w:r>
              <w:rPr>
                <w:sz w:val="12"/>
              </w:rPr>
              <w:t>3</w:t>
            </w:r>
          </w:p>
        </w:tc>
        <w:tc>
          <w:tcPr>
            <w:tcW w:w="5775" w:type="dxa"/>
            <w:tcBorders>
              <w:bottom w:val="single" w:sz="4" w:space="0" w:color="000000"/>
            </w:tcBorders>
          </w:tcPr>
          <w:p>
            <w:pPr>
              <w:pStyle w:val="TableParagraph"/>
              <w:spacing w:line="188" w:lineRule="exact"/>
              <w:ind w:left="1736"/>
              <w:rPr>
                <w:sz w:val="18"/>
              </w:rPr>
            </w:pPr>
            <w:r>
              <w:rPr>
                <w:sz w:val="18"/>
              </w:rPr>
              <w:t>13.7-17</w:t>
            </w:r>
          </w:p>
        </w:tc>
      </w:tr>
    </w:tbl>
    <w:p>
      <w:pPr>
        <w:pStyle w:val="BodyText"/>
        <w:spacing w:before="2"/>
        <w:rPr>
          <w:b/>
          <w:sz w:val="19"/>
        </w:rPr>
      </w:pPr>
    </w:p>
    <w:p>
      <w:pPr>
        <w:pStyle w:val="BodyText"/>
        <w:ind w:left="120" w:right="118" w:firstLine="284"/>
        <w:jc w:val="both"/>
      </w:pPr>
      <w:r>
        <w:rPr/>
        <w:t>The</w:t>
      </w:r>
      <w:r>
        <w:rPr>
          <w:spacing w:val="-13"/>
        </w:rPr>
        <w:t> </w:t>
      </w:r>
      <w:r>
        <w:rPr/>
        <w:t>photograph</w:t>
      </w:r>
      <w:r>
        <w:rPr>
          <w:spacing w:val="-11"/>
        </w:rPr>
        <w:t> </w:t>
      </w:r>
      <w:r>
        <w:rPr/>
        <w:t>of</w:t>
      </w:r>
      <w:r>
        <w:rPr>
          <w:spacing w:val="-14"/>
        </w:rPr>
        <w:t> </w:t>
      </w:r>
      <w:r>
        <w:rPr/>
        <w:t>the</w:t>
      </w:r>
      <w:r>
        <w:rPr>
          <w:spacing w:val="-12"/>
        </w:rPr>
        <w:t> </w:t>
      </w:r>
      <w:r>
        <w:rPr/>
        <w:t>Yallourn</w:t>
      </w:r>
      <w:r>
        <w:rPr>
          <w:spacing w:val="-10"/>
        </w:rPr>
        <w:t> </w:t>
      </w:r>
      <w:r>
        <w:rPr/>
        <w:t>brown</w:t>
      </w:r>
      <w:r>
        <w:rPr>
          <w:spacing w:val="-12"/>
        </w:rPr>
        <w:t> </w:t>
      </w:r>
      <w:r>
        <w:rPr/>
        <w:t>coal</w:t>
      </w:r>
      <w:r>
        <w:rPr>
          <w:spacing w:val="-11"/>
        </w:rPr>
        <w:t> </w:t>
      </w:r>
      <w:r>
        <w:rPr/>
        <w:t>used</w:t>
      </w:r>
      <w:r>
        <w:rPr>
          <w:spacing w:val="-11"/>
        </w:rPr>
        <w:t> </w:t>
      </w:r>
      <w:r>
        <w:rPr/>
        <w:t>in</w:t>
      </w:r>
      <w:r>
        <w:rPr>
          <w:spacing w:val="-15"/>
        </w:rPr>
        <w:t> </w:t>
      </w:r>
      <w:r>
        <w:rPr/>
        <w:t>this</w:t>
      </w:r>
      <w:r>
        <w:rPr>
          <w:spacing w:val="-13"/>
        </w:rPr>
        <w:t> </w:t>
      </w:r>
      <w:r>
        <w:rPr/>
        <w:t>work</w:t>
      </w:r>
      <w:r>
        <w:rPr>
          <w:spacing w:val="-11"/>
        </w:rPr>
        <w:t> </w:t>
      </w:r>
      <w:r>
        <w:rPr/>
        <w:t>is</w:t>
      </w:r>
      <w:r>
        <w:rPr>
          <w:spacing w:val="-13"/>
        </w:rPr>
        <w:t> </w:t>
      </w:r>
      <w:r>
        <w:rPr/>
        <w:t>depicted</w:t>
      </w:r>
      <w:r>
        <w:rPr>
          <w:spacing w:val="-11"/>
        </w:rPr>
        <w:t> </w:t>
      </w:r>
      <w:r>
        <w:rPr/>
        <w:t>in</w:t>
      </w:r>
      <w:r>
        <w:rPr>
          <w:spacing w:val="-11"/>
        </w:rPr>
        <w:t> </w:t>
      </w:r>
      <w:r>
        <w:rPr/>
        <w:t>Figure</w:t>
      </w:r>
      <w:r>
        <w:rPr>
          <w:spacing w:val="-12"/>
        </w:rPr>
        <w:t> </w:t>
      </w:r>
      <w:r>
        <w:rPr/>
        <w:t>1(a).</w:t>
      </w:r>
      <w:r>
        <w:rPr>
          <w:spacing w:val="-13"/>
        </w:rPr>
        <w:t> </w:t>
      </w:r>
      <w:r>
        <w:rPr/>
        <w:t>The</w:t>
      </w:r>
      <w:r>
        <w:rPr>
          <w:spacing w:val="-12"/>
        </w:rPr>
        <w:t> </w:t>
      </w:r>
      <w:r>
        <w:rPr/>
        <w:t>proximate</w:t>
      </w:r>
      <w:r>
        <w:rPr>
          <w:spacing w:val="-16"/>
        </w:rPr>
        <w:t> </w:t>
      </w:r>
      <w:r>
        <w:rPr/>
        <w:t>and</w:t>
      </w:r>
      <w:r>
        <w:rPr>
          <w:spacing w:val="-11"/>
        </w:rPr>
        <w:t> </w:t>
      </w:r>
      <w:r>
        <w:rPr/>
        <w:t>ultimate analyses, and ash analysis of the Yallourn brown coal are shown in in Tables 1 and 2, respectively [24]. The coal has the carbon content of 65.75 wt% with a relatively high volatile matters (49.25 wt%) which is consistent with the classification of the low rank</w:t>
      </w:r>
      <w:r>
        <w:rPr>
          <w:spacing w:val="3"/>
        </w:rPr>
        <w:t> </w:t>
      </w:r>
      <w:r>
        <w:rPr/>
        <w:t>coal.</w:t>
      </w:r>
    </w:p>
    <w:p>
      <w:pPr>
        <w:pStyle w:val="BodyText"/>
        <w:spacing w:line="242" w:lineRule="auto" w:before="1"/>
        <w:ind w:left="120" w:right="121" w:firstLine="284"/>
        <w:jc w:val="both"/>
      </w:pPr>
      <w:r>
        <w:rPr/>
        <w:t>The X-ray diffraction (XRD) pattern of the powdered brown coal is presented in Figure 1(b). The pattern reveals a broad peak centered around 23.7°, corresponding to the (002) reflection of graphite. Notably, the lattice spacing of</w:t>
      </w:r>
    </w:p>
    <w:p>
      <w:pPr>
        <w:pStyle w:val="BodyText"/>
        <w:spacing w:line="242" w:lineRule="auto"/>
        <w:ind w:left="120" w:right="119"/>
        <w:jc w:val="both"/>
      </w:pPr>
      <w:r>
        <w:rPr/>
        <w:t>0.38</w:t>
      </w:r>
      <w:r>
        <w:rPr>
          <w:spacing w:val="-4"/>
        </w:rPr>
        <w:t> </w:t>
      </w:r>
      <w:r>
        <w:rPr/>
        <w:t>nm</w:t>
      </w:r>
      <w:r>
        <w:rPr>
          <w:spacing w:val="-4"/>
        </w:rPr>
        <w:t> </w:t>
      </w:r>
      <w:r>
        <w:rPr/>
        <w:t>observed</w:t>
      </w:r>
      <w:r>
        <w:rPr>
          <w:spacing w:val="-8"/>
        </w:rPr>
        <w:t> </w:t>
      </w:r>
      <w:r>
        <w:rPr/>
        <w:t>in</w:t>
      </w:r>
      <w:r>
        <w:rPr>
          <w:spacing w:val="-7"/>
        </w:rPr>
        <w:t> </w:t>
      </w:r>
      <w:r>
        <w:rPr/>
        <w:t>the</w:t>
      </w:r>
      <w:r>
        <w:rPr>
          <w:spacing w:val="-9"/>
        </w:rPr>
        <w:t> </w:t>
      </w:r>
      <w:r>
        <w:rPr/>
        <w:t>brown</w:t>
      </w:r>
      <w:r>
        <w:rPr>
          <w:spacing w:val="-8"/>
        </w:rPr>
        <w:t> </w:t>
      </w:r>
      <w:r>
        <w:rPr/>
        <w:t>coal</w:t>
      </w:r>
      <w:r>
        <w:rPr>
          <w:spacing w:val="-4"/>
        </w:rPr>
        <w:t> </w:t>
      </w:r>
      <w:r>
        <w:rPr/>
        <w:t>sample</w:t>
      </w:r>
      <w:r>
        <w:rPr>
          <w:spacing w:val="-9"/>
        </w:rPr>
        <w:t> </w:t>
      </w:r>
      <w:r>
        <w:rPr/>
        <w:t>is</w:t>
      </w:r>
      <w:r>
        <w:rPr>
          <w:spacing w:val="-5"/>
        </w:rPr>
        <w:t> </w:t>
      </w:r>
      <w:r>
        <w:rPr/>
        <w:t>slightly</w:t>
      </w:r>
      <w:r>
        <w:rPr>
          <w:spacing w:val="-4"/>
        </w:rPr>
        <w:t> </w:t>
      </w:r>
      <w:r>
        <w:rPr/>
        <w:t>larger</w:t>
      </w:r>
      <w:r>
        <w:rPr>
          <w:spacing w:val="-7"/>
        </w:rPr>
        <w:t> </w:t>
      </w:r>
      <w:r>
        <w:rPr/>
        <w:t>than</w:t>
      </w:r>
      <w:r>
        <w:rPr>
          <w:spacing w:val="-4"/>
        </w:rPr>
        <w:t> </w:t>
      </w:r>
      <w:r>
        <w:rPr/>
        <w:t>that</w:t>
      </w:r>
      <w:r>
        <w:rPr>
          <w:spacing w:val="-8"/>
        </w:rPr>
        <w:t> </w:t>
      </w:r>
      <w:r>
        <w:rPr/>
        <w:t>of</w:t>
      </w:r>
      <w:r>
        <w:rPr>
          <w:spacing w:val="-3"/>
        </w:rPr>
        <w:t> </w:t>
      </w:r>
      <w:r>
        <w:rPr/>
        <w:t>graphite</w:t>
      </w:r>
      <w:r>
        <w:rPr>
          <w:spacing w:val="-8"/>
        </w:rPr>
        <w:t> </w:t>
      </w:r>
      <w:r>
        <w:rPr/>
        <w:t>(d</w:t>
      </w:r>
      <w:r>
        <w:rPr>
          <w:spacing w:val="-8"/>
        </w:rPr>
        <w:t> </w:t>
      </w:r>
      <w:r>
        <w:rPr/>
        <w:t>=</w:t>
      </w:r>
      <w:r>
        <w:rPr>
          <w:spacing w:val="-4"/>
        </w:rPr>
        <w:t> </w:t>
      </w:r>
      <w:r>
        <w:rPr/>
        <w:t>0.34</w:t>
      </w:r>
      <w:r>
        <w:rPr>
          <w:spacing w:val="-8"/>
        </w:rPr>
        <w:t> </w:t>
      </w:r>
      <w:r>
        <w:rPr/>
        <w:t>nm)</w:t>
      </w:r>
      <w:r>
        <w:rPr>
          <w:spacing w:val="-11"/>
        </w:rPr>
        <w:t> </w:t>
      </w:r>
      <w:r>
        <w:rPr/>
        <w:t>[25].</w:t>
      </w:r>
      <w:r>
        <w:rPr>
          <w:spacing w:val="-9"/>
        </w:rPr>
        <w:t> </w:t>
      </w:r>
      <w:r>
        <w:rPr/>
        <w:t>This</w:t>
      </w:r>
      <w:r>
        <w:rPr>
          <w:spacing w:val="-6"/>
        </w:rPr>
        <w:t> </w:t>
      </w:r>
      <w:r>
        <w:rPr/>
        <w:t>observation suggests the presence of disordered graphite or amorphous carbon in the brown coal structure.</w:t>
      </w:r>
    </w:p>
    <w:p>
      <w:pPr>
        <w:pStyle w:val="BodyText"/>
        <w:spacing w:before="1"/>
        <w:rPr>
          <w:sz w:val="16"/>
        </w:rPr>
      </w:pPr>
      <w:r>
        <w:rPr/>
        <w:drawing>
          <wp:anchor distT="0" distB="0" distL="0" distR="0" allowOverlap="1" layoutInCell="1" locked="0" behindDoc="0" simplePos="0" relativeHeight="2">
            <wp:simplePos x="0" y="0"/>
            <wp:positionH relativeFrom="page">
              <wp:posOffset>1059958</wp:posOffset>
            </wp:positionH>
            <wp:positionV relativeFrom="paragraph">
              <wp:posOffset>142542</wp:posOffset>
            </wp:positionV>
            <wp:extent cx="5677923" cy="4468463"/>
            <wp:effectExtent l="0" t="0" r="0" b="0"/>
            <wp:wrapTopAndBottom/>
            <wp:docPr id="3" name="image2.jpeg"/>
            <wp:cNvGraphicFramePr>
              <a:graphicFrameLocks noChangeAspect="1"/>
            </wp:cNvGraphicFramePr>
            <a:graphic>
              <a:graphicData uri="http://schemas.openxmlformats.org/drawingml/2006/picture">
                <pic:pic>
                  <pic:nvPicPr>
                    <pic:cNvPr id="4" name="image2.jpeg"/>
                    <pic:cNvPicPr/>
                  </pic:nvPicPr>
                  <pic:blipFill>
                    <a:blip r:embed="rId8" cstate="print"/>
                    <a:stretch>
                      <a:fillRect/>
                    </a:stretch>
                  </pic:blipFill>
                  <pic:spPr>
                    <a:xfrm>
                      <a:off x="0" y="0"/>
                      <a:ext cx="5677923" cy="4468463"/>
                    </a:xfrm>
                    <a:prstGeom prst="rect">
                      <a:avLst/>
                    </a:prstGeom>
                  </pic:spPr>
                </pic:pic>
              </a:graphicData>
            </a:graphic>
          </wp:anchor>
        </w:drawing>
      </w:r>
    </w:p>
    <w:p>
      <w:pPr>
        <w:spacing w:before="73"/>
        <w:ind w:left="560" w:right="0" w:firstLine="0"/>
        <w:jc w:val="left"/>
        <w:rPr>
          <w:sz w:val="18"/>
        </w:rPr>
      </w:pPr>
      <w:r>
        <w:rPr>
          <w:b/>
          <w:sz w:val="18"/>
        </w:rPr>
        <w:t>FIGURE 2. </w:t>
      </w:r>
      <w:r>
        <w:rPr>
          <w:sz w:val="18"/>
        </w:rPr>
        <w:t>XPS spectra of brown coal. (a) Survey scan. (b) C 1s. (c) O 1s narrow scan. (d) FT-IR spectra of brown coal.</w:t>
      </w:r>
    </w:p>
    <w:p>
      <w:pPr>
        <w:spacing w:after="0"/>
        <w:jc w:val="left"/>
        <w:rPr>
          <w:sz w:val="18"/>
        </w:rPr>
        <w:sectPr>
          <w:pgSz w:w="12240" w:h="15840"/>
          <w:pgMar w:top="1360" w:bottom="280" w:left="1320" w:right="1320"/>
        </w:sectPr>
      </w:pPr>
    </w:p>
    <w:p>
      <w:pPr>
        <w:pStyle w:val="BodyText"/>
        <w:spacing w:before="77"/>
        <w:ind w:left="120" w:right="116" w:firstLine="284"/>
        <w:jc w:val="both"/>
      </w:pPr>
      <w:r>
        <w:rPr/>
        <w:t>Figure 2(a-c) shows the X-ray photoelectron spectroscopy (XPS) spectra of brown coal, both in wide and narrow scans. The wide scan XPS spectrum reveals the presence of carbon (C) with a composition of 78.60 at%, oxygen (O) with a composition of 20.58 at%, and nitrogen (N) with a composition of 0.75 at%.</w:t>
      </w:r>
    </w:p>
    <w:p>
      <w:pPr>
        <w:pStyle w:val="BodyText"/>
        <w:ind w:left="120" w:right="116" w:firstLine="284"/>
        <w:jc w:val="both"/>
      </w:pPr>
      <w:r>
        <w:rPr/>
        <w:t>The C 1s XPS spectrum exhibits four distinct components at binding energies of 284.6, 286.2, 287.7, and 288.7 eV, which are attributed to C-sp</w:t>
      </w:r>
      <w:r>
        <w:rPr>
          <w:position w:val="7"/>
          <w:sz w:val="13"/>
        </w:rPr>
        <w:t>2</w:t>
      </w:r>
      <w:r>
        <w:rPr/>
        <w:t>, C-O, C=O, and O=C-O, respectively [26] (Figure 2(b)). Additionally, the O 1s spectrum displays two prominent components at binding energies of 531.9 and 533.2 eV, corresponding to C=O and C-O, respectively [26] (Figure 2(c)).</w:t>
      </w:r>
    </w:p>
    <w:p>
      <w:pPr>
        <w:pStyle w:val="BodyText"/>
        <w:ind w:left="120" w:right="112" w:firstLine="284"/>
        <w:jc w:val="both"/>
      </w:pPr>
      <w:r>
        <w:rPr/>
        <w:t>The</w:t>
      </w:r>
      <w:r>
        <w:rPr>
          <w:spacing w:val="-5"/>
        </w:rPr>
        <w:t> </w:t>
      </w:r>
      <w:r>
        <w:rPr/>
        <w:t>presence</w:t>
      </w:r>
      <w:r>
        <w:rPr>
          <w:spacing w:val="-4"/>
        </w:rPr>
        <w:t> </w:t>
      </w:r>
      <w:r>
        <w:rPr/>
        <w:t>of</w:t>
      </w:r>
      <w:r>
        <w:rPr>
          <w:spacing w:val="-3"/>
        </w:rPr>
        <w:t> </w:t>
      </w:r>
      <w:r>
        <w:rPr/>
        <w:t>diverse</w:t>
      </w:r>
      <w:r>
        <w:rPr>
          <w:spacing w:val="-4"/>
        </w:rPr>
        <w:t> </w:t>
      </w:r>
      <w:r>
        <w:rPr/>
        <w:t>chemical</w:t>
      </w:r>
      <w:r>
        <w:rPr>
          <w:spacing w:val="-4"/>
        </w:rPr>
        <w:t> </w:t>
      </w:r>
      <w:r>
        <w:rPr/>
        <w:t>components</w:t>
      </w:r>
      <w:r>
        <w:rPr>
          <w:spacing w:val="-5"/>
        </w:rPr>
        <w:t> </w:t>
      </w:r>
      <w:r>
        <w:rPr/>
        <w:t>in</w:t>
      </w:r>
      <w:r>
        <w:rPr>
          <w:spacing w:val="-4"/>
        </w:rPr>
        <w:t> </w:t>
      </w:r>
      <w:r>
        <w:rPr/>
        <w:t>the</w:t>
      </w:r>
      <w:r>
        <w:rPr>
          <w:spacing w:val="-4"/>
        </w:rPr>
        <w:t> </w:t>
      </w:r>
      <w:r>
        <w:rPr/>
        <w:t>brown</w:t>
      </w:r>
      <w:r>
        <w:rPr>
          <w:spacing w:val="-5"/>
        </w:rPr>
        <w:t> </w:t>
      </w:r>
      <w:r>
        <w:rPr/>
        <w:t>coal</w:t>
      </w:r>
      <w:r>
        <w:rPr>
          <w:spacing w:val="-3"/>
        </w:rPr>
        <w:t> </w:t>
      </w:r>
      <w:r>
        <w:rPr/>
        <w:t>sample</w:t>
      </w:r>
      <w:r>
        <w:rPr>
          <w:spacing w:val="-5"/>
        </w:rPr>
        <w:t> </w:t>
      </w:r>
      <w:r>
        <w:rPr/>
        <w:t>was</w:t>
      </w:r>
      <w:r>
        <w:rPr>
          <w:spacing w:val="-5"/>
        </w:rPr>
        <w:t> </w:t>
      </w:r>
      <w:r>
        <w:rPr/>
        <w:t>confirmed</w:t>
      </w:r>
      <w:r>
        <w:rPr>
          <w:spacing w:val="-5"/>
        </w:rPr>
        <w:t> </w:t>
      </w:r>
      <w:r>
        <w:rPr/>
        <w:t>through</w:t>
      </w:r>
      <w:r>
        <w:rPr>
          <w:spacing w:val="-3"/>
        </w:rPr>
        <w:t> </w:t>
      </w:r>
      <w:r>
        <w:rPr/>
        <w:t>Fourier</w:t>
      </w:r>
      <w:r>
        <w:rPr>
          <w:spacing w:val="-3"/>
        </w:rPr>
        <w:t> </w:t>
      </w:r>
      <w:r>
        <w:rPr/>
        <w:t>transform infrared</w:t>
      </w:r>
      <w:r>
        <w:rPr>
          <w:spacing w:val="-9"/>
        </w:rPr>
        <w:t> </w:t>
      </w:r>
      <w:r>
        <w:rPr/>
        <w:t>(FT-IR)</w:t>
      </w:r>
      <w:r>
        <w:rPr>
          <w:spacing w:val="-7"/>
        </w:rPr>
        <w:t> </w:t>
      </w:r>
      <w:r>
        <w:rPr/>
        <w:t>spectroscopy.</w:t>
      </w:r>
      <w:r>
        <w:rPr>
          <w:spacing w:val="-7"/>
        </w:rPr>
        <w:t> </w:t>
      </w:r>
      <w:r>
        <w:rPr/>
        <w:t>The</w:t>
      </w:r>
      <w:r>
        <w:rPr>
          <w:spacing w:val="-13"/>
        </w:rPr>
        <w:t> </w:t>
      </w:r>
      <w:r>
        <w:rPr/>
        <w:t>FT-IR</w:t>
      </w:r>
      <w:r>
        <w:rPr>
          <w:spacing w:val="-10"/>
        </w:rPr>
        <w:t> </w:t>
      </w:r>
      <w:r>
        <w:rPr/>
        <w:t>spectrum</w:t>
      </w:r>
      <w:r>
        <w:rPr>
          <w:spacing w:val="-8"/>
        </w:rPr>
        <w:t> </w:t>
      </w:r>
      <w:r>
        <w:rPr/>
        <w:t>showed</w:t>
      </w:r>
      <w:r>
        <w:rPr>
          <w:spacing w:val="-8"/>
        </w:rPr>
        <w:t> </w:t>
      </w:r>
      <w:r>
        <w:rPr/>
        <w:t>characteristic</w:t>
      </w:r>
      <w:r>
        <w:rPr>
          <w:spacing w:val="-9"/>
        </w:rPr>
        <w:t> </w:t>
      </w:r>
      <w:r>
        <w:rPr/>
        <w:t>peaks</w:t>
      </w:r>
      <w:r>
        <w:rPr>
          <w:spacing w:val="-10"/>
        </w:rPr>
        <w:t> </w:t>
      </w:r>
      <w:r>
        <w:rPr/>
        <w:t>at</w:t>
      </w:r>
      <w:r>
        <w:rPr>
          <w:spacing w:val="-8"/>
        </w:rPr>
        <w:t> </w:t>
      </w:r>
      <w:r>
        <w:rPr/>
        <w:t>1194,</w:t>
      </w:r>
      <w:r>
        <w:rPr>
          <w:spacing w:val="-7"/>
        </w:rPr>
        <w:t> </w:t>
      </w:r>
      <w:r>
        <w:rPr/>
        <w:t>1600,</w:t>
      </w:r>
      <w:r>
        <w:rPr>
          <w:spacing w:val="-7"/>
        </w:rPr>
        <w:t> </w:t>
      </w:r>
      <w:r>
        <w:rPr/>
        <w:t>1702,</w:t>
      </w:r>
      <w:r>
        <w:rPr>
          <w:spacing w:val="-10"/>
        </w:rPr>
        <w:t> </w:t>
      </w:r>
      <w:r>
        <w:rPr/>
        <w:t>2850,</w:t>
      </w:r>
      <w:r>
        <w:rPr>
          <w:spacing w:val="-7"/>
        </w:rPr>
        <w:t> </w:t>
      </w:r>
      <w:r>
        <w:rPr/>
        <w:t>2920,</w:t>
      </w:r>
      <w:r>
        <w:rPr>
          <w:spacing w:val="-7"/>
        </w:rPr>
        <w:t> </w:t>
      </w:r>
      <w:r>
        <w:rPr/>
        <w:t>and 3169</w:t>
      </w:r>
      <w:r>
        <w:rPr>
          <w:spacing w:val="-9"/>
        </w:rPr>
        <w:t> </w:t>
      </w:r>
      <w:r>
        <w:rPr/>
        <w:t>cm</w:t>
      </w:r>
      <w:r>
        <w:rPr>
          <w:position w:val="7"/>
          <w:sz w:val="13"/>
        </w:rPr>
        <w:t>-1</w:t>
      </w:r>
      <w:r>
        <w:rPr/>
        <w:t>,</w:t>
      </w:r>
      <w:r>
        <w:rPr>
          <w:spacing w:val="-7"/>
        </w:rPr>
        <w:t> </w:t>
      </w:r>
      <w:r>
        <w:rPr/>
        <w:t>which</w:t>
      </w:r>
      <w:r>
        <w:rPr>
          <w:spacing w:val="-8"/>
        </w:rPr>
        <w:t> </w:t>
      </w:r>
      <w:r>
        <w:rPr/>
        <w:t>can</w:t>
      </w:r>
      <w:r>
        <w:rPr>
          <w:spacing w:val="-9"/>
        </w:rPr>
        <w:t> </w:t>
      </w:r>
      <w:r>
        <w:rPr/>
        <w:t>be</w:t>
      </w:r>
      <w:r>
        <w:rPr>
          <w:spacing w:val="-9"/>
        </w:rPr>
        <w:t> </w:t>
      </w:r>
      <w:r>
        <w:rPr/>
        <w:t>attributed</w:t>
      </w:r>
      <w:r>
        <w:rPr>
          <w:spacing w:val="-8"/>
        </w:rPr>
        <w:t> </w:t>
      </w:r>
      <w:r>
        <w:rPr/>
        <w:t>to</w:t>
      </w:r>
      <w:r>
        <w:rPr>
          <w:spacing w:val="-8"/>
        </w:rPr>
        <w:t> </w:t>
      </w:r>
      <w:r>
        <w:rPr/>
        <w:t>specific</w:t>
      </w:r>
      <w:r>
        <w:rPr>
          <w:spacing w:val="-10"/>
        </w:rPr>
        <w:t> </w:t>
      </w:r>
      <w:r>
        <w:rPr/>
        <w:t>functional</w:t>
      </w:r>
      <w:r>
        <w:rPr>
          <w:spacing w:val="-8"/>
        </w:rPr>
        <w:t> </w:t>
      </w:r>
      <w:r>
        <w:rPr/>
        <w:t>groups:</w:t>
      </w:r>
      <w:r>
        <w:rPr>
          <w:spacing w:val="-8"/>
        </w:rPr>
        <w:t> </w:t>
      </w:r>
      <w:r>
        <w:rPr/>
        <w:t>C-O-C,</w:t>
      </w:r>
      <w:r>
        <w:rPr>
          <w:spacing w:val="-7"/>
        </w:rPr>
        <w:t> </w:t>
      </w:r>
      <w:r>
        <w:rPr/>
        <w:t>C=C,</w:t>
      </w:r>
      <w:r>
        <w:rPr>
          <w:spacing w:val="-8"/>
        </w:rPr>
        <w:t> </w:t>
      </w:r>
      <w:r>
        <w:rPr/>
        <w:t>C=O,</w:t>
      </w:r>
      <w:r>
        <w:rPr>
          <w:spacing w:val="-7"/>
        </w:rPr>
        <w:t> </w:t>
      </w:r>
      <w:r>
        <w:rPr/>
        <w:t>CH</w:t>
      </w:r>
      <w:r>
        <w:rPr>
          <w:vertAlign w:val="subscript"/>
        </w:rPr>
        <w:t>2</w:t>
      </w:r>
      <w:r>
        <w:rPr>
          <w:vertAlign w:val="baseline"/>
        </w:rPr>
        <w:t>,</w:t>
      </w:r>
      <w:r>
        <w:rPr>
          <w:spacing w:val="-7"/>
          <w:vertAlign w:val="baseline"/>
        </w:rPr>
        <w:t> </w:t>
      </w:r>
      <w:r>
        <w:rPr>
          <w:vertAlign w:val="baseline"/>
        </w:rPr>
        <w:t>CH</w:t>
      </w:r>
      <w:r>
        <w:rPr>
          <w:vertAlign w:val="subscript"/>
        </w:rPr>
        <w:t>3</w:t>
      </w:r>
      <w:r>
        <w:rPr>
          <w:vertAlign w:val="baseline"/>
        </w:rPr>
        <w:t>,</w:t>
      </w:r>
      <w:r>
        <w:rPr>
          <w:spacing w:val="-10"/>
          <w:vertAlign w:val="baseline"/>
        </w:rPr>
        <w:t> </w:t>
      </w:r>
      <w:r>
        <w:rPr>
          <w:vertAlign w:val="baseline"/>
        </w:rPr>
        <w:t>and</w:t>
      </w:r>
      <w:r>
        <w:rPr>
          <w:spacing w:val="-9"/>
          <w:vertAlign w:val="baseline"/>
        </w:rPr>
        <w:t> </w:t>
      </w:r>
      <w:r>
        <w:rPr>
          <w:vertAlign w:val="baseline"/>
        </w:rPr>
        <w:t>O-H,</w:t>
      </w:r>
      <w:r>
        <w:rPr>
          <w:spacing w:val="-7"/>
          <w:vertAlign w:val="baseline"/>
        </w:rPr>
        <w:t> </w:t>
      </w:r>
      <w:r>
        <w:rPr>
          <w:vertAlign w:val="baseline"/>
        </w:rPr>
        <w:t>respectively (Figure 2(d)). It is worth noting that the observed FT-IR spectrum aligns well with those reported previously</w:t>
      </w:r>
      <w:r>
        <w:rPr>
          <w:spacing w:val="-13"/>
          <w:vertAlign w:val="baseline"/>
        </w:rPr>
        <w:t> </w:t>
      </w:r>
      <w:r>
        <w:rPr>
          <w:vertAlign w:val="baseline"/>
        </w:rPr>
        <w:t>[27].</w:t>
      </w:r>
    </w:p>
    <w:p>
      <w:pPr>
        <w:pStyle w:val="BodyText"/>
        <w:spacing w:before="2"/>
      </w:pPr>
    </w:p>
    <w:p>
      <w:pPr>
        <w:pStyle w:val="Heading1"/>
        <w:spacing w:before="1"/>
        <w:ind w:left="2665" w:right="0"/>
        <w:jc w:val="left"/>
      </w:pPr>
      <w:r>
        <w:rPr/>
        <w:t>Ethanol-Extracted CDs from Brown Coal</w:t>
      </w:r>
    </w:p>
    <w:p>
      <w:pPr>
        <w:pStyle w:val="BodyText"/>
        <w:spacing w:before="6"/>
        <w:rPr>
          <w:b/>
          <w:sz w:val="17"/>
        </w:rPr>
      </w:pPr>
      <w:r>
        <w:rPr/>
        <w:drawing>
          <wp:anchor distT="0" distB="0" distL="0" distR="0" allowOverlap="1" layoutInCell="1" locked="0" behindDoc="0" simplePos="0" relativeHeight="3">
            <wp:simplePos x="0" y="0"/>
            <wp:positionH relativeFrom="page">
              <wp:posOffset>2499995</wp:posOffset>
            </wp:positionH>
            <wp:positionV relativeFrom="paragraph">
              <wp:posOffset>152883</wp:posOffset>
            </wp:positionV>
            <wp:extent cx="2977463" cy="2045207"/>
            <wp:effectExtent l="0" t="0" r="0" b="0"/>
            <wp:wrapTopAndBottom/>
            <wp:docPr id="5" name="image3.jpeg"/>
            <wp:cNvGraphicFramePr>
              <a:graphicFrameLocks noChangeAspect="1"/>
            </wp:cNvGraphicFramePr>
            <a:graphic>
              <a:graphicData uri="http://schemas.openxmlformats.org/drawingml/2006/picture">
                <pic:pic>
                  <pic:nvPicPr>
                    <pic:cNvPr id="6" name="image3.jpeg"/>
                    <pic:cNvPicPr/>
                  </pic:nvPicPr>
                  <pic:blipFill>
                    <a:blip r:embed="rId9" cstate="print"/>
                    <a:stretch>
                      <a:fillRect/>
                    </a:stretch>
                  </pic:blipFill>
                  <pic:spPr>
                    <a:xfrm>
                      <a:off x="0" y="0"/>
                      <a:ext cx="2977463" cy="2045207"/>
                    </a:xfrm>
                    <a:prstGeom prst="rect">
                      <a:avLst/>
                    </a:prstGeom>
                  </pic:spPr>
                </pic:pic>
              </a:graphicData>
            </a:graphic>
          </wp:anchor>
        </w:drawing>
      </w:r>
    </w:p>
    <w:p>
      <w:pPr>
        <w:spacing w:before="0"/>
        <w:ind w:left="2625" w:right="0" w:firstLine="0"/>
        <w:jc w:val="left"/>
        <w:rPr>
          <w:sz w:val="18"/>
        </w:rPr>
      </w:pPr>
      <w:r>
        <w:rPr>
          <w:b/>
          <w:sz w:val="18"/>
        </w:rPr>
        <w:t>FIGURE 3. </w:t>
      </w:r>
      <w:r>
        <w:rPr>
          <w:sz w:val="18"/>
        </w:rPr>
        <w:t>Photographs of extracted solution from brown coal.</w:t>
      </w:r>
    </w:p>
    <w:p>
      <w:pPr>
        <w:pStyle w:val="BodyText"/>
        <w:spacing w:before="10"/>
        <w:rPr>
          <w:sz w:val="17"/>
        </w:rPr>
      </w:pPr>
    </w:p>
    <w:p>
      <w:pPr>
        <w:pStyle w:val="BodyText"/>
        <w:spacing w:before="1"/>
        <w:ind w:left="120" w:right="113" w:firstLine="284"/>
        <w:jc w:val="both"/>
      </w:pPr>
      <w:r>
        <w:rPr/>
        <w:t>The extracted solutions from the brown coal were prepared using water and ethanol as solvents. Figure 3</w:t>
      </w:r>
      <w:r>
        <w:rPr>
          <w:spacing w:val="-34"/>
        </w:rPr>
        <w:t> </w:t>
      </w:r>
      <w:r>
        <w:rPr/>
        <w:t>presents photographs of these extracted solutions under white light and UV irradiation. The water-extracted solution appears nearly transparent under white light, while the ethanol-extracted solution exhibits a light brownish colour. Notably, the</w:t>
      </w:r>
      <w:r>
        <w:rPr>
          <w:spacing w:val="-6"/>
        </w:rPr>
        <w:t> </w:t>
      </w:r>
      <w:r>
        <w:rPr/>
        <w:t>ethanol-extracted</w:t>
      </w:r>
      <w:r>
        <w:rPr>
          <w:spacing w:val="-5"/>
        </w:rPr>
        <w:t> </w:t>
      </w:r>
      <w:r>
        <w:rPr/>
        <w:t>solution</w:t>
      </w:r>
      <w:r>
        <w:rPr>
          <w:spacing w:val="-5"/>
        </w:rPr>
        <w:t> </w:t>
      </w:r>
      <w:r>
        <w:rPr/>
        <w:t>displays</w:t>
      </w:r>
      <w:r>
        <w:rPr>
          <w:spacing w:val="-7"/>
        </w:rPr>
        <w:t> </w:t>
      </w:r>
      <w:r>
        <w:rPr/>
        <w:t>strong</w:t>
      </w:r>
      <w:r>
        <w:rPr>
          <w:spacing w:val="-9"/>
        </w:rPr>
        <w:t> </w:t>
      </w:r>
      <w:r>
        <w:rPr/>
        <w:t>blue</w:t>
      </w:r>
      <w:r>
        <w:rPr>
          <w:spacing w:val="-13"/>
        </w:rPr>
        <w:t> </w:t>
      </w:r>
      <w:r>
        <w:rPr/>
        <w:t>luminescence</w:t>
      </w:r>
      <w:r>
        <w:rPr>
          <w:spacing w:val="-5"/>
        </w:rPr>
        <w:t> </w:t>
      </w:r>
      <w:r>
        <w:rPr/>
        <w:t>when</w:t>
      </w:r>
      <w:r>
        <w:rPr>
          <w:spacing w:val="-5"/>
        </w:rPr>
        <w:t> </w:t>
      </w:r>
      <w:r>
        <w:rPr/>
        <w:t>exposed</w:t>
      </w:r>
      <w:r>
        <w:rPr>
          <w:spacing w:val="-5"/>
        </w:rPr>
        <w:t> </w:t>
      </w:r>
      <w:r>
        <w:rPr/>
        <w:t>to</w:t>
      </w:r>
      <w:r>
        <w:rPr>
          <w:spacing w:val="-4"/>
        </w:rPr>
        <w:t> </w:t>
      </w:r>
      <w:r>
        <w:rPr/>
        <w:t>365</w:t>
      </w:r>
      <w:r>
        <w:rPr>
          <w:spacing w:val="-8"/>
        </w:rPr>
        <w:t> </w:t>
      </w:r>
      <w:r>
        <w:rPr/>
        <w:t>nm</w:t>
      </w:r>
      <w:r>
        <w:rPr>
          <w:spacing w:val="-9"/>
        </w:rPr>
        <w:t> </w:t>
      </w:r>
      <w:r>
        <w:rPr/>
        <w:t>UV</w:t>
      </w:r>
      <w:r>
        <w:rPr>
          <w:spacing w:val="-9"/>
        </w:rPr>
        <w:t> </w:t>
      </w:r>
      <w:r>
        <w:rPr/>
        <w:t>irradiation,</w:t>
      </w:r>
      <w:r>
        <w:rPr>
          <w:spacing w:val="-3"/>
        </w:rPr>
        <w:t> </w:t>
      </w:r>
      <w:r>
        <w:rPr/>
        <w:t>whereas</w:t>
      </w:r>
      <w:r>
        <w:rPr>
          <w:spacing w:val="-6"/>
        </w:rPr>
        <w:t> </w:t>
      </w:r>
      <w:r>
        <w:rPr/>
        <w:t>no fluorescence</w:t>
      </w:r>
      <w:r>
        <w:rPr>
          <w:spacing w:val="-11"/>
        </w:rPr>
        <w:t> </w:t>
      </w:r>
      <w:r>
        <w:rPr/>
        <w:t>is</w:t>
      </w:r>
      <w:r>
        <w:rPr>
          <w:spacing w:val="-11"/>
        </w:rPr>
        <w:t> </w:t>
      </w:r>
      <w:r>
        <w:rPr/>
        <w:t>observed</w:t>
      </w:r>
      <w:r>
        <w:rPr>
          <w:spacing w:val="-9"/>
        </w:rPr>
        <w:t> </w:t>
      </w:r>
      <w:r>
        <w:rPr/>
        <w:t>in</w:t>
      </w:r>
      <w:r>
        <w:rPr>
          <w:spacing w:val="-12"/>
        </w:rPr>
        <w:t> </w:t>
      </w:r>
      <w:r>
        <w:rPr/>
        <w:t>the</w:t>
      </w:r>
      <w:r>
        <w:rPr>
          <w:spacing w:val="-14"/>
        </w:rPr>
        <w:t> </w:t>
      </w:r>
      <w:r>
        <w:rPr/>
        <w:t>water-extracted</w:t>
      </w:r>
      <w:r>
        <w:rPr>
          <w:spacing w:val="-10"/>
        </w:rPr>
        <w:t> </w:t>
      </w:r>
      <w:r>
        <w:rPr/>
        <w:t>solution.</w:t>
      </w:r>
      <w:r>
        <w:rPr>
          <w:spacing w:val="-11"/>
        </w:rPr>
        <w:t> </w:t>
      </w:r>
      <w:r>
        <w:rPr/>
        <w:t>These</w:t>
      </w:r>
      <w:r>
        <w:rPr>
          <w:spacing w:val="-10"/>
        </w:rPr>
        <w:t> </w:t>
      </w:r>
      <w:r>
        <w:rPr/>
        <w:t>findings</w:t>
      </w:r>
      <w:r>
        <w:rPr>
          <w:spacing w:val="-11"/>
        </w:rPr>
        <w:t> </w:t>
      </w:r>
      <w:r>
        <w:rPr/>
        <w:t>suggest</w:t>
      </w:r>
      <w:r>
        <w:rPr>
          <w:spacing w:val="-9"/>
        </w:rPr>
        <w:t> </w:t>
      </w:r>
      <w:r>
        <w:rPr/>
        <w:t>the</w:t>
      </w:r>
      <w:r>
        <w:rPr>
          <w:spacing w:val="-14"/>
        </w:rPr>
        <w:t> </w:t>
      </w:r>
      <w:r>
        <w:rPr/>
        <w:t>presence</w:t>
      </w:r>
      <w:r>
        <w:rPr>
          <w:spacing w:val="-10"/>
        </w:rPr>
        <w:t> </w:t>
      </w:r>
      <w:r>
        <w:rPr/>
        <w:t>of</w:t>
      </w:r>
      <w:r>
        <w:rPr>
          <w:spacing w:val="-12"/>
        </w:rPr>
        <w:t> </w:t>
      </w:r>
      <w:r>
        <w:rPr/>
        <w:t>fluorescent</w:t>
      </w:r>
      <w:r>
        <w:rPr>
          <w:spacing w:val="-9"/>
        </w:rPr>
        <w:t> </w:t>
      </w:r>
      <w:r>
        <w:rPr/>
        <w:t>substances or CDs within the brown coal</w:t>
      </w:r>
      <w:r>
        <w:rPr>
          <w:spacing w:val="-2"/>
        </w:rPr>
        <w:t> </w:t>
      </w:r>
      <w:r>
        <w:rPr/>
        <w:t>sample.</w:t>
      </w:r>
    </w:p>
    <w:p>
      <w:pPr>
        <w:pStyle w:val="BodyText"/>
        <w:ind w:left="120" w:right="113" w:firstLine="284"/>
        <w:jc w:val="both"/>
      </w:pPr>
      <w:r>
        <w:rPr/>
        <w:t>Furthermore, the difference in fluorescence intensity between the water- and ethanol-extracted solutions may be attributed to the varying amounts of fluorescent substances or CDs extracted from the brown coal. This discrepancy is consistent with the visual contrast in colour observed under white light. Similar trends have been reported in previous studies regarding the extraction rate or amount of fluorescent substances or CDs from brown coal using solvents such as ethanol, EDA, water, and pyridine [22]. Hence, ethanol demonstrates higher efficacy in extracting fluorescent substances or CDs from brown coal compared to water.</w:t>
      </w:r>
    </w:p>
    <w:p>
      <w:pPr>
        <w:spacing w:after="0"/>
        <w:jc w:val="both"/>
        <w:sectPr>
          <w:pgSz w:w="12240" w:h="15840"/>
          <w:pgMar w:top="1360" w:bottom="280" w:left="1320" w:right="1320"/>
        </w:sectPr>
      </w:pPr>
    </w:p>
    <w:p>
      <w:pPr>
        <w:pStyle w:val="BodyText"/>
        <w:ind w:left="359"/>
      </w:pPr>
      <w:r>
        <w:rPr/>
        <w:drawing>
          <wp:inline distT="0" distB="0" distL="0" distR="0">
            <wp:extent cx="5277533" cy="4476654"/>
            <wp:effectExtent l="0" t="0" r="0" b="0"/>
            <wp:docPr id="7" name="image4.jpeg"/>
            <wp:cNvGraphicFramePr>
              <a:graphicFrameLocks noChangeAspect="1"/>
            </wp:cNvGraphicFramePr>
            <a:graphic>
              <a:graphicData uri="http://schemas.openxmlformats.org/drawingml/2006/picture">
                <pic:pic>
                  <pic:nvPicPr>
                    <pic:cNvPr id="8" name="image4.jpeg"/>
                    <pic:cNvPicPr/>
                  </pic:nvPicPr>
                  <pic:blipFill>
                    <a:blip r:embed="rId10" cstate="print"/>
                    <a:stretch>
                      <a:fillRect/>
                    </a:stretch>
                  </pic:blipFill>
                  <pic:spPr>
                    <a:xfrm>
                      <a:off x="0" y="0"/>
                      <a:ext cx="5277533" cy="4476654"/>
                    </a:xfrm>
                    <a:prstGeom prst="rect">
                      <a:avLst/>
                    </a:prstGeom>
                  </pic:spPr>
                </pic:pic>
              </a:graphicData>
            </a:graphic>
          </wp:inline>
        </w:drawing>
      </w:r>
      <w:r>
        <w:rPr/>
      </w:r>
    </w:p>
    <w:p>
      <w:pPr>
        <w:spacing w:before="100"/>
        <w:ind w:left="176" w:right="162" w:firstLine="539"/>
        <w:jc w:val="left"/>
        <w:rPr>
          <w:sz w:val="18"/>
        </w:rPr>
      </w:pPr>
      <w:r>
        <w:rPr>
          <w:b/>
          <w:sz w:val="18"/>
        </w:rPr>
        <w:t>FIGURE 4. </w:t>
      </w:r>
      <w:r>
        <w:rPr>
          <w:sz w:val="18"/>
        </w:rPr>
        <w:t>(a) XRD pattern of ethanol-extracted substances or CDs. (b) TEM image of isolated particles of ethanol- extracted CDs. (c) Distribution of the diameters of the isolated particles. (d) TEM image of aggregates of carbon particles (some</w:t>
      </w:r>
    </w:p>
    <w:p>
      <w:pPr>
        <w:spacing w:before="2"/>
        <w:ind w:left="2521" w:right="0" w:firstLine="0"/>
        <w:jc w:val="left"/>
        <w:rPr>
          <w:sz w:val="18"/>
        </w:rPr>
      </w:pPr>
      <w:r>
        <w:rPr>
          <w:sz w:val="18"/>
        </w:rPr>
        <w:t>of the round and polygonal shaped particles are marked in red).</w:t>
      </w:r>
    </w:p>
    <w:p>
      <w:pPr>
        <w:pStyle w:val="BodyText"/>
        <w:spacing w:before="7"/>
        <w:rPr>
          <w:sz w:val="17"/>
        </w:rPr>
      </w:pPr>
    </w:p>
    <w:p>
      <w:pPr>
        <w:pStyle w:val="BodyText"/>
        <w:ind w:left="120" w:right="119" w:firstLine="284"/>
        <w:jc w:val="both"/>
      </w:pPr>
      <w:r>
        <w:rPr/>
        <w:t>To clarify the average structure of the ethanol-extracted substances or CDs, XRD measurements were conducted. Figure 4(a) shows the XRD pattern obtained from the ethanol-extracted sample. The pattern exhibits a broad peak centered around 18.8°, accompanied by two unexpected sharp peaks at 21.4° and 23.6°.</w:t>
      </w:r>
    </w:p>
    <w:p>
      <w:pPr>
        <w:pStyle w:val="BodyText"/>
        <w:spacing w:before="2"/>
        <w:ind w:left="120" w:right="113" w:firstLine="284"/>
        <w:jc w:val="both"/>
      </w:pPr>
      <w:r>
        <w:rPr/>
        <w:t>The</w:t>
      </w:r>
      <w:r>
        <w:rPr>
          <w:spacing w:val="-6"/>
        </w:rPr>
        <w:t> </w:t>
      </w:r>
      <w:r>
        <w:rPr/>
        <w:t>broad</w:t>
      </w:r>
      <w:r>
        <w:rPr>
          <w:spacing w:val="-4"/>
        </w:rPr>
        <w:t> </w:t>
      </w:r>
      <w:r>
        <w:rPr/>
        <w:t>peak</w:t>
      </w:r>
      <w:r>
        <w:rPr>
          <w:spacing w:val="-4"/>
        </w:rPr>
        <w:t> </w:t>
      </w:r>
      <w:r>
        <w:rPr/>
        <w:t>corresponds</w:t>
      </w:r>
      <w:r>
        <w:rPr>
          <w:spacing w:val="-7"/>
        </w:rPr>
        <w:t> </w:t>
      </w:r>
      <w:r>
        <w:rPr/>
        <w:t>to</w:t>
      </w:r>
      <w:r>
        <w:rPr>
          <w:spacing w:val="-4"/>
        </w:rPr>
        <w:t> </w:t>
      </w:r>
      <w:r>
        <w:rPr/>
        <w:t>the</w:t>
      </w:r>
      <w:r>
        <w:rPr>
          <w:spacing w:val="-5"/>
        </w:rPr>
        <w:t> </w:t>
      </w:r>
      <w:r>
        <w:rPr/>
        <w:t>characteristic</w:t>
      </w:r>
      <w:r>
        <w:rPr>
          <w:spacing w:val="-6"/>
        </w:rPr>
        <w:t> </w:t>
      </w:r>
      <w:r>
        <w:rPr/>
        <w:t>amorphous</w:t>
      </w:r>
      <w:r>
        <w:rPr>
          <w:spacing w:val="-6"/>
        </w:rPr>
        <w:t> </w:t>
      </w:r>
      <w:r>
        <w:rPr/>
        <w:t>carbon</w:t>
      </w:r>
      <w:r>
        <w:rPr>
          <w:spacing w:val="-4"/>
        </w:rPr>
        <w:t> </w:t>
      </w:r>
      <w:r>
        <w:rPr/>
        <w:t>phase,</w:t>
      </w:r>
      <w:r>
        <w:rPr>
          <w:spacing w:val="-4"/>
        </w:rPr>
        <w:t> </w:t>
      </w:r>
      <w:r>
        <w:rPr/>
        <w:t>which</w:t>
      </w:r>
      <w:r>
        <w:rPr>
          <w:spacing w:val="-4"/>
        </w:rPr>
        <w:t> </w:t>
      </w:r>
      <w:r>
        <w:rPr/>
        <w:t>has</w:t>
      </w:r>
      <w:r>
        <w:rPr>
          <w:spacing w:val="-6"/>
        </w:rPr>
        <w:t> </w:t>
      </w:r>
      <w:r>
        <w:rPr/>
        <w:t>been</w:t>
      </w:r>
      <w:r>
        <w:rPr>
          <w:spacing w:val="-5"/>
        </w:rPr>
        <w:t> </w:t>
      </w:r>
      <w:r>
        <w:rPr/>
        <w:t>commonly</w:t>
      </w:r>
      <w:r>
        <w:rPr>
          <w:spacing w:val="-4"/>
        </w:rPr>
        <w:t> </w:t>
      </w:r>
      <w:r>
        <w:rPr/>
        <w:t>observed</w:t>
      </w:r>
      <w:r>
        <w:rPr>
          <w:spacing w:val="-4"/>
        </w:rPr>
        <w:t> </w:t>
      </w:r>
      <w:r>
        <w:rPr/>
        <w:t>in various CDs reported in the literature [28, 29]. This broad peak can be attributed to the small size and amorphous nature of the CDs present in the ethanol-extracted sample. Additionally, the two sharp peaks at 21.4° and 23.6° can be assigned to the presence of fatty components [30]. It is hypothesized that the brown coal naturally contains fat, which is in line with the high levels of moisture and impurities observed in the brown coal sample (Table 1). Consequently, it is plausible that the observed crystalline peaks associated with fat in the XRD pattern resulted from the crystallization of fat during the drying process of the extracted solution in preparation for XRD</w:t>
      </w:r>
      <w:r>
        <w:rPr>
          <w:spacing w:val="-16"/>
        </w:rPr>
        <w:t> </w:t>
      </w:r>
      <w:r>
        <w:rPr/>
        <w:t>measurements.</w:t>
      </w:r>
    </w:p>
    <w:p>
      <w:pPr>
        <w:pStyle w:val="BodyText"/>
        <w:ind w:left="120" w:right="110" w:firstLine="284"/>
        <w:jc w:val="both"/>
      </w:pPr>
      <w:r>
        <w:rPr/>
        <w:t>Figure 4(b-d) shows transmission electron microscopy (TEM) images and the size distribution of the particles of the ethanol-extracted CDs. Figure 4(b) reveals the presence of isolated particles, although clear lattice fringes are not discernible</w:t>
      </w:r>
      <w:r>
        <w:rPr>
          <w:spacing w:val="-13"/>
        </w:rPr>
        <w:t> </w:t>
      </w:r>
      <w:r>
        <w:rPr/>
        <w:t>in</w:t>
      </w:r>
      <w:r>
        <w:rPr>
          <w:spacing w:val="-11"/>
        </w:rPr>
        <w:t> </w:t>
      </w:r>
      <w:r>
        <w:rPr/>
        <w:t>these</w:t>
      </w:r>
      <w:r>
        <w:rPr>
          <w:spacing w:val="-12"/>
        </w:rPr>
        <w:t> </w:t>
      </w:r>
      <w:r>
        <w:rPr/>
        <w:t>particles.</w:t>
      </w:r>
      <w:r>
        <w:rPr>
          <w:spacing w:val="-10"/>
        </w:rPr>
        <w:t> </w:t>
      </w:r>
      <w:r>
        <w:rPr/>
        <w:t>This</w:t>
      </w:r>
      <w:r>
        <w:rPr>
          <w:spacing w:val="-12"/>
        </w:rPr>
        <w:t> </w:t>
      </w:r>
      <w:r>
        <w:rPr/>
        <w:t>means</w:t>
      </w:r>
      <w:r>
        <w:rPr>
          <w:spacing w:val="-13"/>
        </w:rPr>
        <w:t> </w:t>
      </w:r>
      <w:r>
        <w:rPr/>
        <w:t>that</w:t>
      </w:r>
      <w:r>
        <w:rPr>
          <w:spacing w:val="-12"/>
        </w:rPr>
        <w:t> </w:t>
      </w:r>
      <w:r>
        <w:rPr/>
        <w:t>observed</w:t>
      </w:r>
      <w:r>
        <w:rPr>
          <w:spacing w:val="-11"/>
        </w:rPr>
        <w:t> </w:t>
      </w:r>
      <w:r>
        <w:rPr/>
        <w:t>particles</w:t>
      </w:r>
      <w:r>
        <w:rPr>
          <w:spacing w:val="-13"/>
        </w:rPr>
        <w:t> </w:t>
      </w:r>
      <w:r>
        <w:rPr/>
        <w:t>have</w:t>
      </w:r>
      <w:r>
        <w:rPr>
          <w:spacing w:val="-12"/>
        </w:rPr>
        <w:t> </w:t>
      </w:r>
      <w:r>
        <w:rPr/>
        <w:t>non-crystalline</w:t>
      </w:r>
      <w:r>
        <w:rPr>
          <w:spacing w:val="-12"/>
        </w:rPr>
        <w:t> </w:t>
      </w:r>
      <w:r>
        <w:rPr/>
        <w:t>or</w:t>
      </w:r>
      <w:r>
        <w:rPr>
          <w:spacing w:val="-10"/>
        </w:rPr>
        <w:t> </w:t>
      </w:r>
      <w:r>
        <w:rPr/>
        <w:t>amorphous</w:t>
      </w:r>
      <w:r>
        <w:rPr>
          <w:spacing w:val="-14"/>
        </w:rPr>
        <w:t> </w:t>
      </w:r>
      <w:r>
        <w:rPr/>
        <w:t>structure.</w:t>
      </w:r>
      <w:r>
        <w:rPr>
          <w:spacing w:val="-8"/>
        </w:rPr>
        <w:t> </w:t>
      </w:r>
      <w:r>
        <w:rPr/>
        <w:t>Multiple TEM images were analysed to determine the size distribution of the particles, as shown in Figure 4(c). The average diameter</w:t>
      </w:r>
      <w:r>
        <w:rPr>
          <w:spacing w:val="-5"/>
        </w:rPr>
        <w:t> </w:t>
      </w:r>
      <w:r>
        <w:rPr/>
        <w:t>was</w:t>
      </w:r>
      <w:r>
        <w:rPr>
          <w:spacing w:val="-6"/>
        </w:rPr>
        <w:t> </w:t>
      </w:r>
      <w:r>
        <w:rPr/>
        <w:t>determined</w:t>
      </w:r>
      <w:r>
        <w:rPr>
          <w:spacing w:val="-8"/>
        </w:rPr>
        <w:t> </w:t>
      </w:r>
      <w:r>
        <w:rPr/>
        <w:t>to</w:t>
      </w:r>
      <w:r>
        <w:rPr>
          <w:spacing w:val="-7"/>
        </w:rPr>
        <w:t> </w:t>
      </w:r>
      <w:r>
        <w:rPr/>
        <w:t>be</w:t>
      </w:r>
      <w:r>
        <w:rPr>
          <w:spacing w:val="-9"/>
        </w:rPr>
        <w:t> </w:t>
      </w:r>
      <w:r>
        <w:rPr/>
        <w:t>4.0</w:t>
      </w:r>
      <w:r>
        <w:rPr>
          <w:spacing w:val="-4"/>
        </w:rPr>
        <w:t> </w:t>
      </w:r>
      <w:r>
        <w:rPr/>
        <w:t>nm.</w:t>
      </w:r>
      <w:r>
        <w:rPr>
          <w:spacing w:val="-6"/>
        </w:rPr>
        <w:t> </w:t>
      </w:r>
      <w:r>
        <w:rPr/>
        <w:t>The</w:t>
      </w:r>
      <w:r>
        <w:rPr>
          <w:spacing w:val="-9"/>
        </w:rPr>
        <w:t> </w:t>
      </w:r>
      <w:r>
        <w:rPr/>
        <w:t>observed</w:t>
      </w:r>
      <w:r>
        <w:rPr>
          <w:spacing w:val="-4"/>
        </w:rPr>
        <w:t> </w:t>
      </w:r>
      <w:r>
        <w:rPr/>
        <w:t>shape</w:t>
      </w:r>
      <w:r>
        <w:rPr>
          <w:spacing w:val="-5"/>
        </w:rPr>
        <w:t> </w:t>
      </w:r>
      <w:r>
        <w:rPr/>
        <w:t>and</w:t>
      </w:r>
      <w:r>
        <w:rPr>
          <w:spacing w:val="-8"/>
        </w:rPr>
        <w:t> </w:t>
      </w:r>
      <w:r>
        <w:rPr/>
        <w:t>size</w:t>
      </w:r>
      <w:r>
        <w:rPr>
          <w:spacing w:val="-6"/>
        </w:rPr>
        <w:t> </w:t>
      </w:r>
      <w:r>
        <w:rPr/>
        <w:t>of</w:t>
      </w:r>
      <w:r>
        <w:rPr>
          <w:spacing w:val="-7"/>
        </w:rPr>
        <w:t> </w:t>
      </w:r>
      <w:r>
        <w:rPr/>
        <w:t>the</w:t>
      </w:r>
      <w:r>
        <w:rPr>
          <w:spacing w:val="-9"/>
        </w:rPr>
        <w:t> </w:t>
      </w:r>
      <w:r>
        <w:rPr/>
        <w:t>particles</w:t>
      </w:r>
      <w:r>
        <w:rPr>
          <w:spacing w:val="-7"/>
        </w:rPr>
        <w:t> </w:t>
      </w:r>
      <w:r>
        <w:rPr/>
        <w:t>align</w:t>
      </w:r>
      <w:r>
        <w:rPr>
          <w:spacing w:val="-8"/>
        </w:rPr>
        <w:t> </w:t>
      </w:r>
      <w:r>
        <w:rPr/>
        <w:t>with</w:t>
      </w:r>
      <w:r>
        <w:rPr>
          <w:spacing w:val="-8"/>
        </w:rPr>
        <w:t> </w:t>
      </w:r>
      <w:r>
        <w:rPr/>
        <w:t>those</w:t>
      </w:r>
      <w:r>
        <w:rPr>
          <w:spacing w:val="-5"/>
        </w:rPr>
        <w:t> </w:t>
      </w:r>
      <w:r>
        <w:rPr/>
        <w:t>reported</w:t>
      </w:r>
      <w:r>
        <w:rPr>
          <w:spacing w:val="-5"/>
        </w:rPr>
        <w:t> </w:t>
      </w:r>
      <w:r>
        <w:rPr/>
        <w:t>for</w:t>
      </w:r>
      <w:r>
        <w:rPr>
          <w:spacing w:val="-7"/>
        </w:rPr>
        <w:t> </w:t>
      </w:r>
      <w:r>
        <w:rPr/>
        <w:t>other CDs in the literature [9,31,32]. Consequently, it is reasonable to conclude that the observed particles correspond to fluorescent CDs exhibiting a disordered graphite or amorphous structure, which are inherently present in brown</w:t>
      </w:r>
      <w:r>
        <w:rPr>
          <w:spacing w:val="-36"/>
        </w:rPr>
        <w:t> </w:t>
      </w:r>
      <w:r>
        <w:rPr/>
        <w:t>coal. Furthermore, aggregates with dimensions of approximately 100 nm were frequently observed, as depicted in Figure 4(d).</w:t>
      </w:r>
      <w:r>
        <w:rPr>
          <w:spacing w:val="-2"/>
        </w:rPr>
        <w:t> </w:t>
      </w:r>
      <w:r>
        <w:rPr/>
        <w:t>As</w:t>
      </w:r>
      <w:r>
        <w:rPr>
          <w:spacing w:val="-6"/>
        </w:rPr>
        <w:t> </w:t>
      </w:r>
      <w:r>
        <w:rPr/>
        <w:t>evident</w:t>
      </w:r>
      <w:r>
        <w:rPr>
          <w:spacing w:val="-2"/>
        </w:rPr>
        <w:t> </w:t>
      </w:r>
      <w:r>
        <w:rPr/>
        <w:t>in</w:t>
      </w:r>
      <w:r>
        <w:rPr>
          <w:spacing w:val="-3"/>
        </w:rPr>
        <w:t> </w:t>
      </w:r>
      <w:r>
        <w:rPr/>
        <w:t>the</w:t>
      </w:r>
      <w:r>
        <w:rPr>
          <w:spacing w:val="-7"/>
        </w:rPr>
        <w:t> </w:t>
      </w:r>
      <w:r>
        <w:rPr/>
        <w:t>TEM</w:t>
      </w:r>
      <w:r>
        <w:rPr>
          <w:spacing w:val="-5"/>
        </w:rPr>
        <w:t> </w:t>
      </w:r>
      <w:r>
        <w:rPr/>
        <w:t>image,</w:t>
      </w:r>
      <w:r>
        <w:rPr>
          <w:spacing w:val="-4"/>
        </w:rPr>
        <w:t> </w:t>
      </w:r>
      <w:r>
        <w:rPr/>
        <w:t>the</w:t>
      </w:r>
      <w:r>
        <w:rPr>
          <w:spacing w:val="-4"/>
        </w:rPr>
        <w:t> </w:t>
      </w:r>
      <w:r>
        <w:rPr/>
        <w:t>aggregate</w:t>
      </w:r>
      <w:r>
        <w:rPr>
          <w:spacing w:val="-3"/>
        </w:rPr>
        <w:t> </w:t>
      </w:r>
      <w:r>
        <w:rPr/>
        <w:t>appears</w:t>
      </w:r>
      <w:r>
        <w:rPr>
          <w:spacing w:val="-5"/>
        </w:rPr>
        <w:t> </w:t>
      </w:r>
      <w:r>
        <w:rPr/>
        <w:t>to</w:t>
      </w:r>
      <w:r>
        <w:rPr>
          <w:spacing w:val="-2"/>
        </w:rPr>
        <w:t> </w:t>
      </w:r>
      <w:r>
        <w:rPr/>
        <w:t>comprise</w:t>
      </w:r>
      <w:r>
        <w:rPr>
          <w:spacing w:val="-4"/>
        </w:rPr>
        <w:t> </w:t>
      </w:r>
      <w:r>
        <w:rPr/>
        <w:t>two</w:t>
      </w:r>
      <w:r>
        <w:rPr>
          <w:spacing w:val="-2"/>
        </w:rPr>
        <w:t> </w:t>
      </w:r>
      <w:r>
        <w:rPr/>
        <w:t>distinct</w:t>
      </w:r>
      <w:r>
        <w:rPr>
          <w:spacing w:val="-3"/>
        </w:rPr>
        <w:t> </w:t>
      </w:r>
      <w:r>
        <w:rPr/>
        <w:t>types</w:t>
      </w:r>
      <w:r>
        <w:rPr>
          <w:spacing w:val="-6"/>
        </w:rPr>
        <w:t> </w:t>
      </w:r>
      <w:r>
        <w:rPr/>
        <w:t>of</w:t>
      </w:r>
      <w:r>
        <w:rPr>
          <w:spacing w:val="-1"/>
        </w:rPr>
        <w:t> </w:t>
      </w:r>
      <w:r>
        <w:rPr/>
        <w:t>particles</w:t>
      </w:r>
      <w:r>
        <w:rPr>
          <w:spacing w:val="-6"/>
        </w:rPr>
        <w:t> </w:t>
      </w:r>
      <w:r>
        <w:rPr/>
        <w:t>exhibiting</w:t>
      </w:r>
      <w:r>
        <w:rPr>
          <w:spacing w:val="-2"/>
        </w:rPr>
        <w:t> </w:t>
      </w:r>
      <w:r>
        <w:rPr/>
        <w:t>round and</w:t>
      </w:r>
      <w:r>
        <w:rPr>
          <w:spacing w:val="-12"/>
        </w:rPr>
        <w:t> </w:t>
      </w:r>
      <w:r>
        <w:rPr/>
        <w:t>polygonal</w:t>
      </w:r>
      <w:r>
        <w:rPr>
          <w:spacing w:val="-12"/>
        </w:rPr>
        <w:t> </w:t>
      </w:r>
      <w:r>
        <w:rPr/>
        <w:t>shapes.</w:t>
      </w:r>
      <w:r>
        <w:rPr>
          <w:spacing w:val="-11"/>
        </w:rPr>
        <w:t> </w:t>
      </w:r>
      <w:r>
        <w:rPr/>
        <w:t>This</w:t>
      </w:r>
      <w:r>
        <w:rPr>
          <w:spacing w:val="-14"/>
        </w:rPr>
        <w:t> </w:t>
      </w:r>
      <w:r>
        <w:rPr/>
        <w:t>observation</w:t>
      </w:r>
      <w:r>
        <w:rPr>
          <w:spacing w:val="-12"/>
        </w:rPr>
        <w:t> </w:t>
      </w:r>
      <w:r>
        <w:rPr/>
        <w:t>suggests</w:t>
      </w:r>
      <w:r>
        <w:rPr>
          <w:spacing w:val="-14"/>
        </w:rPr>
        <w:t> </w:t>
      </w:r>
      <w:r>
        <w:rPr/>
        <w:t>the</w:t>
      </w:r>
      <w:r>
        <w:rPr>
          <w:spacing w:val="-13"/>
        </w:rPr>
        <w:t> </w:t>
      </w:r>
      <w:r>
        <w:rPr/>
        <w:t>coexistence</w:t>
      </w:r>
      <w:r>
        <w:rPr>
          <w:spacing w:val="-13"/>
        </w:rPr>
        <w:t> </w:t>
      </w:r>
      <w:r>
        <w:rPr/>
        <w:t>of</w:t>
      </w:r>
      <w:r>
        <w:rPr>
          <w:spacing w:val="-11"/>
        </w:rPr>
        <w:t> </w:t>
      </w:r>
      <w:r>
        <w:rPr/>
        <w:t>two</w:t>
      </w:r>
      <w:r>
        <w:rPr>
          <w:spacing w:val="-12"/>
        </w:rPr>
        <w:t> </w:t>
      </w:r>
      <w:r>
        <w:rPr/>
        <w:t>types</w:t>
      </w:r>
      <w:r>
        <w:rPr>
          <w:spacing w:val="-12"/>
        </w:rPr>
        <w:t> </w:t>
      </w:r>
      <w:r>
        <w:rPr/>
        <w:t>of</w:t>
      </w:r>
      <w:r>
        <w:rPr>
          <w:spacing w:val="-15"/>
        </w:rPr>
        <w:t> </w:t>
      </w:r>
      <w:r>
        <w:rPr/>
        <w:t>CDs</w:t>
      </w:r>
      <w:r>
        <w:rPr>
          <w:spacing w:val="-15"/>
        </w:rPr>
        <w:t> </w:t>
      </w:r>
      <w:r>
        <w:rPr/>
        <w:t>within</w:t>
      </w:r>
      <w:r>
        <w:rPr>
          <w:spacing w:val="-12"/>
        </w:rPr>
        <w:t> </w:t>
      </w:r>
      <w:r>
        <w:rPr/>
        <w:t>the</w:t>
      </w:r>
      <w:r>
        <w:rPr>
          <w:spacing w:val="-16"/>
        </w:rPr>
        <w:t> </w:t>
      </w:r>
      <w:r>
        <w:rPr/>
        <w:t>brown</w:t>
      </w:r>
      <w:r>
        <w:rPr>
          <w:spacing w:val="-17"/>
        </w:rPr>
        <w:t> </w:t>
      </w:r>
      <w:r>
        <w:rPr/>
        <w:t>coal.</w:t>
      </w:r>
      <w:r>
        <w:rPr>
          <w:spacing w:val="-10"/>
        </w:rPr>
        <w:t> </w:t>
      </w:r>
      <w:r>
        <w:rPr/>
        <w:t>Moreover,</w:t>
      </w:r>
    </w:p>
    <w:p>
      <w:pPr>
        <w:spacing w:after="0"/>
        <w:jc w:val="both"/>
        <w:sectPr>
          <w:pgSz w:w="12240" w:h="15840"/>
          <w:pgMar w:top="1440" w:bottom="280" w:left="1320" w:right="1320"/>
        </w:sectPr>
      </w:pPr>
    </w:p>
    <w:p>
      <w:pPr>
        <w:pStyle w:val="BodyText"/>
        <w:spacing w:before="77"/>
        <w:ind w:left="120"/>
      </w:pPr>
      <w:r>
        <w:rPr/>
        <w:t>it is worth noting that CD aggregation occurs not only in the dried state but also in solution. Such aggregation can significantly influence the optical properties of the CDs.</w:t>
      </w:r>
    </w:p>
    <w:p>
      <w:pPr>
        <w:pStyle w:val="BodyText"/>
        <w:spacing w:before="10"/>
        <w:rPr>
          <w:sz w:val="16"/>
        </w:rPr>
      </w:pPr>
      <w:r>
        <w:rPr/>
        <w:drawing>
          <wp:anchor distT="0" distB="0" distL="0" distR="0" allowOverlap="1" layoutInCell="1" locked="0" behindDoc="0" simplePos="0" relativeHeight="4">
            <wp:simplePos x="0" y="0"/>
            <wp:positionH relativeFrom="page">
              <wp:posOffset>1078992</wp:posOffset>
            </wp:positionH>
            <wp:positionV relativeFrom="paragraph">
              <wp:posOffset>147979</wp:posOffset>
            </wp:positionV>
            <wp:extent cx="5677789" cy="4468463"/>
            <wp:effectExtent l="0" t="0" r="0" b="0"/>
            <wp:wrapTopAndBottom/>
            <wp:docPr id="9" name="image5.jpeg"/>
            <wp:cNvGraphicFramePr>
              <a:graphicFrameLocks noChangeAspect="1"/>
            </wp:cNvGraphicFramePr>
            <a:graphic>
              <a:graphicData uri="http://schemas.openxmlformats.org/drawingml/2006/picture">
                <pic:pic>
                  <pic:nvPicPr>
                    <pic:cNvPr id="10" name="image5.jpeg"/>
                    <pic:cNvPicPr/>
                  </pic:nvPicPr>
                  <pic:blipFill>
                    <a:blip r:embed="rId11" cstate="print"/>
                    <a:stretch>
                      <a:fillRect/>
                    </a:stretch>
                  </pic:blipFill>
                  <pic:spPr>
                    <a:xfrm>
                      <a:off x="0" y="0"/>
                      <a:ext cx="5677789" cy="4468463"/>
                    </a:xfrm>
                    <a:prstGeom prst="rect">
                      <a:avLst/>
                    </a:prstGeom>
                  </pic:spPr>
                </pic:pic>
              </a:graphicData>
            </a:graphic>
          </wp:anchor>
        </w:drawing>
      </w:r>
    </w:p>
    <w:p>
      <w:pPr>
        <w:spacing w:before="74"/>
        <w:ind w:left="3017" w:right="171" w:hanging="2546"/>
        <w:jc w:val="left"/>
        <w:rPr>
          <w:sz w:val="18"/>
        </w:rPr>
      </w:pPr>
      <w:r>
        <w:rPr>
          <w:b/>
          <w:sz w:val="18"/>
        </w:rPr>
        <w:t>FIGURE 5. </w:t>
      </w:r>
      <w:r>
        <w:rPr>
          <w:sz w:val="18"/>
        </w:rPr>
        <w:t>XPS spectra of ethanol-extracted substances or CDs. (a) Survey scan. (b) C 1s. (c) O 1s narrow scan. (d) FT-IR spectrum of ethanol-extracted substances or CDs.</w:t>
      </w:r>
    </w:p>
    <w:p>
      <w:pPr>
        <w:pStyle w:val="BodyText"/>
        <w:rPr>
          <w:sz w:val="18"/>
        </w:rPr>
      </w:pPr>
    </w:p>
    <w:p>
      <w:pPr>
        <w:pStyle w:val="BodyText"/>
        <w:ind w:left="120" w:right="112" w:firstLine="284"/>
        <w:jc w:val="both"/>
      </w:pPr>
      <w:r>
        <w:rPr/>
        <w:t>XPS</w:t>
      </w:r>
      <w:r>
        <w:rPr>
          <w:spacing w:val="-5"/>
        </w:rPr>
        <w:t> </w:t>
      </w:r>
      <w:r>
        <w:rPr/>
        <w:t>was</w:t>
      </w:r>
      <w:r>
        <w:rPr>
          <w:spacing w:val="-7"/>
        </w:rPr>
        <w:t> </w:t>
      </w:r>
      <w:r>
        <w:rPr/>
        <w:t>employed</w:t>
      </w:r>
      <w:r>
        <w:rPr>
          <w:spacing w:val="-9"/>
        </w:rPr>
        <w:t> </w:t>
      </w:r>
      <w:r>
        <w:rPr/>
        <w:t>to</w:t>
      </w:r>
      <w:r>
        <w:rPr>
          <w:spacing w:val="-9"/>
        </w:rPr>
        <w:t> </w:t>
      </w:r>
      <w:r>
        <w:rPr/>
        <w:t>conduct</w:t>
      </w:r>
      <w:r>
        <w:rPr>
          <w:spacing w:val="-4"/>
        </w:rPr>
        <w:t> </w:t>
      </w:r>
      <w:r>
        <w:rPr/>
        <w:t>elemental</w:t>
      </w:r>
      <w:r>
        <w:rPr>
          <w:spacing w:val="-9"/>
        </w:rPr>
        <w:t> </w:t>
      </w:r>
      <w:r>
        <w:rPr/>
        <w:t>analysis</w:t>
      </w:r>
      <w:r>
        <w:rPr>
          <w:spacing w:val="-7"/>
        </w:rPr>
        <w:t> </w:t>
      </w:r>
      <w:r>
        <w:rPr/>
        <w:t>of</w:t>
      </w:r>
      <w:r>
        <w:rPr>
          <w:spacing w:val="-4"/>
        </w:rPr>
        <w:t> </w:t>
      </w:r>
      <w:r>
        <w:rPr/>
        <w:t>the</w:t>
      </w:r>
      <w:r>
        <w:rPr>
          <w:spacing w:val="-10"/>
        </w:rPr>
        <w:t> </w:t>
      </w:r>
      <w:r>
        <w:rPr/>
        <w:t>ethanol-extracted</w:t>
      </w:r>
      <w:r>
        <w:rPr>
          <w:spacing w:val="-5"/>
        </w:rPr>
        <w:t> </w:t>
      </w:r>
      <w:r>
        <w:rPr/>
        <w:t>substances</w:t>
      </w:r>
      <w:r>
        <w:rPr>
          <w:spacing w:val="-7"/>
        </w:rPr>
        <w:t> </w:t>
      </w:r>
      <w:r>
        <w:rPr/>
        <w:t>or</w:t>
      </w:r>
      <w:r>
        <w:rPr>
          <w:spacing w:val="-4"/>
        </w:rPr>
        <w:t> </w:t>
      </w:r>
      <w:r>
        <w:rPr/>
        <w:t>CDs.</w:t>
      </w:r>
      <w:r>
        <w:rPr>
          <w:spacing w:val="-4"/>
        </w:rPr>
        <w:t> </w:t>
      </w:r>
      <w:r>
        <w:rPr/>
        <w:t>Figure</w:t>
      </w:r>
      <w:r>
        <w:rPr>
          <w:spacing w:val="-6"/>
        </w:rPr>
        <w:t> </w:t>
      </w:r>
      <w:r>
        <w:rPr/>
        <w:t>5(a-c)</w:t>
      </w:r>
      <w:r>
        <w:rPr>
          <w:spacing w:val="-4"/>
        </w:rPr>
        <w:t> </w:t>
      </w:r>
      <w:r>
        <w:rPr/>
        <w:t>shows the</w:t>
      </w:r>
      <w:r>
        <w:rPr>
          <w:spacing w:val="-9"/>
        </w:rPr>
        <w:t> </w:t>
      </w:r>
      <w:r>
        <w:rPr/>
        <w:t>XPS</w:t>
      </w:r>
      <w:r>
        <w:rPr>
          <w:spacing w:val="-7"/>
        </w:rPr>
        <w:t> </w:t>
      </w:r>
      <w:r>
        <w:rPr/>
        <w:t>spectra</w:t>
      </w:r>
      <w:r>
        <w:rPr>
          <w:spacing w:val="-9"/>
        </w:rPr>
        <w:t> </w:t>
      </w:r>
      <w:r>
        <w:rPr/>
        <w:t>obtained</w:t>
      </w:r>
      <w:r>
        <w:rPr>
          <w:spacing w:val="-8"/>
        </w:rPr>
        <w:t> </w:t>
      </w:r>
      <w:r>
        <w:rPr/>
        <w:t>from</w:t>
      </w:r>
      <w:r>
        <w:rPr>
          <w:spacing w:val="-11"/>
        </w:rPr>
        <w:t> </w:t>
      </w:r>
      <w:r>
        <w:rPr/>
        <w:t>wide</w:t>
      </w:r>
      <w:r>
        <w:rPr>
          <w:spacing w:val="-8"/>
        </w:rPr>
        <w:t> </w:t>
      </w:r>
      <w:r>
        <w:rPr/>
        <w:t>and</w:t>
      </w:r>
      <w:r>
        <w:rPr>
          <w:spacing w:val="-8"/>
        </w:rPr>
        <w:t> </w:t>
      </w:r>
      <w:r>
        <w:rPr/>
        <w:t>narrow</w:t>
      </w:r>
      <w:r>
        <w:rPr>
          <w:spacing w:val="-8"/>
        </w:rPr>
        <w:t> </w:t>
      </w:r>
      <w:r>
        <w:rPr/>
        <w:t>scans.</w:t>
      </w:r>
      <w:r>
        <w:rPr>
          <w:spacing w:val="-7"/>
        </w:rPr>
        <w:t> </w:t>
      </w:r>
      <w:r>
        <w:rPr/>
        <w:t>The</w:t>
      </w:r>
      <w:r>
        <w:rPr>
          <w:spacing w:val="-8"/>
        </w:rPr>
        <w:t> </w:t>
      </w:r>
      <w:r>
        <w:rPr/>
        <w:t>wide</w:t>
      </w:r>
      <w:r>
        <w:rPr>
          <w:spacing w:val="-9"/>
        </w:rPr>
        <w:t> </w:t>
      </w:r>
      <w:r>
        <w:rPr/>
        <w:t>scan</w:t>
      </w:r>
      <w:r>
        <w:rPr>
          <w:spacing w:val="-7"/>
        </w:rPr>
        <w:t> </w:t>
      </w:r>
      <w:r>
        <w:rPr/>
        <w:t>spectrum</w:t>
      </w:r>
      <w:r>
        <w:rPr>
          <w:spacing w:val="-8"/>
        </w:rPr>
        <w:t> </w:t>
      </w:r>
      <w:r>
        <w:rPr/>
        <w:t>demonstrates</w:t>
      </w:r>
      <w:r>
        <w:rPr>
          <w:spacing w:val="-10"/>
        </w:rPr>
        <w:t> </w:t>
      </w:r>
      <w:r>
        <w:rPr/>
        <w:t>the</w:t>
      </w:r>
      <w:r>
        <w:rPr>
          <w:spacing w:val="-9"/>
        </w:rPr>
        <w:t> </w:t>
      </w:r>
      <w:r>
        <w:rPr/>
        <w:t>presence</w:t>
      </w:r>
      <w:r>
        <w:rPr>
          <w:spacing w:val="-8"/>
        </w:rPr>
        <w:t> </w:t>
      </w:r>
      <w:r>
        <w:rPr/>
        <w:t>of</w:t>
      </w:r>
      <w:r>
        <w:rPr>
          <w:spacing w:val="-7"/>
        </w:rPr>
        <w:t> </w:t>
      </w:r>
      <w:r>
        <w:rPr/>
        <w:t>C</w:t>
      </w:r>
      <w:r>
        <w:rPr>
          <w:spacing w:val="-9"/>
        </w:rPr>
        <w:t> </w:t>
      </w:r>
      <w:r>
        <w:rPr/>
        <w:t>(83.39 at%), O (12.21 at%), and Si (4.40 at%). Notably, no nitrogen (N) atom was detected in the extracted substances, despite the presence of N in the raw brown coal. It should be noted that the relatively elevated Si concentration is likely attributed to Si contamination originating from the glass container used during sample preparation, rather than being derived from the brown coal itself.</w:t>
      </w:r>
    </w:p>
    <w:p>
      <w:pPr>
        <w:pStyle w:val="BodyText"/>
        <w:spacing w:line="237" w:lineRule="auto" w:before="2"/>
        <w:ind w:left="120" w:right="115" w:firstLine="284"/>
        <w:jc w:val="both"/>
      </w:pPr>
      <w:r>
        <w:rPr/>
        <w:t>The C 1s XPS spectra exhibit three distinctive components at 284.6, 285.8, and 286.8 eV, which can be assigned to C-sp</w:t>
      </w:r>
      <w:r>
        <w:rPr>
          <w:position w:val="7"/>
          <w:sz w:val="13"/>
        </w:rPr>
        <w:t>2</w:t>
      </w:r>
      <w:r>
        <w:rPr/>
        <w:t>, C-O, and C=O, respectively [33] (Figure 5(b)). Meanwhile, the O 1s XPS spectra display three components at 531.9 and 532.7 eV, corresponding to C=O and C-O/ SiO</w:t>
      </w:r>
      <w:r>
        <w:rPr>
          <w:vertAlign w:val="subscript"/>
        </w:rPr>
        <w:t>2</w:t>
      </w:r>
      <w:r>
        <w:rPr>
          <w:vertAlign w:val="baseline"/>
        </w:rPr>
        <w:t>, respectively [33, 34] (Figure 5(c)).</w:t>
      </w:r>
    </w:p>
    <w:p>
      <w:pPr>
        <w:pStyle w:val="BodyText"/>
        <w:ind w:left="120" w:right="112" w:firstLine="284"/>
        <w:jc w:val="both"/>
      </w:pPr>
      <w:r>
        <w:rPr/>
        <w:t>To clarify the chemical composition of the ethanol-extracted substances or CDs, FT-IR spectra were obtained. Figure 5(d) shows the FT-IR spectrum of the CDs, revealing characteristic peaks at 1170-1250, 1608, 1702, 2849, 2917, and 3394 cm</w:t>
      </w:r>
      <w:r>
        <w:rPr>
          <w:position w:val="7"/>
          <w:sz w:val="13"/>
        </w:rPr>
        <w:t>-1</w:t>
      </w:r>
      <w:r>
        <w:rPr/>
        <w:t>. These peaks can be assigned to specific functional groups, namely C-O-C, C=C, C=O, CH</w:t>
      </w:r>
      <w:r>
        <w:rPr>
          <w:vertAlign w:val="subscript"/>
        </w:rPr>
        <w:t>2</w:t>
      </w:r>
      <w:r>
        <w:rPr>
          <w:vertAlign w:val="baseline"/>
        </w:rPr>
        <w:t>, CH</w:t>
      </w:r>
      <w:r>
        <w:rPr>
          <w:vertAlign w:val="subscript"/>
        </w:rPr>
        <w:t>3</w:t>
      </w:r>
      <w:r>
        <w:rPr>
          <w:vertAlign w:val="baseline"/>
        </w:rPr>
        <w:t>, and O-H, respectively [35]. Notably, these FT-IR results align with the findings from the XPS analysis, reinforcing the consistency of the compositional characterization of the CDs.</w:t>
      </w:r>
    </w:p>
    <w:p>
      <w:pPr>
        <w:spacing w:after="0"/>
        <w:jc w:val="both"/>
        <w:sectPr>
          <w:pgSz w:w="12240" w:h="15840"/>
          <w:pgMar w:top="1360" w:bottom="280" w:left="1320" w:right="1320"/>
        </w:sectPr>
      </w:pPr>
    </w:p>
    <w:p>
      <w:pPr>
        <w:pStyle w:val="BodyText"/>
        <w:ind w:left="2710"/>
      </w:pPr>
      <w:r>
        <w:rPr/>
        <w:drawing>
          <wp:inline distT="0" distB="0" distL="0" distR="0">
            <wp:extent cx="2830153" cy="2263140"/>
            <wp:effectExtent l="0" t="0" r="0" b="0"/>
            <wp:docPr id="11" name="image6.jpeg"/>
            <wp:cNvGraphicFramePr>
              <a:graphicFrameLocks noChangeAspect="1"/>
            </wp:cNvGraphicFramePr>
            <a:graphic>
              <a:graphicData uri="http://schemas.openxmlformats.org/drawingml/2006/picture">
                <pic:pic>
                  <pic:nvPicPr>
                    <pic:cNvPr id="12" name="image6.jpeg"/>
                    <pic:cNvPicPr/>
                  </pic:nvPicPr>
                  <pic:blipFill>
                    <a:blip r:embed="rId12" cstate="print"/>
                    <a:stretch>
                      <a:fillRect/>
                    </a:stretch>
                  </pic:blipFill>
                  <pic:spPr>
                    <a:xfrm>
                      <a:off x="0" y="0"/>
                      <a:ext cx="2830153" cy="2263140"/>
                    </a:xfrm>
                    <a:prstGeom prst="rect">
                      <a:avLst/>
                    </a:prstGeom>
                  </pic:spPr>
                </pic:pic>
              </a:graphicData>
            </a:graphic>
          </wp:inline>
        </w:drawing>
      </w:r>
      <w:r>
        <w:rPr/>
      </w:r>
    </w:p>
    <w:p>
      <w:pPr>
        <w:spacing w:before="5"/>
        <w:ind w:left="1129" w:right="0" w:firstLine="0"/>
        <w:jc w:val="left"/>
        <w:rPr>
          <w:sz w:val="18"/>
        </w:rPr>
      </w:pPr>
      <w:r>
        <w:rPr>
          <w:b/>
          <w:sz w:val="18"/>
        </w:rPr>
        <w:t>FIGURE 6. </w:t>
      </w:r>
      <w:r>
        <w:rPr>
          <w:sz w:val="18"/>
        </w:rPr>
        <w:t>UV-vis spectrum (red) and PL spectrum (blue) of ethanol-extracted solution containing CDs.</w:t>
      </w:r>
    </w:p>
    <w:p>
      <w:pPr>
        <w:pStyle w:val="BodyText"/>
        <w:spacing w:before="9"/>
        <w:rPr>
          <w:sz w:val="14"/>
        </w:rPr>
      </w:pPr>
      <w:r>
        <w:rPr/>
        <w:drawing>
          <wp:anchor distT="0" distB="0" distL="0" distR="0" allowOverlap="1" layoutInCell="1" locked="0" behindDoc="0" simplePos="0" relativeHeight="5">
            <wp:simplePos x="0" y="0"/>
            <wp:positionH relativeFrom="page">
              <wp:posOffset>1077800</wp:posOffset>
            </wp:positionH>
            <wp:positionV relativeFrom="paragraph">
              <wp:posOffset>132726</wp:posOffset>
            </wp:positionV>
            <wp:extent cx="5677536" cy="4468463"/>
            <wp:effectExtent l="0" t="0" r="0" b="0"/>
            <wp:wrapTopAndBottom/>
            <wp:docPr id="13" name="image7.jpeg"/>
            <wp:cNvGraphicFramePr>
              <a:graphicFrameLocks noChangeAspect="1"/>
            </wp:cNvGraphicFramePr>
            <a:graphic>
              <a:graphicData uri="http://schemas.openxmlformats.org/drawingml/2006/picture">
                <pic:pic>
                  <pic:nvPicPr>
                    <pic:cNvPr id="14" name="image7.jpeg"/>
                    <pic:cNvPicPr/>
                  </pic:nvPicPr>
                  <pic:blipFill>
                    <a:blip r:embed="rId13" cstate="print"/>
                    <a:stretch>
                      <a:fillRect/>
                    </a:stretch>
                  </pic:blipFill>
                  <pic:spPr>
                    <a:xfrm>
                      <a:off x="0" y="0"/>
                      <a:ext cx="5677536" cy="4468463"/>
                    </a:xfrm>
                    <a:prstGeom prst="rect">
                      <a:avLst/>
                    </a:prstGeom>
                  </pic:spPr>
                </pic:pic>
              </a:graphicData>
            </a:graphic>
          </wp:anchor>
        </w:drawing>
      </w:r>
    </w:p>
    <w:p>
      <w:pPr>
        <w:spacing w:before="76"/>
        <w:ind w:left="344" w:right="111" w:firstLine="72"/>
        <w:jc w:val="left"/>
        <w:rPr>
          <w:sz w:val="18"/>
        </w:rPr>
      </w:pPr>
      <w:r>
        <w:rPr>
          <w:b/>
          <w:sz w:val="18"/>
        </w:rPr>
        <w:t>FIGURE 7. </w:t>
      </w:r>
      <w:r>
        <w:rPr>
          <w:sz w:val="18"/>
        </w:rPr>
        <w:t>(a) PL spectra of the ethanol-extracted CDs solution, taken with different excitation wavelengths. (b) Correlation between excitation wavelength and emission wavelength. (c) PL spectra of the solution diluted 30-fold, taken with different</w:t>
      </w:r>
    </w:p>
    <w:p>
      <w:pPr>
        <w:spacing w:line="205" w:lineRule="exact" w:before="0"/>
        <w:ind w:left="196" w:right="0" w:firstLine="0"/>
        <w:jc w:val="left"/>
        <w:rPr>
          <w:sz w:val="18"/>
        </w:rPr>
      </w:pPr>
      <w:r>
        <w:rPr>
          <w:sz w:val="18"/>
        </w:rPr>
        <w:t>excitation wavelengths. (b) Correlation between excitation wavelength and emission wavelength of the solution diluted 30-fold.</w:t>
      </w:r>
    </w:p>
    <w:p>
      <w:pPr>
        <w:pStyle w:val="BodyText"/>
        <w:spacing w:before="10"/>
        <w:rPr>
          <w:sz w:val="17"/>
        </w:rPr>
      </w:pPr>
    </w:p>
    <w:p>
      <w:pPr>
        <w:pStyle w:val="BodyText"/>
        <w:spacing w:before="1"/>
        <w:ind w:left="120" w:right="114" w:firstLine="284"/>
        <w:jc w:val="both"/>
      </w:pPr>
      <w:r>
        <w:rPr/>
        <w:t>Figure 6 shows the Ultraviolet-visible (UV-vis) absorption spectrum (red line) and photoluminescence (PL) spectrum (blue line) of the ethanol-extracted solution containing CDs. The UV-vis spectrum exhibits characteristics similar to those reported for fluorescent CDs. Notably, a prominent absorption peak is observed at 262 nm,</w:t>
      </w:r>
      <w:r>
        <w:rPr>
          <w:spacing w:val="-35"/>
        </w:rPr>
        <w:t> </w:t>
      </w:r>
      <w:r>
        <w:rPr/>
        <w:t>attributed</w:t>
      </w:r>
    </w:p>
    <w:p>
      <w:pPr>
        <w:spacing w:after="0"/>
        <w:jc w:val="both"/>
        <w:sectPr>
          <w:pgSz w:w="12240" w:h="15840"/>
          <w:pgMar w:top="1440" w:bottom="280" w:left="1320" w:right="1320"/>
        </w:sectPr>
      </w:pPr>
    </w:p>
    <w:p>
      <w:pPr>
        <w:pStyle w:val="BodyText"/>
        <w:spacing w:before="77"/>
        <w:ind w:left="120" w:right="119"/>
        <w:jc w:val="both"/>
      </w:pPr>
      <w:r>
        <w:rPr/>
        <w:t>to the π-π* transitions of aromatic C-C bonds. Additionally, a shoulder peak appears around 310 nm, which can be ascribed to the n-π* transition of C=O bonds or other associated groups with lone pair electrons.</w:t>
      </w:r>
    </w:p>
    <w:p>
      <w:pPr>
        <w:pStyle w:val="BodyText"/>
        <w:ind w:left="120" w:right="120" w:firstLine="284"/>
        <w:jc w:val="both"/>
      </w:pPr>
      <w:r>
        <w:rPr/>
        <w:t>Moving on to the PL spectrum, a broad peak with a full width at half maximum (FWHM) of 116 nm is observed at approximately 448 nm, utilizing an excitation wavelength of 360 nm. The photoluminescence quantum yield</w:t>
      </w:r>
      <w:r>
        <w:rPr>
          <w:spacing w:val="-32"/>
        </w:rPr>
        <w:t> </w:t>
      </w:r>
      <w:r>
        <w:rPr/>
        <w:t>(QY) was determined to be</w:t>
      </w:r>
      <w:r>
        <w:rPr>
          <w:spacing w:val="2"/>
        </w:rPr>
        <w:t> </w:t>
      </w:r>
      <w:r>
        <w:rPr/>
        <w:t>2.4%.</w:t>
      </w:r>
    </w:p>
    <w:p>
      <w:pPr>
        <w:pStyle w:val="BodyText"/>
        <w:ind w:left="120" w:right="109" w:firstLine="284"/>
        <w:jc w:val="both"/>
      </w:pPr>
      <w:r>
        <w:rPr/>
        <w:t>PL spectra of the ethanol-extracted CDs solution were measured at various excitation wavelengths, ranging from 240 to 440 nm, as shown in Figure 7(a). The peak emission wavelength of the PL was plotted as a function of the excitation wavelength (Figure 7(b)). The PL spectra exhibit a notable dependence on the excitation wavelength. Specifically,</w:t>
      </w:r>
      <w:r>
        <w:rPr>
          <w:spacing w:val="-7"/>
        </w:rPr>
        <w:t> </w:t>
      </w:r>
      <w:r>
        <w:rPr/>
        <w:t>the</w:t>
      </w:r>
      <w:r>
        <w:rPr>
          <w:spacing w:val="-8"/>
        </w:rPr>
        <w:t> </w:t>
      </w:r>
      <w:r>
        <w:rPr/>
        <w:t>peak</w:t>
      </w:r>
      <w:r>
        <w:rPr>
          <w:spacing w:val="-8"/>
        </w:rPr>
        <w:t> </w:t>
      </w:r>
      <w:r>
        <w:rPr/>
        <w:t>emission</w:t>
      </w:r>
      <w:r>
        <w:rPr>
          <w:spacing w:val="-7"/>
        </w:rPr>
        <w:t> </w:t>
      </w:r>
      <w:r>
        <w:rPr/>
        <w:t>wavelength</w:t>
      </w:r>
      <w:r>
        <w:rPr>
          <w:spacing w:val="-7"/>
        </w:rPr>
        <w:t> </w:t>
      </w:r>
      <w:r>
        <w:rPr/>
        <w:t>of</w:t>
      </w:r>
      <w:r>
        <w:rPr>
          <w:spacing w:val="-7"/>
        </w:rPr>
        <w:t> </w:t>
      </w:r>
      <w:r>
        <w:rPr/>
        <w:t>the</w:t>
      </w:r>
      <w:r>
        <w:rPr>
          <w:spacing w:val="-8"/>
        </w:rPr>
        <w:t> </w:t>
      </w:r>
      <w:r>
        <w:rPr/>
        <w:t>PL</w:t>
      </w:r>
      <w:r>
        <w:rPr>
          <w:spacing w:val="-11"/>
        </w:rPr>
        <w:t> </w:t>
      </w:r>
      <w:r>
        <w:rPr/>
        <w:t>undergoes</w:t>
      </w:r>
      <w:r>
        <w:rPr>
          <w:spacing w:val="-9"/>
        </w:rPr>
        <w:t> </w:t>
      </w:r>
      <w:r>
        <w:rPr/>
        <w:t>a</w:t>
      </w:r>
      <w:r>
        <w:rPr>
          <w:spacing w:val="-8"/>
        </w:rPr>
        <w:t> </w:t>
      </w:r>
      <w:r>
        <w:rPr/>
        <w:t>blue-shift</w:t>
      </w:r>
      <w:r>
        <w:rPr>
          <w:spacing w:val="-8"/>
        </w:rPr>
        <w:t> </w:t>
      </w:r>
      <w:r>
        <w:rPr/>
        <w:t>when</w:t>
      </w:r>
      <w:r>
        <w:rPr>
          <w:spacing w:val="-7"/>
        </w:rPr>
        <w:t> </w:t>
      </w:r>
      <w:r>
        <w:rPr/>
        <w:t>the</w:t>
      </w:r>
      <w:r>
        <w:rPr>
          <w:spacing w:val="-8"/>
        </w:rPr>
        <w:t> </w:t>
      </w:r>
      <w:r>
        <w:rPr/>
        <w:t>excitation</w:t>
      </w:r>
      <w:r>
        <w:rPr>
          <w:spacing w:val="-8"/>
        </w:rPr>
        <w:t> </w:t>
      </w:r>
      <w:r>
        <w:rPr/>
        <w:t>wavelength</w:t>
      </w:r>
      <w:r>
        <w:rPr>
          <w:spacing w:val="-7"/>
        </w:rPr>
        <w:t> </w:t>
      </w:r>
      <w:r>
        <w:rPr/>
        <w:t>increases from</w:t>
      </w:r>
      <w:r>
        <w:rPr>
          <w:spacing w:val="-4"/>
        </w:rPr>
        <w:t> </w:t>
      </w:r>
      <w:r>
        <w:rPr/>
        <w:t>260</w:t>
      </w:r>
      <w:r>
        <w:rPr>
          <w:spacing w:val="-7"/>
        </w:rPr>
        <w:t> </w:t>
      </w:r>
      <w:r>
        <w:rPr/>
        <w:t>to</w:t>
      </w:r>
      <w:r>
        <w:rPr>
          <w:spacing w:val="-4"/>
        </w:rPr>
        <w:t> </w:t>
      </w:r>
      <w:r>
        <w:rPr/>
        <w:t>340</w:t>
      </w:r>
      <w:r>
        <w:rPr>
          <w:spacing w:val="-3"/>
        </w:rPr>
        <w:t> </w:t>
      </w:r>
      <w:r>
        <w:rPr/>
        <w:t>nm,</w:t>
      </w:r>
      <w:r>
        <w:rPr>
          <w:spacing w:val="-2"/>
        </w:rPr>
        <w:t> </w:t>
      </w:r>
      <w:r>
        <w:rPr/>
        <w:t>and</w:t>
      </w:r>
      <w:r>
        <w:rPr>
          <w:spacing w:val="-7"/>
        </w:rPr>
        <w:t> </w:t>
      </w:r>
      <w:r>
        <w:rPr/>
        <w:t>a</w:t>
      </w:r>
      <w:r>
        <w:rPr>
          <w:spacing w:val="-5"/>
        </w:rPr>
        <w:t> </w:t>
      </w:r>
      <w:r>
        <w:rPr/>
        <w:t>red-shift</w:t>
      </w:r>
      <w:r>
        <w:rPr>
          <w:spacing w:val="-4"/>
        </w:rPr>
        <w:t> </w:t>
      </w:r>
      <w:r>
        <w:rPr/>
        <w:t>when</w:t>
      </w:r>
      <w:r>
        <w:rPr>
          <w:spacing w:val="-3"/>
        </w:rPr>
        <w:t> </w:t>
      </w:r>
      <w:r>
        <w:rPr/>
        <w:t>the</w:t>
      </w:r>
      <w:r>
        <w:rPr>
          <w:spacing w:val="-5"/>
        </w:rPr>
        <w:t> </w:t>
      </w:r>
      <w:r>
        <w:rPr/>
        <w:t>excitation</w:t>
      </w:r>
      <w:r>
        <w:rPr>
          <w:spacing w:val="-3"/>
        </w:rPr>
        <w:t> </w:t>
      </w:r>
      <w:r>
        <w:rPr/>
        <w:t>wavelength</w:t>
      </w:r>
      <w:r>
        <w:rPr>
          <w:spacing w:val="-4"/>
        </w:rPr>
        <w:t> </w:t>
      </w:r>
      <w:r>
        <w:rPr/>
        <w:t>increases</w:t>
      </w:r>
      <w:r>
        <w:rPr>
          <w:spacing w:val="-5"/>
        </w:rPr>
        <w:t> </w:t>
      </w:r>
      <w:r>
        <w:rPr/>
        <w:t>from</w:t>
      </w:r>
      <w:r>
        <w:rPr>
          <w:spacing w:val="-4"/>
        </w:rPr>
        <w:t> </w:t>
      </w:r>
      <w:r>
        <w:rPr/>
        <w:t>340</w:t>
      </w:r>
      <w:r>
        <w:rPr>
          <w:spacing w:val="-3"/>
        </w:rPr>
        <w:t> </w:t>
      </w:r>
      <w:r>
        <w:rPr/>
        <w:t>to</w:t>
      </w:r>
      <w:r>
        <w:rPr>
          <w:spacing w:val="-8"/>
        </w:rPr>
        <w:t> </w:t>
      </w:r>
      <w:r>
        <w:rPr/>
        <w:t>440</w:t>
      </w:r>
      <w:r>
        <w:rPr>
          <w:spacing w:val="-3"/>
        </w:rPr>
        <w:t> </w:t>
      </w:r>
      <w:r>
        <w:rPr/>
        <w:t>nm.</w:t>
      </w:r>
      <w:r>
        <w:rPr>
          <w:spacing w:val="-3"/>
        </w:rPr>
        <w:t> </w:t>
      </w:r>
      <w:r>
        <w:rPr/>
        <w:t>The</w:t>
      </w:r>
      <w:r>
        <w:rPr>
          <w:spacing w:val="-1"/>
        </w:rPr>
        <w:t> </w:t>
      </w:r>
      <w:r>
        <w:rPr/>
        <w:t>maximum</w:t>
      </w:r>
      <w:r>
        <w:rPr>
          <w:spacing w:val="-4"/>
        </w:rPr>
        <w:t> </w:t>
      </w:r>
      <w:r>
        <w:rPr/>
        <w:t>PL intensity is observed at an excitation wavelength of 400 nm. The QY value at 400 nm excitation is expected to be higher</w:t>
      </w:r>
      <w:r>
        <w:rPr>
          <w:spacing w:val="-8"/>
        </w:rPr>
        <w:t> </w:t>
      </w:r>
      <w:r>
        <w:rPr/>
        <w:t>than</w:t>
      </w:r>
      <w:r>
        <w:rPr>
          <w:spacing w:val="-12"/>
        </w:rPr>
        <w:t> </w:t>
      </w:r>
      <w:r>
        <w:rPr/>
        <w:t>that</w:t>
      </w:r>
      <w:r>
        <w:rPr>
          <w:spacing w:val="-12"/>
        </w:rPr>
        <w:t> </w:t>
      </w:r>
      <w:r>
        <w:rPr/>
        <w:t>at</w:t>
      </w:r>
      <w:r>
        <w:rPr>
          <w:spacing w:val="-7"/>
        </w:rPr>
        <w:t> </w:t>
      </w:r>
      <w:r>
        <w:rPr/>
        <w:t>360</w:t>
      </w:r>
      <w:r>
        <w:rPr>
          <w:spacing w:val="-12"/>
        </w:rPr>
        <w:t> </w:t>
      </w:r>
      <w:r>
        <w:rPr/>
        <w:t>nm</w:t>
      </w:r>
      <w:r>
        <w:rPr>
          <w:spacing w:val="-11"/>
        </w:rPr>
        <w:t> </w:t>
      </w:r>
      <w:r>
        <w:rPr/>
        <w:t>excitation</w:t>
      </w:r>
      <w:r>
        <w:rPr>
          <w:spacing w:val="-11"/>
        </w:rPr>
        <w:t> </w:t>
      </w:r>
      <w:r>
        <w:rPr/>
        <w:t>as</w:t>
      </w:r>
      <w:r>
        <w:rPr>
          <w:spacing w:val="-10"/>
        </w:rPr>
        <w:t> </w:t>
      </w:r>
      <w:r>
        <w:rPr/>
        <w:t>mentioned</w:t>
      </w:r>
      <w:r>
        <w:rPr>
          <w:spacing w:val="-12"/>
        </w:rPr>
        <w:t> </w:t>
      </w:r>
      <w:r>
        <w:rPr/>
        <w:t>above.</w:t>
      </w:r>
      <w:r>
        <w:rPr>
          <w:spacing w:val="-5"/>
        </w:rPr>
        <w:t> </w:t>
      </w:r>
      <w:r>
        <w:rPr/>
        <w:t>This</w:t>
      </w:r>
      <w:r>
        <w:rPr>
          <w:spacing w:val="-13"/>
        </w:rPr>
        <w:t> </w:t>
      </w:r>
      <w:r>
        <w:rPr/>
        <w:t>excitation-wavelength</w:t>
      </w:r>
      <w:r>
        <w:rPr>
          <w:spacing w:val="-7"/>
        </w:rPr>
        <w:t> </w:t>
      </w:r>
      <w:r>
        <w:rPr/>
        <w:t>dependence</w:t>
      </w:r>
      <w:r>
        <w:rPr>
          <w:spacing w:val="-9"/>
        </w:rPr>
        <w:t> </w:t>
      </w:r>
      <w:r>
        <w:rPr/>
        <w:t>aligns</w:t>
      </w:r>
      <w:r>
        <w:rPr>
          <w:spacing w:val="-9"/>
        </w:rPr>
        <w:t> </w:t>
      </w:r>
      <w:r>
        <w:rPr/>
        <w:t>with</w:t>
      </w:r>
      <w:r>
        <w:rPr>
          <w:spacing w:val="-12"/>
        </w:rPr>
        <w:t> </w:t>
      </w:r>
      <w:r>
        <w:rPr/>
        <w:t>findings reported for many other CDs [8, 36,</w:t>
      </w:r>
      <w:r>
        <w:rPr>
          <w:spacing w:val="12"/>
        </w:rPr>
        <w:t> </w:t>
      </w:r>
      <w:r>
        <w:rPr/>
        <w:t>37].</w:t>
      </w:r>
    </w:p>
    <w:p>
      <w:pPr>
        <w:pStyle w:val="BodyText"/>
        <w:ind w:left="120" w:right="112" w:firstLine="284"/>
        <w:jc w:val="both"/>
      </w:pPr>
      <w:r>
        <w:rPr/>
        <w:t>Moreover, the excitation-wavelength dependence is also observed for the extracted solution diluted 30-fold, as shown in Figure 7(c). However, the behavior of the excitation dependence differs from that of the solution before dilution, as demonstrated in Figure 7(d). This distinction can be attributed to the concentration and aggregation of fluorescent substances or CDs. Such concentration or aggregation-dependent PL behavior can provide valuable insights for understanding the PL mechanism.</w:t>
      </w:r>
    </w:p>
    <w:p>
      <w:pPr>
        <w:pStyle w:val="BodyText"/>
        <w:spacing w:before="3"/>
        <w:rPr>
          <w:sz w:val="21"/>
        </w:rPr>
      </w:pPr>
    </w:p>
    <w:p>
      <w:pPr>
        <w:pStyle w:val="Heading1"/>
        <w:ind w:left="1929"/>
      </w:pPr>
      <w:r>
        <w:rPr/>
        <w:t>Ethylenediamine-Refluxed N-CDs from Brown Coal</w:t>
      </w:r>
    </w:p>
    <w:p>
      <w:pPr>
        <w:pStyle w:val="BodyText"/>
        <w:spacing w:before="4"/>
        <w:rPr>
          <w:b/>
          <w:sz w:val="17"/>
        </w:rPr>
      </w:pPr>
      <w:r>
        <w:rPr/>
        <w:drawing>
          <wp:anchor distT="0" distB="0" distL="0" distR="0" allowOverlap="1" layoutInCell="1" locked="0" behindDoc="0" simplePos="0" relativeHeight="6">
            <wp:simplePos x="0" y="0"/>
            <wp:positionH relativeFrom="page">
              <wp:posOffset>914400</wp:posOffset>
            </wp:positionH>
            <wp:positionV relativeFrom="paragraph">
              <wp:posOffset>151698</wp:posOffset>
            </wp:positionV>
            <wp:extent cx="5957155" cy="1877567"/>
            <wp:effectExtent l="0" t="0" r="0" b="0"/>
            <wp:wrapTopAndBottom/>
            <wp:docPr id="15" name="image8.jpeg"/>
            <wp:cNvGraphicFramePr>
              <a:graphicFrameLocks noChangeAspect="1"/>
            </wp:cNvGraphicFramePr>
            <a:graphic>
              <a:graphicData uri="http://schemas.openxmlformats.org/drawingml/2006/picture">
                <pic:pic>
                  <pic:nvPicPr>
                    <pic:cNvPr id="16" name="image8.jpeg"/>
                    <pic:cNvPicPr/>
                  </pic:nvPicPr>
                  <pic:blipFill>
                    <a:blip r:embed="rId14" cstate="print"/>
                    <a:stretch>
                      <a:fillRect/>
                    </a:stretch>
                  </pic:blipFill>
                  <pic:spPr>
                    <a:xfrm>
                      <a:off x="0" y="0"/>
                      <a:ext cx="5957155" cy="1877567"/>
                    </a:xfrm>
                    <a:prstGeom prst="rect">
                      <a:avLst/>
                    </a:prstGeom>
                  </pic:spPr>
                </pic:pic>
              </a:graphicData>
            </a:graphic>
          </wp:anchor>
        </w:drawing>
      </w:r>
    </w:p>
    <w:p>
      <w:pPr>
        <w:spacing w:before="0"/>
        <w:ind w:left="469" w:right="176" w:firstLine="0"/>
        <w:jc w:val="center"/>
        <w:rPr>
          <w:sz w:val="18"/>
        </w:rPr>
      </w:pPr>
      <w:r>
        <w:rPr>
          <w:b/>
          <w:sz w:val="18"/>
        </w:rPr>
        <w:t>FIGURE 8. </w:t>
      </w:r>
      <w:r>
        <w:rPr>
          <w:sz w:val="18"/>
        </w:rPr>
        <w:t>Photographs of ethanol-extracted, and EDA-extracted/ refluxed solution.</w:t>
      </w:r>
    </w:p>
    <w:p>
      <w:pPr>
        <w:pStyle w:val="BodyText"/>
        <w:spacing w:before="10"/>
        <w:rPr>
          <w:sz w:val="17"/>
        </w:rPr>
      </w:pPr>
    </w:p>
    <w:p>
      <w:pPr>
        <w:pStyle w:val="BodyText"/>
        <w:ind w:left="120" w:right="119" w:firstLine="284"/>
        <w:jc w:val="both"/>
      </w:pPr>
      <w:r>
        <w:rPr/>
        <w:t>Amination is a well-known method for enhancing the PL properties of fluorescent CDs. Hydrothermal synthesis and reflux treatment in nitrogenous solvents are commonly employed for amination. EDA and ammonia liquor are examples of solvents used in this process. Previous research has demonstrated the effectiveness of EDA in the extraction of substances from coal, surpassing other solvents such as ethanol and water [22].</w:t>
      </w:r>
    </w:p>
    <w:p>
      <w:pPr>
        <w:pStyle w:val="BodyText"/>
        <w:spacing w:before="1"/>
        <w:ind w:left="120" w:right="113" w:firstLine="284"/>
        <w:jc w:val="both"/>
      </w:pPr>
      <w:r>
        <w:rPr/>
        <w:t>In this study, the extraction and amination of CDs from brown coal were performed using EDA, resulting in the formation of N-CDs. Figure 8 shows photographs of the EDA-refluxed solution obtained from brown coal, with the ethanol-extracted solution provided for comparison. The EDA-refluxed and ethanol-extracted samples are referred</w:t>
      </w:r>
      <w:r>
        <w:rPr>
          <w:spacing w:val="-26"/>
        </w:rPr>
        <w:t> </w:t>
      </w:r>
      <w:r>
        <w:rPr/>
        <w:t>to as N-CD and CD, respectively. The photographs show the solutions under white light and UV irradiation. Both solutions</w:t>
      </w:r>
      <w:r>
        <w:rPr>
          <w:spacing w:val="-11"/>
        </w:rPr>
        <w:t> </w:t>
      </w:r>
      <w:r>
        <w:rPr/>
        <w:t>exhibit</w:t>
      </w:r>
      <w:r>
        <w:rPr>
          <w:spacing w:val="-9"/>
        </w:rPr>
        <w:t> </w:t>
      </w:r>
      <w:r>
        <w:rPr/>
        <w:t>blue</w:t>
      </w:r>
      <w:r>
        <w:rPr>
          <w:spacing w:val="-14"/>
        </w:rPr>
        <w:t> </w:t>
      </w:r>
      <w:r>
        <w:rPr/>
        <w:t>luminescence</w:t>
      </w:r>
      <w:r>
        <w:rPr>
          <w:spacing w:val="-9"/>
        </w:rPr>
        <w:t> </w:t>
      </w:r>
      <w:r>
        <w:rPr/>
        <w:t>under</w:t>
      </w:r>
      <w:r>
        <w:rPr>
          <w:spacing w:val="-12"/>
        </w:rPr>
        <w:t> </w:t>
      </w:r>
      <w:r>
        <w:rPr/>
        <w:t>UV</w:t>
      </w:r>
      <w:r>
        <w:rPr>
          <w:spacing w:val="-10"/>
        </w:rPr>
        <w:t> </w:t>
      </w:r>
      <w:r>
        <w:rPr/>
        <w:t>irradiation,</w:t>
      </w:r>
      <w:r>
        <w:rPr>
          <w:spacing w:val="-7"/>
        </w:rPr>
        <w:t> </w:t>
      </w:r>
      <w:r>
        <w:rPr/>
        <w:t>but</w:t>
      </w:r>
      <w:r>
        <w:rPr>
          <w:spacing w:val="-9"/>
        </w:rPr>
        <w:t> </w:t>
      </w:r>
      <w:r>
        <w:rPr/>
        <w:t>notably,</w:t>
      </w:r>
      <w:r>
        <w:rPr>
          <w:spacing w:val="-10"/>
        </w:rPr>
        <w:t> </w:t>
      </w:r>
      <w:r>
        <w:rPr/>
        <w:t>the</w:t>
      </w:r>
      <w:r>
        <w:rPr>
          <w:spacing w:val="-14"/>
        </w:rPr>
        <w:t> </w:t>
      </w:r>
      <w:r>
        <w:rPr/>
        <w:t>EDA-refluxed</w:t>
      </w:r>
      <w:r>
        <w:rPr>
          <w:spacing w:val="-10"/>
        </w:rPr>
        <w:t> </w:t>
      </w:r>
      <w:r>
        <w:rPr/>
        <w:t>solution</w:t>
      </w:r>
      <w:r>
        <w:rPr>
          <w:spacing w:val="-12"/>
        </w:rPr>
        <w:t> </w:t>
      </w:r>
      <w:r>
        <w:rPr/>
        <w:t>demonstrates</w:t>
      </w:r>
      <w:r>
        <w:rPr>
          <w:spacing w:val="-12"/>
        </w:rPr>
        <w:t> </w:t>
      </w:r>
      <w:r>
        <w:rPr/>
        <w:t>strong blue luminescence. This enhanced luminescence can be attributed to the greater extraction of fluorescent substances or CDs and the amination process facilitated by</w:t>
      </w:r>
      <w:r>
        <w:rPr>
          <w:spacing w:val="-3"/>
        </w:rPr>
        <w:t> </w:t>
      </w:r>
      <w:r>
        <w:rPr/>
        <w:t>EDA.</w:t>
      </w:r>
    </w:p>
    <w:p>
      <w:pPr>
        <w:spacing w:after="0"/>
        <w:jc w:val="both"/>
        <w:sectPr>
          <w:pgSz w:w="12240" w:h="15840"/>
          <w:pgMar w:top="1360" w:bottom="280" w:left="1320" w:right="1320"/>
        </w:sectPr>
      </w:pPr>
    </w:p>
    <w:p>
      <w:pPr>
        <w:pStyle w:val="BodyText"/>
        <w:ind w:left="613"/>
      </w:pPr>
      <w:r>
        <w:rPr/>
        <w:drawing>
          <wp:inline distT="0" distB="0" distL="0" distR="0">
            <wp:extent cx="5276614" cy="4468463"/>
            <wp:effectExtent l="0" t="0" r="0" b="0"/>
            <wp:docPr id="17" name="image9.jpeg"/>
            <wp:cNvGraphicFramePr>
              <a:graphicFrameLocks noChangeAspect="1"/>
            </wp:cNvGraphicFramePr>
            <a:graphic>
              <a:graphicData uri="http://schemas.openxmlformats.org/drawingml/2006/picture">
                <pic:pic>
                  <pic:nvPicPr>
                    <pic:cNvPr id="18" name="image9.jpeg"/>
                    <pic:cNvPicPr/>
                  </pic:nvPicPr>
                  <pic:blipFill>
                    <a:blip r:embed="rId15" cstate="print"/>
                    <a:stretch>
                      <a:fillRect/>
                    </a:stretch>
                  </pic:blipFill>
                  <pic:spPr>
                    <a:xfrm>
                      <a:off x="0" y="0"/>
                      <a:ext cx="5276614" cy="4468463"/>
                    </a:xfrm>
                    <a:prstGeom prst="rect">
                      <a:avLst/>
                    </a:prstGeom>
                  </pic:spPr>
                </pic:pic>
              </a:graphicData>
            </a:graphic>
          </wp:inline>
        </w:drawing>
      </w:r>
      <w:r>
        <w:rPr/>
      </w:r>
    </w:p>
    <w:p>
      <w:pPr>
        <w:spacing w:before="105"/>
        <w:ind w:left="460" w:right="176" w:firstLine="0"/>
        <w:jc w:val="center"/>
        <w:rPr>
          <w:sz w:val="18"/>
        </w:rPr>
      </w:pPr>
      <w:r>
        <w:rPr>
          <w:b/>
          <w:sz w:val="18"/>
        </w:rPr>
        <w:t>FIGURE 9. </w:t>
      </w:r>
      <w:r>
        <w:rPr>
          <w:sz w:val="18"/>
        </w:rPr>
        <w:t>TEM images of EDA-refluxed substances or N-CDs. (a) Aggregated N-CDs. (b) Electron diffraction pattern of</w:t>
      </w:r>
    </w:p>
    <w:p>
      <w:pPr>
        <w:spacing w:before="1"/>
        <w:ind w:left="1936" w:right="1927" w:firstLine="0"/>
        <w:jc w:val="center"/>
        <w:rPr>
          <w:sz w:val="18"/>
        </w:rPr>
      </w:pPr>
      <w:r>
        <w:rPr>
          <w:sz w:val="18"/>
        </w:rPr>
        <w:t>aggregated N-CDs. (c) Isolated N-CDs.</w:t>
      </w:r>
    </w:p>
    <w:p>
      <w:pPr>
        <w:pStyle w:val="BodyText"/>
        <w:spacing w:before="11"/>
        <w:rPr>
          <w:sz w:val="17"/>
        </w:rPr>
      </w:pPr>
    </w:p>
    <w:p>
      <w:pPr>
        <w:pStyle w:val="BodyText"/>
        <w:ind w:left="120" w:right="110" w:firstLine="284"/>
        <w:jc w:val="both"/>
      </w:pPr>
      <w:r>
        <w:rPr/>
        <w:t>TEM images of EDA-refluxed substances or N-CDs are shown in Figure 9. A typical aggregate larger than 1 μm in</w:t>
      </w:r>
      <w:r>
        <w:rPr>
          <w:spacing w:val="-12"/>
        </w:rPr>
        <w:t> </w:t>
      </w:r>
      <w:r>
        <w:rPr/>
        <w:t>size</w:t>
      </w:r>
      <w:r>
        <w:rPr>
          <w:spacing w:val="-14"/>
        </w:rPr>
        <w:t> </w:t>
      </w:r>
      <w:r>
        <w:rPr/>
        <w:t>is</w:t>
      </w:r>
      <w:r>
        <w:rPr>
          <w:spacing w:val="-13"/>
        </w:rPr>
        <w:t> </w:t>
      </w:r>
      <w:r>
        <w:rPr/>
        <w:t>shown</w:t>
      </w:r>
      <w:r>
        <w:rPr>
          <w:spacing w:val="-13"/>
        </w:rPr>
        <w:t> </w:t>
      </w:r>
      <w:r>
        <w:rPr/>
        <w:t>in</w:t>
      </w:r>
      <w:r>
        <w:rPr>
          <w:spacing w:val="-11"/>
        </w:rPr>
        <w:t> </w:t>
      </w:r>
      <w:r>
        <w:rPr/>
        <w:t>Figure</w:t>
      </w:r>
      <w:r>
        <w:rPr>
          <w:spacing w:val="-13"/>
        </w:rPr>
        <w:t> </w:t>
      </w:r>
      <w:r>
        <w:rPr/>
        <w:t>9(a),</w:t>
      </w:r>
      <w:r>
        <w:rPr>
          <w:spacing w:val="-13"/>
        </w:rPr>
        <w:t> </w:t>
      </w:r>
      <w:r>
        <w:rPr/>
        <w:t>where</w:t>
      </w:r>
      <w:r>
        <w:rPr>
          <w:spacing w:val="-13"/>
        </w:rPr>
        <w:t> </w:t>
      </w:r>
      <w:r>
        <w:rPr/>
        <w:t>components</w:t>
      </w:r>
      <w:r>
        <w:rPr>
          <w:spacing w:val="-13"/>
        </w:rPr>
        <w:t> </w:t>
      </w:r>
      <w:r>
        <w:rPr/>
        <w:t>of</w:t>
      </w:r>
      <w:r>
        <w:rPr>
          <w:spacing w:val="-11"/>
        </w:rPr>
        <w:t> </w:t>
      </w:r>
      <w:r>
        <w:rPr/>
        <w:t>the</w:t>
      </w:r>
      <w:r>
        <w:rPr>
          <w:spacing w:val="-12"/>
        </w:rPr>
        <w:t> </w:t>
      </w:r>
      <w:r>
        <w:rPr/>
        <w:t>aggregate</w:t>
      </w:r>
      <w:r>
        <w:rPr>
          <w:spacing w:val="-13"/>
        </w:rPr>
        <w:t> </w:t>
      </w:r>
      <w:r>
        <w:rPr/>
        <w:t>are</w:t>
      </w:r>
      <w:r>
        <w:rPr>
          <w:spacing w:val="-16"/>
        </w:rPr>
        <w:t> </w:t>
      </w:r>
      <w:r>
        <w:rPr/>
        <w:t>various</w:t>
      </w:r>
      <w:r>
        <w:rPr>
          <w:spacing w:val="-14"/>
        </w:rPr>
        <w:t> </w:t>
      </w:r>
      <w:r>
        <w:rPr/>
        <w:t>particles</w:t>
      </w:r>
      <w:r>
        <w:rPr>
          <w:spacing w:val="-14"/>
        </w:rPr>
        <w:t> </w:t>
      </w:r>
      <w:r>
        <w:rPr/>
        <w:t>with</w:t>
      </w:r>
      <w:r>
        <w:rPr>
          <w:spacing w:val="-12"/>
        </w:rPr>
        <w:t> </w:t>
      </w:r>
      <w:r>
        <w:rPr/>
        <w:t>different</w:t>
      </w:r>
      <w:r>
        <w:rPr>
          <w:spacing w:val="-15"/>
        </w:rPr>
        <w:t> </w:t>
      </w:r>
      <w:r>
        <w:rPr/>
        <w:t>sizes</w:t>
      </w:r>
      <w:r>
        <w:rPr>
          <w:spacing w:val="-13"/>
        </w:rPr>
        <w:t> </w:t>
      </w:r>
      <w:r>
        <w:rPr/>
        <w:t>and</w:t>
      </w:r>
      <w:r>
        <w:rPr>
          <w:spacing w:val="-12"/>
        </w:rPr>
        <w:t> </w:t>
      </w:r>
      <w:r>
        <w:rPr/>
        <w:t>shapes. The electron diffraction pattern obtained from the aggregate is shown in Figure 9(b). Because the narrow ring is observed in the diffraction pattern, the components of the aggregate are basically in the nanocrystal state. Note that the diameter of the ring corresponds to the lattice spacing of about 0.35 nm, which is in good agreement with (002) lattice spacing of graphite. This suggests that the aggregates are composed of graphite-like particles. A bright-field image of some isolated particles of about 10 nm in diameter are shown in Figure 9(c). In the image, the particles exhibit the dark diffraction contrast, which indicates that the particles are in the nanocrystal state. These results show that EDA-refluxed N-CDs have graphite-like structure, similar to ethanol-extracted</w:t>
      </w:r>
      <w:r>
        <w:rPr>
          <w:spacing w:val="-1"/>
        </w:rPr>
        <w:t> </w:t>
      </w:r>
      <w:r>
        <w:rPr/>
        <w:t>CDs.</w:t>
      </w:r>
    </w:p>
    <w:p>
      <w:pPr>
        <w:spacing w:after="0"/>
        <w:jc w:val="both"/>
        <w:sectPr>
          <w:pgSz w:w="12240" w:h="15840"/>
          <w:pgMar w:top="1440" w:bottom="280" w:left="1320" w:right="1320"/>
        </w:sectPr>
      </w:pPr>
    </w:p>
    <w:p>
      <w:pPr>
        <w:pStyle w:val="BodyText"/>
        <w:ind w:left="349"/>
      </w:pPr>
      <w:r>
        <w:rPr/>
        <w:drawing>
          <wp:inline distT="0" distB="0" distL="0" distR="0">
            <wp:extent cx="5673999" cy="4468463"/>
            <wp:effectExtent l="0" t="0" r="0" b="0"/>
            <wp:docPr id="19" name="image10.jpeg"/>
            <wp:cNvGraphicFramePr>
              <a:graphicFrameLocks noChangeAspect="1"/>
            </wp:cNvGraphicFramePr>
            <a:graphic>
              <a:graphicData uri="http://schemas.openxmlformats.org/drawingml/2006/picture">
                <pic:pic>
                  <pic:nvPicPr>
                    <pic:cNvPr id="20" name="image10.jpeg"/>
                    <pic:cNvPicPr/>
                  </pic:nvPicPr>
                  <pic:blipFill>
                    <a:blip r:embed="rId16" cstate="print"/>
                    <a:stretch>
                      <a:fillRect/>
                    </a:stretch>
                  </pic:blipFill>
                  <pic:spPr>
                    <a:xfrm>
                      <a:off x="0" y="0"/>
                      <a:ext cx="5673999" cy="4468463"/>
                    </a:xfrm>
                    <a:prstGeom prst="rect">
                      <a:avLst/>
                    </a:prstGeom>
                  </pic:spPr>
                </pic:pic>
              </a:graphicData>
            </a:graphic>
          </wp:inline>
        </w:drawing>
      </w:r>
      <w:r>
        <w:rPr/>
      </w:r>
    </w:p>
    <w:p>
      <w:pPr>
        <w:spacing w:before="105"/>
        <w:ind w:left="480" w:right="0" w:firstLine="0"/>
        <w:jc w:val="both"/>
        <w:rPr>
          <w:sz w:val="18"/>
        </w:rPr>
      </w:pPr>
      <w:r>
        <w:rPr>
          <w:b/>
          <w:sz w:val="18"/>
        </w:rPr>
        <w:t>FIGURE 10. </w:t>
      </w:r>
      <w:r>
        <w:rPr>
          <w:sz w:val="18"/>
        </w:rPr>
        <w:t>XPS spectra of EDA-refluxed substances or N-CDs. (a) Survey scan. (b) C 1s. (c) N 1s. (d) O 1s narrow scan.</w:t>
      </w:r>
    </w:p>
    <w:p>
      <w:pPr>
        <w:pStyle w:val="BodyText"/>
        <w:spacing w:before="1"/>
        <w:rPr>
          <w:sz w:val="18"/>
        </w:rPr>
      </w:pPr>
    </w:p>
    <w:p>
      <w:pPr>
        <w:spacing w:before="1" w:after="5"/>
        <w:ind w:left="960" w:right="0" w:firstLine="0"/>
        <w:jc w:val="left"/>
        <w:rPr>
          <w:b/>
          <w:sz w:val="18"/>
        </w:rPr>
      </w:pPr>
      <w:r>
        <w:rPr>
          <w:b/>
          <w:sz w:val="18"/>
        </w:rPr>
        <w:t>TABLE 3. Elemental compositions of brown coal, ethanol-extracted CDs, and EDA refluxed N-CDs.</w:t>
      </w:r>
    </w:p>
    <w:tbl>
      <w:tblPr>
        <w:tblW w:w="0" w:type="auto"/>
        <w:jc w:val="left"/>
        <w:tblInd w:w="1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58"/>
        <w:gridCol w:w="1880"/>
        <w:gridCol w:w="1486"/>
        <w:gridCol w:w="1574"/>
        <w:gridCol w:w="1761"/>
      </w:tblGrid>
      <w:tr>
        <w:trPr>
          <w:trHeight w:val="210" w:hRule="atLeast"/>
        </w:trPr>
        <w:tc>
          <w:tcPr>
            <w:tcW w:w="6024" w:type="dxa"/>
            <w:gridSpan w:val="3"/>
            <w:tcBorders>
              <w:top w:val="single" w:sz="4" w:space="0" w:color="000000"/>
            </w:tcBorders>
          </w:tcPr>
          <w:p>
            <w:pPr>
              <w:pStyle w:val="TableParagraph"/>
              <w:rPr>
                <w:sz w:val="14"/>
              </w:rPr>
            </w:pPr>
          </w:p>
        </w:tc>
        <w:tc>
          <w:tcPr>
            <w:tcW w:w="1574" w:type="dxa"/>
            <w:tcBorders>
              <w:top w:val="single" w:sz="4" w:space="0" w:color="000000"/>
            </w:tcBorders>
          </w:tcPr>
          <w:p>
            <w:pPr>
              <w:pStyle w:val="TableParagraph"/>
              <w:spacing w:line="191" w:lineRule="exact"/>
              <w:ind w:left="520"/>
              <w:rPr>
                <w:sz w:val="18"/>
              </w:rPr>
            </w:pPr>
            <w:r>
              <w:rPr>
                <w:sz w:val="18"/>
              </w:rPr>
              <w:t>at%</w:t>
            </w:r>
          </w:p>
        </w:tc>
        <w:tc>
          <w:tcPr>
            <w:tcW w:w="1761" w:type="dxa"/>
            <w:tcBorders>
              <w:top w:val="single" w:sz="4" w:space="0" w:color="000000"/>
            </w:tcBorders>
          </w:tcPr>
          <w:p>
            <w:pPr>
              <w:pStyle w:val="TableParagraph"/>
              <w:rPr>
                <w:sz w:val="14"/>
              </w:rPr>
            </w:pPr>
          </w:p>
        </w:tc>
      </w:tr>
      <w:tr>
        <w:trPr>
          <w:trHeight w:val="203" w:hRule="atLeast"/>
        </w:trPr>
        <w:tc>
          <w:tcPr>
            <w:tcW w:w="2658" w:type="dxa"/>
            <w:tcBorders>
              <w:bottom w:val="single" w:sz="4" w:space="0" w:color="000000"/>
            </w:tcBorders>
          </w:tcPr>
          <w:p>
            <w:pPr>
              <w:pStyle w:val="TableParagraph"/>
              <w:rPr>
                <w:sz w:val="14"/>
              </w:rPr>
            </w:pPr>
          </w:p>
        </w:tc>
        <w:tc>
          <w:tcPr>
            <w:tcW w:w="1880" w:type="dxa"/>
            <w:tcBorders>
              <w:bottom w:val="single" w:sz="4" w:space="0" w:color="000000"/>
            </w:tcBorders>
          </w:tcPr>
          <w:p>
            <w:pPr>
              <w:pStyle w:val="TableParagraph"/>
              <w:spacing w:line="184" w:lineRule="exact"/>
              <w:ind w:left="912"/>
              <w:rPr>
                <w:sz w:val="18"/>
              </w:rPr>
            </w:pPr>
            <w:r>
              <w:rPr>
                <w:sz w:val="18"/>
              </w:rPr>
              <w:t>C</w:t>
            </w:r>
          </w:p>
        </w:tc>
        <w:tc>
          <w:tcPr>
            <w:tcW w:w="1486" w:type="dxa"/>
            <w:tcBorders>
              <w:bottom w:val="single" w:sz="4" w:space="0" w:color="000000"/>
            </w:tcBorders>
          </w:tcPr>
          <w:p>
            <w:pPr>
              <w:pStyle w:val="TableParagraph"/>
              <w:spacing w:line="184" w:lineRule="exact"/>
              <w:ind w:left="561"/>
              <w:rPr>
                <w:sz w:val="18"/>
              </w:rPr>
            </w:pPr>
            <w:r>
              <w:rPr>
                <w:sz w:val="18"/>
              </w:rPr>
              <w:t>O</w:t>
            </w:r>
          </w:p>
        </w:tc>
        <w:tc>
          <w:tcPr>
            <w:tcW w:w="1574" w:type="dxa"/>
            <w:tcBorders>
              <w:bottom w:val="single" w:sz="4" w:space="0" w:color="000000"/>
            </w:tcBorders>
          </w:tcPr>
          <w:p>
            <w:pPr>
              <w:pStyle w:val="TableParagraph"/>
              <w:spacing w:line="184" w:lineRule="exact"/>
              <w:ind w:right="225"/>
              <w:jc w:val="center"/>
              <w:rPr>
                <w:sz w:val="18"/>
              </w:rPr>
            </w:pPr>
            <w:r>
              <w:rPr>
                <w:sz w:val="18"/>
              </w:rPr>
              <w:t>N</w:t>
            </w:r>
          </w:p>
        </w:tc>
        <w:tc>
          <w:tcPr>
            <w:tcW w:w="1761" w:type="dxa"/>
            <w:tcBorders>
              <w:bottom w:val="single" w:sz="4" w:space="0" w:color="000000"/>
            </w:tcBorders>
          </w:tcPr>
          <w:p>
            <w:pPr>
              <w:pStyle w:val="TableParagraph"/>
              <w:spacing w:line="184" w:lineRule="exact"/>
              <w:ind w:left="562"/>
              <w:rPr>
                <w:sz w:val="18"/>
              </w:rPr>
            </w:pPr>
            <w:r>
              <w:rPr>
                <w:sz w:val="18"/>
              </w:rPr>
              <w:t>Si</w:t>
            </w:r>
          </w:p>
        </w:tc>
      </w:tr>
      <w:tr>
        <w:trPr>
          <w:trHeight w:val="210" w:hRule="atLeast"/>
        </w:trPr>
        <w:tc>
          <w:tcPr>
            <w:tcW w:w="2658" w:type="dxa"/>
            <w:tcBorders>
              <w:top w:val="single" w:sz="4" w:space="0" w:color="000000"/>
            </w:tcBorders>
          </w:tcPr>
          <w:p>
            <w:pPr>
              <w:pStyle w:val="TableParagraph"/>
              <w:spacing w:line="190" w:lineRule="exact"/>
              <w:ind w:left="114"/>
              <w:rPr>
                <w:sz w:val="18"/>
              </w:rPr>
            </w:pPr>
            <w:r>
              <w:rPr>
                <w:sz w:val="18"/>
              </w:rPr>
              <w:t>Brown coal</w:t>
            </w:r>
          </w:p>
        </w:tc>
        <w:tc>
          <w:tcPr>
            <w:tcW w:w="1880" w:type="dxa"/>
            <w:tcBorders>
              <w:top w:val="single" w:sz="4" w:space="0" w:color="000000"/>
            </w:tcBorders>
          </w:tcPr>
          <w:p>
            <w:pPr>
              <w:pStyle w:val="TableParagraph"/>
              <w:spacing w:line="190" w:lineRule="exact"/>
              <w:ind w:left="912"/>
              <w:rPr>
                <w:sz w:val="18"/>
              </w:rPr>
            </w:pPr>
            <w:r>
              <w:rPr>
                <w:sz w:val="18"/>
              </w:rPr>
              <w:t>78.60</w:t>
            </w:r>
          </w:p>
        </w:tc>
        <w:tc>
          <w:tcPr>
            <w:tcW w:w="1486" w:type="dxa"/>
            <w:tcBorders>
              <w:top w:val="single" w:sz="4" w:space="0" w:color="000000"/>
            </w:tcBorders>
          </w:tcPr>
          <w:p>
            <w:pPr>
              <w:pStyle w:val="TableParagraph"/>
              <w:spacing w:line="190" w:lineRule="exact"/>
              <w:ind w:left="561"/>
              <w:rPr>
                <w:sz w:val="18"/>
              </w:rPr>
            </w:pPr>
            <w:r>
              <w:rPr>
                <w:sz w:val="18"/>
              </w:rPr>
              <w:t>20.58</w:t>
            </w:r>
          </w:p>
        </w:tc>
        <w:tc>
          <w:tcPr>
            <w:tcW w:w="1574" w:type="dxa"/>
            <w:tcBorders>
              <w:top w:val="single" w:sz="4" w:space="0" w:color="000000"/>
            </w:tcBorders>
          </w:tcPr>
          <w:p>
            <w:pPr>
              <w:pStyle w:val="TableParagraph"/>
              <w:spacing w:line="190" w:lineRule="exact"/>
              <w:ind w:left="503" w:right="541"/>
              <w:jc w:val="center"/>
              <w:rPr>
                <w:sz w:val="18"/>
              </w:rPr>
            </w:pPr>
            <w:r>
              <w:rPr>
                <w:sz w:val="18"/>
              </w:rPr>
              <w:t>0.75</w:t>
            </w:r>
          </w:p>
        </w:tc>
        <w:tc>
          <w:tcPr>
            <w:tcW w:w="1761" w:type="dxa"/>
            <w:tcBorders>
              <w:top w:val="single" w:sz="4" w:space="0" w:color="000000"/>
            </w:tcBorders>
          </w:tcPr>
          <w:p>
            <w:pPr>
              <w:pStyle w:val="TableParagraph"/>
              <w:spacing w:line="190" w:lineRule="exact"/>
              <w:ind w:left="562"/>
              <w:rPr>
                <w:sz w:val="18"/>
              </w:rPr>
            </w:pPr>
            <w:r>
              <w:rPr>
                <w:sz w:val="18"/>
              </w:rPr>
              <w:t>0.07</w:t>
            </w:r>
          </w:p>
        </w:tc>
      </w:tr>
      <w:tr>
        <w:trPr>
          <w:trHeight w:val="205" w:hRule="atLeast"/>
        </w:trPr>
        <w:tc>
          <w:tcPr>
            <w:tcW w:w="2658" w:type="dxa"/>
          </w:tcPr>
          <w:p>
            <w:pPr>
              <w:pStyle w:val="TableParagraph"/>
              <w:spacing w:line="186" w:lineRule="exact"/>
              <w:ind w:left="114"/>
              <w:rPr>
                <w:sz w:val="18"/>
              </w:rPr>
            </w:pPr>
            <w:r>
              <w:rPr>
                <w:sz w:val="18"/>
              </w:rPr>
              <w:t>Ethanol extracted CDs</w:t>
            </w:r>
          </w:p>
        </w:tc>
        <w:tc>
          <w:tcPr>
            <w:tcW w:w="1880" w:type="dxa"/>
          </w:tcPr>
          <w:p>
            <w:pPr>
              <w:pStyle w:val="TableParagraph"/>
              <w:spacing w:line="186" w:lineRule="exact"/>
              <w:ind w:left="912"/>
              <w:rPr>
                <w:sz w:val="18"/>
              </w:rPr>
            </w:pPr>
            <w:r>
              <w:rPr>
                <w:sz w:val="18"/>
              </w:rPr>
              <w:t>83.39</w:t>
            </w:r>
          </w:p>
        </w:tc>
        <w:tc>
          <w:tcPr>
            <w:tcW w:w="1486" w:type="dxa"/>
          </w:tcPr>
          <w:p>
            <w:pPr>
              <w:pStyle w:val="TableParagraph"/>
              <w:spacing w:line="186" w:lineRule="exact"/>
              <w:ind w:left="561"/>
              <w:rPr>
                <w:sz w:val="18"/>
              </w:rPr>
            </w:pPr>
            <w:r>
              <w:rPr>
                <w:sz w:val="18"/>
              </w:rPr>
              <w:t>12.21</w:t>
            </w:r>
          </w:p>
        </w:tc>
        <w:tc>
          <w:tcPr>
            <w:tcW w:w="1574" w:type="dxa"/>
          </w:tcPr>
          <w:p>
            <w:pPr>
              <w:pStyle w:val="TableParagraph"/>
              <w:spacing w:line="186" w:lineRule="exact"/>
              <w:ind w:right="295"/>
              <w:jc w:val="center"/>
              <w:rPr>
                <w:sz w:val="18"/>
              </w:rPr>
            </w:pPr>
            <w:r>
              <w:rPr>
                <w:sz w:val="18"/>
              </w:rPr>
              <w:t>-</w:t>
            </w:r>
          </w:p>
        </w:tc>
        <w:tc>
          <w:tcPr>
            <w:tcW w:w="1761" w:type="dxa"/>
          </w:tcPr>
          <w:p>
            <w:pPr>
              <w:pStyle w:val="TableParagraph"/>
              <w:spacing w:line="186" w:lineRule="exact"/>
              <w:ind w:left="562"/>
              <w:rPr>
                <w:sz w:val="18"/>
              </w:rPr>
            </w:pPr>
            <w:r>
              <w:rPr>
                <w:sz w:val="18"/>
              </w:rPr>
              <w:t>4.40</w:t>
            </w:r>
          </w:p>
        </w:tc>
      </w:tr>
      <w:tr>
        <w:trPr>
          <w:trHeight w:val="205" w:hRule="atLeast"/>
        </w:trPr>
        <w:tc>
          <w:tcPr>
            <w:tcW w:w="2658" w:type="dxa"/>
            <w:tcBorders>
              <w:bottom w:val="single" w:sz="4" w:space="0" w:color="000000"/>
            </w:tcBorders>
          </w:tcPr>
          <w:p>
            <w:pPr>
              <w:pStyle w:val="TableParagraph"/>
              <w:spacing w:line="186" w:lineRule="exact"/>
              <w:ind w:left="114"/>
              <w:rPr>
                <w:sz w:val="18"/>
              </w:rPr>
            </w:pPr>
            <w:r>
              <w:rPr>
                <w:sz w:val="18"/>
              </w:rPr>
              <w:t>EDA refluxed N-CDs</w:t>
            </w:r>
          </w:p>
        </w:tc>
        <w:tc>
          <w:tcPr>
            <w:tcW w:w="1880" w:type="dxa"/>
            <w:tcBorders>
              <w:bottom w:val="single" w:sz="4" w:space="0" w:color="000000"/>
            </w:tcBorders>
          </w:tcPr>
          <w:p>
            <w:pPr>
              <w:pStyle w:val="TableParagraph"/>
              <w:spacing w:line="186" w:lineRule="exact"/>
              <w:ind w:left="912"/>
              <w:rPr>
                <w:sz w:val="18"/>
              </w:rPr>
            </w:pPr>
            <w:r>
              <w:rPr>
                <w:sz w:val="18"/>
              </w:rPr>
              <w:t>62.74</w:t>
            </w:r>
          </w:p>
        </w:tc>
        <w:tc>
          <w:tcPr>
            <w:tcW w:w="1486" w:type="dxa"/>
            <w:tcBorders>
              <w:bottom w:val="single" w:sz="4" w:space="0" w:color="000000"/>
            </w:tcBorders>
          </w:tcPr>
          <w:p>
            <w:pPr>
              <w:pStyle w:val="TableParagraph"/>
              <w:spacing w:line="186" w:lineRule="exact"/>
              <w:ind w:left="561"/>
              <w:rPr>
                <w:sz w:val="18"/>
              </w:rPr>
            </w:pPr>
            <w:r>
              <w:rPr>
                <w:sz w:val="18"/>
              </w:rPr>
              <w:t>15.19</w:t>
            </w:r>
          </w:p>
        </w:tc>
        <w:tc>
          <w:tcPr>
            <w:tcW w:w="1574" w:type="dxa"/>
            <w:tcBorders>
              <w:bottom w:val="single" w:sz="4" w:space="0" w:color="000000"/>
            </w:tcBorders>
          </w:tcPr>
          <w:p>
            <w:pPr>
              <w:pStyle w:val="TableParagraph"/>
              <w:spacing w:line="186" w:lineRule="exact"/>
              <w:ind w:left="588" w:right="541"/>
              <w:jc w:val="center"/>
              <w:rPr>
                <w:sz w:val="18"/>
              </w:rPr>
            </w:pPr>
            <w:r>
              <w:rPr>
                <w:sz w:val="18"/>
              </w:rPr>
              <w:t>15.56</w:t>
            </w:r>
          </w:p>
        </w:tc>
        <w:tc>
          <w:tcPr>
            <w:tcW w:w="1761" w:type="dxa"/>
            <w:tcBorders>
              <w:bottom w:val="single" w:sz="4" w:space="0" w:color="000000"/>
            </w:tcBorders>
          </w:tcPr>
          <w:p>
            <w:pPr>
              <w:pStyle w:val="TableParagraph"/>
              <w:spacing w:line="186" w:lineRule="exact"/>
              <w:ind w:left="562"/>
              <w:rPr>
                <w:sz w:val="18"/>
              </w:rPr>
            </w:pPr>
            <w:r>
              <w:rPr>
                <w:sz w:val="18"/>
              </w:rPr>
              <w:t>6.51</w:t>
            </w:r>
          </w:p>
        </w:tc>
      </w:tr>
    </w:tbl>
    <w:p>
      <w:pPr>
        <w:pStyle w:val="BodyText"/>
        <w:spacing w:before="2"/>
        <w:rPr>
          <w:b/>
          <w:sz w:val="19"/>
        </w:rPr>
      </w:pPr>
    </w:p>
    <w:p>
      <w:pPr>
        <w:pStyle w:val="BodyText"/>
        <w:ind w:left="404"/>
        <w:jc w:val="both"/>
      </w:pPr>
      <w:r>
        <w:rPr/>
        <w:t>To</w:t>
      </w:r>
      <w:r>
        <w:rPr>
          <w:spacing w:val="-9"/>
        </w:rPr>
        <w:t> </w:t>
      </w:r>
      <w:r>
        <w:rPr/>
        <w:t>confirm</w:t>
      </w:r>
      <w:r>
        <w:rPr>
          <w:spacing w:val="-8"/>
        </w:rPr>
        <w:t> </w:t>
      </w:r>
      <w:r>
        <w:rPr/>
        <w:t>the</w:t>
      </w:r>
      <w:r>
        <w:rPr>
          <w:spacing w:val="-13"/>
        </w:rPr>
        <w:t> </w:t>
      </w:r>
      <w:r>
        <w:rPr/>
        <w:t>amination</w:t>
      </w:r>
      <w:r>
        <w:rPr>
          <w:spacing w:val="-8"/>
        </w:rPr>
        <w:t> </w:t>
      </w:r>
      <w:r>
        <w:rPr/>
        <w:t>of</w:t>
      </w:r>
      <w:r>
        <w:rPr>
          <w:spacing w:val="-11"/>
        </w:rPr>
        <w:t> </w:t>
      </w:r>
      <w:r>
        <w:rPr/>
        <w:t>EDA-refluxed</w:t>
      </w:r>
      <w:r>
        <w:rPr>
          <w:spacing w:val="-9"/>
        </w:rPr>
        <w:t> </w:t>
      </w:r>
      <w:r>
        <w:rPr/>
        <w:t>substances</w:t>
      </w:r>
      <w:r>
        <w:rPr>
          <w:spacing w:val="-10"/>
        </w:rPr>
        <w:t> </w:t>
      </w:r>
      <w:r>
        <w:rPr/>
        <w:t>or</w:t>
      </w:r>
      <w:r>
        <w:rPr>
          <w:spacing w:val="-7"/>
        </w:rPr>
        <w:t> </w:t>
      </w:r>
      <w:r>
        <w:rPr/>
        <w:t>N-CDs,</w:t>
      </w:r>
      <w:r>
        <w:rPr>
          <w:spacing w:val="-7"/>
        </w:rPr>
        <w:t> </w:t>
      </w:r>
      <w:r>
        <w:rPr/>
        <w:t>XPS</w:t>
      </w:r>
      <w:r>
        <w:rPr>
          <w:spacing w:val="-8"/>
        </w:rPr>
        <w:t> </w:t>
      </w:r>
      <w:r>
        <w:rPr/>
        <w:t>spectra</w:t>
      </w:r>
      <w:r>
        <w:rPr>
          <w:spacing w:val="-9"/>
        </w:rPr>
        <w:t> </w:t>
      </w:r>
      <w:r>
        <w:rPr/>
        <w:t>were</w:t>
      </w:r>
      <w:r>
        <w:rPr>
          <w:spacing w:val="-9"/>
        </w:rPr>
        <w:t> </w:t>
      </w:r>
      <w:r>
        <w:rPr/>
        <w:t>conducted,</w:t>
      </w:r>
      <w:r>
        <w:rPr>
          <w:spacing w:val="-11"/>
        </w:rPr>
        <w:t> </w:t>
      </w:r>
      <w:r>
        <w:rPr/>
        <w:t>as</w:t>
      </w:r>
      <w:r>
        <w:rPr>
          <w:spacing w:val="-9"/>
        </w:rPr>
        <w:t> </w:t>
      </w:r>
      <w:r>
        <w:rPr/>
        <w:t>shown</w:t>
      </w:r>
      <w:r>
        <w:rPr>
          <w:spacing w:val="-9"/>
        </w:rPr>
        <w:t> </w:t>
      </w:r>
      <w:r>
        <w:rPr/>
        <w:t>in</w:t>
      </w:r>
      <w:r>
        <w:rPr>
          <w:spacing w:val="-8"/>
        </w:rPr>
        <w:t> </w:t>
      </w:r>
      <w:r>
        <w:rPr/>
        <w:t>Figure</w:t>
      </w:r>
    </w:p>
    <w:p>
      <w:pPr>
        <w:pStyle w:val="BodyText"/>
        <w:spacing w:before="3"/>
        <w:ind w:left="120" w:right="113"/>
        <w:jc w:val="both"/>
      </w:pPr>
      <w:r>
        <w:rPr/>
        <w:t>10. The wide and narrow scan analyses of the EDA-refluxed samples provided valuable insights. As shown in Table 3, the XPS analysis indicates the presence of C (62.74 at%), O (15.19 at%), N (15.56 at%), and Si (6.51 at%). The relatively</w:t>
      </w:r>
      <w:r>
        <w:rPr>
          <w:spacing w:val="-4"/>
        </w:rPr>
        <w:t> </w:t>
      </w:r>
      <w:r>
        <w:rPr/>
        <w:t>high</w:t>
      </w:r>
      <w:r>
        <w:rPr>
          <w:spacing w:val="-3"/>
        </w:rPr>
        <w:t> </w:t>
      </w:r>
      <w:r>
        <w:rPr/>
        <w:t>concentration</w:t>
      </w:r>
      <w:r>
        <w:rPr>
          <w:spacing w:val="-3"/>
        </w:rPr>
        <w:t> </w:t>
      </w:r>
      <w:r>
        <w:rPr/>
        <w:t>of</w:t>
      </w:r>
      <w:r>
        <w:rPr>
          <w:spacing w:val="-7"/>
        </w:rPr>
        <w:t> </w:t>
      </w:r>
      <w:r>
        <w:rPr/>
        <w:t>Si</w:t>
      </w:r>
      <w:r>
        <w:rPr>
          <w:spacing w:val="-3"/>
        </w:rPr>
        <w:t> </w:t>
      </w:r>
      <w:r>
        <w:rPr/>
        <w:t>can</w:t>
      </w:r>
      <w:r>
        <w:rPr>
          <w:spacing w:val="-3"/>
        </w:rPr>
        <w:t> </w:t>
      </w:r>
      <w:r>
        <w:rPr/>
        <w:t>be</w:t>
      </w:r>
      <w:r>
        <w:rPr>
          <w:spacing w:val="-4"/>
        </w:rPr>
        <w:t> </w:t>
      </w:r>
      <w:r>
        <w:rPr/>
        <w:t>attributed</w:t>
      </w:r>
      <w:r>
        <w:rPr>
          <w:spacing w:val="-4"/>
        </w:rPr>
        <w:t> </w:t>
      </w:r>
      <w:r>
        <w:rPr/>
        <w:t>to</w:t>
      </w:r>
      <w:r>
        <w:rPr>
          <w:spacing w:val="-3"/>
        </w:rPr>
        <w:t> </w:t>
      </w:r>
      <w:r>
        <w:rPr/>
        <w:t>contamination</w:t>
      </w:r>
      <w:r>
        <w:rPr>
          <w:spacing w:val="-3"/>
        </w:rPr>
        <w:t> </w:t>
      </w:r>
      <w:r>
        <w:rPr/>
        <w:t>from</w:t>
      </w:r>
      <w:r>
        <w:rPr>
          <w:spacing w:val="-4"/>
        </w:rPr>
        <w:t> </w:t>
      </w:r>
      <w:r>
        <w:rPr/>
        <w:t>the</w:t>
      </w:r>
      <w:r>
        <w:rPr>
          <w:spacing w:val="-4"/>
        </w:rPr>
        <w:t> </w:t>
      </w:r>
      <w:r>
        <w:rPr/>
        <w:t>glass</w:t>
      </w:r>
      <w:r>
        <w:rPr>
          <w:spacing w:val="-5"/>
        </w:rPr>
        <w:t> </w:t>
      </w:r>
      <w:r>
        <w:rPr/>
        <w:t>containers</w:t>
      </w:r>
      <w:r>
        <w:rPr>
          <w:spacing w:val="-5"/>
        </w:rPr>
        <w:t> </w:t>
      </w:r>
      <w:r>
        <w:rPr/>
        <w:t>utilized</w:t>
      </w:r>
      <w:r>
        <w:rPr>
          <w:spacing w:val="-4"/>
        </w:rPr>
        <w:t> </w:t>
      </w:r>
      <w:r>
        <w:rPr/>
        <w:t>during</w:t>
      </w:r>
      <w:r>
        <w:rPr>
          <w:spacing w:val="-3"/>
        </w:rPr>
        <w:t> </w:t>
      </w:r>
      <w:r>
        <w:rPr/>
        <w:t>sample preparation. Notably, the concentration ratio of N in the EDA-refluxed samples exhibits a significant increase compared</w:t>
      </w:r>
      <w:r>
        <w:rPr>
          <w:spacing w:val="-3"/>
        </w:rPr>
        <w:t> </w:t>
      </w:r>
      <w:r>
        <w:rPr/>
        <w:t>to</w:t>
      </w:r>
      <w:r>
        <w:rPr>
          <w:spacing w:val="-3"/>
        </w:rPr>
        <w:t> </w:t>
      </w:r>
      <w:r>
        <w:rPr/>
        <w:t>that</w:t>
      </w:r>
      <w:r>
        <w:rPr>
          <w:spacing w:val="-3"/>
        </w:rPr>
        <w:t> </w:t>
      </w:r>
      <w:r>
        <w:rPr/>
        <w:t>in</w:t>
      </w:r>
      <w:r>
        <w:rPr>
          <w:spacing w:val="-3"/>
        </w:rPr>
        <w:t> </w:t>
      </w:r>
      <w:r>
        <w:rPr/>
        <w:t>the</w:t>
      </w:r>
      <w:r>
        <w:rPr>
          <w:spacing w:val="-4"/>
        </w:rPr>
        <w:t> </w:t>
      </w:r>
      <w:r>
        <w:rPr/>
        <w:t>raw</w:t>
      </w:r>
      <w:r>
        <w:rPr>
          <w:spacing w:val="-4"/>
        </w:rPr>
        <w:t> </w:t>
      </w:r>
      <w:r>
        <w:rPr/>
        <w:t>brown</w:t>
      </w:r>
      <w:r>
        <w:rPr>
          <w:spacing w:val="-3"/>
        </w:rPr>
        <w:t> </w:t>
      </w:r>
      <w:r>
        <w:rPr/>
        <w:t>coal</w:t>
      </w:r>
      <w:r>
        <w:rPr>
          <w:spacing w:val="-3"/>
        </w:rPr>
        <w:t> </w:t>
      </w:r>
      <w:r>
        <w:rPr/>
        <w:t>and</w:t>
      </w:r>
      <w:r>
        <w:rPr>
          <w:spacing w:val="-3"/>
        </w:rPr>
        <w:t> </w:t>
      </w:r>
      <w:r>
        <w:rPr/>
        <w:t>ethanol-extracted</w:t>
      </w:r>
      <w:r>
        <w:rPr>
          <w:spacing w:val="-4"/>
        </w:rPr>
        <w:t> </w:t>
      </w:r>
      <w:r>
        <w:rPr/>
        <w:t>samples</w:t>
      </w:r>
      <w:r>
        <w:rPr>
          <w:spacing w:val="-5"/>
        </w:rPr>
        <w:t> </w:t>
      </w:r>
      <w:r>
        <w:rPr/>
        <w:t>(Table</w:t>
      </w:r>
      <w:r>
        <w:rPr>
          <w:spacing w:val="-4"/>
        </w:rPr>
        <w:t> </w:t>
      </w:r>
      <w:r>
        <w:rPr/>
        <w:t>3).</w:t>
      </w:r>
      <w:r>
        <w:rPr>
          <w:spacing w:val="-2"/>
        </w:rPr>
        <w:t> </w:t>
      </w:r>
      <w:r>
        <w:rPr/>
        <w:t>These</w:t>
      </w:r>
      <w:r>
        <w:rPr>
          <w:spacing w:val="-3"/>
        </w:rPr>
        <w:t> </w:t>
      </w:r>
      <w:r>
        <w:rPr/>
        <w:t>findings</w:t>
      </w:r>
      <w:r>
        <w:rPr>
          <w:spacing w:val="-5"/>
        </w:rPr>
        <w:t> </w:t>
      </w:r>
      <w:r>
        <w:rPr/>
        <w:t>affirm</w:t>
      </w:r>
      <w:r>
        <w:rPr>
          <w:spacing w:val="-3"/>
        </w:rPr>
        <w:t> </w:t>
      </w:r>
      <w:r>
        <w:rPr/>
        <w:t>the</w:t>
      </w:r>
      <w:r>
        <w:rPr>
          <w:spacing w:val="-4"/>
        </w:rPr>
        <w:t> </w:t>
      </w:r>
      <w:r>
        <w:rPr/>
        <w:t>successful amination of CDs in brown coal through refluxing with</w:t>
      </w:r>
      <w:r>
        <w:rPr>
          <w:spacing w:val="-8"/>
        </w:rPr>
        <w:t> </w:t>
      </w:r>
      <w:r>
        <w:rPr/>
        <w:t>EDA.</w:t>
      </w:r>
    </w:p>
    <w:p>
      <w:pPr>
        <w:pStyle w:val="BodyText"/>
        <w:ind w:left="120" w:right="112" w:firstLine="284"/>
        <w:jc w:val="both"/>
      </w:pPr>
      <w:r>
        <w:rPr/>
        <w:t>The C 1s XPS spectra consist of four components at 284.6, 285.6, 286.2, and 287.5 eV, corresponding to C-sp</w:t>
      </w:r>
      <w:r>
        <w:rPr>
          <w:position w:val="7"/>
          <w:sz w:val="13"/>
        </w:rPr>
        <w:t>2</w:t>
      </w:r>
      <w:r>
        <w:rPr/>
        <w:t>, C-N,</w:t>
      </w:r>
      <w:r>
        <w:rPr>
          <w:spacing w:val="-4"/>
        </w:rPr>
        <w:t> </w:t>
      </w:r>
      <w:r>
        <w:rPr/>
        <w:t>C-O,</w:t>
      </w:r>
      <w:r>
        <w:rPr>
          <w:spacing w:val="-4"/>
        </w:rPr>
        <w:t> </w:t>
      </w:r>
      <w:r>
        <w:rPr/>
        <w:t>and</w:t>
      </w:r>
      <w:r>
        <w:rPr>
          <w:spacing w:val="-4"/>
        </w:rPr>
        <w:t> </w:t>
      </w:r>
      <w:r>
        <w:rPr/>
        <w:t>C=O,</w:t>
      </w:r>
      <w:r>
        <w:rPr>
          <w:spacing w:val="-3"/>
        </w:rPr>
        <w:t> </w:t>
      </w:r>
      <w:r>
        <w:rPr/>
        <w:t>respectively</w:t>
      </w:r>
      <w:r>
        <w:rPr>
          <w:spacing w:val="-3"/>
        </w:rPr>
        <w:t> </w:t>
      </w:r>
      <w:r>
        <w:rPr/>
        <w:t>[38]</w:t>
      </w:r>
      <w:r>
        <w:rPr>
          <w:spacing w:val="-4"/>
        </w:rPr>
        <w:t> </w:t>
      </w:r>
      <w:r>
        <w:rPr/>
        <w:t>(Figure</w:t>
      </w:r>
      <w:r>
        <w:rPr>
          <w:spacing w:val="-5"/>
        </w:rPr>
        <w:t> </w:t>
      </w:r>
      <w:r>
        <w:rPr/>
        <w:t>10(b)).</w:t>
      </w:r>
      <w:r>
        <w:rPr>
          <w:spacing w:val="-6"/>
        </w:rPr>
        <w:t> </w:t>
      </w:r>
      <w:r>
        <w:rPr/>
        <w:t>Furthermore,</w:t>
      </w:r>
      <w:r>
        <w:rPr>
          <w:spacing w:val="-7"/>
        </w:rPr>
        <w:t> </w:t>
      </w:r>
      <w:r>
        <w:rPr/>
        <w:t>the</w:t>
      </w:r>
      <w:r>
        <w:rPr>
          <w:spacing w:val="-5"/>
        </w:rPr>
        <w:t> </w:t>
      </w:r>
      <w:r>
        <w:rPr/>
        <w:t>N</w:t>
      </w:r>
      <w:r>
        <w:rPr>
          <w:spacing w:val="-5"/>
        </w:rPr>
        <w:t> </w:t>
      </w:r>
      <w:r>
        <w:rPr/>
        <w:t>1s</w:t>
      </w:r>
      <w:r>
        <w:rPr>
          <w:spacing w:val="-7"/>
        </w:rPr>
        <w:t> </w:t>
      </w:r>
      <w:r>
        <w:rPr/>
        <w:t>XPS</w:t>
      </w:r>
      <w:r>
        <w:rPr>
          <w:spacing w:val="-7"/>
        </w:rPr>
        <w:t> </w:t>
      </w:r>
      <w:r>
        <w:rPr/>
        <w:t>spectra</w:t>
      </w:r>
      <w:r>
        <w:rPr>
          <w:spacing w:val="-6"/>
        </w:rPr>
        <w:t> </w:t>
      </w:r>
      <w:r>
        <w:rPr/>
        <w:t>exhibit</w:t>
      </w:r>
      <w:r>
        <w:rPr>
          <w:spacing w:val="-4"/>
        </w:rPr>
        <w:t> </w:t>
      </w:r>
      <w:r>
        <w:rPr/>
        <w:t>three</w:t>
      </w:r>
      <w:r>
        <w:rPr>
          <w:spacing w:val="-5"/>
        </w:rPr>
        <w:t> </w:t>
      </w:r>
      <w:r>
        <w:rPr/>
        <w:t>components</w:t>
      </w:r>
      <w:r>
        <w:rPr>
          <w:spacing w:val="-7"/>
        </w:rPr>
        <w:t> </w:t>
      </w:r>
      <w:r>
        <w:rPr/>
        <w:t>at 398.4, 399.2, and 400.9 eV, assigned to pyridinic-N, pyrrolic-N, and graphitic-N, respectively [39] (Figure 10(c)). The</w:t>
      </w:r>
      <w:r>
        <w:rPr>
          <w:spacing w:val="-1"/>
        </w:rPr>
        <w:t> </w:t>
      </w:r>
      <w:r>
        <w:rPr/>
        <w:t>O</w:t>
      </w:r>
      <w:r>
        <w:rPr>
          <w:spacing w:val="-4"/>
        </w:rPr>
        <w:t> </w:t>
      </w:r>
      <w:r>
        <w:rPr/>
        <w:t>1s</w:t>
      </w:r>
      <w:r>
        <w:rPr>
          <w:spacing w:val="-1"/>
        </w:rPr>
        <w:t> </w:t>
      </w:r>
      <w:r>
        <w:rPr/>
        <w:t>XPS</w:t>
      </w:r>
      <w:r>
        <w:rPr>
          <w:spacing w:val="-4"/>
        </w:rPr>
        <w:t> </w:t>
      </w:r>
      <w:r>
        <w:rPr/>
        <w:t>spectra</w:t>
      </w:r>
      <w:r>
        <w:rPr>
          <w:spacing w:val="-4"/>
        </w:rPr>
        <w:t> </w:t>
      </w:r>
      <w:r>
        <w:rPr/>
        <w:t>reveal</w:t>
      </w:r>
      <w:r>
        <w:rPr>
          <w:spacing w:val="1"/>
        </w:rPr>
        <w:t> </w:t>
      </w:r>
      <w:r>
        <w:rPr/>
        <w:t>three</w:t>
      </w:r>
      <w:r>
        <w:rPr>
          <w:spacing w:val="-4"/>
        </w:rPr>
        <w:t> </w:t>
      </w:r>
      <w:r>
        <w:rPr/>
        <w:t>components</w:t>
      </w:r>
      <w:r>
        <w:rPr>
          <w:spacing w:val="-2"/>
        </w:rPr>
        <w:t> </w:t>
      </w:r>
      <w:r>
        <w:rPr/>
        <w:t>at</w:t>
      </w:r>
      <w:r>
        <w:rPr>
          <w:spacing w:val="-7"/>
        </w:rPr>
        <w:t> </w:t>
      </w:r>
      <w:r>
        <w:rPr/>
        <w:t>531.6 and</w:t>
      </w:r>
      <w:r>
        <w:rPr>
          <w:spacing w:val="-4"/>
        </w:rPr>
        <w:t> </w:t>
      </w:r>
      <w:r>
        <w:rPr/>
        <w:t>532.2</w:t>
      </w:r>
      <w:r>
        <w:rPr>
          <w:spacing w:val="-5"/>
        </w:rPr>
        <w:t> </w:t>
      </w:r>
      <w:r>
        <w:rPr/>
        <w:t>eV,</w:t>
      </w:r>
      <w:r>
        <w:rPr>
          <w:spacing w:val="-2"/>
        </w:rPr>
        <w:t> </w:t>
      </w:r>
      <w:r>
        <w:rPr/>
        <w:t>attributed to</w:t>
      </w:r>
      <w:r>
        <w:rPr>
          <w:spacing w:val="-3"/>
        </w:rPr>
        <w:t> </w:t>
      </w:r>
      <w:r>
        <w:rPr/>
        <w:t>C=O</w:t>
      </w:r>
      <w:r>
        <w:rPr>
          <w:spacing w:val="-1"/>
        </w:rPr>
        <w:t> </w:t>
      </w:r>
      <w:r>
        <w:rPr/>
        <w:t>and</w:t>
      </w:r>
      <w:r>
        <w:rPr>
          <w:spacing w:val="-4"/>
        </w:rPr>
        <w:t> </w:t>
      </w:r>
      <w:r>
        <w:rPr/>
        <w:t>C-O/</w:t>
      </w:r>
      <w:r>
        <w:rPr>
          <w:spacing w:val="1"/>
        </w:rPr>
        <w:t> </w:t>
      </w:r>
      <w:r>
        <w:rPr/>
        <w:t>SiO</w:t>
      </w:r>
      <w:r>
        <w:rPr>
          <w:vertAlign w:val="subscript"/>
        </w:rPr>
        <w:t>2</w:t>
      </w:r>
      <w:r>
        <w:rPr>
          <w:vertAlign w:val="baseline"/>
        </w:rPr>
        <w:t>,</w:t>
      </w:r>
      <w:r>
        <w:rPr>
          <w:spacing w:val="-3"/>
          <w:vertAlign w:val="baseline"/>
        </w:rPr>
        <w:t> </w:t>
      </w:r>
      <w:r>
        <w:rPr>
          <w:vertAlign w:val="baseline"/>
        </w:rPr>
        <w:t>respectively [34, 38] (Figure</w:t>
      </w:r>
      <w:r>
        <w:rPr>
          <w:spacing w:val="-1"/>
          <w:vertAlign w:val="baseline"/>
        </w:rPr>
        <w:t> </w:t>
      </w:r>
      <w:r>
        <w:rPr>
          <w:vertAlign w:val="baseline"/>
        </w:rPr>
        <w:t>10(d)).</w:t>
      </w:r>
    </w:p>
    <w:p>
      <w:pPr>
        <w:spacing w:after="0"/>
        <w:jc w:val="both"/>
        <w:sectPr>
          <w:pgSz w:w="12240" w:h="15840"/>
          <w:pgMar w:top="1440" w:bottom="280" w:left="1320" w:right="1320"/>
        </w:sectPr>
      </w:pPr>
    </w:p>
    <w:p>
      <w:pPr>
        <w:pStyle w:val="BodyText"/>
        <w:ind w:left="2760"/>
      </w:pPr>
      <w:r>
        <w:rPr/>
        <w:drawing>
          <wp:inline distT="0" distB="0" distL="0" distR="0">
            <wp:extent cx="2798200" cy="2263140"/>
            <wp:effectExtent l="0" t="0" r="0" b="0"/>
            <wp:docPr id="21" name="image11.jpeg"/>
            <wp:cNvGraphicFramePr>
              <a:graphicFrameLocks noChangeAspect="1"/>
            </wp:cNvGraphicFramePr>
            <a:graphic>
              <a:graphicData uri="http://schemas.openxmlformats.org/drawingml/2006/picture">
                <pic:pic>
                  <pic:nvPicPr>
                    <pic:cNvPr id="22" name="image11.jpeg"/>
                    <pic:cNvPicPr/>
                  </pic:nvPicPr>
                  <pic:blipFill>
                    <a:blip r:embed="rId17" cstate="print"/>
                    <a:stretch>
                      <a:fillRect/>
                    </a:stretch>
                  </pic:blipFill>
                  <pic:spPr>
                    <a:xfrm>
                      <a:off x="0" y="0"/>
                      <a:ext cx="2798200" cy="2263140"/>
                    </a:xfrm>
                    <a:prstGeom prst="rect">
                      <a:avLst/>
                    </a:prstGeom>
                  </pic:spPr>
                </pic:pic>
              </a:graphicData>
            </a:graphic>
          </wp:inline>
        </w:drawing>
      </w:r>
      <w:r>
        <w:rPr/>
      </w:r>
    </w:p>
    <w:p>
      <w:pPr>
        <w:spacing w:before="5"/>
        <w:ind w:left="1936" w:right="1647" w:firstLine="0"/>
        <w:jc w:val="center"/>
        <w:rPr>
          <w:sz w:val="18"/>
        </w:rPr>
      </w:pPr>
      <w:r>
        <w:rPr>
          <w:b/>
          <w:sz w:val="18"/>
        </w:rPr>
        <w:t>FIGURE 11. </w:t>
      </w:r>
      <w:r>
        <w:rPr>
          <w:sz w:val="18"/>
        </w:rPr>
        <w:t>FT-IR spectrum of EDA-refluxed sample.</w:t>
      </w:r>
    </w:p>
    <w:p>
      <w:pPr>
        <w:pStyle w:val="BodyText"/>
        <w:spacing w:before="9"/>
        <w:rPr>
          <w:sz w:val="14"/>
        </w:rPr>
      </w:pPr>
      <w:r>
        <w:rPr/>
        <w:drawing>
          <wp:anchor distT="0" distB="0" distL="0" distR="0" allowOverlap="1" layoutInCell="1" locked="0" behindDoc="0" simplePos="0" relativeHeight="7">
            <wp:simplePos x="0" y="0"/>
            <wp:positionH relativeFrom="page">
              <wp:posOffset>1079008</wp:posOffset>
            </wp:positionH>
            <wp:positionV relativeFrom="paragraph">
              <wp:posOffset>132726</wp:posOffset>
            </wp:positionV>
            <wp:extent cx="5681133" cy="2178939"/>
            <wp:effectExtent l="0" t="0" r="0" b="0"/>
            <wp:wrapTopAndBottom/>
            <wp:docPr id="23" name="image12.jpeg"/>
            <wp:cNvGraphicFramePr>
              <a:graphicFrameLocks noChangeAspect="1"/>
            </wp:cNvGraphicFramePr>
            <a:graphic>
              <a:graphicData uri="http://schemas.openxmlformats.org/drawingml/2006/picture">
                <pic:pic>
                  <pic:nvPicPr>
                    <pic:cNvPr id="24" name="image12.jpeg"/>
                    <pic:cNvPicPr/>
                  </pic:nvPicPr>
                  <pic:blipFill>
                    <a:blip r:embed="rId18" cstate="print"/>
                    <a:stretch>
                      <a:fillRect/>
                    </a:stretch>
                  </pic:blipFill>
                  <pic:spPr>
                    <a:xfrm>
                      <a:off x="0" y="0"/>
                      <a:ext cx="5681133" cy="2178939"/>
                    </a:xfrm>
                    <a:prstGeom prst="rect">
                      <a:avLst/>
                    </a:prstGeom>
                  </pic:spPr>
                </pic:pic>
              </a:graphicData>
            </a:graphic>
          </wp:anchor>
        </w:drawing>
      </w:r>
    </w:p>
    <w:p>
      <w:pPr>
        <w:spacing w:before="20"/>
        <w:ind w:left="2517" w:right="266" w:hanging="1957"/>
        <w:jc w:val="left"/>
        <w:rPr>
          <w:sz w:val="18"/>
        </w:rPr>
      </w:pPr>
      <w:r>
        <w:rPr>
          <w:b/>
          <w:sz w:val="18"/>
        </w:rPr>
        <w:t>FIGURE 12. </w:t>
      </w:r>
      <w:r>
        <w:rPr>
          <w:sz w:val="18"/>
        </w:rPr>
        <w:t>(a) UV-vis spectrum of EDA-refluxed solution containing N-CDs. (b) PL spectra of EDA-refluxed solution containing N-CDs, taken with different excitation wavelengths.</w:t>
      </w:r>
    </w:p>
    <w:p>
      <w:pPr>
        <w:pStyle w:val="BodyText"/>
        <w:spacing w:before="9"/>
        <w:rPr>
          <w:sz w:val="17"/>
        </w:rPr>
      </w:pPr>
    </w:p>
    <w:p>
      <w:pPr>
        <w:pStyle w:val="BodyText"/>
        <w:ind w:left="120" w:right="109" w:firstLine="284"/>
        <w:jc w:val="both"/>
      </w:pPr>
      <w:r>
        <w:rPr/>
        <w:t>Furthermore, FT-IR spectra were employed to analyse the composition of the EDA-refluxed sample. Figure 11 shows the obtained FT-IR spectrum, which indicates distinct peaks at 1106, 1333, 1647, 2854, 2922, and 3235 cm</w:t>
      </w:r>
      <w:r>
        <w:rPr>
          <w:position w:val="7"/>
          <w:sz w:val="13"/>
        </w:rPr>
        <w:t>-1</w:t>
      </w:r>
      <w:r>
        <w:rPr/>
        <w:t>, corresponding to C-O-C, C-N, C=C/ C=O, CH</w:t>
      </w:r>
      <w:r>
        <w:rPr>
          <w:vertAlign w:val="subscript"/>
        </w:rPr>
        <w:t>2</w:t>
      </w:r>
      <w:r>
        <w:rPr>
          <w:vertAlign w:val="baseline"/>
        </w:rPr>
        <w:t>, CH</w:t>
      </w:r>
      <w:r>
        <w:rPr>
          <w:vertAlign w:val="subscript"/>
        </w:rPr>
        <w:t>3</w:t>
      </w:r>
      <w:r>
        <w:rPr>
          <w:vertAlign w:val="baseline"/>
        </w:rPr>
        <w:t>, and O-H, respectively [40, 41]. These findings align with the results obtained from XPS analysis. Combining the information from XPS and FT-IR analyses, it can be concluded that the amination of CDs in brown coal occurs successfully through refluxing with EDA.</w:t>
      </w:r>
    </w:p>
    <w:p>
      <w:pPr>
        <w:pStyle w:val="BodyText"/>
        <w:ind w:left="120" w:right="112" w:firstLine="284"/>
        <w:jc w:val="both"/>
      </w:pPr>
      <w:r>
        <w:rPr/>
        <w:t>The UV−vis absorption spectrum of the EDA-refluxed solution containing N-CDs is shown in Figure 12(a). The observed spectrum shares similarities with those of previously reported fluorescent CDs [42, 43]. A prominent absorption peak is observed at 280 nm, which corresponds to the π−π transition of the aromatic carbon structure. Additionally, a shoulder peak is observed around 335 nm, indicating the presence of functional groups with lone pair electrons, including amino-based chromophores. It should be noted that derivatives of the aforementioned structure, connected to various chemical groups such as hydroxyl and amine, can contribute to alterations in the absorption features.</w:t>
      </w:r>
    </w:p>
    <w:p>
      <w:pPr>
        <w:pStyle w:val="BodyText"/>
        <w:ind w:left="120" w:right="110" w:firstLine="284"/>
        <w:jc w:val="both"/>
      </w:pPr>
      <w:r>
        <w:rPr/>
        <w:t>Figure 12(b) shows the PL spectra of the EDA-refluxed solution containing N-CDs at various excitation wavelengths ranging from 240 to 440 nm. The PL spectra exhibit maximum intensity at an excitation wavelength of 240</w:t>
      </w:r>
      <w:r>
        <w:rPr>
          <w:spacing w:val="-4"/>
        </w:rPr>
        <w:t> </w:t>
      </w:r>
      <w:r>
        <w:rPr/>
        <w:t>nm,</w:t>
      </w:r>
      <w:r>
        <w:rPr>
          <w:spacing w:val="-6"/>
        </w:rPr>
        <w:t> </w:t>
      </w:r>
      <w:r>
        <w:rPr/>
        <w:t>with</w:t>
      </w:r>
      <w:r>
        <w:rPr>
          <w:spacing w:val="-7"/>
        </w:rPr>
        <w:t> </w:t>
      </w:r>
      <w:r>
        <w:rPr/>
        <w:t>a</w:t>
      </w:r>
      <w:r>
        <w:rPr>
          <w:spacing w:val="-5"/>
        </w:rPr>
        <w:t> </w:t>
      </w:r>
      <w:r>
        <w:rPr/>
        <w:t>corresponding</w:t>
      </w:r>
      <w:r>
        <w:rPr>
          <w:spacing w:val="-8"/>
        </w:rPr>
        <w:t> </w:t>
      </w:r>
      <w:r>
        <w:rPr/>
        <w:t>FWHM</w:t>
      </w:r>
      <w:r>
        <w:rPr>
          <w:spacing w:val="-6"/>
        </w:rPr>
        <w:t> </w:t>
      </w:r>
      <w:r>
        <w:rPr/>
        <w:t>of</w:t>
      </w:r>
      <w:r>
        <w:rPr>
          <w:spacing w:val="-7"/>
        </w:rPr>
        <w:t> </w:t>
      </w:r>
      <w:r>
        <w:rPr/>
        <w:t>93</w:t>
      </w:r>
      <w:r>
        <w:rPr>
          <w:spacing w:val="-4"/>
        </w:rPr>
        <w:t> </w:t>
      </w:r>
      <w:r>
        <w:rPr/>
        <w:t>nm</w:t>
      </w:r>
      <w:r>
        <w:rPr>
          <w:spacing w:val="-7"/>
        </w:rPr>
        <w:t> </w:t>
      </w:r>
      <w:r>
        <w:rPr/>
        <w:t>and</w:t>
      </w:r>
      <w:r>
        <w:rPr>
          <w:spacing w:val="-4"/>
        </w:rPr>
        <w:t> </w:t>
      </w:r>
      <w:r>
        <w:rPr/>
        <w:t>a</w:t>
      </w:r>
      <w:r>
        <w:rPr>
          <w:spacing w:val="-4"/>
        </w:rPr>
        <w:t> </w:t>
      </w:r>
      <w:r>
        <w:rPr/>
        <w:t>peak</w:t>
      </w:r>
      <w:r>
        <w:rPr>
          <w:spacing w:val="-2"/>
        </w:rPr>
        <w:t> </w:t>
      </w:r>
      <w:r>
        <w:rPr/>
        <w:t>emission</w:t>
      </w:r>
      <w:r>
        <w:rPr>
          <w:spacing w:val="-4"/>
        </w:rPr>
        <w:t> </w:t>
      </w:r>
      <w:r>
        <w:rPr/>
        <w:t>wavelength</w:t>
      </w:r>
      <w:r>
        <w:rPr>
          <w:spacing w:val="-4"/>
        </w:rPr>
        <w:t> </w:t>
      </w:r>
      <w:r>
        <w:rPr/>
        <w:t>of</w:t>
      </w:r>
      <w:r>
        <w:rPr>
          <w:spacing w:val="-2"/>
        </w:rPr>
        <w:t> </w:t>
      </w:r>
      <w:r>
        <w:rPr/>
        <w:t>416</w:t>
      </w:r>
      <w:r>
        <w:rPr>
          <w:spacing w:val="-8"/>
        </w:rPr>
        <w:t> </w:t>
      </w:r>
      <w:r>
        <w:rPr/>
        <w:t>nm.</w:t>
      </w:r>
      <w:r>
        <w:rPr>
          <w:spacing w:val="-6"/>
        </w:rPr>
        <w:t> </w:t>
      </w:r>
      <w:r>
        <w:rPr/>
        <w:t>Notably,</w:t>
      </w:r>
      <w:r>
        <w:rPr>
          <w:spacing w:val="-9"/>
        </w:rPr>
        <w:t> </w:t>
      </w:r>
      <w:r>
        <w:rPr/>
        <w:t>the</w:t>
      </w:r>
      <w:r>
        <w:rPr>
          <w:spacing w:val="-5"/>
        </w:rPr>
        <w:t> </w:t>
      </w:r>
      <w:r>
        <w:rPr/>
        <w:t>FWHM</w:t>
      </w:r>
      <w:r>
        <w:rPr>
          <w:spacing w:val="-6"/>
        </w:rPr>
        <w:t> </w:t>
      </w:r>
      <w:r>
        <w:rPr/>
        <w:t>and peak emission wavelength of the PL spectrum are narrower and shorter, respectively, compared to the ethanol- extracted samples. This indicates that the EDA-refluxed solution with N-CDs exhibits more monochromatic fluorescence with a shorter wavelength compared to the ethanol-extracted solution containing </w:t>
      </w:r>
      <w:r>
        <w:rPr>
          <w:spacing w:val="-3"/>
        </w:rPr>
        <w:t>CDs </w:t>
      </w:r>
      <w:r>
        <w:rPr/>
        <w:t>derived from brown coal. Furthermore, the QY value was measured to be 3.8%, even with the excitation wavelength of 360 </w:t>
      </w:r>
      <w:r>
        <w:rPr>
          <w:spacing w:val="2"/>
        </w:rPr>
        <w:t>nm, </w:t>
      </w:r>
      <w:r>
        <w:rPr/>
        <w:t>which is higher than the 2.4% obtained for the ethanol-extracted solution. The QY value might become higher</w:t>
      </w:r>
      <w:r>
        <w:rPr>
          <w:spacing w:val="39"/>
        </w:rPr>
        <w:t> </w:t>
      </w:r>
      <w:r>
        <w:rPr/>
        <w:t>when</w:t>
      </w:r>
    </w:p>
    <w:p>
      <w:pPr>
        <w:spacing w:after="0"/>
        <w:jc w:val="both"/>
        <w:sectPr>
          <w:pgSz w:w="12240" w:h="15840"/>
          <w:pgMar w:top="1440" w:bottom="280" w:left="1320" w:right="1320"/>
        </w:sectPr>
      </w:pPr>
    </w:p>
    <w:p>
      <w:pPr>
        <w:pStyle w:val="BodyText"/>
        <w:spacing w:before="77"/>
        <w:ind w:left="120" w:right="115"/>
        <w:jc w:val="both"/>
      </w:pPr>
      <w:r>
        <w:rPr/>
        <w:t>measured with 240 nm excitation wavelength which led to the maximum PL intensity. The enhanced fluorescent properties of CDs through amination have been previously reported in various cases [44, 45], and a similar effect is expected to occur for CDs derived from brown coal.</w:t>
      </w:r>
    </w:p>
    <w:p>
      <w:pPr>
        <w:pStyle w:val="BodyText"/>
        <w:spacing w:before="9"/>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77"/>
        <w:gridCol w:w="1404"/>
        <w:gridCol w:w="1219"/>
        <w:gridCol w:w="1306"/>
        <w:gridCol w:w="1538"/>
        <w:gridCol w:w="1756"/>
        <w:gridCol w:w="809"/>
        <w:gridCol w:w="641"/>
      </w:tblGrid>
      <w:tr>
        <w:trPr>
          <w:trHeight w:val="305" w:hRule="atLeast"/>
        </w:trPr>
        <w:tc>
          <w:tcPr>
            <w:tcW w:w="9250" w:type="dxa"/>
            <w:gridSpan w:val="8"/>
          </w:tcPr>
          <w:p>
            <w:pPr>
              <w:pStyle w:val="TableParagraph"/>
              <w:tabs>
                <w:tab w:pos="980" w:val="left" w:leader="none"/>
                <w:tab w:pos="9246" w:val="left" w:leader="none"/>
              </w:tabs>
              <w:spacing w:line="221" w:lineRule="exact"/>
              <w:rPr>
                <w:b/>
                <w:sz w:val="20"/>
              </w:rPr>
            </w:pPr>
            <w:r>
              <w:rPr>
                <w:b/>
                <w:sz w:val="20"/>
                <w:u w:val="single"/>
              </w:rPr>
              <w:t> </w:t>
              <w:tab/>
              <w:t>TABLE 4. Comparison of preparation methods and PL properties of coal-based</w:t>
            </w:r>
            <w:r>
              <w:rPr>
                <w:b/>
                <w:spacing w:val="-18"/>
                <w:sz w:val="20"/>
                <w:u w:val="single"/>
              </w:rPr>
              <w:t> </w:t>
            </w:r>
            <w:r>
              <w:rPr>
                <w:b/>
                <w:sz w:val="20"/>
                <w:u w:val="single"/>
              </w:rPr>
              <w:t>CDs.</w:t>
              <w:tab/>
            </w:r>
          </w:p>
        </w:tc>
      </w:tr>
      <w:tr>
        <w:trPr>
          <w:trHeight w:val="267" w:hRule="atLeast"/>
        </w:trPr>
        <w:tc>
          <w:tcPr>
            <w:tcW w:w="1981" w:type="dxa"/>
            <w:gridSpan w:val="2"/>
            <w:tcBorders>
              <w:bottom w:val="single" w:sz="4" w:space="0" w:color="000000"/>
            </w:tcBorders>
          </w:tcPr>
          <w:p>
            <w:pPr>
              <w:pStyle w:val="TableParagraph"/>
              <w:spacing w:line="199" w:lineRule="exact"/>
              <w:ind w:left="684"/>
              <w:rPr>
                <w:sz w:val="18"/>
              </w:rPr>
            </w:pPr>
            <w:r>
              <w:rPr>
                <w:sz w:val="18"/>
              </w:rPr>
              <w:t>Coal Type</w:t>
            </w:r>
          </w:p>
        </w:tc>
        <w:tc>
          <w:tcPr>
            <w:tcW w:w="1219" w:type="dxa"/>
            <w:tcBorders>
              <w:bottom w:val="single" w:sz="4" w:space="0" w:color="000000"/>
            </w:tcBorders>
          </w:tcPr>
          <w:p>
            <w:pPr>
              <w:pStyle w:val="TableParagraph"/>
              <w:spacing w:line="199" w:lineRule="exact"/>
              <w:ind w:left="111"/>
              <w:rPr>
                <w:sz w:val="18"/>
              </w:rPr>
            </w:pPr>
            <w:r>
              <w:rPr>
                <w:sz w:val="18"/>
              </w:rPr>
              <w:t>Solvent</w:t>
            </w:r>
          </w:p>
        </w:tc>
        <w:tc>
          <w:tcPr>
            <w:tcW w:w="1306" w:type="dxa"/>
            <w:tcBorders>
              <w:bottom w:val="single" w:sz="4" w:space="0" w:color="000000"/>
            </w:tcBorders>
          </w:tcPr>
          <w:p>
            <w:pPr>
              <w:pStyle w:val="TableParagraph"/>
              <w:spacing w:line="199" w:lineRule="exact"/>
              <w:ind w:left="341"/>
              <w:rPr>
                <w:sz w:val="18"/>
              </w:rPr>
            </w:pPr>
            <w:r>
              <w:rPr>
                <w:sz w:val="18"/>
              </w:rPr>
              <w:t>Method</w:t>
            </w:r>
          </w:p>
        </w:tc>
        <w:tc>
          <w:tcPr>
            <w:tcW w:w="1538" w:type="dxa"/>
            <w:tcBorders>
              <w:bottom w:val="single" w:sz="4" w:space="0" w:color="000000"/>
            </w:tcBorders>
          </w:tcPr>
          <w:p>
            <w:pPr>
              <w:pStyle w:val="TableParagraph"/>
              <w:spacing w:line="199" w:lineRule="exact"/>
              <w:ind w:left="139"/>
              <w:rPr>
                <w:sz w:val="18"/>
              </w:rPr>
            </w:pPr>
            <w:r>
              <w:rPr>
                <w:sz w:val="18"/>
              </w:rPr>
              <w:t>Condition/ Time</w:t>
            </w:r>
          </w:p>
        </w:tc>
        <w:tc>
          <w:tcPr>
            <w:tcW w:w="1756" w:type="dxa"/>
            <w:tcBorders>
              <w:bottom w:val="single" w:sz="4" w:space="0" w:color="000000"/>
            </w:tcBorders>
          </w:tcPr>
          <w:p>
            <w:pPr>
              <w:pStyle w:val="TableParagraph"/>
              <w:spacing w:line="199" w:lineRule="exact"/>
              <w:ind w:left="162"/>
              <w:rPr>
                <w:sz w:val="18"/>
              </w:rPr>
            </w:pPr>
            <w:r>
              <w:rPr>
                <w:sz w:val="18"/>
              </w:rPr>
              <w:t>PL wavelength (nm)</w:t>
            </w:r>
          </w:p>
        </w:tc>
        <w:tc>
          <w:tcPr>
            <w:tcW w:w="809" w:type="dxa"/>
            <w:tcBorders>
              <w:bottom w:val="single" w:sz="4" w:space="0" w:color="000000"/>
            </w:tcBorders>
          </w:tcPr>
          <w:p>
            <w:pPr>
              <w:pStyle w:val="TableParagraph"/>
              <w:spacing w:line="199" w:lineRule="exact"/>
              <w:ind w:left="106"/>
              <w:rPr>
                <w:sz w:val="18"/>
              </w:rPr>
            </w:pPr>
            <w:r>
              <w:rPr>
                <w:sz w:val="18"/>
              </w:rPr>
              <w:t>QY (%)</w:t>
            </w:r>
          </w:p>
        </w:tc>
        <w:tc>
          <w:tcPr>
            <w:tcW w:w="641" w:type="dxa"/>
            <w:tcBorders>
              <w:bottom w:val="single" w:sz="4" w:space="0" w:color="000000"/>
            </w:tcBorders>
          </w:tcPr>
          <w:p>
            <w:pPr>
              <w:pStyle w:val="TableParagraph"/>
              <w:spacing w:line="199" w:lineRule="exact"/>
              <w:ind w:left="117"/>
              <w:rPr>
                <w:sz w:val="18"/>
              </w:rPr>
            </w:pPr>
            <w:r>
              <w:rPr>
                <w:sz w:val="18"/>
              </w:rPr>
              <w:t>Ref</w:t>
            </w:r>
          </w:p>
        </w:tc>
      </w:tr>
      <w:tr>
        <w:trPr>
          <w:trHeight w:val="214" w:hRule="atLeast"/>
        </w:trPr>
        <w:tc>
          <w:tcPr>
            <w:tcW w:w="9250" w:type="dxa"/>
            <w:gridSpan w:val="8"/>
          </w:tcPr>
          <w:p>
            <w:pPr>
              <w:pStyle w:val="TableParagraph"/>
              <w:tabs>
                <w:tab w:pos="684" w:val="left" w:leader="none"/>
                <w:tab w:pos="2092" w:val="left" w:leader="none"/>
                <w:tab w:pos="3541" w:val="left" w:leader="none"/>
                <w:tab w:pos="4645" w:val="left" w:leader="none"/>
                <w:tab w:pos="6206" w:val="left" w:leader="none"/>
                <w:tab w:pos="7906" w:val="left" w:leader="none"/>
                <w:tab w:pos="8910" w:val="right" w:leader="none"/>
              </w:tabs>
              <w:spacing w:line="192" w:lineRule="exact" w:before="3"/>
              <w:ind w:left="107"/>
              <w:rPr>
                <w:sz w:val="18"/>
              </w:rPr>
            </w:pPr>
            <w:r>
              <w:rPr>
                <w:sz w:val="18"/>
              </w:rPr>
              <w:t>2013</w:t>
              <w:tab/>
              <w:t>Anthracite</w:t>
              <w:tab/>
            </w:r>
            <w:r>
              <w:rPr>
                <w:position w:val="10"/>
                <w:sz w:val="18"/>
              </w:rPr>
              <w:t>Sulfuric</w:t>
            </w:r>
            <w:r>
              <w:rPr>
                <w:spacing w:val="-2"/>
                <w:position w:val="10"/>
                <w:sz w:val="18"/>
              </w:rPr>
              <w:t> </w:t>
            </w:r>
            <w:r>
              <w:rPr>
                <w:position w:val="10"/>
                <w:sz w:val="18"/>
              </w:rPr>
              <w:t>acid</w:t>
            </w:r>
            <w:r>
              <w:rPr>
                <w:spacing w:val="-1"/>
                <w:position w:val="10"/>
                <w:sz w:val="18"/>
              </w:rPr>
              <w:t> </w:t>
            </w:r>
            <w:r>
              <w:rPr>
                <w:position w:val="10"/>
                <w:sz w:val="18"/>
              </w:rPr>
              <w:t>and</w:t>
              <w:tab/>
            </w:r>
            <w:r>
              <w:rPr>
                <w:sz w:val="18"/>
              </w:rPr>
              <w:t>Stir</w:t>
              <w:tab/>
              <w:t>100℃,</w:t>
            </w:r>
            <w:r>
              <w:rPr>
                <w:spacing w:val="-4"/>
                <w:sz w:val="18"/>
              </w:rPr>
              <w:t> </w:t>
            </w:r>
            <w:r>
              <w:rPr>
                <w:sz w:val="18"/>
              </w:rPr>
              <w:t>24 hours</w:t>
              <w:tab/>
              <w:t>530</w:t>
            </w:r>
            <w:r>
              <w:rPr>
                <w:spacing w:val="-1"/>
                <w:sz w:val="18"/>
              </w:rPr>
              <w:t> </w:t>
            </w:r>
            <w:r>
              <w:rPr>
                <w:sz w:val="18"/>
              </w:rPr>
              <w:t>(λex 345)</w:t>
              <w:tab/>
              <w:t>-</w:t>
              <w:tab/>
              <w:t>46</w:t>
            </w:r>
          </w:p>
        </w:tc>
      </w:tr>
      <w:tr>
        <w:trPr>
          <w:trHeight w:val="235" w:hRule="atLeast"/>
        </w:trPr>
        <w:tc>
          <w:tcPr>
            <w:tcW w:w="577" w:type="dxa"/>
          </w:tcPr>
          <w:p>
            <w:pPr>
              <w:pStyle w:val="TableParagraph"/>
              <w:rPr>
                <w:sz w:val="16"/>
              </w:rPr>
            </w:pPr>
          </w:p>
        </w:tc>
        <w:tc>
          <w:tcPr>
            <w:tcW w:w="1404" w:type="dxa"/>
          </w:tcPr>
          <w:p>
            <w:pPr>
              <w:pStyle w:val="TableParagraph"/>
              <w:rPr>
                <w:sz w:val="16"/>
              </w:rPr>
            </w:pPr>
          </w:p>
        </w:tc>
        <w:tc>
          <w:tcPr>
            <w:tcW w:w="1219" w:type="dxa"/>
          </w:tcPr>
          <w:p>
            <w:pPr>
              <w:pStyle w:val="TableParagraph"/>
              <w:spacing w:line="199" w:lineRule="exact"/>
              <w:ind w:left="111"/>
              <w:rPr>
                <w:sz w:val="18"/>
              </w:rPr>
            </w:pPr>
            <w:r>
              <w:rPr>
                <w:sz w:val="18"/>
              </w:rPr>
              <w:t>Nitric acid</w:t>
            </w:r>
          </w:p>
        </w:tc>
        <w:tc>
          <w:tcPr>
            <w:tcW w:w="1306" w:type="dxa"/>
          </w:tcPr>
          <w:p>
            <w:pPr>
              <w:pStyle w:val="TableParagraph"/>
              <w:rPr>
                <w:sz w:val="16"/>
              </w:rPr>
            </w:pPr>
          </w:p>
        </w:tc>
        <w:tc>
          <w:tcPr>
            <w:tcW w:w="1538" w:type="dxa"/>
          </w:tcPr>
          <w:p>
            <w:pPr>
              <w:pStyle w:val="TableParagraph"/>
              <w:rPr>
                <w:sz w:val="16"/>
              </w:rPr>
            </w:pPr>
          </w:p>
        </w:tc>
        <w:tc>
          <w:tcPr>
            <w:tcW w:w="1756" w:type="dxa"/>
          </w:tcPr>
          <w:p>
            <w:pPr>
              <w:pStyle w:val="TableParagraph"/>
              <w:rPr>
                <w:sz w:val="16"/>
              </w:rPr>
            </w:pPr>
          </w:p>
        </w:tc>
        <w:tc>
          <w:tcPr>
            <w:tcW w:w="809" w:type="dxa"/>
          </w:tcPr>
          <w:p>
            <w:pPr>
              <w:pStyle w:val="TableParagraph"/>
              <w:rPr>
                <w:sz w:val="16"/>
              </w:rPr>
            </w:pPr>
          </w:p>
        </w:tc>
        <w:tc>
          <w:tcPr>
            <w:tcW w:w="641" w:type="dxa"/>
          </w:tcPr>
          <w:p>
            <w:pPr>
              <w:pStyle w:val="TableParagraph"/>
              <w:rPr>
                <w:sz w:val="16"/>
              </w:rPr>
            </w:pPr>
          </w:p>
        </w:tc>
      </w:tr>
      <w:tr>
        <w:trPr>
          <w:trHeight w:val="306" w:hRule="atLeast"/>
        </w:trPr>
        <w:tc>
          <w:tcPr>
            <w:tcW w:w="577" w:type="dxa"/>
          </w:tcPr>
          <w:p>
            <w:pPr>
              <w:pStyle w:val="TableParagraph"/>
              <w:rPr>
                <w:sz w:val="18"/>
              </w:rPr>
            </w:pPr>
          </w:p>
        </w:tc>
        <w:tc>
          <w:tcPr>
            <w:tcW w:w="1404" w:type="dxa"/>
          </w:tcPr>
          <w:p>
            <w:pPr>
              <w:pStyle w:val="TableParagraph"/>
              <w:spacing w:before="28"/>
              <w:ind w:left="107"/>
              <w:rPr>
                <w:sz w:val="18"/>
              </w:rPr>
            </w:pPr>
            <w:r>
              <w:rPr>
                <w:sz w:val="18"/>
              </w:rPr>
              <w:t>Bituminous coal</w:t>
            </w:r>
          </w:p>
        </w:tc>
        <w:tc>
          <w:tcPr>
            <w:tcW w:w="1219" w:type="dxa"/>
          </w:tcPr>
          <w:p>
            <w:pPr>
              <w:pStyle w:val="TableParagraph"/>
              <w:rPr>
                <w:sz w:val="18"/>
              </w:rPr>
            </w:pPr>
          </w:p>
        </w:tc>
        <w:tc>
          <w:tcPr>
            <w:tcW w:w="1306" w:type="dxa"/>
          </w:tcPr>
          <w:p>
            <w:pPr>
              <w:pStyle w:val="TableParagraph"/>
              <w:rPr>
                <w:sz w:val="18"/>
              </w:rPr>
            </w:pPr>
          </w:p>
        </w:tc>
        <w:tc>
          <w:tcPr>
            <w:tcW w:w="1538" w:type="dxa"/>
          </w:tcPr>
          <w:p>
            <w:pPr>
              <w:pStyle w:val="TableParagraph"/>
              <w:rPr>
                <w:sz w:val="18"/>
              </w:rPr>
            </w:pPr>
          </w:p>
        </w:tc>
        <w:tc>
          <w:tcPr>
            <w:tcW w:w="1756" w:type="dxa"/>
          </w:tcPr>
          <w:p>
            <w:pPr>
              <w:pStyle w:val="TableParagraph"/>
              <w:spacing w:before="28"/>
              <w:ind w:left="162"/>
              <w:rPr>
                <w:sz w:val="18"/>
              </w:rPr>
            </w:pPr>
            <w:r>
              <w:rPr>
                <w:sz w:val="18"/>
              </w:rPr>
              <w:t>480 (λex 345)</w:t>
            </w:r>
          </w:p>
        </w:tc>
        <w:tc>
          <w:tcPr>
            <w:tcW w:w="809" w:type="dxa"/>
          </w:tcPr>
          <w:p>
            <w:pPr>
              <w:pStyle w:val="TableParagraph"/>
              <w:spacing w:before="28"/>
              <w:ind w:left="106"/>
              <w:rPr>
                <w:sz w:val="18"/>
              </w:rPr>
            </w:pPr>
            <w:r>
              <w:rPr>
                <w:sz w:val="18"/>
              </w:rPr>
              <w:t>-</w:t>
            </w:r>
          </w:p>
        </w:tc>
        <w:tc>
          <w:tcPr>
            <w:tcW w:w="641" w:type="dxa"/>
          </w:tcPr>
          <w:p>
            <w:pPr>
              <w:pStyle w:val="TableParagraph"/>
              <w:rPr>
                <w:sz w:val="18"/>
              </w:rPr>
            </w:pPr>
          </w:p>
        </w:tc>
      </w:tr>
      <w:tr>
        <w:trPr>
          <w:trHeight w:val="340" w:hRule="atLeast"/>
        </w:trPr>
        <w:tc>
          <w:tcPr>
            <w:tcW w:w="577" w:type="dxa"/>
          </w:tcPr>
          <w:p>
            <w:pPr>
              <w:pStyle w:val="TableParagraph"/>
              <w:rPr>
                <w:sz w:val="18"/>
              </w:rPr>
            </w:pPr>
          </w:p>
        </w:tc>
        <w:tc>
          <w:tcPr>
            <w:tcW w:w="1404" w:type="dxa"/>
          </w:tcPr>
          <w:p>
            <w:pPr>
              <w:pStyle w:val="TableParagraph"/>
              <w:spacing w:before="62"/>
              <w:ind w:left="107"/>
              <w:rPr>
                <w:sz w:val="18"/>
              </w:rPr>
            </w:pPr>
            <w:r>
              <w:rPr>
                <w:sz w:val="18"/>
              </w:rPr>
              <w:t>Coke</w:t>
            </w:r>
          </w:p>
        </w:tc>
        <w:tc>
          <w:tcPr>
            <w:tcW w:w="1219" w:type="dxa"/>
          </w:tcPr>
          <w:p>
            <w:pPr>
              <w:pStyle w:val="TableParagraph"/>
              <w:rPr>
                <w:sz w:val="18"/>
              </w:rPr>
            </w:pPr>
          </w:p>
        </w:tc>
        <w:tc>
          <w:tcPr>
            <w:tcW w:w="1306" w:type="dxa"/>
          </w:tcPr>
          <w:p>
            <w:pPr>
              <w:pStyle w:val="TableParagraph"/>
              <w:rPr>
                <w:sz w:val="18"/>
              </w:rPr>
            </w:pPr>
          </w:p>
        </w:tc>
        <w:tc>
          <w:tcPr>
            <w:tcW w:w="1538" w:type="dxa"/>
          </w:tcPr>
          <w:p>
            <w:pPr>
              <w:pStyle w:val="TableParagraph"/>
              <w:rPr>
                <w:sz w:val="18"/>
              </w:rPr>
            </w:pPr>
          </w:p>
        </w:tc>
        <w:tc>
          <w:tcPr>
            <w:tcW w:w="1756" w:type="dxa"/>
          </w:tcPr>
          <w:p>
            <w:pPr>
              <w:pStyle w:val="TableParagraph"/>
              <w:spacing w:before="62"/>
              <w:ind w:left="162"/>
              <w:rPr>
                <w:sz w:val="18"/>
              </w:rPr>
            </w:pPr>
            <w:r>
              <w:rPr>
                <w:sz w:val="18"/>
              </w:rPr>
              <w:t>415 (λex 345)</w:t>
            </w:r>
          </w:p>
        </w:tc>
        <w:tc>
          <w:tcPr>
            <w:tcW w:w="809" w:type="dxa"/>
          </w:tcPr>
          <w:p>
            <w:pPr>
              <w:pStyle w:val="TableParagraph"/>
              <w:spacing w:before="62"/>
              <w:ind w:left="106"/>
              <w:rPr>
                <w:sz w:val="18"/>
              </w:rPr>
            </w:pPr>
            <w:r>
              <w:rPr>
                <w:sz w:val="18"/>
              </w:rPr>
              <w:t>-</w:t>
            </w:r>
          </w:p>
        </w:tc>
        <w:tc>
          <w:tcPr>
            <w:tcW w:w="641" w:type="dxa"/>
          </w:tcPr>
          <w:p>
            <w:pPr>
              <w:pStyle w:val="TableParagraph"/>
              <w:rPr>
                <w:sz w:val="18"/>
              </w:rPr>
            </w:pPr>
          </w:p>
        </w:tc>
      </w:tr>
      <w:tr>
        <w:trPr>
          <w:trHeight w:val="340" w:hRule="atLeast"/>
        </w:trPr>
        <w:tc>
          <w:tcPr>
            <w:tcW w:w="577" w:type="dxa"/>
          </w:tcPr>
          <w:p>
            <w:pPr>
              <w:pStyle w:val="TableParagraph"/>
              <w:spacing w:before="62"/>
              <w:ind w:left="88" w:right="88"/>
              <w:jc w:val="center"/>
              <w:rPr>
                <w:sz w:val="18"/>
              </w:rPr>
            </w:pPr>
            <w:r>
              <w:rPr>
                <w:sz w:val="18"/>
              </w:rPr>
              <w:t>2014</w:t>
            </w:r>
          </w:p>
        </w:tc>
        <w:tc>
          <w:tcPr>
            <w:tcW w:w="1404" w:type="dxa"/>
          </w:tcPr>
          <w:p>
            <w:pPr>
              <w:pStyle w:val="TableParagraph"/>
              <w:spacing w:before="62"/>
              <w:ind w:left="107"/>
              <w:rPr>
                <w:sz w:val="18"/>
              </w:rPr>
            </w:pPr>
            <w:r>
              <w:rPr>
                <w:sz w:val="18"/>
              </w:rPr>
              <w:t>Anthracite</w:t>
            </w:r>
          </w:p>
        </w:tc>
        <w:tc>
          <w:tcPr>
            <w:tcW w:w="1219" w:type="dxa"/>
          </w:tcPr>
          <w:p>
            <w:pPr>
              <w:pStyle w:val="TableParagraph"/>
              <w:spacing w:before="62"/>
              <w:ind w:left="111"/>
              <w:rPr>
                <w:sz w:val="18"/>
              </w:rPr>
            </w:pPr>
            <w:r>
              <w:rPr>
                <w:sz w:val="18"/>
              </w:rPr>
              <w:t>Nitric acid</w:t>
            </w:r>
          </w:p>
        </w:tc>
        <w:tc>
          <w:tcPr>
            <w:tcW w:w="1306" w:type="dxa"/>
          </w:tcPr>
          <w:p>
            <w:pPr>
              <w:pStyle w:val="TableParagraph"/>
              <w:spacing w:before="62"/>
              <w:ind w:left="341"/>
              <w:rPr>
                <w:sz w:val="18"/>
              </w:rPr>
            </w:pPr>
            <w:r>
              <w:rPr>
                <w:sz w:val="18"/>
              </w:rPr>
              <w:t>Oxidation</w:t>
            </w:r>
          </w:p>
        </w:tc>
        <w:tc>
          <w:tcPr>
            <w:tcW w:w="1538" w:type="dxa"/>
          </w:tcPr>
          <w:p>
            <w:pPr>
              <w:pStyle w:val="TableParagraph"/>
              <w:spacing w:before="62"/>
              <w:ind w:left="139"/>
              <w:rPr>
                <w:sz w:val="18"/>
              </w:rPr>
            </w:pPr>
            <w:r>
              <w:rPr>
                <w:sz w:val="18"/>
              </w:rPr>
              <w:t>140℃, 12 hours</w:t>
            </w:r>
          </w:p>
        </w:tc>
        <w:tc>
          <w:tcPr>
            <w:tcW w:w="1756" w:type="dxa"/>
          </w:tcPr>
          <w:p>
            <w:pPr>
              <w:pStyle w:val="TableParagraph"/>
              <w:spacing w:before="62"/>
              <w:ind w:left="162"/>
              <w:rPr>
                <w:sz w:val="18"/>
              </w:rPr>
            </w:pPr>
            <w:r>
              <w:rPr>
                <w:sz w:val="18"/>
              </w:rPr>
              <w:t>450 (λex 389)</w:t>
            </w:r>
          </w:p>
        </w:tc>
        <w:tc>
          <w:tcPr>
            <w:tcW w:w="809" w:type="dxa"/>
          </w:tcPr>
          <w:p>
            <w:pPr>
              <w:pStyle w:val="TableParagraph"/>
              <w:spacing w:before="62"/>
              <w:ind w:left="106"/>
              <w:rPr>
                <w:sz w:val="18"/>
              </w:rPr>
            </w:pPr>
            <w:r>
              <w:rPr>
                <w:sz w:val="18"/>
              </w:rPr>
              <w:t>8.8</w:t>
            </w:r>
          </w:p>
        </w:tc>
        <w:tc>
          <w:tcPr>
            <w:tcW w:w="641" w:type="dxa"/>
          </w:tcPr>
          <w:p>
            <w:pPr>
              <w:pStyle w:val="TableParagraph"/>
              <w:spacing w:before="62"/>
              <w:ind w:left="117"/>
              <w:rPr>
                <w:sz w:val="18"/>
              </w:rPr>
            </w:pPr>
            <w:r>
              <w:rPr>
                <w:sz w:val="18"/>
              </w:rPr>
              <w:t>47</w:t>
            </w:r>
          </w:p>
        </w:tc>
      </w:tr>
      <w:tr>
        <w:trPr>
          <w:trHeight w:val="340" w:hRule="atLeast"/>
        </w:trPr>
        <w:tc>
          <w:tcPr>
            <w:tcW w:w="577" w:type="dxa"/>
          </w:tcPr>
          <w:p>
            <w:pPr>
              <w:pStyle w:val="TableParagraph"/>
              <w:spacing w:before="62"/>
              <w:ind w:left="88" w:right="88"/>
              <w:jc w:val="center"/>
              <w:rPr>
                <w:sz w:val="18"/>
              </w:rPr>
            </w:pPr>
            <w:r>
              <w:rPr>
                <w:sz w:val="18"/>
              </w:rPr>
              <w:t>2016</w:t>
            </w:r>
          </w:p>
        </w:tc>
        <w:tc>
          <w:tcPr>
            <w:tcW w:w="1404" w:type="dxa"/>
          </w:tcPr>
          <w:p>
            <w:pPr>
              <w:pStyle w:val="TableParagraph"/>
              <w:spacing w:before="62"/>
              <w:ind w:left="107"/>
              <w:rPr>
                <w:sz w:val="18"/>
              </w:rPr>
            </w:pPr>
            <w:r>
              <w:rPr>
                <w:sz w:val="18"/>
              </w:rPr>
              <w:t>Lignite</w:t>
            </w:r>
          </w:p>
        </w:tc>
        <w:tc>
          <w:tcPr>
            <w:tcW w:w="1219" w:type="dxa"/>
          </w:tcPr>
          <w:p>
            <w:pPr>
              <w:pStyle w:val="TableParagraph"/>
              <w:spacing w:before="62"/>
              <w:ind w:left="111"/>
              <w:rPr>
                <w:sz w:val="18"/>
              </w:rPr>
            </w:pPr>
            <w:r>
              <w:rPr>
                <w:sz w:val="18"/>
              </w:rPr>
              <w:t>EDA</w:t>
            </w:r>
          </w:p>
        </w:tc>
        <w:tc>
          <w:tcPr>
            <w:tcW w:w="1306" w:type="dxa"/>
          </w:tcPr>
          <w:p>
            <w:pPr>
              <w:pStyle w:val="TableParagraph"/>
              <w:spacing w:before="62"/>
              <w:ind w:left="341"/>
              <w:rPr>
                <w:sz w:val="18"/>
              </w:rPr>
            </w:pPr>
            <w:r>
              <w:rPr>
                <w:sz w:val="18"/>
              </w:rPr>
              <w:t>Reflux</w:t>
            </w:r>
          </w:p>
        </w:tc>
        <w:tc>
          <w:tcPr>
            <w:tcW w:w="1538" w:type="dxa"/>
          </w:tcPr>
          <w:p>
            <w:pPr>
              <w:pStyle w:val="TableParagraph"/>
              <w:spacing w:before="62"/>
              <w:ind w:left="139"/>
              <w:rPr>
                <w:sz w:val="18"/>
              </w:rPr>
            </w:pPr>
            <w:r>
              <w:rPr>
                <w:sz w:val="18"/>
              </w:rPr>
              <w:t>100℃, 12 hours</w:t>
            </w:r>
          </w:p>
        </w:tc>
        <w:tc>
          <w:tcPr>
            <w:tcW w:w="1756" w:type="dxa"/>
          </w:tcPr>
          <w:p>
            <w:pPr>
              <w:pStyle w:val="TableParagraph"/>
              <w:spacing w:before="62"/>
              <w:ind w:left="162"/>
              <w:rPr>
                <w:sz w:val="18"/>
              </w:rPr>
            </w:pPr>
            <w:r>
              <w:rPr>
                <w:sz w:val="18"/>
              </w:rPr>
              <w:t>468 (λex 360)</w:t>
            </w:r>
          </w:p>
        </w:tc>
        <w:tc>
          <w:tcPr>
            <w:tcW w:w="809" w:type="dxa"/>
          </w:tcPr>
          <w:p>
            <w:pPr>
              <w:pStyle w:val="TableParagraph"/>
              <w:spacing w:before="62"/>
              <w:ind w:left="106"/>
              <w:rPr>
                <w:sz w:val="18"/>
              </w:rPr>
            </w:pPr>
            <w:r>
              <w:rPr>
                <w:sz w:val="18"/>
              </w:rPr>
              <w:t>4.5</w:t>
            </w:r>
          </w:p>
        </w:tc>
        <w:tc>
          <w:tcPr>
            <w:tcW w:w="641" w:type="dxa"/>
          </w:tcPr>
          <w:p>
            <w:pPr>
              <w:pStyle w:val="TableParagraph"/>
              <w:spacing w:before="62"/>
              <w:ind w:left="117"/>
              <w:rPr>
                <w:sz w:val="18"/>
              </w:rPr>
            </w:pPr>
            <w:r>
              <w:rPr>
                <w:sz w:val="18"/>
              </w:rPr>
              <w:t>25</w:t>
            </w:r>
          </w:p>
        </w:tc>
      </w:tr>
      <w:tr>
        <w:trPr>
          <w:trHeight w:val="340" w:hRule="atLeast"/>
        </w:trPr>
        <w:tc>
          <w:tcPr>
            <w:tcW w:w="577" w:type="dxa"/>
          </w:tcPr>
          <w:p>
            <w:pPr>
              <w:pStyle w:val="TableParagraph"/>
              <w:rPr>
                <w:sz w:val="18"/>
              </w:rPr>
            </w:pPr>
          </w:p>
        </w:tc>
        <w:tc>
          <w:tcPr>
            <w:tcW w:w="1404" w:type="dxa"/>
          </w:tcPr>
          <w:p>
            <w:pPr>
              <w:pStyle w:val="TableParagraph"/>
              <w:rPr>
                <w:sz w:val="18"/>
              </w:rPr>
            </w:pPr>
          </w:p>
        </w:tc>
        <w:tc>
          <w:tcPr>
            <w:tcW w:w="1219" w:type="dxa"/>
          </w:tcPr>
          <w:p>
            <w:pPr>
              <w:pStyle w:val="TableParagraph"/>
              <w:rPr>
                <w:sz w:val="18"/>
              </w:rPr>
            </w:pPr>
          </w:p>
        </w:tc>
        <w:tc>
          <w:tcPr>
            <w:tcW w:w="1306" w:type="dxa"/>
          </w:tcPr>
          <w:p>
            <w:pPr>
              <w:pStyle w:val="TableParagraph"/>
              <w:spacing w:before="62"/>
              <w:ind w:left="341"/>
              <w:rPr>
                <w:sz w:val="18"/>
              </w:rPr>
            </w:pPr>
            <w:r>
              <w:rPr>
                <w:sz w:val="18"/>
              </w:rPr>
              <w:t>Microwave</w:t>
            </w:r>
          </w:p>
        </w:tc>
        <w:tc>
          <w:tcPr>
            <w:tcW w:w="1538" w:type="dxa"/>
          </w:tcPr>
          <w:p>
            <w:pPr>
              <w:pStyle w:val="TableParagraph"/>
              <w:spacing w:before="62"/>
              <w:ind w:left="139"/>
              <w:rPr>
                <w:sz w:val="18"/>
              </w:rPr>
            </w:pPr>
            <w:r>
              <w:rPr>
                <w:sz w:val="18"/>
              </w:rPr>
              <w:t>600 W, 5 min</w:t>
            </w:r>
          </w:p>
        </w:tc>
        <w:tc>
          <w:tcPr>
            <w:tcW w:w="1756" w:type="dxa"/>
          </w:tcPr>
          <w:p>
            <w:pPr>
              <w:pStyle w:val="TableParagraph"/>
              <w:spacing w:before="62"/>
              <w:ind w:left="162"/>
              <w:rPr>
                <w:sz w:val="18"/>
              </w:rPr>
            </w:pPr>
            <w:r>
              <w:rPr>
                <w:sz w:val="18"/>
              </w:rPr>
              <w:t>435 (λex 360)</w:t>
            </w:r>
          </w:p>
        </w:tc>
        <w:tc>
          <w:tcPr>
            <w:tcW w:w="809" w:type="dxa"/>
          </w:tcPr>
          <w:p>
            <w:pPr>
              <w:pStyle w:val="TableParagraph"/>
              <w:spacing w:before="62"/>
              <w:ind w:left="106"/>
              <w:rPr>
                <w:sz w:val="18"/>
              </w:rPr>
            </w:pPr>
            <w:r>
              <w:rPr>
                <w:sz w:val="18"/>
              </w:rPr>
              <w:t>5.1</w:t>
            </w:r>
          </w:p>
        </w:tc>
        <w:tc>
          <w:tcPr>
            <w:tcW w:w="641" w:type="dxa"/>
          </w:tcPr>
          <w:p>
            <w:pPr>
              <w:pStyle w:val="TableParagraph"/>
              <w:rPr>
                <w:sz w:val="18"/>
              </w:rPr>
            </w:pPr>
          </w:p>
        </w:tc>
      </w:tr>
      <w:tr>
        <w:trPr>
          <w:trHeight w:val="269" w:hRule="atLeast"/>
        </w:trPr>
        <w:tc>
          <w:tcPr>
            <w:tcW w:w="577" w:type="dxa"/>
          </w:tcPr>
          <w:p>
            <w:pPr>
              <w:pStyle w:val="TableParagraph"/>
              <w:rPr>
                <w:sz w:val="18"/>
              </w:rPr>
            </w:pPr>
          </w:p>
        </w:tc>
        <w:tc>
          <w:tcPr>
            <w:tcW w:w="1404" w:type="dxa"/>
          </w:tcPr>
          <w:p>
            <w:pPr>
              <w:pStyle w:val="TableParagraph"/>
              <w:rPr>
                <w:sz w:val="18"/>
              </w:rPr>
            </w:pPr>
          </w:p>
        </w:tc>
        <w:tc>
          <w:tcPr>
            <w:tcW w:w="1219" w:type="dxa"/>
          </w:tcPr>
          <w:p>
            <w:pPr>
              <w:pStyle w:val="TableParagraph"/>
              <w:rPr>
                <w:sz w:val="18"/>
              </w:rPr>
            </w:pPr>
          </w:p>
        </w:tc>
        <w:tc>
          <w:tcPr>
            <w:tcW w:w="1306" w:type="dxa"/>
          </w:tcPr>
          <w:p>
            <w:pPr>
              <w:pStyle w:val="TableParagraph"/>
              <w:spacing w:line="187" w:lineRule="exact" w:before="63"/>
              <w:ind w:left="341"/>
              <w:rPr>
                <w:sz w:val="18"/>
              </w:rPr>
            </w:pPr>
            <w:r>
              <w:rPr>
                <w:sz w:val="18"/>
              </w:rPr>
              <w:t>Laser</w:t>
            </w:r>
          </w:p>
        </w:tc>
        <w:tc>
          <w:tcPr>
            <w:tcW w:w="1538" w:type="dxa"/>
          </w:tcPr>
          <w:p>
            <w:pPr>
              <w:pStyle w:val="TableParagraph"/>
              <w:spacing w:line="187" w:lineRule="exact" w:before="63"/>
              <w:ind w:left="139"/>
              <w:rPr>
                <w:sz w:val="18"/>
              </w:rPr>
            </w:pPr>
            <w:r>
              <w:rPr>
                <w:sz w:val="18"/>
              </w:rPr>
              <w:t>1064 nm, 60 min</w:t>
            </w:r>
          </w:p>
        </w:tc>
        <w:tc>
          <w:tcPr>
            <w:tcW w:w="1756" w:type="dxa"/>
          </w:tcPr>
          <w:p>
            <w:pPr>
              <w:pStyle w:val="TableParagraph"/>
              <w:spacing w:line="187" w:lineRule="exact" w:before="63"/>
              <w:ind w:left="162"/>
              <w:rPr>
                <w:sz w:val="18"/>
              </w:rPr>
            </w:pPr>
            <w:r>
              <w:rPr>
                <w:sz w:val="18"/>
              </w:rPr>
              <w:t>403 (λex 340)</w:t>
            </w:r>
          </w:p>
        </w:tc>
        <w:tc>
          <w:tcPr>
            <w:tcW w:w="809" w:type="dxa"/>
          </w:tcPr>
          <w:p>
            <w:pPr>
              <w:pStyle w:val="TableParagraph"/>
              <w:spacing w:line="187" w:lineRule="exact" w:before="63"/>
              <w:ind w:left="106"/>
              <w:rPr>
                <w:sz w:val="18"/>
              </w:rPr>
            </w:pPr>
            <w:r>
              <w:rPr>
                <w:sz w:val="18"/>
              </w:rPr>
              <w:t>6.0</w:t>
            </w:r>
          </w:p>
        </w:tc>
        <w:tc>
          <w:tcPr>
            <w:tcW w:w="641" w:type="dxa"/>
          </w:tcPr>
          <w:p>
            <w:pPr>
              <w:pStyle w:val="TableParagraph"/>
              <w:rPr>
                <w:sz w:val="18"/>
              </w:rPr>
            </w:pPr>
          </w:p>
        </w:tc>
      </w:tr>
    </w:tbl>
    <w:p>
      <w:pPr>
        <w:pStyle w:val="BodyText"/>
        <w:spacing w:before="8"/>
        <w:rPr>
          <w:sz w:val="23"/>
        </w:rPr>
      </w:pPr>
    </w:p>
    <w:p>
      <w:pPr>
        <w:spacing w:before="0"/>
        <w:ind w:left="422" w:right="1927" w:firstLine="0"/>
        <w:jc w:val="center"/>
        <w:rPr>
          <w:sz w:val="18"/>
        </w:rPr>
      </w:pPr>
      <w:r>
        <w:rPr/>
        <w:pict>
          <v:shapetype id="_x0000_t202" o:spt="202" coordsize="21600,21600" path="m,l,21600r21600,l21600,xe">
            <v:stroke joinstyle="miter"/>
            <v:path gradientshapeok="t" o:connecttype="rect"/>
          </v:shapetype>
          <v:shape style="position:absolute;margin-left:71.425003pt;margin-top:-4.617671pt;width:462.95pt;height:74.25pt;mso-position-horizontal-relative:page;mso-position-vertical-relative:paragraph;z-index:251666432"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89"/>
                    <w:gridCol w:w="1230"/>
                    <w:gridCol w:w="1325"/>
                    <w:gridCol w:w="1462"/>
                    <w:gridCol w:w="1370"/>
                    <w:gridCol w:w="1595"/>
                    <w:gridCol w:w="784"/>
                    <w:gridCol w:w="900"/>
                  </w:tblGrid>
                  <w:tr>
                    <w:trPr>
                      <w:trHeight w:val="516" w:hRule="atLeast"/>
                    </w:trPr>
                    <w:tc>
                      <w:tcPr>
                        <w:tcW w:w="5976" w:type="dxa"/>
                        <w:gridSpan w:val="5"/>
                      </w:tcPr>
                      <w:p>
                        <w:pPr>
                          <w:pStyle w:val="TableParagraph"/>
                          <w:tabs>
                            <w:tab w:pos="696" w:val="left" w:leader="none"/>
                            <w:tab w:pos="2104" w:val="left" w:leader="none"/>
                            <w:tab w:pos="3553" w:val="left" w:leader="none"/>
                            <w:tab w:pos="4657" w:val="left" w:leader="none"/>
                          </w:tabs>
                          <w:spacing w:line="228" w:lineRule="auto"/>
                          <w:ind w:left="120"/>
                          <w:rPr>
                            <w:sz w:val="18"/>
                          </w:rPr>
                        </w:pPr>
                        <w:r>
                          <w:rPr>
                            <w:sz w:val="18"/>
                          </w:rPr>
                          <w:t>2017</w:t>
                          <w:tab/>
                          <w:t>Lignite</w:t>
                          <w:tab/>
                          <w:t>Nitric</w:t>
                        </w:r>
                        <w:r>
                          <w:rPr>
                            <w:spacing w:val="-2"/>
                            <w:sz w:val="18"/>
                          </w:rPr>
                          <w:t> </w:t>
                        </w:r>
                        <w:r>
                          <w:rPr>
                            <w:sz w:val="18"/>
                          </w:rPr>
                          <w:t>acid</w:t>
                          <w:tab/>
                        </w:r>
                        <w:r>
                          <w:rPr>
                            <w:position w:val="10"/>
                            <w:sz w:val="18"/>
                          </w:rPr>
                          <w:t>Ultra</w:t>
                          <w:tab/>
                        </w:r>
                        <w:r>
                          <w:rPr>
                            <w:sz w:val="18"/>
                          </w:rPr>
                          <w:t>100℃, 1</w:t>
                        </w:r>
                        <w:r>
                          <w:rPr>
                            <w:spacing w:val="-6"/>
                            <w:sz w:val="18"/>
                          </w:rPr>
                          <w:t> </w:t>
                        </w:r>
                        <w:r>
                          <w:rPr>
                            <w:sz w:val="18"/>
                          </w:rPr>
                          <w:t>hour</w:t>
                        </w:r>
                      </w:p>
                      <w:p>
                        <w:pPr>
                          <w:pStyle w:val="TableParagraph"/>
                          <w:tabs>
                            <w:tab w:pos="696" w:val="left" w:leader="none"/>
                            <w:tab w:pos="2104" w:val="left" w:leader="none"/>
                            <w:tab w:pos="3553" w:val="left" w:leader="none"/>
                            <w:tab w:pos="4657" w:val="left" w:leader="none"/>
                          </w:tabs>
                          <w:spacing w:line="191" w:lineRule="exact" w:before="8"/>
                          <w:ind w:left="120"/>
                          <w:rPr>
                            <w:sz w:val="18"/>
                          </w:rPr>
                        </w:pPr>
                        <w:r>
                          <w:rPr>
                            <w:sz w:val="18"/>
                          </w:rPr>
                          <w:t>2018</w:t>
                          <w:tab/>
                          <w:t>Coal tar</w:t>
                        </w:r>
                        <w:r>
                          <w:rPr>
                            <w:spacing w:val="-5"/>
                            <w:sz w:val="18"/>
                          </w:rPr>
                          <w:t> </w:t>
                        </w:r>
                        <w:r>
                          <w:rPr>
                            <w:sz w:val="18"/>
                          </w:rPr>
                          <w:t>pitch</w:t>
                          <w:tab/>
                        </w:r>
                        <w:r>
                          <w:rPr>
                            <w:position w:val="10"/>
                            <w:sz w:val="18"/>
                          </w:rPr>
                          <w:t>Hydrogen</w:t>
                          <w:tab/>
                        </w:r>
                        <w:r>
                          <w:rPr>
                            <w:sz w:val="18"/>
                          </w:rPr>
                          <w:t>Reflux</w:t>
                          <w:tab/>
                          <w:t>100℃, 2</w:t>
                        </w:r>
                        <w:r>
                          <w:rPr>
                            <w:spacing w:val="-6"/>
                            <w:sz w:val="18"/>
                          </w:rPr>
                          <w:t> </w:t>
                        </w:r>
                        <w:r>
                          <w:rPr>
                            <w:sz w:val="18"/>
                          </w:rPr>
                          <w:t>hours</w:t>
                        </w:r>
                      </w:p>
                    </w:tc>
                    <w:tc>
                      <w:tcPr>
                        <w:tcW w:w="1595" w:type="dxa"/>
                      </w:tcPr>
                      <w:p>
                        <w:pPr>
                          <w:pStyle w:val="TableParagraph"/>
                          <w:spacing w:line="199" w:lineRule="exact"/>
                          <w:ind w:left="242"/>
                          <w:rPr>
                            <w:sz w:val="18"/>
                          </w:rPr>
                        </w:pPr>
                        <w:r>
                          <w:rPr>
                            <w:sz w:val="18"/>
                          </w:rPr>
                          <w:t>447 (λex 320)</w:t>
                        </w:r>
                      </w:p>
                      <w:p>
                        <w:pPr>
                          <w:pStyle w:val="TableParagraph"/>
                          <w:spacing w:before="9"/>
                          <w:rPr>
                            <w:sz w:val="17"/>
                          </w:rPr>
                        </w:pPr>
                      </w:p>
                      <w:p>
                        <w:pPr>
                          <w:pStyle w:val="TableParagraph"/>
                          <w:spacing w:line="91" w:lineRule="exact"/>
                          <w:ind w:left="242"/>
                          <w:rPr>
                            <w:sz w:val="18"/>
                          </w:rPr>
                        </w:pPr>
                        <w:r>
                          <w:rPr>
                            <w:sz w:val="18"/>
                          </w:rPr>
                          <w:t>445 (λex</w:t>
                        </w:r>
                        <w:r>
                          <w:rPr>
                            <w:spacing w:val="1"/>
                            <w:sz w:val="18"/>
                          </w:rPr>
                          <w:t> </w:t>
                        </w:r>
                        <w:r>
                          <w:rPr>
                            <w:sz w:val="18"/>
                          </w:rPr>
                          <w:t>325)</w:t>
                        </w:r>
                      </w:p>
                    </w:tc>
                    <w:tc>
                      <w:tcPr>
                        <w:tcW w:w="784" w:type="dxa"/>
                      </w:tcPr>
                      <w:p>
                        <w:pPr>
                          <w:pStyle w:val="TableParagraph"/>
                          <w:spacing w:line="199" w:lineRule="exact"/>
                          <w:ind w:left="347"/>
                          <w:rPr>
                            <w:sz w:val="18"/>
                          </w:rPr>
                        </w:pPr>
                        <w:r>
                          <w:rPr>
                            <w:sz w:val="18"/>
                          </w:rPr>
                          <w:t>-</w:t>
                        </w:r>
                      </w:p>
                      <w:p>
                        <w:pPr>
                          <w:pStyle w:val="TableParagraph"/>
                          <w:spacing w:before="9"/>
                          <w:rPr>
                            <w:sz w:val="17"/>
                          </w:rPr>
                        </w:pPr>
                      </w:p>
                      <w:p>
                        <w:pPr>
                          <w:pStyle w:val="TableParagraph"/>
                          <w:spacing w:line="91" w:lineRule="exact"/>
                          <w:ind w:left="347"/>
                          <w:rPr>
                            <w:sz w:val="18"/>
                          </w:rPr>
                        </w:pPr>
                        <w:r>
                          <w:rPr>
                            <w:sz w:val="18"/>
                          </w:rPr>
                          <w:t>2.37</w:t>
                        </w:r>
                      </w:p>
                    </w:tc>
                    <w:tc>
                      <w:tcPr>
                        <w:tcW w:w="900" w:type="dxa"/>
                      </w:tcPr>
                      <w:p>
                        <w:pPr>
                          <w:pStyle w:val="TableParagraph"/>
                          <w:spacing w:line="199" w:lineRule="exact"/>
                          <w:ind w:left="365" w:right="314"/>
                          <w:jc w:val="center"/>
                          <w:rPr>
                            <w:sz w:val="18"/>
                          </w:rPr>
                        </w:pPr>
                        <w:r>
                          <w:rPr>
                            <w:sz w:val="18"/>
                          </w:rPr>
                          <w:t>48</w:t>
                        </w:r>
                      </w:p>
                      <w:p>
                        <w:pPr>
                          <w:pStyle w:val="TableParagraph"/>
                          <w:spacing w:before="9"/>
                          <w:rPr>
                            <w:sz w:val="17"/>
                          </w:rPr>
                        </w:pPr>
                      </w:p>
                      <w:p>
                        <w:pPr>
                          <w:pStyle w:val="TableParagraph"/>
                          <w:spacing w:line="91" w:lineRule="exact"/>
                          <w:ind w:left="365" w:right="314"/>
                          <w:jc w:val="center"/>
                          <w:rPr>
                            <w:sz w:val="18"/>
                          </w:rPr>
                        </w:pPr>
                        <w:r>
                          <w:rPr>
                            <w:sz w:val="18"/>
                          </w:rPr>
                          <w:t>49</w:t>
                        </w:r>
                      </w:p>
                    </w:tc>
                  </w:tr>
                  <w:tr>
                    <w:trPr>
                      <w:trHeight w:val="255" w:hRule="atLeast"/>
                    </w:trPr>
                    <w:tc>
                      <w:tcPr>
                        <w:tcW w:w="589" w:type="dxa"/>
                      </w:tcPr>
                      <w:p>
                        <w:pPr>
                          <w:pStyle w:val="TableParagraph"/>
                          <w:rPr>
                            <w:sz w:val="18"/>
                          </w:rPr>
                        </w:pPr>
                      </w:p>
                    </w:tc>
                    <w:tc>
                      <w:tcPr>
                        <w:tcW w:w="1230" w:type="dxa"/>
                      </w:tcPr>
                      <w:p>
                        <w:pPr>
                          <w:pStyle w:val="TableParagraph"/>
                          <w:rPr>
                            <w:sz w:val="18"/>
                          </w:rPr>
                        </w:pPr>
                      </w:p>
                    </w:tc>
                    <w:tc>
                      <w:tcPr>
                        <w:tcW w:w="1325" w:type="dxa"/>
                      </w:tcPr>
                      <w:p>
                        <w:pPr>
                          <w:pStyle w:val="TableParagraph"/>
                          <w:spacing w:line="199" w:lineRule="exact"/>
                          <w:ind w:left="285"/>
                          <w:rPr>
                            <w:sz w:val="18"/>
                          </w:rPr>
                        </w:pPr>
                        <w:r>
                          <w:rPr>
                            <w:sz w:val="18"/>
                          </w:rPr>
                          <w:t>peroxide</w:t>
                        </w:r>
                      </w:p>
                    </w:tc>
                    <w:tc>
                      <w:tcPr>
                        <w:tcW w:w="1462" w:type="dxa"/>
                      </w:tcPr>
                      <w:p>
                        <w:pPr>
                          <w:pStyle w:val="TableParagraph"/>
                          <w:rPr>
                            <w:sz w:val="18"/>
                          </w:rPr>
                        </w:pPr>
                      </w:p>
                    </w:tc>
                    <w:tc>
                      <w:tcPr>
                        <w:tcW w:w="1370" w:type="dxa"/>
                      </w:tcPr>
                      <w:p>
                        <w:pPr>
                          <w:pStyle w:val="TableParagraph"/>
                          <w:rPr>
                            <w:sz w:val="18"/>
                          </w:rPr>
                        </w:pPr>
                      </w:p>
                    </w:tc>
                    <w:tc>
                      <w:tcPr>
                        <w:tcW w:w="1595" w:type="dxa"/>
                      </w:tcPr>
                      <w:p>
                        <w:pPr>
                          <w:pStyle w:val="TableParagraph"/>
                          <w:rPr>
                            <w:sz w:val="18"/>
                          </w:rPr>
                        </w:pPr>
                      </w:p>
                    </w:tc>
                    <w:tc>
                      <w:tcPr>
                        <w:tcW w:w="1684" w:type="dxa"/>
                        <w:gridSpan w:val="2"/>
                      </w:tcPr>
                      <w:p>
                        <w:pPr>
                          <w:pStyle w:val="TableParagraph"/>
                          <w:rPr>
                            <w:sz w:val="18"/>
                          </w:rPr>
                        </w:pPr>
                      </w:p>
                    </w:tc>
                  </w:tr>
                  <w:tr>
                    <w:trPr>
                      <w:trHeight w:val="344" w:hRule="atLeast"/>
                    </w:trPr>
                    <w:tc>
                      <w:tcPr>
                        <w:tcW w:w="589" w:type="dxa"/>
                      </w:tcPr>
                      <w:p>
                        <w:pPr>
                          <w:pStyle w:val="TableParagraph"/>
                          <w:spacing w:before="48"/>
                          <w:ind w:left="120"/>
                          <w:rPr>
                            <w:sz w:val="18"/>
                          </w:rPr>
                        </w:pPr>
                        <w:r>
                          <w:rPr>
                            <w:sz w:val="18"/>
                          </w:rPr>
                          <w:t>2023</w:t>
                        </w:r>
                      </w:p>
                    </w:tc>
                    <w:tc>
                      <w:tcPr>
                        <w:tcW w:w="1230" w:type="dxa"/>
                      </w:tcPr>
                      <w:p>
                        <w:pPr>
                          <w:pStyle w:val="TableParagraph"/>
                          <w:spacing w:before="48"/>
                          <w:ind w:left="107"/>
                          <w:rPr>
                            <w:sz w:val="18"/>
                          </w:rPr>
                        </w:pPr>
                        <w:r>
                          <w:rPr>
                            <w:sz w:val="18"/>
                          </w:rPr>
                          <w:t>Brown coal</w:t>
                        </w:r>
                      </w:p>
                    </w:tc>
                    <w:tc>
                      <w:tcPr>
                        <w:tcW w:w="1325" w:type="dxa"/>
                      </w:tcPr>
                      <w:p>
                        <w:pPr>
                          <w:pStyle w:val="TableParagraph"/>
                          <w:spacing w:before="48"/>
                          <w:ind w:left="285"/>
                          <w:rPr>
                            <w:sz w:val="18"/>
                          </w:rPr>
                        </w:pPr>
                        <w:r>
                          <w:rPr>
                            <w:sz w:val="18"/>
                          </w:rPr>
                          <w:t>Ethanol</w:t>
                        </w:r>
                      </w:p>
                    </w:tc>
                    <w:tc>
                      <w:tcPr>
                        <w:tcW w:w="1462" w:type="dxa"/>
                      </w:tcPr>
                      <w:p>
                        <w:pPr>
                          <w:pStyle w:val="TableParagraph"/>
                          <w:spacing w:before="48"/>
                          <w:ind w:left="409"/>
                          <w:rPr>
                            <w:sz w:val="18"/>
                          </w:rPr>
                        </w:pPr>
                        <w:r>
                          <w:rPr>
                            <w:sz w:val="18"/>
                          </w:rPr>
                          <w:t>Extraction</w:t>
                        </w:r>
                      </w:p>
                    </w:tc>
                    <w:tc>
                      <w:tcPr>
                        <w:tcW w:w="1370" w:type="dxa"/>
                      </w:tcPr>
                      <w:p>
                        <w:pPr>
                          <w:pStyle w:val="TableParagraph"/>
                          <w:spacing w:before="48"/>
                          <w:ind w:left="51"/>
                          <w:rPr>
                            <w:sz w:val="18"/>
                          </w:rPr>
                        </w:pPr>
                        <w:r>
                          <w:rPr>
                            <w:sz w:val="18"/>
                          </w:rPr>
                          <w:t>10 min</w:t>
                        </w:r>
                      </w:p>
                    </w:tc>
                    <w:tc>
                      <w:tcPr>
                        <w:tcW w:w="1595" w:type="dxa"/>
                      </w:tcPr>
                      <w:p>
                        <w:pPr>
                          <w:pStyle w:val="TableParagraph"/>
                          <w:spacing w:before="48"/>
                          <w:ind w:left="242"/>
                          <w:rPr>
                            <w:sz w:val="18"/>
                          </w:rPr>
                        </w:pPr>
                        <w:r>
                          <w:rPr>
                            <w:sz w:val="18"/>
                          </w:rPr>
                          <w:t>448 (λex 360)</w:t>
                        </w:r>
                      </w:p>
                    </w:tc>
                    <w:tc>
                      <w:tcPr>
                        <w:tcW w:w="1684" w:type="dxa"/>
                        <w:gridSpan w:val="2"/>
                      </w:tcPr>
                      <w:p>
                        <w:pPr>
                          <w:pStyle w:val="TableParagraph"/>
                          <w:tabs>
                            <w:tab w:pos="1167" w:val="left" w:leader="none"/>
                          </w:tabs>
                          <w:spacing w:line="148" w:lineRule="auto"/>
                          <w:ind w:left="347"/>
                          <w:rPr>
                            <w:sz w:val="18"/>
                          </w:rPr>
                        </w:pPr>
                        <w:r>
                          <w:rPr>
                            <w:position w:val="-9"/>
                            <w:sz w:val="18"/>
                          </w:rPr>
                          <w:t>2.4</w:t>
                          <w:tab/>
                        </w:r>
                        <w:r>
                          <w:rPr>
                            <w:sz w:val="18"/>
                          </w:rPr>
                          <w:t>This</w:t>
                        </w:r>
                      </w:p>
                      <w:p>
                        <w:pPr>
                          <w:pStyle w:val="TableParagraph"/>
                          <w:spacing w:line="124" w:lineRule="exact"/>
                          <w:ind w:right="121"/>
                          <w:jc w:val="right"/>
                          <w:rPr>
                            <w:sz w:val="18"/>
                          </w:rPr>
                        </w:pPr>
                        <w:r>
                          <w:rPr>
                            <w:sz w:val="18"/>
                          </w:rPr>
                          <w:t>study</w:t>
                        </w:r>
                      </w:p>
                    </w:tc>
                  </w:tr>
                  <w:tr>
                    <w:trPr>
                      <w:trHeight w:val="345" w:hRule="atLeast"/>
                    </w:trPr>
                    <w:tc>
                      <w:tcPr>
                        <w:tcW w:w="589" w:type="dxa"/>
                        <w:tcBorders>
                          <w:bottom w:val="single" w:sz="4" w:space="0" w:color="000000"/>
                        </w:tcBorders>
                      </w:tcPr>
                      <w:p>
                        <w:pPr>
                          <w:pStyle w:val="TableParagraph"/>
                          <w:rPr>
                            <w:sz w:val="18"/>
                          </w:rPr>
                        </w:pPr>
                      </w:p>
                    </w:tc>
                    <w:tc>
                      <w:tcPr>
                        <w:tcW w:w="1230" w:type="dxa"/>
                        <w:tcBorders>
                          <w:bottom w:val="single" w:sz="4" w:space="0" w:color="000000"/>
                        </w:tcBorders>
                      </w:tcPr>
                      <w:p>
                        <w:pPr>
                          <w:pStyle w:val="TableParagraph"/>
                          <w:rPr>
                            <w:sz w:val="18"/>
                          </w:rPr>
                        </w:pPr>
                      </w:p>
                    </w:tc>
                    <w:tc>
                      <w:tcPr>
                        <w:tcW w:w="1325" w:type="dxa"/>
                        <w:tcBorders>
                          <w:bottom w:val="single" w:sz="4" w:space="0" w:color="000000"/>
                        </w:tcBorders>
                      </w:tcPr>
                      <w:p>
                        <w:pPr>
                          <w:pStyle w:val="TableParagraph"/>
                          <w:spacing w:before="71"/>
                          <w:ind w:left="285"/>
                          <w:rPr>
                            <w:sz w:val="18"/>
                          </w:rPr>
                        </w:pPr>
                        <w:r>
                          <w:rPr>
                            <w:sz w:val="18"/>
                          </w:rPr>
                          <w:t>EDA</w:t>
                        </w:r>
                      </w:p>
                    </w:tc>
                    <w:tc>
                      <w:tcPr>
                        <w:tcW w:w="1462" w:type="dxa"/>
                        <w:tcBorders>
                          <w:bottom w:val="single" w:sz="4" w:space="0" w:color="000000"/>
                        </w:tcBorders>
                      </w:tcPr>
                      <w:p>
                        <w:pPr>
                          <w:pStyle w:val="TableParagraph"/>
                          <w:spacing w:before="71"/>
                          <w:ind w:left="409"/>
                          <w:rPr>
                            <w:sz w:val="18"/>
                          </w:rPr>
                        </w:pPr>
                        <w:r>
                          <w:rPr>
                            <w:sz w:val="18"/>
                          </w:rPr>
                          <w:t>Reflux</w:t>
                        </w:r>
                      </w:p>
                    </w:tc>
                    <w:tc>
                      <w:tcPr>
                        <w:tcW w:w="1370" w:type="dxa"/>
                        <w:tcBorders>
                          <w:bottom w:val="single" w:sz="4" w:space="0" w:color="000000"/>
                        </w:tcBorders>
                      </w:tcPr>
                      <w:p>
                        <w:pPr>
                          <w:pStyle w:val="TableParagraph"/>
                          <w:spacing w:before="71"/>
                          <w:ind w:left="51"/>
                          <w:rPr>
                            <w:sz w:val="18"/>
                          </w:rPr>
                        </w:pPr>
                        <w:r>
                          <w:rPr>
                            <w:sz w:val="18"/>
                          </w:rPr>
                          <w:t>100℃, 2 hours</w:t>
                        </w:r>
                      </w:p>
                    </w:tc>
                    <w:tc>
                      <w:tcPr>
                        <w:tcW w:w="1595" w:type="dxa"/>
                        <w:tcBorders>
                          <w:bottom w:val="single" w:sz="4" w:space="0" w:color="000000"/>
                        </w:tcBorders>
                      </w:tcPr>
                      <w:p>
                        <w:pPr>
                          <w:pStyle w:val="TableParagraph"/>
                          <w:spacing w:before="71"/>
                          <w:ind w:left="242"/>
                          <w:rPr>
                            <w:sz w:val="18"/>
                          </w:rPr>
                        </w:pPr>
                        <w:r>
                          <w:rPr>
                            <w:sz w:val="18"/>
                          </w:rPr>
                          <w:t>434 (λex 360)</w:t>
                        </w:r>
                      </w:p>
                    </w:tc>
                    <w:tc>
                      <w:tcPr>
                        <w:tcW w:w="1684" w:type="dxa"/>
                        <w:gridSpan w:val="2"/>
                        <w:tcBorders>
                          <w:bottom w:val="single" w:sz="4" w:space="0" w:color="000000"/>
                        </w:tcBorders>
                      </w:tcPr>
                      <w:p>
                        <w:pPr>
                          <w:pStyle w:val="TableParagraph"/>
                          <w:spacing w:before="71"/>
                          <w:ind w:left="347"/>
                          <w:rPr>
                            <w:sz w:val="18"/>
                          </w:rPr>
                        </w:pPr>
                        <w:r>
                          <w:rPr>
                            <w:sz w:val="18"/>
                          </w:rPr>
                          <w:t>3.8</w:t>
                        </w:r>
                      </w:p>
                    </w:tc>
                  </w:tr>
                </w:tbl>
                <w:p>
                  <w:pPr>
                    <w:pStyle w:val="BodyText"/>
                  </w:pPr>
                </w:p>
              </w:txbxContent>
            </v:textbox>
            <w10:wrap type="none"/>
          </v:shape>
        </w:pict>
      </w:r>
      <w:r>
        <w:rPr>
          <w:sz w:val="18"/>
        </w:rPr>
        <w:t>Sonication</w:t>
      </w:r>
    </w:p>
    <w:p>
      <w:pPr>
        <w:pStyle w:val="BodyText"/>
      </w:pPr>
    </w:p>
    <w:p>
      <w:pPr>
        <w:pStyle w:val="BodyText"/>
      </w:pPr>
    </w:p>
    <w:p>
      <w:pPr>
        <w:pStyle w:val="BodyText"/>
      </w:pPr>
    </w:p>
    <w:p>
      <w:pPr>
        <w:pStyle w:val="BodyText"/>
      </w:pPr>
    </w:p>
    <w:p>
      <w:pPr>
        <w:pStyle w:val="BodyText"/>
      </w:pPr>
    </w:p>
    <w:p>
      <w:pPr>
        <w:pStyle w:val="BodyText"/>
        <w:spacing w:before="4"/>
        <w:rPr>
          <w:sz w:val="22"/>
        </w:rPr>
      </w:pPr>
    </w:p>
    <w:p>
      <w:pPr>
        <w:pStyle w:val="BodyText"/>
        <w:ind w:left="120" w:right="115" w:firstLine="284"/>
        <w:jc w:val="both"/>
      </w:pPr>
      <w:r>
        <w:rPr/>
        <w:t>Finally, the preparation methods and optical properties of CDs from various types of coal are compared in Table 4 [25, 46-49]. The optical performance of fluorescent substances or CDs from brown coal shown in this study is comparable</w:t>
      </w:r>
      <w:r>
        <w:rPr>
          <w:spacing w:val="-9"/>
        </w:rPr>
        <w:t> </w:t>
      </w:r>
      <w:r>
        <w:rPr/>
        <w:t>to</w:t>
      </w:r>
      <w:r>
        <w:rPr>
          <w:spacing w:val="-8"/>
        </w:rPr>
        <w:t> </w:t>
      </w:r>
      <w:r>
        <w:rPr/>
        <w:t>those</w:t>
      </w:r>
      <w:r>
        <w:rPr>
          <w:spacing w:val="-9"/>
        </w:rPr>
        <w:t> </w:t>
      </w:r>
      <w:r>
        <w:rPr/>
        <w:t>from</w:t>
      </w:r>
      <w:r>
        <w:rPr>
          <w:spacing w:val="-8"/>
        </w:rPr>
        <w:t> </w:t>
      </w:r>
      <w:r>
        <w:rPr/>
        <w:t>high-grade</w:t>
      </w:r>
      <w:r>
        <w:rPr>
          <w:spacing w:val="-9"/>
        </w:rPr>
        <w:t> </w:t>
      </w:r>
      <w:r>
        <w:rPr/>
        <w:t>coals</w:t>
      </w:r>
      <w:r>
        <w:rPr>
          <w:spacing w:val="-10"/>
        </w:rPr>
        <w:t> </w:t>
      </w:r>
      <w:r>
        <w:rPr/>
        <w:t>such</w:t>
      </w:r>
      <w:r>
        <w:rPr>
          <w:spacing w:val="-8"/>
        </w:rPr>
        <w:t> </w:t>
      </w:r>
      <w:r>
        <w:rPr/>
        <w:t>as</w:t>
      </w:r>
      <w:r>
        <w:rPr>
          <w:spacing w:val="-6"/>
        </w:rPr>
        <w:t> </w:t>
      </w:r>
      <w:r>
        <w:rPr/>
        <w:t>anthracite,</w:t>
      </w:r>
      <w:r>
        <w:rPr>
          <w:spacing w:val="-7"/>
        </w:rPr>
        <w:t> </w:t>
      </w:r>
      <w:r>
        <w:rPr/>
        <w:t>bituminous,</w:t>
      </w:r>
      <w:r>
        <w:rPr>
          <w:spacing w:val="-7"/>
        </w:rPr>
        <w:t> </w:t>
      </w:r>
      <w:r>
        <w:rPr/>
        <w:t>and</w:t>
      </w:r>
      <w:r>
        <w:rPr>
          <w:spacing w:val="-8"/>
        </w:rPr>
        <w:t> </w:t>
      </w:r>
      <w:r>
        <w:rPr/>
        <w:t>coke,</w:t>
      </w:r>
      <w:r>
        <w:rPr>
          <w:spacing w:val="-10"/>
        </w:rPr>
        <w:t> </w:t>
      </w:r>
      <w:r>
        <w:rPr/>
        <w:t>which</w:t>
      </w:r>
      <w:r>
        <w:rPr>
          <w:spacing w:val="-8"/>
        </w:rPr>
        <w:t> </w:t>
      </w:r>
      <w:r>
        <w:rPr/>
        <w:t>require</w:t>
      </w:r>
      <w:r>
        <w:rPr>
          <w:spacing w:val="-9"/>
        </w:rPr>
        <w:t> </w:t>
      </w:r>
      <w:r>
        <w:rPr/>
        <w:t>chemical</w:t>
      </w:r>
      <w:r>
        <w:rPr>
          <w:spacing w:val="-8"/>
        </w:rPr>
        <w:t> </w:t>
      </w:r>
      <w:r>
        <w:rPr/>
        <w:t>reactions at temperatures above 100℃ or for a long time. The improvement of the optical performance was also confirmed by amination. Further development of fluorescent materials from brown coal and its applications are in</w:t>
      </w:r>
      <w:r>
        <w:rPr>
          <w:spacing w:val="-9"/>
        </w:rPr>
        <w:t> </w:t>
      </w:r>
      <w:r>
        <w:rPr/>
        <w:t>progress.</w:t>
      </w:r>
    </w:p>
    <w:p>
      <w:pPr>
        <w:pStyle w:val="BodyText"/>
        <w:spacing w:before="3"/>
        <w:rPr>
          <w:sz w:val="21"/>
        </w:rPr>
      </w:pPr>
    </w:p>
    <w:p>
      <w:pPr>
        <w:pStyle w:val="Heading1"/>
        <w:spacing w:before="1"/>
        <w:ind w:left="1930"/>
      </w:pPr>
      <w:r>
        <w:rPr/>
        <w:t>CONCLUSION</w:t>
      </w:r>
    </w:p>
    <w:p>
      <w:pPr>
        <w:pStyle w:val="BodyText"/>
        <w:rPr>
          <w:b/>
          <w:sz w:val="26"/>
        </w:rPr>
      </w:pPr>
    </w:p>
    <w:p>
      <w:pPr>
        <w:pStyle w:val="BodyText"/>
        <w:spacing w:before="214"/>
        <w:ind w:left="120" w:right="111" w:firstLine="284"/>
        <w:jc w:val="both"/>
      </w:pPr>
      <w:r>
        <w:rPr/>
        <w:t>We</w:t>
      </w:r>
      <w:r>
        <w:rPr>
          <w:spacing w:val="-5"/>
        </w:rPr>
        <w:t> </w:t>
      </w:r>
      <w:r>
        <w:rPr/>
        <w:t>have</w:t>
      </w:r>
      <w:r>
        <w:rPr>
          <w:spacing w:val="-4"/>
        </w:rPr>
        <w:t> </w:t>
      </w:r>
      <w:r>
        <w:rPr/>
        <w:t>successfully</w:t>
      </w:r>
      <w:r>
        <w:rPr>
          <w:spacing w:val="-3"/>
        </w:rPr>
        <w:t> </w:t>
      </w:r>
      <w:r>
        <w:rPr/>
        <w:t>demonstrated</w:t>
      </w:r>
      <w:r>
        <w:rPr>
          <w:spacing w:val="-5"/>
        </w:rPr>
        <w:t> </w:t>
      </w:r>
      <w:r>
        <w:rPr/>
        <w:t>the</w:t>
      </w:r>
      <w:r>
        <w:rPr>
          <w:spacing w:val="-4"/>
        </w:rPr>
        <w:t> </w:t>
      </w:r>
      <w:r>
        <w:rPr/>
        <w:t>production</w:t>
      </w:r>
      <w:r>
        <w:rPr>
          <w:spacing w:val="-3"/>
        </w:rPr>
        <w:t> </w:t>
      </w:r>
      <w:r>
        <w:rPr/>
        <w:t>of</w:t>
      </w:r>
      <w:r>
        <w:rPr>
          <w:spacing w:val="-3"/>
        </w:rPr>
        <w:t> </w:t>
      </w:r>
      <w:r>
        <w:rPr/>
        <w:t>blue</w:t>
      </w:r>
      <w:r>
        <w:rPr>
          <w:spacing w:val="-4"/>
        </w:rPr>
        <w:t> </w:t>
      </w:r>
      <w:r>
        <w:rPr/>
        <w:t>light-emitting</w:t>
      </w:r>
      <w:r>
        <w:rPr>
          <w:spacing w:val="-3"/>
        </w:rPr>
        <w:t> </w:t>
      </w:r>
      <w:r>
        <w:rPr/>
        <w:t>solutions</w:t>
      </w:r>
      <w:r>
        <w:rPr>
          <w:spacing w:val="-5"/>
        </w:rPr>
        <w:t> </w:t>
      </w:r>
      <w:r>
        <w:rPr/>
        <w:t>or</w:t>
      </w:r>
      <w:r>
        <w:rPr>
          <w:spacing w:val="-3"/>
        </w:rPr>
        <w:t> </w:t>
      </w:r>
      <w:r>
        <w:rPr/>
        <w:t>CDs</w:t>
      </w:r>
      <w:r>
        <w:rPr>
          <w:spacing w:val="-6"/>
        </w:rPr>
        <w:t> </w:t>
      </w:r>
      <w:r>
        <w:rPr/>
        <w:t>from</w:t>
      </w:r>
      <w:r>
        <w:rPr>
          <w:spacing w:val="-3"/>
        </w:rPr>
        <w:t> </w:t>
      </w:r>
      <w:r>
        <w:rPr/>
        <w:t>Australian</w:t>
      </w:r>
      <w:r>
        <w:rPr>
          <w:spacing w:val="-4"/>
        </w:rPr>
        <w:t> </w:t>
      </w:r>
      <w:r>
        <w:rPr/>
        <w:t>brown coal using both ethanol extraction and EDA refluxing methods. This discovery opens new possibilities for utilizing brown coal as a source of blue-emitting materials, with potential applications in areas such as LED technology. Currently,</w:t>
      </w:r>
      <w:r>
        <w:rPr>
          <w:spacing w:val="-12"/>
        </w:rPr>
        <w:t> </w:t>
      </w:r>
      <w:r>
        <w:rPr/>
        <w:t>brown</w:t>
      </w:r>
      <w:r>
        <w:rPr>
          <w:spacing w:val="-13"/>
        </w:rPr>
        <w:t> </w:t>
      </w:r>
      <w:r>
        <w:rPr/>
        <w:t>coal</w:t>
      </w:r>
      <w:r>
        <w:rPr>
          <w:spacing w:val="-16"/>
        </w:rPr>
        <w:t> </w:t>
      </w:r>
      <w:r>
        <w:rPr/>
        <w:t>is</w:t>
      </w:r>
      <w:r>
        <w:rPr>
          <w:spacing w:val="-14"/>
        </w:rPr>
        <w:t> </w:t>
      </w:r>
      <w:r>
        <w:rPr/>
        <w:t>primarily</w:t>
      </w:r>
      <w:r>
        <w:rPr>
          <w:spacing w:val="-12"/>
        </w:rPr>
        <w:t> </w:t>
      </w:r>
      <w:r>
        <w:rPr/>
        <w:t>used</w:t>
      </w:r>
      <w:r>
        <w:rPr>
          <w:spacing w:val="-12"/>
        </w:rPr>
        <w:t> </w:t>
      </w:r>
      <w:r>
        <w:rPr/>
        <w:t>for</w:t>
      </w:r>
      <w:r>
        <w:rPr>
          <w:spacing w:val="-11"/>
        </w:rPr>
        <w:t> </w:t>
      </w:r>
      <w:r>
        <w:rPr/>
        <w:t>power</w:t>
      </w:r>
      <w:r>
        <w:rPr>
          <w:spacing w:val="-15"/>
        </w:rPr>
        <w:t> </w:t>
      </w:r>
      <w:r>
        <w:rPr/>
        <w:t>generation</w:t>
      </w:r>
      <w:r>
        <w:rPr>
          <w:spacing w:val="-12"/>
        </w:rPr>
        <w:t> </w:t>
      </w:r>
      <w:r>
        <w:rPr/>
        <w:t>through</w:t>
      </w:r>
      <w:r>
        <w:rPr>
          <w:spacing w:val="-16"/>
        </w:rPr>
        <w:t> </w:t>
      </w:r>
      <w:r>
        <w:rPr/>
        <w:t>combustion,</w:t>
      </w:r>
      <w:r>
        <w:rPr>
          <w:spacing w:val="-11"/>
        </w:rPr>
        <w:t> </w:t>
      </w:r>
      <w:r>
        <w:rPr/>
        <w:t>leading</w:t>
      </w:r>
      <w:r>
        <w:rPr>
          <w:spacing w:val="-16"/>
        </w:rPr>
        <w:t> </w:t>
      </w:r>
      <w:r>
        <w:rPr/>
        <w:t>to</w:t>
      </w:r>
      <w:r>
        <w:rPr>
          <w:spacing w:val="-12"/>
        </w:rPr>
        <w:t> </w:t>
      </w:r>
      <w:r>
        <w:rPr/>
        <w:t>significant</w:t>
      </w:r>
      <w:r>
        <w:rPr>
          <w:spacing w:val="-12"/>
        </w:rPr>
        <w:t> </w:t>
      </w:r>
      <w:r>
        <w:rPr/>
        <w:t>environmental impact [50]. Therefore, there is an urgent need for cleaner and more sustainable utilization of coal resources. Our findings offer a promising avenue towards achieving this goal and can contribute to the development of a resource- efficient, environmentally friendly, and economically viable coal</w:t>
      </w:r>
      <w:r>
        <w:rPr>
          <w:spacing w:val="4"/>
        </w:rPr>
        <w:t> </w:t>
      </w:r>
      <w:r>
        <w:rPr/>
        <w:t>industry.</w:t>
      </w:r>
    </w:p>
    <w:p>
      <w:pPr>
        <w:pStyle w:val="BodyText"/>
        <w:rPr>
          <w:sz w:val="21"/>
        </w:rPr>
      </w:pPr>
    </w:p>
    <w:p>
      <w:pPr>
        <w:pStyle w:val="Heading1"/>
        <w:ind w:left="1925"/>
      </w:pPr>
      <w:r>
        <w:rPr/>
        <w:t>ACKNOWLEDGMENTS</w:t>
      </w:r>
    </w:p>
    <w:p>
      <w:pPr>
        <w:pStyle w:val="BodyText"/>
        <w:rPr>
          <w:b/>
          <w:sz w:val="26"/>
        </w:rPr>
      </w:pPr>
    </w:p>
    <w:p>
      <w:pPr>
        <w:pStyle w:val="BodyText"/>
        <w:spacing w:before="215"/>
        <w:ind w:left="120" w:right="116" w:firstLine="284"/>
        <w:jc w:val="both"/>
      </w:pPr>
      <w:r>
        <w:rPr/>
        <w:t>This</w:t>
      </w:r>
      <w:r>
        <w:rPr>
          <w:spacing w:val="-6"/>
        </w:rPr>
        <w:t> </w:t>
      </w:r>
      <w:r>
        <w:rPr/>
        <w:t>work</w:t>
      </w:r>
      <w:r>
        <w:rPr>
          <w:spacing w:val="-4"/>
        </w:rPr>
        <w:t> </w:t>
      </w:r>
      <w:r>
        <w:rPr/>
        <w:t>was</w:t>
      </w:r>
      <w:r>
        <w:rPr>
          <w:spacing w:val="-6"/>
        </w:rPr>
        <w:t> </w:t>
      </w:r>
      <w:r>
        <w:rPr/>
        <w:t>supported</w:t>
      </w:r>
      <w:r>
        <w:rPr>
          <w:spacing w:val="-5"/>
        </w:rPr>
        <w:t> </w:t>
      </w:r>
      <w:r>
        <w:rPr/>
        <w:t>by</w:t>
      </w:r>
      <w:r>
        <w:rPr>
          <w:spacing w:val="-7"/>
        </w:rPr>
        <w:t> </w:t>
      </w:r>
      <w:r>
        <w:rPr/>
        <w:t>the</w:t>
      </w:r>
      <w:r>
        <w:rPr>
          <w:spacing w:val="-5"/>
        </w:rPr>
        <w:t> </w:t>
      </w:r>
      <w:r>
        <w:rPr/>
        <w:t>Japan</w:t>
      </w:r>
      <w:r>
        <w:rPr>
          <w:spacing w:val="-4"/>
        </w:rPr>
        <w:t> </w:t>
      </w:r>
      <w:r>
        <w:rPr/>
        <w:t>Society</w:t>
      </w:r>
      <w:r>
        <w:rPr>
          <w:spacing w:val="-4"/>
        </w:rPr>
        <w:t> </w:t>
      </w:r>
      <w:r>
        <w:rPr/>
        <w:t>for</w:t>
      </w:r>
      <w:r>
        <w:rPr>
          <w:spacing w:val="-7"/>
        </w:rPr>
        <w:t> </w:t>
      </w:r>
      <w:r>
        <w:rPr/>
        <w:t>the</w:t>
      </w:r>
      <w:r>
        <w:rPr>
          <w:spacing w:val="-5"/>
        </w:rPr>
        <w:t> </w:t>
      </w:r>
      <w:r>
        <w:rPr/>
        <w:t>Promotion</w:t>
      </w:r>
      <w:r>
        <w:rPr>
          <w:spacing w:val="-3"/>
        </w:rPr>
        <w:t> </w:t>
      </w:r>
      <w:r>
        <w:rPr/>
        <w:t>of</w:t>
      </w:r>
      <w:r>
        <w:rPr>
          <w:spacing w:val="-3"/>
        </w:rPr>
        <w:t> </w:t>
      </w:r>
      <w:r>
        <w:rPr/>
        <w:t>Science</w:t>
      </w:r>
      <w:r>
        <w:rPr>
          <w:spacing w:val="-9"/>
        </w:rPr>
        <w:t> </w:t>
      </w:r>
      <w:r>
        <w:rPr/>
        <w:t>(JSPS)</w:t>
      </w:r>
      <w:r>
        <w:rPr>
          <w:spacing w:val="-3"/>
        </w:rPr>
        <w:t> </w:t>
      </w:r>
      <w:r>
        <w:rPr/>
        <w:t>KAK</w:t>
      </w:r>
      <w:r>
        <w:rPr>
          <w:spacing w:val="-9"/>
        </w:rPr>
        <w:t> </w:t>
      </w:r>
      <w:r>
        <w:rPr/>
        <w:t>ENHI</w:t>
      </w:r>
      <w:r>
        <w:rPr>
          <w:spacing w:val="-2"/>
        </w:rPr>
        <w:t> </w:t>
      </w:r>
      <w:r>
        <w:rPr/>
        <w:t>Grants-in-Aid</w:t>
      </w:r>
      <w:r>
        <w:rPr>
          <w:spacing w:val="-5"/>
        </w:rPr>
        <w:t> </w:t>
      </w:r>
      <w:r>
        <w:rPr/>
        <w:t>for Scientific Research (17K06797, 21K04654). This work also was supported by the Australian Carbon Innovation for Research</w:t>
      </w:r>
      <w:r>
        <w:rPr>
          <w:spacing w:val="-12"/>
        </w:rPr>
        <w:t> </w:t>
      </w:r>
      <w:r>
        <w:rPr/>
        <w:t>project</w:t>
      </w:r>
      <w:r>
        <w:rPr>
          <w:spacing w:val="-12"/>
        </w:rPr>
        <w:t> </w:t>
      </w:r>
      <w:r>
        <w:rPr/>
        <w:t>titled</w:t>
      </w:r>
      <w:r>
        <w:rPr>
          <w:spacing w:val="-12"/>
        </w:rPr>
        <w:t> </w:t>
      </w:r>
      <w:r>
        <w:rPr/>
        <w:t>“High</w:t>
      </w:r>
      <w:r>
        <w:rPr>
          <w:spacing w:val="-13"/>
        </w:rPr>
        <w:t> </w:t>
      </w:r>
      <w:r>
        <w:rPr/>
        <w:t>Value</w:t>
      </w:r>
      <w:r>
        <w:rPr>
          <w:spacing w:val="-12"/>
        </w:rPr>
        <w:t> </w:t>
      </w:r>
      <w:r>
        <w:rPr/>
        <w:t>Carbon</w:t>
      </w:r>
      <w:r>
        <w:rPr>
          <w:spacing w:val="-12"/>
        </w:rPr>
        <w:t> </w:t>
      </w:r>
      <w:r>
        <w:rPr/>
        <w:t>Quantum</w:t>
      </w:r>
      <w:r>
        <w:rPr>
          <w:spacing w:val="-12"/>
        </w:rPr>
        <w:t> </w:t>
      </w:r>
      <w:r>
        <w:rPr/>
        <w:t>Materials</w:t>
      </w:r>
      <w:r>
        <w:rPr>
          <w:spacing w:val="-13"/>
        </w:rPr>
        <w:t> </w:t>
      </w:r>
      <w:r>
        <w:rPr/>
        <w:t>from</w:t>
      </w:r>
      <w:r>
        <w:rPr>
          <w:spacing w:val="-12"/>
        </w:rPr>
        <w:t> </w:t>
      </w:r>
      <w:r>
        <w:rPr/>
        <w:t>Australian</w:t>
      </w:r>
      <w:r>
        <w:rPr>
          <w:spacing w:val="-12"/>
        </w:rPr>
        <w:t> </w:t>
      </w:r>
      <w:r>
        <w:rPr/>
        <w:t>lignite”</w:t>
      </w:r>
      <w:r>
        <w:rPr>
          <w:spacing w:val="-13"/>
        </w:rPr>
        <w:t> </w:t>
      </w:r>
      <w:r>
        <w:rPr/>
        <w:t>(22-A02).</w:t>
      </w:r>
      <w:r>
        <w:rPr>
          <w:spacing w:val="-10"/>
        </w:rPr>
        <w:t> </w:t>
      </w:r>
      <w:r>
        <w:rPr/>
        <w:t>The</w:t>
      </w:r>
      <w:r>
        <w:rPr>
          <w:spacing w:val="-16"/>
        </w:rPr>
        <w:t> </w:t>
      </w:r>
      <w:r>
        <w:rPr/>
        <w:t>authors</w:t>
      </w:r>
      <w:r>
        <w:rPr>
          <w:spacing w:val="-14"/>
        </w:rPr>
        <w:t> </w:t>
      </w:r>
      <w:r>
        <w:rPr/>
        <w:t>deeply appreciate the support provided by these</w:t>
      </w:r>
      <w:r>
        <w:rPr>
          <w:spacing w:val="2"/>
        </w:rPr>
        <w:t> </w:t>
      </w:r>
      <w:r>
        <w:rPr/>
        <w:t>resources.</w:t>
      </w:r>
    </w:p>
    <w:p>
      <w:pPr>
        <w:spacing w:after="0"/>
        <w:jc w:val="both"/>
        <w:sectPr>
          <w:pgSz w:w="12240" w:h="15840"/>
          <w:pgMar w:top="1360" w:bottom="280" w:left="1320" w:right="1320"/>
        </w:sectPr>
      </w:pPr>
    </w:p>
    <w:p>
      <w:pPr>
        <w:pStyle w:val="Heading1"/>
        <w:spacing w:before="60"/>
        <w:ind w:left="1926"/>
      </w:pPr>
      <w:r>
        <w:rPr/>
        <w:t>REFERENCES</w:t>
      </w:r>
    </w:p>
    <w:p>
      <w:pPr>
        <w:pStyle w:val="BodyText"/>
        <w:rPr>
          <w:b/>
          <w:sz w:val="26"/>
        </w:rPr>
      </w:pPr>
    </w:p>
    <w:p>
      <w:pPr>
        <w:pStyle w:val="ListParagraph"/>
        <w:numPr>
          <w:ilvl w:val="0"/>
          <w:numId w:val="1"/>
        </w:numPr>
        <w:tabs>
          <w:tab w:pos="480" w:val="left" w:leader="none"/>
          <w:tab w:pos="481" w:val="left" w:leader="none"/>
        </w:tabs>
        <w:spacing w:line="240" w:lineRule="auto" w:before="166" w:after="0"/>
        <w:ind w:left="480" w:right="0" w:hanging="361"/>
        <w:jc w:val="left"/>
        <w:rPr>
          <w:sz w:val="20"/>
        </w:rPr>
      </w:pPr>
      <w:r>
        <w:rPr>
          <w:sz w:val="20"/>
        </w:rPr>
        <w:t>B.Y. Wang and S.Y. Lu, Matter </w:t>
      </w:r>
      <w:r>
        <w:rPr>
          <w:b/>
          <w:sz w:val="20"/>
        </w:rPr>
        <w:t>5</w:t>
      </w:r>
      <w:r>
        <w:rPr>
          <w:sz w:val="20"/>
        </w:rPr>
        <w:t>, 110</w:t>
      </w:r>
      <w:r>
        <w:rPr>
          <w:spacing w:val="6"/>
          <w:sz w:val="20"/>
        </w:rPr>
        <w:t> </w:t>
      </w:r>
      <w:r>
        <w:rPr>
          <w:sz w:val="20"/>
        </w:rPr>
        <w:t>(2022).</w:t>
      </w:r>
    </w:p>
    <w:p>
      <w:pPr>
        <w:pStyle w:val="ListParagraph"/>
        <w:numPr>
          <w:ilvl w:val="0"/>
          <w:numId w:val="1"/>
        </w:numPr>
        <w:tabs>
          <w:tab w:pos="480" w:val="left" w:leader="none"/>
          <w:tab w:pos="481" w:val="left" w:leader="none"/>
        </w:tabs>
        <w:spacing w:line="229" w:lineRule="exact" w:before="3" w:after="0"/>
        <w:ind w:left="480" w:right="0" w:hanging="361"/>
        <w:jc w:val="left"/>
        <w:rPr>
          <w:sz w:val="20"/>
        </w:rPr>
      </w:pPr>
      <w:r>
        <w:rPr>
          <w:sz w:val="20"/>
        </w:rPr>
        <w:t>Y. Sun, S. Wang, C. Li, P. Luo, L. Tao, </w:t>
      </w:r>
      <w:r>
        <w:rPr>
          <w:spacing w:val="-3"/>
          <w:sz w:val="20"/>
        </w:rPr>
        <w:t>Y. </w:t>
      </w:r>
      <w:r>
        <w:rPr>
          <w:sz w:val="20"/>
        </w:rPr>
        <w:t>Wei, and G. Shi, Phys. Chem. Chem. Phys. </w:t>
      </w:r>
      <w:r>
        <w:rPr>
          <w:b/>
          <w:sz w:val="20"/>
        </w:rPr>
        <w:t>15</w:t>
      </w:r>
      <w:r>
        <w:rPr>
          <w:sz w:val="20"/>
        </w:rPr>
        <w:t>, 9907</w:t>
      </w:r>
      <w:r>
        <w:rPr>
          <w:spacing w:val="8"/>
          <w:sz w:val="20"/>
        </w:rPr>
        <w:t> </w:t>
      </w:r>
      <w:r>
        <w:rPr>
          <w:sz w:val="20"/>
        </w:rPr>
        <w:t>(2013).</w:t>
      </w:r>
    </w:p>
    <w:p>
      <w:pPr>
        <w:pStyle w:val="ListParagraph"/>
        <w:numPr>
          <w:ilvl w:val="0"/>
          <w:numId w:val="1"/>
        </w:numPr>
        <w:tabs>
          <w:tab w:pos="480" w:val="left" w:leader="none"/>
          <w:tab w:pos="481" w:val="left" w:leader="none"/>
        </w:tabs>
        <w:spacing w:line="229" w:lineRule="exact" w:before="0" w:after="0"/>
        <w:ind w:left="480" w:right="0" w:hanging="361"/>
        <w:jc w:val="left"/>
        <w:rPr>
          <w:sz w:val="20"/>
        </w:rPr>
      </w:pPr>
      <w:r>
        <w:rPr>
          <w:sz w:val="20"/>
        </w:rPr>
        <w:t>D. Pan, J. Zhang, Z. Li, and M. Wu, Advanced Materials </w:t>
      </w:r>
      <w:r>
        <w:rPr>
          <w:b/>
          <w:sz w:val="20"/>
        </w:rPr>
        <w:t>22</w:t>
      </w:r>
      <w:r>
        <w:rPr>
          <w:sz w:val="20"/>
        </w:rPr>
        <w:t>, 734</w:t>
      </w:r>
      <w:r>
        <w:rPr>
          <w:spacing w:val="6"/>
          <w:sz w:val="20"/>
        </w:rPr>
        <w:t> </w:t>
      </w:r>
      <w:r>
        <w:rPr>
          <w:sz w:val="20"/>
        </w:rPr>
        <w:t>(2010).</w:t>
      </w:r>
    </w:p>
    <w:p>
      <w:pPr>
        <w:pStyle w:val="ListParagraph"/>
        <w:numPr>
          <w:ilvl w:val="0"/>
          <w:numId w:val="1"/>
        </w:numPr>
        <w:tabs>
          <w:tab w:pos="480" w:val="left" w:leader="none"/>
          <w:tab w:pos="481" w:val="left" w:leader="none"/>
        </w:tabs>
        <w:spacing w:line="240" w:lineRule="auto" w:before="2" w:after="0"/>
        <w:ind w:left="480" w:right="119" w:hanging="360"/>
        <w:jc w:val="left"/>
        <w:rPr>
          <w:sz w:val="20"/>
        </w:rPr>
      </w:pPr>
      <w:r>
        <w:rPr>
          <w:sz w:val="20"/>
        </w:rPr>
        <w:t>T.T. Meiling, </w:t>
      </w:r>
      <w:r>
        <w:rPr>
          <w:spacing w:val="-3"/>
          <w:sz w:val="20"/>
        </w:rPr>
        <w:t>R. </w:t>
      </w:r>
      <w:r>
        <w:rPr>
          <w:sz w:val="20"/>
        </w:rPr>
        <w:t>Schürmann, S. Vogel, K. Ebel, C. Nicolas, A.R. Milosavljević, and I. Bald, The Journal of Physical Chemistry C </w:t>
      </w:r>
      <w:r>
        <w:rPr>
          <w:b/>
          <w:sz w:val="20"/>
        </w:rPr>
        <w:t>122</w:t>
      </w:r>
      <w:r>
        <w:rPr>
          <w:sz w:val="20"/>
        </w:rPr>
        <w:t>, 10217</w:t>
      </w:r>
      <w:r>
        <w:rPr>
          <w:spacing w:val="4"/>
          <w:sz w:val="20"/>
        </w:rPr>
        <w:t> </w:t>
      </w:r>
      <w:r>
        <w:rPr>
          <w:sz w:val="20"/>
        </w:rPr>
        <w:t>(2018).</w:t>
      </w:r>
    </w:p>
    <w:p>
      <w:pPr>
        <w:pStyle w:val="ListParagraph"/>
        <w:numPr>
          <w:ilvl w:val="0"/>
          <w:numId w:val="1"/>
        </w:numPr>
        <w:tabs>
          <w:tab w:pos="480" w:val="left" w:leader="none"/>
          <w:tab w:pos="481" w:val="left" w:leader="none"/>
        </w:tabs>
        <w:spacing w:line="229" w:lineRule="exact" w:before="0" w:after="0"/>
        <w:ind w:left="480" w:right="0" w:hanging="361"/>
        <w:jc w:val="left"/>
        <w:rPr>
          <w:sz w:val="20"/>
        </w:rPr>
      </w:pPr>
      <w:r>
        <w:rPr>
          <w:sz w:val="20"/>
        </w:rPr>
        <w:t>Y. Zhang, </w:t>
      </w:r>
      <w:r>
        <w:rPr>
          <w:spacing w:val="-3"/>
          <w:sz w:val="20"/>
        </w:rPr>
        <w:t>X. </w:t>
      </w:r>
      <w:r>
        <w:rPr>
          <w:sz w:val="20"/>
        </w:rPr>
        <w:t>Liu, Y. Fan, X. Guo, L. Zhou, </w:t>
      </w:r>
      <w:r>
        <w:rPr>
          <w:spacing w:val="-3"/>
          <w:sz w:val="20"/>
        </w:rPr>
        <w:t>Y. </w:t>
      </w:r>
      <w:r>
        <w:rPr>
          <w:sz w:val="20"/>
        </w:rPr>
        <w:t>Lv, and J. Lin, Nanoscale </w:t>
      </w:r>
      <w:r>
        <w:rPr>
          <w:b/>
          <w:sz w:val="20"/>
        </w:rPr>
        <w:t>8</w:t>
      </w:r>
      <w:r>
        <w:rPr>
          <w:sz w:val="20"/>
        </w:rPr>
        <w:t>, 15281</w:t>
      </w:r>
      <w:r>
        <w:rPr>
          <w:spacing w:val="-4"/>
          <w:sz w:val="20"/>
        </w:rPr>
        <w:t> </w:t>
      </w:r>
      <w:r>
        <w:rPr>
          <w:sz w:val="20"/>
        </w:rPr>
        <w:t>(2016).</w:t>
      </w:r>
    </w:p>
    <w:p>
      <w:pPr>
        <w:pStyle w:val="ListParagraph"/>
        <w:numPr>
          <w:ilvl w:val="0"/>
          <w:numId w:val="1"/>
        </w:numPr>
        <w:tabs>
          <w:tab w:pos="480" w:val="left" w:leader="none"/>
          <w:tab w:pos="481" w:val="left" w:leader="none"/>
        </w:tabs>
        <w:spacing w:line="229" w:lineRule="exact" w:before="0" w:after="0"/>
        <w:ind w:left="480" w:right="0" w:hanging="361"/>
        <w:jc w:val="left"/>
        <w:rPr>
          <w:sz w:val="20"/>
        </w:rPr>
      </w:pPr>
      <w:r>
        <w:rPr>
          <w:sz w:val="20"/>
        </w:rPr>
        <w:t>X. Zhang, M. Jiang, </w:t>
      </w:r>
      <w:r>
        <w:rPr>
          <w:spacing w:val="-3"/>
          <w:sz w:val="20"/>
        </w:rPr>
        <w:t>N. </w:t>
      </w:r>
      <w:r>
        <w:rPr>
          <w:sz w:val="20"/>
        </w:rPr>
        <w:t>Niu, Z. Chen, S. Li, S. Liu, and J. Li, Chemsuschem </w:t>
      </w:r>
      <w:r>
        <w:rPr>
          <w:b/>
          <w:sz w:val="20"/>
        </w:rPr>
        <w:t>11</w:t>
      </w:r>
      <w:r>
        <w:rPr>
          <w:sz w:val="20"/>
        </w:rPr>
        <w:t>, 11</w:t>
      </w:r>
      <w:r>
        <w:rPr>
          <w:spacing w:val="-10"/>
          <w:sz w:val="20"/>
        </w:rPr>
        <w:t> </w:t>
      </w:r>
      <w:r>
        <w:rPr>
          <w:sz w:val="20"/>
        </w:rPr>
        <w:t>(2018).</w:t>
      </w:r>
    </w:p>
    <w:p>
      <w:pPr>
        <w:pStyle w:val="ListParagraph"/>
        <w:numPr>
          <w:ilvl w:val="0"/>
          <w:numId w:val="1"/>
        </w:numPr>
        <w:tabs>
          <w:tab w:pos="480" w:val="left" w:leader="none"/>
          <w:tab w:pos="481" w:val="left" w:leader="none"/>
        </w:tabs>
        <w:spacing w:line="229" w:lineRule="exact" w:before="2" w:after="0"/>
        <w:ind w:left="480" w:right="0" w:hanging="361"/>
        <w:jc w:val="left"/>
        <w:rPr>
          <w:sz w:val="20"/>
        </w:rPr>
      </w:pPr>
      <w:r>
        <w:rPr>
          <w:sz w:val="20"/>
        </w:rPr>
        <w:t>A. Dager, T. Uchida, T. Maekawa, and M. Tachibana, Scientific Reports </w:t>
      </w:r>
      <w:r>
        <w:rPr>
          <w:b/>
          <w:sz w:val="20"/>
        </w:rPr>
        <w:t>9</w:t>
      </w:r>
      <w:r>
        <w:rPr>
          <w:sz w:val="20"/>
        </w:rPr>
        <w:t>, 14004</w:t>
      </w:r>
      <w:r>
        <w:rPr>
          <w:spacing w:val="5"/>
          <w:sz w:val="20"/>
        </w:rPr>
        <w:t> </w:t>
      </w:r>
      <w:r>
        <w:rPr>
          <w:sz w:val="20"/>
        </w:rPr>
        <w:t>(2019).</w:t>
      </w:r>
    </w:p>
    <w:p>
      <w:pPr>
        <w:pStyle w:val="ListParagraph"/>
        <w:numPr>
          <w:ilvl w:val="0"/>
          <w:numId w:val="1"/>
        </w:numPr>
        <w:tabs>
          <w:tab w:pos="480" w:val="left" w:leader="none"/>
          <w:tab w:pos="481" w:val="left" w:leader="none"/>
        </w:tabs>
        <w:spacing w:line="229" w:lineRule="exact" w:before="0" w:after="0"/>
        <w:ind w:left="480" w:right="0" w:hanging="361"/>
        <w:jc w:val="left"/>
        <w:rPr>
          <w:sz w:val="20"/>
        </w:rPr>
      </w:pPr>
      <w:r>
        <w:rPr>
          <w:sz w:val="20"/>
        </w:rPr>
        <w:t>A. Dager, A. Baliyan, S. Kurosu, T. Maekawa, and M. Tachibana, Scientific Reports </w:t>
      </w:r>
      <w:r>
        <w:rPr>
          <w:b/>
          <w:sz w:val="20"/>
        </w:rPr>
        <w:t>10</w:t>
      </w:r>
      <w:r>
        <w:rPr>
          <w:sz w:val="20"/>
        </w:rPr>
        <w:t>, 12333</w:t>
      </w:r>
      <w:r>
        <w:rPr>
          <w:spacing w:val="-6"/>
          <w:sz w:val="20"/>
        </w:rPr>
        <w:t> </w:t>
      </w:r>
      <w:r>
        <w:rPr>
          <w:sz w:val="20"/>
        </w:rPr>
        <w:t>(2020).</w:t>
      </w:r>
    </w:p>
    <w:p>
      <w:pPr>
        <w:pStyle w:val="ListParagraph"/>
        <w:numPr>
          <w:ilvl w:val="0"/>
          <w:numId w:val="1"/>
        </w:numPr>
        <w:tabs>
          <w:tab w:pos="480" w:val="left" w:leader="none"/>
          <w:tab w:pos="481" w:val="left" w:leader="none"/>
        </w:tabs>
        <w:spacing w:line="229" w:lineRule="exact" w:before="2" w:after="0"/>
        <w:ind w:left="480" w:right="0" w:hanging="361"/>
        <w:jc w:val="left"/>
        <w:rPr>
          <w:sz w:val="20"/>
        </w:rPr>
      </w:pPr>
      <w:r>
        <w:rPr>
          <w:sz w:val="20"/>
        </w:rPr>
        <w:t>N. Urushihara,</w:t>
      </w:r>
      <w:r>
        <w:rPr>
          <w:spacing w:val="-3"/>
          <w:sz w:val="20"/>
        </w:rPr>
        <w:t> </w:t>
      </w:r>
      <w:r>
        <w:rPr>
          <w:sz w:val="20"/>
        </w:rPr>
        <w:t>T.</w:t>
      </w:r>
      <w:r>
        <w:rPr>
          <w:spacing w:val="-2"/>
          <w:sz w:val="20"/>
        </w:rPr>
        <w:t> </w:t>
      </w:r>
      <w:r>
        <w:rPr>
          <w:sz w:val="20"/>
        </w:rPr>
        <w:t>Hirai,</w:t>
      </w:r>
      <w:r>
        <w:rPr>
          <w:spacing w:val="-2"/>
          <w:sz w:val="20"/>
        </w:rPr>
        <w:t> </w:t>
      </w:r>
      <w:r>
        <w:rPr>
          <w:spacing w:val="-3"/>
          <w:sz w:val="20"/>
        </w:rPr>
        <w:t>A. </w:t>
      </w:r>
      <w:r>
        <w:rPr>
          <w:sz w:val="20"/>
        </w:rPr>
        <w:t>Dager,</w:t>
      </w:r>
      <w:r>
        <w:rPr>
          <w:spacing w:val="-3"/>
          <w:sz w:val="20"/>
        </w:rPr>
        <w:t> </w:t>
      </w:r>
      <w:r>
        <w:rPr>
          <w:sz w:val="20"/>
        </w:rPr>
        <w:t>Y.</w:t>
      </w:r>
      <w:r>
        <w:rPr>
          <w:spacing w:val="-3"/>
          <w:sz w:val="20"/>
        </w:rPr>
        <w:t> </w:t>
      </w:r>
      <w:r>
        <w:rPr>
          <w:sz w:val="20"/>
        </w:rPr>
        <w:t>Nakamura,</w:t>
      </w:r>
      <w:r>
        <w:rPr>
          <w:spacing w:val="-6"/>
          <w:sz w:val="20"/>
        </w:rPr>
        <w:t> </w:t>
      </w:r>
      <w:r>
        <w:rPr>
          <w:sz w:val="20"/>
        </w:rPr>
        <w:t>Y.</w:t>
      </w:r>
      <w:r>
        <w:rPr>
          <w:spacing w:val="1"/>
          <w:sz w:val="20"/>
        </w:rPr>
        <w:t> </w:t>
      </w:r>
      <w:r>
        <w:rPr>
          <w:sz w:val="20"/>
        </w:rPr>
        <w:t>Nishi,</w:t>
      </w:r>
      <w:r>
        <w:rPr>
          <w:spacing w:val="-2"/>
          <w:sz w:val="20"/>
        </w:rPr>
        <w:t> </w:t>
      </w:r>
      <w:r>
        <w:rPr>
          <w:spacing w:val="-3"/>
          <w:sz w:val="20"/>
        </w:rPr>
        <w:t>K. </w:t>
      </w:r>
      <w:r>
        <w:rPr>
          <w:sz w:val="20"/>
        </w:rPr>
        <w:t>Inoue,</w:t>
      </w:r>
      <w:r>
        <w:rPr>
          <w:spacing w:val="-3"/>
          <w:sz w:val="20"/>
        </w:rPr>
        <w:t> </w:t>
      </w:r>
      <w:r>
        <w:rPr>
          <w:sz w:val="20"/>
        </w:rPr>
        <w:t>R.</w:t>
      </w:r>
      <w:r>
        <w:rPr>
          <w:spacing w:val="-6"/>
          <w:sz w:val="20"/>
        </w:rPr>
        <w:t> </w:t>
      </w:r>
      <w:r>
        <w:rPr>
          <w:sz w:val="20"/>
        </w:rPr>
        <w:t>Suzuki,</w:t>
      </w:r>
      <w:r>
        <w:rPr>
          <w:spacing w:val="-2"/>
          <w:sz w:val="20"/>
        </w:rPr>
        <w:t> </w:t>
      </w:r>
      <w:r>
        <w:rPr>
          <w:sz w:val="20"/>
        </w:rPr>
        <w:t>M.</w:t>
      </w:r>
      <w:r>
        <w:rPr>
          <w:spacing w:val="-3"/>
          <w:sz w:val="20"/>
        </w:rPr>
        <w:t> </w:t>
      </w:r>
      <w:r>
        <w:rPr>
          <w:sz w:val="20"/>
        </w:rPr>
        <w:t>Tanimura,</w:t>
      </w:r>
      <w:r>
        <w:rPr>
          <w:spacing w:val="-3"/>
          <w:sz w:val="20"/>
        </w:rPr>
        <w:t> </w:t>
      </w:r>
      <w:r>
        <w:rPr>
          <w:sz w:val="20"/>
        </w:rPr>
        <w:t>K.</w:t>
      </w:r>
      <w:r>
        <w:rPr>
          <w:spacing w:val="-6"/>
          <w:sz w:val="20"/>
        </w:rPr>
        <w:t> </w:t>
      </w:r>
      <w:r>
        <w:rPr>
          <w:sz w:val="20"/>
        </w:rPr>
        <w:t>Shinozaki,</w:t>
      </w:r>
      <w:r>
        <w:rPr>
          <w:spacing w:val="2"/>
          <w:sz w:val="20"/>
        </w:rPr>
        <w:t> </w:t>
      </w:r>
      <w:r>
        <w:rPr>
          <w:sz w:val="20"/>
        </w:rPr>
        <w:t>and</w:t>
      </w:r>
    </w:p>
    <w:p>
      <w:pPr>
        <w:pStyle w:val="BodyText"/>
        <w:spacing w:line="229" w:lineRule="exact"/>
        <w:ind w:left="480"/>
      </w:pPr>
      <w:r>
        <w:rPr/>
        <w:t>M. Tachibana, ACS Applied Nano Materials </w:t>
      </w:r>
      <w:r>
        <w:rPr>
          <w:b/>
        </w:rPr>
        <w:t>4</w:t>
      </w:r>
      <w:r>
        <w:rPr/>
        <w:t>, 12472 (2021).</w:t>
      </w:r>
    </w:p>
    <w:p>
      <w:pPr>
        <w:pStyle w:val="ListParagraph"/>
        <w:numPr>
          <w:ilvl w:val="0"/>
          <w:numId w:val="1"/>
        </w:numPr>
        <w:tabs>
          <w:tab w:pos="481" w:val="left" w:leader="none"/>
        </w:tabs>
        <w:spacing w:line="229" w:lineRule="exact" w:before="2" w:after="0"/>
        <w:ind w:left="480" w:right="0" w:hanging="361"/>
        <w:jc w:val="left"/>
        <w:rPr>
          <w:sz w:val="20"/>
        </w:rPr>
      </w:pPr>
      <w:r>
        <w:rPr>
          <w:sz w:val="20"/>
        </w:rPr>
        <w:t>M. Höök, </w:t>
      </w:r>
      <w:r>
        <w:rPr>
          <w:spacing w:val="-3"/>
          <w:sz w:val="20"/>
        </w:rPr>
        <w:t>W. </w:t>
      </w:r>
      <w:r>
        <w:rPr>
          <w:sz w:val="20"/>
        </w:rPr>
        <w:t>Zittel, J. Schindler, and </w:t>
      </w:r>
      <w:r>
        <w:rPr>
          <w:spacing w:val="-3"/>
          <w:sz w:val="20"/>
        </w:rPr>
        <w:t>K. </w:t>
      </w:r>
      <w:r>
        <w:rPr>
          <w:sz w:val="20"/>
        </w:rPr>
        <w:t>Aleklett, Fuel </w:t>
      </w:r>
      <w:r>
        <w:rPr>
          <w:b/>
          <w:sz w:val="20"/>
        </w:rPr>
        <w:t>89</w:t>
      </w:r>
      <w:r>
        <w:rPr>
          <w:sz w:val="20"/>
        </w:rPr>
        <w:t>, 3546</w:t>
      </w:r>
      <w:r>
        <w:rPr>
          <w:spacing w:val="13"/>
          <w:sz w:val="20"/>
        </w:rPr>
        <w:t> </w:t>
      </w:r>
      <w:r>
        <w:rPr>
          <w:sz w:val="20"/>
        </w:rPr>
        <w:t>(2010).</w:t>
      </w:r>
    </w:p>
    <w:p>
      <w:pPr>
        <w:pStyle w:val="ListParagraph"/>
        <w:numPr>
          <w:ilvl w:val="0"/>
          <w:numId w:val="1"/>
        </w:numPr>
        <w:tabs>
          <w:tab w:pos="481" w:val="left" w:leader="none"/>
        </w:tabs>
        <w:spacing w:line="229" w:lineRule="exact" w:before="0" w:after="0"/>
        <w:ind w:left="480" w:right="0" w:hanging="361"/>
        <w:jc w:val="left"/>
        <w:rPr>
          <w:sz w:val="20"/>
        </w:rPr>
      </w:pPr>
      <w:r>
        <w:rPr>
          <w:sz w:val="20"/>
        </w:rPr>
        <w:t>J.P. Mathews, A.L. Chaffee, Fuel </w:t>
      </w:r>
      <w:r>
        <w:rPr>
          <w:b/>
          <w:sz w:val="20"/>
        </w:rPr>
        <w:t>96</w:t>
      </w:r>
      <w:r>
        <w:rPr>
          <w:sz w:val="20"/>
        </w:rPr>
        <w:t>, 1</w:t>
      </w:r>
      <w:r>
        <w:rPr>
          <w:spacing w:val="7"/>
          <w:sz w:val="20"/>
        </w:rPr>
        <w:t> </w:t>
      </w:r>
      <w:r>
        <w:rPr>
          <w:sz w:val="20"/>
        </w:rPr>
        <w:t>(2012).</w:t>
      </w:r>
    </w:p>
    <w:p>
      <w:pPr>
        <w:pStyle w:val="ListParagraph"/>
        <w:numPr>
          <w:ilvl w:val="0"/>
          <w:numId w:val="1"/>
        </w:numPr>
        <w:tabs>
          <w:tab w:pos="481" w:val="left" w:leader="none"/>
        </w:tabs>
        <w:spacing w:line="237" w:lineRule="auto" w:before="5" w:after="0"/>
        <w:ind w:left="480" w:right="115" w:hanging="360"/>
        <w:jc w:val="left"/>
        <w:rPr>
          <w:sz w:val="20"/>
        </w:rPr>
      </w:pPr>
      <w:r>
        <w:rPr>
          <w:i/>
          <w:sz w:val="20"/>
        </w:rPr>
        <w:t>Coal </w:t>
      </w:r>
      <w:r>
        <w:rPr>
          <w:sz w:val="20"/>
        </w:rPr>
        <w:t>(2021) Earth Resources. Available at: https://earthresources.vic.gov.au/geology-exploration/coal (Accessed: 30 June</w:t>
      </w:r>
      <w:r>
        <w:rPr>
          <w:spacing w:val="3"/>
          <w:sz w:val="20"/>
        </w:rPr>
        <w:t> </w:t>
      </w:r>
      <w:r>
        <w:rPr>
          <w:sz w:val="20"/>
        </w:rPr>
        <w:t>2023).</w:t>
      </w:r>
    </w:p>
    <w:p>
      <w:pPr>
        <w:pStyle w:val="ListParagraph"/>
        <w:numPr>
          <w:ilvl w:val="0"/>
          <w:numId w:val="1"/>
        </w:numPr>
        <w:tabs>
          <w:tab w:pos="481" w:val="left" w:leader="none"/>
        </w:tabs>
        <w:spacing w:line="229" w:lineRule="exact" w:before="3" w:after="0"/>
        <w:ind w:left="480" w:right="0" w:hanging="361"/>
        <w:jc w:val="left"/>
        <w:rPr>
          <w:sz w:val="20"/>
        </w:rPr>
      </w:pPr>
      <w:r>
        <w:rPr>
          <w:sz w:val="20"/>
        </w:rPr>
        <w:t>V. C. Hoang, M. Hassan, and V. G. Gomes, Appl. Mater. Today </w:t>
      </w:r>
      <w:r>
        <w:rPr>
          <w:b/>
          <w:sz w:val="20"/>
        </w:rPr>
        <w:t>12</w:t>
      </w:r>
      <w:r>
        <w:rPr>
          <w:sz w:val="20"/>
        </w:rPr>
        <w:t>, 342</w:t>
      </w:r>
      <w:r>
        <w:rPr>
          <w:spacing w:val="5"/>
          <w:sz w:val="20"/>
        </w:rPr>
        <w:t> </w:t>
      </w:r>
      <w:r>
        <w:rPr>
          <w:sz w:val="20"/>
        </w:rPr>
        <w:t>(2018).</w:t>
      </w:r>
    </w:p>
    <w:p>
      <w:pPr>
        <w:pStyle w:val="ListParagraph"/>
        <w:numPr>
          <w:ilvl w:val="0"/>
          <w:numId w:val="1"/>
        </w:numPr>
        <w:tabs>
          <w:tab w:pos="481" w:val="left" w:leader="none"/>
        </w:tabs>
        <w:spacing w:line="229" w:lineRule="exact" w:before="0" w:after="0"/>
        <w:ind w:left="480" w:right="0" w:hanging="361"/>
        <w:jc w:val="left"/>
        <w:rPr>
          <w:sz w:val="20"/>
        </w:rPr>
      </w:pPr>
      <w:r>
        <w:rPr>
          <w:sz w:val="20"/>
        </w:rPr>
        <w:t>K.A.</w:t>
      </w:r>
      <w:r>
        <w:rPr>
          <w:spacing w:val="-4"/>
          <w:sz w:val="20"/>
        </w:rPr>
        <w:t> </w:t>
      </w:r>
      <w:r>
        <w:rPr>
          <w:sz w:val="20"/>
        </w:rPr>
        <w:t>Williams,</w:t>
      </w:r>
      <w:r>
        <w:rPr>
          <w:spacing w:val="-1"/>
          <w:sz w:val="20"/>
        </w:rPr>
        <w:t> </w:t>
      </w:r>
      <w:r>
        <w:rPr>
          <w:spacing w:val="-3"/>
          <w:sz w:val="20"/>
        </w:rPr>
        <w:t>M.</w:t>
      </w:r>
      <w:r>
        <w:rPr>
          <w:spacing w:val="-4"/>
          <w:sz w:val="20"/>
        </w:rPr>
        <w:t> </w:t>
      </w:r>
      <w:r>
        <w:rPr>
          <w:sz w:val="20"/>
        </w:rPr>
        <w:t>Tachibana, J.L.</w:t>
      </w:r>
      <w:r>
        <w:rPr>
          <w:spacing w:val="-4"/>
          <w:sz w:val="20"/>
        </w:rPr>
        <w:t> </w:t>
      </w:r>
      <w:r>
        <w:rPr>
          <w:sz w:val="20"/>
        </w:rPr>
        <w:t>Allen,</w:t>
      </w:r>
      <w:r>
        <w:rPr>
          <w:spacing w:val="-4"/>
          <w:sz w:val="20"/>
        </w:rPr>
        <w:t> </w:t>
      </w:r>
      <w:r>
        <w:rPr>
          <w:sz w:val="20"/>
        </w:rPr>
        <w:t>L.</w:t>
      </w:r>
      <w:r>
        <w:rPr>
          <w:spacing w:val="-4"/>
          <w:sz w:val="20"/>
        </w:rPr>
        <w:t> </w:t>
      </w:r>
      <w:r>
        <w:rPr>
          <w:sz w:val="20"/>
        </w:rPr>
        <w:t>Grigorian,</w:t>
      </w:r>
      <w:r>
        <w:rPr>
          <w:spacing w:val="-4"/>
          <w:sz w:val="20"/>
        </w:rPr>
        <w:t> </w:t>
      </w:r>
      <w:r>
        <w:rPr>
          <w:sz w:val="20"/>
        </w:rPr>
        <w:t>S.C.</w:t>
      </w:r>
      <w:r>
        <w:rPr>
          <w:spacing w:val="-4"/>
          <w:sz w:val="20"/>
        </w:rPr>
        <w:t> </w:t>
      </w:r>
      <w:r>
        <w:rPr>
          <w:sz w:val="20"/>
        </w:rPr>
        <w:t>Cheng,</w:t>
      </w:r>
      <w:r>
        <w:rPr>
          <w:spacing w:val="-4"/>
          <w:sz w:val="20"/>
        </w:rPr>
        <w:t> </w:t>
      </w:r>
      <w:r>
        <w:rPr>
          <w:sz w:val="20"/>
        </w:rPr>
        <w:t>S.L. Fang, G.U.</w:t>
      </w:r>
      <w:r>
        <w:rPr>
          <w:spacing w:val="-4"/>
          <w:sz w:val="20"/>
        </w:rPr>
        <w:t> </w:t>
      </w:r>
      <w:r>
        <w:rPr>
          <w:sz w:val="20"/>
        </w:rPr>
        <w:t>Sumanasekera,</w:t>
      </w:r>
      <w:r>
        <w:rPr>
          <w:spacing w:val="-4"/>
          <w:sz w:val="20"/>
        </w:rPr>
        <w:t> </w:t>
      </w:r>
      <w:r>
        <w:rPr>
          <w:sz w:val="20"/>
        </w:rPr>
        <w:t>A.L.</w:t>
      </w:r>
      <w:r>
        <w:rPr>
          <w:spacing w:val="-1"/>
          <w:sz w:val="20"/>
        </w:rPr>
        <w:t> </w:t>
      </w:r>
      <w:r>
        <w:rPr>
          <w:sz w:val="20"/>
        </w:rPr>
        <w:t>Loper,</w:t>
      </w:r>
    </w:p>
    <w:p>
      <w:pPr>
        <w:pStyle w:val="BodyText"/>
        <w:spacing w:line="229" w:lineRule="exact" w:before="1"/>
        <w:ind w:left="480"/>
      </w:pPr>
      <w:r>
        <w:rPr/>
        <w:t>J.H. Williams, and P.C. Eklund, Chem. Phys. Lett. </w:t>
      </w:r>
      <w:r>
        <w:rPr>
          <w:b/>
        </w:rPr>
        <w:t>310</w:t>
      </w:r>
      <w:r>
        <w:rPr/>
        <w:t>, 31 (1999).</w:t>
      </w:r>
    </w:p>
    <w:p>
      <w:pPr>
        <w:pStyle w:val="ListParagraph"/>
        <w:numPr>
          <w:ilvl w:val="0"/>
          <w:numId w:val="1"/>
        </w:numPr>
        <w:tabs>
          <w:tab w:pos="481" w:val="left" w:leader="none"/>
        </w:tabs>
        <w:spacing w:line="229" w:lineRule="exact" w:before="0" w:after="0"/>
        <w:ind w:left="480" w:right="0" w:hanging="361"/>
        <w:jc w:val="left"/>
        <w:rPr>
          <w:sz w:val="20"/>
        </w:rPr>
      </w:pPr>
      <w:r>
        <w:rPr>
          <w:sz w:val="20"/>
        </w:rPr>
        <w:t>X. He, X. </w:t>
      </w:r>
      <w:r>
        <w:rPr>
          <w:spacing w:val="-3"/>
          <w:sz w:val="20"/>
        </w:rPr>
        <w:t>Li, </w:t>
      </w:r>
      <w:r>
        <w:rPr>
          <w:sz w:val="20"/>
        </w:rPr>
        <w:t>H. Ma, J. Han, H. Zhang, C. Yu, </w:t>
      </w:r>
      <w:r>
        <w:rPr>
          <w:spacing w:val="-3"/>
          <w:sz w:val="20"/>
        </w:rPr>
        <w:t>N. </w:t>
      </w:r>
      <w:r>
        <w:rPr>
          <w:sz w:val="20"/>
        </w:rPr>
        <w:t>Xiao and J. Qiu, J. Power Sources </w:t>
      </w:r>
      <w:r>
        <w:rPr>
          <w:b/>
          <w:sz w:val="20"/>
        </w:rPr>
        <w:t>340</w:t>
      </w:r>
      <w:r>
        <w:rPr>
          <w:sz w:val="20"/>
        </w:rPr>
        <w:t>, 183</w:t>
      </w:r>
      <w:r>
        <w:rPr>
          <w:spacing w:val="9"/>
          <w:sz w:val="20"/>
        </w:rPr>
        <w:t> </w:t>
      </w:r>
      <w:r>
        <w:rPr>
          <w:sz w:val="20"/>
        </w:rPr>
        <w:t>(2017).</w:t>
      </w:r>
    </w:p>
    <w:p>
      <w:pPr>
        <w:pStyle w:val="ListParagraph"/>
        <w:numPr>
          <w:ilvl w:val="0"/>
          <w:numId w:val="1"/>
        </w:numPr>
        <w:tabs>
          <w:tab w:pos="481" w:val="left" w:leader="none"/>
        </w:tabs>
        <w:spacing w:line="229" w:lineRule="exact" w:before="3" w:after="0"/>
        <w:ind w:left="480" w:right="0" w:hanging="361"/>
        <w:jc w:val="left"/>
        <w:rPr>
          <w:sz w:val="20"/>
        </w:rPr>
      </w:pPr>
      <w:r>
        <w:rPr>
          <w:sz w:val="20"/>
        </w:rPr>
        <w:t>J. Zhu, S. Zhang, L. Wang, D. Jia, M. Xu, Z. Zhao, J. Qiu, and L. Jia, Carbon </w:t>
      </w:r>
      <w:r>
        <w:rPr>
          <w:b/>
          <w:sz w:val="20"/>
        </w:rPr>
        <w:t>129</w:t>
      </w:r>
      <w:r>
        <w:rPr>
          <w:sz w:val="20"/>
        </w:rPr>
        <w:t>, 54</w:t>
      </w:r>
      <w:r>
        <w:rPr>
          <w:spacing w:val="2"/>
          <w:sz w:val="20"/>
        </w:rPr>
        <w:t> </w:t>
      </w:r>
      <w:r>
        <w:rPr>
          <w:sz w:val="20"/>
        </w:rPr>
        <w:t>(2018).</w:t>
      </w:r>
    </w:p>
    <w:p>
      <w:pPr>
        <w:pStyle w:val="ListParagraph"/>
        <w:numPr>
          <w:ilvl w:val="0"/>
          <w:numId w:val="1"/>
        </w:numPr>
        <w:tabs>
          <w:tab w:pos="481" w:val="left" w:leader="none"/>
        </w:tabs>
        <w:spacing w:line="229" w:lineRule="exact" w:before="0" w:after="0"/>
        <w:ind w:left="480" w:right="0" w:hanging="361"/>
        <w:jc w:val="left"/>
        <w:rPr>
          <w:sz w:val="20"/>
        </w:rPr>
      </w:pPr>
      <w:r>
        <w:rPr>
          <w:sz w:val="20"/>
        </w:rPr>
        <w:t>C. Hu, C. Yu, M. Li, </w:t>
      </w:r>
      <w:r>
        <w:rPr>
          <w:spacing w:val="-3"/>
          <w:sz w:val="20"/>
        </w:rPr>
        <w:t>X. </w:t>
      </w:r>
      <w:r>
        <w:rPr>
          <w:sz w:val="20"/>
        </w:rPr>
        <w:t>Wang, J. Yang, Z. Zhao, A. Eychmüller, Y.-P. Sun, and J. Qiu, Small </w:t>
      </w:r>
      <w:r>
        <w:rPr>
          <w:b/>
          <w:sz w:val="20"/>
        </w:rPr>
        <w:t>10</w:t>
      </w:r>
      <w:r>
        <w:rPr>
          <w:sz w:val="20"/>
        </w:rPr>
        <w:t>, 4926</w:t>
      </w:r>
      <w:r>
        <w:rPr>
          <w:spacing w:val="-16"/>
          <w:sz w:val="20"/>
        </w:rPr>
        <w:t> </w:t>
      </w:r>
      <w:r>
        <w:rPr>
          <w:sz w:val="20"/>
        </w:rPr>
        <w:t>(2014).</w:t>
      </w:r>
    </w:p>
    <w:p>
      <w:pPr>
        <w:pStyle w:val="ListParagraph"/>
        <w:numPr>
          <w:ilvl w:val="0"/>
          <w:numId w:val="1"/>
        </w:numPr>
        <w:tabs>
          <w:tab w:pos="481" w:val="left" w:leader="none"/>
        </w:tabs>
        <w:spacing w:line="240" w:lineRule="auto" w:before="2" w:after="0"/>
        <w:ind w:left="480" w:right="112" w:hanging="360"/>
        <w:jc w:val="left"/>
        <w:rPr>
          <w:sz w:val="20"/>
        </w:rPr>
      </w:pPr>
      <w:r>
        <w:rPr>
          <w:sz w:val="20"/>
        </w:rPr>
        <w:t>A. </w:t>
      </w:r>
      <w:r>
        <w:rPr>
          <w:spacing w:val="-3"/>
          <w:sz w:val="20"/>
        </w:rPr>
        <w:t>H. </w:t>
      </w:r>
      <w:r>
        <w:rPr>
          <w:sz w:val="20"/>
        </w:rPr>
        <w:t>Da Silva Junior, </w:t>
      </w:r>
      <w:r>
        <w:rPr>
          <w:spacing w:val="-3"/>
          <w:sz w:val="20"/>
        </w:rPr>
        <w:t>D. </w:t>
      </w:r>
      <w:r>
        <w:rPr>
          <w:sz w:val="20"/>
        </w:rPr>
        <w:t>L. Pier Macuvele, H. G. Riella, C. Soares, and N. Padoin, J. Mater. Res. Technol., </w:t>
      </w:r>
      <w:r>
        <w:rPr>
          <w:b/>
          <w:sz w:val="20"/>
        </w:rPr>
        <w:t>12</w:t>
      </w:r>
      <w:r>
        <w:rPr>
          <w:sz w:val="20"/>
        </w:rPr>
        <w:t>, 688 (2021).</w:t>
      </w:r>
    </w:p>
    <w:p>
      <w:pPr>
        <w:pStyle w:val="ListParagraph"/>
        <w:numPr>
          <w:ilvl w:val="0"/>
          <w:numId w:val="1"/>
        </w:numPr>
        <w:tabs>
          <w:tab w:pos="481" w:val="left" w:leader="none"/>
        </w:tabs>
        <w:spacing w:line="229" w:lineRule="exact" w:before="0" w:after="0"/>
        <w:ind w:left="480" w:right="0" w:hanging="361"/>
        <w:jc w:val="left"/>
        <w:rPr>
          <w:sz w:val="20"/>
        </w:rPr>
      </w:pPr>
      <w:r>
        <w:rPr>
          <w:sz w:val="20"/>
        </w:rPr>
        <w:t>B. Han, M. Yu, T. Pen, </w:t>
      </w:r>
      <w:r>
        <w:rPr>
          <w:spacing w:val="-3"/>
          <w:sz w:val="20"/>
        </w:rPr>
        <w:t>Y. </w:t>
      </w:r>
      <w:r>
        <w:rPr>
          <w:sz w:val="20"/>
        </w:rPr>
        <w:t>Li, X. Hu, </w:t>
      </w:r>
      <w:r>
        <w:rPr>
          <w:spacing w:val="-3"/>
          <w:sz w:val="20"/>
        </w:rPr>
        <w:t>R. </w:t>
      </w:r>
      <w:r>
        <w:rPr>
          <w:sz w:val="20"/>
        </w:rPr>
        <w:t>Xiang, X. Hou, and </w:t>
      </w:r>
      <w:r>
        <w:rPr>
          <w:spacing w:val="-3"/>
          <w:sz w:val="20"/>
        </w:rPr>
        <w:t>G. </w:t>
      </w:r>
      <w:r>
        <w:rPr>
          <w:sz w:val="20"/>
        </w:rPr>
        <w:t>He, New J. Chem. </w:t>
      </w:r>
      <w:r>
        <w:rPr>
          <w:b/>
          <w:sz w:val="20"/>
        </w:rPr>
        <w:t>41</w:t>
      </w:r>
      <w:r>
        <w:rPr>
          <w:sz w:val="20"/>
        </w:rPr>
        <w:t>, 5267</w:t>
      </w:r>
      <w:r>
        <w:rPr>
          <w:spacing w:val="15"/>
          <w:sz w:val="20"/>
        </w:rPr>
        <w:t> </w:t>
      </w:r>
      <w:r>
        <w:rPr>
          <w:sz w:val="20"/>
        </w:rPr>
        <w:t>(2017).</w:t>
      </w:r>
    </w:p>
    <w:p>
      <w:pPr>
        <w:pStyle w:val="ListParagraph"/>
        <w:numPr>
          <w:ilvl w:val="0"/>
          <w:numId w:val="1"/>
        </w:numPr>
        <w:tabs>
          <w:tab w:pos="481" w:val="left" w:leader="none"/>
        </w:tabs>
        <w:spacing w:line="229" w:lineRule="exact" w:before="0" w:after="0"/>
        <w:ind w:left="480" w:right="0" w:hanging="361"/>
        <w:jc w:val="left"/>
        <w:rPr>
          <w:sz w:val="20"/>
        </w:rPr>
      </w:pPr>
      <w:r>
        <w:rPr>
          <w:sz w:val="20"/>
        </w:rPr>
        <w:t>C. Jiang, H. Wu, X. Song, X. Ma, J. Wang, and M. Tan, Talanta </w:t>
      </w:r>
      <w:r>
        <w:rPr>
          <w:b/>
          <w:sz w:val="20"/>
        </w:rPr>
        <w:t>127</w:t>
      </w:r>
      <w:r>
        <w:rPr>
          <w:sz w:val="20"/>
        </w:rPr>
        <w:t>, 68</w:t>
      </w:r>
      <w:r>
        <w:rPr>
          <w:spacing w:val="1"/>
          <w:sz w:val="20"/>
        </w:rPr>
        <w:t> </w:t>
      </w:r>
      <w:r>
        <w:rPr>
          <w:sz w:val="20"/>
        </w:rPr>
        <w:t>(2014).</w:t>
      </w:r>
    </w:p>
    <w:p>
      <w:pPr>
        <w:pStyle w:val="ListParagraph"/>
        <w:numPr>
          <w:ilvl w:val="0"/>
          <w:numId w:val="1"/>
        </w:numPr>
        <w:tabs>
          <w:tab w:pos="481" w:val="left" w:leader="none"/>
        </w:tabs>
        <w:spacing w:line="229" w:lineRule="exact" w:before="2" w:after="0"/>
        <w:ind w:left="480" w:right="0" w:hanging="361"/>
        <w:jc w:val="left"/>
        <w:rPr>
          <w:sz w:val="20"/>
        </w:rPr>
      </w:pPr>
      <w:r>
        <w:rPr>
          <w:sz w:val="20"/>
        </w:rPr>
        <w:t>Z. Wang, H. Liao, </w:t>
      </w:r>
      <w:r>
        <w:rPr>
          <w:spacing w:val="-3"/>
          <w:sz w:val="20"/>
        </w:rPr>
        <w:t>H. </w:t>
      </w:r>
      <w:r>
        <w:rPr>
          <w:sz w:val="20"/>
        </w:rPr>
        <w:t>Wu, B. Wang, </w:t>
      </w:r>
      <w:r>
        <w:rPr>
          <w:spacing w:val="-3"/>
          <w:sz w:val="20"/>
        </w:rPr>
        <w:t>H. </w:t>
      </w:r>
      <w:r>
        <w:rPr>
          <w:sz w:val="20"/>
        </w:rPr>
        <w:t>Zhao, and M. Tan, Analytical Methods </w:t>
      </w:r>
      <w:r>
        <w:rPr>
          <w:b/>
          <w:sz w:val="20"/>
        </w:rPr>
        <w:t>7</w:t>
      </w:r>
      <w:r>
        <w:rPr>
          <w:sz w:val="20"/>
        </w:rPr>
        <w:t>, 8911</w:t>
      </w:r>
      <w:r>
        <w:rPr>
          <w:spacing w:val="18"/>
          <w:sz w:val="20"/>
        </w:rPr>
        <w:t> </w:t>
      </w:r>
      <w:r>
        <w:rPr>
          <w:sz w:val="20"/>
        </w:rPr>
        <w:t>(2015).</w:t>
      </w:r>
    </w:p>
    <w:p>
      <w:pPr>
        <w:pStyle w:val="ListParagraph"/>
        <w:numPr>
          <w:ilvl w:val="0"/>
          <w:numId w:val="1"/>
        </w:numPr>
        <w:tabs>
          <w:tab w:pos="481" w:val="left" w:leader="none"/>
        </w:tabs>
        <w:spacing w:line="242" w:lineRule="auto" w:before="0" w:after="0"/>
        <w:ind w:left="120" w:right="4127" w:firstLine="0"/>
        <w:jc w:val="left"/>
        <w:rPr>
          <w:sz w:val="20"/>
        </w:rPr>
      </w:pPr>
      <w:r>
        <w:rPr>
          <w:sz w:val="20"/>
        </w:rPr>
        <w:t>J. R. Pullen, Coal Science vol. 2, Academic Press, 173</w:t>
      </w:r>
      <w:r>
        <w:rPr>
          <w:spacing w:val="-17"/>
          <w:sz w:val="20"/>
        </w:rPr>
        <w:t> </w:t>
      </w:r>
      <w:r>
        <w:rPr>
          <w:sz w:val="20"/>
        </w:rPr>
        <w:t>(1983). 23. I. Dryden, Nature </w:t>
      </w:r>
      <w:r>
        <w:rPr>
          <w:b/>
          <w:sz w:val="20"/>
        </w:rPr>
        <w:t>162</w:t>
      </w:r>
      <w:r>
        <w:rPr>
          <w:sz w:val="20"/>
        </w:rPr>
        <w:t>, 959</w:t>
      </w:r>
      <w:r>
        <w:rPr>
          <w:spacing w:val="14"/>
          <w:sz w:val="20"/>
        </w:rPr>
        <w:t> </w:t>
      </w:r>
      <w:r>
        <w:rPr>
          <w:sz w:val="20"/>
        </w:rPr>
        <w:t>(1948).</w:t>
      </w:r>
    </w:p>
    <w:p>
      <w:pPr>
        <w:pStyle w:val="ListParagraph"/>
        <w:numPr>
          <w:ilvl w:val="0"/>
          <w:numId w:val="2"/>
        </w:numPr>
        <w:tabs>
          <w:tab w:pos="481" w:val="left" w:leader="none"/>
        </w:tabs>
        <w:spacing w:line="242" w:lineRule="auto" w:before="0" w:after="0"/>
        <w:ind w:left="480" w:right="116" w:hanging="360"/>
        <w:jc w:val="left"/>
        <w:rPr>
          <w:sz w:val="20"/>
        </w:rPr>
      </w:pPr>
      <w:r>
        <w:rPr>
          <w:sz w:val="20"/>
        </w:rPr>
        <w:t>D.</w:t>
      </w:r>
      <w:r>
        <w:rPr>
          <w:spacing w:val="-1"/>
          <w:sz w:val="20"/>
        </w:rPr>
        <w:t> </w:t>
      </w:r>
      <w:r>
        <w:rPr>
          <w:sz w:val="20"/>
        </w:rPr>
        <w:t>Yamaguchi,</w:t>
      </w:r>
      <w:r>
        <w:rPr>
          <w:spacing w:val="-3"/>
          <w:sz w:val="20"/>
        </w:rPr>
        <w:t> </w:t>
      </w:r>
      <w:r>
        <w:rPr>
          <w:sz w:val="20"/>
        </w:rPr>
        <w:t>L.G.</w:t>
      </w:r>
      <w:r>
        <w:rPr>
          <w:spacing w:val="-8"/>
          <w:sz w:val="20"/>
        </w:rPr>
        <w:t> </w:t>
      </w:r>
      <w:r>
        <w:rPr>
          <w:sz w:val="20"/>
        </w:rPr>
        <w:t>Tang,</w:t>
      </w:r>
      <w:r>
        <w:rPr>
          <w:spacing w:val="-4"/>
          <w:sz w:val="20"/>
        </w:rPr>
        <w:t> </w:t>
      </w:r>
      <w:r>
        <w:rPr>
          <w:sz w:val="20"/>
        </w:rPr>
        <w:t>J.</w:t>
      </w:r>
      <w:r>
        <w:rPr>
          <w:spacing w:val="-5"/>
          <w:sz w:val="20"/>
        </w:rPr>
        <w:t> </w:t>
      </w:r>
      <w:r>
        <w:rPr>
          <w:sz w:val="20"/>
        </w:rPr>
        <w:t>Orellana,</w:t>
      </w:r>
      <w:r>
        <w:rPr>
          <w:spacing w:val="-4"/>
          <w:sz w:val="20"/>
        </w:rPr>
        <w:t> </w:t>
      </w:r>
      <w:r>
        <w:rPr>
          <w:sz w:val="20"/>
        </w:rPr>
        <w:t>T.D.</w:t>
      </w:r>
      <w:r>
        <w:rPr>
          <w:spacing w:val="-4"/>
          <w:sz w:val="20"/>
        </w:rPr>
        <w:t> </w:t>
      </w:r>
      <w:r>
        <w:rPr>
          <w:sz w:val="20"/>
        </w:rPr>
        <w:t>Hadley,</w:t>
      </w:r>
      <w:r>
        <w:rPr>
          <w:spacing w:val="-4"/>
          <w:sz w:val="20"/>
        </w:rPr>
        <w:t> </w:t>
      </w:r>
      <w:r>
        <w:rPr>
          <w:sz w:val="20"/>
        </w:rPr>
        <w:t>S.</w:t>
      </w:r>
      <w:r>
        <w:rPr>
          <w:spacing w:val="-4"/>
          <w:sz w:val="20"/>
        </w:rPr>
        <w:t> </w:t>
      </w:r>
      <w:r>
        <w:rPr>
          <w:sz w:val="20"/>
        </w:rPr>
        <w:t>Bhattacharya,</w:t>
      </w:r>
      <w:r>
        <w:rPr>
          <w:spacing w:val="-1"/>
          <w:sz w:val="20"/>
        </w:rPr>
        <w:t> </w:t>
      </w:r>
      <w:r>
        <w:rPr>
          <w:sz w:val="20"/>
        </w:rPr>
        <w:t>and</w:t>
      </w:r>
      <w:r>
        <w:rPr>
          <w:spacing w:val="-6"/>
          <w:sz w:val="20"/>
        </w:rPr>
        <w:t> </w:t>
      </w:r>
      <w:r>
        <w:rPr>
          <w:sz w:val="20"/>
        </w:rPr>
        <w:t>K.S.</w:t>
      </w:r>
      <w:r>
        <w:rPr>
          <w:spacing w:val="-4"/>
          <w:sz w:val="20"/>
        </w:rPr>
        <w:t> </w:t>
      </w:r>
      <w:r>
        <w:rPr>
          <w:sz w:val="20"/>
        </w:rPr>
        <w:t>Lim,</w:t>
      </w:r>
      <w:r>
        <w:rPr>
          <w:spacing w:val="-4"/>
          <w:sz w:val="20"/>
        </w:rPr>
        <w:t> </w:t>
      </w:r>
      <w:r>
        <w:rPr>
          <w:sz w:val="20"/>
        </w:rPr>
        <w:t>Fuel</w:t>
      </w:r>
      <w:r>
        <w:rPr>
          <w:spacing w:val="-6"/>
          <w:sz w:val="20"/>
        </w:rPr>
        <w:t> </w:t>
      </w:r>
      <w:r>
        <w:rPr>
          <w:sz w:val="20"/>
        </w:rPr>
        <w:t>Process.</w:t>
      </w:r>
      <w:r>
        <w:rPr>
          <w:spacing w:val="-4"/>
          <w:sz w:val="20"/>
        </w:rPr>
        <w:t> </w:t>
      </w:r>
      <w:r>
        <w:rPr>
          <w:sz w:val="20"/>
        </w:rPr>
        <w:t>Technol.</w:t>
      </w:r>
      <w:r>
        <w:rPr>
          <w:spacing w:val="10"/>
          <w:sz w:val="20"/>
        </w:rPr>
        <w:t> </w:t>
      </w:r>
      <w:r>
        <w:rPr>
          <w:b/>
          <w:sz w:val="20"/>
        </w:rPr>
        <w:t>213</w:t>
      </w:r>
      <w:r>
        <w:rPr>
          <w:sz w:val="20"/>
        </w:rPr>
        <w:t>, 106669 (2021).</w:t>
      </w:r>
    </w:p>
    <w:p>
      <w:pPr>
        <w:pStyle w:val="ListParagraph"/>
        <w:numPr>
          <w:ilvl w:val="0"/>
          <w:numId w:val="2"/>
        </w:numPr>
        <w:tabs>
          <w:tab w:pos="481" w:val="left" w:leader="none"/>
        </w:tabs>
        <w:spacing w:line="242" w:lineRule="auto" w:before="0" w:after="0"/>
        <w:ind w:left="480" w:right="108" w:hanging="360"/>
        <w:jc w:val="left"/>
        <w:rPr>
          <w:sz w:val="20"/>
        </w:rPr>
      </w:pPr>
      <w:r>
        <w:rPr>
          <w:sz w:val="20"/>
        </w:rPr>
        <w:t>S.</w:t>
      </w:r>
      <w:r>
        <w:rPr>
          <w:spacing w:val="-7"/>
          <w:sz w:val="20"/>
        </w:rPr>
        <w:t> </w:t>
      </w:r>
      <w:r>
        <w:rPr>
          <w:sz w:val="20"/>
        </w:rPr>
        <w:t>Kumar</w:t>
      </w:r>
      <w:r>
        <w:rPr>
          <w:spacing w:val="-7"/>
          <w:sz w:val="20"/>
        </w:rPr>
        <w:t> </w:t>
      </w:r>
      <w:r>
        <w:rPr>
          <w:sz w:val="20"/>
        </w:rPr>
        <w:t>Thiyagarajan,</w:t>
      </w:r>
      <w:r>
        <w:rPr>
          <w:spacing w:val="-7"/>
          <w:sz w:val="20"/>
        </w:rPr>
        <w:t> </w:t>
      </w:r>
      <w:r>
        <w:rPr>
          <w:sz w:val="20"/>
        </w:rPr>
        <w:t>S.</w:t>
      </w:r>
      <w:r>
        <w:rPr>
          <w:spacing w:val="-6"/>
          <w:sz w:val="20"/>
        </w:rPr>
        <w:t> </w:t>
      </w:r>
      <w:r>
        <w:rPr>
          <w:sz w:val="20"/>
        </w:rPr>
        <w:t>Raghupathy,</w:t>
      </w:r>
      <w:r>
        <w:rPr>
          <w:spacing w:val="-6"/>
          <w:sz w:val="20"/>
        </w:rPr>
        <w:t> </w:t>
      </w:r>
      <w:r>
        <w:rPr>
          <w:sz w:val="20"/>
        </w:rPr>
        <w:t>D.</w:t>
      </w:r>
      <w:r>
        <w:rPr>
          <w:spacing w:val="-11"/>
          <w:sz w:val="20"/>
        </w:rPr>
        <w:t> </w:t>
      </w:r>
      <w:r>
        <w:rPr>
          <w:sz w:val="20"/>
        </w:rPr>
        <w:t>Palanivel,</w:t>
      </w:r>
      <w:r>
        <w:rPr>
          <w:spacing w:val="-3"/>
          <w:sz w:val="20"/>
        </w:rPr>
        <w:t> K.</w:t>
      </w:r>
      <w:r>
        <w:rPr>
          <w:spacing w:val="-6"/>
          <w:sz w:val="20"/>
        </w:rPr>
        <w:t> </w:t>
      </w:r>
      <w:r>
        <w:rPr>
          <w:sz w:val="20"/>
        </w:rPr>
        <w:t>Raji,</w:t>
      </w:r>
      <w:r>
        <w:rPr>
          <w:spacing w:val="-6"/>
          <w:sz w:val="20"/>
        </w:rPr>
        <w:t> </w:t>
      </w:r>
      <w:r>
        <w:rPr>
          <w:sz w:val="20"/>
        </w:rPr>
        <w:t>and</w:t>
      </w:r>
      <w:r>
        <w:rPr>
          <w:spacing w:val="-8"/>
          <w:sz w:val="20"/>
        </w:rPr>
        <w:t> </w:t>
      </w:r>
      <w:r>
        <w:rPr>
          <w:sz w:val="20"/>
        </w:rPr>
        <w:t>P.</w:t>
      </w:r>
      <w:r>
        <w:rPr>
          <w:spacing w:val="-6"/>
          <w:sz w:val="20"/>
        </w:rPr>
        <w:t> </w:t>
      </w:r>
      <w:r>
        <w:rPr>
          <w:sz w:val="20"/>
        </w:rPr>
        <w:t>Ramamurthy,</w:t>
      </w:r>
      <w:r>
        <w:rPr>
          <w:spacing w:val="-6"/>
          <w:sz w:val="20"/>
        </w:rPr>
        <w:t> </w:t>
      </w:r>
      <w:r>
        <w:rPr>
          <w:sz w:val="20"/>
        </w:rPr>
        <w:t>Phys.</w:t>
      </w:r>
      <w:r>
        <w:rPr>
          <w:spacing w:val="-7"/>
          <w:sz w:val="20"/>
        </w:rPr>
        <w:t> </w:t>
      </w:r>
      <w:r>
        <w:rPr>
          <w:sz w:val="20"/>
        </w:rPr>
        <w:t>Chem.</w:t>
      </w:r>
      <w:r>
        <w:rPr>
          <w:spacing w:val="-6"/>
          <w:sz w:val="20"/>
        </w:rPr>
        <w:t> </w:t>
      </w:r>
      <w:r>
        <w:rPr>
          <w:sz w:val="20"/>
        </w:rPr>
        <w:t>Chem.</w:t>
      </w:r>
      <w:r>
        <w:rPr>
          <w:spacing w:val="-6"/>
          <w:sz w:val="20"/>
        </w:rPr>
        <w:t> </w:t>
      </w:r>
      <w:r>
        <w:rPr>
          <w:sz w:val="20"/>
        </w:rPr>
        <w:t>Phys.</w:t>
      </w:r>
      <w:r>
        <w:rPr>
          <w:spacing w:val="-1"/>
          <w:sz w:val="20"/>
        </w:rPr>
        <w:t> </w:t>
      </w:r>
      <w:r>
        <w:rPr>
          <w:b/>
          <w:sz w:val="20"/>
        </w:rPr>
        <w:t>18</w:t>
      </w:r>
      <w:r>
        <w:rPr>
          <w:sz w:val="20"/>
        </w:rPr>
        <w:t>, 12065 (2016).</w:t>
      </w:r>
    </w:p>
    <w:p>
      <w:pPr>
        <w:pStyle w:val="ListParagraph"/>
        <w:numPr>
          <w:ilvl w:val="0"/>
          <w:numId w:val="2"/>
        </w:numPr>
        <w:tabs>
          <w:tab w:pos="481" w:val="left" w:leader="none"/>
        </w:tabs>
        <w:spacing w:line="226" w:lineRule="exact" w:before="0" w:after="0"/>
        <w:ind w:left="480" w:right="0" w:hanging="361"/>
        <w:jc w:val="left"/>
        <w:rPr>
          <w:sz w:val="20"/>
        </w:rPr>
      </w:pPr>
      <w:r>
        <w:rPr>
          <w:sz w:val="20"/>
        </w:rPr>
        <w:t>Z.K. Li, X.Y. Wei, H.L. Yan, and Z.M. Zong, Fuel </w:t>
      </w:r>
      <w:r>
        <w:rPr>
          <w:b/>
          <w:sz w:val="20"/>
        </w:rPr>
        <w:t>153</w:t>
      </w:r>
      <w:r>
        <w:rPr>
          <w:sz w:val="20"/>
        </w:rPr>
        <w:t>, 176</w:t>
      </w:r>
      <w:r>
        <w:rPr>
          <w:spacing w:val="8"/>
          <w:sz w:val="20"/>
        </w:rPr>
        <w:t> </w:t>
      </w:r>
      <w:r>
        <w:rPr>
          <w:sz w:val="20"/>
        </w:rPr>
        <w:t>(2015).</w:t>
      </w:r>
    </w:p>
    <w:p>
      <w:pPr>
        <w:pStyle w:val="ListParagraph"/>
        <w:numPr>
          <w:ilvl w:val="0"/>
          <w:numId w:val="2"/>
        </w:numPr>
        <w:tabs>
          <w:tab w:pos="481" w:val="left" w:leader="none"/>
        </w:tabs>
        <w:spacing w:line="229" w:lineRule="exact" w:before="0" w:after="0"/>
        <w:ind w:left="480" w:right="0" w:hanging="361"/>
        <w:jc w:val="left"/>
        <w:rPr>
          <w:sz w:val="20"/>
        </w:rPr>
      </w:pPr>
      <w:r>
        <w:rPr>
          <w:sz w:val="20"/>
        </w:rPr>
        <w:t>X. Zhong, M. Wang, G. Dou, </w:t>
      </w:r>
      <w:r>
        <w:rPr>
          <w:spacing w:val="-3"/>
          <w:sz w:val="20"/>
        </w:rPr>
        <w:t>D. </w:t>
      </w:r>
      <w:r>
        <w:rPr>
          <w:sz w:val="20"/>
        </w:rPr>
        <w:t>Wang, Y. Chen, Y. Mo, and Y. Zhang, J. Energy Inst. </w:t>
      </w:r>
      <w:r>
        <w:rPr>
          <w:b/>
          <w:sz w:val="20"/>
        </w:rPr>
        <w:t>88</w:t>
      </w:r>
      <w:r>
        <w:rPr>
          <w:sz w:val="20"/>
        </w:rPr>
        <w:t>, 398</w:t>
      </w:r>
      <w:r>
        <w:rPr>
          <w:spacing w:val="2"/>
          <w:sz w:val="20"/>
        </w:rPr>
        <w:t> </w:t>
      </w:r>
      <w:r>
        <w:rPr>
          <w:sz w:val="20"/>
        </w:rPr>
        <w:t>(2015).</w:t>
      </w:r>
    </w:p>
    <w:p>
      <w:pPr>
        <w:pStyle w:val="ListParagraph"/>
        <w:numPr>
          <w:ilvl w:val="0"/>
          <w:numId w:val="2"/>
        </w:numPr>
        <w:tabs>
          <w:tab w:pos="481" w:val="left" w:leader="none"/>
        </w:tabs>
        <w:spacing w:line="242" w:lineRule="auto" w:before="0" w:after="0"/>
        <w:ind w:left="480" w:right="110" w:hanging="360"/>
        <w:jc w:val="left"/>
        <w:rPr>
          <w:sz w:val="20"/>
        </w:rPr>
      </w:pPr>
      <w:r>
        <w:rPr>
          <w:sz w:val="20"/>
        </w:rPr>
        <w:t>N. Papaioannou, A. Marinovic, N. Yoshizawa, A.E. Goode, M. Fay, </w:t>
      </w:r>
      <w:r>
        <w:rPr>
          <w:spacing w:val="-3"/>
          <w:sz w:val="20"/>
        </w:rPr>
        <w:t>A. </w:t>
      </w:r>
      <w:r>
        <w:rPr>
          <w:sz w:val="20"/>
        </w:rPr>
        <w:t>Khlobystov, M.-M. Titirici, and A. Sapelkin, Scientific Reports </w:t>
      </w:r>
      <w:r>
        <w:rPr>
          <w:b/>
          <w:sz w:val="20"/>
        </w:rPr>
        <w:t>8</w:t>
      </w:r>
      <w:r>
        <w:rPr>
          <w:sz w:val="20"/>
        </w:rPr>
        <w:t>, 6559</w:t>
      </w:r>
      <w:r>
        <w:rPr>
          <w:spacing w:val="3"/>
          <w:sz w:val="20"/>
        </w:rPr>
        <w:t> </w:t>
      </w:r>
      <w:r>
        <w:rPr>
          <w:sz w:val="20"/>
        </w:rPr>
        <w:t>(2018).</w:t>
      </w:r>
    </w:p>
    <w:p>
      <w:pPr>
        <w:pStyle w:val="ListParagraph"/>
        <w:numPr>
          <w:ilvl w:val="0"/>
          <w:numId w:val="2"/>
        </w:numPr>
        <w:tabs>
          <w:tab w:pos="481" w:val="left" w:leader="none"/>
        </w:tabs>
        <w:spacing w:line="226" w:lineRule="exact" w:before="0" w:after="0"/>
        <w:ind w:left="480" w:right="0" w:hanging="361"/>
        <w:jc w:val="left"/>
        <w:rPr>
          <w:sz w:val="20"/>
        </w:rPr>
      </w:pPr>
      <w:r>
        <w:rPr>
          <w:sz w:val="20"/>
        </w:rPr>
        <w:t>S.K. Bajpai, A. D’Souza, and B. Suhail, International Nano Letters </w:t>
      </w:r>
      <w:r>
        <w:rPr>
          <w:b/>
          <w:sz w:val="20"/>
        </w:rPr>
        <w:t>9</w:t>
      </w:r>
      <w:r>
        <w:rPr>
          <w:sz w:val="20"/>
        </w:rPr>
        <w:t>, 203</w:t>
      </w:r>
      <w:r>
        <w:rPr>
          <w:spacing w:val="5"/>
          <w:sz w:val="20"/>
        </w:rPr>
        <w:t> </w:t>
      </w:r>
      <w:r>
        <w:rPr>
          <w:sz w:val="20"/>
        </w:rPr>
        <w:t>(2019).</w:t>
      </w:r>
    </w:p>
    <w:p>
      <w:pPr>
        <w:pStyle w:val="ListParagraph"/>
        <w:numPr>
          <w:ilvl w:val="0"/>
          <w:numId w:val="2"/>
        </w:numPr>
        <w:tabs>
          <w:tab w:pos="481" w:val="left" w:leader="none"/>
        </w:tabs>
        <w:spacing w:line="229" w:lineRule="exact" w:before="0" w:after="0"/>
        <w:ind w:left="480" w:right="0" w:hanging="361"/>
        <w:jc w:val="left"/>
        <w:rPr>
          <w:sz w:val="20"/>
        </w:rPr>
      </w:pPr>
      <w:r>
        <w:rPr>
          <w:sz w:val="20"/>
        </w:rPr>
        <w:t>C. Akita, T. Kawaguchi, and F. Kaneko, The Journal of Physical Chemistry B </w:t>
      </w:r>
      <w:r>
        <w:rPr>
          <w:b/>
          <w:sz w:val="20"/>
        </w:rPr>
        <w:t>110</w:t>
      </w:r>
      <w:r>
        <w:rPr>
          <w:sz w:val="20"/>
        </w:rPr>
        <w:t>, 4346</w:t>
      </w:r>
      <w:r>
        <w:rPr>
          <w:spacing w:val="1"/>
          <w:sz w:val="20"/>
        </w:rPr>
        <w:t> </w:t>
      </w:r>
      <w:r>
        <w:rPr>
          <w:sz w:val="20"/>
        </w:rPr>
        <w:t>(2006).</w:t>
      </w:r>
    </w:p>
    <w:p>
      <w:pPr>
        <w:pStyle w:val="ListParagraph"/>
        <w:numPr>
          <w:ilvl w:val="0"/>
          <w:numId w:val="2"/>
        </w:numPr>
        <w:tabs>
          <w:tab w:pos="481" w:val="left" w:leader="none"/>
        </w:tabs>
        <w:spacing w:line="229" w:lineRule="exact" w:before="0" w:after="0"/>
        <w:ind w:left="480" w:right="0" w:hanging="361"/>
        <w:jc w:val="left"/>
        <w:rPr>
          <w:sz w:val="20"/>
        </w:rPr>
      </w:pPr>
      <w:r>
        <w:rPr>
          <w:sz w:val="20"/>
        </w:rPr>
        <w:t>S. Sun, L. Zhang, K. Jiang, </w:t>
      </w:r>
      <w:r>
        <w:rPr>
          <w:spacing w:val="-3"/>
          <w:sz w:val="20"/>
        </w:rPr>
        <w:t>A. </w:t>
      </w:r>
      <w:r>
        <w:rPr>
          <w:sz w:val="20"/>
        </w:rPr>
        <w:t>Wu, and </w:t>
      </w:r>
      <w:r>
        <w:rPr>
          <w:spacing w:val="-3"/>
          <w:sz w:val="20"/>
        </w:rPr>
        <w:t>H. </w:t>
      </w:r>
      <w:r>
        <w:rPr>
          <w:sz w:val="20"/>
        </w:rPr>
        <w:t>Lin, Chemistry of Materials </w:t>
      </w:r>
      <w:r>
        <w:rPr>
          <w:b/>
          <w:sz w:val="20"/>
        </w:rPr>
        <w:t>28</w:t>
      </w:r>
      <w:r>
        <w:rPr>
          <w:sz w:val="20"/>
        </w:rPr>
        <w:t>, 8659</w:t>
      </w:r>
      <w:r>
        <w:rPr>
          <w:spacing w:val="26"/>
          <w:sz w:val="20"/>
        </w:rPr>
        <w:t> </w:t>
      </w:r>
      <w:r>
        <w:rPr>
          <w:sz w:val="20"/>
        </w:rPr>
        <w:t>(2016).</w:t>
      </w:r>
    </w:p>
    <w:p>
      <w:pPr>
        <w:pStyle w:val="ListParagraph"/>
        <w:numPr>
          <w:ilvl w:val="0"/>
          <w:numId w:val="2"/>
        </w:numPr>
        <w:tabs>
          <w:tab w:pos="481" w:val="left" w:leader="none"/>
        </w:tabs>
        <w:spacing w:line="229" w:lineRule="exact" w:before="0" w:after="0"/>
        <w:ind w:left="480" w:right="0" w:hanging="361"/>
        <w:jc w:val="left"/>
        <w:rPr>
          <w:sz w:val="20"/>
        </w:rPr>
      </w:pPr>
      <w:r>
        <w:rPr>
          <w:sz w:val="20"/>
        </w:rPr>
        <w:t>S.J. Park, J.Y. Park, J.W. Chung, H.K. Yang, B.K. Moon, and S.S. Yi, Chem. Eng. J. </w:t>
      </w:r>
      <w:r>
        <w:rPr>
          <w:b/>
          <w:sz w:val="20"/>
        </w:rPr>
        <w:t>383</w:t>
      </w:r>
      <w:r>
        <w:rPr>
          <w:sz w:val="20"/>
        </w:rPr>
        <w:t>, 123200</w:t>
      </w:r>
      <w:r>
        <w:rPr>
          <w:spacing w:val="-10"/>
          <w:sz w:val="20"/>
        </w:rPr>
        <w:t> </w:t>
      </w:r>
      <w:r>
        <w:rPr>
          <w:sz w:val="20"/>
        </w:rPr>
        <w:t>(2020).</w:t>
      </w:r>
    </w:p>
    <w:p>
      <w:pPr>
        <w:pStyle w:val="ListParagraph"/>
        <w:numPr>
          <w:ilvl w:val="0"/>
          <w:numId w:val="2"/>
        </w:numPr>
        <w:tabs>
          <w:tab w:pos="481" w:val="left" w:leader="none"/>
        </w:tabs>
        <w:spacing w:line="242" w:lineRule="auto" w:before="0" w:after="0"/>
        <w:ind w:left="480" w:right="120" w:hanging="360"/>
        <w:jc w:val="left"/>
        <w:rPr>
          <w:sz w:val="20"/>
        </w:rPr>
      </w:pPr>
      <w:r>
        <w:rPr>
          <w:sz w:val="20"/>
        </w:rPr>
        <w:t>B. Al Farsi, R.G. Sumesh Sofin, E.-S.I. El-Shafey, A. Issac, F. Al Marzouqi, S. Al Mashaikhi, M.T. Zar Myint, O. K. Abou-Zied, Appl. Surf. Sci. </w:t>
      </w:r>
      <w:r>
        <w:rPr>
          <w:b/>
          <w:sz w:val="20"/>
        </w:rPr>
        <w:t>566</w:t>
      </w:r>
      <w:r>
        <w:rPr>
          <w:sz w:val="20"/>
        </w:rPr>
        <w:t>, 150618</w:t>
      </w:r>
      <w:r>
        <w:rPr>
          <w:spacing w:val="10"/>
          <w:sz w:val="20"/>
        </w:rPr>
        <w:t> </w:t>
      </w:r>
      <w:r>
        <w:rPr>
          <w:sz w:val="20"/>
        </w:rPr>
        <w:t>(2021).</w:t>
      </w:r>
    </w:p>
    <w:p>
      <w:pPr>
        <w:pStyle w:val="ListParagraph"/>
        <w:numPr>
          <w:ilvl w:val="0"/>
          <w:numId w:val="2"/>
        </w:numPr>
        <w:tabs>
          <w:tab w:pos="481" w:val="left" w:leader="none"/>
        </w:tabs>
        <w:spacing w:line="242" w:lineRule="auto" w:before="0" w:after="0"/>
        <w:ind w:left="480" w:right="130" w:hanging="360"/>
        <w:jc w:val="left"/>
        <w:rPr>
          <w:sz w:val="20"/>
        </w:rPr>
      </w:pPr>
      <w:r>
        <w:rPr>
          <w:sz w:val="20"/>
        </w:rPr>
        <w:t>Y. Sun, S. Liu, L. Sun, S. Wu, </w:t>
      </w:r>
      <w:r>
        <w:rPr>
          <w:spacing w:val="-3"/>
          <w:sz w:val="20"/>
        </w:rPr>
        <w:t>G. </w:t>
      </w:r>
      <w:r>
        <w:rPr>
          <w:sz w:val="20"/>
        </w:rPr>
        <w:t>Hu, X. Pang, A.T. Smith, C. Hu, S. Zeng, </w:t>
      </w:r>
      <w:r>
        <w:rPr>
          <w:spacing w:val="-3"/>
          <w:sz w:val="20"/>
        </w:rPr>
        <w:t>W. </w:t>
      </w:r>
      <w:r>
        <w:rPr>
          <w:sz w:val="20"/>
        </w:rPr>
        <w:t>Wang, Y. Liu, and M. Zheng, Nat. Commun. </w:t>
      </w:r>
      <w:r>
        <w:rPr>
          <w:b/>
          <w:sz w:val="20"/>
        </w:rPr>
        <w:t>11</w:t>
      </w:r>
      <w:r>
        <w:rPr>
          <w:sz w:val="20"/>
        </w:rPr>
        <w:t>, 5591</w:t>
      </w:r>
      <w:r>
        <w:rPr>
          <w:spacing w:val="1"/>
          <w:sz w:val="20"/>
        </w:rPr>
        <w:t> </w:t>
      </w:r>
      <w:r>
        <w:rPr>
          <w:sz w:val="20"/>
        </w:rPr>
        <w:t>(2020).</w:t>
      </w:r>
    </w:p>
    <w:p>
      <w:pPr>
        <w:pStyle w:val="ListParagraph"/>
        <w:numPr>
          <w:ilvl w:val="0"/>
          <w:numId w:val="2"/>
        </w:numPr>
        <w:tabs>
          <w:tab w:pos="481" w:val="left" w:leader="none"/>
        </w:tabs>
        <w:spacing w:line="225" w:lineRule="exact" w:before="0" w:after="0"/>
        <w:ind w:left="480" w:right="0" w:hanging="361"/>
        <w:jc w:val="left"/>
        <w:rPr>
          <w:sz w:val="20"/>
        </w:rPr>
      </w:pPr>
      <w:r>
        <w:rPr>
          <w:sz w:val="20"/>
        </w:rPr>
        <w:t>M. Xue, Z. Zhan, M. Zou, L. Zhang and S. Zhao, New J.Chem. </w:t>
      </w:r>
      <w:r>
        <w:rPr>
          <w:b/>
          <w:sz w:val="20"/>
        </w:rPr>
        <w:t>40</w:t>
      </w:r>
      <w:r>
        <w:rPr>
          <w:sz w:val="20"/>
        </w:rPr>
        <w:t>, 1698</w:t>
      </w:r>
      <w:r>
        <w:rPr>
          <w:spacing w:val="-6"/>
          <w:sz w:val="20"/>
        </w:rPr>
        <w:t> </w:t>
      </w:r>
      <w:r>
        <w:rPr>
          <w:sz w:val="20"/>
        </w:rPr>
        <w:t>(2016).</w:t>
      </w:r>
    </w:p>
    <w:p>
      <w:pPr>
        <w:pStyle w:val="ListParagraph"/>
        <w:numPr>
          <w:ilvl w:val="0"/>
          <w:numId w:val="2"/>
        </w:numPr>
        <w:tabs>
          <w:tab w:pos="481" w:val="left" w:leader="none"/>
        </w:tabs>
        <w:spacing w:line="229" w:lineRule="exact" w:before="0" w:after="0"/>
        <w:ind w:left="480" w:right="0" w:hanging="361"/>
        <w:jc w:val="left"/>
        <w:rPr>
          <w:sz w:val="20"/>
        </w:rPr>
      </w:pPr>
      <w:r>
        <w:rPr>
          <w:sz w:val="20"/>
        </w:rPr>
        <w:t>A. Pathak, S. PV, J. Stanley, and T.G. Satheesh Babu, Microchimica Acta </w:t>
      </w:r>
      <w:r>
        <w:rPr>
          <w:b/>
          <w:sz w:val="20"/>
        </w:rPr>
        <w:t>186, </w:t>
      </w:r>
      <w:r>
        <w:rPr>
          <w:sz w:val="20"/>
        </w:rPr>
        <w:t>157</w:t>
      </w:r>
      <w:r>
        <w:rPr>
          <w:spacing w:val="4"/>
          <w:sz w:val="20"/>
        </w:rPr>
        <w:t> </w:t>
      </w:r>
      <w:r>
        <w:rPr>
          <w:sz w:val="20"/>
        </w:rPr>
        <w:t>(2019).</w:t>
      </w:r>
    </w:p>
    <w:p>
      <w:pPr>
        <w:pStyle w:val="ListParagraph"/>
        <w:numPr>
          <w:ilvl w:val="0"/>
          <w:numId w:val="2"/>
        </w:numPr>
        <w:tabs>
          <w:tab w:pos="481" w:val="left" w:leader="none"/>
        </w:tabs>
        <w:spacing w:line="229" w:lineRule="exact" w:before="0" w:after="0"/>
        <w:ind w:left="480" w:right="0" w:hanging="361"/>
        <w:jc w:val="left"/>
        <w:rPr>
          <w:sz w:val="20"/>
        </w:rPr>
      </w:pPr>
      <w:r>
        <w:rPr>
          <w:sz w:val="20"/>
        </w:rPr>
        <w:t>Q. Li, M. Zhou, </w:t>
      </w:r>
      <w:r>
        <w:rPr>
          <w:spacing w:val="-3"/>
          <w:sz w:val="20"/>
        </w:rPr>
        <w:t>Q. </w:t>
      </w:r>
      <w:r>
        <w:rPr>
          <w:sz w:val="20"/>
        </w:rPr>
        <w:t>Yang, Q. Wu, J. Shi, A. Gong, and M. Yang, Chem. Mater </w:t>
      </w:r>
      <w:r>
        <w:rPr>
          <w:b/>
          <w:sz w:val="20"/>
        </w:rPr>
        <w:t>28</w:t>
      </w:r>
      <w:r>
        <w:rPr>
          <w:sz w:val="20"/>
        </w:rPr>
        <w:t>, 8221</w:t>
      </w:r>
      <w:r>
        <w:rPr>
          <w:spacing w:val="18"/>
          <w:sz w:val="20"/>
        </w:rPr>
        <w:t> </w:t>
      </w:r>
      <w:r>
        <w:rPr>
          <w:sz w:val="20"/>
        </w:rPr>
        <w:t>(2016).</w:t>
      </w:r>
    </w:p>
    <w:p>
      <w:pPr>
        <w:pStyle w:val="ListParagraph"/>
        <w:numPr>
          <w:ilvl w:val="0"/>
          <w:numId w:val="2"/>
        </w:numPr>
        <w:tabs>
          <w:tab w:pos="481" w:val="left" w:leader="none"/>
        </w:tabs>
        <w:spacing w:line="229" w:lineRule="exact" w:before="0" w:after="0"/>
        <w:ind w:left="480" w:right="0" w:hanging="361"/>
        <w:jc w:val="left"/>
        <w:rPr>
          <w:sz w:val="20"/>
        </w:rPr>
      </w:pPr>
      <w:r>
        <w:rPr>
          <w:sz w:val="20"/>
        </w:rPr>
        <w:t>H. Nie, M. Li, Q. Li, S. Liang, Y. Tan, L. Sheng, W. Shi, and S.X.-A. Zhang, Chem. Mater. </w:t>
      </w:r>
      <w:r>
        <w:rPr>
          <w:b/>
          <w:sz w:val="20"/>
        </w:rPr>
        <w:t>26</w:t>
      </w:r>
      <w:r>
        <w:rPr>
          <w:sz w:val="20"/>
        </w:rPr>
        <w:t>, 3104</w:t>
      </w:r>
      <w:r>
        <w:rPr>
          <w:spacing w:val="-13"/>
          <w:sz w:val="20"/>
        </w:rPr>
        <w:t> </w:t>
      </w:r>
      <w:r>
        <w:rPr>
          <w:sz w:val="20"/>
        </w:rPr>
        <w:t>(2014).</w:t>
      </w:r>
    </w:p>
    <w:p>
      <w:pPr>
        <w:pStyle w:val="ListParagraph"/>
        <w:numPr>
          <w:ilvl w:val="0"/>
          <w:numId w:val="2"/>
        </w:numPr>
        <w:tabs>
          <w:tab w:pos="481" w:val="left" w:leader="none"/>
        </w:tabs>
        <w:spacing w:line="229" w:lineRule="exact" w:before="0" w:after="0"/>
        <w:ind w:left="480" w:right="0" w:hanging="361"/>
        <w:jc w:val="left"/>
        <w:rPr>
          <w:sz w:val="20"/>
        </w:rPr>
      </w:pPr>
      <w:r>
        <w:rPr>
          <w:sz w:val="20"/>
        </w:rPr>
        <w:t>Z. Zhu, R. Cheng, L. Ling, Q. Li, and S. Chen, Angew. Chem. </w:t>
      </w:r>
      <w:r>
        <w:rPr>
          <w:b/>
          <w:sz w:val="20"/>
        </w:rPr>
        <w:t>132</w:t>
      </w:r>
      <w:r>
        <w:rPr>
          <w:sz w:val="20"/>
        </w:rPr>
        <w:t>, 3123</w:t>
      </w:r>
      <w:r>
        <w:rPr>
          <w:spacing w:val="15"/>
          <w:sz w:val="20"/>
        </w:rPr>
        <w:t> </w:t>
      </w:r>
      <w:r>
        <w:rPr>
          <w:sz w:val="20"/>
        </w:rPr>
        <w:t>(2020).</w:t>
      </w:r>
    </w:p>
    <w:p>
      <w:pPr>
        <w:pStyle w:val="ListParagraph"/>
        <w:numPr>
          <w:ilvl w:val="0"/>
          <w:numId w:val="2"/>
        </w:numPr>
        <w:tabs>
          <w:tab w:pos="481" w:val="left" w:leader="none"/>
        </w:tabs>
        <w:spacing w:line="240" w:lineRule="auto" w:before="0" w:after="0"/>
        <w:ind w:left="480" w:right="0" w:hanging="361"/>
        <w:jc w:val="left"/>
        <w:rPr>
          <w:sz w:val="20"/>
        </w:rPr>
      </w:pPr>
      <w:r>
        <w:rPr>
          <w:sz w:val="20"/>
        </w:rPr>
        <w:t>P. Chandrasekaran, </w:t>
      </w:r>
      <w:r>
        <w:rPr>
          <w:spacing w:val="-3"/>
          <w:sz w:val="20"/>
        </w:rPr>
        <w:t>V. </w:t>
      </w:r>
      <w:r>
        <w:rPr>
          <w:sz w:val="20"/>
        </w:rPr>
        <w:t>Arul, and M.G. Sethuraman, J. Fluoresc. </w:t>
      </w:r>
      <w:r>
        <w:rPr>
          <w:b/>
          <w:sz w:val="20"/>
        </w:rPr>
        <w:t>30</w:t>
      </w:r>
      <w:r>
        <w:rPr>
          <w:sz w:val="20"/>
        </w:rPr>
        <w:t>, 103</w:t>
      </w:r>
      <w:r>
        <w:rPr>
          <w:spacing w:val="16"/>
          <w:sz w:val="20"/>
        </w:rPr>
        <w:t> </w:t>
      </w:r>
      <w:r>
        <w:rPr>
          <w:sz w:val="20"/>
        </w:rPr>
        <w:t>(2020).</w:t>
      </w:r>
    </w:p>
    <w:p>
      <w:pPr>
        <w:spacing w:after="0" w:line="240" w:lineRule="auto"/>
        <w:jc w:val="left"/>
        <w:rPr>
          <w:sz w:val="20"/>
        </w:rPr>
        <w:sectPr>
          <w:pgSz w:w="12240" w:h="15840"/>
          <w:pgMar w:top="1380" w:bottom="280" w:left="1320" w:right="1320"/>
        </w:sectPr>
      </w:pPr>
    </w:p>
    <w:p>
      <w:pPr>
        <w:pStyle w:val="ListParagraph"/>
        <w:numPr>
          <w:ilvl w:val="0"/>
          <w:numId w:val="2"/>
        </w:numPr>
        <w:tabs>
          <w:tab w:pos="481" w:val="left" w:leader="none"/>
        </w:tabs>
        <w:spacing w:line="240" w:lineRule="auto" w:before="77" w:after="0"/>
        <w:ind w:left="480" w:right="125" w:hanging="360"/>
        <w:jc w:val="left"/>
        <w:rPr>
          <w:sz w:val="20"/>
        </w:rPr>
      </w:pPr>
      <w:r>
        <w:rPr>
          <w:sz w:val="20"/>
        </w:rPr>
        <w:t>P. Lesani, G. Singh, C.M. Viray, Y. Ramaswamy,  D.M. Zhu,  P.  Kingshott, Z. Lu,  and H. Zreiqat,  ACS  Appl. Mater. Interfaces </w:t>
      </w:r>
      <w:r>
        <w:rPr>
          <w:b/>
          <w:sz w:val="20"/>
        </w:rPr>
        <w:t>12</w:t>
      </w:r>
      <w:r>
        <w:rPr>
          <w:sz w:val="20"/>
        </w:rPr>
        <w:t>, 18395</w:t>
      </w:r>
      <w:r>
        <w:rPr>
          <w:spacing w:val="3"/>
          <w:sz w:val="20"/>
        </w:rPr>
        <w:t> </w:t>
      </w:r>
      <w:r>
        <w:rPr>
          <w:sz w:val="20"/>
        </w:rPr>
        <w:t>(2020).</w:t>
      </w:r>
    </w:p>
    <w:p>
      <w:pPr>
        <w:pStyle w:val="ListParagraph"/>
        <w:numPr>
          <w:ilvl w:val="0"/>
          <w:numId w:val="2"/>
        </w:numPr>
        <w:tabs>
          <w:tab w:pos="481" w:val="left" w:leader="none"/>
        </w:tabs>
        <w:spacing w:line="240" w:lineRule="auto" w:before="0" w:after="0"/>
        <w:ind w:left="480" w:right="126" w:hanging="360"/>
        <w:jc w:val="left"/>
        <w:rPr>
          <w:sz w:val="20"/>
        </w:rPr>
      </w:pPr>
      <w:r>
        <w:rPr>
          <w:sz w:val="20"/>
        </w:rPr>
        <w:t>D.</w:t>
      </w:r>
      <w:r>
        <w:rPr>
          <w:spacing w:val="-13"/>
          <w:sz w:val="20"/>
        </w:rPr>
        <w:t> </w:t>
      </w:r>
      <w:r>
        <w:rPr>
          <w:sz w:val="20"/>
        </w:rPr>
        <w:t>Bano,</w:t>
      </w:r>
      <w:r>
        <w:rPr>
          <w:spacing w:val="-12"/>
          <w:sz w:val="20"/>
        </w:rPr>
        <w:t> </w:t>
      </w:r>
      <w:r>
        <w:rPr>
          <w:sz w:val="20"/>
        </w:rPr>
        <w:t>V.</w:t>
      </w:r>
      <w:r>
        <w:rPr>
          <w:spacing w:val="-12"/>
          <w:sz w:val="20"/>
        </w:rPr>
        <w:t> </w:t>
      </w:r>
      <w:r>
        <w:rPr>
          <w:sz w:val="20"/>
        </w:rPr>
        <w:t>Kumar,</w:t>
      </w:r>
      <w:r>
        <w:rPr>
          <w:spacing w:val="-12"/>
          <w:sz w:val="20"/>
        </w:rPr>
        <w:t> </w:t>
      </w:r>
      <w:r>
        <w:rPr>
          <w:sz w:val="20"/>
        </w:rPr>
        <w:t>V.K.</w:t>
      </w:r>
      <w:r>
        <w:rPr>
          <w:spacing w:val="-12"/>
          <w:sz w:val="20"/>
        </w:rPr>
        <w:t> </w:t>
      </w:r>
      <w:r>
        <w:rPr>
          <w:sz w:val="20"/>
        </w:rPr>
        <w:t>Singh,</w:t>
      </w:r>
      <w:r>
        <w:rPr>
          <w:spacing w:val="-12"/>
          <w:sz w:val="20"/>
        </w:rPr>
        <w:t> </w:t>
      </w:r>
      <w:r>
        <w:rPr>
          <w:sz w:val="20"/>
        </w:rPr>
        <w:t>S.</w:t>
      </w:r>
      <w:r>
        <w:rPr>
          <w:spacing w:val="-12"/>
          <w:sz w:val="20"/>
        </w:rPr>
        <w:t> </w:t>
      </w:r>
      <w:r>
        <w:rPr>
          <w:sz w:val="20"/>
        </w:rPr>
        <w:t>Chandra,</w:t>
      </w:r>
      <w:r>
        <w:rPr>
          <w:spacing w:val="-12"/>
          <w:sz w:val="20"/>
        </w:rPr>
        <w:t> </w:t>
      </w:r>
      <w:r>
        <w:rPr>
          <w:sz w:val="20"/>
        </w:rPr>
        <w:t>D.K.</w:t>
      </w:r>
      <w:r>
        <w:rPr>
          <w:spacing w:val="-19"/>
          <w:sz w:val="20"/>
        </w:rPr>
        <w:t> </w:t>
      </w:r>
      <w:r>
        <w:rPr>
          <w:sz w:val="20"/>
        </w:rPr>
        <w:t>Singh,</w:t>
      </w:r>
      <w:r>
        <w:rPr>
          <w:spacing w:val="-11"/>
          <w:sz w:val="20"/>
        </w:rPr>
        <w:t> </w:t>
      </w:r>
      <w:r>
        <w:rPr>
          <w:sz w:val="20"/>
        </w:rPr>
        <w:t>P.K.</w:t>
      </w:r>
      <w:r>
        <w:rPr>
          <w:spacing w:val="-12"/>
          <w:sz w:val="20"/>
        </w:rPr>
        <w:t> </w:t>
      </w:r>
      <w:r>
        <w:rPr>
          <w:sz w:val="20"/>
        </w:rPr>
        <w:t>Yadav,</w:t>
      </w:r>
      <w:r>
        <w:rPr>
          <w:spacing w:val="-12"/>
          <w:sz w:val="20"/>
        </w:rPr>
        <w:t> </w:t>
      </w:r>
      <w:r>
        <w:rPr>
          <w:sz w:val="20"/>
        </w:rPr>
        <w:t>M.</w:t>
      </w:r>
      <w:r>
        <w:rPr>
          <w:spacing w:val="-16"/>
          <w:sz w:val="20"/>
        </w:rPr>
        <w:t> </w:t>
      </w:r>
      <w:r>
        <w:rPr>
          <w:sz w:val="20"/>
        </w:rPr>
        <w:t>Talat,</w:t>
      </w:r>
      <w:r>
        <w:rPr>
          <w:spacing w:val="-12"/>
          <w:sz w:val="20"/>
        </w:rPr>
        <w:t> </w:t>
      </w:r>
      <w:r>
        <w:rPr>
          <w:sz w:val="20"/>
        </w:rPr>
        <w:t>and</w:t>
      </w:r>
      <w:r>
        <w:rPr>
          <w:spacing w:val="-13"/>
          <w:sz w:val="20"/>
        </w:rPr>
        <w:t> </w:t>
      </w:r>
      <w:r>
        <w:rPr>
          <w:sz w:val="20"/>
        </w:rPr>
        <w:t>S.H.</w:t>
      </w:r>
      <w:r>
        <w:rPr>
          <w:spacing w:val="-12"/>
          <w:sz w:val="20"/>
        </w:rPr>
        <w:t> </w:t>
      </w:r>
      <w:r>
        <w:rPr>
          <w:sz w:val="20"/>
        </w:rPr>
        <w:t>Hasan,</w:t>
      </w:r>
      <w:r>
        <w:rPr>
          <w:spacing w:val="-12"/>
          <w:sz w:val="20"/>
        </w:rPr>
        <w:t> </w:t>
      </w:r>
      <w:r>
        <w:rPr>
          <w:sz w:val="20"/>
        </w:rPr>
        <w:t>ACS</w:t>
      </w:r>
      <w:r>
        <w:rPr>
          <w:spacing w:val="-16"/>
          <w:sz w:val="20"/>
        </w:rPr>
        <w:t> </w:t>
      </w:r>
      <w:r>
        <w:rPr>
          <w:sz w:val="20"/>
        </w:rPr>
        <w:t>Sustainable Chemistry &amp; Engineering </w:t>
      </w:r>
      <w:r>
        <w:rPr>
          <w:b/>
          <w:sz w:val="20"/>
        </w:rPr>
        <w:t>7</w:t>
      </w:r>
      <w:r>
        <w:rPr>
          <w:sz w:val="20"/>
        </w:rPr>
        <w:t>, 1923</w:t>
      </w:r>
      <w:r>
        <w:rPr>
          <w:spacing w:val="-1"/>
          <w:sz w:val="20"/>
        </w:rPr>
        <w:t> </w:t>
      </w:r>
      <w:r>
        <w:rPr>
          <w:sz w:val="20"/>
        </w:rPr>
        <w:t>(2019).</w:t>
      </w:r>
    </w:p>
    <w:p>
      <w:pPr>
        <w:pStyle w:val="ListParagraph"/>
        <w:numPr>
          <w:ilvl w:val="0"/>
          <w:numId w:val="2"/>
        </w:numPr>
        <w:tabs>
          <w:tab w:pos="481" w:val="left" w:leader="none"/>
        </w:tabs>
        <w:spacing w:line="229" w:lineRule="exact" w:before="0" w:after="0"/>
        <w:ind w:left="480" w:right="0" w:hanging="361"/>
        <w:jc w:val="left"/>
        <w:rPr>
          <w:sz w:val="20"/>
        </w:rPr>
      </w:pPr>
      <w:r>
        <w:rPr>
          <w:sz w:val="20"/>
        </w:rPr>
        <w:t>S. Jayaweera, K. Yin, and W.J. Ng, Journal of Fluorescence </w:t>
      </w:r>
      <w:r>
        <w:rPr>
          <w:b/>
          <w:sz w:val="20"/>
        </w:rPr>
        <w:t>29</w:t>
      </w:r>
      <w:r>
        <w:rPr>
          <w:sz w:val="20"/>
        </w:rPr>
        <w:t>, 221</w:t>
      </w:r>
      <w:r>
        <w:rPr>
          <w:spacing w:val="15"/>
          <w:sz w:val="20"/>
        </w:rPr>
        <w:t> </w:t>
      </w:r>
      <w:r>
        <w:rPr>
          <w:sz w:val="20"/>
        </w:rPr>
        <w:t>(2019).</w:t>
      </w:r>
    </w:p>
    <w:p>
      <w:pPr>
        <w:pStyle w:val="ListParagraph"/>
        <w:numPr>
          <w:ilvl w:val="0"/>
          <w:numId w:val="2"/>
        </w:numPr>
        <w:tabs>
          <w:tab w:pos="481" w:val="left" w:leader="none"/>
        </w:tabs>
        <w:spacing w:line="229" w:lineRule="exact" w:before="0" w:after="0"/>
        <w:ind w:left="480" w:right="0" w:hanging="361"/>
        <w:jc w:val="left"/>
        <w:rPr>
          <w:sz w:val="20"/>
        </w:rPr>
      </w:pPr>
      <w:r>
        <w:rPr>
          <w:sz w:val="20"/>
        </w:rPr>
        <w:t>H. Sun, N. Gao, L. Wu, J. Ren, W. Wei, and X. Qu, Chemistry – A European Journal </w:t>
      </w:r>
      <w:r>
        <w:rPr>
          <w:b/>
          <w:sz w:val="20"/>
        </w:rPr>
        <w:t>19</w:t>
      </w:r>
      <w:r>
        <w:rPr>
          <w:sz w:val="20"/>
        </w:rPr>
        <w:t>, 13362</w:t>
      </w:r>
      <w:r>
        <w:rPr>
          <w:spacing w:val="-6"/>
          <w:sz w:val="20"/>
        </w:rPr>
        <w:t> </w:t>
      </w:r>
      <w:r>
        <w:rPr>
          <w:sz w:val="20"/>
        </w:rPr>
        <w:t>(2013).</w:t>
      </w:r>
    </w:p>
    <w:p>
      <w:pPr>
        <w:pStyle w:val="ListParagraph"/>
        <w:numPr>
          <w:ilvl w:val="0"/>
          <w:numId w:val="2"/>
        </w:numPr>
        <w:tabs>
          <w:tab w:pos="481" w:val="left" w:leader="none"/>
        </w:tabs>
        <w:spacing w:line="229" w:lineRule="exact" w:before="2" w:after="0"/>
        <w:ind w:left="480" w:right="0" w:hanging="361"/>
        <w:jc w:val="left"/>
        <w:rPr>
          <w:sz w:val="20"/>
        </w:rPr>
      </w:pPr>
      <w:r>
        <w:rPr>
          <w:sz w:val="20"/>
        </w:rPr>
        <w:t>F.</w:t>
      </w:r>
      <w:r>
        <w:rPr>
          <w:spacing w:val="9"/>
          <w:sz w:val="20"/>
        </w:rPr>
        <w:t> </w:t>
      </w:r>
      <w:r>
        <w:rPr>
          <w:sz w:val="20"/>
        </w:rPr>
        <w:t>Yuan,</w:t>
      </w:r>
      <w:r>
        <w:rPr>
          <w:spacing w:val="5"/>
          <w:sz w:val="20"/>
        </w:rPr>
        <w:t> </w:t>
      </w:r>
      <w:r>
        <w:rPr>
          <w:sz w:val="20"/>
        </w:rPr>
        <w:t>Y.</w:t>
      </w:r>
      <w:r>
        <w:rPr>
          <w:spacing w:val="5"/>
          <w:sz w:val="20"/>
        </w:rPr>
        <w:t> </w:t>
      </w:r>
      <w:r>
        <w:rPr>
          <w:sz w:val="20"/>
        </w:rPr>
        <w:t>Wang,</w:t>
      </w:r>
      <w:r>
        <w:rPr>
          <w:spacing w:val="5"/>
          <w:sz w:val="20"/>
        </w:rPr>
        <w:t> </w:t>
      </w:r>
      <w:r>
        <w:rPr>
          <w:sz w:val="20"/>
        </w:rPr>
        <w:t>G.</w:t>
      </w:r>
      <w:r>
        <w:rPr>
          <w:spacing w:val="5"/>
          <w:sz w:val="20"/>
        </w:rPr>
        <w:t> </w:t>
      </w:r>
      <w:r>
        <w:rPr>
          <w:sz w:val="20"/>
        </w:rPr>
        <w:t>Sharma,</w:t>
      </w:r>
      <w:r>
        <w:rPr>
          <w:spacing w:val="5"/>
          <w:sz w:val="20"/>
        </w:rPr>
        <w:t> </w:t>
      </w:r>
      <w:r>
        <w:rPr>
          <w:sz w:val="20"/>
        </w:rPr>
        <w:t>Y.</w:t>
      </w:r>
      <w:r>
        <w:rPr>
          <w:spacing w:val="6"/>
          <w:sz w:val="20"/>
        </w:rPr>
        <w:t> </w:t>
      </w:r>
      <w:r>
        <w:rPr>
          <w:sz w:val="20"/>
        </w:rPr>
        <w:t>Dong,</w:t>
      </w:r>
      <w:r>
        <w:rPr>
          <w:spacing w:val="5"/>
          <w:sz w:val="20"/>
        </w:rPr>
        <w:t> </w:t>
      </w:r>
      <w:r>
        <w:rPr>
          <w:sz w:val="20"/>
        </w:rPr>
        <w:t>X.</w:t>
      </w:r>
      <w:r>
        <w:rPr>
          <w:spacing w:val="5"/>
          <w:sz w:val="20"/>
        </w:rPr>
        <w:t> </w:t>
      </w:r>
      <w:r>
        <w:rPr>
          <w:sz w:val="20"/>
        </w:rPr>
        <w:t>Zheng,</w:t>
      </w:r>
      <w:r>
        <w:rPr>
          <w:spacing w:val="9"/>
          <w:sz w:val="20"/>
        </w:rPr>
        <w:t> </w:t>
      </w:r>
      <w:r>
        <w:rPr>
          <w:sz w:val="20"/>
        </w:rPr>
        <w:t>P.</w:t>
      </w:r>
      <w:r>
        <w:rPr>
          <w:spacing w:val="9"/>
          <w:sz w:val="20"/>
        </w:rPr>
        <w:t> </w:t>
      </w:r>
      <w:r>
        <w:rPr>
          <w:sz w:val="20"/>
        </w:rPr>
        <w:t>Li,</w:t>
      </w:r>
      <w:r>
        <w:rPr>
          <w:spacing w:val="6"/>
          <w:sz w:val="20"/>
        </w:rPr>
        <w:t> </w:t>
      </w:r>
      <w:r>
        <w:rPr>
          <w:sz w:val="20"/>
        </w:rPr>
        <w:t>A.</w:t>
      </w:r>
      <w:r>
        <w:rPr>
          <w:spacing w:val="5"/>
          <w:sz w:val="20"/>
        </w:rPr>
        <w:t> </w:t>
      </w:r>
      <w:r>
        <w:rPr>
          <w:sz w:val="20"/>
        </w:rPr>
        <w:t>Johnston,</w:t>
      </w:r>
      <w:r>
        <w:rPr>
          <w:spacing w:val="10"/>
          <w:sz w:val="20"/>
        </w:rPr>
        <w:t> </w:t>
      </w:r>
      <w:r>
        <w:rPr>
          <w:sz w:val="20"/>
        </w:rPr>
        <w:t>G.</w:t>
      </w:r>
      <w:r>
        <w:rPr>
          <w:spacing w:val="6"/>
          <w:sz w:val="20"/>
        </w:rPr>
        <w:t> </w:t>
      </w:r>
      <w:r>
        <w:rPr>
          <w:sz w:val="20"/>
        </w:rPr>
        <w:t>Bappi,</w:t>
      </w:r>
      <w:r>
        <w:rPr>
          <w:spacing w:val="6"/>
          <w:sz w:val="20"/>
        </w:rPr>
        <w:t> </w:t>
      </w:r>
      <w:r>
        <w:rPr>
          <w:sz w:val="20"/>
        </w:rPr>
        <w:t>J.</w:t>
      </w:r>
      <w:r>
        <w:rPr>
          <w:spacing w:val="5"/>
          <w:sz w:val="20"/>
        </w:rPr>
        <w:t> </w:t>
      </w:r>
      <w:r>
        <w:rPr>
          <w:sz w:val="20"/>
        </w:rPr>
        <w:t>Z.</w:t>
      </w:r>
      <w:r>
        <w:rPr>
          <w:spacing w:val="5"/>
          <w:sz w:val="20"/>
        </w:rPr>
        <w:t> </w:t>
      </w:r>
      <w:r>
        <w:rPr>
          <w:sz w:val="20"/>
        </w:rPr>
        <w:t>Fan,</w:t>
      </w:r>
      <w:r>
        <w:rPr>
          <w:spacing w:val="5"/>
          <w:sz w:val="20"/>
        </w:rPr>
        <w:t> </w:t>
      </w:r>
      <w:r>
        <w:rPr>
          <w:sz w:val="20"/>
        </w:rPr>
        <w:t>H.</w:t>
      </w:r>
      <w:r>
        <w:rPr>
          <w:spacing w:val="5"/>
          <w:sz w:val="20"/>
        </w:rPr>
        <w:t> </w:t>
      </w:r>
      <w:r>
        <w:rPr>
          <w:sz w:val="20"/>
        </w:rPr>
        <w:t>Kung,</w:t>
      </w:r>
      <w:r>
        <w:rPr>
          <w:spacing w:val="10"/>
          <w:sz w:val="20"/>
        </w:rPr>
        <w:t> </w:t>
      </w:r>
      <w:r>
        <w:rPr>
          <w:sz w:val="20"/>
        </w:rPr>
        <w:t>B.</w:t>
      </w:r>
      <w:r>
        <w:rPr>
          <w:spacing w:val="5"/>
          <w:sz w:val="20"/>
        </w:rPr>
        <w:t> </w:t>
      </w:r>
      <w:r>
        <w:rPr>
          <w:sz w:val="20"/>
        </w:rPr>
        <w:t>Chen,</w:t>
      </w:r>
    </w:p>
    <w:p>
      <w:pPr>
        <w:pStyle w:val="BodyText"/>
        <w:spacing w:line="229" w:lineRule="exact"/>
        <w:ind w:left="480"/>
      </w:pPr>
      <w:r>
        <w:rPr/>
        <w:t>M.I. Saidaminov, K. Singh, O. Voznyy, O.M. Bakr, Z. Lu, and E.H. Sargent, Nat. Photonics </w:t>
      </w:r>
      <w:r>
        <w:rPr>
          <w:b/>
        </w:rPr>
        <w:t>14</w:t>
      </w:r>
      <w:r>
        <w:rPr/>
        <w:t>, 171 (2020).</w:t>
      </w:r>
    </w:p>
    <w:p>
      <w:pPr>
        <w:pStyle w:val="ListParagraph"/>
        <w:numPr>
          <w:ilvl w:val="0"/>
          <w:numId w:val="2"/>
        </w:numPr>
        <w:tabs>
          <w:tab w:pos="481" w:val="left" w:leader="none"/>
        </w:tabs>
        <w:spacing w:line="240" w:lineRule="auto" w:before="2" w:after="0"/>
        <w:ind w:left="480" w:right="114" w:hanging="360"/>
        <w:jc w:val="left"/>
        <w:rPr>
          <w:sz w:val="20"/>
        </w:rPr>
      </w:pPr>
      <w:r>
        <w:rPr>
          <w:sz w:val="20"/>
        </w:rPr>
        <w:t>R.</w:t>
      </w:r>
      <w:r>
        <w:rPr>
          <w:spacing w:val="-12"/>
          <w:sz w:val="20"/>
        </w:rPr>
        <w:t> </w:t>
      </w:r>
      <w:r>
        <w:rPr>
          <w:sz w:val="20"/>
        </w:rPr>
        <w:t>Ye,</w:t>
      </w:r>
      <w:r>
        <w:rPr>
          <w:spacing w:val="-15"/>
          <w:sz w:val="20"/>
        </w:rPr>
        <w:t> </w:t>
      </w:r>
      <w:r>
        <w:rPr>
          <w:sz w:val="20"/>
        </w:rPr>
        <w:t>C.</w:t>
      </w:r>
      <w:r>
        <w:rPr>
          <w:spacing w:val="-11"/>
          <w:sz w:val="20"/>
        </w:rPr>
        <w:t> </w:t>
      </w:r>
      <w:r>
        <w:rPr>
          <w:sz w:val="20"/>
        </w:rPr>
        <w:t>Xiang,</w:t>
      </w:r>
      <w:r>
        <w:rPr>
          <w:spacing w:val="-12"/>
          <w:sz w:val="20"/>
        </w:rPr>
        <w:t> </w:t>
      </w:r>
      <w:r>
        <w:rPr>
          <w:sz w:val="20"/>
        </w:rPr>
        <w:t>J.</w:t>
      </w:r>
      <w:r>
        <w:rPr>
          <w:spacing w:val="-14"/>
          <w:sz w:val="20"/>
        </w:rPr>
        <w:t> </w:t>
      </w:r>
      <w:r>
        <w:rPr>
          <w:sz w:val="20"/>
        </w:rPr>
        <w:t>Lin,</w:t>
      </w:r>
      <w:r>
        <w:rPr>
          <w:spacing w:val="-15"/>
          <w:sz w:val="20"/>
        </w:rPr>
        <w:t> </w:t>
      </w:r>
      <w:r>
        <w:rPr>
          <w:sz w:val="20"/>
        </w:rPr>
        <w:t>Z.</w:t>
      </w:r>
      <w:r>
        <w:rPr>
          <w:spacing w:val="-14"/>
          <w:sz w:val="20"/>
        </w:rPr>
        <w:t> </w:t>
      </w:r>
      <w:r>
        <w:rPr>
          <w:sz w:val="20"/>
        </w:rPr>
        <w:t>Peng,</w:t>
      </w:r>
      <w:r>
        <w:rPr>
          <w:spacing w:val="-12"/>
          <w:sz w:val="20"/>
        </w:rPr>
        <w:t> </w:t>
      </w:r>
      <w:r>
        <w:rPr>
          <w:spacing w:val="-3"/>
          <w:sz w:val="20"/>
        </w:rPr>
        <w:t>K.</w:t>
      </w:r>
      <w:r>
        <w:rPr>
          <w:spacing w:val="-12"/>
          <w:sz w:val="20"/>
        </w:rPr>
        <w:t> </w:t>
      </w:r>
      <w:r>
        <w:rPr>
          <w:sz w:val="20"/>
        </w:rPr>
        <w:t>Huang,</w:t>
      </w:r>
      <w:r>
        <w:rPr>
          <w:spacing w:val="-14"/>
          <w:sz w:val="20"/>
        </w:rPr>
        <w:t> </w:t>
      </w:r>
      <w:r>
        <w:rPr>
          <w:sz w:val="20"/>
        </w:rPr>
        <w:t>Z.</w:t>
      </w:r>
      <w:r>
        <w:rPr>
          <w:spacing w:val="-15"/>
          <w:sz w:val="20"/>
        </w:rPr>
        <w:t> </w:t>
      </w:r>
      <w:r>
        <w:rPr>
          <w:sz w:val="20"/>
        </w:rPr>
        <w:t>Yan,</w:t>
      </w:r>
      <w:r>
        <w:rPr>
          <w:spacing w:val="-15"/>
          <w:sz w:val="20"/>
        </w:rPr>
        <w:t> </w:t>
      </w:r>
      <w:r>
        <w:rPr>
          <w:sz w:val="20"/>
        </w:rPr>
        <w:t>N.P.</w:t>
      </w:r>
      <w:r>
        <w:rPr>
          <w:spacing w:val="-14"/>
          <w:sz w:val="20"/>
        </w:rPr>
        <w:t> </w:t>
      </w:r>
      <w:r>
        <w:rPr>
          <w:sz w:val="20"/>
        </w:rPr>
        <w:t>Cook,</w:t>
      </w:r>
      <w:r>
        <w:rPr>
          <w:spacing w:val="-16"/>
          <w:sz w:val="20"/>
        </w:rPr>
        <w:t> </w:t>
      </w:r>
      <w:r>
        <w:rPr>
          <w:sz w:val="20"/>
        </w:rPr>
        <w:t>E.L.G.</w:t>
      </w:r>
      <w:r>
        <w:rPr>
          <w:spacing w:val="-15"/>
          <w:sz w:val="20"/>
        </w:rPr>
        <w:t> </w:t>
      </w:r>
      <w:r>
        <w:rPr>
          <w:sz w:val="20"/>
        </w:rPr>
        <w:t>Samuel,</w:t>
      </w:r>
      <w:r>
        <w:rPr>
          <w:spacing w:val="-12"/>
          <w:sz w:val="20"/>
        </w:rPr>
        <w:t> </w:t>
      </w:r>
      <w:r>
        <w:rPr>
          <w:sz w:val="20"/>
        </w:rPr>
        <w:t>C.-C.</w:t>
      </w:r>
      <w:r>
        <w:rPr>
          <w:spacing w:val="-12"/>
          <w:sz w:val="20"/>
        </w:rPr>
        <w:t> </w:t>
      </w:r>
      <w:r>
        <w:rPr>
          <w:sz w:val="20"/>
        </w:rPr>
        <w:t>Hwang,</w:t>
      </w:r>
      <w:r>
        <w:rPr>
          <w:spacing w:val="-11"/>
          <w:sz w:val="20"/>
        </w:rPr>
        <w:t> </w:t>
      </w:r>
      <w:r>
        <w:rPr>
          <w:spacing w:val="-3"/>
          <w:sz w:val="20"/>
        </w:rPr>
        <w:t>G.</w:t>
      </w:r>
      <w:r>
        <w:rPr>
          <w:spacing w:val="-12"/>
          <w:sz w:val="20"/>
        </w:rPr>
        <w:t> </w:t>
      </w:r>
      <w:r>
        <w:rPr>
          <w:sz w:val="20"/>
        </w:rPr>
        <w:t>Ruan,</w:t>
      </w:r>
      <w:r>
        <w:rPr>
          <w:spacing w:val="-18"/>
          <w:sz w:val="20"/>
        </w:rPr>
        <w:t> </w:t>
      </w:r>
      <w:r>
        <w:rPr>
          <w:sz w:val="20"/>
        </w:rPr>
        <w:t>G.</w:t>
      </w:r>
      <w:r>
        <w:rPr>
          <w:spacing w:val="-12"/>
          <w:sz w:val="20"/>
        </w:rPr>
        <w:t> </w:t>
      </w:r>
      <w:r>
        <w:rPr>
          <w:sz w:val="20"/>
        </w:rPr>
        <w:t>Ceriotti, A.-R.O. Raji, A.A. Martí, and J.M. Tour, Nature Communications </w:t>
      </w:r>
      <w:r>
        <w:rPr>
          <w:b/>
          <w:sz w:val="20"/>
        </w:rPr>
        <w:t>4</w:t>
      </w:r>
      <w:r>
        <w:rPr>
          <w:sz w:val="20"/>
        </w:rPr>
        <w:t>, 2943</w:t>
      </w:r>
      <w:r>
        <w:rPr>
          <w:spacing w:val="8"/>
          <w:sz w:val="20"/>
        </w:rPr>
        <w:t> </w:t>
      </w:r>
      <w:r>
        <w:rPr>
          <w:sz w:val="20"/>
        </w:rPr>
        <w:t>(2013).</w:t>
      </w:r>
    </w:p>
    <w:p>
      <w:pPr>
        <w:pStyle w:val="ListParagraph"/>
        <w:numPr>
          <w:ilvl w:val="0"/>
          <w:numId w:val="2"/>
        </w:numPr>
        <w:tabs>
          <w:tab w:pos="481" w:val="left" w:leader="none"/>
        </w:tabs>
        <w:spacing w:line="229" w:lineRule="exact" w:before="1" w:after="0"/>
        <w:ind w:left="480" w:right="0" w:hanging="361"/>
        <w:jc w:val="left"/>
        <w:rPr>
          <w:sz w:val="20"/>
        </w:rPr>
      </w:pPr>
      <w:r>
        <w:rPr>
          <w:sz w:val="20"/>
        </w:rPr>
        <w:t>C. Hu, C. Yu, M. Li, </w:t>
      </w:r>
      <w:r>
        <w:rPr>
          <w:spacing w:val="-3"/>
          <w:sz w:val="20"/>
        </w:rPr>
        <w:t>X. </w:t>
      </w:r>
      <w:r>
        <w:rPr>
          <w:sz w:val="20"/>
        </w:rPr>
        <w:t>Wang, J. Yang, Z. Zhao, A. Eychmüller, Y.-P. Sun, and J. Qiu, Small </w:t>
      </w:r>
      <w:r>
        <w:rPr>
          <w:b/>
          <w:sz w:val="20"/>
        </w:rPr>
        <w:t>10</w:t>
      </w:r>
      <w:r>
        <w:rPr>
          <w:sz w:val="20"/>
        </w:rPr>
        <w:t>, 4926</w:t>
      </w:r>
      <w:r>
        <w:rPr>
          <w:spacing w:val="-16"/>
          <w:sz w:val="20"/>
        </w:rPr>
        <w:t> </w:t>
      </w:r>
      <w:r>
        <w:rPr>
          <w:sz w:val="20"/>
        </w:rPr>
        <w:t>(2014).</w:t>
      </w:r>
    </w:p>
    <w:p>
      <w:pPr>
        <w:pStyle w:val="ListParagraph"/>
        <w:numPr>
          <w:ilvl w:val="0"/>
          <w:numId w:val="2"/>
        </w:numPr>
        <w:tabs>
          <w:tab w:pos="481" w:val="left" w:leader="none"/>
        </w:tabs>
        <w:spacing w:line="229" w:lineRule="exact" w:before="0" w:after="0"/>
        <w:ind w:left="480" w:right="0" w:hanging="361"/>
        <w:jc w:val="left"/>
        <w:rPr>
          <w:sz w:val="20"/>
        </w:rPr>
      </w:pPr>
      <w:r>
        <w:rPr>
          <w:sz w:val="20"/>
        </w:rPr>
        <w:t>M. B, A.M. Raj, and G.T. Chirayil, Scientific Reports </w:t>
      </w:r>
      <w:r>
        <w:rPr>
          <w:b/>
          <w:sz w:val="20"/>
        </w:rPr>
        <w:t>7</w:t>
      </w:r>
      <w:r>
        <w:rPr>
          <w:sz w:val="20"/>
        </w:rPr>
        <w:t>, 18012</w:t>
      </w:r>
      <w:r>
        <w:rPr>
          <w:spacing w:val="11"/>
          <w:sz w:val="20"/>
        </w:rPr>
        <w:t> </w:t>
      </w:r>
      <w:r>
        <w:rPr>
          <w:sz w:val="20"/>
        </w:rPr>
        <w:t>(2017).</w:t>
      </w:r>
    </w:p>
    <w:p>
      <w:pPr>
        <w:pStyle w:val="ListParagraph"/>
        <w:numPr>
          <w:ilvl w:val="0"/>
          <w:numId w:val="2"/>
        </w:numPr>
        <w:tabs>
          <w:tab w:pos="481" w:val="left" w:leader="none"/>
        </w:tabs>
        <w:spacing w:line="229" w:lineRule="exact" w:before="2" w:after="0"/>
        <w:ind w:left="480" w:right="0" w:hanging="361"/>
        <w:jc w:val="left"/>
        <w:rPr>
          <w:sz w:val="20"/>
        </w:rPr>
      </w:pPr>
      <w:r>
        <w:rPr>
          <w:sz w:val="20"/>
        </w:rPr>
        <w:t>Q. Liu, J. Zhang, </w:t>
      </w:r>
      <w:r>
        <w:rPr>
          <w:spacing w:val="-3"/>
          <w:sz w:val="20"/>
        </w:rPr>
        <w:t>H. </w:t>
      </w:r>
      <w:r>
        <w:rPr>
          <w:sz w:val="20"/>
        </w:rPr>
        <w:t>He, G. Huang, </w:t>
      </w:r>
      <w:r>
        <w:rPr>
          <w:spacing w:val="-3"/>
          <w:sz w:val="20"/>
        </w:rPr>
        <w:t>B. </w:t>
      </w:r>
      <w:r>
        <w:rPr>
          <w:sz w:val="20"/>
        </w:rPr>
        <w:t>Xing, J. Jia, and C. Zhang, Nanomaterials </w:t>
      </w:r>
      <w:r>
        <w:rPr>
          <w:b/>
          <w:sz w:val="20"/>
        </w:rPr>
        <w:t>8</w:t>
      </w:r>
      <w:r>
        <w:rPr>
          <w:sz w:val="20"/>
        </w:rPr>
        <w:t>, 844</w:t>
      </w:r>
      <w:r>
        <w:rPr>
          <w:spacing w:val="13"/>
          <w:sz w:val="20"/>
        </w:rPr>
        <w:t> </w:t>
      </w:r>
      <w:r>
        <w:rPr>
          <w:sz w:val="20"/>
        </w:rPr>
        <w:t>(2018).</w:t>
      </w:r>
    </w:p>
    <w:p>
      <w:pPr>
        <w:pStyle w:val="ListParagraph"/>
        <w:numPr>
          <w:ilvl w:val="0"/>
          <w:numId w:val="2"/>
        </w:numPr>
        <w:tabs>
          <w:tab w:pos="481" w:val="left" w:leader="none"/>
        </w:tabs>
        <w:spacing w:line="229" w:lineRule="exact" w:before="0" w:after="0"/>
        <w:ind w:left="480" w:right="0" w:hanging="361"/>
        <w:jc w:val="left"/>
        <w:rPr>
          <w:sz w:val="20"/>
        </w:rPr>
      </w:pPr>
      <w:r>
        <w:rPr>
          <w:sz w:val="20"/>
        </w:rPr>
        <w:t>T.-T. Cai, B. Liu, E.-N. Pang, W.-J. Ren, S.-J. Li, and S.-L. Hu, New Carbon Mater. </w:t>
      </w:r>
      <w:r>
        <w:rPr>
          <w:b/>
          <w:sz w:val="20"/>
        </w:rPr>
        <w:t>35</w:t>
      </w:r>
      <w:r>
        <w:rPr>
          <w:sz w:val="20"/>
        </w:rPr>
        <w:t>, 646</w:t>
      </w:r>
      <w:r>
        <w:rPr>
          <w:spacing w:val="-8"/>
          <w:sz w:val="20"/>
        </w:rPr>
        <w:t> </w:t>
      </w:r>
      <w:r>
        <w:rPr>
          <w:sz w:val="20"/>
        </w:rPr>
        <w:t>(2020).</w:t>
      </w:r>
    </w:p>
    <w:sectPr>
      <w:pgSz w:w="12240" w:h="15840"/>
      <w:pgMar w:top="1360" w:bottom="280" w:left="1320" w:right="13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
    <w:multiLevelType w:val="hybridMultilevel"/>
    <w:lvl w:ilvl="0">
      <w:start w:val="24"/>
      <w:numFmt w:val="decimal"/>
      <w:lvlText w:val="%1."/>
      <w:lvlJc w:val="left"/>
      <w:pPr>
        <w:ind w:left="480" w:hanging="360"/>
        <w:jc w:val="left"/>
      </w:pPr>
      <w:rPr>
        <w:rFonts w:hint="default" w:ascii="Times New Roman" w:hAnsi="Times New Roman" w:eastAsia="Times New Roman" w:cs="Times New Roman"/>
        <w:spacing w:val="-5"/>
        <w:w w:val="100"/>
        <w:sz w:val="20"/>
        <w:szCs w:val="20"/>
        <w:lang w:val="ja-JP" w:eastAsia="ja-JP" w:bidi="ja-JP"/>
      </w:rPr>
    </w:lvl>
    <w:lvl w:ilvl="1">
      <w:start w:val="0"/>
      <w:numFmt w:val="bullet"/>
      <w:lvlText w:val="•"/>
      <w:lvlJc w:val="left"/>
      <w:pPr>
        <w:ind w:left="1392" w:hanging="360"/>
      </w:pPr>
      <w:rPr>
        <w:rFonts w:hint="default"/>
        <w:lang w:val="ja-JP" w:eastAsia="ja-JP" w:bidi="ja-JP"/>
      </w:rPr>
    </w:lvl>
    <w:lvl w:ilvl="2">
      <w:start w:val="0"/>
      <w:numFmt w:val="bullet"/>
      <w:lvlText w:val="•"/>
      <w:lvlJc w:val="left"/>
      <w:pPr>
        <w:ind w:left="2304" w:hanging="360"/>
      </w:pPr>
      <w:rPr>
        <w:rFonts w:hint="default"/>
        <w:lang w:val="ja-JP" w:eastAsia="ja-JP" w:bidi="ja-JP"/>
      </w:rPr>
    </w:lvl>
    <w:lvl w:ilvl="3">
      <w:start w:val="0"/>
      <w:numFmt w:val="bullet"/>
      <w:lvlText w:val="•"/>
      <w:lvlJc w:val="left"/>
      <w:pPr>
        <w:ind w:left="3216" w:hanging="360"/>
      </w:pPr>
      <w:rPr>
        <w:rFonts w:hint="default"/>
        <w:lang w:val="ja-JP" w:eastAsia="ja-JP" w:bidi="ja-JP"/>
      </w:rPr>
    </w:lvl>
    <w:lvl w:ilvl="4">
      <w:start w:val="0"/>
      <w:numFmt w:val="bullet"/>
      <w:lvlText w:val="•"/>
      <w:lvlJc w:val="left"/>
      <w:pPr>
        <w:ind w:left="4128" w:hanging="360"/>
      </w:pPr>
      <w:rPr>
        <w:rFonts w:hint="default"/>
        <w:lang w:val="ja-JP" w:eastAsia="ja-JP" w:bidi="ja-JP"/>
      </w:rPr>
    </w:lvl>
    <w:lvl w:ilvl="5">
      <w:start w:val="0"/>
      <w:numFmt w:val="bullet"/>
      <w:lvlText w:val="•"/>
      <w:lvlJc w:val="left"/>
      <w:pPr>
        <w:ind w:left="5040" w:hanging="360"/>
      </w:pPr>
      <w:rPr>
        <w:rFonts w:hint="default"/>
        <w:lang w:val="ja-JP" w:eastAsia="ja-JP" w:bidi="ja-JP"/>
      </w:rPr>
    </w:lvl>
    <w:lvl w:ilvl="6">
      <w:start w:val="0"/>
      <w:numFmt w:val="bullet"/>
      <w:lvlText w:val="•"/>
      <w:lvlJc w:val="left"/>
      <w:pPr>
        <w:ind w:left="5952" w:hanging="360"/>
      </w:pPr>
      <w:rPr>
        <w:rFonts w:hint="default"/>
        <w:lang w:val="ja-JP" w:eastAsia="ja-JP" w:bidi="ja-JP"/>
      </w:rPr>
    </w:lvl>
    <w:lvl w:ilvl="7">
      <w:start w:val="0"/>
      <w:numFmt w:val="bullet"/>
      <w:lvlText w:val="•"/>
      <w:lvlJc w:val="left"/>
      <w:pPr>
        <w:ind w:left="6864" w:hanging="360"/>
      </w:pPr>
      <w:rPr>
        <w:rFonts w:hint="default"/>
        <w:lang w:val="ja-JP" w:eastAsia="ja-JP" w:bidi="ja-JP"/>
      </w:rPr>
    </w:lvl>
    <w:lvl w:ilvl="8">
      <w:start w:val="0"/>
      <w:numFmt w:val="bullet"/>
      <w:lvlText w:val="•"/>
      <w:lvlJc w:val="left"/>
      <w:pPr>
        <w:ind w:left="7776" w:hanging="360"/>
      </w:pPr>
      <w:rPr>
        <w:rFonts w:hint="default"/>
        <w:lang w:val="ja-JP" w:eastAsia="ja-JP" w:bidi="ja-JP"/>
      </w:rPr>
    </w:lvl>
  </w:abstractNum>
  <w:abstractNum w:abstractNumId="0">
    <w:multiLevelType w:val="hybridMultilevel"/>
    <w:lvl w:ilvl="0">
      <w:start w:val="1"/>
      <w:numFmt w:val="decimal"/>
      <w:lvlText w:val="%1."/>
      <w:lvlJc w:val="left"/>
      <w:pPr>
        <w:ind w:left="480" w:hanging="360"/>
        <w:jc w:val="left"/>
      </w:pPr>
      <w:rPr>
        <w:rFonts w:hint="default" w:ascii="Times New Roman" w:hAnsi="Times New Roman" w:eastAsia="Times New Roman" w:cs="Times New Roman"/>
        <w:spacing w:val="-5"/>
        <w:w w:val="100"/>
        <w:sz w:val="20"/>
        <w:szCs w:val="20"/>
        <w:lang w:val="ja-JP" w:eastAsia="ja-JP" w:bidi="ja-JP"/>
      </w:rPr>
    </w:lvl>
    <w:lvl w:ilvl="1">
      <w:start w:val="0"/>
      <w:numFmt w:val="bullet"/>
      <w:lvlText w:val="•"/>
      <w:lvlJc w:val="left"/>
      <w:pPr>
        <w:ind w:left="760" w:hanging="360"/>
      </w:pPr>
      <w:rPr>
        <w:rFonts w:hint="default"/>
        <w:lang w:val="ja-JP" w:eastAsia="ja-JP" w:bidi="ja-JP"/>
      </w:rPr>
    </w:lvl>
    <w:lvl w:ilvl="2">
      <w:start w:val="0"/>
      <w:numFmt w:val="bullet"/>
      <w:lvlText w:val="•"/>
      <w:lvlJc w:val="left"/>
      <w:pPr>
        <w:ind w:left="1742" w:hanging="360"/>
      </w:pPr>
      <w:rPr>
        <w:rFonts w:hint="default"/>
        <w:lang w:val="ja-JP" w:eastAsia="ja-JP" w:bidi="ja-JP"/>
      </w:rPr>
    </w:lvl>
    <w:lvl w:ilvl="3">
      <w:start w:val="0"/>
      <w:numFmt w:val="bullet"/>
      <w:lvlText w:val="•"/>
      <w:lvlJc w:val="left"/>
      <w:pPr>
        <w:ind w:left="2724" w:hanging="360"/>
      </w:pPr>
      <w:rPr>
        <w:rFonts w:hint="default"/>
        <w:lang w:val="ja-JP" w:eastAsia="ja-JP" w:bidi="ja-JP"/>
      </w:rPr>
    </w:lvl>
    <w:lvl w:ilvl="4">
      <w:start w:val="0"/>
      <w:numFmt w:val="bullet"/>
      <w:lvlText w:val="•"/>
      <w:lvlJc w:val="left"/>
      <w:pPr>
        <w:ind w:left="3706" w:hanging="360"/>
      </w:pPr>
      <w:rPr>
        <w:rFonts w:hint="default"/>
        <w:lang w:val="ja-JP" w:eastAsia="ja-JP" w:bidi="ja-JP"/>
      </w:rPr>
    </w:lvl>
    <w:lvl w:ilvl="5">
      <w:start w:val="0"/>
      <w:numFmt w:val="bullet"/>
      <w:lvlText w:val="•"/>
      <w:lvlJc w:val="left"/>
      <w:pPr>
        <w:ind w:left="4688" w:hanging="360"/>
      </w:pPr>
      <w:rPr>
        <w:rFonts w:hint="default"/>
        <w:lang w:val="ja-JP" w:eastAsia="ja-JP" w:bidi="ja-JP"/>
      </w:rPr>
    </w:lvl>
    <w:lvl w:ilvl="6">
      <w:start w:val="0"/>
      <w:numFmt w:val="bullet"/>
      <w:lvlText w:val="•"/>
      <w:lvlJc w:val="left"/>
      <w:pPr>
        <w:ind w:left="5671" w:hanging="360"/>
      </w:pPr>
      <w:rPr>
        <w:rFonts w:hint="default"/>
        <w:lang w:val="ja-JP" w:eastAsia="ja-JP" w:bidi="ja-JP"/>
      </w:rPr>
    </w:lvl>
    <w:lvl w:ilvl="7">
      <w:start w:val="0"/>
      <w:numFmt w:val="bullet"/>
      <w:lvlText w:val="•"/>
      <w:lvlJc w:val="left"/>
      <w:pPr>
        <w:ind w:left="6653" w:hanging="360"/>
      </w:pPr>
      <w:rPr>
        <w:rFonts w:hint="default"/>
        <w:lang w:val="ja-JP" w:eastAsia="ja-JP" w:bidi="ja-JP"/>
      </w:rPr>
    </w:lvl>
    <w:lvl w:ilvl="8">
      <w:start w:val="0"/>
      <w:numFmt w:val="bullet"/>
      <w:lvlText w:val="•"/>
      <w:lvlJc w:val="left"/>
      <w:pPr>
        <w:ind w:left="7635" w:hanging="360"/>
      </w:pPr>
      <w:rPr>
        <w:rFonts w:hint="default"/>
        <w:lang w:val="ja-JP" w:eastAsia="ja-JP" w:bidi="ja-JP"/>
      </w:rPr>
    </w:lvl>
  </w:abstract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ja-JP" w:eastAsia="ja-JP" w:bidi="ja-JP"/>
    </w:rPr>
  </w:style>
  <w:style w:styleId="BodyText" w:type="paragraph">
    <w:name w:val="Body Text"/>
    <w:basedOn w:val="Normal"/>
    <w:uiPriority w:val="1"/>
    <w:qFormat/>
    <w:pPr/>
    <w:rPr>
      <w:rFonts w:ascii="Times New Roman" w:hAnsi="Times New Roman" w:eastAsia="Times New Roman" w:cs="Times New Roman"/>
      <w:sz w:val="20"/>
      <w:szCs w:val="20"/>
      <w:lang w:val="ja-JP" w:eastAsia="ja-JP" w:bidi="ja-JP"/>
    </w:rPr>
  </w:style>
  <w:style w:styleId="Heading1" w:type="paragraph">
    <w:name w:val="Heading 1"/>
    <w:basedOn w:val="Normal"/>
    <w:uiPriority w:val="1"/>
    <w:qFormat/>
    <w:pPr>
      <w:ind w:left="1927" w:right="1927"/>
      <w:jc w:val="center"/>
      <w:outlineLvl w:val="1"/>
    </w:pPr>
    <w:rPr>
      <w:rFonts w:ascii="Times New Roman" w:hAnsi="Times New Roman" w:eastAsia="Times New Roman" w:cs="Times New Roman"/>
      <w:b/>
      <w:bCs/>
      <w:sz w:val="24"/>
      <w:szCs w:val="24"/>
      <w:lang w:val="ja-JP" w:eastAsia="ja-JP" w:bidi="ja-JP"/>
    </w:rPr>
  </w:style>
  <w:style w:styleId="ListParagraph" w:type="paragraph">
    <w:name w:val="List Paragraph"/>
    <w:basedOn w:val="Normal"/>
    <w:uiPriority w:val="1"/>
    <w:qFormat/>
    <w:pPr>
      <w:spacing w:line="229" w:lineRule="exact"/>
      <w:ind w:left="480" w:hanging="361"/>
    </w:pPr>
    <w:rPr>
      <w:rFonts w:ascii="Times New Roman" w:hAnsi="Times New Roman" w:eastAsia="Times New Roman" w:cs="Times New Roman"/>
      <w:lang w:val="ja-JP" w:eastAsia="ja-JP" w:bidi="ja-JP"/>
    </w:rPr>
  </w:style>
  <w:style w:styleId="TableParagraph" w:type="paragraph">
    <w:name w:val="Table Paragraph"/>
    <w:basedOn w:val="Normal"/>
    <w:uiPriority w:val="1"/>
    <w:qFormat/>
    <w:pPr/>
    <w:rPr>
      <w:rFonts w:ascii="Times New Roman" w:hAnsi="Times New Roman" w:eastAsia="Times New Roman" w:cs="Times New Roman"/>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yperlink" Target="mailto:n225204a@yokohama-cu.ac.jp" TargetMode="External"/><Relationship Id="rId6" Type="http://schemas.openxmlformats.org/officeDocument/2006/relationships/hyperlink" Target="mailto:tachiban@yokohama-cu.ac.jp" TargetMode="Externa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image" Target="media/image3.jpeg"/><Relationship Id="rId10" Type="http://schemas.openxmlformats.org/officeDocument/2006/relationships/image" Target="media/image4.jpeg"/><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Ruth Levins</dc:creator>
  <dc:title>Title Goes Here</dc:title>
  <dcterms:created xsi:type="dcterms:W3CDTF">2025-10-06T12:57:13Z</dcterms:created>
  <dcterms:modified xsi:type="dcterms:W3CDTF">2025-10-06T12:57:13Z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2025-07-19T00:00:00Z</vt:filetime>
  </property>
  <property fmtid="{D5CDD505-2E9C-101B-9397-08002B2CF9AE}" pid="3" name="Creator">
    <vt:lpwstr>Microsoft® Word for Microsoft 365</vt:lpwstr>
  </property>
  <property fmtid="{D5CDD505-2E9C-101B-9397-08002B2CF9AE}" pid="4" name="LastSaved">
    <vt:filetime>2025-10-06T00:00:00Z</vt:filetime>
  </property>
</Properties>
</file>