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139226" w14:textId="3F995971" w:rsidR="007F0BFA" w:rsidRDefault="007F129E" w:rsidP="007F129E">
      <w:pPr>
        <w:pStyle w:val="PaperTitle"/>
        <w:rPr>
          <w:sz w:val="20"/>
        </w:rPr>
      </w:pPr>
      <w:r w:rsidRPr="00E177F6">
        <w:t xml:space="preserve">Preparation </w:t>
      </w:r>
      <w:r>
        <w:t>o</w:t>
      </w:r>
      <w:r w:rsidRPr="00E177F6">
        <w:t xml:space="preserve">f Lyophilized Sodium Alginate Fluorapatite Nanocomposites </w:t>
      </w:r>
      <w:r>
        <w:t>f</w:t>
      </w:r>
      <w:r w:rsidRPr="00E177F6">
        <w:t>or Biomedical Applications</w:t>
      </w:r>
    </w:p>
    <w:p w14:paraId="69B3E7B9" w14:textId="1D1370A7" w:rsidR="007F0BFA" w:rsidRPr="001A13BD" w:rsidRDefault="00E177F6" w:rsidP="001A13BD">
      <w:pPr>
        <w:pStyle w:val="AuthorName"/>
        <w:rPr>
          <w:rFonts w:ascii="Cambria" w:hAnsi="Cambria"/>
          <w:color w:val="000000"/>
          <w:szCs w:val="28"/>
          <w:vertAlign w:val="superscript"/>
          <w:lang w:val="en-IN" w:eastAsia="en-IN"/>
        </w:rPr>
      </w:pPr>
      <w:r>
        <w:t>R Krithika</w:t>
      </w:r>
      <w:r w:rsidR="00C07ECA">
        <w:rPr>
          <w:vertAlign w:val="superscript"/>
        </w:rPr>
        <w:t>1</w:t>
      </w:r>
      <w:r w:rsidR="001A13BD">
        <w:t xml:space="preserve">, </w:t>
      </w:r>
      <w:proofErr w:type="spellStart"/>
      <w:r w:rsidR="001A13BD" w:rsidRPr="001A13BD">
        <w:rPr>
          <w:rFonts w:ascii="Cambria" w:hAnsi="Cambria"/>
          <w:color w:val="000000"/>
          <w:szCs w:val="28"/>
          <w:lang w:val="en-IN" w:eastAsia="en-IN"/>
        </w:rPr>
        <w:t>Zuhai</w:t>
      </w:r>
      <w:proofErr w:type="spellEnd"/>
      <w:r w:rsidR="001A13BD" w:rsidRPr="001A13BD">
        <w:rPr>
          <w:rFonts w:ascii="Cambria" w:hAnsi="Cambria"/>
          <w:color w:val="000000"/>
          <w:szCs w:val="28"/>
          <w:lang w:val="en-IN" w:eastAsia="en-IN"/>
        </w:rPr>
        <w:t xml:space="preserve"> Arman</w:t>
      </w:r>
      <w:r w:rsidR="001A13BD">
        <w:rPr>
          <w:rFonts w:ascii="Cambria" w:hAnsi="Cambria"/>
          <w:color w:val="000000"/>
          <w:szCs w:val="28"/>
          <w:vertAlign w:val="superscript"/>
          <w:lang w:val="en-IN" w:eastAsia="en-IN"/>
        </w:rPr>
        <w:t>1,a)</w:t>
      </w:r>
    </w:p>
    <w:p w14:paraId="35CD937A" w14:textId="0DD580AA" w:rsidR="007F0BFA" w:rsidRDefault="001A13BD" w:rsidP="007F129E">
      <w:pPr>
        <w:pStyle w:val="AuthorAffiliation"/>
      </w:pPr>
      <w:r>
        <w:rPr>
          <w:vertAlign w:val="superscript"/>
        </w:rPr>
        <w:t>1</w:t>
      </w:r>
      <w:r w:rsidR="00E177F6">
        <w:t>Kritika Dental Centre, Udupi, Karnataka, India</w:t>
      </w:r>
    </w:p>
    <w:p w14:paraId="2A9F7F0C" w14:textId="00FF7284" w:rsidR="007F0BFA" w:rsidRPr="001A13BD" w:rsidRDefault="007F129E" w:rsidP="001A13BD">
      <w:pPr>
        <w:pStyle w:val="AuthorEmail"/>
        <w:rPr>
          <w:lang w:val="en-IN" w:eastAsia="en-IN"/>
        </w:rPr>
      </w:pPr>
      <w:r>
        <w:t xml:space="preserve">Corresponding author: </w:t>
      </w:r>
      <w:r w:rsidR="00C07ECA">
        <w:rPr>
          <w:vertAlign w:val="superscript"/>
        </w:rPr>
        <w:t>a)</w:t>
      </w:r>
      <w:r w:rsidR="001A13BD" w:rsidRPr="001A13BD">
        <w:t xml:space="preserve"> </w:t>
      </w:r>
      <w:hyperlink r:id="rId5" w:history="1">
        <w:r w:rsidR="001A13BD" w:rsidRPr="00A27527">
          <w:rPr>
            <w:rStyle w:val="Hyperlink"/>
            <w:lang w:val="en-IN" w:eastAsia="en-IN"/>
          </w:rPr>
          <w:t>zuhairarmaan7@gmail.com</w:t>
        </w:r>
      </w:hyperlink>
      <w:r w:rsidR="001A13BD">
        <w:rPr>
          <w:lang w:val="en-IN" w:eastAsia="en-IN"/>
        </w:rPr>
        <w:t xml:space="preserve"> </w:t>
      </w:r>
    </w:p>
    <w:p w14:paraId="10CFFECB" w14:textId="77777777" w:rsidR="007F129E" w:rsidRDefault="00E177F6" w:rsidP="007F129E">
      <w:pPr>
        <w:pStyle w:val="Abstract"/>
      </w:pPr>
      <w:r>
        <w:rPr>
          <w:b/>
        </w:rPr>
        <w:t>Abstract</w:t>
      </w:r>
      <w:r w:rsidR="007F129E">
        <w:rPr>
          <w:b/>
        </w:rPr>
        <w:t xml:space="preserve">: </w:t>
      </w:r>
      <w:r>
        <w:t>The synthesis of sodium alginate fluorapatite (Alginate-FAP) and the evaluation of its physical and chemical properties were investigated in this study. Fluorapatite, a calcium phosphate mineral found in bones and teeth, offers advantages such as higher elastic modulus and acid resistance compared to hydroxyapatite. Alginate, a polysaccharide derived from marine algae or bacteria, is known for its ability to form hydrogels through ionotropic gelation. The aim of this study was to assess the physical and chemical properties of Alginate-FAP. Various characterization techniques were employed, including FTIR, XRD, SEM, and hemocompatibility tests. FTIR analysis provided insights into the chemical properties of Alginate-FAP, while XRD analysis determined the crystallographic structure. SEM imaging allowed the examination of surface morphology and particle characteristics. Hemocompatibility tests assessed the compatibility of Alginate-FAP with blood components.</w:t>
      </w:r>
      <w:r w:rsidR="007F129E">
        <w:t xml:space="preserve"> </w:t>
      </w:r>
    </w:p>
    <w:p w14:paraId="2F91355B" w14:textId="11915E01" w:rsidR="007F0BFA" w:rsidRDefault="00E177F6" w:rsidP="007F129E">
      <w:pPr>
        <w:pStyle w:val="Abstract"/>
      </w:pPr>
      <w:r>
        <w:rPr>
          <w:b/>
        </w:rPr>
        <w:t xml:space="preserve">Keywords: </w:t>
      </w:r>
      <w:r>
        <w:t>Biomedical, Good Health, Novel Alginate-Fluorapatite composites, Antimicrobial activity, Tissue engineering</w:t>
      </w:r>
    </w:p>
    <w:p w14:paraId="70B8C397" w14:textId="77777777" w:rsidR="007F0BFA" w:rsidRDefault="00E177F6" w:rsidP="007F129E">
      <w:pPr>
        <w:pStyle w:val="Heading1"/>
      </w:pPr>
      <w:r>
        <w:t>Introduction</w:t>
      </w:r>
    </w:p>
    <w:p w14:paraId="7B346865" w14:textId="77777777" w:rsidR="007F0BFA" w:rsidRDefault="00E177F6" w:rsidP="007F129E">
      <w:pPr>
        <w:pStyle w:val="Paragraph"/>
        <w:rPr>
          <w:color w:val="212121"/>
          <w:highlight w:val="white"/>
        </w:rPr>
      </w:pPr>
      <w:r>
        <w:t>Fluorapatite (</w:t>
      </w:r>
      <w:proofErr w:type="spellStart"/>
      <w:r>
        <w:t>FAp</w:t>
      </w:r>
      <w:proofErr w:type="spellEnd"/>
      <w:r>
        <w:t xml:space="preserve">, Ca₅(PO₄)₃F) is a key component of bones and teeth, known for its role in drug delivery and gene therapy. Compared to hydroxyapatite, it offers higher bulk and elastic modulus and superior acid resistance [1-3]. Fluorapatite, a biocompatible calcium phosphate, resembles hydroxyapatite but contains fluoride ions, enhancing stability, osteogenic properties, and acid resistance for biomedical applications. </w:t>
      </w:r>
      <w:hyperlink r:id="rId6">
        <w:r>
          <w:rPr>
            <w:color w:val="000000"/>
          </w:rPr>
          <w:t>(Harsha &amp; Subramanian, 2022)</w:t>
        </w:r>
      </w:hyperlink>
      <w:r>
        <w:t xml:space="preserve">. </w:t>
      </w:r>
      <w:r>
        <w:rPr>
          <w:color w:val="222222"/>
          <w:highlight w:val="white"/>
        </w:rPr>
        <w:t>Polymers serve as scaffolds in tissue engineering, mimicking the extracellular matrix with tunable mechanics, biocompatibility, and cell encapsulation.</w:t>
      </w:r>
      <w:hyperlink r:id="rId7">
        <w:r>
          <w:rPr>
            <w:color w:val="000000"/>
            <w:highlight w:val="white"/>
          </w:rPr>
          <w:t>(Deepika et al., 2022)</w:t>
        </w:r>
      </w:hyperlink>
      <w:r>
        <w:rPr>
          <w:color w:val="222222"/>
          <w:highlight w:val="white"/>
        </w:rPr>
        <w:t>.Common examples include PLGA, PCL, and PEG [4]. Alginate, a polysaccharide from brown algae and bacteria, is widely used in tissue engineering and drug delivery. Sodium alginate, its water-soluble form, undergoes ionotropic gelation with cations, making it valuable in biomedical, food, and pharmaceutical applications [5]. D</w:t>
      </w:r>
      <w:r>
        <w:rPr>
          <w:color w:val="212121"/>
          <w:highlight w:val="white"/>
        </w:rPr>
        <w:t xml:space="preserve">egradation time can be set to correspond with the pace at which the target tissue is being regenerated. The use of fluorapatite polymer composites in tissue engineering holds promise for various applications, including bone regeneration, cartilage repair, and dental tissue engineering </w:t>
      </w:r>
      <w:hyperlink r:id="rId8">
        <w:r>
          <w:rPr>
            <w:color w:val="000000"/>
            <w:highlight w:val="white"/>
          </w:rPr>
          <w:t xml:space="preserve">(Borkowski et al., 2021; Rohani et al., 2022; </w:t>
        </w:r>
        <w:proofErr w:type="spellStart"/>
        <w:r>
          <w:rPr>
            <w:color w:val="000000"/>
            <w:highlight w:val="white"/>
          </w:rPr>
          <w:t>Taktak</w:t>
        </w:r>
        <w:proofErr w:type="spellEnd"/>
        <w:r>
          <w:rPr>
            <w:color w:val="000000"/>
            <w:highlight w:val="white"/>
          </w:rPr>
          <w:t xml:space="preserve"> et al., 2018)</w:t>
        </w:r>
      </w:hyperlink>
      <w:r>
        <w:rPr>
          <w:color w:val="212121"/>
          <w:highlight w:val="white"/>
        </w:rPr>
        <w:t xml:space="preserve">6]. </w:t>
      </w:r>
    </w:p>
    <w:p w14:paraId="2495E44D" w14:textId="77777777" w:rsidR="007F0BFA" w:rsidRDefault="00E177F6" w:rsidP="007F129E">
      <w:pPr>
        <w:pStyle w:val="Paragraph"/>
      </w:pPr>
      <w:r>
        <w:t>In this study, we have doped fluorapatite with sodium alginate and we aim to assess its physical and chemical properties.</w:t>
      </w:r>
    </w:p>
    <w:p w14:paraId="4F67921F" w14:textId="69A56F77" w:rsidR="007F0BFA" w:rsidRDefault="00E177F6" w:rsidP="007F129E">
      <w:pPr>
        <w:pStyle w:val="Heading1"/>
      </w:pPr>
      <w:r>
        <w:t xml:space="preserve">Materials and methods </w:t>
      </w:r>
    </w:p>
    <w:p w14:paraId="535D7E63" w14:textId="75C973B5" w:rsidR="007F0BFA" w:rsidRDefault="00E177F6" w:rsidP="007F129E">
      <w:pPr>
        <w:pStyle w:val="Heading2"/>
      </w:pPr>
      <w:r>
        <w:t>Chemicals</w:t>
      </w:r>
    </w:p>
    <w:p w14:paraId="44C66E9C" w14:textId="77777777" w:rsidR="007F0BFA" w:rsidRDefault="00E177F6" w:rsidP="007F129E">
      <w:pPr>
        <w:pStyle w:val="Paragraph"/>
      </w:pPr>
      <w:proofErr w:type="spellStart"/>
      <w:r>
        <w:t>FAp</w:t>
      </w:r>
      <w:proofErr w:type="spellEnd"/>
      <w:r>
        <w:t xml:space="preserve"> was synthesized by the wet chemical route using calcium nitrate tetrahydrate (Ca(NO</w:t>
      </w:r>
      <w:r>
        <w:rPr>
          <w:vertAlign w:val="subscript"/>
        </w:rPr>
        <w:t>3</w:t>
      </w:r>
      <w:r>
        <w:t>)</w:t>
      </w:r>
      <w:r>
        <w:rPr>
          <w:vertAlign w:val="subscript"/>
        </w:rPr>
        <w:t>2</w:t>
      </w:r>
      <w:r>
        <w:t>.4H</w:t>
      </w:r>
      <w:r>
        <w:rPr>
          <w:vertAlign w:val="subscript"/>
        </w:rPr>
        <w:t>2</w:t>
      </w:r>
      <w:r>
        <w:t>O, Merck), diammonium hydrogen phosphate ((NH</w:t>
      </w:r>
      <w:r>
        <w:rPr>
          <w:vertAlign w:val="subscript"/>
        </w:rPr>
        <w:t>4</w:t>
      </w:r>
      <w:r>
        <w:t>)</w:t>
      </w:r>
      <w:r>
        <w:rPr>
          <w:vertAlign w:val="subscript"/>
        </w:rPr>
        <w:t>2</w:t>
      </w:r>
      <w:r>
        <w:t>.HPO</w:t>
      </w:r>
      <w:r>
        <w:rPr>
          <w:vertAlign w:val="subscript"/>
        </w:rPr>
        <w:t>4</w:t>
      </w:r>
      <w:r>
        <w:t>, Merck), Calcium Fluoride (</w:t>
      </w:r>
      <w:r>
        <w:rPr>
          <w:color w:val="202124"/>
          <w:highlight w:val="white"/>
        </w:rPr>
        <w:t>CaF</w:t>
      </w:r>
      <w:r>
        <w:rPr>
          <w:color w:val="202124"/>
          <w:highlight w:val="white"/>
          <w:vertAlign w:val="subscript"/>
        </w:rPr>
        <w:t>2</w:t>
      </w:r>
      <w:r>
        <w:t xml:space="preserve">), ammonia solution (Merck), and triple distilled water (pH is adjusted using ammonia solution). Sodium alginate purchased from Merck is used to prepare sodium alginate incorporated in </w:t>
      </w:r>
      <w:proofErr w:type="spellStart"/>
      <w:r>
        <w:t>FAp</w:t>
      </w:r>
      <w:proofErr w:type="spellEnd"/>
      <w:r>
        <w:t xml:space="preserve">. </w:t>
      </w:r>
    </w:p>
    <w:p w14:paraId="0B8E3DED" w14:textId="70A1123E" w:rsidR="007F0BFA" w:rsidRDefault="00E177F6" w:rsidP="007F129E">
      <w:pPr>
        <w:pStyle w:val="Heading2"/>
      </w:pPr>
      <w:r>
        <w:lastRenderedPageBreak/>
        <w:t>Experimental procedure</w:t>
      </w:r>
    </w:p>
    <w:p w14:paraId="6AEA6C1C" w14:textId="25699DF3" w:rsidR="007F0BFA" w:rsidRDefault="00E177F6" w:rsidP="007F129E">
      <w:pPr>
        <w:pStyle w:val="Heading3"/>
      </w:pPr>
      <w:r>
        <w:t>Synthesis of Fluorapatite</w:t>
      </w:r>
    </w:p>
    <w:p w14:paraId="3E426529" w14:textId="77777777" w:rsidR="007F0BFA" w:rsidRDefault="00E177F6" w:rsidP="007F129E">
      <w:pPr>
        <w:pStyle w:val="Paragraph"/>
      </w:pPr>
      <w:r>
        <w:t>1.0 M Ca(NO</w:t>
      </w:r>
      <w:r>
        <w:rPr>
          <w:vertAlign w:val="subscript"/>
        </w:rPr>
        <w:t>3</w:t>
      </w:r>
      <w:r>
        <w:t>)</w:t>
      </w:r>
      <w:r>
        <w:rPr>
          <w:vertAlign w:val="subscript"/>
        </w:rPr>
        <w:t>2</w:t>
      </w:r>
      <w:r>
        <w:t>.4H</w:t>
      </w:r>
      <w:r>
        <w:rPr>
          <w:vertAlign w:val="subscript"/>
        </w:rPr>
        <w:t>2</w:t>
      </w:r>
      <w:r>
        <w:t>O, 1.0M of CaF</w:t>
      </w:r>
      <w:r>
        <w:rPr>
          <w:vertAlign w:val="subscript"/>
        </w:rPr>
        <w:t>2</w:t>
      </w:r>
      <w:r>
        <w:t xml:space="preserve"> and 0.6 M  ((NH</w:t>
      </w:r>
      <w:r>
        <w:rPr>
          <w:vertAlign w:val="subscript"/>
        </w:rPr>
        <w:t>4</w:t>
      </w:r>
      <w:r>
        <w:t>)</w:t>
      </w:r>
      <w:r>
        <w:rPr>
          <w:vertAlign w:val="subscript"/>
        </w:rPr>
        <w:t>2</w:t>
      </w:r>
      <w:r>
        <w:t>.HPO</w:t>
      </w:r>
      <w:r>
        <w:rPr>
          <w:vertAlign w:val="subscript"/>
        </w:rPr>
        <w:t>4</w:t>
      </w:r>
      <w:r>
        <w:t xml:space="preserve">) solutions were prepared separately. The calcium and fluoride sources were slowly added to the phosphate solution drop by drop. The white precipitate of calcium phosphate is formed. The pH of the solution was maintained at 10 throughout the experiment using an ammonia solution.  The white precipitate obtained is kept for aging overnight. The precipitate was washed several times and lyophilized at -80 °C. The resultant powder is named </w:t>
      </w:r>
      <w:proofErr w:type="spellStart"/>
      <w:r>
        <w:t>FAp</w:t>
      </w:r>
      <w:proofErr w:type="spellEnd"/>
      <w:r>
        <w:t>.</w:t>
      </w:r>
    </w:p>
    <w:p w14:paraId="142F9A75" w14:textId="5F565B01" w:rsidR="007F0BFA" w:rsidRDefault="00E177F6" w:rsidP="007F129E">
      <w:pPr>
        <w:pStyle w:val="Heading3"/>
      </w:pPr>
      <w:r>
        <w:t>Synthesis of Sodium alginate Fluorapatite nanocomposite</w:t>
      </w:r>
    </w:p>
    <w:p w14:paraId="014535B4" w14:textId="77777777" w:rsidR="007F0BFA" w:rsidRDefault="00E177F6" w:rsidP="007F129E">
      <w:pPr>
        <w:pStyle w:val="Paragraph"/>
      </w:pPr>
      <w:r>
        <w:tab/>
        <w:t xml:space="preserve">1 </w:t>
      </w:r>
      <w:proofErr w:type="spellStart"/>
      <w:r>
        <w:t>wt</w:t>
      </w:r>
      <w:proofErr w:type="spellEnd"/>
      <w:r>
        <w:t xml:space="preserve"> % of sodium alginate solution is added to the phosphate source along with the calcium and fluoride sources as mentioned in the </w:t>
      </w:r>
      <w:proofErr w:type="spellStart"/>
      <w:r>
        <w:t>FAp</w:t>
      </w:r>
      <w:proofErr w:type="spellEnd"/>
      <w:r>
        <w:t xml:space="preserve"> preparation. The resultant lyophilized sample is named Alginate-</w:t>
      </w:r>
      <w:proofErr w:type="spellStart"/>
      <w:r>
        <w:t>FAp</w:t>
      </w:r>
      <w:proofErr w:type="spellEnd"/>
      <w:r>
        <w:t>.</w:t>
      </w:r>
    </w:p>
    <w:p w14:paraId="5729DA89" w14:textId="7A7877D3" w:rsidR="007F0BFA" w:rsidRDefault="00E177F6" w:rsidP="007F129E">
      <w:pPr>
        <w:pStyle w:val="Heading2"/>
      </w:pPr>
      <w:r>
        <w:t xml:space="preserve">Characterization </w:t>
      </w:r>
    </w:p>
    <w:p w14:paraId="7BB190AF" w14:textId="77777777" w:rsidR="007F0BFA" w:rsidRDefault="00E177F6" w:rsidP="007F129E">
      <w:pPr>
        <w:pStyle w:val="Paragraph"/>
      </w:pPr>
      <w:r>
        <w:t xml:space="preserve">The obtained </w:t>
      </w:r>
      <w:proofErr w:type="spellStart"/>
      <w:r>
        <w:t>FAp</w:t>
      </w:r>
      <w:proofErr w:type="spellEnd"/>
      <w:r>
        <w:t xml:space="preserve"> and Alginate-</w:t>
      </w:r>
      <w:proofErr w:type="spellStart"/>
      <w:r>
        <w:t>FAp</w:t>
      </w:r>
      <w:proofErr w:type="spellEnd"/>
      <w:r>
        <w:t xml:space="preserve"> were analyzed using Bruker, D8 Advance XRD </w:t>
      </w:r>
      <w:proofErr w:type="spellStart"/>
      <w:r>
        <w:t>CuK</w:t>
      </w:r>
      <w:proofErr w:type="spellEnd"/>
      <w:r>
        <w:t xml:space="preserve">α radiation (0.154nm) with step size 0.021 in the2θ range from 20° to 70° in a continuous scan mode. </w:t>
      </w:r>
      <w:hyperlink r:id="rId9">
        <w:r>
          <w:rPr>
            <w:color w:val="000000"/>
          </w:rPr>
          <w:t>(Solanki et al., 2022)</w:t>
        </w:r>
      </w:hyperlink>
      <w:r>
        <w:t xml:space="preserve"> The functional groups of the samples were characterized using the Bruker-ALPHA II compact FT-IR spectrometer. The morphology and elemental mapping of the samples were examined using JEOL JSM –IT800 scanning electron microscope. </w:t>
      </w:r>
      <w:hyperlink r:id="rId10">
        <w:r>
          <w:rPr>
            <w:color w:val="000000"/>
          </w:rPr>
          <w:t>(Chidambaram et al., 2022)</w:t>
        </w:r>
      </w:hyperlink>
      <w:r>
        <w:t>.</w:t>
      </w:r>
    </w:p>
    <w:p w14:paraId="709D48D5" w14:textId="268367CC" w:rsidR="007F0BFA" w:rsidRDefault="00E177F6" w:rsidP="007F129E">
      <w:pPr>
        <w:pStyle w:val="Heading2"/>
      </w:pPr>
      <w:r>
        <w:t>Hemocompatibility assay</w:t>
      </w:r>
    </w:p>
    <w:p w14:paraId="5D000F02" w14:textId="77777777" w:rsidR="007F0BFA" w:rsidRDefault="00E177F6" w:rsidP="007F129E">
      <w:pPr>
        <w:pStyle w:val="Paragraph"/>
      </w:pPr>
      <w:r>
        <w:t xml:space="preserve">The hemocompatibility assay was conducted using fresh human blood from healthy volunteers. Blood (5 mL) was collected in a heparin-coated tube, centrifuged at 750 rpm at 4°C for 5 min, and washed with PBS three times. RBC lysis was quantified in the presence of </w:t>
      </w:r>
      <w:proofErr w:type="spellStart"/>
      <w:r>
        <w:t>FAp</w:t>
      </w:r>
      <w:proofErr w:type="spellEnd"/>
      <w:r>
        <w:t xml:space="preserve"> and Alginate-</w:t>
      </w:r>
      <w:proofErr w:type="spellStart"/>
      <w:r>
        <w:t>FAp</w:t>
      </w:r>
      <w:proofErr w:type="spellEnd"/>
      <w:r>
        <w:t xml:space="preserve"> at 5 mg/mL and 10 mg/</w:t>
      </w:r>
      <w:proofErr w:type="spellStart"/>
      <w:r>
        <w:t>mL.</w:t>
      </w:r>
      <w:proofErr w:type="spellEnd"/>
      <w:r>
        <w:t xml:space="preserve"> Samples were incubated in 2.5 mL RBC-suspended PBS at 37°C for 1 hour. Distilled water and PBS served as controls. Absorbance was measured at 545 nm, and hemolysis was calculated using a standard formula.</w:t>
      </w:r>
    </w:p>
    <w:p w14:paraId="664CB4D6" w14:textId="76C3F49E" w:rsidR="007F0BFA" w:rsidRDefault="00E177F6" w:rsidP="007F129E">
      <w:pPr>
        <w:pStyle w:val="Paragraph"/>
      </w:pPr>
      <w:r>
        <w:t xml:space="preserve">% hemolysis = </w:t>
      </w:r>
      <m:oMath>
        <m:f>
          <m:fPr>
            <m:ctrlPr>
              <w:rPr>
                <w:rFonts w:ascii="Cambria Math" w:eastAsia="Cambria Math" w:hAnsi="Cambria Math"/>
              </w:rPr>
            </m:ctrlPr>
          </m:fPr>
          <m:num>
            <m:r>
              <w:rPr>
                <w:rFonts w:ascii="Cambria Math" w:eastAsia="Cambria Math" w:hAnsi="Cambria Math"/>
              </w:rPr>
              <m:t>OD</m:t>
            </m:r>
            <m:r>
              <m:rPr>
                <m:sty m:val="p"/>
              </m:rPr>
              <w:rPr>
                <w:rFonts w:ascii="Cambria Math" w:eastAsia="Cambria Math" w:hAnsi="Cambria Math"/>
              </w:rPr>
              <m:t xml:space="preserve"> </m:t>
            </m:r>
            <m:r>
              <w:rPr>
                <w:rFonts w:ascii="Cambria Math" w:eastAsia="Cambria Math" w:hAnsi="Cambria Math"/>
              </w:rPr>
              <m:t>value</m:t>
            </m:r>
            <m:r>
              <m:rPr>
                <m:sty m:val="p"/>
              </m:rPr>
              <w:rPr>
                <w:rFonts w:ascii="Cambria Math" w:eastAsia="Cambria Math" w:hAnsi="Cambria Math"/>
              </w:rPr>
              <m:t xml:space="preserve"> </m:t>
            </m:r>
            <m:r>
              <w:rPr>
                <w:rFonts w:ascii="Cambria Math" w:eastAsia="Cambria Math" w:hAnsi="Cambria Math"/>
              </w:rPr>
              <m:t>of</m:t>
            </m:r>
            <m:r>
              <m:rPr>
                <m:sty m:val="p"/>
              </m:rPr>
              <w:rPr>
                <w:rFonts w:ascii="Cambria Math" w:eastAsia="Cambria Math" w:hAnsi="Cambria Math"/>
              </w:rPr>
              <m:t xml:space="preserve"> </m:t>
            </m:r>
            <m:r>
              <w:rPr>
                <w:rFonts w:ascii="Cambria Math" w:eastAsia="Cambria Math" w:hAnsi="Cambria Math"/>
              </w:rPr>
              <m:t>the</m:t>
            </m:r>
            <m:r>
              <m:rPr>
                <m:sty m:val="p"/>
              </m:rPr>
              <w:rPr>
                <w:rFonts w:ascii="Cambria Math" w:eastAsia="Cambria Math" w:hAnsi="Cambria Math"/>
              </w:rPr>
              <m:t xml:space="preserve"> </m:t>
            </m:r>
            <m:r>
              <w:rPr>
                <w:rFonts w:ascii="Cambria Math" w:eastAsia="Cambria Math" w:hAnsi="Cambria Math"/>
              </w:rPr>
              <m:t>test</m:t>
            </m:r>
            <m:r>
              <m:rPr>
                <m:sty m:val="p"/>
              </m:rPr>
              <w:rPr>
                <w:rFonts w:ascii="Cambria Math" w:eastAsia="Cambria Math" w:hAnsi="Cambria Math"/>
              </w:rPr>
              <m:t xml:space="preserve"> </m:t>
            </m:r>
            <m:r>
              <w:rPr>
                <w:rFonts w:ascii="Cambria Math" w:eastAsia="Cambria Math" w:hAnsi="Cambria Math"/>
              </w:rPr>
              <m:t>sample</m:t>
            </m:r>
            <m:r>
              <m:rPr>
                <m:sty m:val="p"/>
              </m:rPr>
              <w:rPr>
                <w:rFonts w:ascii="Cambria Math" w:eastAsia="Cambria Math" w:hAnsi="Cambria Math"/>
              </w:rPr>
              <m:t>-</m:t>
            </m:r>
            <m:r>
              <w:rPr>
                <w:rFonts w:ascii="Cambria Math" w:eastAsia="Cambria Math" w:hAnsi="Cambria Math"/>
              </w:rPr>
              <m:t>OD</m:t>
            </m:r>
            <m:r>
              <m:rPr>
                <m:sty m:val="p"/>
              </m:rPr>
              <w:rPr>
                <w:rFonts w:ascii="Cambria Math" w:eastAsia="Cambria Math" w:hAnsi="Cambria Math"/>
              </w:rPr>
              <m:t xml:space="preserve"> </m:t>
            </m:r>
            <m:r>
              <w:rPr>
                <w:rFonts w:ascii="Cambria Math" w:eastAsia="Cambria Math" w:hAnsi="Cambria Math"/>
              </w:rPr>
              <m:t>values</m:t>
            </m:r>
            <m:r>
              <m:rPr>
                <m:sty m:val="p"/>
              </m:rPr>
              <w:rPr>
                <w:rFonts w:ascii="Cambria Math" w:eastAsia="Cambria Math" w:hAnsi="Cambria Math"/>
              </w:rPr>
              <m:t xml:space="preserve"> </m:t>
            </m:r>
            <m:r>
              <w:rPr>
                <w:rFonts w:ascii="Cambria Math" w:eastAsia="Cambria Math" w:hAnsi="Cambria Math"/>
              </w:rPr>
              <m:t>of</m:t>
            </m:r>
            <m:r>
              <m:rPr>
                <m:sty m:val="p"/>
              </m:rPr>
              <w:rPr>
                <w:rFonts w:ascii="Cambria Math" w:eastAsia="Cambria Math" w:hAnsi="Cambria Math"/>
              </w:rPr>
              <m:t xml:space="preserve"> </m:t>
            </m:r>
            <m:r>
              <w:rPr>
                <w:rFonts w:ascii="Cambria Math" w:eastAsia="Cambria Math" w:hAnsi="Cambria Math"/>
              </w:rPr>
              <m:t>the</m:t>
            </m:r>
            <m:r>
              <m:rPr>
                <m:sty m:val="p"/>
              </m:rPr>
              <w:rPr>
                <w:rFonts w:ascii="Cambria Math" w:eastAsia="Cambria Math" w:hAnsi="Cambria Math"/>
              </w:rPr>
              <m:t xml:space="preserve"> </m:t>
            </m:r>
            <m:r>
              <w:rPr>
                <w:rFonts w:ascii="Cambria Math" w:eastAsia="Cambria Math" w:hAnsi="Cambria Math"/>
              </w:rPr>
              <m:t>negative</m:t>
            </m:r>
            <m:r>
              <m:rPr>
                <m:sty m:val="p"/>
              </m:rPr>
              <w:rPr>
                <w:rFonts w:ascii="Cambria Math" w:eastAsia="Cambria Math" w:hAnsi="Cambria Math"/>
              </w:rPr>
              <m:t xml:space="preserve"> </m:t>
            </m:r>
            <m:r>
              <w:rPr>
                <w:rFonts w:ascii="Cambria Math" w:eastAsia="Cambria Math" w:hAnsi="Cambria Math"/>
              </w:rPr>
              <m:t>control</m:t>
            </m:r>
          </m:num>
          <m:den>
            <m:r>
              <w:rPr>
                <w:rFonts w:ascii="Cambria Math" w:eastAsia="Cambria Math" w:hAnsi="Cambria Math"/>
              </w:rPr>
              <m:t>OD</m:t>
            </m:r>
            <m:r>
              <m:rPr>
                <m:sty m:val="p"/>
              </m:rPr>
              <w:rPr>
                <w:rFonts w:ascii="Cambria Math" w:eastAsia="Cambria Math" w:hAnsi="Cambria Math"/>
              </w:rPr>
              <m:t xml:space="preserve"> </m:t>
            </m:r>
            <m:r>
              <w:rPr>
                <w:rFonts w:ascii="Cambria Math" w:eastAsia="Cambria Math" w:hAnsi="Cambria Math"/>
              </w:rPr>
              <m:t>values</m:t>
            </m:r>
            <m:r>
              <m:rPr>
                <m:sty m:val="p"/>
              </m:rPr>
              <w:rPr>
                <w:rFonts w:ascii="Cambria Math" w:eastAsia="Cambria Math" w:hAnsi="Cambria Math"/>
              </w:rPr>
              <m:t xml:space="preserve"> </m:t>
            </m:r>
            <m:r>
              <w:rPr>
                <w:rFonts w:ascii="Cambria Math" w:eastAsia="Cambria Math" w:hAnsi="Cambria Math"/>
              </w:rPr>
              <m:t>of</m:t>
            </m:r>
            <m:r>
              <m:rPr>
                <m:sty m:val="p"/>
              </m:rPr>
              <w:rPr>
                <w:rFonts w:ascii="Cambria Math" w:eastAsia="Cambria Math" w:hAnsi="Cambria Math"/>
              </w:rPr>
              <m:t xml:space="preserve"> </m:t>
            </m:r>
            <m:r>
              <w:rPr>
                <w:rFonts w:ascii="Cambria Math" w:eastAsia="Cambria Math" w:hAnsi="Cambria Math"/>
              </w:rPr>
              <m:t>the</m:t>
            </m:r>
            <m:r>
              <m:rPr>
                <m:sty m:val="p"/>
              </m:rPr>
              <w:rPr>
                <w:rFonts w:ascii="Cambria Math" w:eastAsia="Cambria Math" w:hAnsi="Cambria Math"/>
              </w:rPr>
              <m:t xml:space="preserve"> </m:t>
            </m:r>
            <m:r>
              <w:rPr>
                <w:rFonts w:ascii="Cambria Math" w:eastAsia="Cambria Math" w:hAnsi="Cambria Math"/>
              </w:rPr>
              <m:t>positive</m:t>
            </m:r>
            <m:r>
              <m:rPr>
                <m:sty m:val="p"/>
              </m:rPr>
              <w:rPr>
                <w:rFonts w:ascii="Cambria Math" w:eastAsia="Cambria Math" w:hAnsi="Cambria Math"/>
              </w:rPr>
              <m:t xml:space="preserve"> </m:t>
            </m:r>
            <m:r>
              <w:rPr>
                <w:rFonts w:ascii="Cambria Math" w:eastAsia="Cambria Math" w:hAnsi="Cambria Math"/>
              </w:rPr>
              <m:t>control</m:t>
            </m:r>
            <m:r>
              <m:rPr>
                <m:sty m:val="p"/>
              </m:rPr>
              <w:rPr>
                <w:rFonts w:ascii="Cambria Math" w:eastAsia="Cambria Math" w:hAnsi="Cambria Math"/>
              </w:rPr>
              <m:t xml:space="preserve"> - </m:t>
            </m:r>
            <m:r>
              <w:rPr>
                <w:rFonts w:ascii="Cambria Math" w:eastAsia="Cambria Math" w:hAnsi="Cambria Math"/>
              </w:rPr>
              <m:t>OD</m:t>
            </m:r>
            <m:r>
              <m:rPr>
                <m:sty m:val="p"/>
              </m:rPr>
              <w:rPr>
                <w:rFonts w:ascii="Cambria Math" w:eastAsia="Cambria Math" w:hAnsi="Cambria Math"/>
              </w:rPr>
              <m:t xml:space="preserve"> </m:t>
            </m:r>
            <m:r>
              <w:rPr>
                <w:rFonts w:ascii="Cambria Math" w:eastAsia="Cambria Math" w:hAnsi="Cambria Math"/>
              </w:rPr>
              <m:t>values</m:t>
            </m:r>
            <m:r>
              <m:rPr>
                <m:sty m:val="p"/>
              </m:rPr>
              <w:rPr>
                <w:rFonts w:ascii="Cambria Math" w:eastAsia="Cambria Math" w:hAnsi="Cambria Math"/>
              </w:rPr>
              <m:t xml:space="preserve"> </m:t>
            </m:r>
            <m:r>
              <w:rPr>
                <w:rFonts w:ascii="Cambria Math" w:eastAsia="Cambria Math" w:hAnsi="Cambria Math"/>
              </w:rPr>
              <m:t>of</m:t>
            </m:r>
            <m:r>
              <m:rPr>
                <m:sty m:val="p"/>
              </m:rPr>
              <w:rPr>
                <w:rFonts w:ascii="Cambria Math" w:eastAsia="Cambria Math" w:hAnsi="Cambria Math"/>
              </w:rPr>
              <m:t xml:space="preserve"> </m:t>
            </m:r>
            <m:r>
              <w:rPr>
                <w:rFonts w:ascii="Cambria Math" w:eastAsia="Cambria Math" w:hAnsi="Cambria Math"/>
              </w:rPr>
              <m:t>the</m:t>
            </m:r>
            <m:r>
              <m:rPr>
                <m:sty m:val="p"/>
              </m:rPr>
              <w:rPr>
                <w:rFonts w:ascii="Cambria Math" w:eastAsia="Cambria Math" w:hAnsi="Cambria Math"/>
              </w:rPr>
              <m:t xml:space="preserve"> </m:t>
            </m:r>
            <m:r>
              <w:rPr>
                <w:rFonts w:ascii="Cambria Math" w:eastAsia="Cambria Math" w:hAnsi="Cambria Math"/>
              </w:rPr>
              <m:t>negative</m:t>
            </m:r>
            <m:r>
              <m:rPr>
                <m:sty m:val="p"/>
              </m:rPr>
              <w:rPr>
                <w:rFonts w:ascii="Cambria Math" w:eastAsia="Cambria Math" w:hAnsi="Cambria Math"/>
              </w:rPr>
              <m:t xml:space="preserve"> </m:t>
            </m:r>
            <m:r>
              <w:rPr>
                <w:rFonts w:ascii="Cambria Math" w:eastAsia="Cambria Math" w:hAnsi="Cambria Math"/>
              </w:rPr>
              <m:t>control</m:t>
            </m:r>
          </m:den>
        </m:f>
        <m:r>
          <m:rPr>
            <m:sty m:val="p"/>
          </m:rPr>
          <w:rPr>
            <w:rFonts w:ascii="Cambria Math" w:eastAsia="Cambria Math" w:hAnsi="Cambria Math"/>
          </w:rPr>
          <m:t>×100</m:t>
        </m:r>
      </m:oMath>
      <w:r w:rsidR="007F129E">
        <w:t xml:space="preserve">       (1)</w:t>
      </w:r>
    </w:p>
    <w:p w14:paraId="27C27246" w14:textId="77777777" w:rsidR="007F0BFA" w:rsidRDefault="00E177F6" w:rsidP="007F129E">
      <w:pPr>
        <w:pStyle w:val="Paragraph"/>
      </w:pPr>
      <w:r>
        <w:t xml:space="preserve">The calculated percentages of hemolysis for all the samples were compared with the ASTM standard </w:t>
      </w:r>
      <w:hyperlink r:id="rId11">
        <w:r>
          <w:rPr>
            <w:color w:val="000000"/>
          </w:rPr>
          <w:t>(Ramya et al., 2019)</w:t>
        </w:r>
      </w:hyperlink>
      <w:r>
        <w:t xml:space="preserve">. </w:t>
      </w:r>
    </w:p>
    <w:p w14:paraId="69A6BCEC" w14:textId="4FB43317" w:rsidR="007F0BFA" w:rsidRDefault="00E177F6" w:rsidP="007F129E">
      <w:pPr>
        <w:pStyle w:val="Heading2"/>
      </w:pPr>
      <w:r>
        <w:t>Antimicrobial activity</w:t>
      </w:r>
    </w:p>
    <w:p w14:paraId="3CAA8D3D" w14:textId="77777777" w:rsidR="007F0BFA" w:rsidRDefault="00E177F6" w:rsidP="007F129E">
      <w:pPr>
        <w:pStyle w:val="Paragraph"/>
      </w:pPr>
      <w:r>
        <w:t xml:space="preserve">The antimicrobial activity of the samples was assessed using the plate diffusion technique. Mueller Hinton agar (38 g/L) was prepared, autoclaved at 15 </w:t>
      </w:r>
      <w:proofErr w:type="spellStart"/>
      <w:r>
        <w:t>lbs</w:t>
      </w:r>
      <w:proofErr w:type="spellEnd"/>
      <w:r>
        <w:t xml:space="preserve"> pressure for 15 min, and poured (30 mL) into petri plates for gelation. A 300 µL suspension of </w:t>
      </w:r>
      <w:r>
        <w:rPr>
          <w:i/>
        </w:rPr>
        <w:t>E. coli</w:t>
      </w:r>
      <w:r>
        <w:t xml:space="preserve"> and </w:t>
      </w:r>
      <w:r>
        <w:rPr>
          <w:i/>
        </w:rPr>
        <w:t>S. aureus</w:t>
      </w:r>
      <w:r>
        <w:t xml:space="preserve"> was spread separately using a cotton swab. Wells were bored, and the samples were placed inside. After incubation at 37°C overnight, the zone of inhibition was measured and photographed. Gentamicin served as the positive control, while distilled water acted as the negative control  </w:t>
      </w:r>
      <w:hyperlink r:id="rId12">
        <w:r>
          <w:rPr>
            <w:color w:val="000000"/>
          </w:rPr>
          <w:t>(Ramya et al., 2022)</w:t>
        </w:r>
      </w:hyperlink>
      <w:r>
        <w:t xml:space="preserve">. </w:t>
      </w:r>
    </w:p>
    <w:p w14:paraId="75F93F63" w14:textId="1E5F4079" w:rsidR="007F0BFA" w:rsidRDefault="00E177F6" w:rsidP="007F129E">
      <w:pPr>
        <w:pStyle w:val="Heading1"/>
      </w:pPr>
      <w:r>
        <w:t>Results</w:t>
      </w:r>
    </w:p>
    <w:p w14:paraId="7601BE2F" w14:textId="1375F24A" w:rsidR="007F0BFA" w:rsidRDefault="00E177F6" w:rsidP="007F129E">
      <w:pPr>
        <w:pStyle w:val="Heading2"/>
      </w:pPr>
      <w:r>
        <w:t>XRD analysis</w:t>
      </w:r>
    </w:p>
    <w:p w14:paraId="559A046C" w14:textId="77777777" w:rsidR="007F129E" w:rsidRDefault="007F129E" w:rsidP="007F129E">
      <w:pPr>
        <w:pStyle w:val="Paragraph"/>
        <w:rPr>
          <w:b/>
        </w:rPr>
      </w:pPr>
      <w:r>
        <w:t xml:space="preserve">XRD analysis determines the crystallographic structure and properties of materials. The XRD pattern of </w:t>
      </w:r>
      <w:proofErr w:type="spellStart"/>
      <w:r>
        <w:t>FAp</w:t>
      </w:r>
      <w:proofErr w:type="spellEnd"/>
      <w:r>
        <w:t xml:space="preserve"> showed similar peak distribution like </w:t>
      </w:r>
      <w:proofErr w:type="spellStart"/>
      <w:r>
        <w:t>HAp</w:t>
      </w:r>
      <w:proofErr w:type="spellEnd"/>
      <w:r>
        <w:t xml:space="preserve"> and the peaks at 2θ angles of approximately 25.9°, 31.8°, 32.2°, 32.9°, 39.6°, 46.8°, 49.5°, and 53.0° correspond to the crystallographic planes of the </w:t>
      </w:r>
      <w:proofErr w:type="spellStart"/>
      <w:r>
        <w:t>FAp</w:t>
      </w:r>
      <w:proofErr w:type="spellEnd"/>
      <w:r>
        <w:t xml:space="preserve"> crystal structure. The most intense peak is usually found at around 31.8°. The XRD patterns coincide with the standard JCPDS No. 15-876. The crystallinity of the </w:t>
      </w:r>
      <w:proofErr w:type="spellStart"/>
      <w:r>
        <w:t>HAp</w:t>
      </w:r>
      <w:proofErr w:type="spellEnd"/>
      <w:r>
        <w:t xml:space="preserve"> was affected on the incorporation of polymer and peak broadening was noticed in the </w:t>
      </w:r>
      <w:r>
        <w:lastRenderedPageBreak/>
        <w:t xml:space="preserve">characteristic peaks of </w:t>
      </w:r>
      <w:proofErr w:type="spellStart"/>
      <w:r>
        <w:t>HAp.The</w:t>
      </w:r>
      <w:proofErr w:type="spellEnd"/>
      <w:r>
        <w:t xml:space="preserve"> main characteristic XRD peaks of alginate are present at 2θ values of 32° </w:t>
      </w:r>
      <w:hyperlink r:id="rId13">
        <w:r>
          <w:rPr>
            <w:color w:val="000000"/>
          </w:rPr>
          <w:t>(Bhagyaraj &amp; Krupa, 2020; Zhang et al., 2022)</w:t>
        </w:r>
      </w:hyperlink>
      <w:r>
        <w:t>.</w:t>
      </w:r>
    </w:p>
    <w:p w14:paraId="3BEA0FC7" w14:textId="77777777" w:rsidR="007F0BFA" w:rsidRDefault="00E177F6">
      <w:pPr>
        <w:spacing w:line="360" w:lineRule="auto"/>
        <w:jc w:val="center"/>
        <w:rPr>
          <w:b/>
          <w:sz w:val="20"/>
        </w:rPr>
      </w:pPr>
      <w:r>
        <w:rPr>
          <w:b/>
          <w:noProof/>
          <w:sz w:val="20"/>
        </w:rPr>
        <w:drawing>
          <wp:inline distT="114300" distB="114300" distL="114300" distR="114300" wp14:anchorId="7F48E2F8" wp14:editId="2A384AD1">
            <wp:extent cx="2839875" cy="2329235"/>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b="1876"/>
                    <a:stretch>
                      <a:fillRect/>
                    </a:stretch>
                  </pic:blipFill>
                  <pic:spPr>
                    <a:xfrm>
                      <a:off x="0" y="0"/>
                      <a:ext cx="2839875" cy="2329235"/>
                    </a:xfrm>
                    <a:prstGeom prst="rect">
                      <a:avLst/>
                    </a:prstGeom>
                    <a:ln/>
                  </pic:spPr>
                </pic:pic>
              </a:graphicData>
            </a:graphic>
          </wp:inline>
        </w:drawing>
      </w:r>
    </w:p>
    <w:p w14:paraId="1D6C2521" w14:textId="77777777" w:rsidR="007F0BFA" w:rsidRDefault="00E177F6" w:rsidP="007F129E">
      <w:pPr>
        <w:pStyle w:val="FigureCaption"/>
      </w:pPr>
      <w:r>
        <w:t xml:space="preserve">Fig. 1. XRD patterns of (a) </w:t>
      </w:r>
      <w:proofErr w:type="spellStart"/>
      <w:r>
        <w:t>FAp</w:t>
      </w:r>
      <w:proofErr w:type="spellEnd"/>
      <w:r>
        <w:t xml:space="preserve"> and (b) Alginate </w:t>
      </w:r>
      <w:proofErr w:type="spellStart"/>
      <w:r>
        <w:t>FAp</w:t>
      </w:r>
      <w:proofErr w:type="spellEnd"/>
    </w:p>
    <w:p w14:paraId="1D142FD3" w14:textId="2EBB03C0" w:rsidR="007F0BFA" w:rsidRDefault="00E177F6" w:rsidP="007F129E">
      <w:pPr>
        <w:pStyle w:val="Heading1"/>
      </w:pPr>
      <w:r>
        <w:t>SEM</w:t>
      </w:r>
    </w:p>
    <w:p w14:paraId="2A7B777D" w14:textId="77777777" w:rsidR="007F0BFA" w:rsidRDefault="00E177F6" w:rsidP="007F129E">
      <w:pPr>
        <w:pStyle w:val="Paragraph"/>
      </w:pPr>
      <w:r>
        <w:t xml:space="preserve">The SEM micrographs showed rod-like morphology in the </w:t>
      </w:r>
      <w:proofErr w:type="spellStart"/>
      <w:r>
        <w:t>FAp</w:t>
      </w:r>
      <w:proofErr w:type="spellEnd"/>
      <w:r>
        <w:t xml:space="preserve"> sample. The particle size was reduced due to the lyophilization of the sample. the Sodium alginate mediated </w:t>
      </w:r>
      <w:proofErr w:type="spellStart"/>
      <w:r>
        <w:t>FAp</w:t>
      </w:r>
      <w:proofErr w:type="spellEnd"/>
      <w:r>
        <w:t xml:space="preserve"> nanocomposite showed agglomerated nanobeads.</w:t>
      </w:r>
      <w:hyperlink r:id="rId15">
        <w:r>
          <w:rPr>
            <w:color w:val="000000"/>
          </w:rPr>
          <w:t>(Balaji Ganesh S &amp; Sugumar, 2021)</w:t>
        </w:r>
      </w:hyperlink>
      <w:r>
        <w:t xml:space="preserve">  Alginate is responsible for the formation of nanobeads </w:t>
      </w:r>
      <w:hyperlink r:id="rId16">
        <w:r>
          <w:rPr>
            <w:color w:val="000000"/>
          </w:rPr>
          <w:t>(Bhagyaraj &amp; Krupa, 2020; Liu et al., 2021)</w:t>
        </w:r>
      </w:hyperlink>
      <w:r>
        <w:t xml:space="preserve">. </w:t>
      </w:r>
      <w:r>
        <w:rPr>
          <w:color w:val="2E2E2E"/>
        </w:rPr>
        <w:t xml:space="preserve">Jerome et al. reported the formation of </w:t>
      </w:r>
      <w:hyperlink r:id="rId17">
        <w:r>
          <w:rPr>
            <w:color w:val="2E2E2E"/>
          </w:rPr>
          <w:t>alginate</w:t>
        </w:r>
      </w:hyperlink>
      <w:r>
        <w:rPr>
          <w:color w:val="2E2E2E"/>
        </w:rPr>
        <w:t xml:space="preserve"> nano-aggregates, </w:t>
      </w:r>
      <w:hyperlink r:id="rId18">
        <w:proofErr w:type="spellStart"/>
        <w:r>
          <w:rPr>
            <w:color w:val="2E2E2E"/>
          </w:rPr>
          <w:t>nanocapsules</w:t>
        </w:r>
        <w:proofErr w:type="spellEnd"/>
      </w:hyperlink>
      <w:r>
        <w:rPr>
          <w:color w:val="2E2E2E"/>
        </w:rPr>
        <w:t xml:space="preserve">, and </w:t>
      </w:r>
      <w:hyperlink r:id="rId19">
        <w:r>
          <w:rPr>
            <w:color w:val="2E2E2E"/>
          </w:rPr>
          <w:t>nanospheres</w:t>
        </w:r>
      </w:hyperlink>
      <w:r>
        <w:t xml:space="preserve"> by varying the preparation techniques </w:t>
      </w:r>
      <w:hyperlink r:id="rId20">
        <w:r>
          <w:rPr>
            <w:color w:val="000000"/>
          </w:rPr>
          <w:t xml:space="preserve">(van der Linden Cees J. M. van Rijn Leonard M. C. </w:t>
        </w:r>
        <w:proofErr w:type="spellStart"/>
        <w:r>
          <w:rPr>
            <w:color w:val="000000"/>
          </w:rPr>
          <w:t>Sagis</w:t>
        </w:r>
        <w:proofErr w:type="spellEnd"/>
        <w:r>
          <w:rPr>
            <w:color w:val="000000"/>
          </w:rPr>
          <w:t>, 2014)</w:t>
        </w:r>
      </w:hyperlink>
      <w:r>
        <w:t xml:space="preserve">. </w:t>
      </w:r>
    </w:p>
    <w:p w14:paraId="5DA3B4F9" w14:textId="77777777" w:rsidR="007F0BFA" w:rsidRDefault="00E177F6">
      <w:pPr>
        <w:spacing w:line="360" w:lineRule="auto"/>
        <w:jc w:val="center"/>
        <w:rPr>
          <w:sz w:val="20"/>
        </w:rPr>
      </w:pPr>
      <w:r>
        <w:rPr>
          <w:b/>
          <w:noProof/>
          <w:sz w:val="20"/>
        </w:rPr>
        <w:drawing>
          <wp:inline distT="114300" distB="114300" distL="114300" distR="114300" wp14:anchorId="4C9AFE2E" wp14:editId="711604C6">
            <wp:extent cx="4437346" cy="1776413"/>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a:srcRect/>
                    <a:stretch>
                      <a:fillRect/>
                    </a:stretch>
                  </pic:blipFill>
                  <pic:spPr>
                    <a:xfrm>
                      <a:off x="0" y="0"/>
                      <a:ext cx="4437346" cy="1776413"/>
                    </a:xfrm>
                    <a:prstGeom prst="rect">
                      <a:avLst/>
                    </a:prstGeom>
                    <a:ln/>
                  </pic:spPr>
                </pic:pic>
              </a:graphicData>
            </a:graphic>
          </wp:inline>
        </w:drawing>
      </w:r>
    </w:p>
    <w:p w14:paraId="3A04116B" w14:textId="2055C2DA" w:rsidR="007F129E" w:rsidRPr="007F129E" w:rsidRDefault="007F129E" w:rsidP="007F129E">
      <w:pPr>
        <w:pStyle w:val="ListParagraph"/>
        <w:numPr>
          <w:ilvl w:val="0"/>
          <w:numId w:val="28"/>
        </w:numPr>
        <w:spacing w:line="360" w:lineRule="auto"/>
        <w:rPr>
          <w:sz w:val="20"/>
        </w:rPr>
      </w:pPr>
      <w:r>
        <w:rPr>
          <w:sz w:val="20"/>
        </w:rPr>
        <w:t xml:space="preserve">                                                            (b)</w:t>
      </w:r>
    </w:p>
    <w:p w14:paraId="6C62A7FE" w14:textId="77777777" w:rsidR="007F0BFA" w:rsidRDefault="00E177F6" w:rsidP="007F129E">
      <w:pPr>
        <w:pStyle w:val="FigureCaption"/>
      </w:pPr>
      <w:r>
        <w:t xml:space="preserve">Fig. 2. SEM micrographs of (a) </w:t>
      </w:r>
      <w:proofErr w:type="spellStart"/>
      <w:r>
        <w:t>FAp</w:t>
      </w:r>
      <w:proofErr w:type="spellEnd"/>
      <w:r>
        <w:t xml:space="preserve"> and (b) Alginate </w:t>
      </w:r>
      <w:proofErr w:type="spellStart"/>
      <w:r>
        <w:t>FAp</w:t>
      </w:r>
      <w:proofErr w:type="spellEnd"/>
    </w:p>
    <w:p w14:paraId="1FD3BEED" w14:textId="5BF92A0C" w:rsidR="007F0BFA" w:rsidRDefault="00E177F6" w:rsidP="007F129E">
      <w:pPr>
        <w:pStyle w:val="Heading1"/>
      </w:pPr>
      <w:r>
        <w:t>EDX</w:t>
      </w:r>
    </w:p>
    <w:p w14:paraId="1950431F" w14:textId="77777777" w:rsidR="007F0BFA" w:rsidRDefault="00E177F6" w:rsidP="007F129E">
      <w:pPr>
        <w:pStyle w:val="Paragraph"/>
        <w:rPr>
          <w:color w:val="2E2E2E"/>
        </w:rPr>
      </w:pPr>
      <w:r>
        <w:t xml:space="preserve">The presence of fluoride is confirmed from the EDAX spectrum of </w:t>
      </w:r>
      <w:proofErr w:type="spellStart"/>
      <w:r>
        <w:t>FAp</w:t>
      </w:r>
      <w:proofErr w:type="spellEnd"/>
      <w:r>
        <w:t>. The calcium and phosphorous were found to be high in the spectrum. The replacement of fluoride ions on the calcium site was evidenced from the spectrum</w:t>
      </w:r>
      <w:r w:rsidRPr="00E177F6">
        <w:rPr>
          <w:szCs w:val="24"/>
        </w:rPr>
        <w:t>(</w:t>
      </w:r>
      <w:proofErr w:type="spellStart"/>
      <w:r w:rsidRPr="00E177F6">
        <w:rPr>
          <w:szCs w:val="24"/>
        </w:rPr>
        <w:t>Saadh</w:t>
      </w:r>
      <w:proofErr w:type="spellEnd"/>
      <w:r w:rsidRPr="00E177F6">
        <w:rPr>
          <w:szCs w:val="24"/>
        </w:rPr>
        <w:t xml:space="preserve"> et al., 2024)</w:t>
      </w:r>
      <w:r>
        <w:t>. The Alginate-</w:t>
      </w:r>
      <w:proofErr w:type="spellStart"/>
      <w:r>
        <w:t>FAp</w:t>
      </w:r>
      <w:proofErr w:type="spellEnd"/>
      <w:r>
        <w:t xml:space="preserve"> sample showed the presence of carbon which eventually implies the presence of polymer chains of the alginate. The calcium percentage was high in Alginate-</w:t>
      </w:r>
      <w:proofErr w:type="spellStart"/>
      <w:r>
        <w:t>HAp</w:t>
      </w:r>
      <w:proofErr w:type="spellEnd"/>
      <w:r>
        <w:t xml:space="preserve"> sample which was due to the binding affinity of the polymer with the calcium ions. </w:t>
      </w:r>
      <w:proofErr w:type="spellStart"/>
      <w:r>
        <w:rPr>
          <w:color w:val="2E2E2E"/>
        </w:rPr>
        <w:t>Daemi</w:t>
      </w:r>
      <w:proofErr w:type="spellEnd"/>
      <w:r>
        <w:rPr>
          <w:color w:val="2E2E2E"/>
        </w:rPr>
        <w:t xml:space="preserve"> et </w:t>
      </w:r>
      <w:proofErr w:type="spellStart"/>
      <w:r>
        <w:rPr>
          <w:color w:val="2E2E2E"/>
        </w:rPr>
        <w:t>al.reported</w:t>
      </w:r>
      <w:proofErr w:type="spellEnd"/>
      <w:r>
        <w:rPr>
          <w:color w:val="2E2E2E"/>
        </w:rPr>
        <w:t xml:space="preserve"> that as the concentration of sodium alginate decreases and the concentration of calcium cations increases, the distribution of calcium alginate nanoparticles is affected This is due to the ionic interactions of calcium </w:t>
      </w:r>
      <w:proofErr w:type="spellStart"/>
      <w:r>
        <w:rPr>
          <w:color w:val="2E2E2E"/>
        </w:rPr>
        <w:t>croslinkers</w:t>
      </w:r>
      <w:proofErr w:type="spellEnd"/>
      <w:r>
        <w:rPr>
          <w:color w:val="2E2E2E"/>
        </w:rPr>
        <w:t xml:space="preserve"> white polymeric chains of alginate </w:t>
      </w:r>
      <w:hyperlink r:id="rId22">
        <w:r>
          <w:rPr>
            <w:color w:val="000000"/>
          </w:rPr>
          <w:t xml:space="preserve">(H. </w:t>
        </w:r>
        <w:proofErr w:type="spellStart"/>
        <w:r>
          <w:rPr>
            <w:color w:val="000000"/>
          </w:rPr>
          <w:t>Daemi</w:t>
        </w:r>
        <w:proofErr w:type="spellEnd"/>
        <w:r>
          <w:rPr>
            <w:color w:val="000000"/>
          </w:rPr>
          <w:t>, 2012)</w:t>
        </w:r>
      </w:hyperlink>
      <w:r>
        <w:rPr>
          <w:color w:val="2E2E2E"/>
        </w:rPr>
        <w:t>.</w:t>
      </w:r>
    </w:p>
    <w:p w14:paraId="372BB881" w14:textId="77777777" w:rsidR="007F0BFA" w:rsidRDefault="00E177F6">
      <w:pPr>
        <w:spacing w:line="360" w:lineRule="auto"/>
        <w:jc w:val="center"/>
        <w:rPr>
          <w:b/>
          <w:sz w:val="20"/>
        </w:rPr>
      </w:pPr>
      <w:r>
        <w:rPr>
          <w:b/>
          <w:noProof/>
          <w:sz w:val="20"/>
        </w:rPr>
        <w:lastRenderedPageBreak/>
        <w:drawing>
          <wp:inline distT="114300" distB="114300" distL="114300" distR="114300" wp14:anchorId="74C20681" wp14:editId="52807654">
            <wp:extent cx="2844638" cy="1974991"/>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2844638" cy="1974991"/>
                    </a:xfrm>
                    <a:prstGeom prst="rect">
                      <a:avLst/>
                    </a:prstGeom>
                    <a:ln/>
                  </pic:spPr>
                </pic:pic>
              </a:graphicData>
            </a:graphic>
          </wp:inline>
        </w:drawing>
      </w:r>
    </w:p>
    <w:p w14:paraId="23520834" w14:textId="55600405" w:rsidR="007F0BFA" w:rsidRDefault="00E177F6" w:rsidP="007F129E">
      <w:pPr>
        <w:pStyle w:val="FigureCaption"/>
      </w:pPr>
      <w:r>
        <w:t xml:space="preserve">Fig. 3. EDAX spectrum of </w:t>
      </w:r>
      <w:proofErr w:type="spellStart"/>
      <w:r>
        <w:t>FAp</w:t>
      </w:r>
      <w:proofErr w:type="spellEnd"/>
      <w:r>
        <w:t xml:space="preserve"> and Alginate </w:t>
      </w:r>
      <w:proofErr w:type="spellStart"/>
      <w:r>
        <w:t>FAp</w:t>
      </w:r>
      <w:proofErr w:type="spellEnd"/>
    </w:p>
    <w:p w14:paraId="1D11767A" w14:textId="54A6CF9D" w:rsidR="007F0BFA" w:rsidRDefault="00E177F6" w:rsidP="007F129E">
      <w:pPr>
        <w:pStyle w:val="Heading2"/>
      </w:pPr>
      <w:r>
        <w:t>Hemocompatibility assay</w:t>
      </w:r>
    </w:p>
    <w:p w14:paraId="41FAFA04" w14:textId="77777777" w:rsidR="00E177F6" w:rsidRPr="00E177F6" w:rsidRDefault="00E177F6" w:rsidP="007F129E">
      <w:pPr>
        <w:pStyle w:val="Paragraph"/>
      </w:pPr>
      <w:r>
        <w:t xml:space="preserve">The results revealed that both </w:t>
      </w:r>
      <w:proofErr w:type="spellStart"/>
      <w:r>
        <w:t>FAp</w:t>
      </w:r>
      <w:proofErr w:type="spellEnd"/>
      <w:r>
        <w:t xml:space="preserve"> and Alginate-</w:t>
      </w:r>
      <w:proofErr w:type="spellStart"/>
      <w:r>
        <w:t>FAp</w:t>
      </w:r>
      <w:proofErr w:type="spellEnd"/>
      <w:r>
        <w:t xml:space="preserve"> exhibited favorable hemocompatibility characteristics, the hemolysis percentage was well below 5% indicating that they are highly </w:t>
      </w:r>
      <w:proofErr w:type="spellStart"/>
      <w:r>
        <w:t>hemocompatible</w:t>
      </w:r>
      <w:proofErr w:type="spellEnd"/>
      <w:r>
        <w:t>.</w:t>
      </w:r>
      <w:hyperlink r:id="rId24">
        <w:r>
          <w:rPr>
            <w:color w:val="000000"/>
          </w:rPr>
          <w:t>(Katyal et al., 2021)</w:t>
        </w:r>
      </w:hyperlink>
      <w:r>
        <w:t xml:space="preserve">. Hemocompatibility tests were done to evaluate the effects on blood and/or blood components by </w:t>
      </w:r>
      <w:proofErr w:type="spellStart"/>
      <w:r>
        <w:t>Alginated-FAp</w:t>
      </w:r>
      <w:proofErr w:type="spellEnd"/>
      <w:r>
        <w:t xml:space="preserve"> an</w:t>
      </w:r>
      <w:r w:rsidRPr="00E177F6">
        <w:t xml:space="preserve">d </w:t>
      </w:r>
      <w:proofErr w:type="spellStart"/>
      <w:r w:rsidRPr="00E177F6">
        <w:t>FAp</w:t>
      </w:r>
      <w:proofErr w:type="spellEnd"/>
      <w:r w:rsidRPr="00E177F6">
        <w:t xml:space="preserve"> </w:t>
      </w:r>
      <w:proofErr w:type="spellStart"/>
      <w:r w:rsidRPr="00E177F6">
        <w:t>Saadh</w:t>
      </w:r>
      <w:proofErr w:type="spellEnd"/>
      <w:r w:rsidRPr="00E177F6">
        <w:t xml:space="preserve">, M. J., Rasulova, I., </w:t>
      </w:r>
      <w:proofErr w:type="spellStart"/>
      <w:r w:rsidRPr="00E177F6">
        <w:t>Almoyad</w:t>
      </w:r>
      <w:proofErr w:type="spellEnd"/>
      <w:r w:rsidRPr="00E177F6">
        <w:t xml:space="preserve">, M. A. A., </w:t>
      </w:r>
      <w:proofErr w:type="spellStart"/>
      <w:r w:rsidRPr="00E177F6">
        <w:t>Kiasari</w:t>
      </w:r>
      <w:proofErr w:type="spellEnd"/>
      <w:r w:rsidRPr="00E177F6">
        <w:t xml:space="preserve">, B. A., Ali, R. T., Rasheed, T. &amp; </w:t>
      </w:r>
      <w:proofErr w:type="spellStart"/>
      <w:r w:rsidRPr="00E177F6">
        <w:t>Ciongradi</w:t>
      </w:r>
      <w:proofErr w:type="spellEnd"/>
      <w:r w:rsidRPr="00E177F6">
        <w:t xml:space="preserve">, C. I. (2024). Recent progress and the emerging role of </w:t>
      </w:r>
      <w:proofErr w:type="spellStart"/>
      <w:r w:rsidRPr="00E177F6">
        <w:t>lncRNAs</w:t>
      </w:r>
      <w:proofErr w:type="spellEnd"/>
      <w:r w:rsidRPr="00E177F6">
        <w:t xml:space="preserve"> in cancer drug resistance; focusing on signaling pathways. Pathology-Research and Practice, 253, 154999.</w:t>
      </w:r>
    </w:p>
    <w:p w14:paraId="5456412C" w14:textId="77777777" w:rsidR="007F0BFA" w:rsidRPr="00E177F6" w:rsidRDefault="00E177F6" w:rsidP="007F129E">
      <w:pPr>
        <w:pStyle w:val="Paragraph"/>
      </w:pPr>
      <w:r w:rsidRPr="00E177F6">
        <w:t>(</w:t>
      </w:r>
      <w:proofErr w:type="spellStart"/>
      <w:r w:rsidRPr="00E177F6">
        <w:t>Chehelgerdi</w:t>
      </w:r>
      <w:proofErr w:type="spellEnd"/>
      <w:r w:rsidRPr="00E177F6">
        <w:t xml:space="preserve"> et al., 2023). The hemocompatibility of the samples was analyzed by measuring the hemolytic activity (percentage of hemolysis). The values are in good agreement with the standard limits of hemocompatibility values for the biomaterials </w:t>
      </w:r>
      <w:hyperlink r:id="rId25">
        <w:r w:rsidRPr="00E177F6">
          <w:rPr>
            <w:color w:val="000000"/>
          </w:rPr>
          <w:t xml:space="preserve">(Amri et al., 2016; Han et al., 2013; </w:t>
        </w:r>
        <w:proofErr w:type="spellStart"/>
        <w:r w:rsidRPr="00E177F6">
          <w:rPr>
            <w:color w:val="000000"/>
          </w:rPr>
          <w:t>Notara</w:t>
        </w:r>
        <w:proofErr w:type="spellEnd"/>
        <w:r w:rsidRPr="00E177F6">
          <w:rPr>
            <w:color w:val="000000"/>
          </w:rPr>
          <w:t xml:space="preserve"> et al., 2009; Pal et al., 2008)</w:t>
        </w:r>
      </w:hyperlink>
      <w:r w:rsidRPr="00E177F6">
        <w:t xml:space="preserve">. </w:t>
      </w:r>
      <w:r w:rsidRPr="00E177F6">
        <w:tab/>
      </w:r>
    </w:p>
    <w:p w14:paraId="0C0F0709" w14:textId="77777777" w:rsidR="007F0BFA" w:rsidRDefault="00E177F6">
      <w:pPr>
        <w:spacing w:line="360" w:lineRule="auto"/>
        <w:jc w:val="center"/>
        <w:rPr>
          <w:b/>
          <w:sz w:val="20"/>
        </w:rPr>
      </w:pPr>
      <w:r>
        <w:rPr>
          <w:b/>
          <w:noProof/>
          <w:sz w:val="20"/>
        </w:rPr>
        <w:drawing>
          <wp:inline distT="114300" distB="114300" distL="114300" distR="114300" wp14:anchorId="25484AE9" wp14:editId="616E90AD">
            <wp:extent cx="2758913" cy="2184723"/>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2758913" cy="2184723"/>
                    </a:xfrm>
                    <a:prstGeom prst="rect">
                      <a:avLst/>
                    </a:prstGeom>
                    <a:ln/>
                  </pic:spPr>
                </pic:pic>
              </a:graphicData>
            </a:graphic>
          </wp:inline>
        </w:drawing>
      </w:r>
    </w:p>
    <w:p w14:paraId="378D93C6" w14:textId="77777777" w:rsidR="007F0BFA" w:rsidRDefault="00E177F6" w:rsidP="007F129E">
      <w:pPr>
        <w:pStyle w:val="FigureCaption"/>
      </w:pPr>
      <w:r>
        <w:t xml:space="preserve">Fig. 4. Percentage of Hemolysis of the </w:t>
      </w:r>
      <w:proofErr w:type="spellStart"/>
      <w:r>
        <w:t>FAp</w:t>
      </w:r>
      <w:proofErr w:type="spellEnd"/>
      <w:r>
        <w:t xml:space="preserve"> and Alginate-</w:t>
      </w:r>
      <w:proofErr w:type="spellStart"/>
      <w:r>
        <w:t>FAp</w:t>
      </w:r>
      <w:proofErr w:type="spellEnd"/>
    </w:p>
    <w:p w14:paraId="4D6AF2EA" w14:textId="67219688" w:rsidR="007F0BFA" w:rsidRDefault="00E177F6" w:rsidP="007F129E">
      <w:pPr>
        <w:pStyle w:val="Heading2"/>
      </w:pPr>
      <w:r>
        <w:t>Antimicrobial activity</w:t>
      </w:r>
    </w:p>
    <w:p w14:paraId="1AF5C8A3" w14:textId="77777777" w:rsidR="007F0BFA" w:rsidRDefault="00E177F6" w:rsidP="007F129E">
      <w:pPr>
        <w:pStyle w:val="Paragraph"/>
      </w:pPr>
      <w:r>
        <w:t xml:space="preserve">The antimicrobial activity was detected by measuring the zone of inhibition (including the diameter of the well) that appeared after the incubation period using a direct contact test. </w:t>
      </w:r>
      <w:hyperlink r:id="rId27">
        <w:r>
          <w:rPr>
            <w:color w:val="000000"/>
          </w:rPr>
          <w:t>(Tiwari &amp; Jain, 2023)</w:t>
        </w:r>
      </w:hyperlink>
      <w:r>
        <w:t>. The antimicrobial activity of Escherichia coli, Staphylococcus aureus was assessed and both exhibited dose-dependent antimicrobial activity. The zone of inhibition increased marginally with increased alginate dosage. The antimicrobial activity of Alginate-</w:t>
      </w:r>
      <w:proofErr w:type="spellStart"/>
      <w:r>
        <w:t>FAp</w:t>
      </w:r>
      <w:proofErr w:type="spellEnd"/>
      <w:r>
        <w:t xml:space="preserve"> and Fap was evaluated by measuring the diameter of the zone of inhibition observed after the incubation period </w:t>
      </w:r>
      <w:hyperlink r:id="rId28">
        <w:r>
          <w:rPr>
            <w:color w:val="000000"/>
          </w:rPr>
          <w:t>(</w:t>
        </w:r>
        <w:proofErr w:type="spellStart"/>
        <w:r>
          <w:rPr>
            <w:color w:val="000000"/>
          </w:rPr>
          <w:t>Asadpoor</w:t>
        </w:r>
        <w:proofErr w:type="spellEnd"/>
        <w:r>
          <w:rPr>
            <w:color w:val="000000"/>
          </w:rPr>
          <w:t xml:space="preserve"> et al., 2021; </w:t>
        </w:r>
        <w:proofErr w:type="spellStart"/>
        <w:r>
          <w:rPr>
            <w:color w:val="000000"/>
          </w:rPr>
          <w:t>Notara</w:t>
        </w:r>
        <w:proofErr w:type="spellEnd"/>
        <w:r>
          <w:rPr>
            <w:color w:val="000000"/>
          </w:rPr>
          <w:t xml:space="preserve"> et al., 2009)</w:t>
        </w:r>
      </w:hyperlink>
      <w:r>
        <w:t xml:space="preserve">. </w:t>
      </w:r>
    </w:p>
    <w:p w14:paraId="621ECF95" w14:textId="77777777" w:rsidR="007F0BFA" w:rsidRDefault="007F0BFA">
      <w:pPr>
        <w:spacing w:line="360" w:lineRule="auto"/>
        <w:jc w:val="both"/>
        <w:rPr>
          <w:b/>
          <w:sz w:val="20"/>
        </w:rPr>
      </w:pPr>
    </w:p>
    <w:p w14:paraId="530E7413" w14:textId="77777777" w:rsidR="007F0BFA" w:rsidRDefault="00E177F6">
      <w:pPr>
        <w:spacing w:line="360" w:lineRule="auto"/>
        <w:jc w:val="center"/>
        <w:rPr>
          <w:b/>
          <w:sz w:val="20"/>
        </w:rPr>
      </w:pPr>
      <w:r>
        <w:rPr>
          <w:b/>
          <w:noProof/>
          <w:sz w:val="20"/>
        </w:rPr>
        <w:lastRenderedPageBreak/>
        <w:drawing>
          <wp:inline distT="114300" distB="114300" distL="114300" distR="114300" wp14:anchorId="69B13A5A" wp14:editId="4F18720D">
            <wp:extent cx="3649500" cy="3248839"/>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9"/>
                    <a:srcRect/>
                    <a:stretch>
                      <a:fillRect/>
                    </a:stretch>
                  </pic:blipFill>
                  <pic:spPr>
                    <a:xfrm>
                      <a:off x="0" y="0"/>
                      <a:ext cx="3649500" cy="3248839"/>
                    </a:xfrm>
                    <a:prstGeom prst="rect">
                      <a:avLst/>
                    </a:prstGeom>
                    <a:ln/>
                  </pic:spPr>
                </pic:pic>
              </a:graphicData>
            </a:graphic>
          </wp:inline>
        </w:drawing>
      </w:r>
    </w:p>
    <w:p w14:paraId="6C87DAC9" w14:textId="77777777" w:rsidR="007F0BFA" w:rsidRDefault="00E177F6" w:rsidP="007F129E">
      <w:pPr>
        <w:pStyle w:val="FigureCaption"/>
      </w:pPr>
      <w:r>
        <w:t xml:space="preserve">Fig. 5. Antimicrobial activity of </w:t>
      </w:r>
      <w:proofErr w:type="spellStart"/>
      <w:r>
        <w:t>FAp</w:t>
      </w:r>
      <w:proofErr w:type="spellEnd"/>
      <w:r>
        <w:t xml:space="preserve"> and Alginate-</w:t>
      </w:r>
      <w:proofErr w:type="spellStart"/>
      <w:r>
        <w:t>FAp</w:t>
      </w:r>
      <w:proofErr w:type="spellEnd"/>
      <w:r>
        <w:t xml:space="preserve"> against (a) E.coli and (b) </w:t>
      </w:r>
      <w:proofErr w:type="spellStart"/>
      <w:r>
        <w:t>S.aureus</w:t>
      </w:r>
      <w:proofErr w:type="spellEnd"/>
    </w:p>
    <w:p w14:paraId="32E141B6" w14:textId="77777777" w:rsidR="007F0BFA" w:rsidRDefault="00E177F6" w:rsidP="007F129E">
      <w:pPr>
        <w:pStyle w:val="Heading1"/>
        <w:rPr>
          <w:color w:val="000000"/>
        </w:rPr>
      </w:pPr>
      <w:r>
        <w:rPr>
          <w:color w:val="000000"/>
        </w:rPr>
        <w:t>D</w:t>
      </w:r>
      <w:r>
        <w:t>iscussion</w:t>
      </w:r>
    </w:p>
    <w:p w14:paraId="06A2C427" w14:textId="77777777" w:rsidR="007F0BFA" w:rsidRDefault="00E177F6" w:rsidP="007F129E">
      <w:pPr>
        <w:pStyle w:val="Paragraph"/>
      </w:pPr>
      <w:r>
        <w:t xml:space="preserve">The XRD shows that the characteristic peaks of </w:t>
      </w:r>
      <w:proofErr w:type="spellStart"/>
      <w:r>
        <w:t>FAp</w:t>
      </w:r>
      <w:proofErr w:type="spellEnd"/>
      <w:r>
        <w:t xml:space="preserve"> and the presence of alginate affect the crystallinity and peak broadening was experienced due to the cross-linking interactions of calcium ions and alginate. The fluoride ions in the </w:t>
      </w:r>
      <w:proofErr w:type="spellStart"/>
      <w:r>
        <w:t>FAp</w:t>
      </w:r>
      <w:proofErr w:type="spellEnd"/>
      <w:r>
        <w:t xml:space="preserve"> also have the ability to interact with the alginate and form strong covalent bonds as similar to Ca ions. These interactions made the material more stable. The characteristic peak of </w:t>
      </w:r>
      <w:proofErr w:type="spellStart"/>
      <w:r>
        <w:t>FAp</w:t>
      </w:r>
      <w:proofErr w:type="spellEnd"/>
      <w:r>
        <w:t xml:space="preserve"> at 2q=32°, was broadened on the presence of alginate.  The SEM-micrograph showed the nano-rod-like morphology in the </w:t>
      </w:r>
      <w:proofErr w:type="spellStart"/>
      <w:r>
        <w:t>FAp</w:t>
      </w:r>
      <w:proofErr w:type="spellEnd"/>
      <w:r>
        <w:t xml:space="preserve"> sample and the formation of nanobeads decorated with calcium and fluoride ions on the surface. The elemental distribution spectrum showed the percentages of Ca, P,F, C, and O revealing the incorporation of alginate. The material is highly </w:t>
      </w:r>
      <w:proofErr w:type="spellStart"/>
      <w:r>
        <w:t>hemocompatible</w:t>
      </w:r>
      <w:proofErr w:type="spellEnd"/>
      <w:r>
        <w:t>. The metal ions like Ca and F didn’t affect the hemolysis percentage. A hemolysis study indicates hemolysis is &lt; 5% for both FAP and Alginate-</w:t>
      </w:r>
      <w:proofErr w:type="spellStart"/>
      <w:r>
        <w:t>FAp</w:t>
      </w:r>
      <w:proofErr w:type="spellEnd"/>
      <w:r>
        <w:t xml:space="preserve"> making them highly </w:t>
      </w:r>
      <w:proofErr w:type="spellStart"/>
      <w:r>
        <w:t>hemocompatible</w:t>
      </w:r>
      <w:proofErr w:type="spellEnd"/>
      <w:r>
        <w:t>. Hemolysis of Alginate-</w:t>
      </w:r>
      <w:proofErr w:type="spellStart"/>
      <w:r>
        <w:t>FAp</w:t>
      </w:r>
      <w:proofErr w:type="spellEnd"/>
      <w:r>
        <w:t xml:space="preserve"> is less than FAP making it more </w:t>
      </w:r>
      <w:proofErr w:type="spellStart"/>
      <w:r>
        <w:t>hemocompatible</w:t>
      </w:r>
      <w:proofErr w:type="spellEnd"/>
      <w:r>
        <w:t xml:space="preserve">, as indicated in Fig.  4. One crucial aspect of hemocompatibility is the material's ability to prevent excessive blood clotting, which can lead to thrombosis. If FAP can promote the formation of a stable fibrin network without excessive platelet activation, it is considered to have good hemocompatibility </w:t>
      </w:r>
      <w:hyperlink r:id="rId30">
        <w:r>
          <w:rPr>
            <w:color w:val="000000"/>
          </w:rPr>
          <w:t>(Weber et al., 2018)</w:t>
        </w:r>
      </w:hyperlink>
      <w:r>
        <w:t xml:space="preserve">. The antimicrobial activity of </w:t>
      </w:r>
      <w:proofErr w:type="spellStart"/>
      <w:r>
        <w:t>FAp</w:t>
      </w:r>
      <w:proofErr w:type="spellEnd"/>
      <w:r>
        <w:t xml:space="preserve"> showed no diameter of zone of inhibition whereas the incorporation of Alginate inherited the antimicrobial properties. On increasing the concentration of Alginate-</w:t>
      </w:r>
      <w:proofErr w:type="spellStart"/>
      <w:r>
        <w:t>FAp</w:t>
      </w:r>
      <w:proofErr w:type="spellEnd"/>
      <w:r>
        <w:t xml:space="preserve">, the diameter of the zone of inhibition was improved as shown in Fig. 5. Alginate, upon exposure to moisture or specific ions, undergoes gelation, forming a hydrogel or gel-like structure. This hydrogel acts as a physical barrier that hinders microbial movement, thereby preventing their spread and colonization on surfaces. Additionally, the gel's structure restricts the diffusion of essential nutrients required for microbial growth, further impeding their proliferation. The strong calcium-alginate bonds could be responsible for cell rupture and cell death </w:t>
      </w:r>
      <w:hyperlink r:id="rId31">
        <w:r>
          <w:rPr>
            <w:color w:val="000000"/>
          </w:rPr>
          <w:t>(Lee &amp; Mooney, 2012)</w:t>
        </w:r>
      </w:hyperlink>
      <w:r>
        <w:t xml:space="preserve">. Alginate is composed of carboxyl groups that confer negative charges on its molecular structure. These negatively charged groups can interact with the positively charged surfaces of bacterial cells, resulting in an electrostatic interaction. This interaction has the potential to disturb the integrity of the bacterial cell membrane, leading to the release of cellular contents and eventual cell death. Moreover, alginate has the capability to chelate metal ions, including calcium and magnesium. Since certain bacteria rely on these ions for vital cellular processes, alginate's capacity to sequester them can disrupt these processes, thereby impeding bacterial growth. Further, </w:t>
      </w:r>
      <w:r>
        <w:rPr>
          <w:i/>
        </w:rPr>
        <w:t>in-vivo</w:t>
      </w:r>
      <w:r>
        <w:t xml:space="preserve"> studies and clinical studies are required to access the material to be a potential candidate for tissue engineering application.</w:t>
      </w:r>
    </w:p>
    <w:p w14:paraId="2D4BC843" w14:textId="77777777" w:rsidR="007F0BFA" w:rsidRDefault="00E177F6" w:rsidP="007F129E">
      <w:pPr>
        <w:pStyle w:val="Heading1"/>
      </w:pPr>
      <w:r>
        <w:lastRenderedPageBreak/>
        <w:t>Conclusion</w:t>
      </w:r>
    </w:p>
    <w:p w14:paraId="4F4E7FBD" w14:textId="77777777" w:rsidR="007F0BFA" w:rsidRDefault="00E177F6" w:rsidP="007F129E">
      <w:pPr>
        <w:pStyle w:val="Paragraph"/>
      </w:pPr>
      <w:r>
        <w:t xml:space="preserve">The XRD revealed that the incorporation of sodium alginate on the </w:t>
      </w:r>
      <w:proofErr w:type="spellStart"/>
      <w:r>
        <w:t>FAp</w:t>
      </w:r>
      <w:proofErr w:type="spellEnd"/>
      <w:r>
        <w:t xml:space="preserve"> matrix resulted in a decrease in the peak intensities and some peaks were masked by the sodium alginate. The SEM micrographs showed nanorods in </w:t>
      </w:r>
      <w:proofErr w:type="spellStart"/>
      <w:r>
        <w:t>FAp</w:t>
      </w:r>
      <w:proofErr w:type="spellEnd"/>
      <w:r>
        <w:t xml:space="preserve"> and agglomerated nanobeads were seen in alginate-</w:t>
      </w:r>
      <w:proofErr w:type="spellStart"/>
      <w:r>
        <w:t>FAp</w:t>
      </w:r>
      <w:proofErr w:type="spellEnd"/>
      <w:r>
        <w:t xml:space="preserve">. The EDAX confirmed the presence of fluoride and carbon peaks were seen in alginate </w:t>
      </w:r>
      <w:proofErr w:type="spellStart"/>
      <w:r>
        <w:t>FAp</w:t>
      </w:r>
      <w:proofErr w:type="spellEnd"/>
      <w:r>
        <w:t xml:space="preserve">. The samples are highly </w:t>
      </w:r>
      <w:proofErr w:type="spellStart"/>
      <w:r>
        <w:t>hemocompatible</w:t>
      </w:r>
      <w:proofErr w:type="spellEnd"/>
      <w:r>
        <w:t xml:space="preserve"> and possess antimicrobial activity in Alginate-</w:t>
      </w:r>
      <w:proofErr w:type="spellStart"/>
      <w:r>
        <w:t>FAp</w:t>
      </w:r>
      <w:proofErr w:type="spellEnd"/>
      <w:r>
        <w:t xml:space="preserve"> samples suggesting the material to be a potential candidate for biomedical application.</w:t>
      </w:r>
    </w:p>
    <w:p w14:paraId="1EEDEA1D" w14:textId="6A53328E" w:rsidR="007F0BFA" w:rsidRDefault="00E177F6" w:rsidP="007F129E">
      <w:pPr>
        <w:pStyle w:val="Heading1"/>
      </w:pPr>
      <w:r>
        <w:t>Reference</w:t>
      </w:r>
      <w:r w:rsidR="007F129E">
        <w:t>s</w:t>
      </w:r>
    </w:p>
    <w:p w14:paraId="283B0CE4" w14:textId="77777777" w:rsidR="007F0BFA" w:rsidRDefault="00E177F6" w:rsidP="007F129E">
      <w:pPr>
        <w:pStyle w:val="Reference"/>
      </w:pPr>
      <w:hyperlink r:id="rId32">
        <w:r>
          <w:t xml:space="preserve">Amri, C., Mudasir, M., </w:t>
        </w:r>
        <w:proofErr w:type="spellStart"/>
        <w:r>
          <w:t>Siswanta</w:t>
        </w:r>
        <w:proofErr w:type="spellEnd"/>
        <w:r>
          <w:t xml:space="preserve">, D., &amp; Roto, R. (2016). In vitro hemocompatibility of PVA-alginate ester as a candidate for hemodialysis membrane. </w:t>
        </w:r>
      </w:hyperlink>
      <w:hyperlink r:id="rId33">
        <w:r>
          <w:rPr>
            <w:i/>
          </w:rPr>
          <w:t>International Journal of Biological Macromolecules</w:t>
        </w:r>
      </w:hyperlink>
      <w:hyperlink r:id="rId34">
        <w:r>
          <w:t xml:space="preserve">, </w:t>
        </w:r>
      </w:hyperlink>
      <w:hyperlink r:id="rId35">
        <w:r>
          <w:rPr>
            <w:i/>
          </w:rPr>
          <w:t>82</w:t>
        </w:r>
      </w:hyperlink>
      <w:hyperlink r:id="rId36">
        <w:r>
          <w:t>, 48–53.</w:t>
        </w:r>
      </w:hyperlink>
    </w:p>
    <w:p w14:paraId="7C6A3CB3" w14:textId="77777777" w:rsidR="007F0BFA" w:rsidRDefault="00E177F6" w:rsidP="007F129E">
      <w:pPr>
        <w:pStyle w:val="Reference"/>
      </w:pPr>
      <w:hyperlink r:id="rId37">
        <w:proofErr w:type="spellStart"/>
        <w:r>
          <w:t>Asadpoor</w:t>
        </w:r>
        <w:proofErr w:type="spellEnd"/>
        <w:r>
          <w:t xml:space="preserve">, M., Ithakisiou, G.-N., van Putten, J. P. M., Pieters, R. J., Folkerts, G., &amp; </w:t>
        </w:r>
        <w:proofErr w:type="spellStart"/>
        <w:r>
          <w:t>Braber</w:t>
        </w:r>
        <w:proofErr w:type="spellEnd"/>
        <w:r>
          <w:t xml:space="preserve">, S. (2021). Antimicrobial Activities of Alginate and Chitosan Oligosaccharides Against Staphylococcus aureus and Group B Streptococcus. </w:t>
        </w:r>
      </w:hyperlink>
      <w:hyperlink r:id="rId38">
        <w:r>
          <w:rPr>
            <w:i/>
          </w:rPr>
          <w:t>Frontiers in Microbiology</w:t>
        </w:r>
      </w:hyperlink>
      <w:hyperlink r:id="rId39">
        <w:r>
          <w:t xml:space="preserve">, </w:t>
        </w:r>
      </w:hyperlink>
      <w:hyperlink r:id="rId40">
        <w:r>
          <w:rPr>
            <w:i/>
          </w:rPr>
          <w:t>12</w:t>
        </w:r>
      </w:hyperlink>
      <w:hyperlink r:id="rId41">
        <w:r>
          <w:t>, 700605.</w:t>
        </w:r>
      </w:hyperlink>
    </w:p>
    <w:p w14:paraId="12A78FDF" w14:textId="77777777" w:rsidR="007F0BFA" w:rsidRDefault="00E177F6" w:rsidP="007F129E">
      <w:pPr>
        <w:pStyle w:val="Reference"/>
      </w:pPr>
      <w:hyperlink r:id="rId42">
        <w:r>
          <w:t xml:space="preserve">Balaji Ganesh S, &amp; Sugumar, K. (2021). Internet of Things—A novel innovation in dentistry. </w:t>
        </w:r>
      </w:hyperlink>
      <w:hyperlink r:id="rId43">
        <w:r>
          <w:rPr>
            <w:i/>
          </w:rPr>
          <w:t>Journal of Advanced Oral Research</w:t>
        </w:r>
      </w:hyperlink>
      <w:hyperlink r:id="rId44">
        <w:r>
          <w:t xml:space="preserve">, </w:t>
        </w:r>
      </w:hyperlink>
      <w:hyperlink r:id="rId45">
        <w:r>
          <w:rPr>
            <w:i/>
          </w:rPr>
          <w:t>12</w:t>
        </w:r>
      </w:hyperlink>
      <w:hyperlink r:id="rId46">
        <w:r>
          <w:t>(1), 42–48.</w:t>
        </w:r>
      </w:hyperlink>
    </w:p>
    <w:p w14:paraId="414726C4" w14:textId="77777777" w:rsidR="007F0BFA" w:rsidRDefault="00E177F6" w:rsidP="007F129E">
      <w:pPr>
        <w:pStyle w:val="Reference"/>
      </w:pPr>
      <w:hyperlink r:id="rId47">
        <w:r>
          <w:t xml:space="preserve">Bhagyaraj, S., &amp; Krupa, I. (2020). Alginate-Mediated Synthesis of Hetero-Shaped Silver Nanoparticles and Their Hydrogen Peroxide Sensing Ability. </w:t>
        </w:r>
      </w:hyperlink>
      <w:hyperlink r:id="rId48">
        <w:r>
          <w:rPr>
            <w:i/>
          </w:rPr>
          <w:t xml:space="preserve">Molecules </w:t>
        </w:r>
      </w:hyperlink>
      <w:hyperlink r:id="rId49">
        <w:r>
          <w:t xml:space="preserve">, </w:t>
        </w:r>
      </w:hyperlink>
      <w:hyperlink r:id="rId50">
        <w:r>
          <w:rPr>
            <w:i/>
          </w:rPr>
          <w:t>25</w:t>
        </w:r>
      </w:hyperlink>
      <w:hyperlink r:id="rId51">
        <w:r>
          <w:t>(3). https://doi.org/</w:t>
        </w:r>
      </w:hyperlink>
      <w:hyperlink r:id="rId52">
        <w:r>
          <w:t>10.3390/molecules25030435</w:t>
        </w:r>
      </w:hyperlink>
    </w:p>
    <w:p w14:paraId="61A7155A" w14:textId="77777777" w:rsidR="007F0BFA" w:rsidRDefault="00E177F6" w:rsidP="007F129E">
      <w:pPr>
        <w:pStyle w:val="Reference"/>
      </w:pPr>
      <w:hyperlink r:id="rId53">
        <w:r>
          <w:t xml:space="preserve">Borkowski, L., Przekora, A., Belcarz, A., Palka, K., Jojczuk, M., Lukasiewicz, P., Nogalski, A., &amp; Ginalska, G. (2021). Highly Porous Fluorapatite/β-1,3-Glucan Composite for Bone Tissue Regeneration: Characterization and In-Vitro Assessment of Biomedical Potential. </w:t>
        </w:r>
      </w:hyperlink>
      <w:hyperlink r:id="rId54">
        <w:r>
          <w:rPr>
            <w:i/>
          </w:rPr>
          <w:t>International Journal of Molecular Sciences</w:t>
        </w:r>
      </w:hyperlink>
      <w:hyperlink r:id="rId55">
        <w:r>
          <w:t xml:space="preserve">, </w:t>
        </w:r>
      </w:hyperlink>
      <w:hyperlink r:id="rId56">
        <w:r>
          <w:rPr>
            <w:i/>
          </w:rPr>
          <w:t>22</w:t>
        </w:r>
      </w:hyperlink>
      <w:hyperlink r:id="rId57">
        <w:r>
          <w:t>(19). https://doi.org/</w:t>
        </w:r>
      </w:hyperlink>
      <w:hyperlink r:id="rId58">
        <w:r>
          <w:t>10.3390/ijms221910414</w:t>
        </w:r>
      </w:hyperlink>
    </w:p>
    <w:p w14:paraId="61EB09F7" w14:textId="77777777" w:rsidR="00E177F6" w:rsidRPr="00E177F6" w:rsidRDefault="00E177F6" w:rsidP="007F129E">
      <w:pPr>
        <w:pStyle w:val="Reference"/>
        <w:rPr>
          <w:szCs w:val="24"/>
        </w:rPr>
      </w:pPr>
      <w:proofErr w:type="spellStart"/>
      <w:r w:rsidRPr="00E177F6">
        <w:rPr>
          <w:szCs w:val="24"/>
        </w:rPr>
        <w:t>Chehelgerdi</w:t>
      </w:r>
      <w:proofErr w:type="spellEnd"/>
      <w:r w:rsidRPr="00E177F6">
        <w:rPr>
          <w:szCs w:val="24"/>
        </w:rPr>
        <w:t xml:space="preserve"> M., Chehelgerdi, M., Allela, O. Q. B., Pecho, R. D. C., Jayasankar, N., Rao, D. P. &amp; Akhavan-Sigari, R. (2023). Progressing nanotechnology to improve targeted cancer treatment: overcoming hurdles in its clinical implementation. Molecular cancer, 22(1), 169. </w:t>
      </w:r>
    </w:p>
    <w:p w14:paraId="10EA34A1" w14:textId="77777777" w:rsidR="007F0BFA" w:rsidRDefault="00E177F6" w:rsidP="007F129E">
      <w:pPr>
        <w:pStyle w:val="Reference"/>
      </w:pPr>
      <w:hyperlink r:id="rId59">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60">
        <w:r>
          <w:rPr>
            <w:i/>
          </w:rPr>
          <w:t>Indian Journal of Dental Research : Official Publication of Indian Society for Dental Research</w:t>
        </w:r>
      </w:hyperlink>
      <w:hyperlink r:id="rId61">
        <w:r>
          <w:t xml:space="preserve">, </w:t>
        </w:r>
      </w:hyperlink>
      <w:hyperlink r:id="rId62">
        <w:r>
          <w:rPr>
            <w:i/>
          </w:rPr>
          <w:t>33</w:t>
        </w:r>
      </w:hyperlink>
      <w:hyperlink r:id="rId63">
        <w:r>
          <w:t>(1), 30–36.</w:t>
        </w:r>
      </w:hyperlink>
    </w:p>
    <w:p w14:paraId="03F1CD8C" w14:textId="77777777" w:rsidR="007F0BFA" w:rsidRDefault="00E177F6" w:rsidP="007F129E">
      <w:pPr>
        <w:pStyle w:val="Reference"/>
      </w:pPr>
      <w:hyperlink r:id="rId64">
        <w:r>
          <w:t xml:space="preserve">Deepika, B. A., Ramamurthy, J., Girija, S., &amp; Jayakumar, N. D. (2022). Evaluation of the antimicrobial effect of Ocimum sanctum L. oral gel against anaerobic oral microbes: An in vitro study. </w:t>
        </w:r>
      </w:hyperlink>
      <w:hyperlink r:id="rId65">
        <w:r>
          <w:rPr>
            <w:i/>
          </w:rPr>
          <w:t>World Journal of Dentistry</w:t>
        </w:r>
      </w:hyperlink>
      <w:hyperlink r:id="rId66">
        <w:r>
          <w:t xml:space="preserve">, </w:t>
        </w:r>
      </w:hyperlink>
      <w:hyperlink r:id="rId67">
        <w:r>
          <w:rPr>
            <w:i/>
          </w:rPr>
          <w:t>13</w:t>
        </w:r>
      </w:hyperlink>
      <w:hyperlink r:id="rId68">
        <w:r>
          <w:t>(S1), S23–S27.</w:t>
        </w:r>
      </w:hyperlink>
    </w:p>
    <w:p w14:paraId="6E672B27" w14:textId="77777777" w:rsidR="007F0BFA" w:rsidRDefault="00E177F6" w:rsidP="007F129E">
      <w:pPr>
        <w:pStyle w:val="Reference"/>
      </w:pPr>
      <w:hyperlink r:id="rId69">
        <w:r>
          <w:t xml:space="preserve">Han, Y., Zeng, Q., Li, H., &amp; Chang, J. (2013). The calcium silicate/alginate composite: preparation and evaluation of its behavior as bioactive injectable hydrogels. </w:t>
        </w:r>
      </w:hyperlink>
      <w:hyperlink r:id="rId70">
        <w:r>
          <w:rPr>
            <w:i/>
          </w:rPr>
          <w:t xml:space="preserve">Acta </w:t>
        </w:r>
        <w:proofErr w:type="spellStart"/>
        <w:r>
          <w:rPr>
            <w:i/>
          </w:rPr>
          <w:t>Biomaterialia</w:t>
        </w:r>
        <w:proofErr w:type="spellEnd"/>
      </w:hyperlink>
      <w:hyperlink r:id="rId71">
        <w:r>
          <w:t xml:space="preserve">, </w:t>
        </w:r>
      </w:hyperlink>
      <w:hyperlink r:id="rId72">
        <w:r>
          <w:rPr>
            <w:i/>
          </w:rPr>
          <w:t>9</w:t>
        </w:r>
      </w:hyperlink>
      <w:hyperlink r:id="rId73">
        <w:r>
          <w:t>(11), 9107–9117.</w:t>
        </w:r>
      </w:hyperlink>
    </w:p>
    <w:p w14:paraId="06EF7952" w14:textId="77777777" w:rsidR="007F0BFA" w:rsidRDefault="00E177F6" w:rsidP="007F129E">
      <w:pPr>
        <w:pStyle w:val="Reference"/>
      </w:pPr>
      <w:hyperlink r:id="rId74">
        <w:r>
          <w:t xml:space="preserve">Harsha, L., &amp; Subramanian, A. K. (2022). Comparative assessment of pH and degree of surface roughness of enamel when etched with five commercially available etchants: An in vitro study. </w:t>
        </w:r>
      </w:hyperlink>
      <w:hyperlink r:id="rId75">
        <w:r>
          <w:rPr>
            <w:i/>
          </w:rPr>
          <w:t>The Journal of Contemporary Dental Practice</w:t>
        </w:r>
      </w:hyperlink>
      <w:hyperlink r:id="rId76">
        <w:r>
          <w:t xml:space="preserve">, </w:t>
        </w:r>
      </w:hyperlink>
      <w:hyperlink r:id="rId77">
        <w:r>
          <w:rPr>
            <w:i/>
          </w:rPr>
          <w:t>23</w:t>
        </w:r>
      </w:hyperlink>
      <w:hyperlink r:id="rId78">
        <w:r>
          <w:t>(2), 181–185.</w:t>
        </w:r>
      </w:hyperlink>
    </w:p>
    <w:p w14:paraId="2C0E05E6" w14:textId="77777777" w:rsidR="007F0BFA" w:rsidRDefault="00E177F6" w:rsidP="007F129E">
      <w:pPr>
        <w:pStyle w:val="Reference"/>
      </w:pPr>
      <w:hyperlink r:id="rId79">
        <w:r>
          <w:t xml:space="preserve">H. </w:t>
        </w:r>
        <w:proofErr w:type="spellStart"/>
        <w:r>
          <w:t>Daemi</w:t>
        </w:r>
        <w:proofErr w:type="spellEnd"/>
        <w:r>
          <w:t xml:space="preserve">, M. B. (2012). Synthesis and characterization of calcium alginate nanoparticles, sodium </w:t>
        </w:r>
        <w:proofErr w:type="spellStart"/>
        <w:r>
          <w:t>homopolymannuronate</w:t>
        </w:r>
        <w:proofErr w:type="spellEnd"/>
        <w:r>
          <w:t xml:space="preserve"> salt and its calcium nanoparticles. </w:t>
        </w:r>
      </w:hyperlink>
      <w:hyperlink r:id="rId80">
        <w:r>
          <w:rPr>
            <w:i/>
          </w:rPr>
          <w:t xml:space="preserve">Scientia </w:t>
        </w:r>
        <w:proofErr w:type="spellStart"/>
        <w:r>
          <w:rPr>
            <w:i/>
          </w:rPr>
          <w:t>Iranica</w:t>
        </w:r>
        <w:proofErr w:type="spellEnd"/>
      </w:hyperlink>
      <w:hyperlink r:id="rId81">
        <w:r>
          <w:t xml:space="preserve">, </w:t>
        </w:r>
      </w:hyperlink>
      <w:hyperlink r:id="rId82">
        <w:r>
          <w:rPr>
            <w:i/>
          </w:rPr>
          <w:t>19</w:t>
        </w:r>
      </w:hyperlink>
      <w:hyperlink r:id="rId83">
        <w:r>
          <w:t>(6), 2023–2028.</w:t>
        </w:r>
      </w:hyperlink>
    </w:p>
    <w:p w14:paraId="31050A7E" w14:textId="77777777" w:rsidR="007F0BFA" w:rsidRDefault="00E177F6" w:rsidP="007F129E">
      <w:pPr>
        <w:pStyle w:val="Reference"/>
      </w:pPr>
      <w:hyperlink r:id="rId84">
        <w:r>
          <w:t xml:space="preserve">Katyal, D., Subramanian, A. K., Venugopal, A., &amp; Marya, A. (2021). Assessment of Wettability and Contact Angle of Bonding Agent with Enamel Surface Etched by Five Commercially Available Etchants: An In Vitro Study. </w:t>
        </w:r>
      </w:hyperlink>
      <w:hyperlink r:id="rId85">
        <w:r>
          <w:rPr>
            <w:i/>
          </w:rPr>
          <w:t>International Journal of Dentistry</w:t>
        </w:r>
      </w:hyperlink>
      <w:hyperlink r:id="rId86">
        <w:r>
          <w:t xml:space="preserve">, </w:t>
        </w:r>
      </w:hyperlink>
      <w:hyperlink r:id="rId87">
        <w:r>
          <w:rPr>
            <w:i/>
          </w:rPr>
          <w:t>2021</w:t>
        </w:r>
      </w:hyperlink>
      <w:hyperlink r:id="rId88">
        <w:r>
          <w:t>, 9457553.</w:t>
        </w:r>
      </w:hyperlink>
    </w:p>
    <w:p w14:paraId="2970579F" w14:textId="77777777" w:rsidR="007F0BFA" w:rsidRDefault="00E177F6" w:rsidP="007F129E">
      <w:pPr>
        <w:pStyle w:val="Reference"/>
      </w:pPr>
      <w:hyperlink r:id="rId89">
        <w:r>
          <w:t xml:space="preserve">Lee, K. Y., &amp; Mooney, D. J. (2012). Alginate: properties and biomedical applications. </w:t>
        </w:r>
      </w:hyperlink>
      <w:hyperlink r:id="rId90">
        <w:r>
          <w:rPr>
            <w:i/>
          </w:rPr>
          <w:t>Progress in Polymer Science</w:t>
        </w:r>
      </w:hyperlink>
      <w:hyperlink r:id="rId91">
        <w:r>
          <w:t xml:space="preserve">, </w:t>
        </w:r>
      </w:hyperlink>
      <w:hyperlink r:id="rId92">
        <w:r>
          <w:rPr>
            <w:i/>
          </w:rPr>
          <w:t>37</w:t>
        </w:r>
      </w:hyperlink>
      <w:hyperlink r:id="rId93">
        <w:r>
          <w:t>(1), 106–126.</w:t>
        </w:r>
      </w:hyperlink>
    </w:p>
    <w:p w14:paraId="55DE2C0D" w14:textId="77777777" w:rsidR="007F0BFA" w:rsidRDefault="00E177F6" w:rsidP="007F129E">
      <w:pPr>
        <w:pStyle w:val="Reference"/>
      </w:pPr>
      <w:hyperlink r:id="rId94">
        <w:r>
          <w:t xml:space="preserve">Liu, D., Liu, Z., Zou, J., Li, L., Sui, X., Wang, B., Yang, N., &amp; Wang, B. (2021). Synthesis and characterization of a hydroxyapatite-sodium alginate-chitosan scaffold for bone regeneration. </w:t>
        </w:r>
      </w:hyperlink>
      <w:hyperlink r:id="rId95">
        <w:r>
          <w:rPr>
            <w:i/>
          </w:rPr>
          <w:t>Frontiers of Materials Science</w:t>
        </w:r>
      </w:hyperlink>
      <w:hyperlink r:id="rId96">
        <w:r>
          <w:t xml:space="preserve">, </w:t>
        </w:r>
      </w:hyperlink>
      <w:hyperlink r:id="rId97">
        <w:r>
          <w:rPr>
            <w:i/>
          </w:rPr>
          <w:t>8</w:t>
        </w:r>
      </w:hyperlink>
      <w:hyperlink r:id="rId98">
        <w:r>
          <w:t>. https://doi.org/</w:t>
        </w:r>
      </w:hyperlink>
      <w:hyperlink r:id="rId99">
        <w:r>
          <w:t>10.3389/fmats.2021.648980</w:t>
        </w:r>
      </w:hyperlink>
    </w:p>
    <w:p w14:paraId="474CDEE4" w14:textId="77777777" w:rsidR="007F0BFA" w:rsidRDefault="00E177F6" w:rsidP="007F129E">
      <w:pPr>
        <w:pStyle w:val="Reference"/>
      </w:pPr>
      <w:hyperlink r:id="rId100">
        <w:proofErr w:type="spellStart"/>
        <w:r>
          <w:t>Notara</w:t>
        </w:r>
        <w:proofErr w:type="spellEnd"/>
        <w:r>
          <w:t xml:space="preserve">, M., </w:t>
        </w:r>
        <w:proofErr w:type="spellStart"/>
        <w:r>
          <w:t>Scotchford</w:t>
        </w:r>
        <w:proofErr w:type="spellEnd"/>
        <w:r>
          <w:t xml:space="preserve">, C. A., Grant, D. M., Weston, N., &amp; Roberts, G. A. F. (2009). Cytocompatibility and hemocompatibility of a novel chitosan-alginate gel system. </w:t>
        </w:r>
      </w:hyperlink>
      <w:hyperlink r:id="rId101">
        <w:r>
          <w:rPr>
            <w:i/>
          </w:rPr>
          <w:t>Journal of Biomedical Materials Research. Part A</w:t>
        </w:r>
      </w:hyperlink>
      <w:hyperlink r:id="rId102">
        <w:r>
          <w:t xml:space="preserve">, </w:t>
        </w:r>
      </w:hyperlink>
      <w:hyperlink r:id="rId103">
        <w:r>
          <w:rPr>
            <w:i/>
          </w:rPr>
          <w:t>89</w:t>
        </w:r>
      </w:hyperlink>
      <w:hyperlink r:id="rId104">
        <w:r>
          <w:t>(4), 854–864.</w:t>
        </w:r>
      </w:hyperlink>
    </w:p>
    <w:p w14:paraId="6B0FA771" w14:textId="77777777" w:rsidR="007F0BFA" w:rsidRDefault="00E177F6" w:rsidP="007F129E">
      <w:pPr>
        <w:pStyle w:val="Reference"/>
      </w:pPr>
      <w:hyperlink r:id="rId105">
        <w:r>
          <w:t xml:space="preserve">Pal, K., Bag, S., &amp; Pal, S. (2008). Development of porous </w:t>
        </w:r>
        <w:proofErr w:type="spellStart"/>
        <w:r>
          <w:t>ultra high</w:t>
        </w:r>
        <w:proofErr w:type="spellEnd"/>
        <w:r>
          <w:t xml:space="preserve"> molecular weight polyethylene scaffolds for the fabrication of orbital implant. </w:t>
        </w:r>
      </w:hyperlink>
      <w:hyperlink r:id="rId106">
        <w:r>
          <w:rPr>
            <w:i/>
          </w:rPr>
          <w:t>Journal of Porous Materials</w:t>
        </w:r>
      </w:hyperlink>
      <w:hyperlink r:id="rId107">
        <w:r>
          <w:t xml:space="preserve">, </w:t>
        </w:r>
      </w:hyperlink>
      <w:hyperlink r:id="rId108">
        <w:r>
          <w:rPr>
            <w:i/>
          </w:rPr>
          <w:t>15</w:t>
        </w:r>
      </w:hyperlink>
      <w:hyperlink r:id="rId109">
        <w:r>
          <w:t>(1), 53–59.</w:t>
        </w:r>
      </w:hyperlink>
    </w:p>
    <w:p w14:paraId="5297995A" w14:textId="77777777" w:rsidR="007F0BFA" w:rsidRDefault="00E177F6" w:rsidP="007F129E">
      <w:pPr>
        <w:pStyle w:val="Reference"/>
      </w:pPr>
      <w:hyperlink r:id="rId110">
        <w:r>
          <w:t xml:space="preserve">Ramya, J. R., Arul, K. T., Ilangovan, R., </w:t>
        </w:r>
        <w:proofErr w:type="spellStart"/>
        <w:r>
          <w:t>Sathiamurthi</w:t>
        </w:r>
        <w:proofErr w:type="spellEnd"/>
        <w:r>
          <w:t xml:space="preserve">, P., Asokan, K., Dong, C.-L., </w:t>
        </w:r>
        <w:proofErr w:type="spellStart"/>
        <w:r>
          <w:t>Arockiarajan</w:t>
        </w:r>
        <w:proofErr w:type="spellEnd"/>
        <w:r>
          <w:t xml:space="preserve">, A., &amp; </w:t>
        </w:r>
        <w:proofErr w:type="spellStart"/>
        <w:r>
          <w:t>Kalkura</w:t>
        </w:r>
        <w:proofErr w:type="spellEnd"/>
        <w:r>
          <w:t xml:space="preserve">, S. N. (2022). Surface engineering of poly(methyl methacrylate)–reduced graphene oxide composite films by Au7+ ion irradiation for biomedical application. </w:t>
        </w:r>
      </w:hyperlink>
      <w:hyperlink r:id="rId111">
        <w:r>
          <w:rPr>
            <w:i/>
          </w:rPr>
          <w:t>Radiation Physics and Chemistry</w:t>
        </w:r>
      </w:hyperlink>
      <w:hyperlink r:id="rId112">
        <w:r>
          <w:t xml:space="preserve">, </w:t>
        </w:r>
      </w:hyperlink>
      <w:hyperlink r:id="rId113">
        <w:r>
          <w:rPr>
            <w:i/>
          </w:rPr>
          <w:t>195</w:t>
        </w:r>
      </w:hyperlink>
      <w:hyperlink r:id="rId114">
        <w:r>
          <w:t>, 110051.</w:t>
        </w:r>
      </w:hyperlink>
    </w:p>
    <w:p w14:paraId="1CE302EA" w14:textId="77777777" w:rsidR="007F0BFA" w:rsidRDefault="00E177F6" w:rsidP="007F129E">
      <w:pPr>
        <w:pStyle w:val="Reference"/>
      </w:pPr>
      <w:hyperlink r:id="rId115">
        <w:r>
          <w:t xml:space="preserve">Ramya, J. R., Arul, K. T., </w:t>
        </w:r>
        <w:proofErr w:type="spellStart"/>
        <w:r>
          <w:t>Sathiamurthi</w:t>
        </w:r>
        <w:proofErr w:type="spellEnd"/>
        <w:r>
          <w:t xml:space="preserve">, P., Nivethaa, E. A. K., Baskar, S., Amudha, S., Mohana, B., Elayaraja, K., Chandra Veerla, S., Asokan, K., &amp; </w:t>
        </w:r>
        <w:proofErr w:type="spellStart"/>
        <w:r>
          <w:t>Kalkura</w:t>
        </w:r>
        <w:proofErr w:type="spellEnd"/>
        <w:r>
          <w:t xml:space="preserve">, S. N. (2019). Gamma irradiated poly (methyl methacrylate)-reduced graphene oxide composite thin films for multifunctional applications. </w:t>
        </w:r>
      </w:hyperlink>
      <w:hyperlink r:id="rId116">
        <w:r>
          <w:rPr>
            <w:i/>
          </w:rPr>
          <w:t>Composites Part B Engineering</w:t>
        </w:r>
      </w:hyperlink>
      <w:hyperlink r:id="rId117">
        <w:r>
          <w:t xml:space="preserve">, </w:t>
        </w:r>
      </w:hyperlink>
      <w:hyperlink r:id="rId118">
        <w:r>
          <w:rPr>
            <w:i/>
          </w:rPr>
          <w:t>163</w:t>
        </w:r>
      </w:hyperlink>
      <w:hyperlink r:id="rId119">
        <w:r>
          <w:t>, 752–760.</w:t>
        </w:r>
      </w:hyperlink>
    </w:p>
    <w:p w14:paraId="4BF39017" w14:textId="77777777" w:rsidR="007F0BFA" w:rsidRDefault="00E177F6" w:rsidP="007F129E">
      <w:pPr>
        <w:pStyle w:val="Reference"/>
      </w:pPr>
      <w:hyperlink r:id="rId120">
        <w:r>
          <w:t xml:space="preserve">Rohani, Z., </w:t>
        </w:r>
        <w:proofErr w:type="spellStart"/>
        <w:r>
          <w:t>Ghollasi</w:t>
        </w:r>
        <w:proofErr w:type="spellEnd"/>
        <w:r>
          <w:t xml:space="preserve">, M., Aghamollaei, H., Saidi, H., </w:t>
        </w:r>
        <w:proofErr w:type="spellStart"/>
        <w:r>
          <w:t>Halabian</w:t>
        </w:r>
        <w:proofErr w:type="spellEnd"/>
        <w:r>
          <w:t xml:space="preserve">, R., </w:t>
        </w:r>
        <w:proofErr w:type="spellStart"/>
        <w:r>
          <w:t>Kheirollahzadeh</w:t>
        </w:r>
        <w:proofErr w:type="spellEnd"/>
        <w:r>
          <w:t xml:space="preserve">, F., &amp; </w:t>
        </w:r>
        <w:proofErr w:type="spellStart"/>
        <w:r>
          <w:t>Poormoghadam</w:t>
        </w:r>
        <w:proofErr w:type="spellEnd"/>
        <w:r>
          <w:t xml:space="preserve">, D. (2022). A new hydrogel with fluorapatite nanoparticles for osteogenic differentiation of human adipose-derived stem cells in tissue engineering field. </w:t>
        </w:r>
      </w:hyperlink>
      <w:hyperlink r:id="rId121">
        <w:r>
          <w:rPr>
            <w:i/>
          </w:rPr>
          <w:t>Cell and Tissue Research</w:t>
        </w:r>
      </w:hyperlink>
      <w:hyperlink r:id="rId122">
        <w:r>
          <w:t xml:space="preserve">, </w:t>
        </w:r>
      </w:hyperlink>
      <w:hyperlink r:id="rId123">
        <w:r>
          <w:rPr>
            <w:i/>
          </w:rPr>
          <w:t>390</w:t>
        </w:r>
      </w:hyperlink>
      <w:hyperlink r:id="rId124">
        <w:r>
          <w:t>(3), 399–411.</w:t>
        </w:r>
      </w:hyperlink>
    </w:p>
    <w:p w14:paraId="59EBAE53" w14:textId="77777777" w:rsidR="007F0BFA" w:rsidRDefault="00E177F6" w:rsidP="007F129E">
      <w:pPr>
        <w:pStyle w:val="Reference"/>
      </w:pPr>
      <w:hyperlink r:id="rId125">
        <w:r>
          <w:t xml:space="preserve">Solanki, L., Shantha Sundari, K. K., Muralidharan, N. P., &amp; Jain, R. (2022). Antimicrobial effect of novel gold nanoparticle oral rinse in subjects undergoing orthodontic treatment: An ex-vivo study. </w:t>
        </w:r>
      </w:hyperlink>
      <w:hyperlink r:id="rId126">
        <w:r>
          <w:rPr>
            <w:i/>
          </w:rPr>
          <w:t>Journal of International Oral Health: JIOH</w:t>
        </w:r>
      </w:hyperlink>
      <w:hyperlink r:id="rId127">
        <w:r>
          <w:t xml:space="preserve">, </w:t>
        </w:r>
      </w:hyperlink>
      <w:hyperlink r:id="rId128">
        <w:r>
          <w:rPr>
            <w:i/>
          </w:rPr>
          <w:t>14</w:t>
        </w:r>
      </w:hyperlink>
      <w:hyperlink r:id="rId129">
        <w:r>
          <w:t>(1), 47.</w:t>
        </w:r>
      </w:hyperlink>
    </w:p>
    <w:p w14:paraId="418B9C8A" w14:textId="77777777" w:rsidR="007F0BFA" w:rsidRDefault="00E177F6" w:rsidP="007F129E">
      <w:pPr>
        <w:pStyle w:val="Reference"/>
      </w:pPr>
      <w:hyperlink r:id="rId130">
        <w:proofErr w:type="spellStart"/>
        <w:r>
          <w:t>Taktak</w:t>
        </w:r>
        <w:proofErr w:type="spellEnd"/>
        <w:r>
          <w:t xml:space="preserve">, R., </w:t>
        </w:r>
        <w:proofErr w:type="spellStart"/>
        <w:r>
          <w:t>Elghazel</w:t>
        </w:r>
        <w:proofErr w:type="spellEnd"/>
        <w:r>
          <w:t xml:space="preserve">, A., Bouaziz, J., Charfi, S., &amp; </w:t>
        </w:r>
        <w:proofErr w:type="spellStart"/>
        <w:r>
          <w:t>Keskes</w:t>
        </w:r>
        <w:proofErr w:type="spellEnd"/>
        <w:r>
          <w:t xml:space="preserve">, H. (2018). Tricalcium phosphate-Fluorapatite as bone tissue engineering: Evaluation of bioactivity and biocompatibility. </w:t>
        </w:r>
      </w:hyperlink>
      <w:hyperlink r:id="rId131">
        <w:r>
          <w:rPr>
            <w:i/>
          </w:rPr>
          <w:t>Materials Science &amp; Engineering. C, Materials for Biological Applications</w:t>
        </w:r>
      </w:hyperlink>
      <w:hyperlink r:id="rId132">
        <w:r>
          <w:t xml:space="preserve">, </w:t>
        </w:r>
      </w:hyperlink>
      <w:hyperlink r:id="rId133">
        <w:r>
          <w:rPr>
            <w:i/>
          </w:rPr>
          <w:t>86</w:t>
        </w:r>
      </w:hyperlink>
      <w:hyperlink r:id="rId134">
        <w:r>
          <w:t>, 121–128.</w:t>
        </w:r>
      </w:hyperlink>
    </w:p>
    <w:p w14:paraId="240133AD" w14:textId="77777777" w:rsidR="007F0BFA" w:rsidRDefault="00E177F6" w:rsidP="007F129E">
      <w:pPr>
        <w:pStyle w:val="Reference"/>
      </w:pPr>
      <w:hyperlink r:id="rId135">
        <w:r>
          <w:t xml:space="preserve">Tiwari, A., &amp; Jain, R. K. (2023). Comparative evaluation of White Spot lesion incidence between </w:t>
        </w:r>
        <w:proofErr w:type="spellStart"/>
        <w:r>
          <w:t>NovaMin</w:t>
        </w:r>
        <w:proofErr w:type="spellEnd"/>
        <w:r>
          <w:t xml:space="preserve">, probiotic, and fluoride containing dentifrices during orthodontic treatment using laser fluorescence - A prospective randomized controlled clinical trial. </w:t>
        </w:r>
      </w:hyperlink>
      <w:hyperlink r:id="rId136">
        <w:r>
          <w:rPr>
            <w:i/>
          </w:rPr>
          <w:t>Clinical and Investigative Orthodontics</w:t>
        </w:r>
      </w:hyperlink>
      <w:hyperlink r:id="rId137">
        <w:r>
          <w:t>, 1–8.</w:t>
        </w:r>
      </w:hyperlink>
    </w:p>
    <w:p w14:paraId="5D2829A5" w14:textId="77777777" w:rsidR="007F0BFA" w:rsidRDefault="00E177F6" w:rsidP="007F129E">
      <w:pPr>
        <w:pStyle w:val="Reference"/>
      </w:pPr>
      <w:hyperlink r:id="rId138">
        <w:r>
          <w:t xml:space="preserve">van der Linden Cees J. M. van Rijn Leonard M. C. </w:t>
        </w:r>
        <w:proofErr w:type="spellStart"/>
        <w:r>
          <w:t>Sagis</w:t>
        </w:r>
        <w:proofErr w:type="spellEnd"/>
        <w:r>
          <w:t xml:space="preserve">, J. P. P. E. (2014). Preparation methods of alginate nanoparticles. </w:t>
        </w:r>
      </w:hyperlink>
      <w:hyperlink r:id="rId139">
        <w:r>
          <w:rPr>
            <w:i/>
          </w:rPr>
          <w:t>Advances in Colloid and Interface Science</w:t>
        </w:r>
      </w:hyperlink>
      <w:hyperlink r:id="rId140">
        <w:r>
          <w:t xml:space="preserve">, </w:t>
        </w:r>
      </w:hyperlink>
      <w:hyperlink r:id="rId141">
        <w:r>
          <w:rPr>
            <w:i/>
          </w:rPr>
          <w:t>209</w:t>
        </w:r>
      </w:hyperlink>
      <w:hyperlink r:id="rId142">
        <w:r>
          <w:t>, 163–171.</w:t>
        </w:r>
      </w:hyperlink>
    </w:p>
    <w:p w14:paraId="68D288D0" w14:textId="77777777" w:rsidR="007F0BFA" w:rsidRDefault="00E177F6" w:rsidP="007F129E">
      <w:pPr>
        <w:pStyle w:val="Reference"/>
      </w:pPr>
      <w:hyperlink r:id="rId143">
        <w:r>
          <w:t xml:space="preserve">Weber, M., Steinle, H., Golombek, S., Hann, L., </w:t>
        </w:r>
        <w:proofErr w:type="spellStart"/>
        <w:r>
          <w:t>Schlensak</w:t>
        </w:r>
        <w:proofErr w:type="spellEnd"/>
        <w:r>
          <w:t xml:space="preserve">, C., Wendel, H. P., &amp; Avci-Adali, M. (2018). Blood-Contacting Biomaterials: In Vitro Evaluation of the Hemocompatibility. </w:t>
        </w:r>
      </w:hyperlink>
      <w:hyperlink r:id="rId144">
        <w:r>
          <w:rPr>
            <w:i/>
          </w:rPr>
          <w:t>Frontiers in Bioengineering and Biotechnology</w:t>
        </w:r>
      </w:hyperlink>
      <w:hyperlink r:id="rId145">
        <w:r>
          <w:t xml:space="preserve">, </w:t>
        </w:r>
      </w:hyperlink>
      <w:hyperlink r:id="rId146">
        <w:r>
          <w:rPr>
            <w:i/>
          </w:rPr>
          <w:t>6</w:t>
        </w:r>
      </w:hyperlink>
      <w:hyperlink r:id="rId147">
        <w:r>
          <w:t>, 99.</w:t>
        </w:r>
      </w:hyperlink>
    </w:p>
    <w:p w14:paraId="6FD786A6" w14:textId="77777777" w:rsidR="007F0BFA" w:rsidRDefault="00E177F6" w:rsidP="007F129E">
      <w:pPr>
        <w:pStyle w:val="Reference"/>
      </w:pPr>
      <w:hyperlink r:id="rId148">
        <w:r>
          <w:t xml:space="preserve">Zhang, J., Xiao, Z., &amp; Zhang, H. (2022). Selective Flotation Behavior of Dolomite from Fluorapatite Using Hydroxy Ethylene </w:t>
        </w:r>
        <w:proofErr w:type="spellStart"/>
        <w:r>
          <w:t>Diphosphonic</w:t>
        </w:r>
        <w:proofErr w:type="spellEnd"/>
        <w:r>
          <w:t xml:space="preserve"> Acid as High-Efficiency Depressant. </w:t>
        </w:r>
      </w:hyperlink>
      <w:hyperlink r:id="rId149">
        <w:r>
          <w:rPr>
            <w:i/>
          </w:rPr>
          <w:t>Minerals</w:t>
        </w:r>
      </w:hyperlink>
      <w:hyperlink r:id="rId150">
        <w:r>
          <w:t xml:space="preserve">, </w:t>
        </w:r>
      </w:hyperlink>
      <w:hyperlink r:id="rId151">
        <w:r>
          <w:rPr>
            <w:i/>
          </w:rPr>
          <w:t>12</w:t>
        </w:r>
      </w:hyperlink>
      <w:hyperlink r:id="rId152">
        <w:r>
          <w:t>(12), 1633.</w:t>
        </w:r>
      </w:hyperlink>
    </w:p>
    <w:p w14:paraId="3A558E82" w14:textId="77777777" w:rsidR="007F0BFA" w:rsidRDefault="007F0BFA">
      <w:pPr>
        <w:widowControl w:val="0"/>
        <w:pBdr>
          <w:top w:val="nil"/>
          <w:left w:val="nil"/>
          <w:bottom w:val="nil"/>
          <w:right w:val="nil"/>
          <w:between w:val="nil"/>
        </w:pBdr>
        <w:spacing w:after="240" w:line="360" w:lineRule="auto"/>
        <w:ind w:left="480" w:hanging="480"/>
        <w:jc w:val="both"/>
        <w:rPr>
          <w:b/>
          <w:sz w:val="20"/>
        </w:rPr>
      </w:pPr>
    </w:p>
    <w:sectPr w:rsidR="007F0BFA" w:rsidSect="007F129E">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9F6982"/>
    <w:multiLevelType w:val="multilevel"/>
    <w:tmpl w:val="E8D49F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27164CF"/>
    <w:multiLevelType w:val="hybridMultilevel"/>
    <w:tmpl w:val="E92E2D1E"/>
    <w:lvl w:ilvl="0" w:tplc="3DBCD55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1773B53"/>
    <w:multiLevelType w:val="hybridMultilevel"/>
    <w:tmpl w:val="3474A4F0"/>
    <w:lvl w:ilvl="0" w:tplc="D06409BE">
      <w:start w:val="1"/>
      <w:numFmt w:val="lowerLetter"/>
      <w:lvlText w:val="(%1)"/>
      <w:lvlJc w:val="left"/>
      <w:pPr>
        <w:ind w:left="3024" w:hanging="360"/>
      </w:pPr>
      <w:rPr>
        <w:rFonts w:hint="default"/>
      </w:rPr>
    </w:lvl>
    <w:lvl w:ilvl="1" w:tplc="40090019" w:tentative="1">
      <w:start w:val="1"/>
      <w:numFmt w:val="lowerLetter"/>
      <w:lvlText w:val="%2."/>
      <w:lvlJc w:val="left"/>
      <w:pPr>
        <w:ind w:left="3744" w:hanging="360"/>
      </w:pPr>
    </w:lvl>
    <w:lvl w:ilvl="2" w:tplc="4009001B" w:tentative="1">
      <w:start w:val="1"/>
      <w:numFmt w:val="lowerRoman"/>
      <w:lvlText w:val="%3."/>
      <w:lvlJc w:val="right"/>
      <w:pPr>
        <w:ind w:left="4464" w:hanging="180"/>
      </w:pPr>
    </w:lvl>
    <w:lvl w:ilvl="3" w:tplc="4009000F" w:tentative="1">
      <w:start w:val="1"/>
      <w:numFmt w:val="decimal"/>
      <w:lvlText w:val="%4."/>
      <w:lvlJc w:val="left"/>
      <w:pPr>
        <w:ind w:left="5184" w:hanging="360"/>
      </w:pPr>
    </w:lvl>
    <w:lvl w:ilvl="4" w:tplc="40090019" w:tentative="1">
      <w:start w:val="1"/>
      <w:numFmt w:val="lowerLetter"/>
      <w:lvlText w:val="%5."/>
      <w:lvlJc w:val="left"/>
      <w:pPr>
        <w:ind w:left="5904" w:hanging="360"/>
      </w:pPr>
    </w:lvl>
    <w:lvl w:ilvl="5" w:tplc="4009001B" w:tentative="1">
      <w:start w:val="1"/>
      <w:numFmt w:val="lowerRoman"/>
      <w:lvlText w:val="%6."/>
      <w:lvlJc w:val="right"/>
      <w:pPr>
        <w:ind w:left="6624" w:hanging="180"/>
      </w:pPr>
    </w:lvl>
    <w:lvl w:ilvl="6" w:tplc="4009000F" w:tentative="1">
      <w:start w:val="1"/>
      <w:numFmt w:val="decimal"/>
      <w:lvlText w:val="%7."/>
      <w:lvlJc w:val="left"/>
      <w:pPr>
        <w:ind w:left="7344" w:hanging="360"/>
      </w:pPr>
    </w:lvl>
    <w:lvl w:ilvl="7" w:tplc="40090019" w:tentative="1">
      <w:start w:val="1"/>
      <w:numFmt w:val="lowerLetter"/>
      <w:lvlText w:val="%8."/>
      <w:lvlJc w:val="left"/>
      <w:pPr>
        <w:ind w:left="8064" w:hanging="360"/>
      </w:pPr>
    </w:lvl>
    <w:lvl w:ilvl="8" w:tplc="4009001B" w:tentative="1">
      <w:start w:val="1"/>
      <w:numFmt w:val="lowerRoman"/>
      <w:lvlText w:val="%9."/>
      <w:lvlJc w:val="right"/>
      <w:pPr>
        <w:ind w:left="8784" w:hanging="180"/>
      </w:p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BDA7D7D"/>
    <w:multiLevelType w:val="multilevel"/>
    <w:tmpl w:val="E510521E"/>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733822204">
    <w:abstractNumId w:val="1"/>
  </w:num>
  <w:num w:numId="2" w16cid:durableId="1732734319">
    <w:abstractNumId w:val="14"/>
  </w:num>
  <w:num w:numId="3" w16cid:durableId="1925844975">
    <w:abstractNumId w:val="19"/>
  </w:num>
  <w:num w:numId="4" w16cid:durableId="1623537524">
    <w:abstractNumId w:val="4"/>
  </w:num>
  <w:num w:numId="5" w16cid:durableId="333149680">
    <w:abstractNumId w:val="16"/>
  </w:num>
  <w:num w:numId="6" w16cid:durableId="1958750756">
    <w:abstractNumId w:val="9"/>
  </w:num>
  <w:num w:numId="7" w16cid:durableId="1466237890">
    <w:abstractNumId w:val="15"/>
  </w:num>
  <w:num w:numId="8" w16cid:durableId="846751398">
    <w:abstractNumId w:val="5"/>
  </w:num>
  <w:num w:numId="9" w16cid:durableId="982584711">
    <w:abstractNumId w:val="8"/>
  </w:num>
  <w:num w:numId="10" w16cid:durableId="247734440">
    <w:abstractNumId w:val="2"/>
  </w:num>
  <w:num w:numId="11" w16cid:durableId="1514879319">
    <w:abstractNumId w:val="18"/>
  </w:num>
  <w:num w:numId="12" w16cid:durableId="1383210328">
    <w:abstractNumId w:val="11"/>
  </w:num>
  <w:num w:numId="13" w16cid:durableId="1513061117">
    <w:abstractNumId w:val="17"/>
  </w:num>
  <w:num w:numId="14" w16cid:durableId="958226418">
    <w:abstractNumId w:val="13"/>
  </w:num>
  <w:num w:numId="15" w16cid:durableId="771170886">
    <w:abstractNumId w:val="7"/>
  </w:num>
  <w:num w:numId="16" w16cid:durableId="1726029251">
    <w:abstractNumId w:val="10"/>
  </w:num>
  <w:num w:numId="17" w16cid:durableId="1939214429">
    <w:abstractNumId w:val="15"/>
    <w:lvlOverride w:ilvl="0">
      <w:startOverride w:val="1"/>
    </w:lvlOverride>
  </w:num>
  <w:num w:numId="18" w16cid:durableId="957906086">
    <w:abstractNumId w:val="15"/>
    <w:lvlOverride w:ilvl="0">
      <w:startOverride w:val="1"/>
    </w:lvlOverride>
  </w:num>
  <w:num w:numId="19" w16cid:durableId="1087652185">
    <w:abstractNumId w:val="15"/>
    <w:lvlOverride w:ilvl="0">
      <w:startOverride w:val="1"/>
    </w:lvlOverride>
  </w:num>
  <w:num w:numId="20" w16cid:durableId="1054889863">
    <w:abstractNumId w:val="16"/>
    <w:lvlOverride w:ilvl="0">
      <w:startOverride w:val="1"/>
    </w:lvlOverride>
  </w:num>
  <w:num w:numId="21" w16cid:durableId="1903178079">
    <w:abstractNumId w:val="16"/>
    <w:lvlOverride w:ilvl="0">
      <w:startOverride w:val="1"/>
    </w:lvlOverride>
  </w:num>
  <w:num w:numId="22" w16cid:durableId="874267395">
    <w:abstractNumId w:val="16"/>
    <w:lvlOverride w:ilvl="0">
      <w:startOverride w:val="1"/>
    </w:lvlOverride>
  </w:num>
  <w:num w:numId="23" w16cid:durableId="1368025285">
    <w:abstractNumId w:val="16"/>
    <w:lvlOverride w:ilvl="0">
      <w:startOverride w:val="1"/>
    </w:lvlOverride>
  </w:num>
  <w:num w:numId="24" w16cid:durableId="944078796">
    <w:abstractNumId w:val="16"/>
    <w:lvlOverride w:ilvl="0">
      <w:startOverride w:val="1"/>
    </w:lvlOverride>
  </w:num>
  <w:num w:numId="25" w16cid:durableId="1653829719">
    <w:abstractNumId w:val="3"/>
  </w:num>
  <w:num w:numId="26" w16cid:durableId="1775442011">
    <w:abstractNumId w:val="0"/>
  </w:num>
  <w:num w:numId="27" w16cid:durableId="1948273442">
    <w:abstractNumId w:val="6"/>
  </w:num>
  <w:num w:numId="28" w16cid:durableId="4708254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7F0BFA"/>
    <w:rsid w:val="001A13BD"/>
    <w:rsid w:val="003663A6"/>
    <w:rsid w:val="006639A2"/>
    <w:rsid w:val="006E038B"/>
    <w:rsid w:val="007F0BFA"/>
    <w:rsid w:val="007F129E"/>
    <w:rsid w:val="00BC075B"/>
    <w:rsid w:val="00C07ECA"/>
    <w:rsid w:val="00E177F6"/>
    <w:rsid w:val="00E94A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BB9D68"/>
  <w15:docId w15:val="{B3D7FE97-6164-4780-9A4E-7D77B09DA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A13BD"/>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1A13BD"/>
    <w:pPr>
      <w:keepNext/>
      <w:spacing w:before="240" w:after="240"/>
      <w:jc w:val="center"/>
      <w:outlineLvl w:val="0"/>
    </w:pPr>
    <w:rPr>
      <w:b/>
      <w:caps/>
    </w:rPr>
  </w:style>
  <w:style w:type="paragraph" w:styleId="Heading2">
    <w:name w:val="heading 2"/>
    <w:basedOn w:val="Normal"/>
    <w:next w:val="Paragraph"/>
    <w:qFormat/>
    <w:rsid w:val="001A13BD"/>
    <w:pPr>
      <w:keepNext/>
      <w:spacing w:before="240" w:after="240"/>
      <w:jc w:val="center"/>
      <w:outlineLvl w:val="1"/>
    </w:pPr>
    <w:rPr>
      <w:b/>
    </w:rPr>
  </w:style>
  <w:style w:type="paragraph" w:styleId="Heading3">
    <w:name w:val="heading 3"/>
    <w:basedOn w:val="Normal"/>
    <w:next w:val="Normal"/>
    <w:qFormat/>
    <w:rsid w:val="001A13BD"/>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1A13B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A13B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1A13BD"/>
    <w:rPr>
      <w:rFonts w:ascii="Tahoma" w:hAnsi="Tahoma" w:cs="Tahoma"/>
      <w:sz w:val="16"/>
      <w:szCs w:val="16"/>
    </w:rPr>
  </w:style>
  <w:style w:type="character" w:customStyle="1" w:styleId="BalloonTextChar">
    <w:name w:val="Balloon Text Char"/>
    <w:basedOn w:val="DefaultParagraphFont"/>
    <w:link w:val="BalloonText"/>
    <w:rsid w:val="001A13BD"/>
    <w:rPr>
      <w:rFonts w:ascii="Tahoma" w:eastAsia="Times New Roman" w:hAnsi="Tahoma" w:cs="Tahoma"/>
      <w:sz w:val="16"/>
      <w:szCs w:val="16"/>
      <w:lang w:val="en-US"/>
    </w:rPr>
  </w:style>
  <w:style w:type="paragraph" w:styleId="FootnoteText">
    <w:name w:val="footnote text"/>
    <w:basedOn w:val="Normal"/>
    <w:link w:val="FootnoteTextChar"/>
    <w:semiHidden/>
    <w:rsid w:val="001A13BD"/>
    <w:rPr>
      <w:sz w:val="16"/>
    </w:rPr>
  </w:style>
  <w:style w:type="character" w:customStyle="1" w:styleId="FootnoteTextChar">
    <w:name w:val="Footnote Text Char"/>
    <w:basedOn w:val="DefaultParagraphFont"/>
    <w:link w:val="FootnoteText"/>
    <w:semiHidden/>
    <w:rsid w:val="007F129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1A13BD"/>
    <w:pPr>
      <w:spacing w:before="1200"/>
      <w:jc w:val="center"/>
    </w:pPr>
    <w:rPr>
      <w:b/>
      <w:sz w:val="36"/>
    </w:rPr>
  </w:style>
  <w:style w:type="paragraph" w:customStyle="1" w:styleId="AuthorName">
    <w:name w:val="Author Name"/>
    <w:basedOn w:val="Normal"/>
    <w:next w:val="AuthorAffiliation"/>
    <w:rsid w:val="001A13BD"/>
    <w:pPr>
      <w:spacing w:before="360" w:after="360"/>
      <w:jc w:val="center"/>
    </w:pPr>
    <w:rPr>
      <w:sz w:val="28"/>
    </w:rPr>
  </w:style>
  <w:style w:type="paragraph" w:customStyle="1" w:styleId="AuthorAffiliation">
    <w:name w:val="Author Affiliation"/>
    <w:basedOn w:val="Normal"/>
    <w:rsid w:val="001A13BD"/>
    <w:pPr>
      <w:jc w:val="center"/>
    </w:pPr>
    <w:rPr>
      <w:i/>
      <w:sz w:val="20"/>
    </w:rPr>
  </w:style>
  <w:style w:type="paragraph" w:customStyle="1" w:styleId="Abstract">
    <w:name w:val="Abstract"/>
    <w:basedOn w:val="Normal"/>
    <w:next w:val="Heading1"/>
    <w:rsid w:val="001A13BD"/>
    <w:pPr>
      <w:spacing w:before="360" w:after="360"/>
      <w:ind w:left="289" w:right="289"/>
      <w:jc w:val="both"/>
    </w:pPr>
    <w:rPr>
      <w:sz w:val="18"/>
    </w:rPr>
  </w:style>
  <w:style w:type="paragraph" w:customStyle="1" w:styleId="Paragraph">
    <w:name w:val="Paragraph"/>
    <w:basedOn w:val="Normal"/>
    <w:rsid w:val="001A13BD"/>
    <w:pPr>
      <w:ind w:firstLine="284"/>
      <w:jc w:val="both"/>
    </w:pPr>
    <w:rPr>
      <w:sz w:val="20"/>
    </w:rPr>
  </w:style>
  <w:style w:type="character" w:styleId="FootnoteReference">
    <w:name w:val="footnote reference"/>
    <w:semiHidden/>
    <w:rsid w:val="001A13BD"/>
    <w:rPr>
      <w:vertAlign w:val="superscript"/>
    </w:rPr>
  </w:style>
  <w:style w:type="paragraph" w:customStyle="1" w:styleId="Reference">
    <w:name w:val="Reference"/>
    <w:basedOn w:val="Paragraph"/>
    <w:rsid w:val="001A13BD"/>
    <w:pPr>
      <w:numPr>
        <w:numId w:val="16"/>
      </w:numPr>
      <w:ind w:left="426" w:hanging="426"/>
    </w:pPr>
  </w:style>
  <w:style w:type="paragraph" w:customStyle="1" w:styleId="FigureCaption">
    <w:name w:val="Figure Caption"/>
    <w:next w:val="Paragraph"/>
    <w:rsid w:val="001A13BD"/>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1A13BD"/>
    <w:pPr>
      <w:keepNext/>
      <w:ind w:firstLine="0"/>
      <w:jc w:val="center"/>
    </w:pPr>
  </w:style>
  <w:style w:type="paragraph" w:customStyle="1" w:styleId="Equation">
    <w:name w:val="Equation"/>
    <w:basedOn w:val="Paragraph"/>
    <w:rsid w:val="001A13BD"/>
    <w:pPr>
      <w:tabs>
        <w:tab w:val="center" w:pos="4320"/>
        <w:tab w:val="right" w:pos="9242"/>
      </w:tabs>
      <w:ind w:firstLine="0"/>
      <w:jc w:val="center"/>
    </w:pPr>
  </w:style>
  <w:style w:type="character" w:styleId="Hyperlink">
    <w:name w:val="Hyperlink"/>
    <w:rsid w:val="001A13BD"/>
    <w:rPr>
      <w:color w:val="0000FF"/>
      <w:u w:val="single"/>
    </w:rPr>
  </w:style>
  <w:style w:type="table" w:styleId="TableGrid">
    <w:name w:val="Table Grid"/>
    <w:basedOn w:val="TableNormal"/>
    <w:rsid w:val="001A13BD"/>
    <w:pPr>
      <w:spacing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1A13BD"/>
    <w:pPr>
      <w:numPr>
        <w:numId w:val="15"/>
      </w:numPr>
      <w:ind w:left="641" w:hanging="357"/>
    </w:pPr>
  </w:style>
  <w:style w:type="paragraph" w:customStyle="1" w:styleId="AuthorEmail">
    <w:name w:val="Author Email"/>
    <w:basedOn w:val="Normal"/>
    <w:qFormat/>
    <w:rsid w:val="001A13BD"/>
    <w:pPr>
      <w:jc w:val="center"/>
    </w:pPr>
    <w:rPr>
      <w:sz w:val="20"/>
    </w:rPr>
  </w:style>
  <w:style w:type="paragraph" w:styleId="NormalWeb">
    <w:name w:val="Normal (Web)"/>
    <w:basedOn w:val="Normal"/>
    <w:uiPriority w:val="99"/>
    <w:unhideWhenUsed/>
    <w:rsid w:val="001A13BD"/>
    <w:pPr>
      <w:spacing w:before="100" w:beforeAutospacing="1" w:after="100" w:afterAutospacing="1"/>
    </w:pPr>
    <w:rPr>
      <w:szCs w:val="24"/>
      <w:lang w:val="en-GB" w:eastAsia="en-GB"/>
    </w:rPr>
  </w:style>
  <w:style w:type="character" w:styleId="Strong">
    <w:name w:val="Strong"/>
    <w:basedOn w:val="DefaultParagraphFont"/>
    <w:uiPriority w:val="22"/>
    <w:qFormat/>
    <w:rsid w:val="001A13BD"/>
    <w:rPr>
      <w:b/>
      <w:bCs/>
    </w:rPr>
  </w:style>
  <w:style w:type="character" w:styleId="Emphasis">
    <w:name w:val="Emphasis"/>
    <w:basedOn w:val="DefaultParagraphFont"/>
    <w:uiPriority w:val="20"/>
    <w:qFormat/>
    <w:rsid w:val="001A13BD"/>
    <w:rPr>
      <w:i/>
      <w:iCs/>
    </w:rPr>
  </w:style>
  <w:style w:type="paragraph" w:customStyle="1" w:styleId="TableCaption">
    <w:name w:val="Table Caption"/>
    <w:basedOn w:val="FigureCaption"/>
    <w:qFormat/>
    <w:rsid w:val="001A13BD"/>
    <w:rPr>
      <w:szCs w:val="18"/>
    </w:rPr>
  </w:style>
  <w:style w:type="paragraph" w:customStyle="1" w:styleId="Paragraphnumbered">
    <w:name w:val="Paragraph (numbered)"/>
    <w:rsid w:val="001A13BD"/>
    <w:pPr>
      <w:numPr>
        <w:numId w:val="5"/>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1A13BD"/>
    <w:rPr>
      <w:color w:val="808080"/>
      <w:shd w:val="clear" w:color="auto" w:fill="E6E6E6"/>
    </w:rPr>
  </w:style>
  <w:style w:type="paragraph" w:styleId="ListParagraph">
    <w:name w:val="List Paragraph"/>
    <w:basedOn w:val="Normal"/>
    <w:uiPriority w:val="34"/>
    <w:rsid w:val="001A13BD"/>
    <w:pPr>
      <w:ind w:left="720"/>
      <w:contextualSpacing/>
    </w:pPr>
  </w:style>
  <w:style w:type="character" w:styleId="CommentReference">
    <w:name w:val="annotation reference"/>
    <w:basedOn w:val="DefaultParagraphFont"/>
    <w:semiHidden/>
    <w:unhideWhenUsed/>
    <w:rsid w:val="001A13BD"/>
    <w:rPr>
      <w:sz w:val="16"/>
      <w:szCs w:val="16"/>
    </w:rPr>
  </w:style>
  <w:style w:type="paragraph" w:styleId="CommentText">
    <w:name w:val="annotation text"/>
    <w:basedOn w:val="Normal"/>
    <w:link w:val="CommentTextChar"/>
    <w:semiHidden/>
    <w:unhideWhenUsed/>
    <w:rsid w:val="001A13BD"/>
    <w:rPr>
      <w:sz w:val="20"/>
    </w:rPr>
  </w:style>
  <w:style w:type="character" w:customStyle="1" w:styleId="CommentTextChar">
    <w:name w:val="Comment Text Char"/>
    <w:basedOn w:val="DefaultParagraphFont"/>
    <w:link w:val="CommentText"/>
    <w:semiHidden/>
    <w:rsid w:val="001A13BD"/>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1A13BD"/>
    <w:rPr>
      <w:b/>
      <w:bCs/>
    </w:rPr>
  </w:style>
  <w:style w:type="character" w:customStyle="1" w:styleId="CommentSubjectChar">
    <w:name w:val="Comment Subject Char"/>
    <w:basedOn w:val="CommentTextChar"/>
    <w:link w:val="CommentSubject"/>
    <w:semiHidden/>
    <w:rsid w:val="001A13BD"/>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XlLjTy/o9ziz" TargetMode="External"/><Relationship Id="rId21" Type="http://schemas.openxmlformats.org/officeDocument/2006/relationships/image" Target="media/image2.png"/><Relationship Id="rId42" Type="http://schemas.openxmlformats.org/officeDocument/2006/relationships/hyperlink" Target="http://paperpile.com/b/XlLjTy/p6Ogs" TargetMode="External"/><Relationship Id="rId63" Type="http://schemas.openxmlformats.org/officeDocument/2006/relationships/hyperlink" Target="http://paperpile.com/b/XlLjTy/OUJi" TargetMode="External"/><Relationship Id="rId84" Type="http://schemas.openxmlformats.org/officeDocument/2006/relationships/hyperlink" Target="http://paperpile.com/b/XlLjTy/yHl0G" TargetMode="External"/><Relationship Id="rId138" Type="http://schemas.openxmlformats.org/officeDocument/2006/relationships/hyperlink" Target="http://paperpile.com/b/XlLjTy/aS963" TargetMode="External"/><Relationship Id="rId107" Type="http://schemas.openxmlformats.org/officeDocument/2006/relationships/hyperlink" Target="http://paperpile.com/b/XlLjTy/aOcHl" TargetMode="External"/><Relationship Id="rId11" Type="http://schemas.openxmlformats.org/officeDocument/2006/relationships/hyperlink" Target="https://paperpile.com/c/XlLjTy/o9ziz" TargetMode="External"/><Relationship Id="rId32" Type="http://schemas.openxmlformats.org/officeDocument/2006/relationships/hyperlink" Target="http://paperpile.com/b/XlLjTy/hljCC" TargetMode="External"/><Relationship Id="rId53" Type="http://schemas.openxmlformats.org/officeDocument/2006/relationships/hyperlink" Target="http://paperpile.com/b/XlLjTy/8Vgh8" TargetMode="External"/><Relationship Id="rId74" Type="http://schemas.openxmlformats.org/officeDocument/2006/relationships/hyperlink" Target="http://paperpile.com/b/XlLjTy/Rt5TF" TargetMode="External"/><Relationship Id="rId128" Type="http://schemas.openxmlformats.org/officeDocument/2006/relationships/hyperlink" Target="http://paperpile.com/b/XlLjTy/EMqLv" TargetMode="External"/><Relationship Id="rId149" Type="http://schemas.openxmlformats.org/officeDocument/2006/relationships/hyperlink" Target="http://paperpile.com/b/XlLjTy/pc5lt" TargetMode="External"/><Relationship Id="rId5" Type="http://schemas.openxmlformats.org/officeDocument/2006/relationships/hyperlink" Target="mailto:zuhairarmaan7@gmail.com" TargetMode="External"/><Relationship Id="rId95" Type="http://schemas.openxmlformats.org/officeDocument/2006/relationships/hyperlink" Target="http://paperpile.com/b/XlLjTy/c6G82" TargetMode="External"/><Relationship Id="rId22" Type="http://schemas.openxmlformats.org/officeDocument/2006/relationships/hyperlink" Target="https://paperpile.com/c/XlLjTy/Cmf3g" TargetMode="External"/><Relationship Id="rId27" Type="http://schemas.openxmlformats.org/officeDocument/2006/relationships/hyperlink" Target="https://paperpile.com/c/XlLjTy/nd281" TargetMode="External"/><Relationship Id="rId43" Type="http://schemas.openxmlformats.org/officeDocument/2006/relationships/hyperlink" Target="http://paperpile.com/b/XlLjTy/p6Ogs" TargetMode="External"/><Relationship Id="rId48" Type="http://schemas.openxmlformats.org/officeDocument/2006/relationships/hyperlink" Target="http://paperpile.com/b/XlLjTy/PCG7L" TargetMode="External"/><Relationship Id="rId64" Type="http://schemas.openxmlformats.org/officeDocument/2006/relationships/hyperlink" Target="http://paperpile.com/b/XlLjTy/7MvlK" TargetMode="External"/><Relationship Id="rId69" Type="http://schemas.openxmlformats.org/officeDocument/2006/relationships/hyperlink" Target="http://paperpile.com/b/XlLjTy/YTl5Z" TargetMode="External"/><Relationship Id="rId113" Type="http://schemas.openxmlformats.org/officeDocument/2006/relationships/hyperlink" Target="http://paperpile.com/b/XlLjTy/hCBng" TargetMode="External"/><Relationship Id="rId118" Type="http://schemas.openxmlformats.org/officeDocument/2006/relationships/hyperlink" Target="http://paperpile.com/b/XlLjTy/o9ziz" TargetMode="External"/><Relationship Id="rId134" Type="http://schemas.openxmlformats.org/officeDocument/2006/relationships/hyperlink" Target="http://paperpile.com/b/XlLjTy/9IFc4" TargetMode="External"/><Relationship Id="rId139" Type="http://schemas.openxmlformats.org/officeDocument/2006/relationships/hyperlink" Target="http://paperpile.com/b/XlLjTy/aS963" TargetMode="External"/><Relationship Id="rId80" Type="http://schemas.openxmlformats.org/officeDocument/2006/relationships/hyperlink" Target="http://paperpile.com/b/XlLjTy/Cmf3g" TargetMode="External"/><Relationship Id="rId85" Type="http://schemas.openxmlformats.org/officeDocument/2006/relationships/hyperlink" Target="http://paperpile.com/b/XlLjTy/yHl0G" TargetMode="External"/><Relationship Id="rId150" Type="http://schemas.openxmlformats.org/officeDocument/2006/relationships/hyperlink" Target="http://paperpile.com/b/XlLjTy/pc5lt" TargetMode="External"/><Relationship Id="rId12" Type="http://schemas.openxmlformats.org/officeDocument/2006/relationships/hyperlink" Target="https://paperpile.com/c/XlLjTy/hCBng" TargetMode="External"/><Relationship Id="rId17" Type="http://schemas.openxmlformats.org/officeDocument/2006/relationships/hyperlink" Target="https://www.sciencedirect.com/topics/physics-and-astronomy/alginate" TargetMode="External"/><Relationship Id="rId33" Type="http://schemas.openxmlformats.org/officeDocument/2006/relationships/hyperlink" Target="http://paperpile.com/b/XlLjTy/hljCC" TargetMode="External"/><Relationship Id="rId38" Type="http://schemas.openxmlformats.org/officeDocument/2006/relationships/hyperlink" Target="http://paperpile.com/b/XlLjTy/xsmjA" TargetMode="External"/><Relationship Id="rId59" Type="http://schemas.openxmlformats.org/officeDocument/2006/relationships/hyperlink" Target="http://paperpile.com/b/XlLjTy/OUJi" TargetMode="External"/><Relationship Id="rId103" Type="http://schemas.openxmlformats.org/officeDocument/2006/relationships/hyperlink" Target="http://paperpile.com/b/XlLjTy/ntMaC" TargetMode="External"/><Relationship Id="rId108" Type="http://schemas.openxmlformats.org/officeDocument/2006/relationships/hyperlink" Target="http://paperpile.com/b/XlLjTy/aOcHl" TargetMode="External"/><Relationship Id="rId124" Type="http://schemas.openxmlformats.org/officeDocument/2006/relationships/hyperlink" Target="http://paperpile.com/b/XlLjTy/4S397" TargetMode="External"/><Relationship Id="rId129" Type="http://schemas.openxmlformats.org/officeDocument/2006/relationships/hyperlink" Target="http://paperpile.com/b/XlLjTy/EMqLv" TargetMode="External"/><Relationship Id="rId54" Type="http://schemas.openxmlformats.org/officeDocument/2006/relationships/hyperlink" Target="http://paperpile.com/b/XlLjTy/8Vgh8" TargetMode="External"/><Relationship Id="rId70" Type="http://schemas.openxmlformats.org/officeDocument/2006/relationships/hyperlink" Target="http://paperpile.com/b/XlLjTy/YTl5Z" TargetMode="External"/><Relationship Id="rId75" Type="http://schemas.openxmlformats.org/officeDocument/2006/relationships/hyperlink" Target="http://paperpile.com/b/XlLjTy/Rt5TF" TargetMode="External"/><Relationship Id="rId91" Type="http://schemas.openxmlformats.org/officeDocument/2006/relationships/hyperlink" Target="http://paperpile.com/b/XlLjTy/ZYZmq" TargetMode="External"/><Relationship Id="rId96" Type="http://schemas.openxmlformats.org/officeDocument/2006/relationships/hyperlink" Target="http://paperpile.com/b/XlLjTy/c6G82" TargetMode="External"/><Relationship Id="rId140" Type="http://schemas.openxmlformats.org/officeDocument/2006/relationships/hyperlink" Target="http://paperpile.com/b/XlLjTy/aS963" TargetMode="External"/><Relationship Id="rId145" Type="http://schemas.openxmlformats.org/officeDocument/2006/relationships/hyperlink" Target="http://paperpile.com/b/XlLjTy/VlSJS" TargetMode="External"/><Relationship Id="rId1" Type="http://schemas.openxmlformats.org/officeDocument/2006/relationships/numbering" Target="numbering.xml"/><Relationship Id="rId6" Type="http://schemas.openxmlformats.org/officeDocument/2006/relationships/hyperlink" Target="https://paperpile.com/c/XlLjTy/Rt5TF" TargetMode="External"/><Relationship Id="rId23" Type="http://schemas.openxmlformats.org/officeDocument/2006/relationships/image" Target="media/image3.png"/><Relationship Id="rId28" Type="http://schemas.openxmlformats.org/officeDocument/2006/relationships/hyperlink" Target="https://paperpile.com/c/XlLjTy/ntMaC+xsmjA" TargetMode="External"/><Relationship Id="rId49" Type="http://schemas.openxmlformats.org/officeDocument/2006/relationships/hyperlink" Target="http://paperpile.com/b/XlLjTy/PCG7L" TargetMode="External"/><Relationship Id="rId114" Type="http://schemas.openxmlformats.org/officeDocument/2006/relationships/hyperlink" Target="http://paperpile.com/b/XlLjTy/hCBng" TargetMode="External"/><Relationship Id="rId119" Type="http://schemas.openxmlformats.org/officeDocument/2006/relationships/hyperlink" Target="http://paperpile.com/b/XlLjTy/o9ziz" TargetMode="External"/><Relationship Id="rId44" Type="http://schemas.openxmlformats.org/officeDocument/2006/relationships/hyperlink" Target="http://paperpile.com/b/XlLjTy/p6Ogs" TargetMode="External"/><Relationship Id="rId60" Type="http://schemas.openxmlformats.org/officeDocument/2006/relationships/hyperlink" Target="http://paperpile.com/b/XlLjTy/OUJi" TargetMode="External"/><Relationship Id="rId65" Type="http://schemas.openxmlformats.org/officeDocument/2006/relationships/hyperlink" Target="http://paperpile.com/b/XlLjTy/7MvlK" TargetMode="External"/><Relationship Id="rId81" Type="http://schemas.openxmlformats.org/officeDocument/2006/relationships/hyperlink" Target="http://paperpile.com/b/XlLjTy/Cmf3g" TargetMode="External"/><Relationship Id="rId86" Type="http://schemas.openxmlformats.org/officeDocument/2006/relationships/hyperlink" Target="http://paperpile.com/b/XlLjTy/yHl0G" TargetMode="External"/><Relationship Id="rId130" Type="http://schemas.openxmlformats.org/officeDocument/2006/relationships/hyperlink" Target="http://paperpile.com/b/XlLjTy/9IFc4" TargetMode="External"/><Relationship Id="rId135" Type="http://schemas.openxmlformats.org/officeDocument/2006/relationships/hyperlink" Target="http://paperpile.com/b/XlLjTy/nd281" TargetMode="External"/><Relationship Id="rId151" Type="http://schemas.openxmlformats.org/officeDocument/2006/relationships/hyperlink" Target="http://paperpile.com/b/XlLjTy/pc5lt" TargetMode="External"/><Relationship Id="rId13" Type="http://schemas.openxmlformats.org/officeDocument/2006/relationships/hyperlink" Target="https://paperpile.com/c/XlLjTy/pc5lt+PCG7L" TargetMode="External"/><Relationship Id="rId18" Type="http://schemas.openxmlformats.org/officeDocument/2006/relationships/hyperlink" Target="https://www.sciencedirect.com/topics/chemistry/nanocapsule" TargetMode="External"/><Relationship Id="rId39" Type="http://schemas.openxmlformats.org/officeDocument/2006/relationships/hyperlink" Target="http://paperpile.com/b/XlLjTy/xsmjA" TargetMode="External"/><Relationship Id="rId109" Type="http://schemas.openxmlformats.org/officeDocument/2006/relationships/hyperlink" Target="http://paperpile.com/b/XlLjTy/aOcHl" TargetMode="External"/><Relationship Id="rId34" Type="http://schemas.openxmlformats.org/officeDocument/2006/relationships/hyperlink" Target="http://paperpile.com/b/XlLjTy/hljCC" TargetMode="External"/><Relationship Id="rId50" Type="http://schemas.openxmlformats.org/officeDocument/2006/relationships/hyperlink" Target="http://paperpile.com/b/XlLjTy/PCG7L" TargetMode="External"/><Relationship Id="rId55" Type="http://schemas.openxmlformats.org/officeDocument/2006/relationships/hyperlink" Target="http://paperpile.com/b/XlLjTy/8Vgh8" TargetMode="External"/><Relationship Id="rId76" Type="http://schemas.openxmlformats.org/officeDocument/2006/relationships/hyperlink" Target="http://paperpile.com/b/XlLjTy/Rt5TF" TargetMode="External"/><Relationship Id="rId97" Type="http://schemas.openxmlformats.org/officeDocument/2006/relationships/hyperlink" Target="http://paperpile.com/b/XlLjTy/c6G82" TargetMode="External"/><Relationship Id="rId104" Type="http://schemas.openxmlformats.org/officeDocument/2006/relationships/hyperlink" Target="http://paperpile.com/b/XlLjTy/ntMaC" TargetMode="External"/><Relationship Id="rId120" Type="http://schemas.openxmlformats.org/officeDocument/2006/relationships/hyperlink" Target="http://paperpile.com/b/XlLjTy/4S397" TargetMode="External"/><Relationship Id="rId125" Type="http://schemas.openxmlformats.org/officeDocument/2006/relationships/hyperlink" Target="http://paperpile.com/b/XlLjTy/EMqLv" TargetMode="External"/><Relationship Id="rId141" Type="http://schemas.openxmlformats.org/officeDocument/2006/relationships/hyperlink" Target="http://paperpile.com/b/XlLjTy/aS963" TargetMode="External"/><Relationship Id="rId146" Type="http://schemas.openxmlformats.org/officeDocument/2006/relationships/hyperlink" Target="http://paperpile.com/b/XlLjTy/VlSJS" TargetMode="External"/><Relationship Id="rId7" Type="http://schemas.openxmlformats.org/officeDocument/2006/relationships/hyperlink" Target="https://paperpile.com/c/XlLjTy/7MvlK" TargetMode="External"/><Relationship Id="rId71" Type="http://schemas.openxmlformats.org/officeDocument/2006/relationships/hyperlink" Target="http://paperpile.com/b/XlLjTy/YTl5Z" TargetMode="External"/><Relationship Id="rId92" Type="http://schemas.openxmlformats.org/officeDocument/2006/relationships/hyperlink" Target="http://paperpile.com/b/XlLjTy/ZYZmq" TargetMode="External"/><Relationship Id="rId2" Type="http://schemas.openxmlformats.org/officeDocument/2006/relationships/styles" Target="styles.xml"/><Relationship Id="rId29" Type="http://schemas.openxmlformats.org/officeDocument/2006/relationships/image" Target="media/image5.jpg"/><Relationship Id="rId24" Type="http://schemas.openxmlformats.org/officeDocument/2006/relationships/hyperlink" Target="https://paperpile.com/c/XlLjTy/yHl0G" TargetMode="External"/><Relationship Id="rId40" Type="http://schemas.openxmlformats.org/officeDocument/2006/relationships/hyperlink" Target="http://paperpile.com/b/XlLjTy/xsmjA" TargetMode="External"/><Relationship Id="rId45" Type="http://schemas.openxmlformats.org/officeDocument/2006/relationships/hyperlink" Target="http://paperpile.com/b/XlLjTy/p6Ogs" TargetMode="External"/><Relationship Id="rId66" Type="http://schemas.openxmlformats.org/officeDocument/2006/relationships/hyperlink" Target="http://paperpile.com/b/XlLjTy/7MvlK" TargetMode="External"/><Relationship Id="rId87" Type="http://schemas.openxmlformats.org/officeDocument/2006/relationships/hyperlink" Target="http://paperpile.com/b/XlLjTy/yHl0G" TargetMode="External"/><Relationship Id="rId110" Type="http://schemas.openxmlformats.org/officeDocument/2006/relationships/hyperlink" Target="http://paperpile.com/b/XlLjTy/hCBng" TargetMode="External"/><Relationship Id="rId115" Type="http://schemas.openxmlformats.org/officeDocument/2006/relationships/hyperlink" Target="http://paperpile.com/b/XlLjTy/o9ziz" TargetMode="External"/><Relationship Id="rId131" Type="http://schemas.openxmlformats.org/officeDocument/2006/relationships/hyperlink" Target="http://paperpile.com/b/XlLjTy/9IFc4" TargetMode="External"/><Relationship Id="rId136" Type="http://schemas.openxmlformats.org/officeDocument/2006/relationships/hyperlink" Target="http://paperpile.com/b/XlLjTy/nd281" TargetMode="External"/><Relationship Id="rId61" Type="http://schemas.openxmlformats.org/officeDocument/2006/relationships/hyperlink" Target="http://paperpile.com/b/XlLjTy/OUJi" TargetMode="External"/><Relationship Id="rId82" Type="http://schemas.openxmlformats.org/officeDocument/2006/relationships/hyperlink" Target="http://paperpile.com/b/XlLjTy/Cmf3g" TargetMode="External"/><Relationship Id="rId152" Type="http://schemas.openxmlformats.org/officeDocument/2006/relationships/hyperlink" Target="http://paperpile.com/b/XlLjTy/pc5lt" TargetMode="External"/><Relationship Id="rId19" Type="http://schemas.openxmlformats.org/officeDocument/2006/relationships/hyperlink" Target="https://www.sciencedirect.com/topics/chemistry/nanosphere" TargetMode="External"/><Relationship Id="rId14" Type="http://schemas.openxmlformats.org/officeDocument/2006/relationships/image" Target="media/image1.png"/><Relationship Id="rId30" Type="http://schemas.openxmlformats.org/officeDocument/2006/relationships/hyperlink" Target="https://paperpile.com/c/XlLjTy/VlSJS" TargetMode="External"/><Relationship Id="rId35" Type="http://schemas.openxmlformats.org/officeDocument/2006/relationships/hyperlink" Target="http://paperpile.com/b/XlLjTy/hljCC" TargetMode="External"/><Relationship Id="rId56" Type="http://schemas.openxmlformats.org/officeDocument/2006/relationships/hyperlink" Target="http://paperpile.com/b/XlLjTy/8Vgh8" TargetMode="External"/><Relationship Id="rId77" Type="http://schemas.openxmlformats.org/officeDocument/2006/relationships/hyperlink" Target="http://paperpile.com/b/XlLjTy/Rt5TF" TargetMode="External"/><Relationship Id="rId100" Type="http://schemas.openxmlformats.org/officeDocument/2006/relationships/hyperlink" Target="http://paperpile.com/b/XlLjTy/ntMaC" TargetMode="External"/><Relationship Id="rId105" Type="http://schemas.openxmlformats.org/officeDocument/2006/relationships/hyperlink" Target="http://paperpile.com/b/XlLjTy/aOcHl" TargetMode="External"/><Relationship Id="rId126" Type="http://schemas.openxmlformats.org/officeDocument/2006/relationships/hyperlink" Target="http://paperpile.com/b/XlLjTy/EMqLv" TargetMode="External"/><Relationship Id="rId147" Type="http://schemas.openxmlformats.org/officeDocument/2006/relationships/hyperlink" Target="http://paperpile.com/b/XlLjTy/VlSJS" TargetMode="External"/><Relationship Id="rId8" Type="http://schemas.openxmlformats.org/officeDocument/2006/relationships/hyperlink" Target="https://paperpile.com/c/XlLjTy/9IFc4+4S397+8Vgh8" TargetMode="External"/><Relationship Id="rId51" Type="http://schemas.openxmlformats.org/officeDocument/2006/relationships/hyperlink" Target="http://paperpile.com/b/XlLjTy/PCG7L" TargetMode="External"/><Relationship Id="rId72" Type="http://schemas.openxmlformats.org/officeDocument/2006/relationships/hyperlink" Target="http://paperpile.com/b/XlLjTy/YTl5Z" TargetMode="External"/><Relationship Id="rId93" Type="http://schemas.openxmlformats.org/officeDocument/2006/relationships/hyperlink" Target="http://paperpile.com/b/XlLjTy/ZYZmq" TargetMode="External"/><Relationship Id="rId98" Type="http://schemas.openxmlformats.org/officeDocument/2006/relationships/hyperlink" Target="http://paperpile.com/b/XlLjTy/c6G82" TargetMode="External"/><Relationship Id="rId121" Type="http://schemas.openxmlformats.org/officeDocument/2006/relationships/hyperlink" Target="http://paperpile.com/b/XlLjTy/4S397" TargetMode="External"/><Relationship Id="rId142" Type="http://schemas.openxmlformats.org/officeDocument/2006/relationships/hyperlink" Target="http://paperpile.com/b/XlLjTy/aS963" TargetMode="External"/><Relationship Id="rId3" Type="http://schemas.openxmlformats.org/officeDocument/2006/relationships/settings" Target="settings.xml"/><Relationship Id="rId25" Type="http://schemas.openxmlformats.org/officeDocument/2006/relationships/hyperlink" Target="https://paperpile.com/c/XlLjTy/YTl5Z+aOcHl+ntMaC+hljCC" TargetMode="External"/><Relationship Id="rId46" Type="http://schemas.openxmlformats.org/officeDocument/2006/relationships/hyperlink" Target="http://paperpile.com/b/XlLjTy/p6Ogs" TargetMode="External"/><Relationship Id="rId67" Type="http://schemas.openxmlformats.org/officeDocument/2006/relationships/hyperlink" Target="http://paperpile.com/b/XlLjTy/7MvlK" TargetMode="External"/><Relationship Id="rId116" Type="http://schemas.openxmlformats.org/officeDocument/2006/relationships/hyperlink" Target="http://paperpile.com/b/XlLjTy/o9ziz" TargetMode="External"/><Relationship Id="rId137" Type="http://schemas.openxmlformats.org/officeDocument/2006/relationships/hyperlink" Target="http://paperpile.com/b/XlLjTy/nd281" TargetMode="External"/><Relationship Id="rId20" Type="http://schemas.openxmlformats.org/officeDocument/2006/relationships/hyperlink" Target="https://paperpile.com/c/XlLjTy/aS963" TargetMode="External"/><Relationship Id="rId41" Type="http://schemas.openxmlformats.org/officeDocument/2006/relationships/hyperlink" Target="http://paperpile.com/b/XlLjTy/xsmjA" TargetMode="External"/><Relationship Id="rId62" Type="http://schemas.openxmlformats.org/officeDocument/2006/relationships/hyperlink" Target="http://paperpile.com/b/XlLjTy/OUJi" TargetMode="External"/><Relationship Id="rId83" Type="http://schemas.openxmlformats.org/officeDocument/2006/relationships/hyperlink" Target="http://paperpile.com/b/XlLjTy/Cmf3g" TargetMode="External"/><Relationship Id="rId88" Type="http://schemas.openxmlformats.org/officeDocument/2006/relationships/hyperlink" Target="http://paperpile.com/b/XlLjTy/yHl0G" TargetMode="External"/><Relationship Id="rId111" Type="http://schemas.openxmlformats.org/officeDocument/2006/relationships/hyperlink" Target="http://paperpile.com/b/XlLjTy/hCBng" TargetMode="External"/><Relationship Id="rId132" Type="http://schemas.openxmlformats.org/officeDocument/2006/relationships/hyperlink" Target="http://paperpile.com/b/XlLjTy/9IFc4" TargetMode="External"/><Relationship Id="rId153" Type="http://schemas.openxmlformats.org/officeDocument/2006/relationships/fontTable" Target="fontTable.xml"/><Relationship Id="rId15" Type="http://schemas.openxmlformats.org/officeDocument/2006/relationships/hyperlink" Target="https://paperpile.com/c/XlLjTy/p6Ogs" TargetMode="External"/><Relationship Id="rId36" Type="http://schemas.openxmlformats.org/officeDocument/2006/relationships/hyperlink" Target="http://paperpile.com/b/XlLjTy/hljCC" TargetMode="External"/><Relationship Id="rId57" Type="http://schemas.openxmlformats.org/officeDocument/2006/relationships/hyperlink" Target="http://paperpile.com/b/XlLjTy/8Vgh8" TargetMode="External"/><Relationship Id="rId106" Type="http://schemas.openxmlformats.org/officeDocument/2006/relationships/hyperlink" Target="http://paperpile.com/b/XlLjTy/aOcHl" TargetMode="External"/><Relationship Id="rId127" Type="http://schemas.openxmlformats.org/officeDocument/2006/relationships/hyperlink" Target="http://paperpile.com/b/XlLjTy/EMqLv" TargetMode="External"/><Relationship Id="rId10" Type="http://schemas.openxmlformats.org/officeDocument/2006/relationships/hyperlink" Target="https://paperpile.com/c/XlLjTy/OUJi" TargetMode="External"/><Relationship Id="rId31" Type="http://schemas.openxmlformats.org/officeDocument/2006/relationships/hyperlink" Target="https://paperpile.com/c/XlLjTy/ZYZmq" TargetMode="External"/><Relationship Id="rId52" Type="http://schemas.openxmlformats.org/officeDocument/2006/relationships/hyperlink" Target="http://dx.doi.org/10.3390/molecules25030435" TargetMode="External"/><Relationship Id="rId73" Type="http://schemas.openxmlformats.org/officeDocument/2006/relationships/hyperlink" Target="http://paperpile.com/b/XlLjTy/YTl5Z" TargetMode="External"/><Relationship Id="rId78" Type="http://schemas.openxmlformats.org/officeDocument/2006/relationships/hyperlink" Target="http://paperpile.com/b/XlLjTy/Rt5TF" TargetMode="External"/><Relationship Id="rId94" Type="http://schemas.openxmlformats.org/officeDocument/2006/relationships/hyperlink" Target="http://paperpile.com/b/XlLjTy/c6G82" TargetMode="External"/><Relationship Id="rId99" Type="http://schemas.openxmlformats.org/officeDocument/2006/relationships/hyperlink" Target="http://dx.doi.org/10.3389/fmats.2021.648980" TargetMode="External"/><Relationship Id="rId101" Type="http://schemas.openxmlformats.org/officeDocument/2006/relationships/hyperlink" Target="http://paperpile.com/b/XlLjTy/ntMaC" TargetMode="External"/><Relationship Id="rId122" Type="http://schemas.openxmlformats.org/officeDocument/2006/relationships/hyperlink" Target="http://paperpile.com/b/XlLjTy/4S397" TargetMode="External"/><Relationship Id="rId143" Type="http://schemas.openxmlformats.org/officeDocument/2006/relationships/hyperlink" Target="http://paperpile.com/b/XlLjTy/VlSJS" TargetMode="External"/><Relationship Id="rId148" Type="http://schemas.openxmlformats.org/officeDocument/2006/relationships/hyperlink" Target="http://paperpile.com/b/XlLjTy/pc5lt" TargetMode="External"/><Relationship Id="rId4" Type="http://schemas.openxmlformats.org/officeDocument/2006/relationships/webSettings" Target="webSettings.xml"/><Relationship Id="rId9" Type="http://schemas.openxmlformats.org/officeDocument/2006/relationships/hyperlink" Target="https://paperpile.com/c/XlLjTy/EMqLv" TargetMode="External"/><Relationship Id="rId26" Type="http://schemas.openxmlformats.org/officeDocument/2006/relationships/image" Target="media/image4.png"/><Relationship Id="rId47" Type="http://schemas.openxmlformats.org/officeDocument/2006/relationships/hyperlink" Target="http://paperpile.com/b/XlLjTy/PCG7L" TargetMode="External"/><Relationship Id="rId68" Type="http://schemas.openxmlformats.org/officeDocument/2006/relationships/hyperlink" Target="http://paperpile.com/b/XlLjTy/7MvlK" TargetMode="External"/><Relationship Id="rId89" Type="http://schemas.openxmlformats.org/officeDocument/2006/relationships/hyperlink" Target="http://paperpile.com/b/XlLjTy/ZYZmq" TargetMode="External"/><Relationship Id="rId112" Type="http://schemas.openxmlformats.org/officeDocument/2006/relationships/hyperlink" Target="http://paperpile.com/b/XlLjTy/hCBng" TargetMode="External"/><Relationship Id="rId133" Type="http://schemas.openxmlformats.org/officeDocument/2006/relationships/hyperlink" Target="http://paperpile.com/b/XlLjTy/9IFc4" TargetMode="External"/><Relationship Id="rId154" Type="http://schemas.openxmlformats.org/officeDocument/2006/relationships/theme" Target="theme/theme1.xml"/><Relationship Id="rId16" Type="http://schemas.openxmlformats.org/officeDocument/2006/relationships/hyperlink" Target="https://paperpile.com/c/XlLjTy/c6G82+PCG7L" TargetMode="External"/><Relationship Id="rId37" Type="http://schemas.openxmlformats.org/officeDocument/2006/relationships/hyperlink" Target="http://paperpile.com/b/XlLjTy/xsmjA" TargetMode="External"/><Relationship Id="rId58" Type="http://schemas.openxmlformats.org/officeDocument/2006/relationships/hyperlink" Target="http://dx.doi.org/10.3390/ijms221910414" TargetMode="External"/><Relationship Id="rId79" Type="http://schemas.openxmlformats.org/officeDocument/2006/relationships/hyperlink" Target="http://paperpile.com/b/XlLjTy/Cmf3g" TargetMode="External"/><Relationship Id="rId102" Type="http://schemas.openxmlformats.org/officeDocument/2006/relationships/hyperlink" Target="http://paperpile.com/b/XlLjTy/ntMaC" TargetMode="External"/><Relationship Id="rId123" Type="http://schemas.openxmlformats.org/officeDocument/2006/relationships/hyperlink" Target="http://paperpile.com/b/XlLjTy/4S397" TargetMode="External"/><Relationship Id="rId144" Type="http://schemas.openxmlformats.org/officeDocument/2006/relationships/hyperlink" Target="http://paperpile.com/b/XlLjTy/VlSJS" TargetMode="External"/><Relationship Id="rId90" Type="http://schemas.openxmlformats.org/officeDocument/2006/relationships/hyperlink" Target="http://paperpile.com/b/XlLjTy/ZYZmq"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14</TotalTime>
  <Pages>7</Pages>
  <Words>4129</Words>
  <Characters>23537</Characters>
  <Application>Microsoft Office Word</Application>
  <DocSecurity>0</DocSecurity>
  <Lines>196</Lines>
  <Paragraphs>55</Paragraphs>
  <ScaleCrop>false</ScaleCrop>
  <Company>home</Company>
  <LinksUpToDate>false</LinksUpToDate>
  <CharactersWithSpaces>27611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2025-06-18T14:13:00Z</dcterms:created>
  <dcterms:modified xsi:type="dcterms:W3CDTF">2025-10-23T07:27:00Z</dcterms:modified>
</cp:coreProperties>
</file>