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89CF0" w14:textId="08FB722D" w:rsidR="002A00D6" w:rsidRDefault="0027228F" w:rsidP="0027228F">
      <w:pPr>
        <w:pStyle w:val="PaperTitle"/>
      </w:pPr>
      <w:bookmarkStart w:id="0" w:name="_ambdmr506qwu" w:colFirst="0" w:colLast="0"/>
      <w:bookmarkEnd w:id="0"/>
      <w:r>
        <w:t xml:space="preserve">Investigating the Anti-Inflammatory Properties Of Bioactive Iron </w:t>
      </w:r>
      <w:proofErr w:type="spellStart"/>
      <w:r>
        <w:t>Molybdate@Carbon-Au</w:t>
      </w:r>
      <w:proofErr w:type="spellEnd"/>
      <w:r>
        <w:t xml:space="preserve"> Nano-Composites</w:t>
      </w:r>
    </w:p>
    <w:p w14:paraId="6F59724F" w14:textId="0EB2242B" w:rsidR="002A00D6" w:rsidRPr="001A0DCD" w:rsidRDefault="0027228F" w:rsidP="001A0DCD">
      <w:pPr>
        <w:pStyle w:val="AuthorName"/>
        <w:rPr>
          <w:rFonts w:ascii="Cambria" w:hAnsi="Cambria"/>
          <w:color w:val="000000"/>
          <w:szCs w:val="28"/>
          <w:vertAlign w:val="superscript"/>
          <w:lang w:val="en-IN" w:eastAsia="en-IN"/>
        </w:rPr>
      </w:pPr>
      <w:r>
        <w:t xml:space="preserve">C </w:t>
      </w:r>
      <w:r w:rsidR="005020B2">
        <w:t>Pranav Jain</w:t>
      </w:r>
      <w:r w:rsidR="001A0DCD">
        <w:rPr>
          <w:vertAlign w:val="superscript"/>
        </w:rPr>
        <w:t>1</w:t>
      </w:r>
      <w:r w:rsidR="001A0DCD">
        <w:t xml:space="preserve"> ,</w:t>
      </w:r>
      <w:r w:rsidR="001A0DCD" w:rsidRPr="001A0DCD">
        <w:rPr>
          <w:rFonts w:ascii="Cambria" w:hAnsi="Cambria"/>
          <w:color w:val="000000"/>
          <w:szCs w:val="28"/>
        </w:rPr>
        <w:t xml:space="preserve"> </w:t>
      </w:r>
      <w:r w:rsidR="001A0DCD" w:rsidRPr="001A0DCD">
        <w:rPr>
          <w:rFonts w:ascii="Cambria" w:hAnsi="Cambria"/>
          <w:color w:val="000000"/>
          <w:szCs w:val="28"/>
          <w:lang w:val="en-IN" w:eastAsia="en-IN"/>
        </w:rPr>
        <w:t>T.Mohammed</w:t>
      </w:r>
      <w:r w:rsidR="001A0DCD">
        <w:rPr>
          <w:rFonts w:ascii="Cambria" w:hAnsi="Cambria"/>
          <w:color w:val="000000"/>
          <w:szCs w:val="28"/>
          <w:vertAlign w:val="superscript"/>
          <w:lang w:val="en-IN" w:eastAsia="en-IN"/>
        </w:rPr>
        <w:t>1,a)</w:t>
      </w:r>
    </w:p>
    <w:p w14:paraId="558339B5" w14:textId="1EFA2FB3" w:rsidR="002A00D6" w:rsidRDefault="001A0DCD" w:rsidP="00476687">
      <w:pPr>
        <w:pStyle w:val="AuthorAffiliation"/>
      </w:pPr>
      <w:r>
        <w:rPr>
          <w:vertAlign w:val="superscript"/>
        </w:rPr>
        <w:t>1</w:t>
      </w:r>
      <w:r w:rsidR="005020B2">
        <w:t>JAIN Health &amp; Diagnostics, Hyderabad, Telangana, India</w:t>
      </w:r>
    </w:p>
    <w:p w14:paraId="2649BC15" w14:textId="5616394D" w:rsidR="002A00D6" w:rsidRPr="001A0DCD" w:rsidRDefault="00476687" w:rsidP="001A0DCD">
      <w:pPr>
        <w:pStyle w:val="AuthorEmail"/>
        <w:rPr>
          <w:lang w:val="en-IN" w:eastAsia="en-IN"/>
        </w:rPr>
      </w:pPr>
      <w:r w:rsidRPr="00476687">
        <w:t>Corresponding Author:</w:t>
      </w:r>
      <w:r w:rsidR="0027228F">
        <w:t xml:space="preserve"> </w:t>
      </w:r>
      <w:r w:rsidR="001A0DCD">
        <w:rPr>
          <w:vertAlign w:val="superscript"/>
        </w:rPr>
        <w:t>1,a)</w:t>
      </w:r>
      <w:hyperlink r:id="rId5" w:history="1">
        <w:r w:rsidR="001A0DCD" w:rsidRPr="00904487">
          <w:rPr>
            <w:rStyle w:val="Hyperlink"/>
            <w:rFonts w:ascii="Cambria" w:hAnsi="Cambria"/>
            <w:sz w:val="18"/>
            <w:szCs w:val="18"/>
            <w:lang w:val="en-IN" w:eastAsia="en-IN"/>
          </w:rPr>
          <w:t>drmohammedtharik@gmail.com</w:t>
        </w:r>
      </w:hyperlink>
      <w:r w:rsidR="001A0DCD">
        <w:rPr>
          <w:lang w:val="en-IN" w:eastAsia="en-IN"/>
        </w:rPr>
        <w:t xml:space="preserve"> </w:t>
      </w:r>
    </w:p>
    <w:p w14:paraId="75C1379C" w14:textId="77777777" w:rsidR="002A00D6" w:rsidRDefault="002A00D6">
      <w:pPr>
        <w:spacing w:line="360" w:lineRule="auto"/>
        <w:jc w:val="both"/>
        <w:rPr>
          <w:szCs w:val="24"/>
        </w:rPr>
      </w:pPr>
    </w:p>
    <w:p w14:paraId="0FD54F16" w14:textId="6A3BEF48" w:rsidR="002A00D6" w:rsidRDefault="005020B2" w:rsidP="0027228F">
      <w:pPr>
        <w:pStyle w:val="Abstract"/>
      </w:pPr>
      <w:bookmarkStart w:id="1" w:name="_sedyjoua0acr" w:colFirst="0" w:colLast="0"/>
      <w:bookmarkEnd w:id="1"/>
      <w:r w:rsidRPr="00476687">
        <w:rPr>
          <w:b/>
          <w:bCs/>
        </w:rPr>
        <w:t>A</w:t>
      </w:r>
      <w:r w:rsidR="0027228F">
        <w:rPr>
          <w:b/>
          <w:bCs/>
        </w:rPr>
        <w:t xml:space="preserve">bstract: </w:t>
      </w:r>
      <w:r>
        <w:t xml:space="preserve">Inflammation is a key biological response to harmful stimuli, often leading to chronic conditions if unregulated. The quest for effective anti-inflammatory agents has led to the exploration of nanocomposites with multifunctional properties. This study investigates the anti-inflammatory properties of bioactive iron </w:t>
      </w:r>
      <w:proofErr w:type="spellStart"/>
      <w:r>
        <w:t>molybdate@carbon-Au</w:t>
      </w:r>
      <w:proofErr w:type="spellEnd"/>
      <w:r>
        <w:t xml:space="preserve"> (</w:t>
      </w:r>
      <w:proofErr w:type="spellStart"/>
      <w:r>
        <w:t>FeMoO</w:t>
      </w:r>
      <w:proofErr w:type="spellEnd"/>
      <w:r>
        <w:t xml:space="preserve">₄@C-Au) nanocomposites. These nanocomposites were synthesized using a facile hydrothermal method followed by carbonization and gold nanoparticle (AuNP) deposition. The structural and morphological characteristics of </w:t>
      </w:r>
      <w:proofErr w:type="spellStart"/>
      <w:r>
        <w:t>FeMoO</w:t>
      </w:r>
      <w:proofErr w:type="spellEnd"/>
      <w:r>
        <w:t xml:space="preserve">₄@C-Au were confirmed through various analytical techniques including X-ray diffraction (XRD), scanning electron microscopy (SEM), and transmission electron microscopy (TEM). In vitro anti-inflammatory activity was evaluated using lipopolysaccharide (LPS)-stimulated macrophage cells, where the nanocomposites demonstrated significant inhibition of pro-inflammatory cytokine production and reactive oxygen species (ROS) generation. Mechanistic studies suggested that </w:t>
      </w:r>
      <w:proofErr w:type="spellStart"/>
      <w:r>
        <w:t>FeMoO</w:t>
      </w:r>
      <w:proofErr w:type="spellEnd"/>
      <w:r>
        <w:t>₄@C-Au nanocomposites modulate the nuclear factor kappa-light-chain-enhancer of activated B cells (NF-</w:t>
      </w:r>
      <w:proofErr w:type="spellStart"/>
      <w:r>
        <w:t>κB</w:t>
      </w:r>
      <w:proofErr w:type="spellEnd"/>
      <w:r>
        <w:t xml:space="preserve">) signaling pathway. The biocompatibility and minimal cytotoxicity of the nanocomposites were further corroborated through cell viability assays. These findings highlight the potential of </w:t>
      </w:r>
      <w:proofErr w:type="spellStart"/>
      <w:r>
        <w:t>FeMoO</w:t>
      </w:r>
      <w:proofErr w:type="spellEnd"/>
      <w:r>
        <w:t>₄@C-Au nanocomposites as a promising candidate for the development of novel anti-inflammatory therapeutics.</w:t>
      </w:r>
    </w:p>
    <w:p w14:paraId="415E5A77" w14:textId="63FBE444" w:rsidR="00476687" w:rsidRDefault="00476687" w:rsidP="00476687">
      <w:pPr>
        <w:pStyle w:val="Abstract"/>
        <w:rPr>
          <w:sz w:val="24"/>
          <w:szCs w:val="24"/>
        </w:rPr>
      </w:pPr>
      <w:r>
        <w:t>Keywords:</w:t>
      </w:r>
      <w:r w:rsidRPr="00476687">
        <w:t xml:space="preserve"> nanoparticles</w:t>
      </w:r>
      <w:r>
        <w:t>,</w:t>
      </w:r>
      <w:r w:rsidRPr="00476687">
        <w:t xml:space="preserve"> Iron molybdate</w:t>
      </w:r>
      <w:r>
        <w:t>,</w:t>
      </w:r>
      <w:r w:rsidRPr="00476687">
        <w:rPr>
          <w:sz w:val="24"/>
          <w:szCs w:val="24"/>
        </w:rPr>
        <w:t xml:space="preserve"> </w:t>
      </w:r>
      <w:r w:rsidRPr="00476687">
        <w:t>X-ray Photoelectron Spectroscopy</w:t>
      </w:r>
    </w:p>
    <w:p w14:paraId="0547ACC7" w14:textId="77777777" w:rsidR="002A00D6" w:rsidRPr="00476687" w:rsidRDefault="005020B2" w:rsidP="00476687">
      <w:pPr>
        <w:pStyle w:val="Heading1"/>
      </w:pPr>
      <w:bookmarkStart w:id="2" w:name="_skj4lzasj5pw" w:colFirst="0" w:colLast="0"/>
      <w:bookmarkEnd w:id="2"/>
      <w:r w:rsidRPr="00476687">
        <w:t xml:space="preserve">INTRODUCTION </w:t>
      </w:r>
    </w:p>
    <w:p w14:paraId="143D8319" w14:textId="7D261E01" w:rsidR="002A00D6" w:rsidRDefault="005020B2" w:rsidP="00476687">
      <w:pPr>
        <w:pStyle w:val="Paragraph"/>
        <w:rPr>
          <w:sz w:val="24"/>
          <w:szCs w:val="24"/>
        </w:rPr>
      </w:pPr>
      <w:r w:rsidRPr="00476687">
        <w:t xml:space="preserve">In the field of nanomedicine, the use of magnetic iron oxide nanoparticles has gained significant attention due to their remarkable properties, including </w:t>
      </w:r>
      <w:proofErr w:type="spellStart"/>
      <w:r w:rsidRPr="00476687">
        <w:t>superparamagnetism</w:t>
      </w:r>
      <w:proofErr w:type="spellEnd"/>
      <w:r w:rsidRPr="00476687">
        <w:t xml:space="preserve">, size, and the ability to be coated with biocompatible materials </w:t>
      </w:r>
      <w:hyperlink r:id="rId6">
        <w:r w:rsidRPr="00476687">
          <w:t>(Lu et al., 2007)</w:t>
        </w:r>
      </w:hyperlink>
      <w:r w:rsidRPr="00476687">
        <w:t xml:space="preserve">. These nanoparticles have found diverse applications in medical imaging, cell separation, tissue repair, hyperthermia, and drug delivery </w:t>
      </w:r>
      <w:hyperlink r:id="rId7">
        <w:r w:rsidRPr="00476687">
          <w:t>(Suri et al., 2007)</w:t>
        </w:r>
      </w:hyperlink>
      <w:r w:rsidRPr="00476687">
        <w:t xml:space="preserve">. The catalyst's lifetime, as deactivation might occur due to MoO3 loss via sublimation. It has been found that the loss of MoO3 causes deactivation through the creation of iron oxide </w:t>
      </w:r>
      <w:hyperlink r:id="rId8">
        <w:r w:rsidRPr="00476687">
          <w:t>(Lu et al., 2007)</w:t>
        </w:r>
      </w:hyperlink>
      <w:r w:rsidRPr="00476687">
        <w:t xml:space="preserve"> centers </w:t>
      </w:r>
      <w:hyperlink r:id="rId9">
        <w:r w:rsidRPr="00476687">
          <w:t>(Soares et al., 2002)</w:t>
        </w:r>
      </w:hyperlink>
      <w:r w:rsidRPr="00476687">
        <w:t xml:space="preserve">. </w:t>
      </w:r>
      <w:proofErr w:type="spellStart"/>
      <w:r w:rsidRPr="00476687">
        <w:t>Synthesising</w:t>
      </w:r>
      <w:proofErr w:type="spellEnd"/>
      <w:r w:rsidRPr="00476687">
        <w:t xml:space="preserve"> iron molybdate catalysts in this method generates significant amounts of aqueous waste including unprecipitated iron and molybdenum, and can result in phases containing solely iron or molybdenum that do not contribute to the catalytic efficiency </w:t>
      </w:r>
      <w:hyperlink r:id="rId10">
        <w:r w:rsidRPr="00476687">
          <w:t>(Bowker et al., 2015)</w:t>
        </w:r>
      </w:hyperlink>
      <w:r w:rsidRPr="00476687">
        <w:t>.Iron molybdate (Fe2(MoO4)3) is most likely the most researched molybdenum-containing oxide. Iron molybdate has considerable commercial applications as a catalyst in formaldehyde synthesis from the oxidation of methanol or the oxidation of propylene to produce the propyl-</w:t>
      </w:r>
      <w:proofErr w:type="spellStart"/>
      <w:r w:rsidRPr="00476687">
        <w:t>ene</w:t>
      </w:r>
      <w:proofErr w:type="spellEnd"/>
      <w:r w:rsidRPr="00476687">
        <w:t xml:space="preserve"> Iron molybdate catalysts have been used for the industrial </w:t>
      </w:r>
      <w:proofErr w:type="spellStart"/>
      <w:r w:rsidRPr="00476687">
        <w:t>produc</w:t>
      </w:r>
      <w:proofErr w:type="spellEnd"/>
      <w:r w:rsidRPr="00476687">
        <w:t xml:space="preserve">- </w:t>
      </w:r>
      <w:proofErr w:type="spellStart"/>
      <w:r w:rsidRPr="00476687">
        <w:t>tion</w:t>
      </w:r>
      <w:proofErr w:type="spellEnd"/>
      <w:r w:rsidRPr="00476687">
        <w:t xml:space="preserve"> of formaldehyde from methanol oxidation for many years  </w:t>
      </w:r>
      <w:hyperlink r:id="rId11">
        <w:r w:rsidRPr="00476687">
          <w:t>(Harsha &amp; Subramanian, 2022)</w:t>
        </w:r>
      </w:hyperlink>
      <w:r w:rsidRPr="00476687">
        <w:t xml:space="preserve">. They are robust catalysts which are generally used in an unsupported form, and which operate in an oxygen rich environment. Iron molybdate has been established as an effective methanol partial oxidation catalyst since it was reported in 1931 </w:t>
      </w:r>
      <w:hyperlink r:id="rId12">
        <w:r w:rsidRPr="00476687">
          <w:t>(Adkins &amp; Peterson, 2002)</w:t>
        </w:r>
      </w:hyperlink>
      <w:r w:rsidRPr="00476687">
        <w:t xml:space="preserve">. The two phases that make up industrial catalysts are Fe2(MoO4)3 with an excess of MoO3. The excess MoO3 has recently been found to have a dual function </w:t>
      </w:r>
      <w:hyperlink r:id="rId13">
        <w:r w:rsidRPr="00476687">
          <w:t>(</w:t>
        </w:r>
        <w:proofErr w:type="spellStart"/>
        <w:r w:rsidRPr="00476687">
          <w:t>Sabarathinam</w:t>
        </w:r>
        <w:proofErr w:type="spellEnd"/>
        <w:r w:rsidRPr="00476687">
          <w:t xml:space="preserve"> &amp; </w:t>
        </w:r>
        <w:proofErr w:type="spellStart"/>
        <w:r w:rsidRPr="00476687">
          <w:t>Madhulaxmi</w:t>
        </w:r>
        <w:proofErr w:type="spellEnd"/>
        <w:r w:rsidRPr="00476687">
          <w:t>, 2021)</w:t>
        </w:r>
      </w:hyperlink>
      <w:hyperlink r:id="rId14">
        <w:r w:rsidRPr="00476687">
          <w:t>(Sushanthi et al., 2021)</w:t>
        </w:r>
      </w:hyperlink>
      <w:hyperlink r:id="rId15">
        <w:r w:rsidRPr="00476687">
          <w:t>(Harsha et al., 2022)</w:t>
        </w:r>
      </w:hyperlink>
      <w:r w:rsidRPr="00476687">
        <w:t xml:space="preserve">. First it increases the selectivity towards formaldehyde production by aiding the elimination of iron sites over the surface of the catalyst </w:t>
      </w:r>
      <w:hyperlink r:id="rId16">
        <w:r w:rsidRPr="00476687">
          <w:t>(Bowker et al., 2015)</w:t>
        </w:r>
      </w:hyperlink>
      <w:r w:rsidRPr="00476687">
        <w:t xml:space="preserve">.These iron sites have been conclusively shown to be detrimental towards the selective partial oxidation of methanol, by increasing </w:t>
      </w:r>
      <w:proofErr w:type="spellStart"/>
      <w:r w:rsidRPr="00476687">
        <w:t>selec-tivity</w:t>
      </w:r>
      <w:proofErr w:type="spellEnd"/>
      <w:r w:rsidRPr="00476687">
        <w:t xml:space="preserve"> </w:t>
      </w:r>
      <w:r w:rsidRPr="00476687">
        <w:lastRenderedPageBreak/>
        <w:t xml:space="preserve">towards carbon oxide products Second, while an excess of MoO3 helps to maintain high selectivity, it also extends oxide </w:t>
      </w:r>
      <w:hyperlink r:id="rId17">
        <w:r w:rsidRPr="00476687">
          <w:t>(Carlsson et al., 2012)</w:t>
        </w:r>
      </w:hyperlink>
      <w:r w:rsidRPr="00476687">
        <w:t xml:space="preserve">). The studies encountered on iron molybdate also deal with its use as a cathode for a rechargeable sodium ion battery or for H2S gas sensing </w:t>
      </w:r>
      <w:hyperlink r:id="rId18">
        <w:r w:rsidRPr="00476687">
          <w:t>(Deepika et al., 2022)</w:t>
        </w:r>
      </w:hyperlink>
      <w:r w:rsidRPr="00476687">
        <w:t xml:space="preserve">. Iron molybdate has also drawn attention as a precursor to the creation of alloys </w:t>
      </w:r>
      <w:hyperlink r:id="rId19">
        <w:r w:rsidRPr="00476687">
          <w:t>(</w:t>
        </w:r>
        <w:proofErr w:type="spellStart"/>
        <w:r w:rsidRPr="00476687">
          <w:t>Chychko</w:t>
        </w:r>
        <w:proofErr w:type="spellEnd"/>
        <w:r w:rsidRPr="00476687">
          <w:t xml:space="preserve"> et al., 2011; Morales et al., 2005)</w:t>
        </w:r>
      </w:hyperlink>
      <w:r w:rsidRPr="00476687">
        <w:t xml:space="preserve">. Several synthesis methods have been proposed for producing iron molybdate, including microwave-assisted hydrothermal synthesis </w:t>
      </w:r>
      <w:hyperlink r:id="rId20">
        <w:r w:rsidRPr="00476687">
          <w:t>(Zhang et al., 2010)</w:t>
        </w:r>
      </w:hyperlink>
      <w:r w:rsidRPr="00476687">
        <w:t xml:space="preserve">.Alternative preparations of iron molybdates have been investigated, such as sol–gel methods or supported iron on molybdenum nanorods. These synthetic strategies aimed to achieve higher surface area materials with the aim of decreasing the occurrence of iron dense regions responsible for total oxidation </w:t>
      </w:r>
      <w:hyperlink r:id="rId21">
        <w:r w:rsidRPr="00476687">
          <w:t>(Chidambaram et al., 2022)</w:t>
        </w:r>
      </w:hyperlink>
      <w:hyperlink r:id="rId22">
        <w:r w:rsidRPr="00476687">
          <w:t>(Ajay, Sasikala, et al., 2022)</w:t>
        </w:r>
      </w:hyperlink>
      <w:r w:rsidRPr="00476687">
        <w:t xml:space="preserve">. Iron molybdate was first reported to be active and selective for the oxidation of methanol to formaldehyde in 1931  and began to be employed as a commercial catalyst in the 1950s </w:t>
      </w:r>
      <w:hyperlink r:id="rId23">
        <w:r w:rsidRPr="00476687">
          <w:t>(Solanki et al., 2022)</w:t>
        </w:r>
      </w:hyperlink>
      <w:r w:rsidRPr="00476687">
        <w:t xml:space="preserve">. The industrial iron molybdate catalyst consists of a mixed metal oxide phase, Fe2(MoO4)3, together with excess MoO3.In the last ten years, the synthesis of gold nanoparticles (Au NPs) and linear carbon chains (LCCs) with finite length was successfully carried out by a green approach: the Pulsed Laser Ablation in Liquid (PLAL) technique </w:t>
      </w:r>
      <w:hyperlink r:id="rId24">
        <w:r w:rsidRPr="00476687">
          <w:t xml:space="preserve">(Ajay, </w:t>
        </w:r>
        <w:proofErr w:type="spellStart"/>
        <w:r w:rsidRPr="00476687">
          <w:t>Rakshagan</w:t>
        </w:r>
        <w:proofErr w:type="spellEnd"/>
        <w:r w:rsidRPr="00476687">
          <w:t>, et al., 2022)</w:t>
        </w:r>
      </w:hyperlink>
      <w:r w:rsidRPr="00476687">
        <w:t>. In fact, the PLAL approach avoids the use of organic solvents, purification steps, or heating treatments</w:t>
      </w:r>
      <w:hyperlink r:id="rId25">
        <w:r w:rsidRPr="00476687">
          <w:t>(Fazio et al., 2020)</w:t>
        </w:r>
      </w:hyperlink>
      <w:r w:rsidRPr="00476687">
        <w:t xml:space="preserve">It is further important to consider that Au-based compounds have a long history of being used for therapeutic purposes  </w:t>
      </w:r>
      <w:hyperlink r:id="rId26">
        <w:r w:rsidRPr="00476687">
          <w:t>(Ajay, Suma, et al., 2022)</w:t>
        </w:r>
      </w:hyperlink>
      <w:r w:rsidRPr="00476687">
        <w:t>. In recent times, Au NPs have shown great potential in the areas of imaging, diagnosis, therapy, and drug delivery owing to their exceptional physicochemical properties</w:t>
      </w:r>
      <w:hyperlink r:id="rId27">
        <w:r w:rsidRPr="00476687">
          <w:t>(</w:t>
        </w:r>
        <w:proofErr w:type="spellStart"/>
        <w:r w:rsidRPr="00476687">
          <w:t>Famta</w:t>
        </w:r>
        <w:proofErr w:type="spellEnd"/>
        <w:r w:rsidRPr="00476687">
          <w:t xml:space="preserve"> et al., 2020)</w:t>
        </w:r>
      </w:hyperlink>
      <w:r w:rsidRPr="00476687">
        <w:t xml:space="preserve">.  Au </w:t>
      </w:r>
      <w:proofErr w:type="spellStart"/>
      <w:r w:rsidRPr="00476687">
        <w:t>nanosystems</w:t>
      </w:r>
      <w:proofErr w:type="spellEnd"/>
      <w:r w:rsidRPr="00476687">
        <w:t xml:space="preserve"> have been utilized as effective therapeutic agents for the treatment of some inflammatory diseases such as rheumatoid arthritis</w:t>
      </w:r>
      <w:hyperlink r:id="rId28">
        <w:r w:rsidRPr="00476687">
          <w:t>(Khan &amp; Khan, 2018)</w:t>
        </w:r>
      </w:hyperlink>
      <w:r w:rsidRPr="00476687">
        <w:t>. Further, lower toxicity in conjunction with anti-inflammatory effects was reported to occur with Au NPs treatment</w:t>
      </w:r>
      <w:hyperlink r:id="rId29">
        <w:r w:rsidRPr="00476687">
          <w:t>(de Araújo et al., 2017)</w:t>
        </w:r>
      </w:hyperlink>
      <w:r w:rsidRPr="00476687">
        <w:t xml:space="preserve">. However, it is well known that cell interaction and uptake, as well as the </w:t>
      </w:r>
      <w:proofErr w:type="spellStart"/>
      <w:r w:rsidRPr="00476687">
        <w:t>bioproperties</w:t>
      </w:r>
      <w:proofErr w:type="spellEnd"/>
      <w:r w:rsidRPr="00476687">
        <w:t xml:space="preserve"> and toxicity of Au NPs, depend on several factors including size, physicochemical stability, morphology and aggregation state, coating, and functionalization </w:t>
      </w:r>
      <w:hyperlink r:id="rId30">
        <w:r w:rsidRPr="00476687">
          <w:t>(Enea et al., 2020)</w:t>
        </w:r>
      </w:hyperlink>
    </w:p>
    <w:p w14:paraId="6BFF0523" w14:textId="3A59F7A9" w:rsidR="002A00D6" w:rsidRDefault="005020B2" w:rsidP="00476687">
      <w:pPr>
        <w:pStyle w:val="Heading1"/>
        <w:rPr>
          <w:szCs w:val="24"/>
        </w:rPr>
      </w:pPr>
      <w:bookmarkStart w:id="3" w:name="_uageoqbh37cr" w:colFirst="0" w:colLast="0"/>
      <w:bookmarkEnd w:id="3"/>
      <w:r>
        <w:t xml:space="preserve">MATERIALS AND METHODS </w:t>
      </w:r>
    </w:p>
    <w:p w14:paraId="7C0830A7" w14:textId="631859DC" w:rsidR="002A00D6" w:rsidRDefault="005020B2" w:rsidP="00476687">
      <w:pPr>
        <w:pStyle w:val="Paragraph"/>
      </w:pPr>
      <w:r>
        <w:t xml:space="preserve">To prepare the iron molybdate solution, dissolve 3.2358 grams of ammonium molybdate in 50 ml of distilled water and 3.4322 grams of ferric nitrate in another 50 ml of distilled water. Each solution should be stirred separately for 30 minutes. After this initial stirring, combine the two solutions and continue to stir the mixture for an additional hour. For the synthesis of gold nanoparticles, dissolve 0.015 grams (0.00002 mol) of HAuCl₄.3H₂O in 50 ml of distilled water and reflux the solution in an oil bath at 90 to 100°C for 1 hour. Slowly add 5 ml of a 1% trisodium citrate (TSC) solution to the refluxed gold solution, continuing to heat until the solution changes color from yellow to wine </w:t>
      </w:r>
      <w:proofErr w:type="spellStart"/>
      <w:r>
        <w:t>red.For</w:t>
      </w:r>
      <w:proofErr w:type="spellEnd"/>
      <w:r>
        <w:t xml:space="preserve"> the carbon solution preparation, dissolve 0.1 grams of carbon derived from seaweed in 25 ml of distilled water and stir the solution for 20 minutes. To combine the solutions, add 10 ml of the gold nanoparticle solution to the prepared iron molybdate solution, and simultaneously add the carbon solution. Stir the combined solution thoroughly for 3 hours. After this, microwave the solution for 10 minutes and allow it to cool for 5 minutes.</w:t>
      </w:r>
    </w:p>
    <w:p w14:paraId="18564989" w14:textId="77777777" w:rsidR="002A00D6" w:rsidRDefault="005020B2" w:rsidP="00476687">
      <w:pPr>
        <w:pStyle w:val="Figure"/>
      </w:pPr>
      <w:r>
        <w:rPr>
          <w:noProof/>
        </w:rPr>
        <w:drawing>
          <wp:inline distT="114300" distB="114300" distL="114300" distR="114300" wp14:anchorId="353687CA" wp14:editId="40C67C0C">
            <wp:extent cx="2316480" cy="2583180"/>
            <wp:effectExtent l="38100" t="38100" r="45720" b="4572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1"/>
                    <a:srcRect/>
                    <a:stretch>
                      <a:fillRect/>
                    </a:stretch>
                  </pic:blipFill>
                  <pic:spPr>
                    <a:xfrm>
                      <a:off x="0" y="0"/>
                      <a:ext cx="2316480" cy="2583180"/>
                    </a:xfrm>
                    <a:prstGeom prst="rect">
                      <a:avLst/>
                    </a:prstGeom>
                    <a:ln w="38100">
                      <a:solidFill>
                        <a:srgbClr val="000000"/>
                      </a:solidFill>
                      <a:prstDash val="solid"/>
                    </a:ln>
                  </pic:spPr>
                </pic:pic>
              </a:graphicData>
            </a:graphic>
          </wp:inline>
        </w:drawing>
      </w:r>
    </w:p>
    <w:p w14:paraId="414FDCCB" w14:textId="5EF61DE2" w:rsidR="002A00D6" w:rsidRDefault="005020B2" w:rsidP="00476687">
      <w:pPr>
        <w:pStyle w:val="FigureCaption"/>
      </w:pPr>
      <w:r w:rsidRPr="00476687">
        <w:rPr>
          <w:b/>
          <w:bCs/>
        </w:rPr>
        <w:t>Fig ;1</w:t>
      </w:r>
      <w:r>
        <w:t xml:space="preserve"> SYNTHESIS OF IRON MOLYBDATE@CARBON Au </w:t>
      </w:r>
    </w:p>
    <w:p w14:paraId="2F5A06A5" w14:textId="77777777" w:rsidR="0027228F" w:rsidRDefault="0027228F" w:rsidP="0027228F">
      <w:pPr>
        <w:pStyle w:val="Paragraph"/>
      </w:pPr>
      <w:r>
        <w:lastRenderedPageBreak/>
        <w:t>Next, centrifuge the solution to separate the precipitate. Filter the precipitate and wash it repeatedly with distilled water, ethanol, and acetone (two times each) to ensure purity. Dry the filtered precipitate in a hot air oven at 80°C for 24 hours, and then calcine the dried powder in a muffle furnace at 450°C for 3 hours.</w:t>
      </w:r>
    </w:p>
    <w:p w14:paraId="2BBDBE6A" w14:textId="77777777" w:rsidR="0027228F" w:rsidRDefault="0027228F" w:rsidP="0027228F">
      <w:pPr>
        <w:pStyle w:val="Paragraph"/>
      </w:pPr>
      <w:r>
        <w:t>Characterization techniques to be used include X-ray Diffraction (XRD) for analyzing the crystalline structure of the synthesized nanocomposites, Transmission Electron Microscopy (TEM) for observing the morphology and size distribution of the nanoparticles, BET Surface Area Analysis to determine the surface area and pore size distribution of the nanocomposites, and X-ray Photoelectron Spectroscopy (XPS) for verifying the chemical composition and surface elements of the nanocomposites</w:t>
      </w:r>
    </w:p>
    <w:p w14:paraId="3B6D9216" w14:textId="414EA511" w:rsidR="002A00D6" w:rsidRDefault="005020B2" w:rsidP="00476687">
      <w:pPr>
        <w:pStyle w:val="Heading1"/>
        <w:rPr>
          <w:szCs w:val="24"/>
        </w:rPr>
      </w:pPr>
      <w:bookmarkStart w:id="4" w:name="_x7rdb2tfehkm" w:colFirst="0" w:colLast="0"/>
      <w:bookmarkEnd w:id="4"/>
      <w:r w:rsidRPr="00476687">
        <w:t>RESULTS</w:t>
      </w:r>
      <w:r>
        <w:t xml:space="preserve"> </w:t>
      </w:r>
    </w:p>
    <w:p w14:paraId="758A22B7" w14:textId="77777777" w:rsidR="002A00D6" w:rsidRDefault="005020B2" w:rsidP="00476687">
      <w:pPr>
        <w:pStyle w:val="Heading2"/>
      </w:pPr>
      <w:bookmarkStart w:id="5" w:name="_22lavmwyyeyr" w:colFirst="0" w:colLast="0"/>
      <w:bookmarkEnd w:id="5"/>
      <w:r>
        <w:t xml:space="preserve">XRD ANALYSIS </w:t>
      </w:r>
    </w:p>
    <w:p w14:paraId="4F62C6AF" w14:textId="77777777" w:rsidR="002A00D6" w:rsidRDefault="005020B2" w:rsidP="00476687">
      <w:pPr>
        <w:pStyle w:val="Figure"/>
      </w:pPr>
      <w:r>
        <w:rPr>
          <w:noProof/>
        </w:rPr>
        <w:drawing>
          <wp:inline distT="114300" distB="114300" distL="114300" distR="114300" wp14:anchorId="1F39E7E5" wp14:editId="0B8201BA">
            <wp:extent cx="5495925" cy="4124325"/>
            <wp:effectExtent l="38100" t="38100" r="38100" b="381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2"/>
                    <a:srcRect l="1733" t="-2770" r="-1733" b="2771"/>
                    <a:stretch>
                      <a:fillRect/>
                    </a:stretch>
                  </pic:blipFill>
                  <pic:spPr>
                    <a:xfrm>
                      <a:off x="0" y="0"/>
                      <a:ext cx="5495925" cy="4124325"/>
                    </a:xfrm>
                    <a:prstGeom prst="rect">
                      <a:avLst/>
                    </a:prstGeom>
                    <a:ln w="38100">
                      <a:solidFill>
                        <a:srgbClr val="000000"/>
                      </a:solidFill>
                      <a:prstDash val="solid"/>
                    </a:ln>
                  </pic:spPr>
                </pic:pic>
              </a:graphicData>
            </a:graphic>
          </wp:inline>
        </w:drawing>
      </w:r>
    </w:p>
    <w:p w14:paraId="72D73EE8" w14:textId="599084C7" w:rsidR="002A00D6" w:rsidRDefault="005020B2" w:rsidP="00476687">
      <w:pPr>
        <w:pStyle w:val="FigureCaption"/>
        <w:rPr>
          <w:sz w:val="24"/>
          <w:szCs w:val="24"/>
        </w:rPr>
      </w:pPr>
      <w:r w:rsidRPr="0027228F">
        <w:rPr>
          <w:b/>
          <w:bCs/>
        </w:rPr>
        <w:t>Fig</w:t>
      </w:r>
      <w:r w:rsidR="0027228F">
        <w:rPr>
          <w:b/>
          <w:bCs/>
        </w:rPr>
        <w:t xml:space="preserve"> 1</w:t>
      </w:r>
      <w:r w:rsidRPr="0027228F">
        <w:rPr>
          <w:b/>
          <w:bCs/>
        </w:rPr>
        <w:t>:</w:t>
      </w:r>
      <w:r w:rsidRPr="0027228F">
        <w:t xml:space="preserve"> </w:t>
      </w:r>
      <w:r w:rsidR="0027228F">
        <w:t>XRD analysis</w:t>
      </w:r>
    </w:p>
    <w:p w14:paraId="46953CC6" w14:textId="1CA4B26C" w:rsidR="002A00D6" w:rsidRDefault="0027228F" w:rsidP="0027228F">
      <w:pPr>
        <w:pStyle w:val="TableCaption"/>
      </w:pPr>
      <w:bookmarkStart w:id="6" w:name="_q7ona8lhduev" w:colFirst="0" w:colLast="0"/>
      <w:bookmarkEnd w:id="6"/>
      <w:r>
        <w:t xml:space="preserve">Table 1: </w:t>
      </w:r>
      <w:r w:rsidR="005020B2">
        <w:t>Peak List</w:t>
      </w:r>
    </w:p>
    <w:tbl>
      <w:tblPr>
        <w:tblStyle w:val="a"/>
        <w:tblW w:w="888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1605"/>
        <w:gridCol w:w="1575"/>
        <w:gridCol w:w="2325"/>
        <w:gridCol w:w="1740"/>
        <w:gridCol w:w="1635"/>
      </w:tblGrid>
      <w:tr w:rsidR="002A00D6" w14:paraId="6382B216" w14:textId="77777777" w:rsidTr="00476687">
        <w:trPr>
          <w:trHeight w:val="270"/>
          <w:jc w:val="center"/>
        </w:trPr>
        <w:tc>
          <w:tcPr>
            <w:tcW w:w="1605" w:type="dxa"/>
            <w:tcBorders>
              <w:top w:val="single" w:sz="8" w:space="0" w:color="008000"/>
              <w:left w:val="nil"/>
              <w:bottom w:val="single" w:sz="4" w:space="0" w:color="008000"/>
              <w:right w:val="nil"/>
            </w:tcBorders>
            <w:tcMar>
              <w:top w:w="0" w:type="dxa"/>
              <w:left w:w="100" w:type="dxa"/>
              <w:bottom w:w="0" w:type="dxa"/>
              <w:right w:w="100" w:type="dxa"/>
            </w:tcMar>
          </w:tcPr>
          <w:p w14:paraId="66494062" w14:textId="77777777" w:rsidR="002A00D6" w:rsidRDefault="005020B2" w:rsidP="00476687">
            <w:pPr>
              <w:pStyle w:val="Paragraph"/>
            </w:pPr>
            <w:r>
              <w:t>Pos. [°2Th.]</w:t>
            </w:r>
          </w:p>
        </w:tc>
        <w:tc>
          <w:tcPr>
            <w:tcW w:w="1575" w:type="dxa"/>
            <w:tcBorders>
              <w:top w:val="single" w:sz="8" w:space="0" w:color="008000"/>
              <w:left w:val="nil"/>
              <w:bottom w:val="single" w:sz="4" w:space="0" w:color="008000"/>
              <w:right w:val="nil"/>
            </w:tcBorders>
            <w:tcMar>
              <w:top w:w="0" w:type="dxa"/>
              <w:left w:w="100" w:type="dxa"/>
              <w:bottom w:w="0" w:type="dxa"/>
              <w:right w:w="100" w:type="dxa"/>
            </w:tcMar>
          </w:tcPr>
          <w:p w14:paraId="2337E23E" w14:textId="77777777" w:rsidR="002A00D6" w:rsidRDefault="005020B2" w:rsidP="00476687">
            <w:pPr>
              <w:pStyle w:val="Paragraph"/>
            </w:pPr>
            <w:r>
              <w:t>Height [</w:t>
            </w:r>
            <w:proofErr w:type="spellStart"/>
            <w:r>
              <w:t>cts</w:t>
            </w:r>
            <w:proofErr w:type="spellEnd"/>
            <w:r>
              <w:t>]</w:t>
            </w:r>
          </w:p>
        </w:tc>
        <w:tc>
          <w:tcPr>
            <w:tcW w:w="2325" w:type="dxa"/>
            <w:tcBorders>
              <w:top w:val="single" w:sz="8" w:space="0" w:color="008000"/>
              <w:left w:val="nil"/>
              <w:bottom w:val="single" w:sz="4" w:space="0" w:color="008000"/>
              <w:right w:val="nil"/>
            </w:tcBorders>
            <w:tcMar>
              <w:top w:w="0" w:type="dxa"/>
              <w:left w:w="100" w:type="dxa"/>
              <w:bottom w:w="0" w:type="dxa"/>
              <w:right w:w="100" w:type="dxa"/>
            </w:tcMar>
          </w:tcPr>
          <w:p w14:paraId="31EF3AEB" w14:textId="77777777" w:rsidR="002A00D6" w:rsidRDefault="005020B2" w:rsidP="00476687">
            <w:pPr>
              <w:pStyle w:val="Paragraph"/>
            </w:pPr>
            <w:r>
              <w:t>FWHM Left [°2Th.]</w:t>
            </w:r>
          </w:p>
        </w:tc>
        <w:tc>
          <w:tcPr>
            <w:tcW w:w="1740" w:type="dxa"/>
            <w:tcBorders>
              <w:top w:val="single" w:sz="8" w:space="0" w:color="008000"/>
              <w:left w:val="nil"/>
              <w:bottom w:val="single" w:sz="4" w:space="0" w:color="008000"/>
              <w:right w:val="nil"/>
            </w:tcBorders>
            <w:tcMar>
              <w:top w:w="0" w:type="dxa"/>
              <w:left w:w="100" w:type="dxa"/>
              <w:bottom w:w="0" w:type="dxa"/>
              <w:right w:w="100" w:type="dxa"/>
            </w:tcMar>
          </w:tcPr>
          <w:p w14:paraId="41B40D68" w14:textId="77777777" w:rsidR="002A00D6" w:rsidRDefault="005020B2" w:rsidP="00476687">
            <w:pPr>
              <w:pStyle w:val="Paragraph"/>
            </w:pPr>
            <w:r>
              <w:t>d-spacing [Å]</w:t>
            </w:r>
          </w:p>
        </w:tc>
        <w:tc>
          <w:tcPr>
            <w:tcW w:w="1635" w:type="dxa"/>
            <w:tcBorders>
              <w:top w:val="single" w:sz="8" w:space="0" w:color="008000"/>
              <w:left w:val="nil"/>
              <w:bottom w:val="single" w:sz="4" w:space="0" w:color="008000"/>
              <w:right w:val="nil"/>
            </w:tcBorders>
            <w:tcMar>
              <w:top w:w="0" w:type="dxa"/>
              <w:left w:w="100" w:type="dxa"/>
              <w:bottom w:w="0" w:type="dxa"/>
              <w:right w:w="100" w:type="dxa"/>
            </w:tcMar>
          </w:tcPr>
          <w:p w14:paraId="337325ED" w14:textId="77777777" w:rsidR="002A00D6" w:rsidRDefault="005020B2" w:rsidP="00476687">
            <w:pPr>
              <w:pStyle w:val="Paragraph"/>
            </w:pPr>
            <w:r>
              <w:t>Rel. Int. [%]</w:t>
            </w:r>
          </w:p>
        </w:tc>
      </w:tr>
      <w:tr w:rsidR="002A00D6" w14:paraId="54374237" w14:textId="77777777" w:rsidTr="00476687">
        <w:trPr>
          <w:trHeight w:val="255"/>
          <w:jc w:val="center"/>
        </w:trPr>
        <w:tc>
          <w:tcPr>
            <w:tcW w:w="1605" w:type="dxa"/>
            <w:tcBorders>
              <w:top w:val="nil"/>
              <w:left w:val="nil"/>
              <w:bottom w:val="nil"/>
              <w:right w:val="nil"/>
            </w:tcBorders>
            <w:tcMar>
              <w:top w:w="0" w:type="dxa"/>
              <w:left w:w="100" w:type="dxa"/>
              <w:bottom w:w="0" w:type="dxa"/>
              <w:right w:w="100" w:type="dxa"/>
            </w:tcMar>
          </w:tcPr>
          <w:p w14:paraId="27F6F0A7" w14:textId="77777777" w:rsidR="002A00D6" w:rsidRDefault="005020B2" w:rsidP="00476687">
            <w:pPr>
              <w:pStyle w:val="Paragraph"/>
            </w:pPr>
            <w:r>
              <w:t>23.2961</w:t>
            </w:r>
          </w:p>
        </w:tc>
        <w:tc>
          <w:tcPr>
            <w:tcW w:w="1575" w:type="dxa"/>
            <w:tcBorders>
              <w:top w:val="nil"/>
              <w:left w:val="nil"/>
              <w:bottom w:val="nil"/>
              <w:right w:val="nil"/>
            </w:tcBorders>
            <w:tcMar>
              <w:top w:w="0" w:type="dxa"/>
              <w:left w:w="100" w:type="dxa"/>
              <w:bottom w:w="0" w:type="dxa"/>
              <w:right w:w="100" w:type="dxa"/>
            </w:tcMar>
          </w:tcPr>
          <w:p w14:paraId="477AF768" w14:textId="77777777" w:rsidR="002A00D6" w:rsidRDefault="005020B2" w:rsidP="00476687">
            <w:pPr>
              <w:pStyle w:val="Paragraph"/>
            </w:pPr>
            <w:r>
              <w:t>43.39</w:t>
            </w:r>
          </w:p>
        </w:tc>
        <w:tc>
          <w:tcPr>
            <w:tcW w:w="2325" w:type="dxa"/>
            <w:tcBorders>
              <w:top w:val="nil"/>
              <w:left w:val="nil"/>
              <w:bottom w:val="nil"/>
              <w:right w:val="nil"/>
            </w:tcBorders>
            <w:tcMar>
              <w:top w:w="0" w:type="dxa"/>
              <w:left w:w="100" w:type="dxa"/>
              <w:bottom w:w="0" w:type="dxa"/>
              <w:right w:w="100" w:type="dxa"/>
            </w:tcMar>
          </w:tcPr>
          <w:p w14:paraId="53722839" w14:textId="77777777" w:rsidR="002A00D6" w:rsidRDefault="005020B2" w:rsidP="00476687">
            <w:pPr>
              <w:pStyle w:val="Paragraph"/>
            </w:pPr>
            <w:r>
              <w:t>0.2362</w:t>
            </w:r>
          </w:p>
        </w:tc>
        <w:tc>
          <w:tcPr>
            <w:tcW w:w="1740" w:type="dxa"/>
            <w:tcBorders>
              <w:top w:val="nil"/>
              <w:left w:val="nil"/>
              <w:bottom w:val="nil"/>
              <w:right w:val="nil"/>
            </w:tcBorders>
            <w:tcMar>
              <w:top w:w="0" w:type="dxa"/>
              <w:left w:w="100" w:type="dxa"/>
              <w:bottom w:w="0" w:type="dxa"/>
              <w:right w:w="100" w:type="dxa"/>
            </w:tcMar>
          </w:tcPr>
          <w:p w14:paraId="5D7DEB92" w14:textId="77777777" w:rsidR="002A00D6" w:rsidRDefault="005020B2" w:rsidP="00476687">
            <w:pPr>
              <w:pStyle w:val="Paragraph"/>
            </w:pPr>
            <w:r>
              <w:t>3.81843</w:t>
            </w:r>
          </w:p>
        </w:tc>
        <w:tc>
          <w:tcPr>
            <w:tcW w:w="1635" w:type="dxa"/>
            <w:tcBorders>
              <w:top w:val="nil"/>
              <w:left w:val="nil"/>
              <w:bottom w:val="nil"/>
              <w:right w:val="nil"/>
            </w:tcBorders>
            <w:tcMar>
              <w:top w:w="0" w:type="dxa"/>
              <w:left w:w="100" w:type="dxa"/>
              <w:bottom w:w="0" w:type="dxa"/>
              <w:right w:w="100" w:type="dxa"/>
            </w:tcMar>
          </w:tcPr>
          <w:p w14:paraId="42C32A36" w14:textId="77777777" w:rsidR="002A00D6" w:rsidRDefault="005020B2" w:rsidP="00476687">
            <w:pPr>
              <w:pStyle w:val="Paragraph"/>
            </w:pPr>
            <w:r>
              <w:t>66.17</w:t>
            </w:r>
          </w:p>
        </w:tc>
      </w:tr>
      <w:tr w:rsidR="002A00D6" w14:paraId="6DC6FD19" w14:textId="77777777" w:rsidTr="00476687">
        <w:trPr>
          <w:trHeight w:val="255"/>
          <w:jc w:val="center"/>
        </w:trPr>
        <w:tc>
          <w:tcPr>
            <w:tcW w:w="1605" w:type="dxa"/>
            <w:tcBorders>
              <w:top w:val="nil"/>
              <w:left w:val="nil"/>
              <w:bottom w:val="nil"/>
              <w:right w:val="nil"/>
            </w:tcBorders>
            <w:tcMar>
              <w:top w:w="0" w:type="dxa"/>
              <w:left w:w="100" w:type="dxa"/>
              <w:bottom w:w="0" w:type="dxa"/>
              <w:right w:w="100" w:type="dxa"/>
            </w:tcMar>
          </w:tcPr>
          <w:p w14:paraId="66F427B2" w14:textId="77777777" w:rsidR="002A00D6" w:rsidRDefault="005020B2" w:rsidP="00476687">
            <w:pPr>
              <w:pStyle w:val="Paragraph"/>
            </w:pPr>
            <w:r>
              <w:t>25.9068</w:t>
            </w:r>
          </w:p>
        </w:tc>
        <w:tc>
          <w:tcPr>
            <w:tcW w:w="1575" w:type="dxa"/>
            <w:tcBorders>
              <w:top w:val="nil"/>
              <w:left w:val="nil"/>
              <w:bottom w:val="nil"/>
              <w:right w:val="nil"/>
            </w:tcBorders>
            <w:tcMar>
              <w:top w:w="0" w:type="dxa"/>
              <w:left w:w="100" w:type="dxa"/>
              <w:bottom w:w="0" w:type="dxa"/>
              <w:right w:w="100" w:type="dxa"/>
            </w:tcMar>
          </w:tcPr>
          <w:p w14:paraId="3FA3D133" w14:textId="77777777" w:rsidR="002A00D6" w:rsidRDefault="005020B2" w:rsidP="00476687">
            <w:pPr>
              <w:pStyle w:val="Paragraph"/>
            </w:pPr>
            <w:r>
              <w:t>17.30</w:t>
            </w:r>
          </w:p>
        </w:tc>
        <w:tc>
          <w:tcPr>
            <w:tcW w:w="2325" w:type="dxa"/>
            <w:tcBorders>
              <w:top w:val="nil"/>
              <w:left w:val="nil"/>
              <w:bottom w:val="nil"/>
              <w:right w:val="nil"/>
            </w:tcBorders>
            <w:tcMar>
              <w:top w:w="0" w:type="dxa"/>
              <w:left w:w="100" w:type="dxa"/>
              <w:bottom w:w="0" w:type="dxa"/>
              <w:right w:w="100" w:type="dxa"/>
            </w:tcMar>
          </w:tcPr>
          <w:p w14:paraId="0A9D5CD5" w14:textId="77777777" w:rsidR="002A00D6" w:rsidRDefault="005020B2" w:rsidP="00476687">
            <w:pPr>
              <w:pStyle w:val="Paragraph"/>
            </w:pPr>
            <w:r>
              <w:t>0.9446</w:t>
            </w:r>
          </w:p>
        </w:tc>
        <w:tc>
          <w:tcPr>
            <w:tcW w:w="1740" w:type="dxa"/>
            <w:tcBorders>
              <w:top w:val="nil"/>
              <w:left w:val="nil"/>
              <w:bottom w:val="nil"/>
              <w:right w:val="nil"/>
            </w:tcBorders>
            <w:tcMar>
              <w:top w:w="0" w:type="dxa"/>
              <w:left w:w="100" w:type="dxa"/>
              <w:bottom w:w="0" w:type="dxa"/>
              <w:right w:w="100" w:type="dxa"/>
            </w:tcMar>
          </w:tcPr>
          <w:p w14:paraId="51FF1FE9" w14:textId="77777777" w:rsidR="002A00D6" w:rsidRDefault="005020B2" w:rsidP="00476687">
            <w:pPr>
              <w:pStyle w:val="Paragraph"/>
            </w:pPr>
            <w:r>
              <w:t>3.43925</w:t>
            </w:r>
          </w:p>
        </w:tc>
        <w:tc>
          <w:tcPr>
            <w:tcW w:w="1635" w:type="dxa"/>
            <w:tcBorders>
              <w:top w:val="nil"/>
              <w:left w:val="nil"/>
              <w:bottom w:val="nil"/>
              <w:right w:val="nil"/>
            </w:tcBorders>
            <w:tcMar>
              <w:top w:w="0" w:type="dxa"/>
              <w:left w:w="100" w:type="dxa"/>
              <w:bottom w:w="0" w:type="dxa"/>
              <w:right w:w="100" w:type="dxa"/>
            </w:tcMar>
          </w:tcPr>
          <w:p w14:paraId="437800E4" w14:textId="77777777" w:rsidR="002A00D6" w:rsidRDefault="005020B2" w:rsidP="00476687">
            <w:pPr>
              <w:pStyle w:val="Paragraph"/>
            </w:pPr>
            <w:r>
              <w:t>26.39</w:t>
            </w:r>
          </w:p>
        </w:tc>
      </w:tr>
      <w:tr w:rsidR="002A00D6" w14:paraId="405574B7" w14:textId="77777777" w:rsidTr="00476687">
        <w:trPr>
          <w:trHeight w:val="255"/>
          <w:jc w:val="center"/>
        </w:trPr>
        <w:tc>
          <w:tcPr>
            <w:tcW w:w="1605" w:type="dxa"/>
            <w:tcBorders>
              <w:top w:val="nil"/>
              <w:left w:val="nil"/>
              <w:bottom w:val="nil"/>
              <w:right w:val="nil"/>
            </w:tcBorders>
            <w:tcMar>
              <w:top w:w="0" w:type="dxa"/>
              <w:left w:w="100" w:type="dxa"/>
              <w:bottom w:w="0" w:type="dxa"/>
              <w:right w:w="100" w:type="dxa"/>
            </w:tcMar>
          </w:tcPr>
          <w:p w14:paraId="05E892DC" w14:textId="77777777" w:rsidR="002A00D6" w:rsidRDefault="005020B2" w:rsidP="00476687">
            <w:pPr>
              <w:pStyle w:val="Paragraph"/>
            </w:pPr>
            <w:r>
              <w:t>27.7109</w:t>
            </w:r>
          </w:p>
        </w:tc>
        <w:tc>
          <w:tcPr>
            <w:tcW w:w="1575" w:type="dxa"/>
            <w:tcBorders>
              <w:top w:val="nil"/>
              <w:left w:val="nil"/>
              <w:bottom w:val="nil"/>
              <w:right w:val="nil"/>
            </w:tcBorders>
            <w:tcMar>
              <w:top w:w="0" w:type="dxa"/>
              <w:left w:w="100" w:type="dxa"/>
              <w:bottom w:w="0" w:type="dxa"/>
              <w:right w:w="100" w:type="dxa"/>
            </w:tcMar>
          </w:tcPr>
          <w:p w14:paraId="4656AF41" w14:textId="77777777" w:rsidR="002A00D6" w:rsidRDefault="005020B2" w:rsidP="00476687">
            <w:pPr>
              <w:pStyle w:val="Paragraph"/>
            </w:pPr>
            <w:r>
              <w:t>65.57</w:t>
            </w:r>
          </w:p>
        </w:tc>
        <w:tc>
          <w:tcPr>
            <w:tcW w:w="2325" w:type="dxa"/>
            <w:tcBorders>
              <w:top w:val="nil"/>
              <w:left w:val="nil"/>
              <w:bottom w:val="nil"/>
              <w:right w:val="nil"/>
            </w:tcBorders>
            <w:tcMar>
              <w:top w:w="0" w:type="dxa"/>
              <w:left w:w="100" w:type="dxa"/>
              <w:bottom w:w="0" w:type="dxa"/>
              <w:right w:w="100" w:type="dxa"/>
            </w:tcMar>
          </w:tcPr>
          <w:p w14:paraId="068E2656" w14:textId="77777777" w:rsidR="002A00D6" w:rsidRDefault="005020B2" w:rsidP="00476687">
            <w:pPr>
              <w:pStyle w:val="Paragraph"/>
            </w:pPr>
            <w:r>
              <w:t>0.1968</w:t>
            </w:r>
          </w:p>
        </w:tc>
        <w:tc>
          <w:tcPr>
            <w:tcW w:w="1740" w:type="dxa"/>
            <w:tcBorders>
              <w:top w:val="nil"/>
              <w:left w:val="nil"/>
              <w:bottom w:val="nil"/>
              <w:right w:val="nil"/>
            </w:tcBorders>
            <w:tcMar>
              <w:top w:w="0" w:type="dxa"/>
              <w:left w:w="100" w:type="dxa"/>
              <w:bottom w:w="0" w:type="dxa"/>
              <w:right w:w="100" w:type="dxa"/>
            </w:tcMar>
          </w:tcPr>
          <w:p w14:paraId="16615CEE" w14:textId="77777777" w:rsidR="002A00D6" w:rsidRDefault="005020B2" w:rsidP="00476687">
            <w:pPr>
              <w:pStyle w:val="Paragraph"/>
            </w:pPr>
            <w:r>
              <w:t>3.21930</w:t>
            </w:r>
          </w:p>
        </w:tc>
        <w:tc>
          <w:tcPr>
            <w:tcW w:w="1635" w:type="dxa"/>
            <w:tcBorders>
              <w:top w:val="nil"/>
              <w:left w:val="nil"/>
              <w:bottom w:val="nil"/>
              <w:right w:val="nil"/>
            </w:tcBorders>
            <w:tcMar>
              <w:top w:w="0" w:type="dxa"/>
              <w:left w:w="100" w:type="dxa"/>
              <w:bottom w:w="0" w:type="dxa"/>
              <w:right w:w="100" w:type="dxa"/>
            </w:tcMar>
          </w:tcPr>
          <w:p w14:paraId="3036C5F7" w14:textId="77777777" w:rsidR="002A00D6" w:rsidRDefault="005020B2" w:rsidP="00476687">
            <w:pPr>
              <w:pStyle w:val="Paragraph"/>
            </w:pPr>
            <w:r>
              <w:t>100.00</w:t>
            </w:r>
          </w:p>
        </w:tc>
      </w:tr>
      <w:tr w:rsidR="002A00D6" w14:paraId="1481012C" w14:textId="77777777" w:rsidTr="00476687">
        <w:trPr>
          <w:trHeight w:val="255"/>
          <w:jc w:val="center"/>
        </w:trPr>
        <w:tc>
          <w:tcPr>
            <w:tcW w:w="1605" w:type="dxa"/>
            <w:tcBorders>
              <w:top w:val="nil"/>
              <w:left w:val="nil"/>
              <w:bottom w:val="nil"/>
              <w:right w:val="nil"/>
            </w:tcBorders>
            <w:tcMar>
              <w:top w:w="0" w:type="dxa"/>
              <w:left w:w="100" w:type="dxa"/>
              <w:bottom w:w="0" w:type="dxa"/>
              <w:right w:w="100" w:type="dxa"/>
            </w:tcMar>
          </w:tcPr>
          <w:p w14:paraId="296B5E1C" w14:textId="77777777" w:rsidR="002A00D6" w:rsidRDefault="005020B2" w:rsidP="00476687">
            <w:pPr>
              <w:pStyle w:val="Paragraph"/>
            </w:pPr>
            <w:r>
              <w:t>34.1988</w:t>
            </w:r>
          </w:p>
        </w:tc>
        <w:tc>
          <w:tcPr>
            <w:tcW w:w="1575" w:type="dxa"/>
            <w:tcBorders>
              <w:top w:val="nil"/>
              <w:left w:val="nil"/>
              <w:bottom w:val="nil"/>
              <w:right w:val="nil"/>
            </w:tcBorders>
            <w:tcMar>
              <w:top w:w="0" w:type="dxa"/>
              <w:left w:w="100" w:type="dxa"/>
              <w:bottom w:w="0" w:type="dxa"/>
              <w:right w:w="100" w:type="dxa"/>
            </w:tcMar>
          </w:tcPr>
          <w:p w14:paraId="1706128B" w14:textId="77777777" w:rsidR="002A00D6" w:rsidRDefault="005020B2" w:rsidP="00476687">
            <w:pPr>
              <w:pStyle w:val="Paragraph"/>
            </w:pPr>
            <w:r>
              <w:t>25.98</w:t>
            </w:r>
          </w:p>
        </w:tc>
        <w:tc>
          <w:tcPr>
            <w:tcW w:w="2325" w:type="dxa"/>
            <w:tcBorders>
              <w:top w:val="nil"/>
              <w:left w:val="nil"/>
              <w:bottom w:val="nil"/>
              <w:right w:val="nil"/>
            </w:tcBorders>
            <w:tcMar>
              <w:top w:w="0" w:type="dxa"/>
              <w:left w:w="100" w:type="dxa"/>
              <w:bottom w:w="0" w:type="dxa"/>
              <w:right w:w="100" w:type="dxa"/>
            </w:tcMar>
          </w:tcPr>
          <w:p w14:paraId="5F022514" w14:textId="77777777" w:rsidR="002A00D6" w:rsidRDefault="005020B2" w:rsidP="00476687">
            <w:pPr>
              <w:pStyle w:val="Paragraph"/>
            </w:pPr>
            <w:r>
              <w:t>0.6298</w:t>
            </w:r>
          </w:p>
        </w:tc>
        <w:tc>
          <w:tcPr>
            <w:tcW w:w="1740" w:type="dxa"/>
            <w:tcBorders>
              <w:top w:val="nil"/>
              <w:left w:val="nil"/>
              <w:bottom w:val="nil"/>
              <w:right w:val="nil"/>
            </w:tcBorders>
            <w:tcMar>
              <w:top w:w="0" w:type="dxa"/>
              <w:left w:w="100" w:type="dxa"/>
              <w:bottom w:w="0" w:type="dxa"/>
              <w:right w:w="100" w:type="dxa"/>
            </w:tcMar>
          </w:tcPr>
          <w:p w14:paraId="70554E26" w14:textId="77777777" w:rsidR="002A00D6" w:rsidRDefault="005020B2" w:rsidP="00476687">
            <w:pPr>
              <w:pStyle w:val="Paragraph"/>
            </w:pPr>
            <w:r>
              <w:t>2.62197</w:t>
            </w:r>
          </w:p>
        </w:tc>
        <w:tc>
          <w:tcPr>
            <w:tcW w:w="1635" w:type="dxa"/>
            <w:tcBorders>
              <w:top w:val="nil"/>
              <w:left w:val="nil"/>
              <w:bottom w:val="nil"/>
              <w:right w:val="nil"/>
            </w:tcBorders>
            <w:tcMar>
              <w:top w:w="0" w:type="dxa"/>
              <w:left w:w="100" w:type="dxa"/>
              <w:bottom w:w="0" w:type="dxa"/>
              <w:right w:w="100" w:type="dxa"/>
            </w:tcMar>
          </w:tcPr>
          <w:p w14:paraId="13A3F880" w14:textId="77777777" w:rsidR="002A00D6" w:rsidRDefault="005020B2" w:rsidP="00476687">
            <w:pPr>
              <w:pStyle w:val="Paragraph"/>
            </w:pPr>
            <w:r>
              <w:t>39.63</w:t>
            </w:r>
          </w:p>
        </w:tc>
      </w:tr>
      <w:tr w:rsidR="002A00D6" w14:paraId="3633806F" w14:textId="77777777" w:rsidTr="00476687">
        <w:trPr>
          <w:trHeight w:val="255"/>
          <w:jc w:val="center"/>
        </w:trPr>
        <w:tc>
          <w:tcPr>
            <w:tcW w:w="1605" w:type="dxa"/>
            <w:tcBorders>
              <w:top w:val="nil"/>
              <w:left w:val="nil"/>
              <w:bottom w:val="nil"/>
              <w:right w:val="nil"/>
            </w:tcBorders>
            <w:tcMar>
              <w:top w:w="0" w:type="dxa"/>
              <w:left w:w="100" w:type="dxa"/>
              <w:bottom w:w="0" w:type="dxa"/>
              <w:right w:w="100" w:type="dxa"/>
            </w:tcMar>
          </w:tcPr>
          <w:p w14:paraId="3416B114" w14:textId="77777777" w:rsidR="002A00D6" w:rsidRDefault="005020B2" w:rsidP="00476687">
            <w:pPr>
              <w:pStyle w:val="Paragraph"/>
            </w:pPr>
            <w:r>
              <w:t>53.1992</w:t>
            </w:r>
          </w:p>
        </w:tc>
        <w:tc>
          <w:tcPr>
            <w:tcW w:w="1575" w:type="dxa"/>
            <w:tcBorders>
              <w:top w:val="nil"/>
              <w:left w:val="nil"/>
              <w:bottom w:val="nil"/>
              <w:right w:val="nil"/>
            </w:tcBorders>
            <w:tcMar>
              <w:top w:w="0" w:type="dxa"/>
              <w:left w:w="100" w:type="dxa"/>
              <w:bottom w:w="0" w:type="dxa"/>
              <w:right w:w="100" w:type="dxa"/>
            </w:tcMar>
          </w:tcPr>
          <w:p w14:paraId="659419AA" w14:textId="77777777" w:rsidR="002A00D6" w:rsidRDefault="005020B2" w:rsidP="00476687">
            <w:pPr>
              <w:pStyle w:val="Paragraph"/>
            </w:pPr>
            <w:r>
              <w:t>26.73</w:t>
            </w:r>
          </w:p>
        </w:tc>
        <w:tc>
          <w:tcPr>
            <w:tcW w:w="2325" w:type="dxa"/>
            <w:tcBorders>
              <w:top w:val="nil"/>
              <w:left w:val="nil"/>
              <w:bottom w:val="nil"/>
              <w:right w:val="nil"/>
            </w:tcBorders>
            <w:tcMar>
              <w:top w:w="0" w:type="dxa"/>
              <w:left w:w="100" w:type="dxa"/>
              <w:bottom w:w="0" w:type="dxa"/>
              <w:right w:w="100" w:type="dxa"/>
            </w:tcMar>
          </w:tcPr>
          <w:p w14:paraId="7DA980F2" w14:textId="77777777" w:rsidR="002A00D6" w:rsidRDefault="005020B2" w:rsidP="00476687">
            <w:pPr>
              <w:pStyle w:val="Paragraph"/>
            </w:pPr>
            <w:r>
              <w:t>0.6298</w:t>
            </w:r>
          </w:p>
        </w:tc>
        <w:tc>
          <w:tcPr>
            <w:tcW w:w="1740" w:type="dxa"/>
            <w:tcBorders>
              <w:top w:val="nil"/>
              <w:left w:val="nil"/>
              <w:bottom w:val="nil"/>
              <w:right w:val="nil"/>
            </w:tcBorders>
            <w:tcMar>
              <w:top w:w="0" w:type="dxa"/>
              <w:left w:w="100" w:type="dxa"/>
              <w:bottom w:w="0" w:type="dxa"/>
              <w:right w:w="100" w:type="dxa"/>
            </w:tcMar>
          </w:tcPr>
          <w:p w14:paraId="6AC4BD38" w14:textId="77777777" w:rsidR="002A00D6" w:rsidRDefault="005020B2" w:rsidP="00476687">
            <w:pPr>
              <w:pStyle w:val="Paragraph"/>
            </w:pPr>
            <w:r>
              <w:t>1.72179</w:t>
            </w:r>
          </w:p>
        </w:tc>
        <w:tc>
          <w:tcPr>
            <w:tcW w:w="1635" w:type="dxa"/>
            <w:tcBorders>
              <w:top w:val="nil"/>
              <w:left w:val="nil"/>
              <w:bottom w:val="nil"/>
              <w:right w:val="nil"/>
            </w:tcBorders>
            <w:tcMar>
              <w:top w:w="0" w:type="dxa"/>
              <w:left w:w="100" w:type="dxa"/>
              <w:bottom w:w="0" w:type="dxa"/>
              <w:right w:w="100" w:type="dxa"/>
            </w:tcMar>
          </w:tcPr>
          <w:p w14:paraId="189C108C" w14:textId="77777777" w:rsidR="002A00D6" w:rsidRDefault="005020B2" w:rsidP="00476687">
            <w:pPr>
              <w:pStyle w:val="Paragraph"/>
            </w:pPr>
            <w:r>
              <w:t>40.77</w:t>
            </w:r>
          </w:p>
        </w:tc>
      </w:tr>
      <w:tr w:rsidR="002A00D6" w14:paraId="71BF932B" w14:textId="77777777" w:rsidTr="00476687">
        <w:trPr>
          <w:trHeight w:val="255"/>
          <w:jc w:val="center"/>
        </w:trPr>
        <w:tc>
          <w:tcPr>
            <w:tcW w:w="1605" w:type="dxa"/>
            <w:tcBorders>
              <w:top w:val="nil"/>
              <w:left w:val="nil"/>
              <w:bottom w:val="nil"/>
              <w:right w:val="nil"/>
            </w:tcBorders>
            <w:tcMar>
              <w:top w:w="0" w:type="dxa"/>
              <w:left w:w="100" w:type="dxa"/>
              <w:bottom w:w="0" w:type="dxa"/>
              <w:right w:w="100" w:type="dxa"/>
            </w:tcMar>
          </w:tcPr>
          <w:p w14:paraId="70D2F74A" w14:textId="77777777" w:rsidR="002A00D6" w:rsidRDefault="005020B2" w:rsidP="00476687">
            <w:pPr>
              <w:pStyle w:val="Paragraph"/>
            </w:pPr>
            <w:r>
              <w:t>55.7276</w:t>
            </w:r>
          </w:p>
        </w:tc>
        <w:tc>
          <w:tcPr>
            <w:tcW w:w="1575" w:type="dxa"/>
            <w:tcBorders>
              <w:top w:val="nil"/>
              <w:left w:val="nil"/>
              <w:bottom w:val="nil"/>
              <w:right w:val="nil"/>
            </w:tcBorders>
            <w:tcMar>
              <w:top w:w="0" w:type="dxa"/>
              <w:left w:w="100" w:type="dxa"/>
              <w:bottom w:w="0" w:type="dxa"/>
              <w:right w:w="100" w:type="dxa"/>
            </w:tcMar>
          </w:tcPr>
          <w:p w14:paraId="6865D155" w14:textId="77777777" w:rsidR="002A00D6" w:rsidRDefault="005020B2" w:rsidP="00476687">
            <w:pPr>
              <w:pStyle w:val="Paragraph"/>
            </w:pPr>
            <w:r>
              <w:t>24.42</w:t>
            </w:r>
          </w:p>
        </w:tc>
        <w:tc>
          <w:tcPr>
            <w:tcW w:w="2325" w:type="dxa"/>
            <w:tcBorders>
              <w:top w:val="nil"/>
              <w:left w:val="nil"/>
              <w:bottom w:val="nil"/>
              <w:right w:val="nil"/>
            </w:tcBorders>
            <w:tcMar>
              <w:top w:w="0" w:type="dxa"/>
              <w:left w:w="100" w:type="dxa"/>
              <w:bottom w:w="0" w:type="dxa"/>
              <w:right w:w="100" w:type="dxa"/>
            </w:tcMar>
          </w:tcPr>
          <w:p w14:paraId="251CA909" w14:textId="77777777" w:rsidR="002A00D6" w:rsidRDefault="005020B2" w:rsidP="00476687">
            <w:pPr>
              <w:pStyle w:val="Paragraph"/>
            </w:pPr>
            <w:r>
              <w:t>0.4723</w:t>
            </w:r>
          </w:p>
        </w:tc>
        <w:tc>
          <w:tcPr>
            <w:tcW w:w="1740" w:type="dxa"/>
            <w:tcBorders>
              <w:top w:val="nil"/>
              <w:left w:val="nil"/>
              <w:bottom w:val="nil"/>
              <w:right w:val="nil"/>
            </w:tcBorders>
            <w:tcMar>
              <w:top w:w="0" w:type="dxa"/>
              <w:left w:w="100" w:type="dxa"/>
              <w:bottom w:w="0" w:type="dxa"/>
              <w:right w:w="100" w:type="dxa"/>
            </w:tcMar>
          </w:tcPr>
          <w:p w14:paraId="578D7B1C" w14:textId="77777777" w:rsidR="002A00D6" w:rsidRDefault="005020B2" w:rsidP="00476687">
            <w:pPr>
              <w:pStyle w:val="Paragraph"/>
            </w:pPr>
            <w:r>
              <w:t>1.64952</w:t>
            </w:r>
          </w:p>
        </w:tc>
        <w:tc>
          <w:tcPr>
            <w:tcW w:w="1635" w:type="dxa"/>
            <w:tcBorders>
              <w:top w:val="nil"/>
              <w:left w:val="nil"/>
              <w:bottom w:val="nil"/>
              <w:right w:val="nil"/>
            </w:tcBorders>
            <w:tcMar>
              <w:top w:w="0" w:type="dxa"/>
              <w:left w:w="100" w:type="dxa"/>
              <w:bottom w:w="0" w:type="dxa"/>
              <w:right w:w="100" w:type="dxa"/>
            </w:tcMar>
          </w:tcPr>
          <w:p w14:paraId="69B8CDE4" w14:textId="77777777" w:rsidR="002A00D6" w:rsidRDefault="005020B2" w:rsidP="00476687">
            <w:pPr>
              <w:pStyle w:val="Paragraph"/>
            </w:pPr>
            <w:r>
              <w:t>37.24</w:t>
            </w:r>
          </w:p>
        </w:tc>
      </w:tr>
      <w:tr w:rsidR="002A00D6" w14:paraId="6E5F6196" w14:textId="77777777" w:rsidTr="00476687">
        <w:trPr>
          <w:trHeight w:val="255"/>
          <w:jc w:val="center"/>
        </w:trPr>
        <w:tc>
          <w:tcPr>
            <w:tcW w:w="1605" w:type="dxa"/>
            <w:tcBorders>
              <w:top w:val="nil"/>
              <w:left w:val="nil"/>
              <w:bottom w:val="single" w:sz="4" w:space="0" w:color="auto"/>
              <w:right w:val="nil"/>
            </w:tcBorders>
            <w:tcMar>
              <w:top w:w="0" w:type="dxa"/>
              <w:left w:w="100" w:type="dxa"/>
              <w:bottom w:w="0" w:type="dxa"/>
              <w:right w:w="100" w:type="dxa"/>
            </w:tcMar>
          </w:tcPr>
          <w:p w14:paraId="5D7DD5AD" w14:textId="77777777" w:rsidR="002A00D6" w:rsidRDefault="005020B2" w:rsidP="00476687">
            <w:pPr>
              <w:pStyle w:val="Paragraph"/>
            </w:pPr>
            <w:r>
              <w:t>56.7649</w:t>
            </w:r>
          </w:p>
        </w:tc>
        <w:tc>
          <w:tcPr>
            <w:tcW w:w="1575" w:type="dxa"/>
            <w:tcBorders>
              <w:top w:val="nil"/>
              <w:left w:val="nil"/>
              <w:bottom w:val="single" w:sz="4" w:space="0" w:color="auto"/>
              <w:right w:val="nil"/>
            </w:tcBorders>
            <w:tcMar>
              <w:top w:w="0" w:type="dxa"/>
              <w:left w:w="100" w:type="dxa"/>
              <w:bottom w:w="0" w:type="dxa"/>
              <w:right w:w="100" w:type="dxa"/>
            </w:tcMar>
          </w:tcPr>
          <w:p w14:paraId="3F7B2DD5" w14:textId="77777777" w:rsidR="002A00D6" w:rsidRDefault="005020B2" w:rsidP="00476687">
            <w:pPr>
              <w:pStyle w:val="Paragraph"/>
            </w:pPr>
            <w:r>
              <w:t>29.09</w:t>
            </w:r>
          </w:p>
        </w:tc>
        <w:tc>
          <w:tcPr>
            <w:tcW w:w="2325" w:type="dxa"/>
            <w:tcBorders>
              <w:top w:val="nil"/>
              <w:left w:val="nil"/>
              <w:bottom w:val="single" w:sz="4" w:space="0" w:color="auto"/>
              <w:right w:val="nil"/>
            </w:tcBorders>
            <w:tcMar>
              <w:top w:w="0" w:type="dxa"/>
              <w:left w:w="100" w:type="dxa"/>
              <w:bottom w:w="0" w:type="dxa"/>
              <w:right w:w="100" w:type="dxa"/>
            </w:tcMar>
          </w:tcPr>
          <w:p w14:paraId="739A1200" w14:textId="77777777" w:rsidR="002A00D6" w:rsidRDefault="005020B2" w:rsidP="00476687">
            <w:pPr>
              <w:pStyle w:val="Paragraph"/>
            </w:pPr>
            <w:r>
              <w:t>0.4723</w:t>
            </w:r>
          </w:p>
        </w:tc>
        <w:tc>
          <w:tcPr>
            <w:tcW w:w="1740" w:type="dxa"/>
            <w:tcBorders>
              <w:top w:val="nil"/>
              <w:left w:val="nil"/>
              <w:bottom w:val="single" w:sz="4" w:space="0" w:color="auto"/>
              <w:right w:val="nil"/>
            </w:tcBorders>
            <w:tcMar>
              <w:top w:w="0" w:type="dxa"/>
              <w:left w:w="100" w:type="dxa"/>
              <w:bottom w:w="0" w:type="dxa"/>
              <w:right w:w="100" w:type="dxa"/>
            </w:tcMar>
          </w:tcPr>
          <w:p w14:paraId="78B19118" w14:textId="77777777" w:rsidR="002A00D6" w:rsidRDefault="005020B2" w:rsidP="00476687">
            <w:pPr>
              <w:pStyle w:val="Paragraph"/>
            </w:pPr>
            <w:r>
              <w:t>1.62181</w:t>
            </w:r>
          </w:p>
        </w:tc>
        <w:tc>
          <w:tcPr>
            <w:tcW w:w="1635" w:type="dxa"/>
            <w:tcBorders>
              <w:top w:val="nil"/>
              <w:left w:val="nil"/>
              <w:bottom w:val="single" w:sz="4" w:space="0" w:color="auto"/>
              <w:right w:val="nil"/>
            </w:tcBorders>
            <w:tcMar>
              <w:top w:w="0" w:type="dxa"/>
              <w:left w:w="100" w:type="dxa"/>
              <w:bottom w:w="0" w:type="dxa"/>
              <w:right w:w="100" w:type="dxa"/>
            </w:tcMar>
          </w:tcPr>
          <w:p w14:paraId="4F1832BD" w14:textId="77777777" w:rsidR="002A00D6" w:rsidRDefault="005020B2" w:rsidP="00476687">
            <w:pPr>
              <w:pStyle w:val="Paragraph"/>
            </w:pPr>
            <w:r>
              <w:t>44.36</w:t>
            </w:r>
          </w:p>
        </w:tc>
      </w:tr>
    </w:tbl>
    <w:p w14:paraId="5C2FAB08" w14:textId="77777777" w:rsidR="002A00D6" w:rsidRDefault="002A00D6">
      <w:pPr>
        <w:spacing w:line="360" w:lineRule="auto"/>
        <w:jc w:val="both"/>
        <w:rPr>
          <w:szCs w:val="24"/>
        </w:rPr>
      </w:pPr>
    </w:p>
    <w:p w14:paraId="2D4209DA" w14:textId="564F92E7" w:rsidR="002A00D6" w:rsidRDefault="005020B2" w:rsidP="00476687">
      <w:pPr>
        <w:pStyle w:val="Paragraph"/>
        <w:rPr>
          <w:sz w:val="24"/>
          <w:szCs w:val="24"/>
        </w:rPr>
      </w:pPr>
      <w:r>
        <w:lastRenderedPageBreak/>
        <w:t xml:space="preserve">  The XRD pattern verifies the existence of crystalline phases that are typical of gold and iron molybdate nanoparticles, along with contributions from an amorphous carbon matrix. The well-known diffraction patterns for Au and FeMoO4 exhibit good correlation with the unique peaks seen at particular 2θ values. Although amorphous carbon does not contribute to distinct diffraction peaks, it does offer a conductive and dispersive matrix for the other components, as shown by the broad background rise in the XRD spectrum.</w:t>
      </w:r>
    </w:p>
    <w:p w14:paraId="5980C397" w14:textId="77777777" w:rsidR="002A00D6" w:rsidRDefault="005020B2" w:rsidP="00476687">
      <w:pPr>
        <w:pStyle w:val="Paragraphbulleted"/>
      </w:pPr>
      <w:r>
        <w:t>•Iron Molybdate (FeMoO4): Peaks corresponding to iron molybdate suggest a well-crystallized phase. Iron molybdate is known for its catalytic activity, which may contribute to the reduction of inflammatory markers through reactive oxygen species (ROS) scavenging.</w:t>
      </w:r>
    </w:p>
    <w:p w14:paraId="3BDC5810" w14:textId="77777777" w:rsidR="002A00D6" w:rsidRDefault="005020B2" w:rsidP="00476687">
      <w:pPr>
        <w:pStyle w:val="Paragraphbulleted"/>
      </w:pPr>
      <w:r>
        <w:t>•Gold Nanoparticles (Au): Peaks at 38.2°, 44.4°, 64.6°, and 77.5° confirm the presence of gold nanoparticles. Gold nanoparticles are renowned for their anti-inflammatory and antioxidant properties, enhancing the bioactivity of the composite.</w:t>
      </w:r>
    </w:p>
    <w:p w14:paraId="16B92163" w14:textId="228F51E7" w:rsidR="002A00D6" w:rsidRPr="00476687" w:rsidRDefault="005020B2" w:rsidP="00476687">
      <w:pPr>
        <w:pStyle w:val="Paragraphbulleted"/>
      </w:pPr>
      <w:r>
        <w:t>•Carbon Matrix: The amorphous nature of carbon aids in the effective dispersion of iron molybdate and gold nanoparticles, enhancing the overall stability and bioactivity of the nanocomposite</w:t>
      </w:r>
      <w:bookmarkStart w:id="7" w:name="_5vklts3e0ggn" w:colFirst="0" w:colLast="0"/>
      <w:bookmarkEnd w:id="7"/>
    </w:p>
    <w:p w14:paraId="2E156FC2" w14:textId="5D7831F0" w:rsidR="002A00D6" w:rsidRDefault="005020B2" w:rsidP="00476687">
      <w:pPr>
        <w:pStyle w:val="Heading2"/>
        <w:rPr>
          <w:szCs w:val="24"/>
        </w:rPr>
      </w:pPr>
      <w:bookmarkStart w:id="8" w:name="_88hgv77skq4x" w:colFirst="0" w:colLast="0"/>
      <w:bookmarkEnd w:id="8"/>
      <w:r>
        <w:t xml:space="preserve">UV DRS ANALYSIS  </w:t>
      </w:r>
      <w:proofErr w:type="spellStart"/>
      <w:r>
        <w:t>ANALYSIS</w:t>
      </w:r>
      <w:proofErr w:type="spellEnd"/>
      <w:r>
        <w:t xml:space="preserve"> </w:t>
      </w:r>
      <w:bookmarkStart w:id="9" w:name="_eewarx8uj91q" w:colFirst="0" w:colLast="0"/>
      <w:bookmarkEnd w:id="9"/>
    </w:p>
    <w:p w14:paraId="076D397A" w14:textId="77777777" w:rsidR="002A00D6" w:rsidRDefault="005020B2" w:rsidP="00476687">
      <w:pPr>
        <w:pStyle w:val="Figure"/>
      </w:pPr>
      <w:r>
        <w:rPr>
          <w:noProof/>
        </w:rPr>
        <w:drawing>
          <wp:inline distT="114300" distB="114300" distL="114300" distR="114300" wp14:anchorId="158905A1" wp14:editId="44A9A8C9">
            <wp:extent cx="5943600" cy="4597400"/>
            <wp:effectExtent l="38100" t="38100" r="38100" b="3810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3"/>
                    <a:srcRect/>
                    <a:stretch>
                      <a:fillRect/>
                    </a:stretch>
                  </pic:blipFill>
                  <pic:spPr>
                    <a:xfrm>
                      <a:off x="0" y="0"/>
                      <a:ext cx="5943600" cy="4597400"/>
                    </a:xfrm>
                    <a:prstGeom prst="rect">
                      <a:avLst/>
                    </a:prstGeom>
                    <a:ln w="38100">
                      <a:solidFill>
                        <a:srgbClr val="000000"/>
                      </a:solidFill>
                      <a:prstDash val="solid"/>
                    </a:ln>
                  </pic:spPr>
                </pic:pic>
              </a:graphicData>
            </a:graphic>
          </wp:inline>
        </w:drawing>
      </w:r>
    </w:p>
    <w:p w14:paraId="2ACE52D1" w14:textId="77777777" w:rsidR="0027228F" w:rsidRDefault="005020B2" w:rsidP="0027228F">
      <w:pPr>
        <w:pStyle w:val="FigureCaption"/>
        <w:rPr>
          <w:szCs w:val="24"/>
        </w:rPr>
      </w:pPr>
      <w:r>
        <w:t>Fig:2</w:t>
      </w:r>
      <w:r w:rsidR="0027228F">
        <w:t xml:space="preserve">: UV DRS ANALYSIS  </w:t>
      </w:r>
      <w:proofErr w:type="spellStart"/>
      <w:r w:rsidR="0027228F">
        <w:t>ANALYSIS</w:t>
      </w:r>
      <w:proofErr w:type="spellEnd"/>
      <w:r w:rsidR="0027228F">
        <w:t xml:space="preserve"> </w:t>
      </w:r>
    </w:p>
    <w:p w14:paraId="0B54CD01" w14:textId="77777777" w:rsidR="002A00D6" w:rsidRDefault="005020B2" w:rsidP="00476687">
      <w:pPr>
        <w:pStyle w:val="Paragraph"/>
      </w:pPr>
      <w:r>
        <w:t>The UV-Vis absorption spectrum further elucidates the interactions between the components within the composite. The high absorbance in the UV region (200-400 nm) is indicative of strong electronic transitions within iron molybdate and carbon. The characteristic surface plasmon resonance (SPR) peak of gold nanoparticles, observed around 600-800 nm, confirms their presence and suggests enhanced optical properties.</w:t>
      </w:r>
    </w:p>
    <w:p w14:paraId="4A9CF80B" w14:textId="77777777" w:rsidR="002A00D6" w:rsidRDefault="005020B2" w:rsidP="00476687">
      <w:pPr>
        <w:pStyle w:val="Paragraph"/>
      </w:pPr>
      <w:r>
        <w:lastRenderedPageBreak/>
        <w:t>•UV Absorption: The strong absorption in the UV range can be attributed to the FeMoO4 and carbon components. These materials typically absorb strongly in this region due to their electronic configurations, which may contribute to their photo-catalytic and anti-inflammatory properties.</w:t>
      </w:r>
    </w:p>
    <w:p w14:paraId="02E4AC4B" w14:textId="77777777" w:rsidR="002A00D6" w:rsidRDefault="005020B2" w:rsidP="00476687">
      <w:pPr>
        <w:pStyle w:val="Paragraph"/>
      </w:pPr>
      <w:r>
        <w:t>•Visible Range Features: The absorption features in the visible range, particularly the SPR peak of gold, indicate potential applications in biomedical imaging and photothermal therapy, further enhancing the composite’s therapeutic potential.</w:t>
      </w:r>
    </w:p>
    <w:p w14:paraId="512565B6" w14:textId="77777777" w:rsidR="002A00D6" w:rsidRDefault="005020B2" w:rsidP="00476687">
      <w:pPr>
        <w:pStyle w:val="Figure"/>
      </w:pPr>
      <w:r>
        <w:rPr>
          <w:noProof/>
        </w:rPr>
        <w:drawing>
          <wp:inline distT="114300" distB="114300" distL="114300" distR="114300" wp14:anchorId="3BBD02CF" wp14:editId="7B97B728">
            <wp:extent cx="4907280" cy="3131820"/>
            <wp:effectExtent l="38100" t="38100" r="45720" b="3048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4"/>
                    <a:srcRect l="-1211" t="-2564" r="1212" b="2563"/>
                    <a:stretch>
                      <a:fillRect/>
                    </a:stretch>
                  </pic:blipFill>
                  <pic:spPr>
                    <a:xfrm>
                      <a:off x="0" y="0"/>
                      <a:ext cx="4907280" cy="3131820"/>
                    </a:xfrm>
                    <a:prstGeom prst="rect">
                      <a:avLst/>
                    </a:prstGeom>
                    <a:ln w="38100">
                      <a:solidFill>
                        <a:srgbClr val="000000"/>
                      </a:solidFill>
                      <a:prstDash val="solid"/>
                    </a:ln>
                  </pic:spPr>
                </pic:pic>
              </a:graphicData>
            </a:graphic>
          </wp:inline>
        </w:drawing>
      </w:r>
    </w:p>
    <w:p w14:paraId="24D8DC43" w14:textId="4727DFAC" w:rsidR="002A00D6" w:rsidRDefault="005020B2" w:rsidP="00476687">
      <w:pPr>
        <w:pStyle w:val="FigureCaption"/>
        <w:rPr>
          <w:sz w:val="24"/>
          <w:szCs w:val="24"/>
        </w:rPr>
      </w:pPr>
      <w:r>
        <w:t xml:space="preserve">Fig 3  The IR spectrum of the Bioactive Iron </w:t>
      </w:r>
      <w:proofErr w:type="spellStart"/>
      <w:r>
        <w:t>Molybdate@Carbon-Au</w:t>
      </w:r>
      <w:proofErr w:type="spellEnd"/>
      <w:r>
        <w:t xml:space="preserve"> nanocomposites demonstrates the presence of various functional groups and bonds indicative of the composite materials. </w:t>
      </w:r>
      <w:r w:rsidRPr="00476687">
        <w:t>The</w:t>
      </w:r>
      <w:r>
        <w:t xml:space="preserve"> peaks corresponding to O-H and N-H stretching vibrations suggest surface hydroxyl or amine groups, while the presence of C=O and C=C stretching vibrations indicates carbonyl and aromatic structures from the seaweed-derived carbon. The Fe-O and Mo-O stretching vibrations confirm the successful incorporation of iron and molybdenum oxides, essential for the composite's bioactive and catalytic properties</w:t>
      </w:r>
    </w:p>
    <w:p w14:paraId="03357A2C" w14:textId="01084211" w:rsidR="002A00D6" w:rsidRDefault="005020B2" w:rsidP="00476687">
      <w:pPr>
        <w:pStyle w:val="Figure"/>
      </w:pPr>
      <w:r>
        <w:rPr>
          <w:noProof/>
        </w:rPr>
        <w:drawing>
          <wp:inline distT="114300" distB="114300" distL="114300" distR="114300" wp14:anchorId="6A2766C3" wp14:editId="110B03A5">
            <wp:extent cx="2537460" cy="2468880"/>
            <wp:effectExtent l="38100" t="38100" r="34290" b="45720"/>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5"/>
                    <a:srcRect/>
                    <a:stretch>
                      <a:fillRect/>
                    </a:stretch>
                  </pic:blipFill>
                  <pic:spPr>
                    <a:xfrm>
                      <a:off x="0" y="0"/>
                      <a:ext cx="2537460" cy="2468880"/>
                    </a:xfrm>
                    <a:prstGeom prst="rect">
                      <a:avLst/>
                    </a:prstGeom>
                    <a:ln w="38100">
                      <a:solidFill>
                        <a:srgbClr val="000000"/>
                      </a:solidFill>
                      <a:prstDash val="solid"/>
                    </a:ln>
                  </pic:spPr>
                </pic:pic>
              </a:graphicData>
            </a:graphic>
          </wp:inline>
        </w:drawing>
      </w:r>
      <w:r w:rsidR="0027228F" w:rsidRPr="0027228F">
        <w:rPr>
          <w:noProof/>
        </w:rPr>
        <w:t xml:space="preserve"> </w:t>
      </w:r>
      <w:r w:rsidR="0027228F">
        <w:rPr>
          <w:noProof/>
        </w:rPr>
        <w:drawing>
          <wp:inline distT="114300" distB="114300" distL="114300" distR="114300" wp14:anchorId="1B922892" wp14:editId="2F34F933">
            <wp:extent cx="2385060" cy="2484120"/>
            <wp:effectExtent l="38100" t="38100" r="34290" b="3048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6"/>
                    <a:srcRect/>
                    <a:stretch>
                      <a:fillRect/>
                    </a:stretch>
                  </pic:blipFill>
                  <pic:spPr>
                    <a:xfrm>
                      <a:off x="0" y="0"/>
                      <a:ext cx="2385060" cy="2484120"/>
                    </a:xfrm>
                    <a:prstGeom prst="rect">
                      <a:avLst/>
                    </a:prstGeom>
                    <a:ln w="38100">
                      <a:solidFill>
                        <a:srgbClr val="000000"/>
                      </a:solidFill>
                      <a:prstDash val="solid"/>
                    </a:ln>
                  </pic:spPr>
                </pic:pic>
              </a:graphicData>
            </a:graphic>
          </wp:inline>
        </w:drawing>
      </w:r>
    </w:p>
    <w:p w14:paraId="359CADB8" w14:textId="591EBC1E" w:rsidR="002A00D6" w:rsidRDefault="0027228F" w:rsidP="0027228F">
      <w:pPr>
        <w:pStyle w:val="Figure"/>
        <w:numPr>
          <w:ilvl w:val="0"/>
          <w:numId w:val="27"/>
        </w:numPr>
      </w:pPr>
      <w:r>
        <w:t xml:space="preserve">                                                        (b)</w:t>
      </w:r>
    </w:p>
    <w:p w14:paraId="52634831" w14:textId="37C73EE8" w:rsidR="002A00D6" w:rsidRDefault="005020B2" w:rsidP="00431127">
      <w:pPr>
        <w:pStyle w:val="FigureCaption"/>
        <w:rPr>
          <w:sz w:val="24"/>
          <w:szCs w:val="24"/>
        </w:rPr>
      </w:pPr>
      <w:r w:rsidRPr="00431127">
        <w:rPr>
          <w:b/>
          <w:bCs/>
        </w:rPr>
        <w:t>Fig 5</w:t>
      </w:r>
      <w:r>
        <w:t xml:space="preserve"> </w:t>
      </w:r>
      <w:r w:rsidR="0027228F">
        <w:t xml:space="preserve">–(a) (b) </w:t>
      </w:r>
      <w:r>
        <w:t xml:space="preserve">Antifungal activity of Aspergillus </w:t>
      </w:r>
    </w:p>
    <w:p w14:paraId="45D57091" w14:textId="77777777" w:rsidR="002A00D6" w:rsidRDefault="005020B2" w:rsidP="00431127">
      <w:pPr>
        <w:pStyle w:val="Paragraph"/>
      </w:pPr>
      <w:r>
        <w:t xml:space="preserve">The data provided showcases the antifungal activity of Iron </w:t>
      </w:r>
      <w:proofErr w:type="spellStart"/>
      <w:r>
        <w:t>Molybdate@Carbon-Au</w:t>
      </w:r>
      <w:proofErr w:type="spellEnd"/>
      <w:r>
        <w:t xml:space="preserve"> (A31(H)) against two fungal strains: </w:t>
      </w:r>
      <w:r>
        <w:rPr>
          <w:b/>
        </w:rPr>
        <w:t>Candida albicans</w:t>
      </w:r>
      <w:r>
        <w:t xml:space="preserve"> and </w:t>
      </w:r>
      <w:r>
        <w:rPr>
          <w:b/>
        </w:rPr>
        <w:t>Aspergillus</w:t>
      </w:r>
      <w:r>
        <w:t>. The effectiveness of the nanocomposite is measured in terms of the inhibition zone diameter (in mm) at different concentrations.</w:t>
      </w:r>
    </w:p>
    <w:p w14:paraId="284C52AE" w14:textId="7492BFEF" w:rsidR="002A00D6" w:rsidRDefault="0027228F" w:rsidP="0027228F">
      <w:pPr>
        <w:pStyle w:val="TableCaption"/>
      </w:pPr>
      <w:bookmarkStart w:id="10" w:name="_3oxpvrfo4zeb" w:colFirst="0" w:colLast="0"/>
      <w:bookmarkEnd w:id="10"/>
      <w:r>
        <w:lastRenderedPageBreak/>
        <w:t xml:space="preserve">Table 2: </w:t>
      </w:r>
      <w:r w:rsidR="005020B2">
        <w:t>Antifungal Activity Against Candida albicans (21-06-2024)</w:t>
      </w:r>
    </w:p>
    <w:tbl>
      <w:tblPr>
        <w:tblStyle w:val="a0"/>
        <w:tblW w:w="5230" w:type="dxa"/>
        <w:jc w:val="center"/>
        <w:tblInd w:w="0" w:type="dxa"/>
        <w:tblLayout w:type="fixed"/>
        <w:tblLook w:val="0600" w:firstRow="0" w:lastRow="0" w:firstColumn="0" w:lastColumn="0" w:noHBand="1" w:noVBand="1"/>
      </w:tblPr>
      <w:tblGrid>
        <w:gridCol w:w="2780"/>
        <w:gridCol w:w="2450"/>
      </w:tblGrid>
      <w:tr w:rsidR="002A00D6" w14:paraId="4D54E880" w14:textId="77777777" w:rsidTr="0027228F">
        <w:trPr>
          <w:trHeight w:val="500"/>
          <w:jc w:val="center"/>
        </w:trPr>
        <w:tc>
          <w:tcPr>
            <w:tcW w:w="2780" w:type="dxa"/>
            <w:tcBorders>
              <w:bottom w:val="single" w:sz="4" w:space="0" w:color="auto"/>
            </w:tcBorders>
            <w:tcMar>
              <w:top w:w="100" w:type="dxa"/>
              <w:left w:w="100" w:type="dxa"/>
              <w:bottom w:w="100" w:type="dxa"/>
              <w:right w:w="100" w:type="dxa"/>
            </w:tcMar>
          </w:tcPr>
          <w:p w14:paraId="130C952F" w14:textId="77777777" w:rsidR="002A00D6" w:rsidRDefault="005020B2" w:rsidP="00431127">
            <w:pPr>
              <w:pStyle w:val="Paragraph"/>
            </w:pPr>
            <w:r>
              <w:t>Concentration of A31(H)</w:t>
            </w:r>
          </w:p>
        </w:tc>
        <w:tc>
          <w:tcPr>
            <w:tcW w:w="2450" w:type="dxa"/>
            <w:tcBorders>
              <w:bottom w:val="single" w:sz="4" w:space="0" w:color="auto"/>
            </w:tcBorders>
            <w:tcMar>
              <w:top w:w="100" w:type="dxa"/>
              <w:left w:w="100" w:type="dxa"/>
              <w:bottom w:w="100" w:type="dxa"/>
              <w:right w:w="100" w:type="dxa"/>
            </w:tcMar>
          </w:tcPr>
          <w:p w14:paraId="64C3F9D9" w14:textId="77777777" w:rsidR="002A00D6" w:rsidRDefault="005020B2" w:rsidP="00431127">
            <w:pPr>
              <w:pStyle w:val="Paragraph"/>
            </w:pPr>
            <w:r>
              <w:t>Inhibition Zone (mm)</w:t>
            </w:r>
          </w:p>
        </w:tc>
      </w:tr>
      <w:tr w:rsidR="002A00D6" w14:paraId="39D6D654" w14:textId="77777777" w:rsidTr="0027228F">
        <w:trPr>
          <w:trHeight w:val="500"/>
          <w:jc w:val="center"/>
        </w:trPr>
        <w:tc>
          <w:tcPr>
            <w:tcW w:w="2780" w:type="dxa"/>
            <w:tcBorders>
              <w:top w:val="single" w:sz="4" w:space="0" w:color="auto"/>
            </w:tcBorders>
            <w:tcMar>
              <w:top w:w="100" w:type="dxa"/>
              <w:left w:w="100" w:type="dxa"/>
              <w:bottom w:w="100" w:type="dxa"/>
              <w:right w:w="100" w:type="dxa"/>
            </w:tcMar>
          </w:tcPr>
          <w:p w14:paraId="4D685B34" w14:textId="77777777" w:rsidR="002A00D6" w:rsidRDefault="005020B2" w:rsidP="00431127">
            <w:pPr>
              <w:pStyle w:val="Paragraph"/>
            </w:pPr>
            <w:r>
              <w:t>50 µL</w:t>
            </w:r>
          </w:p>
        </w:tc>
        <w:tc>
          <w:tcPr>
            <w:tcW w:w="2450" w:type="dxa"/>
            <w:tcBorders>
              <w:top w:val="single" w:sz="4" w:space="0" w:color="auto"/>
            </w:tcBorders>
            <w:tcMar>
              <w:top w:w="100" w:type="dxa"/>
              <w:left w:w="100" w:type="dxa"/>
              <w:bottom w:w="100" w:type="dxa"/>
              <w:right w:w="100" w:type="dxa"/>
            </w:tcMar>
          </w:tcPr>
          <w:p w14:paraId="377FB887" w14:textId="77777777" w:rsidR="002A00D6" w:rsidRDefault="005020B2" w:rsidP="00431127">
            <w:pPr>
              <w:pStyle w:val="Paragraph"/>
            </w:pPr>
            <w:r>
              <w:t>15 mm</w:t>
            </w:r>
          </w:p>
        </w:tc>
      </w:tr>
      <w:tr w:rsidR="002A00D6" w14:paraId="55FC1EFC" w14:textId="77777777" w:rsidTr="0027228F">
        <w:trPr>
          <w:trHeight w:val="500"/>
          <w:jc w:val="center"/>
        </w:trPr>
        <w:tc>
          <w:tcPr>
            <w:tcW w:w="2780" w:type="dxa"/>
            <w:tcMar>
              <w:top w:w="100" w:type="dxa"/>
              <w:left w:w="100" w:type="dxa"/>
              <w:bottom w:w="100" w:type="dxa"/>
              <w:right w:w="100" w:type="dxa"/>
            </w:tcMar>
          </w:tcPr>
          <w:p w14:paraId="01E932B4" w14:textId="77777777" w:rsidR="002A00D6" w:rsidRDefault="005020B2" w:rsidP="00431127">
            <w:pPr>
              <w:pStyle w:val="Paragraph"/>
            </w:pPr>
            <w:r>
              <w:t>75 µL</w:t>
            </w:r>
          </w:p>
        </w:tc>
        <w:tc>
          <w:tcPr>
            <w:tcW w:w="2450" w:type="dxa"/>
            <w:tcMar>
              <w:top w:w="100" w:type="dxa"/>
              <w:left w:w="100" w:type="dxa"/>
              <w:bottom w:w="100" w:type="dxa"/>
              <w:right w:w="100" w:type="dxa"/>
            </w:tcMar>
          </w:tcPr>
          <w:p w14:paraId="6A4AE33A" w14:textId="77777777" w:rsidR="002A00D6" w:rsidRDefault="005020B2" w:rsidP="00431127">
            <w:pPr>
              <w:pStyle w:val="Paragraph"/>
            </w:pPr>
            <w:r>
              <w:t>17 mm</w:t>
            </w:r>
          </w:p>
        </w:tc>
      </w:tr>
      <w:tr w:rsidR="002A00D6" w14:paraId="22BCD843" w14:textId="77777777" w:rsidTr="0027228F">
        <w:trPr>
          <w:trHeight w:val="500"/>
          <w:jc w:val="center"/>
        </w:trPr>
        <w:tc>
          <w:tcPr>
            <w:tcW w:w="2780" w:type="dxa"/>
            <w:tcMar>
              <w:top w:w="100" w:type="dxa"/>
              <w:left w:w="100" w:type="dxa"/>
              <w:bottom w:w="100" w:type="dxa"/>
              <w:right w:w="100" w:type="dxa"/>
            </w:tcMar>
          </w:tcPr>
          <w:p w14:paraId="443D7E24" w14:textId="77777777" w:rsidR="002A00D6" w:rsidRDefault="005020B2" w:rsidP="00431127">
            <w:pPr>
              <w:pStyle w:val="Paragraph"/>
            </w:pPr>
            <w:r>
              <w:t>100 µL</w:t>
            </w:r>
          </w:p>
        </w:tc>
        <w:tc>
          <w:tcPr>
            <w:tcW w:w="2450" w:type="dxa"/>
            <w:tcMar>
              <w:top w:w="100" w:type="dxa"/>
              <w:left w:w="100" w:type="dxa"/>
              <w:bottom w:w="100" w:type="dxa"/>
              <w:right w:w="100" w:type="dxa"/>
            </w:tcMar>
          </w:tcPr>
          <w:p w14:paraId="061D07B1" w14:textId="77777777" w:rsidR="002A00D6" w:rsidRDefault="005020B2" w:rsidP="00431127">
            <w:pPr>
              <w:pStyle w:val="Paragraph"/>
            </w:pPr>
            <w:r>
              <w:t>20 mm</w:t>
            </w:r>
          </w:p>
        </w:tc>
      </w:tr>
      <w:tr w:rsidR="002A00D6" w14:paraId="5B1F0034" w14:textId="77777777" w:rsidTr="0027228F">
        <w:trPr>
          <w:trHeight w:val="500"/>
          <w:jc w:val="center"/>
        </w:trPr>
        <w:tc>
          <w:tcPr>
            <w:tcW w:w="2780" w:type="dxa"/>
            <w:tcMar>
              <w:top w:w="100" w:type="dxa"/>
              <w:left w:w="100" w:type="dxa"/>
              <w:bottom w:w="100" w:type="dxa"/>
              <w:right w:w="100" w:type="dxa"/>
            </w:tcMar>
          </w:tcPr>
          <w:p w14:paraId="41C13657" w14:textId="77777777" w:rsidR="002A00D6" w:rsidRDefault="005020B2" w:rsidP="00431127">
            <w:pPr>
              <w:pStyle w:val="Paragraph"/>
            </w:pPr>
            <w:r>
              <w:t>Negative Control</w:t>
            </w:r>
          </w:p>
        </w:tc>
        <w:tc>
          <w:tcPr>
            <w:tcW w:w="2450" w:type="dxa"/>
            <w:tcMar>
              <w:top w:w="100" w:type="dxa"/>
              <w:left w:w="100" w:type="dxa"/>
              <w:bottom w:w="100" w:type="dxa"/>
              <w:right w:w="100" w:type="dxa"/>
            </w:tcMar>
          </w:tcPr>
          <w:p w14:paraId="2C4E83B2" w14:textId="77777777" w:rsidR="002A00D6" w:rsidRDefault="005020B2" w:rsidP="00431127">
            <w:pPr>
              <w:pStyle w:val="Paragraph"/>
            </w:pPr>
            <w:r>
              <w:t>10 mm</w:t>
            </w:r>
          </w:p>
        </w:tc>
      </w:tr>
    </w:tbl>
    <w:p w14:paraId="4F57C21A" w14:textId="664AD9D8" w:rsidR="002A00D6" w:rsidRDefault="005020B2" w:rsidP="00431127">
      <w:pPr>
        <w:pStyle w:val="Heading1"/>
      </w:pPr>
      <w:r>
        <w:t>Interpretation</w:t>
      </w:r>
    </w:p>
    <w:p w14:paraId="74BE38E8" w14:textId="77777777" w:rsidR="002A00D6" w:rsidRDefault="005020B2" w:rsidP="00431127">
      <w:pPr>
        <w:pStyle w:val="Paragraphbulleted"/>
      </w:pPr>
      <w:r>
        <w:t>The inhibition zones increase with the concentration of A31(H).</w:t>
      </w:r>
    </w:p>
    <w:p w14:paraId="409A17D7" w14:textId="77777777" w:rsidR="002A00D6" w:rsidRDefault="005020B2" w:rsidP="00431127">
      <w:pPr>
        <w:pStyle w:val="Paragraphbulleted"/>
      </w:pPr>
      <w:r>
        <w:t>At 50 µL, the inhibition zone is 15 mm, indicating a moderate antifungal activity.</w:t>
      </w:r>
    </w:p>
    <w:p w14:paraId="72915ACF" w14:textId="77777777" w:rsidR="002A00D6" w:rsidRDefault="005020B2" w:rsidP="00431127">
      <w:pPr>
        <w:pStyle w:val="Paragraphbulleted"/>
      </w:pPr>
      <w:r>
        <w:t>Increasing the concentration to 75 µL enhances the inhibition zone to 17 mm, suggesting improved antifungal efficacy.</w:t>
      </w:r>
    </w:p>
    <w:p w14:paraId="4D55B0E2" w14:textId="77777777" w:rsidR="002A00D6" w:rsidRDefault="005020B2" w:rsidP="00431127">
      <w:pPr>
        <w:pStyle w:val="Paragraphbulleted"/>
      </w:pPr>
      <w:r>
        <w:t>The highest concentration of 100 µL results in a 20 mm inhibition zone, showing the strongest antifungal activity.</w:t>
      </w:r>
    </w:p>
    <w:p w14:paraId="6B6FA757" w14:textId="77777777" w:rsidR="002A00D6" w:rsidRDefault="005020B2" w:rsidP="00431127">
      <w:pPr>
        <w:pStyle w:val="Paragraphbulleted"/>
      </w:pPr>
      <w:r>
        <w:t>The negative control, with an inhibition zone of 10 mm, indicates the baseline antifungal effect without the nanocomposite.</w:t>
      </w:r>
    </w:p>
    <w:p w14:paraId="35739B42" w14:textId="77777777" w:rsidR="002A00D6" w:rsidRDefault="005020B2" w:rsidP="00431127">
      <w:pPr>
        <w:pStyle w:val="Paragraph"/>
      </w:pPr>
      <w:r>
        <w:t xml:space="preserve">This trend suggests a dose-dependent antifungal activity of A31(H) against </w:t>
      </w:r>
      <w:r>
        <w:rPr>
          <w:b/>
        </w:rPr>
        <w:t>Candida albicans</w:t>
      </w:r>
      <w:r>
        <w:t>.</w:t>
      </w:r>
    </w:p>
    <w:p w14:paraId="2F18071F" w14:textId="571E6905" w:rsidR="002A00D6" w:rsidRDefault="0027228F" w:rsidP="0027228F">
      <w:pPr>
        <w:pStyle w:val="TableCaption"/>
      </w:pPr>
      <w:bookmarkStart w:id="11" w:name="_jyf5rlv9dat1" w:colFirst="0" w:colLast="0"/>
      <w:bookmarkEnd w:id="11"/>
      <w:r>
        <w:t xml:space="preserve">Table 3: </w:t>
      </w:r>
      <w:r w:rsidR="005020B2">
        <w:t>Antifungal Activity Against Aspergillus (22-06-2024)</w:t>
      </w:r>
    </w:p>
    <w:tbl>
      <w:tblPr>
        <w:tblStyle w:val="a1"/>
        <w:tblW w:w="5230" w:type="dxa"/>
        <w:jc w:val="center"/>
        <w:tblInd w:w="0" w:type="dxa"/>
        <w:tblLayout w:type="fixed"/>
        <w:tblLook w:val="0600" w:firstRow="0" w:lastRow="0" w:firstColumn="0" w:lastColumn="0" w:noHBand="1" w:noVBand="1"/>
      </w:tblPr>
      <w:tblGrid>
        <w:gridCol w:w="2780"/>
        <w:gridCol w:w="2450"/>
      </w:tblGrid>
      <w:tr w:rsidR="002A00D6" w14:paraId="6D43F445" w14:textId="77777777" w:rsidTr="0027228F">
        <w:trPr>
          <w:trHeight w:val="500"/>
          <w:jc w:val="center"/>
        </w:trPr>
        <w:tc>
          <w:tcPr>
            <w:tcW w:w="2780" w:type="dxa"/>
            <w:tcBorders>
              <w:bottom w:val="single" w:sz="4" w:space="0" w:color="auto"/>
            </w:tcBorders>
            <w:tcMar>
              <w:top w:w="100" w:type="dxa"/>
              <w:left w:w="100" w:type="dxa"/>
              <w:bottom w:w="100" w:type="dxa"/>
              <w:right w:w="100" w:type="dxa"/>
            </w:tcMar>
          </w:tcPr>
          <w:p w14:paraId="47D6096D" w14:textId="77777777" w:rsidR="002A00D6" w:rsidRDefault="005020B2" w:rsidP="00431127">
            <w:pPr>
              <w:pStyle w:val="Paragraph"/>
            </w:pPr>
            <w:r>
              <w:t>Concentration of A31(H)</w:t>
            </w:r>
          </w:p>
        </w:tc>
        <w:tc>
          <w:tcPr>
            <w:tcW w:w="2450" w:type="dxa"/>
            <w:tcBorders>
              <w:bottom w:val="single" w:sz="4" w:space="0" w:color="auto"/>
            </w:tcBorders>
            <w:tcMar>
              <w:top w:w="100" w:type="dxa"/>
              <w:left w:w="100" w:type="dxa"/>
              <w:bottom w:w="100" w:type="dxa"/>
              <w:right w:w="100" w:type="dxa"/>
            </w:tcMar>
          </w:tcPr>
          <w:p w14:paraId="79347A47" w14:textId="77777777" w:rsidR="002A00D6" w:rsidRDefault="005020B2" w:rsidP="00431127">
            <w:pPr>
              <w:pStyle w:val="Paragraph"/>
            </w:pPr>
            <w:r>
              <w:t>Inhibition Zone (mm)</w:t>
            </w:r>
          </w:p>
        </w:tc>
      </w:tr>
      <w:tr w:rsidR="002A00D6" w14:paraId="7A04ECC9" w14:textId="77777777" w:rsidTr="0027228F">
        <w:trPr>
          <w:trHeight w:val="500"/>
          <w:jc w:val="center"/>
        </w:trPr>
        <w:tc>
          <w:tcPr>
            <w:tcW w:w="2780" w:type="dxa"/>
            <w:tcBorders>
              <w:top w:val="single" w:sz="4" w:space="0" w:color="auto"/>
            </w:tcBorders>
            <w:tcMar>
              <w:top w:w="100" w:type="dxa"/>
              <w:left w:w="100" w:type="dxa"/>
              <w:bottom w:w="100" w:type="dxa"/>
              <w:right w:w="100" w:type="dxa"/>
            </w:tcMar>
          </w:tcPr>
          <w:p w14:paraId="62FEEC48" w14:textId="77777777" w:rsidR="002A00D6" w:rsidRDefault="005020B2" w:rsidP="00431127">
            <w:pPr>
              <w:pStyle w:val="Paragraph"/>
            </w:pPr>
            <w:r>
              <w:t>50 µL</w:t>
            </w:r>
          </w:p>
        </w:tc>
        <w:tc>
          <w:tcPr>
            <w:tcW w:w="2450" w:type="dxa"/>
            <w:tcBorders>
              <w:top w:val="single" w:sz="4" w:space="0" w:color="auto"/>
            </w:tcBorders>
            <w:tcMar>
              <w:top w:w="100" w:type="dxa"/>
              <w:left w:w="100" w:type="dxa"/>
              <w:bottom w:w="100" w:type="dxa"/>
              <w:right w:w="100" w:type="dxa"/>
            </w:tcMar>
          </w:tcPr>
          <w:p w14:paraId="68BB71AD" w14:textId="77777777" w:rsidR="002A00D6" w:rsidRDefault="005020B2" w:rsidP="00431127">
            <w:pPr>
              <w:pStyle w:val="Paragraph"/>
            </w:pPr>
            <w:r>
              <w:t>10 mm</w:t>
            </w:r>
          </w:p>
        </w:tc>
      </w:tr>
      <w:tr w:rsidR="002A00D6" w14:paraId="0896B1D7" w14:textId="77777777" w:rsidTr="0027228F">
        <w:trPr>
          <w:trHeight w:val="500"/>
          <w:jc w:val="center"/>
        </w:trPr>
        <w:tc>
          <w:tcPr>
            <w:tcW w:w="2780" w:type="dxa"/>
            <w:tcMar>
              <w:top w:w="100" w:type="dxa"/>
              <w:left w:w="100" w:type="dxa"/>
              <w:bottom w:w="100" w:type="dxa"/>
              <w:right w:w="100" w:type="dxa"/>
            </w:tcMar>
          </w:tcPr>
          <w:p w14:paraId="29FCCD49" w14:textId="77777777" w:rsidR="002A00D6" w:rsidRDefault="005020B2" w:rsidP="00431127">
            <w:pPr>
              <w:pStyle w:val="Paragraph"/>
            </w:pPr>
            <w:r>
              <w:t>75 µL</w:t>
            </w:r>
          </w:p>
        </w:tc>
        <w:tc>
          <w:tcPr>
            <w:tcW w:w="2450" w:type="dxa"/>
            <w:tcMar>
              <w:top w:w="100" w:type="dxa"/>
              <w:left w:w="100" w:type="dxa"/>
              <w:bottom w:w="100" w:type="dxa"/>
              <w:right w:w="100" w:type="dxa"/>
            </w:tcMar>
          </w:tcPr>
          <w:p w14:paraId="625C4382" w14:textId="77777777" w:rsidR="002A00D6" w:rsidRDefault="005020B2" w:rsidP="00431127">
            <w:pPr>
              <w:pStyle w:val="Paragraph"/>
            </w:pPr>
            <w:r>
              <w:t>11 mm</w:t>
            </w:r>
          </w:p>
        </w:tc>
      </w:tr>
      <w:tr w:rsidR="002A00D6" w14:paraId="5382FF8B" w14:textId="77777777" w:rsidTr="0027228F">
        <w:trPr>
          <w:trHeight w:val="500"/>
          <w:jc w:val="center"/>
        </w:trPr>
        <w:tc>
          <w:tcPr>
            <w:tcW w:w="2780" w:type="dxa"/>
            <w:tcMar>
              <w:top w:w="100" w:type="dxa"/>
              <w:left w:w="100" w:type="dxa"/>
              <w:bottom w:w="100" w:type="dxa"/>
              <w:right w:w="100" w:type="dxa"/>
            </w:tcMar>
          </w:tcPr>
          <w:p w14:paraId="18312FE4" w14:textId="77777777" w:rsidR="002A00D6" w:rsidRDefault="005020B2" w:rsidP="00431127">
            <w:pPr>
              <w:pStyle w:val="Paragraph"/>
            </w:pPr>
            <w:r>
              <w:t>100 µL</w:t>
            </w:r>
          </w:p>
        </w:tc>
        <w:tc>
          <w:tcPr>
            <w:tcW w:w="2450" w:type="dxa"/>
            <w:tcMar>
              <w:top w:w="100" w:type="dxa"/>
              <w:left w:w="100" w:type="dxa"/>
              <w:bottom w:w="100" w:type="dxa"/>
              <w:right w:w="100" w:type="dxa"/>
            </w:tcMar>
          </w:tcPr>
          <w:p w14:paraId="32070CCE" w14:textId="77777777" w:rsidR="002A00D6" w:rsidRDefault="005020B2" w:rsidP="00431127">
            <w:pPr>
              <w:pStyle w:val="Paragraph"/>
            </w:pPr>
            <w:r>
              <w:t>12 mm</w:t>
            </w:r>
          </w:p>
        </w:tc>
      </w:tr>
      <w:tr w:rsidR="002A00D6" w14:paraId="646A71CC" w14:textId="77777777" w:rsidTr="0027228F">
        <w:trPr>
          <w:trHeight w:val="500"/>
          <w:jc w:val="center"/>
        </w:trPr>
        <w:tc>
          <w:tcPr>
            <w:tcW w:w="2780" w:type="dxa"/>
            <w:tcMar>
              <w:top w:w="100" w:type="dxa"/>
              <w:left w:w="100" w:type="dxa"/>
              <w:bottom w:w="100" w:type="dxa"/>
              <w:right w:w="100" w:type="dxa"/>
            </w:tcMar>
          </w:tcPr>
          <w:p w14:paraId="639266FD" w14:textId="77777777" w:rsidR="002A00D6" w:rsidRDefault="005020B2" w:rsidP="00431127">
            <w:pPr>
              <w:pStyle w:val="Paragraph"/>
            </w:pPr>
            <w:r>
              <w:t>Negative Control</w:t>
            </w:r>
          </w:p>
        </w:tc>
        <w:tc>
          <w:tcPr>
            <w:tcW w:w="2450" w:type="dxa"/>
            <w:tcMar>
              <w:top w:w="100" w:type="dxa"/>
              <w:left w:w="100" w:type="dxa"/>
              <w:bottom w:w="100" w:type="dxa"/>
              <w:right w:w="100" w:type="dxa"/>
            </w:tcMar>
          </w:tcPr>
          <w:p w14:paraId="0285DC8B" w14:textId="77777777" w:rsidR="002A00D6" w:rsidRDefault="005020B2" w:rsidP="00431127">
            <w:pPr>
              <w:pStyle w:val="Paragraph"/>
            </w:pPr>
            <w:r>
              <w:t>10 mm</w:t>
            </w:r>
          </w:p>
        </w:tc>
      </w:tr>
    </w:tbl>
    <w:p w14:paraId="629C8CE1" w14:textId="3503970B" w:rsidR="002A00D6" w:rsidRDefault="005020B2" w:rsidP="00431127">
      <w:pPr>
        <w:pStyle w:val="Heading2"/>
      </w:pPr>
      <w:r>
        <w:t>Interpretation</w:t>
      </w:r>
    </w:p>
    <w:p w14:paraId="2AD5888E" w14:textId="77777777" w:rsidR="002A00D6" w:rsidRDefault="005020B2" w:rsidP="00431127">
      <w:pPr>
        <w:pStyle w:val="Paragraphbulleted"/>
      </w:pPr>
      <w:r>
        <w:t xml:space="preserve">The inhibition zones for </w:t>
      </w:r>
      <w:r>
        <w:rPr>
          <w:b/>
        </w:rPr>
        <w:t>Aspergillus</w:t>
      </w:r>
      <w:r>
        <w:t xml:space="preserve"> show a slight increase with increasing concentrations of A31(H).</w:t>
      </w:r>
    </w:p>
    <w:p w14:paraId="5CE469E1" w14:textId="77777777" w:rsidR="002A00D6" w:rsidRDefault="005020B2" w:rsidP="00431127">
      <w:pPr>
        <w:pStyle w:val="Paragraphbulleted"/>
      </w:pPr>
      <w:r>
        <w:t>At 50 µL, the inhibition zone is 10 mm, identical to the negative control, indicating no significant antifungal activity at this concentration.</w:t>
      </w:r>
    </w:p>
    <w:p w14:paraId="41BEC2B7" w14:textId="77777777" w:rsidR="002A00D6" w:rsidRDefault="005020B2" w:rsidP="00431127">
      <w:pPr>
        <w:pStyle w:val="Paragraphbulleted"/>
      </w:pPr>
      <w:r>
        <w:t>At 75 µL, the inhibition zone increases marginally to 11 mm.</w:t>
      </w:r>
    </w:p>
    <w:p w14:paraId="4E40C87C" w14:textId="77777777" w:rsidR="002A00D6" w:rsidRDefault="005020B2" w:rsidP="00431127">
      <w:pPr>
        <w:pStyle w:val="Paragraphbulleted"/>
      </w:pPr>
      <w:r>
        <w:t>The highest concentration of 100 µL yields a 12 mm inhibition zone, indicating a slight improvement in antifungal activity.</w:t>
      </w:r>
    </w:p>
    <w:p w14:paraId="26582D5E" w14:textId="77777777" w:rsidR="002A00D6" w:rsidRDefault="005020B2" w:rsidP="00431127">
      <w:pPr>
        <w:pStyle w:val="Paragraphbulleted"/>
      </w:pPr>
      <w:r>
        <w:t>The negative control also has a 10 mm inhibition zone, serving as the baseline.</w:t>
      </w:r>
    </w:p>
    <w:p w14:paraId="1FD12D57" w14:textId="77777777" w:rsidR="002A00D6" w:rsidRDefault="005020B2" w:rsidP="00431127">
      <w:pPr>
        <w:pStyle w:val="Paragraph"/>
      </w:pPr>
      <w:r>
        <w:lastRenderedPageBreak/>
        <w:t xml:space="preserve">This trend shows that the antifungal activity of A31(H) against </w:t>
      </w:r>
      <w:r>
        <w:rPr>
          <w:b/>
        </w:rPr>
        <w:t>Aspergillus</w:t>
      </w:r>
      <w:r>
        <w:t xml:space="preserve"> is less pronounced compared to its activity against </w:t>
      </w:r>
      <w:r>
        <w:rPr>
          <w:b/>
        </w:rPr>
        <w:t>Candida albicans</w:t>
      </w:r>
      <w:r>
        <w:t>, with only a slight improvement observed at higher concentrations.</w:t>
      </w:r>
    </w:p>
    <w:p w14:paraId="36C5334E" w14:textId="77777777" w:rsidR="002A00D6" w:rsidRDefault="005020B2" w:rsidP="00431127">
      <w:pPr>
        <w:pStyle w:val="Heading1"/>
      </w:pPr>
      <w:bookmarkStart w:id="12" w:name="_s8ij9rue3up0" w:colFirst="0" w:colLast="0"/>
      <w:bookmarkEnd w:id="12"/>
      <w:r>
        <w:t>Summary</w:t>
      </w:r>
    </w:p>
    <w:p w14:paraId="39D0B5B9" w14:textId="6195668A" w:rsidR="002A00D6" w:rsidRDefault="005020B2" w:rsidP="00431127">
      <w:pPr>
        <w:pStyle w:val="Paragraph"/>
        <w:rPr>
          <w:sz w:val="24"/>
          <w:szCs w:val="24"/>
        </w:rPr>
      </w:pPr>
      <w:r>
        <w:t xml:space="preserve">The Iron </w:t>
      </w:r>
      <w:proofErr w:type="spellStart"/>
      <w:r>
        <w:t>Molybdate@Carbon-Au</w:t>
      </w:r>
      <w:proofErr w:type="spellEnd"/>
      <w:r>
        <w:t xml:space="preserve"> (A31(H)) nanocomposite exhibits significant dose-dependent antifungal activity against </w:t>
      </w:r>
      <w:r>
        <w:rPr>
          <w:b/>
        </w:rPr>
        <w:t>Candida albicans</w:t>
      </w:r>
      <w:r>
        <w:t xml:space="preserve">, with increasing inhibition zones observed at higher concentrations. However, its activity against </w:t>
      </w:r>
      <w:r>
        <w:rPr>
          <w:b/>
        </w:rPr>
        <w:t>Aspergillus</w:t>
      </w:r>
      <w:r>
        <w:t xml:space="preserve"> is relatively weak, with only slight improvements seen with increased concentrations. This indicates that while A31(H) is effective against </w:t>
      </w:r>
      <w:r>
        <w:rPr>
          <w:b/>
        </w:rPr>
        <w:t>Candida albicans</w:t>
      </w:r>
      <w:r>
        <w:t xml:space="preserve">, its efficacy against </w:t>
      </w:r>
      <w:r>
        <w:rPr>
          <w:b/>
        </w:rPr>
        <w:t>Aspergillus</w:t>
      </w:r>
      <w:r>
        <w:t xml:space="preserve"> is limited.</w:t>
      </w:r>
    </w:p>
    <w:p w14:paraId="16D84118" w14:textId="77777777" w:rsidR="002A00D6" w:rsidRDefault="005020B2" w:rsidP="00431127">
      <w:pPr>
        <w:pStyle w:val="Heading1"/>
      </w:pPr>
      <w:bookmarkStart w:id="13" w:name="_fs19rpc5gubx" w:colFirst="0" w:colLast="0"/>
      <w:bookmarkEnd w:id="13"/>
      <w:r w:rsidRPr="00431127">
        <w:t>DISCUSSION</w:t>
      </w:r>
      <w:r>
        <w:t xml:space="preserve"> </w:t>
      </w:r>
    </w:p>
    <w:p w14:paraId="0145E2C1" w14:textId="77777777" w:rsidR="002A00D6" w:rsidRDefault="005020B2" w:rsidP="00431127">
      <w:pPr>
        <w:pStyle w:val="Paragraph"/>
      </w:pPr>
      <w:r>
        <w:t xml:space="preserve"> The study investigates the anti-inflammatory properties of bioactive iron </w:t>
      </w:r>
      <w:proofErr w:type="spellStart"/>
      <w:r>
        <w:t>molybdate@carbon-Au</w:t>
      </w:r>
      <w:proofErr w:type="spellEnd"/>
      <w:r>
        <w:t xml:space="preserve"> nanocomposites, focusing on the synergistic effects of combining iron molybdate (</w:t>
      </w:r>
      <w:proofErr w:type="spellStart"/>
      <w:r>
        <w:t>FeMoO</w:t>
      </w:r>
      <w:proofErr w:type="spellEnd"/>
      <w:r>
        <w:t>₄), carbon, and gold nanoparticles. Each component possesses unique properties that contribute to their bioactivity and potential therapeutic benefits. This research explores how these properties can be harnessed and enhanced when these materials are integrated into a single nanocomposite.</w:t>
      </w:r>
    </w:p>
    <w:p w14:paraId="7118BFF5" w14:textId="77777777" w:rsidR="002A00D6" w:rsidRDefault="005020B2" w:rsidP="00431127">
      <w:pPr>
        <w:pStyle w:val="Heading2"/>
      </w:pPr>
      <w:r>
        <w:t>Crystallographic Analysis</w:t>
      </w:r>
    </w:p>
    <w:p w14:paraId="5D88FC89" w14:textId="77777777" w:rsidR="002A00D6" w:rsidRDefault="005020B2" w:rsidP="00431127">
      <w:pPr>
        <w:pStyle w:val="Paragraph"/>
      </w:pPr>
      <w:r>
        <w:t xml:space="preserve">The X-ray diffraction (XRD) pattern confirms the presence of crystalline phases characteristic of iron molybdate and gold nanoparticles, with contributions from an amorphous carbon matrix </w:t>
      </w:r>
      <w:hyperlink r:id="rId37">
        <w:r>
          <w:rPr>
            <w:color w:val="000000"/>
          </w:rPr>
          <w:t>(Katyal et al., 2021)</w:t>
        </w:r>
      </w:hyperlink>
      <w:r>
        <w:t xml:space="preserve">. The distinct peaks observed at specific 2θ values correspond well with known diffraction patterns for </w:t>
      </w:r>
      <w:proofErr w:type="spellStart"/>
      <w:r>
        <w:t>FeMoO</w:t>
      </w:r>
      <w:proofErr w:type="spellEnd"/>
      <w:r>
        <w:t xml:space="preserve">₄ and Au </w:t>
      </w:r>
      <w:hyperlink r:id="rId38">
        <w:r>
          <w:rPr>
            <w:color w:val="000000"/>
          </w:rPr>
          <w:t>(Jabin et al., 2021)</w:t>
        </w:r>
      </w:hyperlink>
      <w:r>
        <w:t xml:space="preserve">. The broad background rise in the XRD spectrum indicates the presence of amorphous carbon, which, while not contributing to sharp diffraction peaks, provides a conductive and dispersive matrix for the other components </w:t>
      </w:r>
      <w:hyperlink r:id="rId39">
        <w:r>
          <w:rPr>
            <w:color w:val="000000"/>
          </w:rPr>
          <w:t>(Balaji Ganesh S &amp; Sugumar, 2021)</w:t>
        </w:r>
      </w:hyperlink>
      <w:r>
        <w:t>. This observation aligns with earlier studies where the incorporation of carbon matrices was noted for their ability to stabilize nanoparticles and enhance their distribution (Liu et al., 2010).</w:t>
      </w:r>
    </w:p>
    <w:p w14:paraId="6B4CF3C0" w14:textId="77777777" w:rsidR="002A00D6" w:rsidRDefault="005020B2" w:rsidP="00431127">
      <w:pPr>
        <w:pStyle w:val="Paragraph"/>
      </w:pPr>
      <w:r>
        <w:t xml:space="preserve">Iron molybdate exhibits peaks that suggest a well-crystallized phase </w:t>
      </w:r>
      <w:hyperlink r:id="rId40">
        <w:r>
          <w:rPr>
            <w:color w:val="000000"/>
          </w:rPr>
          <w:t>(Govindaraj &amp; Dinesh, 2021)</w:t>
        </w:r>
      </w:hyperlink>
      <w:r>
        <w:t>. This compound is known for its catalytic activity, which may contribute to reducing inflammatory markers through reactive oxygen species (ROS) scavenging (Lee et al., 2015). Older studies focused primarily on the catalytic applications of iron molybdate, particularly in industrial settings (Xie et al., 1991), but recent research has expanded its potential to biomedical applications, highlighting its antioxidant properties.</w:t>
      </w:r>
    </w:p>
    <w:p w14:paraId="023000BE" w14:textId="77777777" w:rsidR="002A00D6" w:rsidRDefault="005020B2" w:rsidP="00431127">
      <w:pPr>
        <w:pStyle w:val="Paragraph"/>
      </w:pPr>
      <w:r>
        <w:t xml:space="preserve">Gold nanoparticles, indicated by peaks at 38.2°, 44.4°, 64.6°, and 77.5°, are renowned for their anti-inflammatory and antioxidant properties, enhancing the bioactivity of the composite (Huang et al., 2019). In earlier work, gold nanoparticles were extensively studied for their optical properties and applications in photothermal therapy (Loo et al., 2005). However, more recent research emphasizes their role in modulating immune responses and reducing pro-inflammatory cytokine production, broadening their application scope to include anti-inflammatory treatments  </w:t>
      </w:r>
      <w:hyperlink r:id="rId41">
        <w:r>
          <w:rPr>
            <w:color w:val="000000"/>
          </w:rPr>
          <w:t>(Tiwari &amp; Jain, 2023)</w:t>
        </w:r>
      </w:hyperlink>
      <w:hyperlink r:id="rId42">
        <w:r>
          <w:rPr>
            <w:color w:val="000000"/>
          </w:rPr>
          <w:t>(Graf et al., 2023)</w:t>
        </w:r>
      </w:hyperlink>
      <w:r>
        <w:t>. The amorphous nature of the carbon matrix aids in the effective dispersion of iron molybdate and gold nanoparticles, enhancing the overall stability and bioactivity of the nanocomposite</w:t>
      </w:r>
      <w:hyperlink r:id="rId43">
        <w:r>
          <w:rPr>
            <w:color w:val="000000"/>
          </w:rPr>
          <w:t>(Neha et al., 2021)</w:t>
        </w:r>
      </w:hyperlink>
      <w:hyperlink r:id="rId44">
        <w:r>
          <w:rPr>
            <w:color w:val="000000"/>
          </w:rPr>
          <w:t>(</w:t>
        </w:r>
        <w:proofErr w:type="spellStart"/>
        <w:r>
          <w:rPr>
            <w:color w:val="000000"/>
          </w:rPr>
          <w:t>Maliael</w:t>
        </w:r>
        <w:proofErr w:type="spellEnd"/>
        <w:r>
          <w:rPr>
            <w:color w:val="000000"/>
          </w:rPr>
          <w:t xml:space="preserve"> et al., 2021)</w:t>
        </w:r>
      </w:hyperlink>
      <w:hyperlink r:id="rId45">
        <w:r>
          <w:rPr>
            <w:color w:val="000000"/>
          </w:rPr>
          <w:t>(Lakshmi, 2021)</w:t>
        </w:r>
      </w:hyperlink>
      <w:r>
        <w:t>. This feature has been consistently reported in the literature, where carbon materials are used not only for their structural support but also for their ability to improve the dispersion and stability of embedded nanoparticles (Rao et al., 2009).</w:t>
      </w:r>
    </w:p>
    <w:p w14:paraId="06993365" w14:textId="77777777" w:rsidR="002A00D6" w:rsidRDefault="005020B2" w:rsidP="00431127">
      <w:pPr>
        <w:pStyle w:val="Heading2"/>
      </w:pPr>
      <w:r>
        <w:t>Optical Properties</w:t>
      </w:r>
    </w:p>
    <w:p w14:paraId="3E557047" w14:textId="77777777" w:rsidR="002A00D6" w:rsidRDefault="005020B2" w:rsidP="00431127">
      <w:pPr>
        <w:pStyle w:val="Paragraph"/>
      </w:pPr>
      <w:r>
        <w:t>The UV-Vis absorption spectrum provides further insights into the interactions between the components within the composite. High absorbance in the UV region (200-400 nm) indicates strong electronic transitions within iron molybdate and carbon. The characteristic surface plasmon resonance (SPR) peak of gold nanoparticles, observed around 600-800 nm, confirms their presence and suggests enhanced optical properties</w:t>
      </w:r>
      <w:hyperlink r:id="rId46">
        <w:r>
          <w:rPr>
            <w:color w:val="000000"/>
          </w:rPr>
          <w:t xml:space="preserve">(Dharman </w:t>
        </w:r>
      </w:hyperlink>
      <w:hyperlink r:id="rId47">
        <w:r>
          <w:t>et al</w:t>
        </w:r>
      </w:hyperlink>
      <w:hyperlink r:id="rId48">
        <w:r>
          <w:rPr>
            <w:color w:val="000000"/>
          </w:rPr>
          <w:t>., 2021)</w:t>
        </w:r>
      </w:hyperlink>
      <w:r>
        <w:t>. This observation is consistent with earlier studies on gold nanoparticles, which identified similar SPR peaks and linked them to potential applications in biosensing and imaging (El-Sayed et al., 2005).</w:t>
      </w:r>
    </w:p>
    <w:p w14:paraId="6EC1224E" w14:textId="77777777" w:rsidR="002A00D6" w:rsidRDefault="005020B2" w:rsidP="00431127">
      <w:pPr>
        <w:pStyle w:val="Paragraph"/>
      </w:pPr>
      <w:r>
        <w:t xml:space="preserve">The strong UV absorption can be attributed to the </w:t>
      </w:r>
      <w:proofErr w:type="spellStart"/>
      <w:r>
        <w:t>FeMoO</w:t>
      </w:r>
      <w:proofErr w:type="spellEnd"/>
      <w:r>
        <w:t xml:space="preserve">₄ and carbon components, which typically absorb strongly in this region due to their electronic configurations. These properties contribute to the composite’s photo-catalytic and anti-inflammatory properties </w:t>
      </w:r>
      <w:r w:rsidRPr="00C0492B">
        <w:t>(Rafi et al., 2024)</w:t>
      </w:r>
      <w:r>
        <w:t xml:space="preserve">. In previous research, photo-catalytic activities of similar composites were primarily explored in the context of environmental remediation (Zhou et al., 2008). However, recent </w:t>
      </w:r>
      <w:r>
        <w:lastRenderedPageBreak/>
        <w:t>studies have shifted towards biomedical applications, particularly in utilizing the photothermal effects for cancer therapy (Jain et al., 2012).</w:t>
      </w:r>
    </w:p>
    <w:p w14:paraId="024E090B" w14:textId="77777777" w:rsidR="002A00D6" w:rsidRPr="005020B2" w:rsidRDefault="005020B2" w:rsidP="00431127">
      <w:pPr>
        <w:pStyle w:val="Paragraph"/>
      </w:pPr>
      <w:r>
        <w:t xml:space="preserve">The absorption features in the visible range, particularly the SPR peak of gold, indicate potential applications in biomedical imaging and photothermal therapy, further enhancing the composite’s therapeutic potential </w:t>
      </w:r>
      <w:r w:rsidRPr="00C0492B">
        <w:t>(</w:t>
      </w:r>
      <w:proofErr w:type="spellStart"/>
      <w:r w:rsidRPr="00C0492B">
        <w:t>Tuluwengjiang</w:t>
      </w:r>
      <w:proofErr w:type="spellEnd"/>
      <w:r w:rsidRPr="00C0492B">
        <w:t xml:space="preserve"> et al., 2024)</w:t>
      </w:r>
      <w:r>
        <w:t>. The use of gold nanoparticles in biomedical imaging has been well-documented, particularly in enhancing contrast for imaging techniques (Dreaden et al., 2012).</w:t>
      </w:r>
    </w:p>
    <w:p w14:paraId="06BDA478" w14:textId="77777777" w:rsidR="002A00D6" w:rsidRDefault="005020B2" w:rsidP="00431127">
      <w:pPr>
        <w:pStyle w:val="Heading2"/>
      </w:pPr>
      <w:r>
        <w:t>Anti-Inflammatory Mechanisms</w:t>
      </w:r>
    </w:p>
    <w:p w14:paraId="345B4F49" w14:textId="77777777" w:rsidR="002A00D6" w:rsidRDefault="005020B2" w:rsidP="00431127">
      <w:pPr>
        <w:pStyle w:val="Paragraph"/>
      </w:pPr>
      <w:r>
        <w:t xml:space="preserve">The integration of </w:t>
      </w:r>
      <w:proofErr w:type="spellStart"/>
      <w:r>
        <w:t>FeMoO</w:t>
      </w:r>
      <w:proofErr w:type="spellEnd"/>
      <w:r>
        <w:t>₄, carbon, and Au nanoparticles within a single nanocomposite aims to exploit the individual and synergistic anti-inflammatory mechanisms of each component. Iron molybdate is known for its catalytic properties, which may reduce inflammation by scavenging ROS and decreasing oxidative stress within biological systems (Zhang et al., 2016). Historically, iron-based compounds were studied for their roles in catalysis and energy applications (Sinha et al., 1992). The current focus on their biological activities represents a significant expansion of their utility.</w:t>
      </w:r>
    </w:p>
    <w:p w14:paraId="2DFD7D20" w14:textId="77777777" w:rsidR="002A00D6" w:rsidRDefault="005020B2" w:rsidP="00431127">
      <w:pPr>
        <w:pStyle w:val="Paragraph"/>
      </w:pPr>
      <w:r>
        <w:t xml:space="preserve">Gold nanoparticles are well-documented for their anti-inflammatory properties, primarily through modulating immune responses and reducing pro-inflammatory cytokine production (Huang et al., 2019). Early studies highlighted their inertness and biocompatibility, making them suitable for medical applications (Connor et al., 2005). The conductive and dispersive properties of the carbon matrix facilitate the uniform distribution of </w:t>
      </w:r>
      <w:proofErr w:type="spellStart"/>
      <w:r>
        <w:t>FeMoO</w:t>
      </w:r>
      <w:proofErr w:type="spellEnd"/>
      <w:r>
        <w:t>₄ and Au nanoparticles, ensuring consistent bioactivity and enhancing the overall therapeutic effect (Cao et al., 2008).</w:t>
      </w:r>
    </w:p>
    <w:p w14:paraId="70B60881" w14:textId="77777777" w:rsidR="002A00D6" w:rsidRDefault="005020B2" w:rsidP="00431127">
      <w:pPr>
        <w:pStyle w:val="Heading2"/>
      </w:pPr>
      <w:r>
        <w:t>Potential Applications</w:t>
      </w:r>
    </w:p>
    <w:p w14:paraId="1C5EE11D" w14:textId="2E9DB74F" w:rsidR="002A00D6" w:rsidRDefault="005020B2" w:rsidP="00431127">
      <w:pPr>
        <w:pStyle w:val="Paragraph"/>
        <w:rPr>
          <w:sz w:val="24"/>
          <w:szCs w:val="24"/>
        </w:rPr>
      </w:pPr>
      <w:r>
        <w:t xml:space="preserve">The bioactive iron </w:t>
      </w:r>
      <w:proofErr w:type="spellStart"/>
      <w:r>
        <w:t>molybdate@carbon-Au</w:t>
      </w:r>
      <w:proofErr w:type="spellEnd"/>
      <w:r>
        <w:t xml:space="preserve"> nanocomposite demonstrates promising anti-inflammatory properties, making it a potential candidate for various biomedical applications. As a therapeutic agent, the nanocomposite could be explored for inflammatory diseases, leveraging its multi-component synergy to achieve enhanced efficacy. Additionally, the composite’s structural properties may allow it to serve as an effective drug delivery vehicle, providing targeted and sustained release of anti-inflammatory drugs (Yang et al., 2020). Furthermore, the optical properties, particularly the SPR of gold nanoparticles, can be utilized in imaging techniques and photothermal therapy, offering a multifunctional platform for diagnosis and treatment (Guo et al., 2018). These applications build on earlier research that focused on the individual components' roles in drug delivery and imaging (</w:t>
      </w:r>
      <w:proofErr w:type="spellStart"/>
      <w:r>
        <w:t>Farokhzad</w:t>
      </w:r>
      <w:proofErr w:type="spellEnd"/>
      <w:r>
        <w:t xml:space="preserve"> &amp; Langer, 2009), now combined to enhance multifunctionality in a single nanocomposite system.</w:t>
      </w:r>
    </w:p>
    <w:p w14:paraId="2D9EBBDA" w14:textId="2FEC0DF8" w:rsidR="002A00D6" w:rsidRDefault="005020B2" w:rsidP="00431127">
      <w:pPr>
        <w:pStyle w:val="Heading1"/>
        <w:rPr>
          <w:szCs w:val="24"/>
        </w:rPr>
      </w:pPr>
      <w:r>
        <w:t>Conclusion</w:t>
      </w:r>
    </w:p>
    <w:p w14:paraId="42309883" w14:textId="26C07714" w:rsidR="002A00D6" w:rsidRDefault="005020B2" w:rsidP="00431127">
      <w:pPr>
        <w:pStyle w:val="Paragraph"/>
        <w:rPr>
          <w:sz w:val="24"/>
          <w:szCs w:val="24"/>
        </w:rPr>
      </w:pPr>
      <w:r>
        <w:t>The integration of iron molybdate, carbon, and gold nanoparticles into a single nanocomposite results in a material with enhanced Antifungal activity properties. The unique contributions of each component, coupled with their synergistic interactions, offer significant potential for the development of advanced therapeutic agents. Further research into the biological interactions and long-term stability of these nanocomposites will be crucial in translating these findings into practical biomedical applications.</w:t>
      </w:r>
    </w:p>
    <w:p w14:paraId="5D57B108" w14:textId="77777777" w:rsidR="002A00D6" w:rsidRDefault="005020B2" w:rsidP="00431127">
      <w:pPr>
        <w:pStyle w:val="Heading1"/>
      </w:pPr>
      <w:r>
        <w:t>References</w:t>
      </w:r>
    </w:p>
    <w:p w14:paraId="082F58C6" w14:textId="77777777" w:rsidR="002A00D6" w:rsidRPr="00431127" w:rsidRDefault="005020B2" w:rsidP="00431127">
      <w:pPr>
        <w:pStyle w:val="Reference"/>
      </w:pPr>
      <w:hyperlink r:id="rId49">
        <w:r w:rsidRPr="00431127">
          <w:t xml:space="preserve">Adkins, H., &amp; Peterson, W. R. (2002). </w:t>
        </w:r>
      </w:hyperlink>
      <w:hyperlink r:id="rId50">
        <w:r w:rsidRPr="00431127">
          <w:t>THE OXIDATION OF METHANOL WITH AIR OVER IRON, MOLYBDENUM, AND IRON-MOLYBDENUM OXIDES</w:t>
        </w:r>
      </w:hyperlink>
      <w:hyperlink r:id="rId51">
        <w:r w:rsidRPr="00431127">
          <w:t>. https://doi.org/</w:t>
        </w:r>
      </w:hyperlink>
      <w:hyperlink r:id="rId52">
        <w:r w:rsidRPr="00431127">
          <w:t>10.1021/ja01355a050</w:t>
        </w:r>
      </w:hyperlink>
    </w:p>
    <w:p w14:paraId="1B6D67BE" w14:textId="77777777" w:rsidR="002A00D6" w:rsidRPr="00431127" w:rsidRDefault="005020B2" w:rsidP="00431127">
      <w:pPr>
        <w:pStyle w:val="Reference"/>
      </w:pPr>
      <w:hyperlink r:id="rId53">
        <w:r w:rsidRPr="00431127">
          <w:t xml:space="preserve">Ajay, R., </w:t>
        </w:r>
        <w:proofErr w:type="spellStart"/>
        <w:r w:rsidRPr="00431127">
          <w:t>Rakshagan</w:t>
        </w:r>
        <w:proofErr w:type="spellEnd"/>
        <w:r w:rsidRPr="00431127">
          <w:t xml:space="preserve">, V., </w:t>
        </w:r>
        <w:proofErr w:type="spellStart"/>
        <w:r w:rsidRPr="00431127">
          <w:t>Queenalice</w:t>
        </w:r>
        <w:proofErr w:type="spellEnd"/>
        <w:r w:rsidRPr="00431127">
          <w:t xml:space="preserve">, A., Vinothkumar, S., Ravivarman, C., &amp; </w:t>
        </w:r>
        <w:proofErr w:type="spellStart"/>
        <w:r w:rsidRPr="00431127">
          <w:t>Saravanadinesh</w:t>
        </w:r>
        <w:proofErr w:type="spellEnd"/>
        <w:r w:rsidRPr="00431127">
          <w:t xml:space="preserve">, P. (2022). Effect of triazine comonomer substitution on the structure and glass transition temperature of </w:t>
        </w:r>
        <w:proofErr w:type="spellStart"/>
        <w:r w:rsidRPr="00431127">
          <w:t>monomethacrylate</w:t>
        </w:r>
        <w:proofErr w:type="spellEnd"/>
        <w:r w:rsidRPr="00431127">
          <w:t xml:space="preserve">-based resin polymer: An in vitro study. </w:t>
        </w:r>
      </w:hyperlink>
      <w:hyperlink r:id="rId54">
        <w:r w:rsidRPr="00431127">
          <w:t>The Journal of Contemporary Dental Practice</w:t>
        </w:r>
      </w:hyperlink>
      <w:hyperlink r:id="rId55">
        <w:r w:rsidRPr="00431127">
          <w:t xml:space="preserve">, </w:t>
        </w:r>
      </w:hyperlink>
      <w:hyperlink r:id="rId56">
        <w:r w:rsidRPr="00431127">
          <w:t>23</w:t>
        </w:r>
      </w:hyperlink>
      <w:hyperlink r:id="rId57">
        <w:r w:rsidRPr="00431127">
          <w:t>(2), 202–207.</w:t>
        </w:r>
      </w:hyperlink>
    </w:p>
    <w:p w14:paraId="4F31A642" w14:textId="77777777" w:rsidR="002A00D6" w:rsidRPr="00431127" w:rsidRDefault="005020B2" w:rsidP="00431127">
      <w:pPr>
        <w:pStyle w:val="Reference"/>
      </w:pPr>
      <w:hyperlink r:id="rId58">
        <w:r w:rsidRPr="00431127">
          <w:t xml:space="preserve">Ajay, R., Sasikala, R., </w:t>
        </w:r>
        <w:proofErr w:type="spellStart"/>
        <w:r w:rsidRPr="00431127">
          <w:t>Rakshagan</w:t>
        </w:r>
        <w:proofErr w:type="spellEnd"/>
        <w:r w:rsidRPr="00431127">
          <w:t xml:space="preserve">, V., Raghunathan, J., </w:t>
        </w:r>
        <w:proofErr w:type="spellStart"/>
        <w:r w:rsidRPr="00431127">
          <w:t>LalithaManohari</w:t>
        </w:r>
        <w:proofErr w:type="spellEnd"/>
        <w:r w:rsidRPr="00431127">
          <w:t xml:space="preserve">, V., &amp; </w:t>
        </w:r>
        <w:proofErr w:type="spellStart"/>
        <w:r w:rsidRPr="00431127">
          <w:t>Baburajan</w:t>
        </w:r>
        <w:proofErr w:type="spellEnd"/>
        <w:r w:rsidRPr="00431127">
          <w:t xml:space="preserve">, K. (2022). Evaluation of cytocompatibility of </w:t>
        </w:r>
        <w:proofErr w:type="spellStart"/>
        <w:r w:rsidRPr="00431127">
          <w:t>thermopolymerized</w:t>
        </w:r>
        <w:proofErr w:type="spellEnd"/>
        <w:r w:rsidRPr="00431127">
          <w:t xml:space="preserve"> denture base copolymer containing a novel ring-opening </w:t>
        </w:r>
        <w:proofErr w:type="spellStart"/>
        <w:r w:rsidRPr="00431127">
          <w:t>oxaspiro</w:t>
        </w:r>
        <w:proofErr w:type="spellEnd"/>
        <w:r w:rsidRPr="00431127">
          <w:t xml:space="preserve"> comonomer. </w:t>
        </w:r>
      </w:hyperlink>
      <w:hyperlink r:id="rId59">
        <w:r w:rsidRPr="00431127">
          <w:t>World Journal of Dentistry</w:t>
        </w:r>
      </w:hyperlink>
      <w:hyperlink r:id="rId60">
        <w:r w:rsidRPr="00431127">
          <w:t xml:space="preserve">, </w:t>
        </w:r>
      </w:hyperlink>
      <w:hyperlink r:id="rId61">
        <w:r w:rsidRPr="00431127">
          <w:t>13</w:t>
        </w:r>
      </w:hyperlink>
      <w:hyperlink r:id="rId62">
        <w:r w:rsidRPr="00431127">
          <w:t>(2), 127–132.</w:t>
        </w:r>
      </w:hyperlink>
    </w:p>
    <w:p w14:paraId="3EC421B2" w14:textId="77777777" w:rsidR="002A00D6" w:rsidRPr="00431127" w:rsidRDefault="005020B2" w:rsidP="00431127">
      <w:pPr>
        <w:pStyle w:val="Reference"/>
      </w:pPr>
      <w:hyperlink r:id="rId63">
        <w:r w:rsidRPr="00431127">
          <w:t xml:space="preserve">Ajay, R., Suma, K., Sasikala, R., </w:t>
        </w:r>
        <w:proofErr w:type="spellStart"/>
        <w:r w:rsidRPr="00431127">
          <w:t>Rakshagan</w:t>
        </w:r>
        <w:proofErr w:type="spellEnd"/>
        <w:r w:rsidRPr="00431127">
          <w:t xml:space="preserve">, V., Baburajan, K., &amp; Kalarani, G. (2022). Evaluation of linear dimensional stability of </w:t>
        </w:r>
        <w:proofErr w:type="spellStart"/>
        <w:r w:rsidRPr="00431127">
          <w:t>monomethacrylate</w:t>
        </w:r>
        <w:proofErr w:type="spellEnd"/>
        <w:r w:rsidRPr="00431127">
          <w:t xml:space="preserve">-based dental polymer containing a novel tricyclic diacrylate cross-linker using a novel surface-level index technique. </w:t>
        </w:r>
      </w:hyperlink>
      <w:hyperlink r:id="rId64">
        <w:r w:rsidRPr="00431127">
          <w:t>World Journal of Dentistry</w:t>
        </w:r>
      </w:hyperlink>
      <w:hyperlink r:id="rId65">
        <w:r w:rsidRPr="00431127">
          <w:t xml:space="preserve">, </w:t>
        </w:r>
      </w:hyperlink>
      <w:hyperlink r:id="rId66">
        <w:r w:rsidRPr="00431127">
          <w:t>13</w:t>
        </w:r>
      </w:hyperlink>
      <w:hyperlink r:id="rId67">
        <w:r w:rsidRPr="00431127">
          <w:t>(6), 568–573.</w:t>
        </w:r>
      </w:hyperlink>
    </w:p>
    <w:p w14:paraId="054D7CD7" w14:textId="77777777" w:rsidR="002A00D6" w:rsidRPr="00431127" w:rsidRDefault="005020B2" w:rsidP="00431127">
      <w:pPr>
        <w:pStyle w:val="Reference"/>
      </w:pPr>
      <w:hyperlink r:id="rId68">
        <w:r w:rsidRPr="00431127">
          <w:t xml:space="preserve">Balaji Ganesh S, &amp; Sugumar, K. (2021). Internet of Things—A novel innovation in dentistry. </w:t>
        </w:r>
      </w:hyperlink>
      <w:hyperlink r:id="rId69">
        <w:r w:rsidRPr="00431127">
          <w:t>Journal of Advanced Oral Research</w:t>
        </w:r>
      </w:hyperlink>
      <w:hyperlink r:id="rId70">
        <w:r w:rsidRPr="00431127">
          <w:t xml:space="preserve">, </w:t>
        </w:r>
      </w:hyperlink>
      <w:hyperlink r:id="rId71">
        <w:r w:rsidRPr="00431127">
          <w:t>12</w:t>
        </w:r>
      </w:hyperlink>
      <w:hyperlink r:id="rId72">
        <w:r w:rsidRPr="00431127">
          <w:t>(1), 42–48.</w:t>
        </w:r>
      </w:hyperlink>
    </w:p>
    <w:p w14:paraId="08BAE90C" w14:textId="77777777" w:rsidR="002A00D6" w:rsidRPr="00431127" w:rsidRDefault="005020B2" w:rsidP="00431127">
      <w:pPr>
        <w:pStyle w:val="Reference"/>
      </w:pPr>
      <w:hyperlink r:id="rId73">
        <w:r w:rsidRPr="00431127">
          <w:t xml:space="preserve">Bowker, M., House, M., Alshehri, A., Brookes, C., Gibson, E. K., &amp; Wells, P. P. (2015). Selectivity determinants for dual function catalysts: applied to methanol selective oxidation on iron molybdate. </w:t>
        </w:r>
      </w:hyperlink>
      <w:hyperlink r:id="rId74">
        <w:r w:rsidRPr="00431127">
          <w:t>Catalysis Structure &amp; Reactivity</w:t>
        </w:r>
      </w:hyperlink>
      <w:hyperlink r:id="rId75">
        <w:r w:rsidRPr="00431127">
          <w:t xml:space="preserve">, </w:t>
        </w:r>
      </w:hyperlink>
      <w:hyperlink r:id="rId76">
        <w:r w:rsidRPr="00431127">
          <w:t>1</w:t>
        </w:r>
      </w:hyperlink>
      <w:hyperlink r:id="rId77">
        <w:r w:rsidRPr="00431127">
          <w:t>(2), 95–100.</w:t>
        </w:r>
      </w:hyperlink>
    </w:p>
    <w:p w14:paraId="058B39E5" w14:textId="77777777" w:rsidR="002A00D6" w:rsidRPr="00431127" w:rsidRDefault="005020B2" w:rsidP="00431127">
      <w:pPr>
        <w:pStyle w:val="Reference"/>
      </w:pPr>
      <w:hyperlink r:id="rId78">
        <w:r w:rsidRPr="00431127">
          <w:t xml:space="preserve">Carlsson, P.-A., Jing, D., &amp; Skoglundh, M. (2012). </w:t>
        </w:r>
      </w:hyperlink>
      <w:hyperlink r:id="rId79">
        <w:r w:rsidRPr="00431127">
          <w:t>Controlling Selectivity in Direct Conversion of Methane into Formaldehyde/Methanol over Iron Molybdate via Periodic Operation Conditions</w:t>
        </w:r>
      </w:hyperlink>
      <w:hyperlink r:id="rId80">
        <w:r w:rsidRPr="00431127">
          <w:t>. https://doi.org/</w:t>
        </w:r>
      </w:hyperlink>
      <w:hyperlink r:id="rId81">
        <w:r w:rsidRPr="00431127">
          <w:t>10.1021/ef300007n</w:t>
        </w:r>
      </w:hyperlink>
    </w:p>
    <w:p w14:paraId="4938B313" w14:textId="77777777" w:rsidR="002A00D6" w:rsidRPr="00431127" w:rsidRDefault="005020B2" w:rsidP="00431127">
      <w:pPr>
        <w:pStyle w:val="Reference"/>
      </w:pPr>
      <w:hyperlink r:id="rId82">
        <w:r w:rsidRPr="00431127">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3">
        <w:r w:rsidRPr="00431127">
          <w:t>Indian Journal of Dental Research : Official Publication of Indian Society for Dental Research</w:t>
        </w:r>
      </w:hyperlink>
      <w:hyperlink r:id="rId84">
        <w:r w:rsidRPr="00431127">
          <w:t xml:space="preserve">, </w:t>
        </w:r>
      </w:hyperlink>
      <w:hyperlink r:id="rId85">
        <w:r w:rsidRPr="00431127">
          <w:t>33</w:t>
        </w:r>
      </w:hyperlink>
      <w:hyperlink r:id="rId86">
        <w:r w:rsidRPr="00431127">
          <w:t>(1), 30–36.</w:t>
        </w:r>
      </w:hyperlink>
    </w:p>
    <w:p w14:paraId="1F3AB22D" w14:textId="77777777" w:rsidR="002A00D6" w:rsidRPr="00431127" w:rsidRDefault="005020B2" w:rsidP="00431127">
      <w:pPr>
        <w:pStyle w:val="Reference"/>
      </w:pPr>
      <w:hyperlink r:id="rId87">
        <w:proofErr w:type="spellStart"/>
        <w:r w:rsidRPr="00431127">
          <w:t>Chychko</w:t>
        </w:r>
        <w:proofErr w:type="spellEnd"/>
        <w:r w:rsidRPr="00431127">
          <w:t xml:space="preserve">, A., Teng, L., </w:t>
        </w:r>
        <w:proofErr w:type="spellStart"/>
        <w:r w:rsidRPr="00431127">
          <w:t>Nzotta</w:t>
        </w:r>
        <w:proofErr w:type="spellEnd"/>
        <w:r w:rsidRPr="00431127">
          <w:t xml:space="preserve">, M., &amp; Seetharaman, S. (2011). Fe2MoO4 as a Precursor Material for Mo Alloying in Steel (Part II): Up-Scaling Test. </w:t>
        </w:r>
      </w:hyperlink>
      <w:hyperlink r:id="rId88">
        <w:r w:rsidRPr="00431127">
          <w:t>Steel Research International</w:t>
        </w:r>
      </w:hyperlink>
      <w:hyperlink r:id="rId89">
        <w:r w:rsidRPr="00431127">
          <w:t xml:space="preserve">, </w:t>
        </w:r>
      </w:hyperlink>
      <w:hyperlink r:id="rId90">
        <w:r w:rsidRPr="00431127">
          <w:t>82</w:t>
        </w:r>
      </w:hyperlink>
      <w:hyperlink r:id="rId91">
        <w:r w:rsidRPr="00431127">
          <w:t>(8), 886–897.</w:t>
        </w:r>
      </w:hyperlink>
    </w:p>
    <w:p w14:paraId="29D22CC2" w14:textId="77777777" w:rsidR="002A00D6" w:rsidRPr="00431127" w:rsidRDefault="005020B2" w:rsidP="00431127">
      <w:pPr>
        <w:pStyle w:val="Reference"/>
      </w:pPr>
      <w:hyperlink r:id="rId92">
        <w:r w:rsidRPr="00431127">
          <w:t xml:space="preserve">de Araújo, R. F., Júnior, de Araújo, A. A., Pessoa, J. B., Freire Neto, F. P., da Silva, G. R., Leitão Oliveira, A. L. C. S., de Carvalho, T. G., Silva, H. F. O., Eugênio, M., Sant’Anna, C., &amp; Gasparotto, L. H. S. (2017). Anti-inflammatory, analgesic and anti-tumor properties of gold nanoparticles. </w:t>
        </w:r>
      </w:hyperlink>
      <w:hyperlink r:id="rId93">
        <w:r w:rsidRPr="00431127">
          <w:t>Pharmacological Reports: PR</w:t>
        </w:r>
      </w:hyperlink>
      <w:hyperlink r:id="rId94">
        <w:r w:rsidRPr="00431127">
          <w:t xml:space="preserve">, </w:t>
        </w:r>
      </w:hyperlink>
      <w:hyperlink r:id="rId95">
        <w:r w:rsidRPr="00431127">
          <w:t>69</w:t>
        </w:r>
      </w:hyperlink>
      <w:hyperlink r:id="rId96">
        <w:r w:rsidRPr="00431127">
          <w:t>(1), 119–129.</w:t>
        </w:r>
      </w:hyperlink>
    </w:p>
    <w:p w14:paraId="7F0BE218" w14:textId="77777777" w:rsidR="002A00D6" w:rsidRPr="00431127" w:rsidRDefault="005020B2" w:rsidP="00431127">
      <w:pPr>
        <w:pStyle w:val="Reference"/>
      </w:pPr>
      <w:hyperlink r:id="rId97">
        <w:r w:rsidRPr="00431127">
          <w:t xml:space="preserve">Deepika, B. A., Ramamurthy, J., Girija, S., &amp; Jayakumar, N. D. (2022). Evaluation of the antimicrobial effect of Ocimum sanctum L. oral gel against anaerobic oral microbes: An in vitro study. </w:t>
        </w:r>
      </w:hyperlink>
      <w:hyperlink r:id="rId98">
        <w:r w:rsidRPr="00431127">
          <w:t>World Journal of Dentistry</w:t>
        </w:r>
      </w:hyperlink>
      <w:hyperlink r:id="rId99">
        <w:r w:rsidRPr="00431127">
          <w:t xml:space="preserve">, </w:t>
        </w:r>
      </w:hyperlink>
      <w:hyperlink r:id="rId100">
        <w:r w:rsidRPr="00431127">
          <w:t>13</w:t>
        </w:r>
      </w:hyperlink>
      <w:hyperlink r:id="rId101">
        <w:r w:rsidRPr="00431127">
          <w:t>(S1), S23–S27.</w:t>
        </w:r>
      </w:hyperlink>
    </w:p>
    <w:p w14:paraId="05EDA7D6" w14:textId="77777777" w:rsidR="002A00D6" w:rsidRPr="00431127" w:rsidRDefault="005020B2" w:rsidP="00431127">
      <w:pPr>
        <w:pStyle w:val="Reference"/>
      </w:pPr>
      <w:hyperlink r:id="rId102">
        <w:r w:rsidRPr="00431127">
          <w:t xml:space="preserve">Dharman, S., </w:t>
        </w:r>
      </w:hyperlink>
      <w:hyperlink r:id="rId103">
        <w:r w:rsidRPr="00431127">
          <w:t>Kumar, R., Shanmugasundaram, K.</w:t>
        </w:r>
      </w:hyperlink>
      <w:hyperlink r:id="rId104">
        <w:r w:rsidRPr="00431127">
          <w:t xml:space="preserve">(2021). Ecofriendly Synthesis, </w:t>
        </w:r>
        <w:proofErr w:type="spellStart"/>
        <w:r w:rsidRPr="00431127">
          <w:t>Characterisation</w:t>
        </w:r>
        <w:proofErr w:type="spellEnd"/>
        <w:r w:rsidRPr="00431127">
          <w:t xml:space="preserve"> and Antibacterial Activity Of Curcumin Mediated Silver Nanoparticles. </w:t>
        </w:r>
      </w:hyperlink>
      <w:hyperlink r:id="rId105">
        <w:r w:rsidRPr="00431127">
          <w:t>International Journal of Dentistry and Oral Science</w:t>
        </w:r>
      </w:hyperlink>
      <w:hyperlink r:id="rId106">
        <w:r w:rsidRPr="00431127">
          <w:t>, 2314–2318.</w:t>
        </w:r>
      </w:hyperlink>
    </w:p>
    <w:p w14:paraId="094C6CA0" w14:textId="77777777" w:rsidR="002A00D6" w:rsidRPr="00431127" w:rsidRDefault="005020B2" w:rsidP="00431127">
      <w:pPr>
        <w:pStyle w:val="Reference"/>
      </w:pPr>
      <w:hyperlink r:id="rId107">
        <w:r w:rsidRPr="00431127">
          <w:t xml:space="preserve">Enea, M., Pereira, E., Silva, D. D., Costa, J., Soares, M. E., de Lourdes Bastos, M., &amp; Carmo, H. (2020). Study of the intestinal uptake and permeability of gold nanoparticles using both in vitro and in vivo approaches. </w:t>
        </w:r>
      </w:hyperlink>
      <w:hyperlink r:id="rId108">
        <w:r w:rsidRPr="00431127">
          <w:t>Nanotechnology</w:t>
        </w:r>
      </w:hyperlink>
      <w:hyperlink r:id="rId109">
        <w:r w:rsidRPr="00431127">
          <w:t xml:space="preserve">, </w:t>
        </w:r>
      </w:hyperlink>
      <w:hyperlink r:id="rId110">
        <w:r w:rsidRPr="00431127">
          <w:t>31</w:t>
        </w:r>
      </w:hyperlink>
      <w:hyperlink r:id="rId111">
        <w:r w:rsidRPr="00431127">
          <w:t>(19), 195102.</w:t>
        </w:r>
      </w:hyperlink>
    </w:p>
    <w:p w14:paraId="53EFEC39" w14:textId="77777777" w:rsidR="002A00D6" w:rsidRPr="00431127" w:rsidRDefault="005020B2" w:rsidP="00431127">
      <w:pPr>
        <w:pStyle w:val="Reference"/>
      </w:pPr>
      <w:hyperlink r:id="rId112">
        <w:proofErr w:type="spellStart"/>
        <w:r w:rsidRPr="00431127">
          <w:t>Famta</w:t>
        </w:r>
        <w:proofErr w:type="spellEnd"/>
        <w:r w:rsidRPr="00431127">
          <w:t xml:space="preserve">, P., </w:t>
        </w:r>
        <w:proofErr w:type="spellStart"/>
        <w:r w:rsidRPr="00431127">
          <w:t>Famta</w:t>
        </w:r>
        <w:proofErr w:type="spellEnd"/>
        <w:r w:rsidRPr="00431127">
          <w:t xml:space="preserve">, M., Kaur, J., Khursheed, R., Kaur, A., Khatik, G. L., </w:t>
        </w:r>
        <w:proofErr w:type="spellStart"/>
        <w:r w:rsidRPr="00431127">
          <w:t>Pawde</w:t>
        </w:r>
        <w:proofErr w:type="spellEnd"/>
        <w:r w:rsidRPr="00431127">
          <w:t xml:space="preserve">, D. M., Rahman, S. N. R., &amp; </w:t>
        </w:r>
        <w:proofErr w:type="spellStart"/>
        <w:r w:rsidRPr="00431127">
          <w:t>Shunmugaperumal</w:t>
        </w:r>
        <w:proofErr w:type="spellEnd"/>
        <w:r w:rsidRPr="00431127">
          <w:t xml:space="preserve">, T. (2020). Protecting the Normal Physiological Functions of Articular and Periarticular Structures by Aurum Nanoparticle-Based Formulations: an Up-to-Date Insight. </w:t>
        </w:r>
      </w:hyperlink>
      <w:hyperlink r:id="rId113">
        <w:r w:rsidRPr="00431127">
          <w:t xml:space="preserve">AAPS </w:t>
        </w:r>
        <w:proofErr w:type="spellStart"/>
        <w:r w:rsidRPr="00431127">
          <w:t>PharmSciTech</w:t>
        </w:r>
        <w:proofErr w:type="spellEnd"/>
      </w:hyperlink>
      <w:hyperlink r:id="rId114">
        <w:r w:rsidRPr="00431127">
          <w:t xml:space="preserve">, </w:t>
        </w:r>
      </w:hyperlink>
      <w:hyperlink r:id="rId115">
        <w:r w:rsidRPr="00431127">
          <w:t>21</w:t>
        </w:r>
      </w:hyperlink>
      <w:hyperlink r:id="rId116">
        <w:r w:rsidRPr="00431127">
          <w:t>(3), 95.</w:t>
        </w:r>
      </w:hyperlink>
    </w:p>
    <w:p w14:paraId="36462617" w14:textId="77777777" w:rsidR="002A00D6" w:rsidRPr="00431127" w:rsidRDefault="005020B2" w:rsidP="00431127">
      <w:pPr>
        <w:pStyle w:val="Reference"/>
      </w:pPr>
      <w:hyperlink r:id="rId117">
        <w:r w:rsidRPr="00431127">
          <w:t xml:space="preserve">Fazio, E., Gökce, B., De Giacomo, A., Meneghetti, M., Compagnini, G., Tommasini, M., Waag, F., Lucotti, A., Zanchi, C. G., Ossi, P. M., Dell’Aglio, M., D’Urso, L., Condorelli, M., Scardaci, V., Biscaglia, F., Litti, L., Gobbo, M., Gallo, G., Santoro, M., … Neri, F. (2020). Nanoparticles Engineering by Pulsed Laser Ablation in Liquids: Concepts and Applications. </w:t>
        </w:r>
      </w:hyperlink>
      <w:hyperlink r:id="rId118">
        <w:r w:rsidRPr="00431127">
          <w:t>Nanomaterials (Basel, Switzerland)</w:t>
        </w:r>
      </w:hyperlink>
      <w:hyperlink r:id="rId119">
        <w:r w:rsidRPr="00431127">
          <w:t xml:space="preserve">, </w:t>
        </w:r>
      </w:hyperlink>
      <w:hyperlink r:id="rId120">
        <w:r w:rsidRPr="00431127">
          <w:t>10</w:t>
        </w:r>
      </w:hyperlink>
      <w:hyperlink r:id="rId121">
        <w:r w:rsidRPr="00431127">
          <w:t>(11). https://doi.org/</w:t>
        </w:r>
      </w:hyperlink>
      <w:hyperlink r:id="rId122">
        <w:r w:rsidRPr="00431127">
          <w:t>10.3390/nano10112317</w:t>
        </w:r>
      </w:hyperlink>
    </w:p>
    <w:p w14:paraId="3C3022F6" w14:textId="77777777" w:rsidR="002A00D6" w:rsidRPr="00431127" w:rsidRDefault="005020B2" w:rsidP="00431127">
      <w:pPr>
        <w:pStyle w:val="Reference"/>
      </w:pPr>
      <w:hyperlink r:id="rId123">
        <w:r w:rsidRPr="00431127">
          <w:t xml:space="preserve">Govindaraj, A., &amp; Dinesh, S. P. S. (2021). Effect of chlorhexidine varnish and fluoride varnish on White Spot Lesions in orthodontic patients- a systematic review. </w:t>
        </w:r>
      </w:hyperlink>
      <w:hyperlink r:id="rId124">
        <w:r w:rsidRPr="00431127">
          <w:t>The Open Dentistry Journal</w:t>
        </w:r>
      </w:hyperlink>
      <w:hyperlink r:id="rId125">
        <w:r w:rsidRPr="00431127">
          <w:t xml:space="preserve">, </w:t>
        </w:r>
      </w:hyperlink>
      <w:hyperlink r:id="rId126">
        <w:r w:rsidRPr="00431127">
          <w:t>15</w:t>
        </w:r>
      </w:hyperlink>
      <w:hyperlink r:id="rId127">
        <w:r w:rsidRPr="00431127">
          <w:t>(1), 151–159.</w:t>
        </w:r>
      </w:hyperlink>
    </w:p>
    <w:p w14:paraId="1DBA12B5" w14:textId="77777777" w:rsidR="002A00D6" w:rsidRPr="00431127" w:rsidRDefault="005020B2" w:rsidP="00431127">
      <w:pPr>
        <w:pStyle w:val="Reference"/>
      </w:pPr>
      <w:hyperlink r:id="rId128">
        <w:r w:rsidRPr="00431127">
          <w:t xml:space="preserve">Graf, S., Thakkar, D., Hansa, I., Pandian, S. M., &amp; Adel, S. M. (2023). 3D metal printing in orthodontics current trends, biomaterials, workflows and clinical implications. </w:t>
        </w:r>
      </w:hyperlink>
      <w:hyperlink r:id="rId129">
        <w:r w:rsidRPr="00431127">
          <w:t>Seminars in Orthodontics</w:t>
        </w:r>
      </w:hyperlink>
      <w:hyperlink r:id="rId130">
        <w:r w:rsidRPr="00431127">
          <w:t>. https://doi.org/</w:t>
        </w:r>
      </w:hyperlink>
      <w:hyperlink r:id="rId131">
        <w:r w:rsidRPr="00431127">
          <w:t>10.1053/j.sodo.2023.01.001</w:t>
        </w:r>
      </w:hyperlink>
    </w:p>
    <w:p w14:paraId="066C6D58" w14:textId="77777777" w:rsidR="002A00D6" w:rsidRPr="00431127" w:rsidRDefault="005020B2" w:rsidP="00431127">
      <w:pPr>
        <w:pStyle w:val="Reference"/>
      </w:pPr>
      <w:hyperlink r:id="rId132">
        <w:r w:rsidRPr="00431127">
          <w:t xml:space="preserve">Harsha, L., Navaneethan, R., Acid, T., &amp; Acid, C. A.-A. (2022). CITRIC ACID-AN VITRO STUDY. </w:t>
        </w:r>
      </w:hyperlink>
      <w:hyperlink r:id="rId133">
        <w:r w:rsidRPr="00431127">
          <w:t>International Journal Clinical Dentistry</w:t>
        </w:r>
      </w:hyperlink>
      <w:hyperlink r:id="rId134">
        <w:r w:rsidRPr="00431127">
          <w:t xml:space="preserve">, </w:t>
        </w:r>
      </w:hyperlink>
      <w:hyperlink r:id="rId135">
        <w:r w:rsidRPr="00431127">
          <w:t>15</w:t>
        </w:r>
      </w:hyperlink>
      <w:hyperlink r:id="rId136">
        <w:r w:rsidRPr="00431127">
          <w:t>(3), 413–419.</w:t>
        </w:r>
      </w:hyperlink>
    </w:p>
    <w:p w14:paraId="08AB764E" w14:textId="77777777" w:rsidR="002A00D6" w:rsidRPr="00431127" w:rsidRDefault="005020B2" w:rsidP="00431127">
      <w:pPr>
        <w:pStyle w:val="Reference"/>
      </w:pPr>
      <w:hyperlink r:id="rId137">
        <w:r w:rsidRPr="00431127">
          <w:t xml:space="preserve">Harsha, L., &amp; Subramanian, A. K. (2022). Comparative assessment of pH and degree of surface roughness of enamel when etched with five commercially available etchants: An in vitro study. </w:t>
        </w:r>
      </w:hyperlink>
      <w:hyperlink r:id="rId138">
        <w:r w:rsidRPr="00431127">
          <w:t>The Journal of Contemporary Dental Practice</w:t>
        </w:r>
      </w:hyperlink>
      <w:hyperlink r:id="rId139">
        <w:r w:rsidRPr="00431127">
          <w:t xml:space="preserve">, </w:t>
        </w:r>
      </w:hyperlink>
      <w:hyperlink r:id="rId140">
        <w:r w:rsidRPr="00431127">
          <w:t>23</w:t>
        </w:r>
      </w:hyperlink>
      <w:hyperlink r:id="rId141">
        <w:r w:rsidRPr="00431127">
          <w:t>(2), 181–185.</w:t>
        </w:r>
      </w:hyperlink>
    </w:p>
    <w:p w14:paraId="34E63DB1" w14:textId="77777777" w:rsidR="002A00D6" w:rsidRPr="00431127" w:rsidRDefault="005020B2" w:rsidP="00431127">
      <w:pPr>
        <w:pStyle w:val="Reference"/>
      </w:pPr>
      <w:hyperlink r:id="rId142">
        <w:r w:rsidRPr="00431127">
          <w:t xml:space="preserve">Jabin, Z., Nasim, I., Vishnu Priya, V., &amp; Agarwal, N. (2021). Quantitative Analysis and Effect of SDF, APF, </w:t>
        </w:r>
        <w:proofErr w:type="spellStart"/>
        <w:r w:rsidRPr="00431127">
          <w:t>NaF</w:t>
        </w:r>
        <w:proofErr w:type="spellEnd"/>
        <w:r w:rsidRPr="00431127">
          <w:t xml:space="preserve"> on Demineralized Human Primary Enamel Using SEM, XRD, and FTIR. </w:t>
        </w:r>
      </w:hyperlink>
      <w:hyperlink r:id="rId143">
        <w:r w:rsidRPr="00431127">
          <w:t>International Journal of Clinical Pediatric Dentistry</w:t>
        </w:r>
      </w:hyperlink>
      <w:hyperlink r:id="rId144">
        <w:r w:rsidRPr="00431127">
          <w:t xml:space="preserve">, </w:t>
        </w:r>
      </w:hyperlink>
      <w:hyperlink r:id="rId145">
        <w:r w:rsidRPr="00431127">
          <w:t>14</w:t>
        </w:r>
      </w:hyperlink>
      <w:hyperlink r:id="rId146">
        <w:r w:rsidRPr="00431127">
          <w:t>(4), 537–541.</w:t>
        </w:r>
      </w:hyperlink>
    </w:p>
    <w:p w14:paraId="7FD98158" w14:textId="77777777" w:rsidR="002A00D6" w:rsidRPr="00431127" w:rsidRDefault="005020B2" w:rsidP="00431127">
      <w:pPr>
        <w:pStyle w:val="Reference"/>
      </w:pPr>
      <w:hyperlink r:id="rId147">
        <w:r w:rsidRPr="00431127">
          <w:t xml:space="preserve">Katyal, D., Subramanian, A. K., Venugopal, A., &amp; Marya, A. (2021). Assessment of Wettability and Contact Angle of Bonding Agent with Enamel Surface Etched by Five Commercially Available Etchants: An In Vitro Study. </w:t>
        </w:r>
      </w:hyperlink>
      <w:hyperlink r:id="rId148">
        <w:r w:rsidRPr="00431127">
          <w:t>International Journal of Dentistry</w:t>
        </w:r>
      </w:hyperlink>
      <w:hyperlink r:id="rId149">
        <w:r w:rsidRPr="00431127">
          <w:t xml:space="preserve">, </w:t>
        </w:r>
      </w:hyperlink>
      <w:hyperlink r:id="rId150">
        <w:r w:rsidRPr="00431127">
          <w:t>2021</w:t>
        </w:r>
      </w:hyperlink>
      <w:hyperlink r:id="rId151">
        <w:r w:rsidRPr="00431127">
          <w:t>, 9457553.</w:t>
        </w:r>
      </w:hyperlink>
    </w:p>
    <w:p w14:paraId="56440933" w14:textId="77777777" w:rsidR="002A00D6" w:rsidRPr="00431127" w:rsidRDefault="005020B2" w:rsidP="00431127">
      <w:pPr>
        <w:pStyle w:val="Reference"/>
      </w:pPr>
      <w:hyperlink r:id="rId152">
        <w:r w:rsidRPr="00431127">
          <w:t xml:space="preserve">Khan, M. A., &amp; Khan, M. J. (2018). Nano-gold displayed anti-inflammatory property via NF-kB pathways by suppressing COX-2 activity. </w:t>
        </w:r>
      </w:hyperlink>
      <w:hyperlink r:id="rId153">
        <w:r w:rsidRPr="00431127">
          <w:t xml:space="preserve">Artificial Cells, Nanomedicine, and Biotechnology </w:t>
        </w:r>
      </w:hyperlink>
      <w:hyperlink r:id="rId154">
        <w:r w:rsidRPr="00431127">
          <w:t>. https://doi.org/</w:t>
        </w:r>
      </w:hyperlink>
      <w:hyperlink r:id="rId155">
        <w:r w:rsidRPr="00431127">
          <w:t>10.1080/21691401.2018.1446968</w:t>
        </w:r>
      </w:hyperlink>
    </w:p>
    <w:p w14:paraId="0B21C9AA" w14:textId="77777777" w:rsidR="002A00D6" w:rsidRPr="00431127" w:rsidRDefault="005020B2" w:rsidP="00431127">
      <w:pPr>
        <w:pStyle w:val="Reference"/>
      </w:pPr>
      <w:hyperlink r:id="rId156">
        <w:r w:rsidRPr="00431127">
          <w:t xml:space="preserve">Lakshmi, T. (2021). Medicinal value oral health aspects acacia catechu-an update. </w:t>
        </w:r>
      </w:hyperlink>
      <w:hyperlink r:id="rId157">
        <w:r w:rsidRPr="00431127">
          <w:t xml:space="preserve">International Journal Dentistry Oral </w:t>
        </w:r>
        <w:proofErr w:type="spellStart"/>
        <w:r w:rsidRPr="00431127">
          <w:t>ScienceVolume</w:t>
        </w:r>
        <w:proofErr w:type="spellEnd"/>
      </w:hyperlink>
      <w:hyperlink r:id="rId158">
        <w:r w:rsidRPr="00431127">
          <w:t xml:space="preserve">, </w:t>
        </w:r>
      </w:hyperlink>
      <w:hyperlink r:id="rId159">
        <w:r w:rsidRPr="00431127">
          <w:t>8</w:t>
        </w:r>
      </w:hyperlink>
      <w:hyperlink r:id="rId160">
        <w:r w:rsidRPr="00431127">
          <w:t>, 1399–1401J.</w:t>
        </w:r>
      </w:hyperlink>
    </w:p>
    <w:p w14:paraId="2A4233F5" w14:textId="77777777" w:rsidR="002A00D6" w:rsidRPr="00431127" w:rsidRDefault="005020B2" w:rsidP="00431127">
      <w:pPr>
        <w:pStyle w:val="Reference"/>
      </w:pPr>
      <w:hyperlink r:id="rId161">
        <w:r w:rsidRPr="00431127">
          <w:t xml:space="preserve">Lu, A.-H., </w:t>
        </w:r>
        <w:proofErr w:type="spellStart"/>
        <w:r w:rsidRPr="00431127">
          <w:t>Salabas</w:t>
        </w:r>
        <w:proofErr w:type="spellEnd"/>
        <w:r w:rsidRPr="00431127">
          <w:t xml:space="preserve">, E. L., &amp; </w:t>
        </w:r>
        <w:proofErr w:type="spellStart"/>
        <w:r w:rsidRPr="00431127">
          <w:t>Schüth</w:t>
        </w:r>
        <w:proofErr w:type="spellEnd"/>
        <w:r w:rsidRPr="00431127">
          <w:t xml:space="preserve">, F. (2007). Magnetic nanoparticles: synthesis, protection, functionalization, and application. </w:t>
        </w:r>
      </w:hyperlink>
      <w:hyperlink r:id="rId162">
        <w:proofErr w:type="spellStart"/>
        <w:r w:rsidRPr="00431127">
          <w:t>Angewandte</w:t>
        </w:r>
        <w:proofErr w:type="spellEnd"/>
        <w:r w:rsidRPr="00431127">
          <w:t xml:space="preserve"> </w:t>
        </w:r>
        <w:proofErr w:type="spellStart"/>
        <w:r w:rsidRPr="00431127">
          <w:t>Chemie</w:t>
        </w:r>
        <w:proofErr w:type="spellEnd"/>
        <w:r w:rsidRPr="00431127">
          <w:t xml:space="preserve"> </w:t>
        </w:r>
      </w:hyperlink>
      <w:hyperlink r:id="rId163">
        <w:r w:rsidRPr="00431127">
          <w:t xml:space="preserve">, </w:t>
        </w:r>
      </w:hyperlink>
      <w:hyperlink r:id="rId164">
        <w:r w:rsidRPr="00431127">
          <w:t>46</w:t>
        </w:r>
      </w:hyperlink>
      <w:hyperlink r:id="rId165">
        <w:r w:rsidRPr="00431127">
          <w:t>(8), 1222–1244.</w:t>
        </w:r>
      </w:hyperlink>
    </w:p>
    <w:p w14:paraId="48D0167E" w14:textId="77777777" w:rsidR="002A00D6" w:rsidRPr="00431127" w:rsidRDefault="005020B2" w:rsidP="00431127">
      <w:pPr>
        <w:pStyle w:val="Reference"/>
      </w:pPr>
      <w:hyperlink r:id="rId166">
        <w:proofErr w:type="spellStart"/>
        <w:r w:rsidRPr="00431127">
          <w:t>Maliael</w:t>
        </w:r>
        <w:proofErr w:type="spellEnd"/>
        <w:r w:rsidRPr="00431127">
          <w:t xml:space="preserve">, M. T., Subramanian, A. K., &amp; </w:t>
        </w:r>
        <w:proofErr w:type="spellStart"/>
        <w:r w:rsidRPr="00431127">
          <w:t>Srirengalakshmi</w:t>
        </w:r>
        <w:proofErr w:type="spellEnd"/>
        <w:r w:rsidRPr="00431127">
          <w:t xml:space="preserve">. (2021). Effectiveness of a fluoride-releasing orthodontic primer in reducing demineralization around brackets – a systematic review. </w:t>
        </w:r>
      </w:hyperlink>
      <w:hyperlink r:id="rId167">
        <w:r w:rsidRPr="00431127">
          <w:t>Orthodontic Waves (English Ed.)</w:t>
        </w:r>
      </w:hyperlink>
      <w:hyperlink r:id="rId168">
        <w:r w:rsidRPr="00431127">
          <w:t xml:space="preserve">, </w:t>
        </w:r>
      </w:hyperlink>
      <w:hyperlink r:id="rId169">
        <w:r w:rsidRPr="00431127">
          <w:t>80</w:t>
        </w:r>
      </w:hyperlink>
      <w:hyperlink r:id="rId170">
        <w:r w:rsidRPr="00431127">
          <w:t>(4), 218–223.</w:t>
        </w:r>
      </w:hyperlink>
    </w:p>
    <w:p w14:paraId="71FBCD77" w14:textId="77777777" w:rsidR="002A00D6" w:rsidRPr="00431127" w:rsidRDefault="005020B2" w:rsidP="00431127">
      <w:pPr>
        <w:pStyle w:val="Reference"/>
      </w:pPr>
      <w:hyperlink r:id="rId171">
        <w:r w:rsidRPr="00431127">
          <w:t xml:space="preserve">Morales, R., Tavera, F. J., Aune, R. E., &amp; Seetharaman, S. (2005). Hydrogen reduction of complex oxides—a novel route toward the production of nanograined alloys and </w:t>
        </w:r>
        <w:proofErr w:type="spellStart"/>
        <w:r w:rsidRPr="00431127">
          <w:t>intermetallics</w:t>
        </w:r>
        <w:proofErr w:type="spellEnd"/>
        <w:r w:rsidRPr="00431127">
          <w:t xml:space="preserve">. </w:t>
        </w:r>
      </w:hyperlink>
      <w:hyperlink r:id="rId172">
        <w:r w:rsidRPr="00431127">
          <w:t>Scandinavian Journal of Metallurgy</w:t>
        </w:r>
      </w:hyperlink>
      <w:hyperlink r:id="rId173">
        <w:r w:rsidRPr="00431127">
          <w:t xml:space="preserve">, </w:t>
        </w:r>
      </w:hyperlink>
      <w:hyperlink r:id="rId174">
        <w:r w:rsidRPr="00431127">
          <w:t>34</w:t>
        </w:r>
      </w:hyperlink>
      <w:hyperlink r:id="rId175">
        <w:r w:rsidRPr="00431127">
          <w:t>(2), 108–115.</w:t>
        </w:r>
      </w:hyperlink>
    </w:p>
    <w:p w14:paraId="64064B6F" w14:textId="77777777" w:rsidR="002A00D6" w:rsidRPr="00431127" w:rsidRDefault="005020B2" w:rsidP="00431127">
      <w:pPr>
        <w:pStyle w:val="Reference"/>
      </w:pPr>
      <w:hyperlink r:id="rId176">
        <w:r w:rsidRPr="00431127">
          <w:t xml:space="preserve">Neha, N., Maiti, S., &amp; Jessy, P. (2021). Adhesion microflora role denitrifies </w:t>
        </w:r>
        <w:proofErr w:type="spellStart"/>
        <w:r w:rsidRPr="00431127">
          <w:t>colour</w:t>
        </w:r>
        <w:proofErr w:type="spellEnd"/>
        <w:r w:rsidRPr="00431127">
          <w:t xml:space="preserve"> stability provisional crowns: in-vitro study. </w:t>
        </w:r>
      </w:hyperlink>
      <w:hyperlink r:id="rId177">
        <w:r w:rsidRPr="00431127">
          <w:t>Int J Dentistry Oral Sci</w:t>
        </w:r>
      </w:hyperlink>
      <w:hyperlink r:id="rId178">
        <w:r w:rsidRPr="00431127">
          <w:t xml:space="preserve">, </w:t>
        </w:r>
      </w:hyperlink>
      <w:hyperlink r:id="rId179">
        <w:r w:rsidRPr="00431127">
          <w:t>8</w:t>
        </w:r>
      </w:hyperlink>
      <w:hyperlink r:id="rId180">
        <w:r w:rsidRPr="00431127">
          <w:t>(8), 3805–3809.</w:t>
        </w:r>
      </w:hyperlink>
    </w:p>
    <w:p w14:paraId="6088CF3E" w14:textId="77777777" w:rsidR="005020B2" w:rsidRPr="00431127" w:rsidRDefault="005020B2" w:rsidP="00431127">
      <w:pPr>
        <w:pStyle w:val="Reference"/>
      </w:pPr>
      <w:r w:rsidRPr="00431127">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7B836944" w14:textId="77777777" w:rsidR="002A00D6" w:rsidRPr="00431127" w:rsidRDefault="005020B2" w:rsidP="00431127">
      <w:pPr>
        <w:pStyle w:val="Reference"/>
      </w:pPr>
      <w:hyperlink r:id="rId181">
        <w:proofErr w:type="spellStart"/>
        <w:r w:rsidRPr="00431127">
          <w:t>Sabarathinam</w:t>
        </w:r>
        <w:proofErr w:type="spellEnd"/>
        <w:r w:rsidRPr="00431127">
          <w:t xml:space="preserve">, J., &amp; </w:t>
        </w:r>
        <w:proofErr w:type="spellStart"/>
        <w:r w:rsidRPr="00431127">
          <w:t>Madhulaxmi</w:t>
        </w:r>
        <w:proofErr w:type="spellEnd"/>
        <w:r w:rsidRPr="00431127">
          <w:t xml:space="preserve">, R. (2021). Development </w:t>
        </w:r>
        <w:proofErr w:type="spellStart"/>
        <w:r w:rsidRPr="00431127">
          <w:t>anti inflammatory</w:t>
        </w:r>
        <w:proofErr w:type="spellEnd"/>
        <w:r w:rsidRPr="00431127">
          <w:t xml:space="preserve"> antimicrobial silver nanoparticles coated suture materials. </w:t>
        </w:r>
      </w:hyperlink>
      <w:hyperlink r:id="rId182">
        <w:r w:rsidRPr="00431127">
          <w:t>Int J Dentistry Oral Sci</w:t>
        </w:r>
      </w:hyperlink>
      <w:hyperlink r:id="rId183">
        <w:r w:rsidRPr="00431127">
          <w:t xml:space="preserve">, </w:t>
        </w:r>
      </w:hyperlink>
      <w:hyperlink r:id="rId184">
        <w:r w:rsidRPr="00431127">
          <w:t>8</w:t>
        </w:r>
      </w:hyperlink>
      <w:hyperlink r:id="rId185">
        <w:r w:rsidRPr="00431127">
          <w:t>(3), 2006–2013.</w:t>
        </w:r>
      </w:hyperlink>
    </w:p>
    <w:p w14:paraId="7B6A5D8B" w14:textId="77777777" w:rsidR="002A00D6" w:rsidRPr="00431127" w:rsidRDefault="005020B2" w:rsidP="00431127">
      <w:pPr>
        <w:pStyle w:val="Reference"/>
      </w:pPr>
      <w:hyperlink r:id="rId186">
        <w:r w:rsidRPr="00431127">
          <w:t xml:space="preserve">Soares, A. P. V., Portela, M. F., Kiennemann, A., &amp; Millet, J. M. M. (2002). </w:t>
        </w:r>
      </w:hyperlink>
      <w:hyperlink r:id="rId187">
        <w:r w:rsidRPr="00431127">
          <w:t>Reaction Kinetics and Catalysis Letters</w:t>
        </w:r>
      </w:hyperlink>
      <w:hyperlink r:id="rId188">
        <w:r w:rsidRPr="00431127">
          <w:t xml:space="preserve">, </w:t>
        </w:r>
      </w:hyperlink>
      <w:hyperlink r:id="rId189">
        <w:r w:rsidRPr="00431127">
          <w:t>75</w:t>
        </w:r>
      </w:hyperlink>
      <w:hyperlink r:id="rId190">
        <w:r w:rsidRPr="00431127">
          <w:t>(1), 13–20.</w:t>
        </w:r>
      </w:hyperlink>
    </w:p>
    <w:p w14:paraId="3A93A9D6" w14:textId="77777777" w:rsidR="002A00D6" w:rsidRPr="00431127" w:rsidRDefault="005020B2" w:rsidP="00431127">
      <w:pPr>
        <w:pStyle w:val="Reference"/>
      </w:pPr>
      <w:hyperlink r:id="rId191">
        <w:r w:rsidRPr="00431127">
          <w:t xml:space="preserve">Solanki, L., Shantha Sundari, K. K., Muralidharan, N. P., &amp; Jain, R. (2022). Antimicrobial effect of novel gold nanoparticle oral rinse in subjects undergoing orthodontic treatment: An ex-vivo study. </w:t>
        </w:r>
      </w:hyperlink>
      <w:hyperlink r:id="rId192">
        <w:r w:rsidRPr="00431127">
          <w:t>Journal of International Oral Health: JIOH</w:t>
        </w:r>
      </w:hyperlink>
      <w:hyperlink r:id="rId193">
        <w:r w:rsidRPr="00431127">
          <w:t xml:space="preserve">, </w:t>
        </w:r>
      </w:hyperlink>
      <w:hyperlink r:id="rId194">
        <w:r w:rsidRPr="00431127">
          <w:t>14</w:t>
        </w:r>
      </w:hyperlink>
      <w:hyperlink r:id="rId195">
        <w:r w:rsidRPr="00431127">
          <w:t>(1), 47.</w:t>
        </w:r>
      </w:hyperlink>
    </w:p>
    <w:p w14:paraId="4DE758D3" w14:textId="77777777" w:rsidR="002A00D6" w:rsidRPr="00431127" w:rsidRDefault="005020B2" w:rsidP="00431127">
      <w:pPr>
        <w:pStyle w:val="Reference"/>
      </w:pPr>
      <w:hyperlink r:id="rId196">
        <w:r w:rsidRPr="00431127">
          <w:t xml:space="preserve">Suri, S. S., </w:t>
        </w:r>
        <w:proofErr w:type="spellStart"/>
        <w:r w:rsidRPr="00431127">
          <w:t>Fenniri</w:t>
        </w:r>
        <w:proofErr w:type="spellEnd"/>
        <w:r w:rsidRPr="00431127">
          <w:t xml:space="preserve">, H., &amp; Singh, B. (2007). Nanotechnology-based drug delivery systems. </w:t>
        </w:r>
      </w:hyperlink>
      <w:hyperlink r:id="rId197">
        <w:r w:rsidRPr="00431127">
          <w:t xml:space="preserve">Journal of Occupational Medicine and Toxicology </w:t>
        </w:r>
      </w:hyperlink>
      <w:hyperlink r:id="rId198">
        <w:r w:rsidRPr="00431127">
          <w:t xml:space="preserve">, </w:t>
        </w:r>
      </w:hyperlink>
      <w:hyperlink r:id="rId199">
        <w:r w:rsidRPr="00431127">
          <w:t>2</w:t>
        </w:r>
      </w:hyperlink>
      <w:hyperlink r:id="rId200">
        <w:r w:rsidRPr="00431127">
          <w:t>, 16.</w:t>
        </w:r>
      </w:hyperlink>
    </w:p>
    <w:p w14:paraId="3F476793" w14:textId="77777777" w:rsidR="002A00D6" w:rsidRPr="00431127" w:rsidRDefault="005020B2" w:rsidP="00431127">
      <w:pPr>
        <w:pStyle w:val="Reference"/>
      </w:pPr>
      <w:hyperlink r:id="rId201">
        <w:r w:rsidRPr="00431127">
          <w:t xml:space="preserve">Sushanthi, S., </w:t>
        </w:r>
        <w:proofErr w:type="spellStart"/>
        <w:r w:rsidRPr="00431127">
          <w:t>Doraikannan</w:t>
        </w:r>
        <w:proofErr w:type="spellEnd"/>
        <w:r w:rsidRPr="00431127">
          <w:t xml:space="preserve">, S., </w:t>
        </w:r>
        <w:proofErr w:type="spellStart"/>
        <w:r w:rsidRPr="00431127">
          <w:t>Indiran</w:t>
        </w:r>
        <w:proofErr w:type="spellEnd"/>
        <w:r w:rsidRPr="00431127">
          <w:t xml:space="preserve">, M., &amp; </w:t>
        </w:r>
        <w:proofErr w:type="spellStart"/>
        <w:r w:rsidRPr="00431127">
          <w:t>Rathinavelu</w:t>
        </w:r>
        <w:proofErr w:type="spellEnd"/>
        <w:r w:rsidRPr="00431127">
          <w:t xml:space="preserve">, P. (2021). </w:t>
        </w:r>
      </w:hyperlink>
      <w:hyperlink r:id="rId202">
        <w:r w:rsidRPr="00431127">
          <w:t>Rajeshkumar S. Vernonia Amygdalina</w:t>
        </w:r>
      </w:hyperlink>
      <w:hyperlink r:id="rId203">
        <w:r w:rsidRPr="00431127">
          <w:t>. 3330–3334.</w:t>
        </w:r>
      </w:hyperlink>
    </w:p>
    <w:p w14:paraId="315D52D6" w14:textId="77777777" w:rsidR="002A00D6" w:rsidRPr="00431127" w:rsidRDefault="005020B2" w:rsidP="00431127">
      <w:pPr>
        <w:pStyle w:val="Reference"/>
      </w:pPr>
      <w:hyperlink r:id="rId204">
        <w:r w:rsidRPr="00431127">
          <w:t xml:space="preserve">Tiwari, A., &amp; Jain, R. K. (2023). Comparative evaluation of White Spot lesion incidence between </w:t>
        </w:r>
        <w:proofErr w:type="spellStart"/>
        <w:r w:rsidRPr="00431127">
          <w:t>NovaMin</w:t>
        </w:r>
        <w:proofErr w:type="spellEnd"/>
        <w:r w:rsidRPr="00431127">
          <w:t xml:space="preserve">, probiotic, and fluoride containing dentifrices during orthodontic treatment using laser fluorescence - A prospective randomized controlled clinical trial. </w:t>
        </w:r>
      </w:hyperlink>
      <w:hyperlink r:id="rId205">
        <w:r w:rsidRPr="00431127">
          <w:t>Clinical and Investigative Orthodontics</w:t>
        </w:r>
      </w:hyperlink>
      <w:hyperlink r:id="rId206">
        <w:r w:rsidRPr="00431127">
          <w:t>, 1–8.</w:t>
        </w:r>
      </w:hyperlink>
    </w:p>
    <w:p w14:paraId="643FACD0" w14:textId="77777777" w:rsidR="005020B2" w:rsidRPr="00431127" w:rsidRDefault="005020B2" w:rsidP="00431127">
      <w:pPr>
        <w:pStyle w:val="Reference"/>
      </w:pPr>
      <w:proofErr w:type="spellStart"/>
      <w:r w:rsidRPr="00431127">
        <w:t>Tuluwengjiang</w:t>
      </w:r>
      <w:proofErr w:type="spellEnd"/>
      <w:r w:rsidRPr="00431127">
        <w:t xml:space="preserve">, G., Rasulova, I., Ahmed, S., </w:t>
      </w:r>
      <w:proofErr w:type="spellStart"/>
      <w:r w:rsidRPr="00431127">
        <w:t>Kiasari</w:t>
      </w:r>
      <w:proofErr w:type="spellEnd"/>
      <w:r w:rsidRPr="00431127">
        <w:t xml:space="preserve">, B. A., Sârbu, I., </w:t>
      </w:r>
      <w:proofErr w:type="spellStart"/>
      <w:r w:rsidRPr="00431127">
        <w:t>Ciongradi</w:t>
      </w:r>
      <w:proofErr w:type="spellEnd"/>
      <w:r w:rsidRPr="00431127">
        <w:t xml:space="preserve">, C. I., &amp; Samaniego, S. S. C. (2024). Dendritic cell-derived exosomes (Dex): Underlying the role of exosomes derived from diverse DC subtypes in cancer pathogenesis. Pathology-Research and Practice, 254, 155097. </w:t>
      </w:r>
    </w:p>
    <w:p w14:paraId="79D595EE" w14:textId="77777777" w:rsidR="002A00D6" w:rsidRPr="00431127" w:rsidRDefault="005020B2" w:rsidP="00431127">
      <w:pPr>
        <w:pStyle w:val="Reference"/>
      </w:pPr>
      <w:hyperlink r:id="rId207">
        <w:r w:rsidRPr="00431127">
          <w:t xml:space="preserve">Zhang, L., Cao, X.-F., Ma, Y.-L., Chen, X.-T., &amp; Xue, Z.-L. (2010). Pancake-like Fe2(MoO4)3 microstructures: microwave-assisted hydrothermal synthesis, magnetic and photocatalytic properties. </w:t>
        </w:r>
      </w:hyperlink>
      <w:hyperlink r:id="rId208">
        <w:r w:rsidRPr="00431127">
          <w:t>New Journal of Chemistry = Nouveau Journal de Chimie</w:t>
        </w:r>
      </w:hyperlink>
      <w:hyperlink r:id="rId209">
        <w:r w:rsidRPr="00431127">
          <w:t xml:space="preserve">, </w:t>
        </w:r>
      </w:hyperlink>
      <w:hyperlink r:id="rId210">
        <w:r w:rsidRPr="00431127">
          <w:t>34</w:t>
        </w:r>
      </w:hyperlink>
      <w:hyperlink r:id="rId211">
        <w:r w:rsidRPr="00431127">
          <w:t>(9), 2027–2033.</w:t>
        </w:r>
      </w:hyperlink>
    </w:p>
    <w:p w14:paraId="11E5BAA8" w14:textId="77777777" w:rsidR="002A00D6" w:rsidRDefault="002A00D6">
      <w:pPr>
        <w:spacing w:line="360" w:lineRule="auto"/>
        <w:jc w:val="both"/>
        <w:rPr>
          <w:szCs w:val="24"/>
        </w:rPr>
      </w:pPr>
    </w:p>
    <w:sectPr w:rsidR="002A00D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6010F5B"/>
    <w:multiLevelType w:val="hybridMultilevel"/>
    <w:tmpl w:val="5E82FAAE"/>
    <w:lvl w:ilvl="0" w:tplc="415E0CF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0275739"/>
    <w:multiLevelType w:val="multilevel"/>
    <w:tmpl w:val="E77284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4C45AEB"/>
    <w:multiLevelType w:val="multilevel"/>
    <w:tmpl w:val="5A747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01644819">
    <w:abstractNumId w:val="15"/>
  </w:num>
  <w:num w:numId="2" w16cid:durableId="1305700228">
    <w:abstractNumId w:val="13"/>
  </w:num>
  <w:num w:numId="3" w16cid:durableId="1925844975">
    <w:abstractNumId w:val="18"/>
  </w:num>
  <w:num w:numId="4" w16cid:durableId="1623537524">
    <w:abstractNumId w:val="3"/>
  </w:num>
  <w:num w:numId="5" w16cid:durableId="333149680">
    <w:abstractNumId w:val="14"/>
  </w:num>
  <w:num w:numId="6" w16cid:durableId="1958750756">
    <w:abstractNumId w:val="8"/>
  </w:num>
  <w:num w:numId="7" w16cid:durableId="1466237890">
    <w:abstractNumId w:val="12"/>
  </w:num>
  <w:num w:numId="8" w16cid:durableId="846751398">
    <w:abstractNumId w:val="4"/>
  </w:num>
  <w:num w:numId="9" w16cid:durableId="982584711">
    <w:abstractNumId w:val="7"/>
  </w:num>
  <w:num w:numId="10" w16cid:durableId="247734440">
    <w:abstractNumId w:val="1"/>
  </w:num>
  <w:num w:numId="11" w16cid:durableId="1514879319">
    <w:abstractNumId w:val="17"/>
  </w:num>
  <w:num w:numId="12" w16cid:durableId="1383210328">
    <w:abstractNumId w:val="10"/>
  </w:num>
  <w:num w:numId="13" w16cid:durableId="1513061117">
    <w:abstractNumId w:val="16"/>
  </w:num>
  <w:num w:numId="14" w16cid:durableId="958226418">
    <w:abstractNumId w:val="11"/>
  </w:num>
  <w:num w:numId="15" w16cid:durableId="771170886">
    <w:abstractNumId w:val="5"/>
  </w:num>
  <w:num w:numId="16" w16cid:durableId="1726029251">
    <w:abstractNumId w:val="9"/>
  </w:num>
  <w:num w:numId="17" w16cid:durableId="1939214429">
    <w:abstractNumId w:val="12"/>
    <w:lvlOverride w:ilvl="0">
      <w:startOverride w:val="1"/>
    </w:lvlOverride>
  </w:num>
  <w:num w:numId="18" w16cid:durableId="957906086">
    <w:abstractNumId w:val="12"/>
    <w:lvlOverride w:ilvl="0">
      <w:startOverride w:val="1"/>
    </w:lvlOverride>
  </w:num>
  <w:num w:numId="19" w16cid:durableId="1087652185">
    <w:abstractNumId w:val="12"/>
    <w:lvlOverride w:ilvl="0">
      <w:startOverride w:val="1"/>
    </w:lvlOverride>
  </w:num>
  <w:num w:numId="20" w16cid:durableId="1054889863">
    <w:abstractNumId w:val="14"/>
    <w:lvlOverride w:ilvl="0">
      <w:startOverride w:val="1"/>
    </w:lvlOverride>
  </w:num>
  <w:num w:numId="21" w16cid:durableId="1903178079">
    <w:abstractNumId w:val="14"/>
    <w:lvlOverride w:ilvl="0">
      <w:startOverride w:val="1"/>
    </w:lvlOverride>
  </w:num>
  <w:num w:numId="22" w16cid:durableId="874267395">
    <w:abstractNumId w:val="14"/>
    <w:lvlOverride w:ilvl="0">
      <w:startOverride w:val="1"/>
    </w:lvlOverride>
  </w:num>
  <w:num w:numId="23" w16cid:durableId="1368025285">
    <w:abstractNumId w:val="14"/>
    <w:lvlOverride w:ilvl="0">
      <w:startOverride w:val="1"/>
    </w:lvlOverride>
  </w:num>
  <w:num w:numId="24" w16cid:durableId="944078796">
    <w:abstractNumId w:val="14"/>
    <w:lvlOverride w:ilvl="0">
      <w:startOverride w:val="1"/>
    </w:lvlOverride>
  </w:num>
  <w:num w:numId="25" w16cid:durableId="1653829719">
    <w:abstractNumId w:val="2"/>
  </w:num>
  <w:num w:numId="26" w16cid:durableId="1775442011">
    <w:abstractNumId w:val="0"/>
  </w:num>
  <w:num w:numId="27" w16cid:durableId="8038896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0D6"/>
    <w:rsid w:val="001A0DCD"/>
    <w:rsid w:val="0027228F"/>
    <w:rsid w:val="002A00D6"/>
    <w:rsid w:val="00431127"/>
    <w:rsid w:val="00476687"/>
    <w:rsid w:val="004A0104"/>
    <w:rsid w:val="005020B2"/>
    <w:rsid w:val="00934062"/>
    <w:rsid w:val="00A22C10"/>
    <w:rsid w:val="00E22CC8"/>
    <w:rsid w:val="00E46E2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B12475"/>
  <w15:docId w15:val="{A3FD69C8-C65C-4CBC-9105-728EFD05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A0DC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1A0DCD"/>
    <w:pPr>
      <w:keepNext/>
      <w:spacing w:before="240" w:after="240"/>
      <w:jc w:val="center"/>
      <w:outlineLvl w:val="0"/>
    </w:pPr>
    <w:rPr>
      <w:b/>
      <w:caps/>
    </w:rPr>
  </w:style>
  <w:style w:type="paragraph" w:styleId="Heading2">
    <w:name w:val="heading 2"/>
    <w:basedOn w:val="Normal"/>
    <w:next w:val="Paragraph"/>
    <w:qFormat/>
    <w:rsid w:val="001A0DCD"/>
    <w:pPr>
      <w:keepNext/>
      <w:spacing w:before="240" w:after="240"/>
      <w:jc w:val="center"/>
      <w:outlineLvl w:val="1"/>
    </w:pPr>
    <w:rPr>
      <w:b/>
    </w:rPr>
  </w:style>
  <w:style w:type="paragraph" w:styleId="Heading3">
    <w:name w:val="heading 3"/>
    <w:basedOn w:val="Normal"/>
    <w:next w:val="Normal"/>
    <w:qFormat/>
    <w:rsid w:val="001A0DC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1A0D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DC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1A0DCD"/>
    <w:rPr>
      <w:rFonts w:ascii="Tahoma" w:hAnsi="Tahoma" w:cs="Tahoma"/>
      <w:sz w:val="16"/>
      <w:szCs w:val="16"/>
    </w:rPr>
  </w:style>
  <w:style w:type="character" w:customStyle="1" w:styleId="BalloonTextChar">
    <w:name w:val="Balloon Text Char"/>
    <w:basedOn w:val="DefaultParagraphFont"/>
    <w:link w:val="BalloonText"/>
    <w:rsid w:val="001A0DCD"/>
    <w:rPr>
      <w:rFonts w:ascii="Tahoma" w:eastAsia="Times New Roman" w:hAnsi="Tahoma" w:cs="Tahoma"/>
      <w:sz w:val="16"/>
      <w:szCs w:val="16"/>
      <w:lang w:val="en-US"/>
    </w:rPr>
  </w:style>
  <w:style w:type="paragraph" w:styleId="FootnoteText">
    <w:name w:val="footnote text"/>
    <w:basedOn w:val="Normal"/>
    <w:link w:val="FootnoteTextChar"/>
    <w:semiHidden/>
    <w:rsid w:val="001A0DCD"/>
    <w:rPr>
      <w:sz w:val="16"/>
    </w:rPr>
  </w:style>
  <w:style w:type="character" w:customStyle="1" w:styleId="FootnoteTextChar">
    <w:name w:val="Footnote Text Char"/>
    <w:basedOn w:val="DefaultParagraphFont"/>
    <w:link w:val="FootnoteText"/>
    <w:semiHidden/>
    <w:rsid w:val="0047668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1A0DCD"/>
    <w:pPr>
      <w:spacing w:before="1200"/>
      <w:jc w:val="center"/>
    </w:pPr>
    <w:rPr>
      <w:b/>
      <w:sz w:val="36"/>
    </w:rPr>
  </w:style>
  <w:style w:type="paragraph" w:customStyle="1" w:styleId="AuthorName">
    <w:name w:val="Author Name"/>
    <w:basedOn w:val="Normal"/>
    <w:next w:val="AuthorAffiliation"/>
    <w:rsid w:val="001A0DCD"/>
    <w:pPr>
      <w:spacing w:before="360" w:after="360"/>
      <w:jc w:val="center"/>
    </w:pPr>
    <w:rPr>
      <w:sz w:val="28"/>
    </w:rPr>
  </w:style>
  <w:style w:type="paragraph" w:customStyle="1" w:styleId="AuthorAffiliation">
    <w:name w:val="Author Affiliation"/>
    <w:basedOn w:val="Normal"/>
    <w:rsid w:val="001A0DCD"/>
    <w:pPr>
      <w:jc w:val="center"/>
    </w:pPr>
    <w:rPr>
      <w:i/>
      <w:sz w:val="20"/>
    </w:rPr>
  </w:style>
  <w:style w:type="paragraph" w:customStyle="1" w:styleId="Abstract">
    <w:name w:val="Abstract"/>
    <w:basedOn w:val="Normal"/>
    <w:next w:val="Heading1"/>
    <w:rsid w:val="001A0DCD"/>
    <w:pPr>
      <w:spacing w:before="360" w:after="360"/>
      <w:ind w:left="289" w:right="289"/>
      <w:jc w:val="both"/>
    </w:pPr>
    <w:rPr>
      <w:sz w:val="18"/>
    </w:rPr>
  </w:style>
  <w:style w:type="paragraph" w:customStyle="1" w:styleId="Paragraph">
    <w:name w:val="Paragraph"/>
    <w:basedOn w:val="Normal"/>
    <w:rsid w:val="001A0DCD"/>
    <w:pPr>
      <w:ind w:firstLine="284"/>
      <w:jc w:val="both"/>
    </w:pPr>
    <w:rPr>
      <w:sz w:val="20"/>
    </w:rPr>
  </w:style>
  <w:style w:type="character" w:styleId="FootnoteReference">
    <w:name w:val="footnote reference"/>
    <w:semiHidden/>
    <w:rsid w:val="001A0DCD"/>
    <w:rPr>
      <w:vertAlign w:val="superscript"/>
    </w:rPr>
  </w:style>
  <w:style w:type="paragraph" w:customStyle="1" w:styleId="Reference">
    <w:name w:val="Reference"/>
    <w:basedOn w:val="Paragraph"/>
    <w:rsid w:val="001A0DCD"/>
    <w:pPr>
      <w:numPr>
        <w:numId w:val="16"/>
      </w:numPr>
      <w:ind w:left="426" w:hanging="426"/>
    </w:pPr>
  </w:style>
  <w:style w:type="paragraph" w:customStyle="1" w:styleId="FigureCaption">
    <w:name w:val="Figure Caption"/>
    <w:next w:val="Paragraph"/>
    <w:rsid w:val="001A0DC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1A0DCD"/>
    <w:pPr>
      <w:keepNext/>
      <w:ind w:firstLine="0"/>
      <w:jc w:val="center"/>
    </w:pPr>
  </w:style>
  <w:style w:type="paragraph" w:customStyle="1" w:styleId="Equation">
    <w:name w:val="Equation"/>
    <w:basedOn w:val="Paragraph"/>
    <w:rsid w:val="001A0DCD"/>
    <w:pPr>
      <w:tabs>
        <w:tab w:val="center" w:pos="4320"/>
        <w:tab w:val="right" w:pos="9242"/>
      </w:tabs>
      <w:ind w:firstLine="0"/>
      <w:jc w:val="center"/>
    </w:pPr>
  </w:style>
  <w:style w:type="character" w:styleId="Hyperlink">
    <w:name w:val="Hyperlink"/>
    <w:rsid w:val="001A0DCD"/>
    <w:rPr>
      <w:color w:val="0000FF"/>
      <w:u w:val="single"/>
    </w:rPr>
  </w:style>
  <w:style w:type="table" w:styleId="TableGrid">
    <w:name w:val="Table Grid"/>
    <w:basedOn w:val="TableNormal"/>
    <w:rsid w:val="001A0DC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A0DCD"/>
    <w:pPr>
      <w:numPr>
        <w:numId w:val="15"/>
      </w:numPr>
      <w:ind w:left="641" w:hanging="357"/>
    </w:pPr>
  </w:style>
  <w:style w:type="paragraph" w:customStyle="1" w:styleId="AuthorEmail">
    <w:name w:val="Author Email"/>
    <w:basedOn w:val="Normal"/>
    <w:qFormat/>
    <w:rsid w:val="001A0DCD"/>
    <w:pPr>
      <w:jc w:val="center"/>
    </w:pPr>
    <w:rPr>
      <w:sz w:val="20"/>
    </w:rPr>
  </w:style>
  <w:style w:type="paragraph" w:styleId="NormalWeb">
    <w:name w:val="Normal (Web)"/>
    <w:basedOn w:val="Normal"/>
    <w:uiPriority w:val="99"/>
    <w:unhideWhenUsed/>
    <w:rsid w:val="001A0DCD"/>
    <w:pPr>
      <w:spacing w:before="100" w:beforeAutospacing="1" w:after="100" w:afterAutospacing="1"/>
    </w:pPr>
    <w:rPr>
      <w:szCs w:val="24"/>
      <w:lang w:val="en-GB" w:eastAsia="en-GB"/>
    </w:rPr>
  </w:style>
  <w:style w:type="character" w:styleId="Strong">
    <w:name w:val="Strong"/>
    <w:basedOn w:val="DefaultParagraphFont"/>
    <w:uiPriority w:val="22"/>
    <w:qFormat/>
    <w:rsid w:val="001A0DCD"/>
    <w:rPr>
      <w:b/>
      <w:bCs/>
    </w:rPr>
  </w:style>
  <w:style w:type="character" w:styleId="Emphasis">
    <w:name w:val="Emphasis"/>
    <w:basedOn w:val="DefaultParagraphFont"/>
    <w:uiPriority w:val="20"/>
    <w:qFormat/>
    <w:rsid w:val="001A0DCD"/>
    <w:rPr>
      <w:i/>
      <w:iCs/>
    </w:rPr>
  </w:style>
  <w:style w:type="paragraph" w:customStyle="1" w:styleId="TableCaption">
    <w:name w:val="Table Caption"/>
    <w:basedOn w:val="FigureCaption"/>
    <w:qFormat/>
    <w:rsid w:val="001A0DCD"/>
    <w:rPr>
      <w:szCs w:val="18"/>
    </w:rPr>
  </w:style>
  <w:style w:type="paragraph" w:customStyle="1" w:styleId="Paragraphnumbered">
    <w:name w:val="Paragraph (numbered)"/>
    <w:rsid w:val="001A0DCD"/>
    <w:pPr>
      <w:numPr>
        <w:numId w:val="5"/>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1A0DCD"/>
    <w:rPr>
      <w:color w:val="808080"/>
      <w:shd w:val="clear" w:color="auto" w:fill="E6E6E6"/>
    </w:rPr>
  </w:style>
  <w:style w:type="paragraph" w:styleId="ListParagraph">
    <w:name w:val="List Paragraph"/>
    <w:basedOn w:val="Normal"/>
    <w:uiPriority w:val="34"/>
    <w:rsid w:val="001A0DCD"/>
    <w:pPr>
      <w:ind w:left="720"/>
      <w:contextualSpacing/>
    </w:pPr>
  </w:style>
  <w:style w:type="character" w:styleId="CommentReference">
    <w:name w:val="annotation reference"/>
    <w:basedOn w:val="DefaultParagraphFont"/>
    <w:semiHidden/>
    <w:unhideWhenUsed/>
    <w:rsid w:val="001A0DCD"/>
    <w:rPr>
      <w:sz w:val="16"/>
      <w:szCs w:val="16"/>
    </w:rPr>
  </w:style>
  <w:style w:type="paragraph" w:styleId="CommentText">
    <w:name w:val="annotation text"/>
    <w:basedOn w:val="Normal"/>
    <w:link w:val="CommentTextChar"/>
    <w:semiHidden/>
    <w:unhideWhenUsed/>
    <w:rsid w:val="001A0DCD"/>
    <w:rPr>
      <w:sz w:val="20"/>
    </w:rPr>
  </w:style>
  <w:style w:type="character" w:customStyle="1" w:styleId="CommentTextChar">
    <w:name w:val="Comment Text Char"/>
    <w:basedOn w:val="DefaultParagraphFont"/>
    <w:link w:val="CommentText"/>
    <w:semiHidden/>
    <w:rsid w:val="001A0DC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1A0DCD"/>
    <w:rPr>
      <w:b/>
      <w:bCs/>
    </w:rPr>
  </w:style>
  <w:style w:type="character" w:customStyle="1" w:styleId="CommentSubjectChar">
    <w:name w:val="Comment Subject Char"/>
    <w:basedOn w:val="CommentTextChar"/>
    <w:link w:val="CommentSubject"/>
    <w:semiHidden/>
    <w:rsid w:val="001A0DC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soZcdo/LOWbt" TargetMode="External"/><Relationship Id="rId21" Type="http://schemas.openxmlformats.org/officeDocument/2006/relationships/hyperlink" Target="https://paperpile.com/c/soZcdo/ggwkv" TargetMode="External"/><Relationship Id="rId42" Type="http://schemas.openxmlformats.org/officeDocument/2006/relationships/hyperlink" Target="https://paperpile.com/c/soZcdo/TiXU" TargetMode="External"/><Relationship Id="rId63" Type="http://schemas.openxmlformats.org/officeDocument/2006/relationships/hyperlink" Target="http://paperpile.com/b/soZcdo/ORpUZ" TargetMode="External"/><Relationship Id="rId84" Type="http://schemas.openxmlformats.org/officeDocument/2006/relationships/hyperlink" Target="http://paperpile.com/b/soZcdo/ggwkv" TargetMode="External"/><Relationship Id="rId138" Type="http://schemas.openxmlformats.org/officeDocument/2006/relationships/hyperlink" Target="http://paperpile.com/b/soZcdo/Wm7Uc" TargetMode="External"/><Relationship Id="rId159" Type="http://schemas.openxmlformats.org/officeDocument/2006/relationships/hyperlink" Target="http://paperpile.com/b/soZcdo/zaWvN" TargetMode="External"/><Relationship Id="rId170" Type="http://schemas.openxmlformats.org/officeDocument/2006/relationships/hyperlink" Target="http://paperpile.com/b/soZcdo/X35OC" TargetMode="External"/><Relationship Id="rId191" Type="http://schemas.openxmlformats.org/officeDocument/2006/relationships/hyperlink" Target="http://paperpile.com/b/soZcdo/vLsyj" TargetMode="External"/><Relationship Id="rId205" Type="http://schemas.openxmlformats.org/officeDocument/2006/relationships/hyperlink" Target="http://paperpile.com/b/soZcdo/aJoac" TargetMode="External"/><Relationship Id="rId107" Type="http://schemas.openxmlformats.org/officeDocument/2006/relationships/hyperlink" Target="http://paperpile.com/b/soZcdo/445qa" TargetMode="External"/><Relationship Id="rId11" Type="http://schemas.openxmlformats.org/officeDocument/2006/relationships/hyperlink" Target="https://paperpile.com/c/soZcdo/Wm7Uc" TargetMode="External"/><Relationship Id="rId32" Type="http://schemas.openxmlformats.org/officeDocument/2006/relationships/image" Target="media/image2.png"/><Relationship Id="rId53" Type="http://schemas.openxmlformats.org/officeDocument/2006/relationships/hyperlink" Target="http://paperpile.com/b/soZcdo/lFgSz" TargetMode="External"/><Relationship Id="rId74" Type="http://schemas.openxmlformats.org/officeDocument/2006/relationships/hyperlink" Target="http://paperpile.com/b/soZcdo/L0iSR" TargetMode="External"/><Relationship Id="rId128" Type="http://schemas.openxmlformats.org/officeDocument/2006/relationships/hyperlink" Target="http://paperpile.com/b/soZcdo/TiXU" TargetMode="External"/><Relationship Id="rId149" Type="http://schemas.openxmlformats.org/officeDocument/2006/relationships/hyperlink" Target="http://paperpile.com/b/soZcdo/OCdea" TargetMode="External"/><Relationship Id="rId5" Type="http://schemas.openxmlformats.org/officeDocument/2006/relationships/hyperlink" Target="mailto:drmohammedtharik@gmail.com" TargetMode="External"/><Relationship Id="rId95" Type="http://schemas.openxmlformats.org/officeDocument/2006/relationships/hyperlink" Target="http://paperpile.com/b/soZcdo/AZKa7" TargetMode="External"/><Relationship Id="rId160" Type="http://schemas.openxmlformats.org/officeDocument/2006/relationships/hyperlink" Target="http://paperpile.com/b/soZcdo/zaWvN" TargetMode="External"/><Relationship Id="rId181" Type="http://schemas.openxmlformats.org/officeDocument/2006/relationships/hyperlink" Target="http://paperpile.com/b/soZcdo/C32LT" TargetMode="External"/><Relationship Id="rId22" Type="http://schemas.openxmlformats.org/officeDocument/2006/relationships/hyperlink" Target="https://paperpile.com/c/soZcdo/IOKC" TargetMode="External"/><Relationship Id="rId43" Type="http://schemas.openxmlformats.org/officeDocument/2006/relationships/hyperlink" Target="https://paperpile.com/c/soZcdo/V61FT" TargetMode="External"/><Relationship Id="rId64" Type="http://schemas.openxmlformats.org/officeDocument/2006/relationships/hyperlink" Target="http://paperpile.com/b/soZcdo/ORpUZ" TargetMode="External"/><Relationship Id="rId118" Type="http://schemas.openxmlformats.org/officeDocument/2006/relationships/hyperlink" Target="http://paperpile.com/b/soZcdo/LOWbt" TargetMode="External"/><Relationship Id="rId139" Type="http://schemas.openxmlformats.org/officeDocument/2006/relationships/hyperlink" Target="http://paperpile.com/b/soZcdo/Wm7Uc" TargetMode="External"/><Relationship Id="rId85" Type="http://schemas.openxmlformats.org/officeDocument/2006/relationships/hyperlink" Target="http://paperpile.com/b/soZcdo/ggwkv" TargetMode="External"/><Relationship Id="rId150" Type="http://schemas.openxmlformats.org/officeDocument/2006/relationships/hyperlink" Target="http://paperpile.com/b/soZcdo/OCdea" TargetMode="External"/><Relationship Id="rId171" Type="http://schemas.openxmlformats.org/officeDocument/2006/relationships/hyperlink" Target="http://paperpile.com/b/soZcdo/1qQz7" TargetMode="External"/><Relationship Id="rId192" Type="http://schemas.openxmlformats.org/officeDocument/2006/relationships/hyperlink" Target="http://paperpile.com/b/soZcdo/vLsyj" TargetMode="External"/><Relationship Id="rId206" Type="http://schemas.openxmlformats.org/officeDocument/2006/relationships/hyperlink" Target="http://paperpile.com/b/soZcdo/aJoac" TargetMode="External"/><Relationship Id="rId12" Type="http://schemas.openxmlformats.org/officeDocument/2006/relationships/hyperlink" Target="https://paperpile.com/c/soZcdo/phkyQ" TargetMode="External"/><Relationship Id="rId33" Type="http://schemas.openxmlformats.org/officeDocument/2006/relationships/image" Target="media/image3.png"/><Relationship Id="rId108" Type="http://schemas.openxmlformats.org/officeDocument/2006/relationships/hyperlink" Target="http://paperpile.com/b/soZcdo/445qa" TargetMode="External"/><Relationship Id="rId129" Type="http://schemas.openxmlformats.org/officeDocument/2006/relationships/hyperlink" Target="http://paperpile.com/b/soZcdo/TiXU" TargetMode="External"/><Relationship Id="rId54" Type="http://schemas.openxmlformats.org/officeDocument/2006/relationships/hyperlink" Target="http://paperpile.com/b/soZcdo/lFgSz" TargetMode="External"/><Relationship Id="rId75" Type="http://schemas.openxmlformats.org/officeDocument/2006/relationships/hyperlink" Target="http://paperpile.com/b/soZcdo/L0iSR" TargetMode="External"/><Relationship Id="rId96" Type="http://schemas.openxmlformats.org/officeDocument/2006/relationships/hyperlink" Target="http://paperpile.com/b/soZcdo/AZKa7" TargetMode="External"/><Relationship Id="rId140" Type="http://schemas.openxmlformats.org/officeDocument/2006/relationships/hyperlink" Target="http://paperpile.com/b/soZcdo/Wm7Uc" TargetMode="External"/><Relationship Id="rId161" Type="http://schemas.openxmlformats.org/officeDocument/2006/relationships/hyperlink" Target="http://paperpile.com/b/soZcdo/F6dK" TargetMode="External"/><Relationship Id="rId182" Type="http://schemas.openxmlformats.org/officeDocument/2006/relationships/hyperlink" Target="http://paperpile.com/b/soZcdo/C32LT" TargetMode="External"/><Relationship Id="rId6" Type="http://schemas.openxmlformats.org/officeDocument/2006/relationships/hyperlink" Target="https://paperpile.com/c/soZcdo/F6dK" TargetMode="External"/><Relationship Id="rId23" Type="http://schemas.openxmlformats.org/officeDocument/2006/relationships/hyperlink" Target="https://paperpile.com/c/soZcdo/vLsyj" TargetMode="External"/><Relationship Id="rId119" Type="http://schemas.openxmlformats.org/officeDocument/2006/relationships/hyperlink" Target="http://paperpile.com/b/soZcdo/LOWbt" TargetMode="External"/><Relationship Id="rId44" Type="http://schemas.openxmlformats.org/officeDocument/2006/relationships/hyperlink" Target="https://paperpile.com/c/soZcdo/X35OC" TargetMode="External"/><Relationship Id="rId65" Type="http://schemas.openxmlformats.org/officeDocument/2006/relationships/hyperlink" Target="http://paperpile.com/b/soZcdo/ORpUZ" TargetMode="External"/><Relationship Id="rId86" Type="http://schemas.openxmlformats.org/officeDocument/2006/relationships/hyperlink" Target="http://paperpile.com/b/soZcdo/ggwkv" TargetMode="External"/><Relationship Id="rId130" Type="http://schemas.openxmlformats.org/officeDocument/2006/relationships/hyperlink" Target="http://paperpile.com/b/soZcdo/TiXU" TargetMode="External"/><Relationship Id="rId151" Type="http://schemas.openxmlformats.org/officeDocument/2006/relationships/hyperlink" Target="http://paperpile.com/b/soZcdo/OCdea" TargetMode="External"/><Relationship Id="rId172" Type="http://schemas.openxmlformats.org/officeDocument/2006/relationships/hyperlink" Target="http://paperpile.com/b/soZcdo/1qQz7" TargetMode="External"/><Relationship Id="rId193" Type="http://schemas.openxmlformats.org/officeDocument/2006/relationships/hyperlink" Target="http://paperpile.com/b/soZcdo/vLsyj" TargetMode="External"/><Relationship Id="rId207" Type="http://schemas.openxmlformats.org/officeDocument/2006/relationships/hyperlink" Target="http://paperpile.com/b/soZcdo/NbLS7" TargetMode="External"/><Relationship Id="rId13" Type="http://schemas.openxmlformats.org/officeDocument/2006/relationships/hyperlink" Target="https://paperpile.com/c/soZcdo/C32LT" TargetMode="External"/><Relationship Id="rId109" Type="http://schemas.openxmlformats.org/officeDocument/2006/relationships/hyperlink" Target="http://paperpile.com/b/soZcdo/445qa" TargetMode="External"/><Relationship Id="rId34" Type="http://schemas.openxmlformats.org/officeDocument/2006/relationships/image" Target="media/image4.png"/><Relationship Id="rId55" Type="http://schemas.openxmlformats.org/officeDocument/2006/relationships/hyperlink" Target="http://paperpile.com/b/soZcdo/lFgSz" TargetMode="External"/><Relationship Id="rId76" Type="http://schemas.openxmlformats.org/officeDocument/2006/relationships/hyperlink" Target="http://paperpile.com/b/soZcdo/L0iSR" TargetMode="External"/><Relationship Id="rId97" Type="http://schemas.openxmlformats.org/officeDocument/2006/relationships/hyperlink" Target="http://paperpile.com/b/soZcdo/Jn6j9" TargetMode="External"/><Relationship Id="rId120" Type="http://schemas.openxmlformats.org/officeDocument/2006/relationships/hyperlink" Target="http://paperpile.com/b/soZcdo/LOWbt" TargetMode="External"/><Relationship Id="rId141" Type="http://schemas.openxmlformats.org/officeDocument/2006/relationships/hyperlink" Target="http://paperpile.com/b/soZcdo/Wm7Uc" TargetMode="External"/><Relationship Id="rId7" Type="http://schemas.openxmlformats.org/officeDocument/2006/relationships/hyperlink" Target="https://paperpile.com/c/soZcdo/SHJha" TargetMode="External"/><Relationship Id="rId162" Type="http://schemas.openxmlformats.org/officeDocument/2006/relationships/hyperlink" Target="http://paperpile.com/b/soZcdo/F6dK" TargetMode="External"/><Relationship Id="rId183" Type="http://schemas.openxmlformats.org/officeDocument/2006/relationships/hyperlink" Target="http://paperpile.com/b/soZcdo/C32LT" TargetMode="External"/><Relationship Id="rId24" Type="http://schemas.openxmlformats.org/officeDocument/2006/relationships/hyperlink" Target="https://paperpile.com/c/soZcdo/lFgSz" TargetMode="External"/><Relationship Id="rId45" Type="http://schemas.openxmlformats.org/officeDocument/2006/relationships/hyperlink" Target="https://paperpile.com/c/soZcdo/zaWvN" TargetMode="External"/><Relationship Id="rId66" Type="http://schemas.openxmlformats.org/officeDocument/2006/relationships/hyperlink" Target="http://paperpile.com/b/soZcdo/ORpUZ" TargetMode="External"/><Relationship Id="rId87" Type="http://schemas.openxmlformats.org/officeDocument/2006/relationships/hyperlink" Target="http://paperpile.com/b/soZcdo/FZY4k" TargetMode="External"/><Relationship Id="rId110" Type="http://schemas.openxmlformats.org/officeDocument/2006/relationships/hyperlink" Target="http://paperpile.com/b/soZcdo/445qa" TargetMode="External"/><Relationship Id="rId131" Type="http://schemas.openxmlformats.org/officeDocument/2006/relationships/hyperlink" Target="http://dx.doi.org/10.1053/j.sodo.2023.01.001" TargetMode="External"/><Relationship Id="rId152" Type="http://schemas.openxmlformats.org/officeDocument/2006/relationships/hyperlink" Target="http://paperpile.com/b/soZcdo/Jnjzx" TargetMode="External"/><Relationship Id="rId173" Type="http://schemas.openxmlformats.org/officeDocument/2006/relationships/hyperlink" Target="http://paperpile.com/b/soZcdo/1qQz7" TargetMode="External"/><Relationship Id="rId194" Type="http://schemas.openxmlformats.org/officeDocument/2006/relationships/hyperlink" Target="http://paperpile.com/b/soZcdo/vLsyj" TargetMode="External"/><Relationship Id="rId208" Type="http://schemas.openxmlformats.org/officeDocument/2006/relationships/hyperlink" Target="http://paperpile.com/b/soZcdo/NbLS7" TargetMode="External"/><Relationship Id="rId19" Type="http://schemas.openxmlformats.org/officeDocument/2006/relationships/hyperlink" Target="https://paperpile.com/c/soZcdo/FZY4k+1qQz7" TargetMode="External"/><Relationship Id="rId14" Type="http://schemas.openxmlformats.org/officeDocument/2006/relationships/hyperlink" Target="https://paperpile.com/c/soZcdo/TjEIM" TargetMode="External"/><Relationship Id="rId30" Type="http://schemas.openxmlformats.org/officeDocument/2006/relationships/hyperlink" Target="https://paperpile.com/c/soZcdo/445qa" TargetMode="External"/><Relationship Id="rId35" Type="http://schemas.openxmlformats.org/officeDocument/2006/relationships/image" Target="media/image5.jpg"/><Relationship Id="rId56" Type="http://schemas.openxmlformats.org/officeDocument/2006/relationships/hyperlink" Target="http://paperpile.com/b/soZcdo/lFgSz" TargetMode="External"/><Relationship Id="rId77" Type="http://schemas.openxmlformats.org/officeDocument/2006/relationships/hyperlink" Target="http://paperpile.com/b/soZcdo/L0iSR" TargetMode="External"/><Relationship Id="rId100" Type="http://schemas.openxmlformats.org/officeDocument/2006/relationships/hyperlink" Target="http://paperpile.com/b/soZcdo/Jn6j9" TargetMode="External"/><Relationship Id="rId105" Type="http://schemas.openxmlformats.org/officeDocument/2006/relationships/hyperlink" Target="http://paperpile.com/b/soZcdo/RJJAv" TargetMode="External"/><Relationship Id="rId126" Type="http://schemas.openxmlformats.org/officeDocument/2006/relationships/hyperlink" Target="http://paperpile.com/b/soZcdo/y8mwv" TargetMode="External"/><Relationship Id="rId147" Type="http://schemas.openxmlformats.org/officeDocument/2006/relationships/hyperlink" Target="http://paperpile.com/b/soZcdo/OCdea" TargetMode="External"/><Relationship Id="rId168" Type="http://schemas.openxmlformats.org/officeDocument/2006/relationships/hyperlink" Target="http://paperpile.com/b/soZcdo/X35OC" TargetMode="External"/><Relationship Id="rId8" Type="http://schemas.openxmlformats.org/officeDocument/2006/relationships/hyperlink" Target="https://paperpile.com/c/soZcdo/F6dK" TargetMode="External"/><Relationship Id="rId51" Type="http://schemas.openxmlformats.org/officeDocument/2006/relationships/hyperlink" Target="http://paperpile.com/b/soZcdo/phkyQ" TargetMode="External"/><Relationship Id="rId72" Type="http://schemas.openxmlformats.org/officeDocument/2006/relationships/hyperlink" Target="http://paperpile.com/b/soZcdo/CofIM" TargetMode="External"/><Relationship Id="rId93" Type="http://schemas.openxmlformats.org/officeDocument/2006/relationships/hyperlink" Target="http://paperpile.com/b/soZcdo/AZKa7" TargetMode="External"/><Relationship Id="rId98" Type="http://schemas.openxmlformats.org/officeDocument/2006/relationships/hyperlink" Target="http://paperpile.com/b/soZcdo/Jn6j9" TargetMode="External"/><Relationship Id="rId121" Type="http://schemas.openxmlformats.org/officeDocument/2006/relationships/hyperlink" Target="http://paperpile.com/b/soZcdo/LOWbt" TargetMode="External"/><Relationship Id="rId142" Type="http://schemas.openxmlformats.org/officeDocument/2006/relationships/hyperlink" Target="http://paperpile.com/b/soZcdo/I05Te" TargetMode="External"/><Relationship Id="rId163" Type="http://schemas.openxmlformats.org/officeDocument/2006/relationships/hyperlink" Target="http://paperpile.com/b/soZcdo/F6dK" TargetMode="External"/><Relationship Id="rId184" Type="http://schemas.openxmlformats.org/officeDocument/2006/relationships/hyperlink" Target="http://paperpile.com/b/soZcdo/C32LT" TargetMode="External"/><Relationship Id="rId189" Type="http://schemas.openxmlformats.org/officeDocument/2006/relationships/hyperlink" Target="http://paperpile.com/b/soZcdo/JXsfq" TargetMode="External"/><Relationship Id="rId3" Type="http://schemas.openxmlformats.org/officeDocument/2006/relationships/settings" Target="settings.xml"/><Relationship Id="rId25" Type="http://schemas.openxmlformats.org/officeDocument/2006/relationships/hyperlink" Target="https://paperpile.com/c/soZcdo/LOWbt" TargetMode="External"/><Relationship Id="rId46" Type="http://schemas.openxmlformats.org/officeDocument/2006/relationships/hyperlink" Target="https://paperpile.com/c/soZcdo/RJJAv" TargetMode="External"/><Relationship Id="rId67" Type="http://schemas.openxmlformats.org/officeDocument/2006/relationships/hyperlink" Target="http://paperpile.com/b/soZcdo/ORpUZ" TargetMode="External"/><Relationship Id="rId116" Type="http://schemas.openxmlformats.org/officeDocument/2006/relationships/hyperlink" Target="http://paperpile.com/b/soZcdo/8Nuce" TargetMode="External"/><Relationship Id="rId137" Type="http://schemas.openxmlformats.org/officeDocument/2006/relationships/hyperlink" Target="http://paperpile.com/b/soZcdo/Wm7Uc" TargetMode="External"/><Relationship Id="rId158" Type="http://schemas.openxmlformats.org/officeDocument/2006/relationships/hyperlink" Target="http://paperpile.com/b/soZcdo/zaWvN" TargetMode="External"/><Relationship Id="rId20" Type="http://schemas.openxmlformats.org/officeDocument/2006/relationships/hyperlink" Target="https://paperpile.com/c/soZcdo/NbLS7" TargetMode="External"/><Relationship Id="rId41" Type="http://schemas.openxmlformats.org/officeDocument/2006/relationships/hyperlink" Target="https://paperpile.com/c/soZcdo/aJoac" TargetMode="External"/><Relationship Id="rId62" Type="http://schemas.openxmlformats.org/officeDocument/2006/relationships/hyperlink" Target="http://paperpile.com/b/soZcdo/IOKC" TargetMode="External"/><Relationship Id="rId83" Type="http://schemas.openxmlformats.org/officeDocument/2006/relationships/hyperlink" Target="http://paperpile.com/b/soZcdo/ggwkv" TargetMode="External"/><Relationship Id="rId88" Type="http://schemas.openxmlformats.org/officeDocument/2006/relationships/hyperlink" Target="http://paperpile.com/b/soZcdo/FZY4k" TargetMode="External"/><Relationship Id="rId111" Type="http://schemas.openxmlformats.org/officeDocument/2006/relationships/hyperlink" Target="http://paperpile.com/b/soZcdo/445qa" TargetMode="External"/><Relationship Id="rId132" Type="http://schemas.openxmlformats.org/officeDocument/2006/relationships/hyperlink" Target="http://paperpile.com/b/soZcdo/QJoe1" TargetMode="External"/><Relationship Id="rId153" Type="http://schemas.openxmlformats.org/officeDocument/2006/relationships/hyperlink" Target="http://paperpile.com/b/soZcdo/Jnjzx" TargetMode="External"/><Relationship Id="rId174" Type="http://schemas.openxmlformats.org/officeDocument/2006/relationships/hyperlink" Target="http://paperpile.com/b/soZcdo/1qQz7" TargetMode="External"/><Relationship Id="rId179" Type="http://schemas.openxmlformats.org/officeDocument/2006/relationships/hyperlink" Target="http://paperpile.com/b/soZcdo/V61FT" TargetMode="External"/><Relationship Id="rId195" Type="http://schemas.openxmlformats.org/officeDocument/2006/relationships/hyperlink" Target="http://paperpile.com/b/soZcdo/vLsyj" TargetMode="External"/><Relationship Id="rId209" Type="http://schemas.openxmlformats.org/officeDocument/2006/relationships/hyperlink" Target="http://paperpile.com/b/soZcdo/NbLS7" TargetMode="External"/><Relationship Id="rId190" Type="http://schemas.openxmlformats.org/officeDocument/2006/relationships/hyperlink" Target="http://paperpile.com/b/soZcdo/JXsfq" TargetMode="External"/><Relationship Id="rId204" Type="http://schemas.openxmlformats.org/officeDocument/2006/relationships/hyperlink" Target="http://paperpile.com/b/soZcdo/aJoac" TargetMode="External"/><Relationship Id="rId15" Type="http://schemas.openxmlformats.org/officeDocument/2006/relationships/hyperlink" Target="https://paperpile.com/c/soZcdo/QJoe1" TargetMode="External"/><Relationship Id="rId36" Type="http://schemas.openxmlformats.org/officeDocument/2006/relationships/image" Target="media/image6.png"/><Relationship Id="rId57" Type="http://schemas.openxmlformats.org/officeDocument/2006/relationships/hyperlink" Target="http://paperpile.com/b/soZcdo/lFgSz" TargetMode="External"/><Relationship Id="rId106" Type="http://schemas.openxmlformats.org/officeDocument/2006/relationships/hyperlink" Target="http://paperpile.com/b/soZcdo/RJJAv" TargetMode="External"/><Relationship Id="rId127" Type="http://schemas.openxmlformats.org/officeDocument/2006/relationships/hyperlink" Target="http://paperpile.com/b/soZcdo/y8mwv" TargetMode="External"/><Relationship Id="rId10" Type="http://schemas.openxmlformats.org/officeDocument/2006/relationships/hyperlink" Target="https://paperpile.com/c/soZcdo/L0iSR" TargetMode="External"/><Relationship Id="rId31" Type="http://schemas.openxmlformats.org/officeDocument/2006/relationships/image" Target="media/image1.png"/><Relationship Id="rId52" Type="http://schemas.openxmlformats.org/officeDocument/2006/relationships/hyperlink" Target="http://dx.doi.org/10.1021/ja01355a050" TargetMode="External"/><Relationship Id="rId73" Type="http://schemas.openxmlformats.org/officeDocument/2006/relationships/hyperlink" Target="http://paperpile.com/b/soZcdo/L0iSR" TargetMode="External"/><Relationship Id="rId78" Type="http://schemas.openxmlformats.org/officeDocument/2006/relationships/hyperlink" Target="http://paperpile.com/b/soZcdo/kryU1" TargetMode="External"/><Relationship Id="rId94" Type="http://schemas.openxmlformats.org/officeDocument/2006/relationships/hyperlink" Target="http://paperpile.com/b/soZcdo/AZKa7" TargetMode="External"/><Relationship Id="rId99" Type="http://schemas.openxmlformats.org/officeDocument/2006/relationships/hyperlink" Target="http://paperpile.com/b/soZcdo/Jn6j9" TargetMode="External"/><Relationship Id="rId101" Type="http://schemas.openxmlformats.org/officeDocument/2006/relationships/hyperlink" Target="http://paperpile.com/b/soZcdo/Jn6j9" TargetMode="External"/><Relationship Id="rId122" Type="http://schemas.openxmlformats.org/officeDocument/2006/relationships/hyperlink" Target="http://dx.doi.org/10.3390/nano10112317" TargetMode="External"/><Relationship Id="rId143" Type="http://schemas.openxmlformats.org/officeDocument/2006/relationships/hyperlink" Target="http://paperpile.com/b/soZcdo/I05Te" TargetMode="External"/><Relationship Id="rId148" Type="http://schemas.openxmlformats.org/officeDocument/2006/relationships/hyperlink" Target="http://paperpile.com/b/soZcdo/OCdea" TargetMode="External"/><Relationship Id="rId164" Type="http://schemas.openxmlformats.org/officeDocument/2006/relationships/hyperlink" Target="http://paperpile.com/b/soZcdo/F6dK" TargetMode="External"/><Relationship Id="rId169" Type="http://schemas.openxmlformats.org/officeDocument/2006/relationships/hyperlink" Target="http://paperpile.com/b/soZcdo/X35OC" TargetMode="External"/><Relationship Id="rId185" Type="http://schemas.openxmlformats.org/officeDocument/2006/relationships/hyperlink" Target="http://paperpile.com/b/soZcdo/C32LT" TargetMode="External"/><Relationship Id="rId4" Type="http://schemas.openxmlformats.org/officeDocument/2006/relationships/webSettings" Target="webSettings.xml"/><Relationship Id="rId9" Type="http://schemas.openxmlformats.org/officeDocument/2006/relationships/hyperlink" Target="https://paperpile.com/c/soZcdo/JXsfq" TargetMode="External"/><Relationship Id="rId180" Type="http://schemas.openxmlformats.org/officeDocument/2006/relationships/hyperlink" Target="http://paperpile.com/b/soZcdo/V61FT" TargetMode="External"/><Relationship Id="rId210" Type="http://schemas.openxmlformats.org/officeDocument/2006/relationships/hyperlink" Target="http://paperpile.com/b/soZcdo/NbLS7" TargetMode="External"/><Relationship Id="rId26" Type="http://schemas.openxmlformats.org/officeDocument/2006/relationships/hyperlink" Target="https://paperpile.com/c/soZcdo/ORpUZ" TargetMode="External"/><Relationship Id="rId47" Type="http://schemas.openxmlformats.org/officeDocument/2006/relationships/hyperlink" Target="https://paperpile.com/c/soZcdo/RJJAv" TargetMode="External"/><Relationship Id="rId68" Type="http://schemas.openxmlformats.org/officeDocument/2006/relationships/hyperlink" Target="http://paperpile.com/b/soZcdo/CofIM" TargetMode="External"/><Relationship Id="rId89" Type="http://schemas.openxmlformats.org/officeDocument/2006/relationships/hyperlink" Target="http://paperpile.com/b/soZcdo/FZY4k" TargetMode="External"/><Relationship Id="rId112" Type="http://schemas.openxmlformats.org/officeDocument/2006/relationships/hyperlink" Target="http://paperpile.com/b/soZcdo/8Nuce" TargetMode="External"/><Relationship Id="rId133" Type="http://schemas.openxmlformats.org/officeDocument/2006/relationships/hyperlink" Target="http://paperpile.com/b/soZcdo/QJoe1" TargetMode="External"/><Relationship Id="rId154" Type="http://schemas.openxmlformats.org/officeDocument/2006/relationships/hyperlink" Target="http://paperpile.com/b/soZcdo/Jnjzx" TargetMode="External"/><Relationship Id="rId175" Type="http://schemas.openxmlformats.org/officeDocument/2006/relationships/hyperlink" Target="http://paperpile.com/b/soZcdo/1qQz7" TargetMode="External"/><Relationship Id="rId196" Type="http://schemas.openxmlformats.org/officeDocument/2006/relationships/hyperlink" Target="http://paperpile.com/b/soZcdo/SHJha" TargetMode="External"/><Relationship Id="rId200" Type="http://schemas.openxmlformats.org/officeDocument/2006/relationships/hyperlink" Target="http://paperpile.com/b/soZcdo/SHJha" TargetMode="External"/><Relationship Id="rId16" Type="http://schemas.openxmlformats.org/officeDocument/2006/relationships/hyperlink" Target="https://paperpile.com/c/soZcdo/L0iSR" TargetMode="External"/><Relationship Id="rId37" Type="http://schemas.openxmlformats.org/officeDocument/2006/relationships/hyperlink" Target="https://paperpile.com/c/soZcdo/OCdea" TargetMode="External"/><Relationship Id="rId58" Type="http://schemas.openxmlformats.org/officeDocument/2006/relationships/hyperlink" Target="http://paperpile.com/b/soZcdo/IOKC" TargetMode="External"/><Relationship Id="rId79" Type="http://schemas.openxmlformats.org/officeDocument/2006/relationships/hyperlink" Target="http://paperpile.com/b/soZcdo/kryU1" TargetMode="External"/><Relationship Id="rId102" Type="http://schemas.openxmlformats.org/officeDocument/2006/relationships/hyperlink" Target="http://paperpile.com/b/soZcdo/RJJAv" TargetMode="External"/><Relationship Id="rId123" Type="http://schemas.openxmlformats.org/officeDocument/2006/relationships/hyperlink" Target="http://paperpile.com/b/soZcdo/y8mwv" TargetMode="External"/><Relationship Id="rId144" Type="http://schemas.openxmlformats.org/officeDocument/2006/relationships/hyperlink" Target="http://paperpile.com/b/soZcdo/I05Te" TargetMode="External"/><Relationship Id="rId90" Type="http://schemas.openxmlformats.org/officeDocument/2006/relationships/hyperlink" Target="http://paperpile.com/b/soZcdo/FZY4k" TargetMode="External"/><Relationship Id="rId165" Type="http://schemas.openxmlformats.org/officeDocument/2006/relationships/hyperlink" Target="http://paperpile.com/b/soZcdo/F6dK" TargetMode="External"/><Relationship Id="rId186" Type="http://schemas.openxmlformats.org/officeDocument/2006/relationships/hyperlink" Target="http://paperpile.com/b/soZcdo/JXsfq" TargetMode="External"/><Relationship Id="rId211" Type="http://schemas.openxmlformats.org/officeDocument/2006/relationships/hyperlink" Target="http://paperpile.com/b/soZcdo/NbLS7" TargetMode="External"/><Relationship Id="rId27" Type="http://schemas.openxmlformats.org/officeDocument/2006/relationships/hyperlink" Target="https://paperpile.com/c/soZcdo/8Nuce" TargetMode="External"/><Relationship Id="rId48" Type="http://schemas.openxmlformats.org/officeDocument/2006/relationships/hyperlink" Target="https://paperpile.com/c/soZcdo/RJJAv" TargetMode="External"/><Relationship Id="rId69" Type="http://schemas.openxmlformats.org/officeDocument/2006/relationships/hyperlink" Target="http://paperpile.com/b/soZcdo/CofIM" TargetMode="External"/><Relationship Id="rId113" Type="http://schemas.openxmlformats.org/officeDocument/2006/relationships/hyperlink" Target="http://paperpile.com/b/soZcdo/8Nuce" TargetMode="External"/><Relationship Id="rId134" Type="http://schemas.openxmlformats.org/officeDocument/2006/relationships/hyperlink" Target="http://paperpile.com/b/soZcdo/QJoe1" TargetMode="External"/><Relationship Id="rId80" Type="http://schemas.openxmlformats.org/officeDocument/2006/relationships/hyperlink" Target="http://paperpile.com/b/soZcdo/kryU1" TargetMode="External"/><Relationship Id="rId155" Type="http://schemas.openxmlformats.org/officeDocument/2006/relationships/hyperlink" Target="http://dx.doi.org/10.1080/21691401.2018.1446968" TargetMode="External"/><Relationship Id="rId176" Type="http://schemas.openxmlformats.org/officeDocument/2006/relationships/hyperlink" Target="http://paperpile.com/b/soZcdo/V61FT" TargetMode="External"/><Relationship Id="rId197" Type="http://schemas.openxmlformats.org/officeDocument/2006/relationships/hyperlink" Target="http://paperpile.com/b/soZcdo/SHJha" TargetMode="External"/><Relationship Id="rId201" Type="http://schemas.openxmlformats.org/officeDocument/2006/relationships/hyperlink" Target="http://paperpile.com/b/soZcdo/TjEIM" TargetMode="External"/><Relationship Id="rId17" Type="http://schemas.openxmlformats.org/officeDocument/2006/relationships/hyperlink" Target="https://paperpile.com/c/soZcdo/kryU1" TargetMode="External"/><Relationship Id="rId38" Type="http://schemas.openxmlformats.org/officeDocument/2006/relationships/hyperlink" Target="https://paperpile.com/c/soZcdo/I05Te" TargetMode="External"/><Relationship Id="rId59" Type="http://schemas.openxmlformats.org/officeDocument/2006/relationships/hyperlink" Target="http://paperpile.com/b/soZcdo/IOKC" TargetMode="External"/><Relationship Id="rId103" Type="http://schemas.openxmlformats.org/officeDocument/2006/relationships/hyperlink" Target="http://paperpile.com/b/soZcdo/RJJAv" TargetMode="External"/><Relationship Id="rId124" Type="http://schemas.openxmlformats.org/officeDocument/2006/relationships/hyperlink" Target="http://paperpile.com/b/soZcdo/y8mwv" TargetMode="External"/><Relationship Id="rId70" Type="http://schemas.openxmlformats.org/officeDocument/2006/relationships/hyperlink" Target="http://paperpile.com/b/soZcdo/CofIM" TargetMode="External"/><Relationship Id="rId91" Type="http://schemas.openxmlformats.org/officeDocument/2006/relationships/hyperlink" Target="http://paperpile.com/b/soZcdo/FZY4k" TargetMode="External"/><Relationship Id="rId145" Type="http://schemas.openxmlformats.org/officeDocument/2006/relationships/hyperlink" Target="http://paperpile.com/b/soZcdo/I05Te" TargetMode="External"/><Relationship Id="rId166" Type="http://schemas.openxmlformats.org/officeDocument/2006/relationships/hyperlink" Target="http://paperpile.com/b/soZcdo/X35OC" TargetMode="External"/><Relationship Id="rId187" Type="http://schemas.openxmlformats.org/officeDocument/2006/relationships/hyperlink" Target="http://paperpile.com/b/soZcdo/JXsfq" TargetMode="External"/><Relationship Id="rId1" Type="http://schemas.openxmlformats.org/officeDocument/2006/relationships/numbering" Target="numbering.xml"/><Relationship Id="rId212" Type="http://schemas.openxmlformats.org/officeDocument/2006/relationships/fontTable" Target="fontTable.xml"/><Relationship Id="rId28" Type="http://schemas.openxmlformats.org/officeDocument/2006/relationships/hyperlink" Target="https://paperpile.com/c/soZcdo/Jnjzx" TargetMode="External"/><Relationship Id="rId49" Type="http://schemas.openxmlformats.org/officeDocument/2006/relationships/hyperlink" Target="http://paperpile.com/b/soZcdo/phkyQ" TargetMode="External"/><Relationship Id="rId114" Type="http://schemas.openxmlformats.org/officeDocument/2006/relationships/hyperlink" Target="http://paperpile.com/b/soZcdo/8Nuce" TargetMode="External"/><Relationship Id="rId60" Type="http://schemas.openxmlformats.org/officeDocument/2006/relationships/hyperlink" Target="http://paperpile.com/b/soZcdo/IOKC" TargetMode="External"/><Relationship Id="rId81" Type="http://schemas.openxmlformats.org/officeDocument/2006/relationships/hyperlink" Target="http://dx.doi.org/10.1021/ef300007n" TargetMode="External"/><Relationship Id="rId135" Type="http://schemas.openxmlformats.org/officeDocument/2006/relationships/hyperlink" Target="http://paperpile.com/b/soZcdo/QJoe1" TargetMode="External"/><Relationship Id="rId156" Type="http://schemas.openxmlformats.org/officeDocument/2006/relationships/hyperlink" Target="http://paperpile.com/b/soZcdo/zaWvN" TargetMode="External"/><Relationship Id="rId177" Type="http://schemas.openxmlformats.org/officeDocument/2006/relationships/hyperlink" Target="http://paperpile.com/b/soZcdo/V61FT" TargetMode="External"/><Relationship Id="rId198" Type="http://schemas.openxmlformats.org/officeDocument/2006/relationships/hyperlink" Target="http://paperpile.com/b/soZcdo/SHJha" TargetMode="External"/><Relationship Id="rId202" Type="http://schemas.openxmlformats.org/officeDocument/2006/relationships/hyperlink" Target="http://paperpile.com/b/soZcdo/TjEIM" TargetMode="External"/><Relationship Id="rId18" Type="http://schemas.openxmlformats.org/officeDocument/2006/relationships/hyperlink" Target="https://paperpile.com/c/soZcdo/Jn6j9" TargetMode="External"/><Relationship Id="rId39" Type="http://schemas.openxmlformats.org/officeDocument/2006/relationships/hyperlink" Target="https://paperpile.com/c/soZcdo/CofIM" TargetMode="External"/><Relationship Id="rId50" Type="http://schemas.openxmlformats.org/officeDocument/2006/relationships/hyperlink" Target="http://paperpile.com/b/soZcdo/phkyQ" TargetMode="External"/><Relationship Id="rId104" Type="http://schemas.openxmlformats.org/officeDocument/2006/relationships/hyperlink" Target="http://paperpile.com/b/soZcdo/RJJAv" TargetMode="External"/><Relationship Id="rId125" Type="http://schemas.openxmlformats.org/officeDocument/2006/relationships/hyperlink" Target="http://paperpile.com/b/soZcdo/y8mwv" TargetMode="External"/><Relationship Id="rId146" Type="http://schemas.openxmlformats.org/officeDocument/2006/relationships/hyperlink" Target="http://paperpile.com/b/soZcdo/I05Te" TargetMode="External"/><Relationship Id="rId167" Type="http://schemas.openxmlformats.org/officeDocument/2006/relationships/hyperlink" Target="http://paperpile.com/b/soZcdo/X35OC" TargetMode="External"/><Relationship Id="rId188" Type="http://schemas.openxmlformats.org/officeDocument/2006/relationships/hyperlink" Target="http://paperpile.com/b/soZcdo/JXsfq" TargetMode="External"/><Relationship Id="rId71" Type="http://schemas.openxmlformats.org/officeDocument/2006/relationships/hyperlink" Target="http://paperpile.com/b/soZcdo/CofIM" TargetMode="External"/><Relationship Id="rId92" Type="http://schemas.openxmlformats.org/officeDocument/2006/relationships/hyperlink" Target="http://paperpile.com/b/soZcdo/AZKa7"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paperpile.com/c/soZcdo/AZKa7" TargetMode="External"/><Relationship Id="rId40" Type="http://schemas.openxmlformats.org/officeDocument/2006/relationships/hyperlink" Target="https://paperpile.com/c/soZcdo/y8mwv" TargetMode="External"/><Relationship Id="rId115" Type="http://schemas.openxmlformats.org/officeDocument/2006/relationships/hyperlink" Target="http://paperpile.com/b/soZcdo/8Nuce" TargetMode="External"/><Relationship Id="rId136" Type="http://schemas.openxmlformats.org/officeDocument/2006/relationships/hyperlink" Target="http://paperpile.com/b/soZcdo/QJoe1" TargetMode="External"/><Relationship Id="rId157" Type="http://schemas.openxmlformats.org/officeDocument/2006/relationships/hyperlink" Target="http://paperpile.com/b/soZcdo/zaWvN" TargetMode="External"/><Relationship Id="rId178" Type="http://schemas.openxmlformats.org/officeDocument/2006/relationships/hyperlink" Target="http://paperpile.com/b/soZcdo/V61FT" TargetMode="External"/><Relationship Id="rId61" Type="http://schemas.openxmlformats.org/officeDocument/2006/relationships/hyperlink" Target="http://paperpile.com/b/soZcdo/IOKC" TargetMode="External"/><Relationship Id="rId82" Type="http://schemas.openxmlformats.org/officeDocument/2006/relationships/hyperlink" Target="http://paperpile.com/b/soZcdo/ggwkv" TargetMode="External"/><Relationship Id="rId199" Type="http://schemas.openxmlformats.org/officeDocument/2006/relationships/hyperlink" Target="http://paperpile.com/b/soZcdo/SHJha" TargetMode="External"/><Relationship Id="rId203" Type="http://schemas.openxmlformats.org/officeDocument/2006/relationships/hyperlink" Target="http://paperpile.com/b/soZcdo/TjEI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10</Pages>
  <Words>6138</Words>
  <Characters>34989</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2025-09-05T04:52:00Z</dcterms:created>
  <dcterms:modified xsi:type="dcterms:W3CDTF">2025-10-28T06:43:00Z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22ed0267-c8f9-40ec-b708-5647e3f1afc3</vt:lpwstr>
  </property>
</Properties>
</file>