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B188029" w14:textId="44CBA8B9" w:rsidR="008E4BC1" w:rsidRDefault="00581FA7" w:rsidP="00997E89">
      <w:pPr>
        <w:pStyle w:val="PaperTitle"/>
        <w:rPr>
          <w:sz w:val="24"/>
          <w:szCs w:val="24"/>
        </w:rPr>
      </w:pPr>
      <w:r>
        <w:t>Comparative Cytotoxic Effect of Commercial Mouthwash and Clove and Cinnamon Ethanolic Extract-Based Mouthwash</w:t>
      </w:r>
    </w:p>
    <w:p w14:paraId="25F9A373" w14:textId="3F1007CE" w:rsidR="008E4BC1" w:rsidRPr="000F62D0" w:rsidRDefault="00997E89" w:rsidP="000F62D0">
      <w:pPr>
        <w:pStyle w:val="AuthorName"/>
        <w:rPr>
          <w:vertAlign w:val="superscript"/>
          <w:lang w:val="en-IN" w:eastAsia="en-IN"/>
        </w:rPr>
      </w:pPr>
      <w:r>
        <w:t xml:space="preserve">S </w:t>
      </w:r>
      <w:r w:rsidR="00581FA7">
        <w:t>Samudhra</w:t>
      </w:r>
      <w:r w:rsidR="000F62D0">
        <w:rPr>
          <w:vertAlign w:val="superscript"/>
        </w:rPr>
        <w:t>1</w:t>
      </w:r>
      <w:r w:rsidR="00581FA7">
        <w:t xml:space="preserve"> </w:t>
      </w:r>
      <w:r w:rsidR="000F62D0">
        <w:t>,</w:t>
      </w:r>
      <w:r w:rsidR="000F62D0" w:rsidRPr="000F62D0">
        <w:t xml:space="preserve"> </w:t>
      </w:r>
      <w:r w:rsidR="000F62D0" w:rsidRPr="000F62D0">
        <w:rPr>
          <w:lang w:val="en-IN" w:eastAsia="en-IN"/>
        </w:rPr>
        <w:t>Kumar Vidhu</w:t>
      </w:r>
      <w:r w:rsidR="000F62D0">
        <w:rPr>
          <w:vertAlign w:val="superscript"/>
          <w:lang w:val="en-IN" w:eastAsia="en-IN"/>
        </w:rPr>
        <w:t>1,a)</w:t>
      </w:r>
    </w:p>
    <w:p w14:paraId="750044AC" w14:textId="7C24AEAA" w:rsidR="008E4BC1" w:rsidRDefault="000F62D0" w:rsidP="00997E89">
      <w:pPr>
        <w:pStyle w:val="AuthorAffiliation"/>
      </w:pPr>
      <w:r>
        <w:rPr>
          <w:vertAlign w:val="superscript"/>
        </w:rPr>
        <w:t>1</w:t>
      </w:r>
      <w:r w:rsidR="00581FA7">
        <w:t xml:space="preserve">Samudhrasri </w:t>
      </w:r>
      <w:proofErr w:type="spellStart"/>
      <w:r w:rsidR="00581FA7">
        <w:t>Speciality</w:t>
      </w:r>
      <w:proofErr w:type="spellEnd"/>
      <w:r w:rsidR="00581FA7">
        <w:t xml:space="preserve"> Clinic, Coimbatore, </w:t>
      </w:r>
      <w:r w:rsidR="00997E89">
        <w:t>Tamil Nadu</w:t>
      </w:r>
      <w:r w:rsidR="00581FA7">
        <w:t>, India</w:t>
      </w:r>
    </w:p>
    <w:p w14:paraId="0BAAF532" w14:textId="43C37364" w:rsidR="008E4BC1" w:rsidRPr="000F62D0" w:rsidRDefault="00997E89" w:rsidP="000F62D0">
      <w:pPr>
        <w:pStyle w:val="AuthorEmail"/>
        <w:rPr>
          <w:vertAlign w:val="superscript"/>
          <w:lang w:val="en-IN" w:eastAsia="en-IN"/>
        </w:rPr>
      </w:pPr>
      <w:r w:rsidRPr="00997E89">
        <w:t>Corresponding Author:</w:t>
      </w:r>
      <w:r w:rsidR="000F62D0">
        <w:t xml:space="preserve"> </w:t>
      </w:r>
      <w:r w:rsidR="000F62D0">
        <w:rPr>
          <w:vertAlign w:val="superscript"/>
        </w:rPr>
        <w:t>a)</w:t>
      </w:r>
      <w:hyperlink r:id="rId7" w:history="1">
        <w:r w:rsidR="000F62D0" w:rsidRPr="0055638A">
          <w:rPr>
            <w:rStyle w:val="Hyperlink"/>
            <w:rFonts w:ascii="Cambria" w:hAnsi="Cambria"/>
            <w:sz w:val="18"/>
            <w:szCs w:val="18"/>
            <w:lang w:val="en-IN" w:eastAsia="en-IN"/>
          </w:rPr>
          <w:t>vidushij60@gmail.com</w:t>
        </w:r>
      </w:hyperlink>
      <w:r w:rsidR="000F62D0">
        <w:rPr>
          <w:lang w:val="en-IN" w:eastAsia="en-IN"/>
        </w:rPr>
        <w:t xml:space="preserve"> </w:t>
      </w:r>
    </w:p>
    <w:p w14:paraId="0597D7D4" w14:textId="53AA700E" w:rsidR="008E4BC1" w:rsidRDefault="00581FA7" w:rsidP="00997E89">
      <w:pPr>
        <w:pStyle w:val="Abstract"/>
        <w:rPr>
          <w:b/>
          <w:color w:val="212121"/>
          <w:sz w:val="24"/>
          <w:szCs w:val="24"/>
        </w:rPr>
      </w:pPr>
      <w:r w:rsidRPr="00997E89">
        <w:rPr>
          <w:b/>
          <w:bCs/>
        </w:rPr>
        <w:t>ABSTRACT</w:t>
      </w:r>
      <w:r w:rsidR="00997E89" w:rsidRPr="00997E89">
        <w:rPr>
          <w:b/>
          <w:bCs/>
        </w:rPr>
        <w:t>:</w:t>
      </w:r>
      <w:r w:rsidR="00997E89">
        <w:rPr>
          <w:b/>
          <w:bCs/>
        </w:rPr>
        <w:t xml:space="preserve"> </w:t>
      </w:r>
      <w:r w:rsidRPr="00997E89">
        <w:t xml:space="preserve">Mouthwashes also referred to as oral rinses, are commonly employed to diminish oral microbial populations and combat halitosis. They can act by directly targeting volatile sulfur compounds, thus reducing their presence in the oral cavity, or by impeding microbial growth and enzymatic processes. Notably, the potential cytotoxicity of these oral rinses on oral cells, due to their putative antibacterial activity, is an area of </w:t>
      </w:r>
      <w:proofErr w:type="spellStart"/>
      <w:r w:rsidRPr="00997E89">
        <w:t>concern.This</w:t>
      </w:r>
      <w:proofErr w:type="spellEnd"/>
      <w:r w:rsidRPr="00997E89">
        <w:t xml:space="preserve"> study aims to compare the cytotoxic effects of a commercially available mouthwash with a mouthwash formulated from ethanolic extracts of clove and </w:t>
      </w:r>
      <w:proofErr w:type="spellStart"/>
      <w:r w:rsidRPr="00997E89">
        <w:t>cinnamon.Clove</w:t>
      </w:r>
      <w:proofErr w:type="spellEnd"/>
      <w:r w:rsidRPr="00997E89">
        <w:t xml:space="preserve"> and cinnamon powder (5 g) were mixed with 100 ml of water, heated, and subsequently cooled before filtration to create the ethanolic extract. The mouthwash was prepared by mixing 1 ml of the concentrated extract with 0.3 grams of sucrose, 0.001 grams of a preservative, and 0.01 grams of sodium lauryl sulfate (SLS), followed by dilution with 10 ml of distilled water. Cytotoxicity was assessed using the brine shrimp lethality </w:t>
      </w:r>
      <w:proofErr w:type="spellStart"/>
      <w:r w:rsidRPr="00997E89">
        <w:t>assay.The</w:t>
      </w:r>
      <w:proofErr w:type="spellEnd"/>
      <w:r w:rsidRPr="00997E89">
        <w:t xml:space="preserve"> findings reveal that as the concentration of the mouthwash increases, the cytotoxic effects of the cinnamon and clove ethanolic extract-based mouthwash become more pronounced when compared to the commercial </w:t>
      </w:r>
      <w:proofErr w:type="spellStart"/>
      <w:r w:rsidRPr="00997E89">
        <w:t>mouthwash.In</w:t>
      </w:r>
      <w:proofErr w:type="spellEnd"/>
      <w:r w:rsidRPr="00997E89">
        <w:t xml:space="preserve"> conclusion, this study demonstrated the cytotoxic potential of clove and cinnamon ethanolic extracts in mouthwash formulations, especially at higher concentrations, alongside their well-established antimicrobial properties when compared to commercial mouthwash.</w:t>
      </w:r>
    </w:p>
    <w:p w14:paraId="18B6D8B1" w14:textId="0F111379" w:rsidR="008E4BC1" w:rsidRDefault="00581FA7" w:rsidP="00997E89">
      <w:pPr>
        <w:pStyle w:val="Abstract"/>
        <w:rPr>
          <w:b/>
          <w:color w:val="212121"/>
          <w:sz w:val="24"/>
          <w:szCs w:val="24"/>
        </w:rPr>
      </w:pPr>
      <w:r w:rsidRPr="00997E89">
        <w:rPr>
          <w:b/>
          <w:bCs/>
        </w:rPr>
        <w:t>KEYWORDS:</w:t>
      </w:r>
      <w:r>
        <w:rPr>
          <w:b/>
        </w:rPr>
        <w:t xml:space="preserve"> </w:t>
      </w:r>
      <w:r>
        <w:t xml:space="preserve">Cytotoxicity, Mouthwash, Clove, Cinnamon, Good health and Wellbeing. </w:t>
      </w:r>
    </w:p>
    <w:p w14:paraId="5A8E5271" w14:textId="49144249" w:rsidR="008E4BC1" w:rsidRDefault="00581FA7" w:rsidP="00997E89">
      <w:pPr>
        <w:pStyle w:val="Heading1"/>
        <w:rPr>
          <w:b w:val="0"/>
          <w:szCs w:val="24"/>
        </w:rPr>
      </w:pPr>
      <w:r>
        <w:t>INTRODUCTION</w:t>
      </w:r>
    </w:p>
    <w:p w14:paraId="61A06B72" w14:textId="26A81C62" w:rsidR="008E4BC1" w:rsidRDefault="00581FA7" w:rsidP="00997E89">
      <w:pPr>
        <w:pStyle w:val="Paragraph"/>
        <w:rPr>
          <w:color w:val="212121"/>
          <w:sz w:val="24"/>
          <w:szCs w:val="24"/>
        </w:rPr>
      </w:pPr>
      <w:r w:rsidRPr="00997E89">
        <w:t xml:space="preserve">Biofilm formation on tooth surfaces is predominantly influenced by factors such as wettability, surface tension, surface roughness, and surface free energy, all of which impact the adhesion of salivary proteins </w:t>
      </w:r>
      <w:hyperlink r:id="rId8">
        <w:r w:rsidRPr="00997E89">
          <w:t>(Goldberg, 2016)</w:t>
        </w:r>
      </w:hyperlink>
      <w:r w:rsidRPr="00997E89">
        <w:t xml:space="preserve">. The initial attachment of bacterial biofilms to tooth surfaces is well-established to occur through hydrophobic and electrostatic interactions </w:t>
      </w:r>
      <w:hyperlink r:id="rId9">
        <w:r w:rsidRPr="00997E89">
          <w:t>(Marsh, 1993; Merchant et al., 2022)</w:t>
        </w:r>
      </w:hyperlink>
      <w:r w:rsidRPr="00997E89">
        <w:t xml:space="preserve">. The sustained interplay of these factors eventually leads to the formation of carious lesions and subsequent tooth structure loss. The prevention and control of dental biofilm formation are primarily achieved through the use of toothpaste formulations that exhibit antibacterial and anti-inflammatory properties, complemented by adjunctive measures such as mouthwash and floss </w:t>
      </w:r>
      <w:hyperlink r:id="rId10">
        <w:r w:rsidRPr="00997E89">
          <w:t xml:space="preserve">(Adel et al., 2023; </w:t>
        </w:r>
        <w:proofErr w:type="spellStart"/>
        <w:r w:rsidRPr="00997E89">
          <w:t>Elgamily</w:t>
        </w:r>
        <w:proofErr w:type="spellEnd"/>
        <w:r w:rsidRPr="00997E89">
          <w:t xml:space="preserve"> et al., 2018)</w:t>
        </w:r>
      </w:hyperlink>
      <w:r w:rsidRPr="00997E89">
        <w:t xml:space="preserve">. Among mouthwash options, chlorhexidine (CHX) </w:t>
      </w:r>
      <w:proofErr w:type="spellStart"/>
      <w:r w:rsidRPr="00997E89">
        <w:t>digluconate</w:t>
      </w:r>
      <w:proofErr w:type="spellEnd"/>
      <w:r w:rsidRPr="00997E89">
        <w:t xml:space="preserve"> has long been the preferred antibacterial agent and is considered the gold standard </w:t>
      </w:r>
      <w:hyperlink r:id="rId11">
        <w:r w:rsidRPr="00997E89">
          <w:t>(</w:t>
        </w:r>
        <w:proofErr w:type="spellStart"/>
        <w:r w:rsidRPr="00997E89">
          <w:t>Buakaew</w:t>
        </w:r>
        <w:proofErr w:type="spellEnd"/>
        <w:r w:rsidRPr="00997E89">
          <w:t xml:space="preserve"> et al., 2021; </w:t>
        </w:r>
      </w:hyperlink>
      <w:hyperlink r:id="rId12">
        <w:r w:rsidRPr="00997E89">
          <w:t xml:space="preserve">Cytotoxic and Antimicrobial Effects of Herbal Formulation (Ficus Benghalenis, </w:t>
        </w:r>
        <w:proofErr w:type="spellStart"/>
        <w:r w:rsidRPr="00997E89">
          <w:t>Azadirachta</w:t>
        </w:r>
        <w:proofErr w:type="spellEnd"/>
        <w:r w:rsidRPr="00997E89">
          <w:t xml:space="preserve"> Indica and </w:t>
        </w:r>
        <w:proofErr w:type="spellStart"/>
        <w:r w:rsidRPr="00997E89">
          <w:t>Menthapiperita</w:t>
        </w:r>
        <w:proofErr w:type="spellEnd"/>
        <w:r w:rsidRPr="00997E89">
          <w:t>) Based Mouthwash</w:t>
        </w:r>
      </w:hyperlink>
      <w:hyperlink r:id="rId13">
        <w:r w:rsidRPr="00997E89">
          <w:t>, n.d.)</w:t>
        </w:r>
      </w:hyperlink>
      <w:r w:rsidRPr="00997E89">
        <w:t xml:space="preserve">. However, patient compliance with prolonged CHX use, especially for extended therapy, can be hindered by its adverse effects, necessitating judicious use primarily in high-risk patients and for shorter durations. In recent years, there has been a growing interest in the utilization of naturally occurring products in dental care, including mouthwash formulations </w:t>
      </w:r>
      <w:hyperlink r:id="rId14">
        <w:r w:rsidRPr="00997E89">
          <w:t>(</w:t>
        </w:r>
        <w:proofErr w:type="spellStart"/>
        <w:r w:rsidRPr="00997E89">
          <w:t>Buakaew</w:t>
        </w:r>
        <w:proofErr w:type="spellEnd"/>
        <w:r w:rsidRPr="00997E89">
          <w:t xml:space="preserve"> et al., 2021; </w:t>
        </w:r>
        <w:proofErr w:type="spellStart"/>
        <w:r w:rsidRPr="00997E89">
          <w:t>Sreevarun</w:t>
        </w:r>
        <w:proofErr w:type="spellEnd"/>
        <w:r w:rsidRPr="00997E89">
          <w:t xml:space="preserve"> et al., 2023; Wadhwani et al., 2022)</w:t>
        </w:r>
      </w:hyperlink>
      <w:r w:rsidRPr="00997E89">
        <w:t xml:space="preserve">.Cinnamon, a well-known culinary herb with historical medicinal applications, has been the subject of various studies. It has been investigated for its effects during pregnancy, in managing diabetes, and for addressing gynecological concerns </w:t>
      </w:r>
      <w:hyperlink r:id="rId15">
        <w:r w:rsidRPr="00997E89">
          <w:t>(</w:t>
        </w:r>
        <w:proofErr w:type="spellStart"/>
        <w:r w:rsidRPr="00997E89">
          <w:t>Hili</w:t>
        </w:r>
        <w:proofErr w:type="spellEnd"/>
        <w:r w:rsidRPr="00997E89">
          <w:t xml:space="preserve"> et al., 1997; Poornima et al., 2021)</w:t>
        </w:r>
      </w:hyperlink>
      <w:r w:rsidRPr="00997E89">
        <w:t xml:space="preserve">. Research has also explored its anti-inflammatory, cardioprotective, antioxidative, and antibacterial properties. These characteristics make cinnamon extracts a promising candidate for incorporation into mouthwashes, toothpaste formulations, or even root canal </w:t>
      </w:r>
      <w:proofErr w:type="spellStart"/>
      <w:r w:rsidRPr="00997E89">
        <w:t>irrigants</w:t>
      </w:r>
      <w:proofErr w:type="spellEnd"/>
      <w:r w:rsidRPr="00997E89">
        <w:t xml:space="preserve">, owing to their antimicrobial attributes, particularly in the field of dentistry </w:t>
      </w:r>
      <w:hyperlink r:id="rId16">
        <w:r w:rsidRPr="00997E89">
          <w:t>(</w:t>
        </w:r>
        <w:proofErr w:type="spellStart"/>
        <w:r w:rsidRPr="00997E89">
          <w:t>Budri</w:t>
        </w:r>
        <w:proofErr w:type="spellEnd"/>
        <w:r w:rsidRPr="00997E89">
          <w:t xml:space="preserve"> et al., 2015; Jain &amp; Verma, 2022; Marya et al., 2022)</w:t>
        </w:r>
      </w:hyperlink>
      <w:r w:rsidRPr="00997E89">
        <w:t xml:space="preserve">. Clove, renowned for its impeccable safety record, has a historical tradition of use as a breath freshener, dating back to the third century B.C. Chinese emperors and ancient Hindu writings have mentioned its dental applications </w:t>
      </w:r>
      <w:hyperlink r:id="rId17">
        <w:r w:rsidRPr="00997E89">
          <w:t>(</w:t>
        </w:r>
        <w:proofErr w:type="spellStart"/>
        <w:r w:rsidRPr="00997E89">
          <w:t>Chokkattu</w:t>
        </w:r>
        <w:proofErr w:type="spellEnd"/>
        <w:r w:rsidRPr="00997E89">
          <w:t xml:space="preserve"> et al., 2022; </w:t>
        </w:r>
        <w:proofErr w:type="spellStart"/>
        <w:r w:rsidRPr="00997E89">
          <w:t>Kammon</w:t>
        </w:r>
        <w:proofErr w:type="spellEnd"/>
        <w:r w:rsidRPr="00997E89">
          <w:t>, 2019; Pandiyan et al., 2022)</w:t>
        </w:r>
      </w:hyperlink>
      <w:r w:rsidRPr="00997E89">
        <w:t xml:space="preserve">. Avicenna, a prominent historical figure in medicine and teacher of Hippocrates, advocated the use of clove oil capsules for treating decayed teeth and gum issues. The germ-killing properties of clove have been harnessed for root canal therapy and various dental procedures since the 19th century  </w:t>
      </w:r>
      <w:hyperlink r:id="rId18">
        <w:r w:rsidRPr="00997E89">
          <w:t>(</w:t>
        </w:r>
        <w:proofErr w:type="spellStart"/>
        <w:r w:rsidRPr="00997E89">
          <w:t>Chaieb</w:t>
        </w:r>
        <w:proofErr w:type="spellEnd"/>
        <w:r w:rsidRPr="00997E89">
          <w:t xml:space="preserve"> et al., 2007; </w:t>
        </w:r>
        <w:proofErr w:type="spellStart"/>
        <w:r w:rsidRPr="00997E89">
          <w:t>Chokkattu</w:t>
        </w:r>
        <w:proofErr w:type="spellEnd"/>
        <w:r w:rsidRPr="00997E89">
          <w:t xml:space="preserve"> et al., 2022; Ramamurthy et al., 2022)</w:t>
        </w:r>
      </w:hyperlink>
      <w:r w:rsidRPr="00997E89">
        <w:t>. Clove essential oil contains eugenol, a compound known for its analgesic and antiseptic qualities, inhibiting the growth of most pathogenic bacteria while safeguarding beneficial microflora. Consequently, this study aims to assess and compare the cytotoxic effects of commercial mouthwash against a mouthwash formulation containing ethanolic extracts of cinnamon and clove.</w:t>
      </w:r>
    </w:p>
    <w:p w14:paraId="52A556CD" w14:textId="63B8A223" w:rsidR="008E4BC1" w:rsidRDefault="00581FA7" w:rsidP="00997E89">
      <w:pPr>
        <w:pStyle w:val="Heading1"/>
        <w:rPr>
          <w:szCs w:val="24"/>
        </w:rPr>
      </w:pPr>
      <w:r>
        <w:t>​​MATERIALS AND METHODS</w:t>
      </w:r>
    </w:p>
    <w:p w14:paraId="2BFFCEAA" w14:textId="3D30F3AE" w:rsidR="008E4BC1" w:rsidRDefault="00581FA7" w:rsidP="00997E89">
      <w:pPr>
        <w:pStyle w:val="Heading2"/>
      </w:pPr>
      <w:r>
        <w:t>Preparation of Cinnamon and Clove Extract</w:t>
      </w:r>
    </w:p>
    <w:p w14:paraId="401D1218" w14:textId="6D09330E" w:rsidR="008E4BC1" w:rsidRDefault="00581FA7" w:rsidP="00997E89">
      <w:pPr>
        <w:pStyle w:val="Paragraph"/>
        <w:rPr>
          <w:sz w:val="24"/>
          <w:szCs w:val="24"/>
        </w:rPr>
      </w:pPr>
      <w:r>
        <w:t>Five grams of powdered cinnamon and clove were combined with 100 milliliters of water and brought to a boil. After reaching a boiling point, the mixture was allowed to cool to room temperature. Subsequently, the solution was carefully filtered to obtain the cinnamon and clove extract. This process is visually represented in Figure 1.</w:t>
      </w:r>
    </w:p>
    <w:p w14:paraId="364BE8B4" w14:textId="0306CDEC" w:rsidR="008E4BC1" w:rsidRDefault="00581FA7" w:rsidP="00997E89">
      <w:pPr>
        <w:pStyle w:val="Heading2"/>
      </w:pPr>
      <w:r>
        <w:t>Preparation of Mouthwash</w:t>
      </w:r>
    </w:p>
    <w:p w14:paraId="23C0CF21" w14:textId="792A2701" w:rsidR="008E4BC1" w:rsidRDefault="00581FA7" w:rsidP="00997E89">
      <w:pPr>
        <w:pStyle w:val="Paragraph"/>
        <w:rPr>
          <w:b/>
          <w:sz w:val="24"/>
          <w:szCs w:val="24"/>
        </w:rPr>
      </w:pPr>
      <w:r>
        <w:t>To formulate the mouthwash, several components were added. Specifically, 0.3 grams of sucrose served as the sweetening agent, 0.001 grams of a preservative was incorporated for stability, and 0.01 grams of sodium lauryl sulfate (SLS) was included as a foaming agent. In addition, 1 milliliter of the concentrated cinnamon and clove extract was mixed with 10 milliliters of distilled water to create the final mouthwash solution.</w:t>
      </w:r>
    </w:p>
    <w:p w14:paraId="36D6DCA9" w14:textId="5B669FC1" w:rsidR="008E4BC1" w:rsidRDefault="00581FA7" w:rsidP="00997E89">
      <w:pPr>
        <w:pStyle w:val="Heading2"/>
      </w:pPr>
      <w:r>
        <w:t>Brine Shrimp Lethality Assay</w:t>
      </w:r>
    </w:p>
    <w:p w14:paraId="7584872E" w14:textId="61274A5F" w:rsidR="008E4BC1" w:rsidRDefault="00581FA7" w:rsidP="00997E89">
      <w:pPr>
        <w:pStyle w:val="Paragraph"/>
      </w:pPr>
      <w:r>
        <w:t>Commercially acquired brine shrimp eggs were utilized for this assay. The eggs were incubated in a small water tank filled with brine or seawater for a period of 48 hours to facilitate hatching. After the initial 24 hours, the resulting larvae, known as nauplii, were employed for the experimental procedures.</w:t>
      </w:r>
    </w:p>
    <w:p w14:paraId="3C64E576" w14:textId="5EC40D85" w:rsidR="008E4BC1" w:rsidRDefault="00581FA7" w:rsidP="00997E89">
      <w:pPr>
        <w:pStyle w:val="Paragraph"/>
        <w:rPr>
          <w:b/>
          <w:sz w:val="24"/>
          <w:szCs w:val="24"/>
          <w:highlight w:val="white"/>
        </w:rPr>
      </w:pPr>
      <w:r>
        <w:t xml:space="preserve">Six-well ELISA plates were prepared by adding 10–12 milliliters of saltwater solution to each well. To conduct the assay, varying volumes of the mouthwash solution (5 </w:t>
      </w:r>
      <w:proofErr w:type="spellStart"/>
      <w:r>
        <w:t>μL</w:t>
      </w:r>
      <w:proofErr w:type="spellEnd"/>
      <w:r>
        <w:t xml:space="preserve">, 10 </w:t>
      </w:r>
      <w:proofErr w:type="spellStart"/>
      <w:r>
        <w:t>μL</w:t>
      </w:r>
      <w:proofErr w:type="spellEnd"/>
      <w:r>
        <w:t xml:space="preserve">, 20 </w:t>
      </w:r>
      <w:proofErr w:type="spellStart"/>
      <w:r>
        <w:t>μL</w:t>
      </w:r>
      <w:proofErr w:type="spellEnd"/>
      <w:r>
        <w:t xml:space="preserve">, 40 </w:t>
      </w:r>
      <w:proofErr w:type="spellStart"/>
      <w:r>
        <w:t>μL</w:t>
      </w:r>
      <w:proofErr w:type="spellEnd"/>
      <w:r>
        <w:t xml:space="preserve">, and 80 </w:t>
      </w:r>
      <w:proofErr w:type="spellStart"/>
      <w:r>
        <w:t>μL</w:t>
      </w:r>
      <w:proofErr w:type="spellEnd"/>
      <w:r>
        <w:t xml:space="preserve"> for the control group) were added to separate wells, with each well receiving 10 nauplii. The plates were then incubated for a duration of 24 hours under controlled conditions. This entire procedure was repeated three times to ensure the robustness of the data, and values were obtained in triplicate. The number of deceased nauplii was determined using the formula: (number of dead nauplii / number of live nauplii) x 100, after the ELISA plates had been incubated for the specified 24-hour </w:t>
      </w:r>
      <w:proofErr w:type="spellStart"/>
      <w:r>
        <w:t>period.This</w:t>
      </w:r>
      <w:proofErr w:type="spellEnd"/>
      <w:r>
        <w:t xml:space="preserve"> has been visually represented in Figure 2.</w:t>
      </w:r>
    </w:p>
    <w:p w14:paraId="05C3ABC6" w14:textId="34E20E5F" w:rsidR="008E4BC1" w:rsidRDefault="00581FA7" w:rsidP="00997E89">
      <w:pPr>
        <w:pStyle w:val="Heading1"/>
        <w:rPr>
          <w:highlight w:val="white"/>
        </w:rPr>
      </w:pPr>
      <w:r>
        <w:rPr>
          <w:highlight w:val="white"/>
        </w:rPr>
        <w:t>RESULTS</w:t>
      </w:r>
    </w:p>
    <w:p w14:paraId="547E0D53" w14:textId="22478D4C" w:rsidR="008E4BC1" w:rsidRPr="00997E89" w:rsidRDefault="00581FA7" w:rsidP="00997E89">
      <w:pPr>
        <w:pStyle w:val="Paragraph"/>
        <w:rPr>
          <w:highlight w:val="white"/>
        </w:rPr>
      </w:pPr>
      <w:r>
        <w:rPr>
          <w:highlight w:val="white"/>
        </w:rPr>
        <w:t xml:space="preserve">The </w:t>
      </w:r>
      <w:r w:rsidRPr="00997E89">
        <w:rPr>
          <w:highlight w:val="white"/>
        </w:rPr>
        <w:t>outcomes of the investigation revealed a noteworthy relationship between mouthwash concentration and cytotoxic effects. As the concentration of the mouthwash increased, the cytotoxic impact of the cinnamon and clove ethanolic extract-based mouthwash became more pronounced when compared to the commercial mouthwash. This observed trend underscores the importance of mouthwash concentration in influencing its cytotoxic potential.</w:t>
      </w:r>
    </w:p>
    <w:p w14:paraId="02D1FE6D" w14:textId="77777777" w:rsidR="008E4BC1" w:rsidRPr="00997E89" w:rsidRDefault="00581FA7" w:rsidP="00997E89">
      <w:pPr>
        <w:pStyle w:val="Paragraph"/>
        <w:rPr>
          <w:highlight w:val="white"/>
        </w:rPr>
      </w:pPr>
      <w:r w:rsidRPr="00997E89">
        <w:rPr>
          <w:highlight w:val="white"/>
        </w:rPr>
        <w:t>These findings emphasize the diverse cytotoxic profiles that oral rinses can exhibit. This variability in cytotoxicity underscores the need for a comprehensive understanding of the composition and concentration of mouthwash formulations, particularly in their potential effects on oral cell health.</w:t>
      </w:r>
    </w:p>
    <w:p w14:paraId="4D1A43D5" w14:textId="77777777" w:rsidR="008E4BC1" w:rsidRDefault="008E4BC1">
      <w:pPr>
        <w:jc w:val="both"/>
        <w:rPr>
          <w:szCs w:val="24"/>
          <w:highlight w:val="white"/>
        </w:rPr>
      </w:pPr>
    </w:p>
    <w:p w14:paraId="7151A445" w14:textId="77777777" w:rsidR="00997E89" w:rsidRDefault="00581FA7" w:rsidP="00997E89">
      <w:pPr>
        <w:pStyle w:val="Figure"/>
        <w:rPr>
          <w:b/>
          <w:highlight w:val="white"/>
        </w:rPr>
      </w:pPr>
      <w:r>
        <w:rPr>
          <w:noProof/>
          <w:highlight w:val="white"/>
        </w:rPr>
        <w:lastRenderedPageBreak/>
        <w:drawing>
          <wp:inline distT="114300" distB="114300" distL="114300" distR="114300" wp14:anchorId="329C0910" wp14:editId="271486AD">
            <wp:extent cx="1566863" cy="2788094"/>
            <wp:effectExtent l="0" t="0" r="0" b="0"/>
            <wp:docPr id="3"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19"/>
                    <a:srcRect/>
                    <a:stretch>
                      <a:fillRect/>
                    </a:stretch>
                  </pic:blipFill>
                  <pic:spPr>
                    <a:xfrm>
                      <a:off x="0" y="0"/>
                      <a:ext cx="1566863" cy="2788094"/>
                    </a:xfrm>
                    <a:prstGeom prst="rect">
                      <a:avLst/>
                    </a:prstGeom>
                    <a:ln/>
                  </pic:spPr>
                </pic:pic>
              </a:graphicData>
            </a:graphic>
          </wp:inline>
        </w:drawing>
      </w:r>
      <w:r>
        <w:rPr>
          <w:noProof/>
          <w:highlight w:val="white"/>
        </w:rPr>
        <w:drawing>
          <wp:inline distT="114300" distB="114300" distL="114300" distR="114300" wp14:anchorId="597F68D9" wp14:editId="07E62A0C">
            <wp:extent cx="2778975" cy="2067167"/>
            <wp:effectExtent l="0" t="0" r="0" b="0"/>
            <wp:docPr id="2"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20"/>
                    <a:srcRect/>
                    <a:stretch>
                      <a:fillRect/>
                    </a:stretch>
                  </pic:blipFill>
                  <pic:spPr>
                    <a:xfrm rot="16200000">
                      <a:off x="0" y="0"/>
                      <a:ext cx="2778975" cy="2067167"/>
                    </a:xfrm>
                    <a:prstGeom prst="rect">
                      <a:avLst/>
                    </a:prstGeom>
                    <a:ln/>
                  </pic:spPr>
                </pic:pic>
              </a:graphicData>
            </a:graphic>
          </wp:inline>
        </w:drawing>
      </w:r>
      <w:r>
        <w:rPr>
          <w:noProof/>
          <w:highlight w:val="white"/>
        </w:rPr>
        <w:drawing>
          <wp:inline distT="114300" distB="114300" distL="114300" distR="114300" wp14:anchorId="23E7C057" wp14:editId="0CCA8301">
            <wp:extent cx="2096539" cy="2788500"/>
            <wp:effectExtent l="0" t="0" r="0" b="0"/>
            <wp:docPr id="4"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21"/>
                    <a:srcRect/>
                    <a:stretch>
                      <a:fillRect/>
                    </a:stretch>
                  </pic:blipFill>
                  <pic:spPr>
                    <a:xfrm>
                      <a:off x="0" y="0"/>
                      <a:ext cx="2096539" cy="2788500"/>
                    </a:xfrm>
                    <a:prstGeom prst="rect">
                      <a:avLst/>
                    </a:prstGeom>
                    <a:ln/>
                  </pic:spPr>
                </pic:pic>
              </a:graphicData>
            </a:graphic>
          </wp:inline>
        </w:drawing>
      </w:r>
    </w:p>
    <w:p w14:paraId="04E3053B" w14:textId="77777777" w:rsidR="00997E89" w:rsidRDefault="00997E89" w:rsidP="00997E89">
      <w:pPr>
        <w:pStyle w:val="Figure"/>
        <w:rPr>
          <w:b/>
          <w:highlight w:val="white"/>
        </w:rPr>
      </w:pPr>
    </w:p>
    <w:p w14:paraId="1753F581" w14:textId="77777777" w:rsidR="00997E89" w:rsidRDefault="00581FA7" w:rsidP="00997E89">
      <w:pPr>
        <w:pStyle w:val="Figure"/>
        <w:rPr>
          <w:highlight w:val="white"/>
        </w:rPr>
      </w:pPr>
      <w:r>
        <w:rPr>
          <w:b/>
          <w:highlight w:val="white"/>
        </w:rPr>
        <w:t>Figure 1.</w:t>
      </w:r>
      <w:r>
        <w:rPr>
          <w:highlight w:val="white"/>
        </w:rPr>
        <w:t xml:space="preserve"> Preparation of cinnamon and clove extract and mouthwash</w:t>
      </w:r>
    </w:p>
    <w:p w14:paraId="03A930FB" w14:textId="784F5A9B" w:rsidR="008E4BC1" w:rsidRDefault="00997E89" w:rsidP="00997E89">
      <w:pPr>
        <w:pStyle w:val="Figure"/>
        <w:rPr>
          <w:highlight w:val="white"/>
        </w:rPr>
      </w:pPr>
      <w:r w:rsidRPr="00997E89">
        <w:rPr>
          <w:noProof/>
          <w:highlight w:val="white"/>
        </w:rPr>
        <w:drawing>
          <wp:inline distT="114300" distB="114300" distL="114300" distR="114300" wp14:anchorId="1CE2F0B6" wp14:editId="4939350F">
            <wp:extent cx="3281342" cy="4095252"/>
            <wp:effectExtent l="0" t="0" r="0" b="0"/>
            <wp:docPr id="5"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22"/>
                    <a:srcRect/>
                    <a:stretch>
                      <a:fillRect/>
                    </a:stretch>
                  </pic:blipFill>
                  <pic:spPr>
                    <a:xfrm rot="5400000">
                      <a:off x="0" y="0"/>
                      <a:ext cx="3281342" cy="4095252"/>
                    </a:xfrm>
                    <a:prstGeom prst="rect">
                      <a:avLst/>
                    </a:prstGeom>
                    <a:ln/>
                  </pic:spPr>
                </pic:pic>
              </a:graphicData>
            </a:graphic>
          </wp:inline>
        </w:drawing>
      </w:r>
      <w:r w:rsidR="00581FA7">
        <w:rPr>
          <w:highlight w:val="white"/>
        </w:rPr>
        <w:t>.</w:t>
      </w:r>
    </w:p>
    <w:p w14:paraId="38B24D4B" w14:textId="77777777" w:rsidR="008E4BC1" w:rsidRDefault="00581FA7" w:rsidP="00997E89">
      <w:pPr>
        <w:pStyle w:val="FigureCaption"/>
        <w:rPr>
          <w:highlight w:val="white"/>
        </w:rPr>
      </w:pPr>
      <w:r>
        <w:rPr>
          <w:b/>
          <w:highlight w:val="white"/>
        </w:rPr>
        <w:t>Figure 2:</w:t>
      </w:r>
      <w:r>
        <w:rPr>
          <w:highlight w:val="white"/>
        </w:rPr>
        <w:t>Isolation of brine shrimp eggs and incorporation of cinnamon and clove mouthwash and commercial mouthwash.</w:t>
      </w:r>
    </w:p>
    <w:p w14:paraId="2B4C17E1" w14:textId="77777777" w:rsidR="008E4BC1" w:rsidRDefault="00581FA7" w:rsidP="00997E89">
      <w:pPr>
        <w:pStyle w:val="Figure"/>
        <w:rPr>
          <w:highlight w:val="white"/>
        </w:rPr>
      </w:pPr>
      <w:r>
        <w:rPr>
          <w:noProof/>
          <w:highlight w:val="white"/>
        </w:rPr>
        <w:lastRenderedPageBreak/>
        <w:drawing>
          <wp:inline distT="114300" distB="114300" distL="114300" distR="114300" wp14:anchorId="60B5D507" wp14:editId="3ABA55FE">
            <wp:extent cx="5943600" cy="3937000"/>
            <wp:effectExtent l="0" t="0" r="0" b="0"/>
            <wp:docPr id="1"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23"/>
                    <a:srcRect/>
                    <a:stretch>
                      <a:fillRect/>
                    </a:stretch>
                  </pic:blipFill>
                  <pic:spPr>
                    <a:xfrm>
                      <a:off x="0" y="0"/>
                      <a:ext cx="5943600" cy="3937000"/>
                    </a:xfrm>
                    <a:prstGeom prst="rect">
                      <a:avLst/>
                    </a:prstGeom>
                    <a:ln/>
                  </pic:spPr>
                </pic:pic>
              </a:graphicData>
            </a:graphic>
          </wp:inline>
        </w:drawing>
      </w:r>
    </w:p>
    <w:p w14:paraId="213CE037" w14:textId="77777777" w:rsidR="008E4BC1" w:rsidRDefault="008E4BC1">
      <w:pPr>
        <w:jc w:val="both"/>
        <w:rPr>
          <w:color w:val="212121"/>
          <w:szCs w:val="24"/>
          <w:highlight w:val="white"/>
        </w:rPr>
      </w:pPr>
    </w:p>
    <w:p w14:paraId="3C5D511E" w14:textId="5CE40CFE" w:rsidR="008E4BC1" w:rsidRDefault="00581FA7" w:rsidP="00997E89">
      <w:pPr>
        <w:pStyle w:val="FigureCaption"/>
        <w:rPr>
          <w:color w:val="212121"/>
          <w:sz w:val="24"/>
          <w:szCs w:val="24"/>
          <w:highlight w:val="white"/>
        </w:rPr>
      </w:pPr>
      <w:r>
        <w:rPr>
          <w:b/>
          <w:highlight w:val="white"/>
        </w:rPr>
        <w:t>Figure 3</w:t>
      </w:r>
      <w:r>
        <w:rPr>
          <w:highlight w:val="white"/>
        </w:rPr>
        <w:t xml:space="preserve">:Bar graph shows the cytotoxic activity of cinnamon-clove mouthwash and commercial mouthwash control against brine shrimp at various concentrations. The X axis represents the various concentrations of commercial and cinnamon-clove extract in units of </w:t>
      </w:r>
      <w:proofErr w:type="spellStart"/>
      <w:r>
        <w:rPr>
          <w:highlight w:val="white"/>
        </w:rPr>
        <w:t>μl</w:t>
      </w:r>
      <w:proofErr w:type="spellEnd"/>
      <w:r>
        <w:rPr>
          <w:highlight w:val="white"/>
        </w:rPr>
        <w:t xml:space="preserve"> and the Y axis represents the number of brine shrimps. </w:t>
      </w:r>
    </w:p>
    <w:p w14:paraId="3D162FA4" w14:textId="33D34E48" w:rsidR="008E4BC1" w:rsidRDefault="00581FA7" w:rsidP="00997E89">
      <w:pPr>
        <w:pStyle w:val="Heading1"/>
        <w:rPr>
          <w:color w:val="212121"/>
          <w:szCs w:val="24"/>
          <w:highlight w:val="white"/>
        </w:rPr>
      </w:pPr>
      <w:r>
        <w:rPr>
          <w:highlight w:val="white"/>
        </w:rPr>
        <w:t>DISCUSSION</w:t>
      </w:r>
    </w:p>
    <w:p w14:paraId="4C739BB0" w14:textId="6EF9ECE7" w:rsidR="008E4BC1" w:rsidRPr="00997E89" w:rsidRDefault="00581FA7" w:rsidP="00997E89">
      <w:pPr>
        <w:pStyle w:val="Paragraph"/>
        <w:rPr>
          <w:highlight w:val="white"/>
        </w:rPr>
      </w:pPr>
      <w:r w:rsidRPr="00997E89">
        <w:rPr>
          <w:highlight w:val="white"/>
        </w:rPr>
        <w:t xml:space="preserve">This study was undertaken to evaluate the cytotoxic activity of a mouthwash formulated with cinnamon-clove ethanolic extracts in comparison to a commercially available mouthwash. Our results revealed that the highest mortality rate was observed in the concentration range between 10μL and 20μL, as compared to the commercial mouthwash. These findings suggest that the cinnamon-clove ethanolic extract-based mouthwash may possess heightened cytotoxic properties, particularly within this concentration </w:t>
      </w:r>
      <w:proofErr w:type="spellStart"/>
      <w:r w:rsidRPr="00997E89">
        <w:rPr>
          <w:highlight w:val="white"/>
        </w:rPr>
        <w:t>range.It</w:t>
      </w:r>
      <w:proofErr w:type="spellEnd"/>
      <w:r w:rsidRPr="00997E89">
        <w:rPr>
          <w:highlight w:val="white"/>
        </w:rPr>
        <w:t xml:space="preserve"> is well-recognized that the development of dental plaque at the tooth/gingiva interface plays a pivotal role in the onset of gingival irritation and caries. Effective plaque removal is essential in preventing these oral health issues, and regular and proper tooth brushing stands as the cornerstone of this preventive approach. Toothpaste, when used for brushing, not only helps prevent decay but also aids in stain removal and the elimination of plaque</w:t>
      </w:r>
      <w:r w:rsidR="00FE48E0" w:rsidRPr="00997E89">
        <w:t>(Rafi et al., 2024)</w:t>
      </w:r>
      <w:r w:rsidRPr="00997E89">
        <w:rPr>
          <w:highlight w:val="white"/>
        </w:rPr>
        <w:t>. The quest to counteract tooth caries and periodontal disease has prompted the exploration of a diverse array of mechanical and chemical plaque management techniques.</w:t>
      </w:r>
      <w:hyperlink r:id="rId24">
        <w:r w:rsidRPr="00997E89">
          <w:rPr>
            <w:highlight w:val="white"/>
          </w:rPr>
          <w:t>(</w:t>
        </w:r>
      </w:hyperlink>
      <w:hyperlink r:id="rId25">
        <w:r w:rsidRPr="00997E89">
          <w:rPr>
            <w:highlight w:val="white"/>
          </w:rPr>
          <w:t>Anti-Inflammatory Potential of a Mouthwash Formulated Using Clove and Ginger Mediated by Zinc Oxide Nanoparticles: An In Vitro Study</w:t>
        </w:r>
      </w:hyperlink>
      <w:hyperlink r:id="rId26">
        <w:r w:rsidRPr="00997E89">
          <w:rPr>
            <w:highlight w:val="white"/>
          </w:rPr>
          <w:t>, n.d.; Ganapathy 2021; Laghari et al., 2023)</w:t>
        </w:r>
      </w:hyperlink>
      <w:r w:rsidRPr="00997E89">
        <w:rPr>
          <w:highlight w:val="white"/>
        </w:rPr>
        <w:t xml:space="preserve"> These include flossing, the use of mouthwash, and the importance of correct and frequent tooth brushing. While chemical mouthwashes are readily available on the market, they are not without their drawbacks, including the potential for toxicity, teeth discoloration, and the risk of rapid hypersensitivity reactions.</w:t>
      </w:r>
      <w:hyperlink r:id="rId27">
        <w:r w:rsidRPr="00997E89">
          <w:rPr>
            <w:highlight w:val="white"/>
          </w:rPr>
          <w:t>(</w:t>
        </w:r>
        <w:proofErr w:type="spellStart"/>
        <w:r w:rsidRPr="00997E89">
          <w:rPr>
            <w:highlight w:val="white"/>
          </w:rPr>
          <w:t>Chokkattu</w:t>
        </w:r>
        <w:proofErr w:type="spellEnd"/>
        <w:r w:rsidRPr="00997E89">
          <w:rPr>
            <w:highlight w:val="white"/>
          </w:rPr>
          <w:t xml:space="preserve"> et al., 2023; Muthuswamy Pandian et al., 2022)</w:t>
        </w:r>
      </w:hyperlink>
      <w:r w:rsidRPr="00997E89">
        <w:rPr>
          <w:highlight w:val="white"/>
        </w:rPr>
        <w:t xml:space="preserve"> As an alternative approach, medicinal plants offer the potential for creating alternative oral care </w:t>
      </w:r>
      <w:proofErr w:type="spellStart"/>
      <w:r w:rsidRPr="00997E89">
        <w:rPr>
          <w:highlight w:val="white"/>
        </w:rPr>
        <w:t>remedies.Our</w:t>
      </w:r>
      <w:proofErr w:type="spellEnd"/>
      <w:r w:rsidRPr="00997E89">
        <w:rPr>
          <w:highlight w:val="white"/>
        </w:rPr>
        <w:t xml:space="preserve"> study results are in alignment with previous research, which has highlighted the cytotoxic effects of compounds on cells. It is crucial to acknowledge that the presence of cytotoxic compounds in cells can give rise to a range of cell fates, including necrosis, which occurs when cells lose their membrane integrity and subsequently undergo cell death </w:t>
      </w:r>
      <w:hyperlink r:id="rId28">
        <w:r w:rsidRPr="00997E89">
          <w:rPr>
            <w:highlight w:val="white"/>
          </w:rPr>
          <w:t>(Fackler &amp; Grosse, 2008; Verma &amp; Muthuswamy Pandian, 2021)</w:t>
        </w:r>
      </w:hyperlink>
      <w:r w:rsidRPr="00997E89">
        <w:rPr>
          <w:highlight w:val="white"/>
        </w:rPr>
        <w:t>. It's important to note that our study primarily focused on cytotoxic activity, which should be recognized as a limitation</w:t>
      </w:r>
      <w:r w:rsidR="00FE48E0" w:rsidRPr="00997E89">
        <w:t xml:space="preserve"> (</w:t>
      </w:r>
      <w:proofErr w:type="spellStart"/>
      <w:r w:rsidR="00FE48E0" w:rsidRPr="00997E89">
        <w:t>Tuluwengjiang</w:t>
      </w:r>
      <w:proofErr w:type="spellEnd"/>
      <w:r w:rsidR="00FE48E0" w:rsidRPr="00997E89">
        <w:t xml:space="preserve"> et al., 2024)</w:t>
      </w:r>
      <w:r w:rsidRPr="00997E89">
        <w:rPr>
          <w:highlight w:val="white"/>
        </w:rPr>
        <w:t xml:space="preserve">. Future research should </w:t>
      </w:r>
      <w:r w:rsidRPr="00997E89">
        <w:rPr>
          <w:highlight w:val="white"/>
        </w:rPr>
        <w:lastRenderedPageBreak/>
        <w:t xml:space="preserve">aim to explore a broader spectrum of parameters to provide a more comprehensive understanding of the potential benefits and limitations associated with the use of cinnamon and clove ethanolic extract-based </w:t>
      </w:r>
      <w:proofErr w:type="spellStart"/>
      <w:r w:rsidRPr="00997E89">
        <w:rPr>
          <w:highlight w:val="white"/>
        </w:rPr>
        <w:t>mouthwashes.In</w:t>
      </w:r>
      <w:proofErr w:type="spellEnd"/>
      <w:r w:rsidRPr="00997E89">
        <w:rPr>
          <w:highlight w:val="white"/>
        </w:rPr>
        <w:t xml:space="preserve"> concordance with our findings, previous studies have suggested substantial cytotoxic effects of cinnamon extract on cells, in addition to its antioxidant properties. Antimicrobial mouthwash is a critical element in caries prevention, particularly for individuals at high risk, in line with caries management guidelines </w:t>
      </w:r>
      <w:hyperlink r:id="rId29">
        <w:r w:rsidRPr="00997E89">
          <w:rPr>
            <w:highlight w:val="white"/>
          </w:rPr>
          <w:t>(Seelan et al., 2015; Subramanian &amp; Harikrishnan, 2023; Verma &amp; Muthuswamy Pandian, 2021)</w:t>
        </w:r>
      </w:hyperlink>
      <w:r w:rsidRPr="00997E89">
        <w:rPr>
          <w:highlight w:val="white"/>
        </w:rPr>
        <w:t xml:space="preserve">. Natural products are increasingly gaining attention as oral care therapies alongside well-established mouthwashes such as chlorhexidine (CHX). The antibacterial activities of glycosides derived from plant products on microorganisms served as the foundational premise for this investigation </w:t>
      </w:r>
      <w:hyperlink r:id="rId30">
        <w:r w:rsidRPr="00997E89">
          <w:rPr>
            <w:highlight w:val="white"/>
          </w:rPr>
          <w:t>(Aparna et al., 2021; Bugaj et al., 2013; Solanki et al., 2023)</w:t>
        </w:r>
      </w:hyperlink>
      <w:r w:rsidRPr="00997E89">
        <w:rPr>
          <w:highlight w:val="white"/>
        </w:rPr>
        <w:t xml:space="preserve">  Analyzing the cytotoxicity of solutions that come into contact with the oral mucosa, complementing the results on antimicrobial effectiveness, is of paramount importance  </w:t>
      </w:r>
      <w:hyperlink r:id="rId31">
        <w:r w:rsidRPr="00997E89">
          <w:rPr>
            <w:highlight w:val="white"/>
          </w:rPr>
          <w:t>(Dhanvanth &amp; Maheswari, 2022; Fackler &amp; Grosse, 2008; Nivedha et al., 2021)</w:t>
        </w:r>
      </w:hyperlink>
      <w:r w:rsidRPr="00997E89">
        <w:rPr>
          <w:highlight w:val="white"/>
        </w:rPr>
        <w:t>.It is essential to acknowledge that this study focused exclusively on the antimicrobial and cytotoxic activity of the mouthwash. Further research is warranted to explore the diverse characteristics of cinnamon and clove ethanolic extract-based mouthwashes. Potential sources of error, such as those associated with counting live nauplii, should be addressed. Additionally, more in vitro and in vivo research is needed to gain a deeper understanding of the potential applications of this extract in the treatment of various illnesses, particularly as a traditional medicine that may mitigate systemic toxicity and other adverse effects. These avenues of investigation will contribute to a more comprehensive assessment of the extract's therapeutic potential.</w:t>
      </w:r>
    </w:p>
    <w:p w14:paraId="5081470D" w14:textId="05024E10" w:rsidR="008E4BC1" w:rsidRDefault="00581FA7" w:rsidP="00997E89">
      <w:pPr>
        <w:pStyle w:val="Heading1"/>
        <w:rPr>
          <w:color w:val="212121"/>
          <w:szCs w:val="24"/>
          <w:highlight w:val="white"/>
        </w:rPr>
      </w:pPr>
      <w:r>
        <w:rPr>
          <w:highlight w:val="white"/>
        </w:rPr>
        <w:t>CONCLUSION</w:t>
      </w:r>
    </w:p>
    <w:p w14:paraId="0161998D" w14:textId="40D72664" w:rsidR="008E4BC1" w:rsidRDefault="00581FA7" w:rsidP="00997E89">
      <w:pPr>
        <w:pStyle w:val="Paragraph"/>
        <w:rPr>
          <w:b/>
          <w:color w:val="212121"/>
          <w:sz w:val="24"/>
          <w:szCs w:val="24"/>
          <w:highlight w:val="white"/>
        </w:rPr>
      </w:pPr>
      <w:r>
        <w:t xml:space="preserve">The cytotoxic activity of cinnamon and clove mouthwash exhibits a notable increase as the concentration is elevated, outperforming the commercial mouthwash in this regard. This observation underscores the potential of cinnamon and clove extracts as valuable components in the formulation of oral care products with enhanced cytotoxic properties. The scope was primarily focused on cytotoxicity activity, thus leaving avenues for further exploration in terms of other potential attributes and applications of this extract-based </w:t>
      </w:r>
      <w:proofErr w:type="spellStart"/>
      <w:r>
        <w:t>mouthwash.In</w:t>
      </w:r>
      <w:proofErr w:type="spellEnd"/>
      <w:r>
        <w:t xml:space="preserve"> summary, the study's findings pave the way for further research and development in the field of oral care, presenting an opportunity to harness the potential of natural extracts, such as cinnamon and clove, in the formulation of mouthwashes that offer a new dimension of cytotoxicity. Through ongoing investigations and clinical trials, we aim to advance our knowledge and expand the applications of these extracts in the realm of oral health, promising safer and more effective solutions for the benefit of patients and practitioners alike.</w:t>
      </w:r>
    </w:p>
    <w:p w14:paraId="184C79D0" w14:textId="7F968F2C" w:rsidR="008E4BC1" w:rsidRDefault="00581FA7" w:rsidP="00997E89">
      <w:pPr>
        <w:pStyle w:val="Heading1"/>
        <w:rPr>
          <w:highlight w:val="white"/>
        </w:rPr>
      </w:pPr>
      <w:r w:rsidRPr="00997E89">
        <w:rPr>
          <w:highlight w:val="white"/>
        </w:rPr>
        <w:t>REFERENCES</w:t>
      </w:r>
    </w:p>
    <w:p w14:paraId="48E9CDE5" w14:textId="77777777" w:rsidR="008E4BC1" w:rsidRPr="00997E89" w:rsidRDefault="00581FA7" w:rsidP="00997E89">
      <w:pPr>
        <w:pStyle w:val="Reference"/>
        <w:rPr>
          <w:highlight w:val="white"/>
        </w:rPr>
      </w:pPr>
      <w:hyperlink r:id="rId32">
        <w:r w:rsidRPr="00997E89">
          <w:rPr>
            <w:highlight w:val="white"/>
          </w:rPr>
          <w:t xml:space="preserve">Adel, S. M., El-Harouni, N., &amp; Vaid, N. R. (2023). White Spot lesions: State of the art biomaterials and workflows used in prevention, progression and treatment. </w:t>
        </w:r>
      </w:hyperlink>
      <w:hyperlink r:id="rId33">
        <w:r w:rsidRPr="00997E89">
          <w:rPr>
            <w:highlight w:val="white"/>
          </w:rPr>
          <w:t>Seminars in Orthodontics</w:t>
        </w:r>
      </w:hyperlink>
      <w:hyperlink r:id="rId34">
        <w:r w:rsidRPr="00997E89">
          <w:rPr>
            <w:highlight w:val="white"/>
          </w:rPr>
          <w:t>. https://doi.org/</w:t>
        </w:r>
      </w:hyperlink>
      <w:hyperlink r:id="rId35">
        <w:r w:rsidRPr="00997E89">
          <w:rPr>
            <w:highlight w:val="white"/>
          </w:rPr>
          <w:t>10.1053/j.sodo.2023.01.002</w:t>
        </w:r>
      </w:hyperlink>
    </w:p>
    <w:p w14:paraId="4C8CAB69" w14:textId="77777777" w:rsidR="008E4BC1" w:rsidRPr="00997E89" w:rsidRDefault="00581FA7" w:rsidP="00997E89">
      <w:pPr>
        <w:pStyle w:val="Reference"/>
        <w:rPr>
          <w:highlight w:val="white"/>
        </w:rPr>
      </w:pPr>
      <w:hyperlink r:id="rId36">
        <w:r w:rsidRPr="00997E89">
          <w:rPr>
            <w:highlight w:val="white"/>
          </w:rPr>
          <w:t>Anti-inflammatory Potential of a Mouthwash Formulated Using Clove and Ginger Mediated by Zinc Oxide Nanoparticles: An In Vitro Study</w:t>
        </w:r>
      </w:hyperlink>
      <w:hyperlink r:id="rId37">
        <w:r w:rsidRPr="00997E89">
          <w:rPr>
            <w:highlight w:val="white"/>
          </w:rPr>
          <w:t>. (n.d.).</w:t>
        </w:r>
      </w:hyperlink>
    </w:p>
    <w:p w14:paraId="4B98BBCD" w14:textId="77777777" w:rsidR="008E4BC1" w:rsidRPr="00997E89" w:rsidRDefault="00581FA7" w:rsidP="00997E89">
      <w:pPr>
        <w:pStyle w:val="Reference"/>
        <w:rPr>
          <w:highlight w:val="white"/>
        </w:rPr>
      </w:pPr>
      <w:hyperlink r:id="rId38">
        <w:r w:rsidRPr="00997E89">
          <w:rPr>
            <w:highlight w:val="white"/>
          </w:rPr>
          <w:t xml:space="preserve">Aparna, J., Maiti, S., &amp; Jessy, P. (2021). Polyether ether ketone - As an alternative biomaterial for Metal Richmond crown-3-dimensional finite element analysis. </w:t>
        </w:r>
      </w:hyperlink>
      <w:hyperlink r:id="rId39">
        <w:r w:rsidRPr="00997E89">
          <w:rPr>
            <w:highlight w:val="white"/>
          </w:rPr>
          <w:t>Journal of Conservative Dentistry: JCD</w:t>
        </w:r>
      </w:hyperlink>
      <w:hyperlink r:id="rId40">
        <w:r w:rsidRPr="00997E89">
          <w:rPr>
            <w:highlight w:val="white"/>
          </w:rPr>
          <w:t xml:space="preserve">, </w:t>
        </w:r>
      </w:hyperlink>
      <w:hyperlink r:id="rId41">
        <w:r w:rsidRPr="00997E89">
          <w:rPr>
            <w:highlight w:val="white"/>
          </w:rPr>
          <w:t>24</w:t>
        </w:r>
      </w:hyperlink>
      <w:hyperlink r:id="rId42">
        <w:r w:rsidRPr="00997E89">
          <w:rPr>
            <w:highlight w:val="white"/>
          </w:rPr>
          <w:t>(6), 553–557. https://doi.org/</w:t>
        </w:r>
      </w:hyperlink>
      <w:hyperlink r:id="rId43">
        <w:r w:rsidRPr="00997E89">
          <w:rPr>
            <w:highlight w:val="white"/>
          </w:rPr>
          <w:t>10.4103/jcd.jcd_638_20</w:t>
        </w:r>
      </w:hyperlink>
    </w:p>
    <w:p w14:paraId="3D698D73" w14:textId="77777777" w:rsidR="008E4BC1" w:rsidRPr="00997E89" w:rsidRDefault="00581FA7" w:rsidP="00997E89">
      <w:pPr>
        <w:pStyle w:val="Reference"/>
        <w:rPr>
          <w:highlight w:val="white"/>
        </w:rPr>
      </w:pPr>
      <w:hyperlink r:id="rId44">
        <w:r w:rsidRPr="00997E89">
          <w:rPr>
            <w:highlight w:val="white"/>
          </w:rPr>
          <w:t xml:space="preserve">Buakaew, W., Sranujit, R. P., Noysang, C., Sangouam, S., Suphrom, N., Thongsri, Y., Potup, P., &amp; Usuwanthim, K. (2021). Evaluation of Mouthwash Containing Citrus hystrix DC., Moringa oleifera Lam. and Azadirachta indica A. Juss. Leaf Extracts on Dental Plaque and Gingivitis. In </w:t>
        </w:r>
      </w:hyperlink>
      <w:hyperlink r:id="rId45">
        <w:r w:rsidRPr="00997E89">
          <w:rPr>
            <w:highlight w:val="white"/>
          </w:rPr>
          <w:t>Plants</w:t>
        </w:r>
      </w:hyperlink>
      <w:hyperlink r:id="rId46">
        <w:r w:rsidRPr="00997E89">
          <w:rPr>
            <w:highlight w:val="white"/>
          </w:rPr>
          <w:t xml:space="preserve"> (Vol. 10, Issue 6, p. 1153). https://doi.org/</w:t>
        </w:r>
      </w:hyperlink>
      <w:hyperlink r:id="rId47">
        <w:r w:rsidRPr="00997E89">
          <w:rPr>
            <w:highlight w:val="white"/>
          </w:rPr>
          <w:t>10.3390/plants10061153</w:t>
        </w:r>
      </w:hyperlink>
    </w:p>
    <w:p w14:paraId="156456C9" w14:textId="77777777" w:rsidR="008E4BC1" w:rsidRPr="00997E89" w:rsidRDefault="00581FA7" w:rsidP="00997E89">
      <w:pPr>
        <w:pStyle w:val="Reference"/>
        <w:rPr>
          <w:highlight w:val="white"/>
        </w:rPr>
      </w:pPr>
      <w:hyperlink r:id="rId48">
        <w:r w:rsidRPr="00997E89">
          <w:rPr>
            <w:highlight w:val="white"/>
          </w:rPr>
          <w:t xml:space="preserve">Budri, P. E., Silva, N. C. C., Bonsaglia, E. C. R., Fernandes, A., Araújo, J. P., Doyama, J. T., Gonçalves, J. L., Santos, M. V., Fitzgerald-Hughes, D., &amp; Rall, V. L. M. (2015). Effect of essential oils of Syzygium aromaticum and Cinnamomum zeylanicum and their major components on biofilm production in Staphylococcus aureus strains isolated from milk of cows with mastitis. In </w:t>
        </w:r>
      </w:hyperlink>
      <w:hyperlink r:id="rId49">
        <w:r w:rsidRPr="00997E89">
          <w:rPr>
            <w:highlight w:val="white"/>
          </w:rPr>
          <w:t>Journal of Dairy Science</w:t>
        </w:r>
      </w:hyperlink>
      <w:hyperlink r:id="rId50">
        <w:r w:rsidRPr="00997E89">
          <w:rPr>
            <w:highlight w:val="white"/>
          </w:rPr>
          <w:t xml:space="preserve"> (Vol. 98, Issue 9, pp. 5899–5904). https://doi.org/</w:t>
        </w:r>
      </w:hyperlink>
      <w:hyperlink r:id="rId51">
        <w:r w:rsidRPr="00997E89">
          <w:rPr>
            <w:highlight w:val="white"/>
          </w:rPr>
          <w:t>10.3168/jds.2015-9442</w:t>
        </w:r>
      </w:hyperlink>
    </w:p>
    <w:p w14:paraId="456226F9" w14:textId="77777777" w:rsidR="008E4BC1" w:rsidRPr="00997E89" w:rsidRDefault="00581FA7" w:rsidP="00997E89">
      <w:pPr>
        <w:pStyle w:val="Reference"/>
        <w:rPr>
          <w:highlight w:val="white"/>
        </w:rPr>
      </w:pPr>
      <w:hyperlink r:id="rId52">
        <w:r w:rsidRPr="00997E89">
          <w:rPr>
            <w:highlight w:val="white"/>
          </w:rPr>
          <w:t xml:space="preserve">Bugaj, B., Leszczyńska, T., Pysz, M., Kopeć, A., Pacholarz, J., &amp; Pysz-Izdebska, K. (2013). PROFILE AND PRO-HEALTH PROPERTIES OF STEVIA REBAUDIANA BERTONI. In </w:t>
        </w:r>
      </w:hyperlink>
      <w:hyperlink r:id="rId53">
        <w:r w:rsidRPr="00997E89">
          <w:rPr>
            <w:highlight w:val="white"/>
          </w:rPr>
          <w:t>Zywnosc.Nauka.Technologia.Jakosc/Food.Science.Technology.Quality</w:t>
        </w:r>
      </w:hyperlink>
      <w:hyperlink r:id="rId54">
        <w:r w:rsidRPr="00997E89">
          <w:rPr>
            <w:highlight w:val="white"/>
          </w:rPr>
          <w:t xml:space="preserve"> (Vol. 88, Issue 3). https://doi.org/</w:t>
        </w:r>
      </w:hyperlink>
      <w:hyperlink r:id="rId55">
        <w:r w:rsidRPr="00997E89">
          <w:rPr>
            <w:highlight w:val="white"/>
          </w:rPr>
          <w:t>10.15193/zntj/2013/88/027-038</w:t>
        </w:r>
      </w:hyperlink>
    </w:p>
    <w:p w14:paraId="617E0302" w14:textId="77777777" w:rsidR="008E4BC1" w:rsidRPr="00997E89" w:rsidRDefault="00581FA7" w:rsidP="00997E89">
      <w:pPr>
        <w:pStyle w:val="Reference"/>
        <w:rPr>
          <w:highlight w:val="white"/>
        </w:rPr>
      </w:pPr>
      <w:hyperlink r:id="rId56">
        <w:r w:rsidRPr="00997E89">
          <w:rPr>
            <w:highlight w:val="white"/>
          </w:rPr>
          <w:t xml:space="preserve">Chaieb, K., Hajlaoui, H., Zmantar, T., Ben Kahla-Nakbi, A., Rouabhia, M., Mahdouani, K., &amp; Bakhrouf, A. (2007). The chemical composition and biological activity of clove essential oil,Eugenia caryophyllata (Syzigium aromaticum L. Myrtaceae): a short review. In </w:t>
        </w:r>
      </w:hyperlink>
      <w:hyperlink r:id="rId57">
        <w:r w:rsidRPr="00997E89">
          <w:rPr>
            <w:highlight w:val="white"/>
          </w:rPr>
          <w:t>Phytotherapy Research</w:t>
        </w:r>
      </w:hyperlink>
      <w:hyperlink r:id="rId58">
        <w:r w:rsidRPr="00997E89">
          <w:rPr>
            <w:highlight w:val="white"/>
          </w:rPr>
          <w:t xml:space="preserve"> (Vol. 21, Issue 6, pp. 501–506). https://doi.org/</w:t>
        </w:r>
      </w:hyperlink>
      <w:hyperlink r:id="rId59">
        <w:r w:rsidRPr="00997E89">
          <w:rPr>
            <w:highlight w:val="white"/>
          </w:rPr>
          <w:t>10.1002/ptr.2124</w:t>
        </w:r>
      </w:hyperlink>
    </w:p>
    <w:p w14:paraId="3A465ACA" w14:textId="77777777" w:rsidR="008E4BC1" w:rsidRPr="00997E89" w:rsidRDefault="00581FA7" w:rsidP="00997E89">
      <w:pPr>
        <w:pStyle w:val="Reference"/>
        <w:rPr>
          <w:highlight w:val="white"/>
        </w:rPr>
      </w:pPr>
      <w:hyperlink r:id="rId60">
        <w:r w:rsidRPr="00997E89">
          <w:rPr>
            <w:highlight w:val="white"/>
          </w:rPr>
          <w:t xml:space="preserve">Chokkattu, J. J., Mary, D. J., Shanmugam, R., &amp; Neeharika, S. (2022). Embryonic Toxicology Evaluation of Ginger- and Clove-mediated Titanium Oxide Nanoparticles-based Dental Varnish with Zebrafish. </w:t>
        </w:r>
      </w:hyperlink>
      <w:hyperlink r:id="rId61">
        <w:r w:rsidRPr="00997E89">
          <w:rPr>
            <w:highlight w:val="white"/>
          </w:rPr>
          <w:t>The Journal of Contemporary Dental Practice</w:t>
        </w:r>
      </w:hyperlink>
      <w:hyperlink r:id="rId62">
        <w:r w:rsidRPr="00997E89">
          <w:rPr>
            <w:highlight w:val="white"/>
          </w:rPr>
          <w:t xml:space="preserve">, </w:t>
        </w:r>
      </w:hyperlink>
      <w:hyperlink r:id="rId63">
        <w:r w:rsidRPr="00997E89">
          <w:rPr>
            <w:highlight w:val="white"/>
          </w:rPr>
          <w:t>23</w:t>
        </w:r>
      </w:hyperlink>
      <w:hyperlink r:id="rId64">
        <w:r w:rsidRPr="00997E89">
          <w:rPr>
            <w:highlight w:val="white"/>
          </w:rPr>
          <w:t>(11), 1157–1162. https://doi.org/</w:t>
        </w:r>
      </w:hyperlink>
      <w:hyperlink r:id="rId65">
        <w:r w:rsidRPr="00997E89">
          <w:rPr>
            <w:highlight w:val="white"/>
          </w:rPr>
          <w:t>10.5005/jp-journals-10024-3436</w:t>
        </w:r>
      </w:hyperlink>
    </w:p>
    <w:p w14:paraId="3815C2E9" w14:textId="77777777" w:rsidR="008E4BC1" w:rsidRPr="00997E89" w:rsidRDefault="00581FA7" w:rsidP="00997E89">
      <w:pPr>
        <w:pStyle w:val="Reference"/>
        <w:rPr>
          <w:highlight w:val="white"/>
        </w:rPr>
      </w:pPr>
      <w:hyperlink r:id="rId66">
        <w:r w:rsidRPr="00997E89">
          <w:rPr>
            <w:highlight w:val="white"/>
          </w:rPr>
          <w:t xml:space="preserve">Chokkattu, J. J., Neeharika, S., &amp; Rameshkrishnan, M. (2023). Applications of nanomaterials in dentistry: A review. </w:t>
        </w:r>
      </w:hyperlink>
      <w:hyperlink r:id="rId67">
        <w:r w:rsidRPr="00997E89">
          <w:rPr>
            <w:highlight w:val="white"/>
          </w:rPr>
          <w:t>Journal of International Society of Preventive &amp; Community Dentistry</w:t>
        </w:r>
      </w:hyperlink>
      <w:hyperlink r:id="rId68">
        <w:r w:rsidRPr="00997E89">
          <w:rPr>
            <w:highlight w:val="white"/>
          </w:rPr>
          <w:t xml:space="preserve">, </w:t>
        </w:r>
      </w:hyperlink>
      <w:hyperlink r:id="rId69">
        <w:r w:rsidRPr="00997E89">
          <w:rPr>
            <w:highlight w:val="white"/>
          </w:rPr>
          <w:t>13</w:t>
        </w:r>
      </w:hyperlink>
      <w:hyperlink r:id="rId70">
        <w:r w:rsidRPr="00997E89">
          <w:rPr>
            <w:highlight w:val="white"/>
          </w:rPr>
          <w:t>(1), 32–41. https://doi.org/</w:t>
        </w:r>
      </w:hyperlink>
      <w:hyperlink r:id="rId71">
        <w:r w:rsidRPr="00997E89">
          <w:rPr>
            <w:highlight w:val="white"/>
          </w:rPr>
          <w:t>10.4103/jispcd.JISPCD_175_22</w:t>
        </w:r>
      </w:hyperlink>
    </w:p>
    <w:p w14:paraId="35E34215" w14:textId="77777777" w:rsidR="008E4BC1" w:rsidRPr="00997E89" w:rsidRDefault="00581FA7" w:rsidP="00997E89">
      <w:pPr>
        <w:pStyle w:val="Reference"/>
        <w:rPr>
          <w:highlight w:val="white"/>
        </w:rPr>
      </w:pPr>
      <w:hyperlink r:id="rId72">
        <w:r w:rsidRPr="00997E89">
          <w:rPr>
            <w:highlight w:val="white"/>
          </w:rPr>
          <w:t xml:space="preserve">Cytotoxic and Antimicrobial Effects of Herbal Formulation (Ficus </w:t>
        </w:r>
        <w:proofErr w:type="spellStart"/>
        <w:r w:rsidRPr="00997E89">
          <w:rPr>
            <w:highlight w:val="white"/>
          </w:rPr>
          <w:t>benghalenis</w:t>
        </w:r>
        <w:proofErr w:type="spellEnd"/>
        <w:r w:rsidRPr="00997E89">
          <w:rPr>
            <w:highlight w:val="white"/>
          </w:rPr>
          <w:t xml:space="preserve">, </w:t>
        </w:r>
        <w:proofErr w:type="spellStart"/>
        <w:r w:rsidRPr="00997E89">
          <w:rPr>
            <w:highlight w:val="white"/>
          </w:rPr>
          <w:t>Azadirachta</w:t>
        </w:r>
        <w:proofErr w:type="spellEnd"/>
        <w:r w:rsidRPr="00997E89">
          <w:rPr>
            <w:highlight w:val="white"/>
          </w:rPr>
          <w:t xml:space="preserve"> indica and </w:t>
        </w:r>
        <w:proofErr w:type="spellStart"/>
        <w:r w:rsidRPr="00997E89">
          <w:rPr>
            <w:highlight w:val="white"/>
          </w:rPr>
          <w:t>Menthapiperita</w:t>
        </w:r>
        <w:proofErr w:type="spellEnd"/>
        <w:r w:rsidRPr="00997E89">
          <w:rPr>
            <w:highlight w:val="white"/>
          </w:rPr>
          <w:t>) Based Mouthwash</w:t>
        </w:r>
      </w:hyperlink>
      <w:hyperlink r:id="rId73">
        <w:r w:rsidRPr="00997E89">
          <w:rPr>
            <w:highlight w:val="white"/>
          </w:rPr>
          <w:t>. (n.d.).</w:t>
        </w:r>
      </w:hyperlink>
    </w:p>
    <w:p w14:paraId="6A6AE682" w14:textId="77777777" w:rsidR="008E4BC1" w:rsidRPr="00997E89" w:rsidRDefault="00581FA7" w:rsidP="00997E89">
      <w:pPr>
        <w:pStyle w:val="Reference"/>
        <w:rPr>
          <w:highlight w:val="white"/>
        </w:rPr>
      </w:pPr>
      <w:hyperlink r:id="rId74">
        <w:r w:rsidRPr="00997E89">
          <w:rPr>
            <w:highlight w:val="white"/>
          </w:rPr>
          <w:t xml:space="preserve">Dhanvanth, M., &amp; Maheswari, T. N. U. (2022). Topical herbal therapeutic formulation used in the management of oral potentially malignant disorders – A systematic review. </w:t>
        </w:r>
      </w:hyperlink>
      <w:hyperlink r:id="rId75">
        <w:r w:rsidRPr="00997E89">
          <w:rPr>
            <w:highlight w:val="white"/>
          </w:rPr>
          <w:t>Journal of Indian Academy of Oral Medicine and Radiology</w:t>
        </w:r>
      </w:hyperlink>
      <w:hyperlink r:id="rId76">
        <w:r w:rsidRPr="00997E89">
          <w:rPr>
            <w:highlight w:val="white"/>
          </w:rPr>
          <w:t xml:space="preserve">, </w:t>
        </w:r>
      </w:hyperlink>
      <w:hyperlink r:id="rId77">
        <w:r w:rsidRPr="00997E89">
          <w:rPr>
            <w:highlight w:val="white"/>
          </w:rPr>
          <w:t>34</w:t>
        </w:r>
      </w:hyperlink>
      <w:hyperlink r:id="rId78">
        <w:r w:rsidRPr="00997E89">
          <w:rPr>
            <w:highlight w:val="white"/>
          </w:rPr>
          <w:t>(2), 223–227. https://doi.org/</w:t>
        </w:r>
      </w:hyperlink>
      <w:hyperlink r:id="rId79">
        <w:r w:rsidRPr="00997E89">
          <w:rPr>
            <w:highlight w:val="white"/>
          </w:rPr>
          <w:t>10.4103/jiaomr.jiaomr_101_21</w:t>
        </w:r>
      </w:hyperlink>
    </w:p>
    <w:p w14:paraId="221A02FD" w14:textId="77777777" w:rsidR="008E4BC1" w:rsidRPr="00997E89" w:rsidRDefault="00581FA7" w:rsidP="00997E89">
      <w:pPr>
        <w:pStyle w:val="Reference"/>
        <w:rPr>
          <w:highlight w:val="white"/>
        </w:rPr>
      </w:pPr>
      <w:hyperlink r:id="rId80">
        <w:r w:rsidRPr="00997E89">
          <w:rPr>
            <w:highlight w:val="white"/>
          </w:rPr>
          <w:t xml:space="preserve">Elgamily, H., Mosallam, O., El-Sayed, H., &amp; Mosallam, R. (2018). Antibacterial effectiveness of probiotic-based experimental mouthwash against cariogenic pathogen: An in vitro study. In </w:t>
        </w:r>
      </w:hyperlink>
      <w:hyperlink r:id="rId81">
        <w:r w:rsidRPr="00997E89">
          <w:rPr>
            <w:highlight w:val="white"/>
          </w:rPr>
          <w:t>European Journal of Dentistry</w:t>
        </w:r>
      </w:hyperlink>
      <w:hyperlink r:id="rId82">
        <w:r w:rsidRPr="00997E89">
          <w:rPr>
            <w:highlight w:val="white"/>
          </w:rPr>
          <w:t xml:space="preserve"> (Vol. 12, Issue 01, pp. 007–014). https://doi.org/</w:t>
        </w:r>
      </w:hyperlink>
      <w:hyperlink r:id="rId83">
        <w:r w:rsidRPr="00997E89">
          <w:rPr>
            <w:highlight w:val="white"/>
          </w:rPr>
          <w:t>10.4103/ejd.ejd_253_17</w:t>
        </w:r>
      </w:hyperlink>
    </w:p>
    <w:p w14:paraId="5AF15DC1" w14:textId="77777777" w:rsidR="008E4BC1" w:rsidRPr="00997E89" w:rsidRDefault="00581FA7" w:rsidP="00997E89">
      <w:pPr>
        <w:pStyle w:val="Reference"/>
        <w:rPr>
          <w:highlight w:val="white"/>
        </w:rPr>
      </w:pPr>
      <w:hyperlink r:id="rId84">
        <w:r w:rsidRPr="00997E89">
          <w:rPr>
            <w:highlight w:val="white"/>
          </w:rPr>
          <w:t xml:space="preserve">Fackler, O. T., &amp; Grosse, R. (2008). Cell motility through plasma membrane blebbing. </w:t>
        </w:r>
      </w:hyperlink>
      <w:hyperlink r:id="rId85">
        <w:r w:rsidRPr="00997E89">
          <w:rPr>
            <w:highlight w:val="white"/>
          </w:rPr>
          <w:t>The Journal of Cell Biology</w:t>
        </w:r>
      </w:hyperlink>
      <w:hyperlink r:id="rId86">
        <w:r w:rsidRPr="00997E89">
          <w:rPr>
            <w:highlight w:val="white"/>
          </w:rPr>
          <w:t xml:space="preserve">, </w:t>
        </w:r>
      </w:hyperlink>
      <w:hyperlink r:id="rId87">
        <w:r w:rsidRPr="00997E89">
          <w:rPr>
            <w:highlight w:val="white"/>
          </w:rPr>
          <w:t>181</w:t>
        </w:r>
      </w:hyperlink>
      <w:hyperlink r:id="rId88">
        <w:r w:rsidRPr="00997E89">
          <w:rPr>
            <w:highlight w:val="white"/>
          </w:rPr>
          <w:t>(6), 879–884. https://doi.org/</w:t>
        </w:r>
      </w:hyperlink>
      <w:hyperlink r:id="rId89">
        <w:r w:rsidRPr="00997E89">
          <w:rPr>
            <w:highlight w:val="white"/>
          </w:rPr>
          <w:t>10.1083/jcb.200802081</w:t>
        </w:r>
      </w:hyperlink>
    </w:p>
    <w:p w14:paraId="78A697A4" w14:textId="77777777" w:rsidR="008E4BC1" w:rsidRPr="00997E89" w:rsidRDefault="00581FA7" w:rsidP="00997E89">
      <w:pPr>
        <w:pStyle w:val="Reference"/>
        <w:rPr>
          <w:highlight w:val="white"/>
        </w:rPr>
      </w:pPr>
      <w:hyperlink r:id="rId90">
        <w:r w:rsidRPr="00997E89">
          <w:rPr>
            <w:highlight w:val="white"/>
          </w:rPr>
          <w:t xml:space="preserve">Ganapathy, D (2021). Awareness of hazards caused by long-term usage of polyethylene terephthalate (PET) bottles. </w:t>
        </w:r>
      </w:hyperlink>
      <w:hyperlink r:id="rId91">
        <w:r w:rsidRPr="00997E89">
          <w:rPr>
            <w:highlight w:val="white"/>
          </w:rPr>
          <w:t>International Journal of Dentistry and Oral Science</w:t>
        </w:r>
      </w:hyperlink>
      <w:hyperlink r:id="rId92">
        <w:r w:rsidRPr="00997E89">
          <w:rPr>
            <w:highlight w:val="white"/>
          </w:rPr>
          <w:t>, 2976–2980. https://doi.org/</w:t>
        </w:r>
      </w:hyperlink>
      <w:hyperlink r:id="rId93">
        <w:r w:rsidRPr="00997E89">
          <w:rPr>
            <w:highlight w:val="white"/>
          </w:rPr>
          <w:t>10.19070/2377-8075-21000605</w:t>
        </w:r>
      </w:hyperlink>
    </w:p>
    <w:p w14:paraId="2A146950" w14:textId="77777777" w:rsidR="008E4BC1" w:rsidRPr="00997E89" w:rsidRDefault="00581FA7" w:rsidP="00997E89">
      <w:pPr>
        <w:pStyle w:val="Reference"/>
        <w:rPr>
          <w:highlight w:val="white"/>
        </w:rPr>
      </w:pPr>
      <w:hyperlink r:id="rId94">
        <w:r w:rsidRPr="00997E89">
          <w:rPr>
            <w:highlight w:val="white"/>
          </w:rPr>
          <w:t xml:space="preserve">Goldberg, M. (2016). From the Initial Carious Lesion of Enamel to the Early Development of Coronal Dentin Carious Lesion. In </w:t>
        </w:r>
      </w:hyperlink>
      <w:hyperlink r:id="rId95">
        <w:r w:rsidRPr="00997E89">
          <w:rPr>
            <w:highlight w:val="white"/>
          </w:rPr>
          <w:t>Understanding Dental Caries</w:t>
        </w:r>
      </w:hyperlink>
      <w:hyperlink r:id="rId96">
        <w:r w:rsidRPr="00997E89">
          <w:rPr>
            <w:highlight w:val="white"/>
          </w:rPr>
          <w:t xml:space="preserve"> (pp. 63–71). https://doi.org/</w:t>
        </w:r>
      </w:hyperlink>
      <w:hyperlink r:id="rId97">
        <w:r w:rsidRPr="00997E89">
          <w:rPr>
            <w:highlight w:val="white"/>
          </w:rPr>
          <w:t>10.1007/978-3-319-30552-3_7</w:t>
        </w:r>
      </w:hyperlink>
    </w:p>
    <w:p w14:paraId="6C18E9EB" w14:textId="77777777" w:rsidR="008E4BC1" w:rsidRPr="00997E89" w:rsidRDefault="00581FA7" w:rsidP="00997E89">
      <w:pPr>
        <w:pStyle w:val="Reference"/>
        <w:rPr>
          <w:highlight w:val="white"/>
        </w:rPr>
      </w:pPr>
      <w:hyperlink r:id="rId98">
        <w:r w:rsidRPr="00997E89">
          <w:rPr>
            <w:highlight w:val="white"/>
          </w:rPr>
          <w:t xml:space="preserve">Hili, P., Evans, C. S., &amp; Veness, R. G. (1997). Antimicrobial action of essential oils: the effect of dimethylsulphoxide on the activity of cinnamon oil. </w:t>
        </w:r>
      </w:hyperlink>
      <w:hyperlink r:id="rId99">
        <w:r w:rsidRPr="00997E89">
          <w:rPr>
            <w:highlight w:val="white"/>
          </w:rPr>
          <w:t>Letters in Applied Microbiology</w:t>
        </w:r>
      </w:hyperlink>
      <w:hyperlink r:id="rId100">
        <w:r w:rsidRPr="00997E89">
          <w:rPr>
            <w:highlight w:val="white"/>
          </w:rPr>
          <w:t xml:space="preserve">, </w:t>
        </w:r>
      </w:hyperlink>
      <w:hyperlink r:id="rId101">
        <w:r w:rsidRPr="00997E89">
          <w:rPr>
            <w:highlight w:val="white"/>
          </w:rPr>
          <w:t>24</w:t>
        </w:r>
      </w:hyperlink>
      <w:hyperlink r:id="rId102">
        <w:r w:rsidRPr="00997E89">
          <w:rPr>
            <w:highlight w:val="white"/>
          </w:rPr>
          <w:t>(4), 269–275. https://doi.org/</w:t>
        </w:r>
      </w:hyperlink>
      <w:hyperlink r:id="rId103">
        <w:r w:rsidRPr="00997E89">
          <w:rPr>
            <w:highlight w:val="white"/>
          </w:rPr>
          <w:t>10.1046/j.1472-765x.1997.00073.x</w:t>
        </w:r>
      </w:hyperlink>
    </w:p>
    <w:p w14:paraId="12D2BDA2" w14:textId="77777777" w:rsidR="008E4BC1" w:rsidRPr="00997E89" w:rsidRDefault="00581FA7" w:rsidP="00997E89">
      <w:pPr>
        <w:pStyle w:val="Reference"/>
        <w:rPr>
          <w:highlight w:val="white"/>
        </w:rPr>
      </w:pPr>
      <w:hyperlink r:id="rId104">
        <w:r w:rsidRPr="00997E89">
          <w:rPr>
            <w:highlight w:val="white"/>
          </w:rPr>
          <w:t xml:space="preserve">Jain, R. K., &amp; Verma, P. (2022). Visual assessment of extent of White Spot lesions in subjects treated with fixed orthodontic appliances: A retrospective study. </w:t>
        </w:r>
      </w:hyperlink>
      <w:hyperlink r:id="rId105">
        <w:r w:rsidRPr="00997E89">
          <w:rPr>
            <w:highlight w:val="white"/>
          </w:rPr>
          <w:t>World Journal of Dentistry</w:t>
        </w:r>
      </w:hyperlink>
      <w:hyperlink r:id="rId106">
        <w:r w:rsidRPr="00997E89">
          <w:rPr>
            <w:highlight w:val="white"/>
          </w:rPr>
          <w:t xml:space="preserve">, </w:t>
        </w:r>
      </w:hyperlink>
      <w:hyperlink r:id="rId107">
        <w:r w:rsidRPr="00997E89">
          <w:rPr>
            <w:highlight w:val="white"/>
          </w:rPr>
          <w:t>13</w:t>
        </w:r>
      </w:hyperlink>
      <w:hyperlink r:id="rId108">
        <w:r w:rsidRPr="00997E89">
          <w:rPr>
            <w:highlight w:val="white"/>
          </w:rPr>
          <w:t>(3), 245–249. https://doi.org/</w:t>
        </w:r>
      </w:hyperlink>
      <w:hyperlink r:id="rId109">
        <w:r w:rsidRPr="00997E89">
          <w:rPr>
            <w:highlight w:val="white"/>
          </w:rPr>
          <w:t>10.5005/jp-journals-10015-2042</w:t>
        </w:r>
      </w:hyperlink>
    </w:p>
    <w:p w14:paraId="39C19AA3" w14:textId="77777777" w:rsidR="008E4BC1" w:rsidRPr="00997E89" w:rsidRDefault="00581FA7" w:rsidP="00997E89">
      <w:pPr>
        <w:pStyle w:val="Reference"/>
        <w:rPr>
          <w:highlight w:val="white"/>
        </w:rPr>
      </w:pPr>
      <w:hyperlink r:id="rId110">
        <w:r w:rsidRPr="00997E89">
          <w:rPr>
            <w:highlight w:val="white"/>
          </w:rPr>
          <w:t xml:space="preserve">Kammon, A. (2019). In Vitro Antimicrobial Activity of Clove Oil against Gram Negative Bacteria Isolated from Chickens. In </w:t>
        </w:r>
      </w:hyperlink>
      <w:hyperlink r:id="rId111">
        <w:r w:rsidRPr="00997E89">
          <w:rPr>
            <w:highlight w:val="white"/>
          </w:rPr>
          <w:t>Approaches in Poultry, Dairy &amp; Veterinary Sciences</w:t>
        </w:r>
      </w:hyperlink>
      <w:hyperlink r:id="rId112">
        <w:r w:rsidRPr="00997E89">
          <w:rPr>
            <w:highlight w:val="white"/>
          </w:rPr>
          <w:t xml:space="preserve"> (Vol. 6, Issue 2). https://doi.org/</w:t>
        </w:r>
      </w:hyperlink>
      <w:hyperlink r:id="rId113">
        <w:r w:rsidRPr="00997E89">
          <w:rPr>
            <w:highlight w:val="white"/>
          </w:rPr>
          <w:t>10.31031/apdv.2019.06.000635</w:t>
        </w:r>
      </w:hyperlink>
    </w:p>
    <w:p w14:paraId="53562E30" w14:textId="77777777" w:rsidR="008E4BC1" w:rsidRPr="00997E89" w:rsidRDefault="00581FA7" w:rsidP="00997E89">
      <w:pPr>
        <w:pStyle w:val="Reference"/>
        <w:rPr>
          <w:highlight w:val="white"/>
        </w:rPr>
      </w:pPr>
      <w:hyperlink r:id="rId114">
        <w:r w:rsidRPr="00997E89">
          <w:rPr>
            <w:highlight w:val="white"/>
          </w:rPr>
          <w:t xml:space="preserve">Laghari, I. A., Pandey, A. K., Samykano, M., Aljafari, B., Kadirgama, K., Sharma, K., &amp; Tyagi, V. V. (2023). Thermal energy harvesting of highly conductive graphene-enhanced paraffin phase change material. </w:t>
        </w:r>
      </w:hyperlink>
      <w:hyperlink r:id="rId115">
        <w:r w:rsidRPr="00997E89">
          <w:rPr>
            <w:highlight w:val="white"/>
          </w:rPr>
          <w:t>Journal of Thermal Analysis and Calorimetry</w:t>
        </w:r>
      </w:hyperlink>
      <w:hyperlink r:id="rId116">
        <w:r w:rsidRPr="00997E89">
          <w:rPr>
            <w:highlight w:val="white"/>
          </w:rPr>
          <w:t xml:space="preserve">, </w:t>
        </w:r>
      </w:hyperlink>
      <w:hyperlink r:id="rId117">
        <w:r w:rsidRPr="00997E89">
          <w:rPr>
            <w:highlight w:val="white"/>
          </w:rPr>
          <w:t>148</w:t>
        </w:r>
      </w:hyperlink>
      <w:hyperlink r:id="rId118">
        <w:r w:rsidRPr="00997E89">
          <w:rPr>
            <w:highlight w:val="white"/>
          </w:rPr>
          <w:t>(18), 9391–9402. https://doi.org/</w:t>
        </w:r>
      </w:hyperlink>
      <w:hyperlink r:id="rId119">
        <w:r w:rsidRPr="00997E89">
          <w:rPr>
            <w:highlight w:val="white"/>
          </w:rPr>
          <w:t>10.1007/s10973-023-12336-5</w:t>
        </w:r>
      </w:hyperlink>
    </w:p>
    <w:p w14:paraId="2C36D283" w14:textId="77777777" w:rsidR="008E4BC1" w:rsidRPr="00997E89" w:rsidRDefault="00581FA7" w:rsidP="00997E89">
      <w:pPr>
        <w:pStyle w:val="Reference"/>
        <w:rPr>
          <w:highlight w:val="white"/>
        </w:rPr>
      </w:pPr>
      <w:hyperlink r:id="rId120">
        <w:r w:rsidRPr="00997E89">
          <w:rPr>
            <w:highlight w:val="white"/>
          </w:rPr>
          <w:t xml:space="preserve">Marsh, P. D. (1993). Antimicrobial strategies in the prevention of dental caries. </w:t>
        </w:r>
      </w:hyperlink>
      <w:hyperlink r:id="rId121">
        <w:r w:rsidRPr="00997E89">
          <w:rPr>
            <w:highlight w:val="white"/>
          </w:rPr>
          <w:t>Caries Research</w:t>
        </w:r>
      </w:hyperlink>
      <w:hyperlink r:id="rId122">
        <w:r w:rsidRPr="00997E89">
          <w:rPr>
            <w:highlight w:val="white"/>
          </w:rPr>
          <w:t xml:space="preserve">, </w:t>
        </w:r>
      </w:hyperlink>
      <w:hyperlink r:id="rId123">
        <w:r w:rsidRPr="00997E89">
          <w:rPr>
            <w:highlight w:val="white"/>
          </w:rPr>
          <w:t>27 Suppl 1</w:t>
        </w:r>
      </w:hyperlink>
      <w:hyperlink r:id="rId124">
        <w:r w:rsidRPr="00997E89">
          <w:rPr>
            <w:highlight w:val="white"/>
          </w:rPr>
          <w:t>, 72–76. https://doi.org/</w:t>
        </w:r>
      </w:hyperlink>
      <w:hyperlink r:id="rId125">
        <w:r w:rsidRPr="00997E89">
          <w:rPr>
            <w:highlight w:val="white"/>
          </w:rPr>
          <w:t>10.1159/000261607</w:t>
        </w:r>
      </w:hyperlink>
    </w:p>
    <w:p w14:paraId="4E36B4B8" w14:textId="77777777" w:rsidR="008E4BC1" w:rsidRPr="00997E89" w:rsidRDefault="00581FA7" w:rsidP="00997E89">
      <w:pPr>
        <w:pStyle w:val="Reference"/>
        <w:rPr>
          <w:highlight w:val="white"/>
        </w:rPr>
      </w:pPr>
      <w:hyperlink r:id="rId126">
        <w:r w:rsidRPr="00997E89">
          <w:rPr>
            <w:highlight w:val="white"/>
          </w:rPr>
          <w:t xml:space="preserve">Marya, A., Venugopal, A., Karobari, M. I., &amp; Rokaya, D. (2022). White Spot lesions: A serious but often ignored complication of orthodontic treatment. </w:t>
        </w:r>
      </w:hyperlink>
      <w:hyperlink r:id="rId127">
        <w:r w:rsidRPr="00997E89">
          <w:rPr>
            <w:highlight w:val="white"/>
          </w:rPr>
          <w:t>The Open Dentistry Journal</w:t>
        </w:r>
      </w:hyperlink>
      <w:hyperlink r:id="rId128">
        <w:r w:rsidRPr="00997E89">
          <w:rPr>
            <w:highlight w:val="white"/>
          </w:rPr>
          <w:t xml:space="preserve">, </w:t>
        </w:r>
      </w:hyperlink>
      <w:hyperlink r:id="rId129">
        <w:r w:rsidRPr="00997E89">
          <w:rPr>
            <w:highlight w:val="white"/>
          </w:rPr>
          <w:t>16</w:t>
        </w:r>
      </w:hyperlink>
      <w:hyperlink r:id="rId130">
        <w:r w:rsidRPr="00997E89">
          <w:rPr>
            <w:highlight w:val="white"/>
          </w:rPr>
          <w:t>(1). https://doi.org/</w:t>
        </w:r>
      </w:hyperlink>
      <w:hyperlink r:id="rId131">
        <w:r w:rsidRPr="00997E89">
          <w:rPr>
            <w:highlight w:val="white"/>
          </w:rPr>
          <w:t>10.2174/18742106-v16-e2202230</w:t>
        </w:r>
      </w:hyperlink>
    </w:p>
    <w:p w14:paraId="23BFDB79" w14:textId="77777777" w:rsidR="008E4BC1" w:rsidRPr="00997E89" w:rsidRDefault="00581FA7" w:rsidP="00997E89">
      <w:pPr>
        <w:pStyle w:val="Reference"/>
        <w:rPr>
          <w:highlight w:val="white"/>
        </w:rPr>
      </w:pPr>
      <w:hyperlink r:id="rId132">
        <w:r w:rsidRPr="00997E89">
          <w:rPr>
            <w:highlight w:val="white"/>
          </w:rPr>
          <w:t xml:space="preserve">Merchant, A., Ganapathy, D. M., &amp; Maiti, S. (2022). Effectiveness of local and topical anesthesia during gingival retraction. </w:t>
        </w:r>
      </w:hyperlink>
      <w:hyperlink r:id="rId133">
        <w:r w:rsidRPr="00997E89">
          <w:rPr>
            <w:highlight w:val="white"/>
          </w:rPr>
          <w:t>Brazilian Dental Science</w:t>
        </w:r>
      </w:hyperlink>
      <w:hyperlink r:id="rId134">
        <w:r w:rsidRPr="00997E89">
          <w:rPr>
            <w:highlight w:val="white"/>
          </w:rPr>
          <w:t xml:space="preserve">, </w:t>
        </w:r>
      </w:hyperlink>
      <w:hyperlink r:id="rId135">
        <w:r w:rsidRPr="00997E89">
          <w:rPr>
            <w:highlight w:val="white"/>
          </w:rPr>
          <w:t>25</w:t>
        </w:r>
      </w:hyperlink>
      <w:hyperlink r:id="rId136">
        <w:r w:rsidRPr="00997E89">
          <w:rPr>
            <w:highlight w:val="white"/>
          </w:rPr>
          <w:t>(1), e2591. https://doi.org/</w:t>
        </w:r>
      </w:hyperlink>
      <w:hyperlink r:id="rId137">
        <w:r w:rsidRPr="00997E89">
          <w:rPr>
            <w:highlight w:val="white"/>
          </w:rPr>
          <w:t>10.4322/bds.2022.e2591</w:t>
        </w:r>
      </w:hyperlink>
    </w:p>
    <w:p w14:paraId="125388A0" w14:textId="77777777" w:rsidR="008E4BC1" w:rsidRPr="00997E89" w:rsidRDefault="00581FA7" w:rsidP="00997E89">
      <w:pPr>
        <w:pStyle w:val="Reference"/>
        <w:rPr>
          <w:highlight w:val="white"/>
        </w:rPr>
      </w:pPr>
      <w:hyperlink r:id="rId138">
        <w:r w:rsidRPr="00997E89">
          <w:rPr>
            <w:highlight w:val="white"/>
          </w:rPr>
          <w:t xml:space="preserve">Muthuswamy Pandian, S., Subramanian, A. K., Ravikumar, P. A., &amp; Adel, S. M. (2022). Biomaterial testing in contemporary orthodontics: Scope, protocol and testing apparatus. </w:t>
        </w:r>
      </w:hyperlink>
      <w:hyperlink r:id="rId139">
        <w:r w:rsidRPr="00997E89">
          <w:rPr>
            <w:highlight w:val="white"/>
          </w:rPr>
          <w:t>Seminars in Orthodontics</w:t>
        </w:r>
      </w:hyperlink>
      <w:hyperlink r:id="rId140">
        <w:r w:rsidRPr="00997E89">
          <w:rPr>
            <w:highlight w:val="white"/>
          </w:rPr>
          <w:t>. https://doi.org/</w:t>
        </w:r>
      </w:hyperlink>
      <w:hyperlink r:id="rId141">
        <w:r w:rsidRPr="00997E89">
          <w:rPr>
            <w:highlight w:val="white"/>
          </w:rPr>
          <w:t>10.1053/j.sodo.2022.12.011</w:t>
        </w:r>
      </w:hyperlink>
    </w:p>
    <w:p w14:paraId="29AD2989" w14:textId="77777777" w:rsidR="008E4BC1" w:rsidRPr="00997E89" w:rsidRDefault="00581FA7" w:rsidP="00997E89">
      <w:pPr>
        <w:pStyle w:val="Reference"/>
        <w:rPr>
          <w:highlight w:val="white"/>
        </w:rPr>
      </w:pPr>
      <w:hyperlink r:id="rId142">
        <w:r w:rsidRPr="00997E89">
          <w:rPr>
            <w:highlight w:val="white"/>
          </w:rPr>
          <w:t xml:space="preserve">Nivedha, V. M., Priyadarshini, R., Rajeshkumar, S., &amp; Sinduja, P. (2021). Anti-diabetic and Antioxidant Activity of Pterocarpus santalinus and Stevia Herbal Formulation. In </w:t>
        </w:r>
      </w:hyperlink>
      <w:hyperlink r:id="rId143">
        <w:r w:rsidRPr="00997E89">
          <w:rPr>
            <w:highlight w:val="white"/>
          </w:rPr>
          <w:t>Journal of Pharmaceutical Research International</w:t>
        </w:r>
      </w:hyperlink>
      <w:hyperlink r:id="rId144">
        <w:r w:rsidRPr="00997E89">
          <w:rPr>
            <w:highlight w:val="white"/>
          </w:rPr>
          <w:t xml:space="preserve"> (pp. 124–134). https://doi.org/</w:t>
        </w:r>
      </w:hyperlink>
      <w:hyperlink r:id="rId145">
        <w:r w:rsidRPr="00997E89">
          <w:rPr>
            <w:highlight w:val="white"/>
          </w:rPr>
          <w:t>10.9734/jpri/2021/v33i62b35178</w:t>
        </w:r>
      </w:hyperlink>
    </w:p>
    <w:p w14:paraId="731F2437" w14:textId="77777777" w:rsidR="008E4BC1" w:rsidRPr="00997E89" w:rsidRDefault="00581FA7" w:rsidP="00997E89">
      <w:pPr>
        <w:pStyle w:val="Reference"/>
        <w:rPr>
          <w:highlight w:val="white"/>
        </w:rPr>
      </w:pPr>
      <w:hyperlink r:id="rId146">
        <w:r w:rsidRPr="00997E89">
          <w:rPr>
            <w:highlight w:val="white"/>
          </w:rPr>
          <w:t xml:space="preserve">Pandiyan, I., Sri, S. D., Indiran, M. A., Rathinavelu, P. K., Prabakar, J., &amp; Rajeshkumar, S. (2022). Antioxidant, anti-inflammatory activity of Thymus vulgaris-mediated selenium nanoparticles: An in vitro study. </w:t>
        </w:r>
      </w:hyperlink>
      <w:hyperlink r:id="rId147">
        <w:r w:rsidRPr="00997E89">
          <w:rPr>
            <w:highlight w:val="white"/>
          </w:rPr>
          <w:t>Journal of Conservative Dentistry: JCD</w:t>
        </w:r>
      </w:hyperlink>
      <w:hyperlink r:id="rId148">
        <w:r w:rsidRPr="00997E89">
          <w:rPr>
            <w:highlight w:val="white"/>
          </w:rPr>
          <w:t xml:space="preserve">, </w:t>
        </w:r>
      </w:hyperlink>
      <w:hyperlink r:id="rId149">
        <w:r w:rsidRPr="00997E89">
          <w:rPr>
            <w:highlight w:val="white"/>
          </w:rPr>
          <w:t>25</w:t>
        </w:r>
      </w:hyperlink>
      <w:hyperlink r:id="rId150">
        <w:r w:rsidRPr="00997E89">
          <w:rPr>
            <w:highlight w:val="white"/>
          </w:rPr>
          <w:t>(3), 241–245. https://doi.org/</w:t>
        </w:r>
      </w:hyperlink>
      <w:hyperlink r:id="rId151">
        <w:r w:rsidRPr="00997E89">
          <w:rPr>
            <w:highlight w:val="white"/>
          </w:rPr>
          <w:t>10.4103/JCD.JCD_369_21</w:t>
        </w:r>
      </w:hyperlink>
    </w:p>
    <w:p w14:paraId="0CBD3BB5" w14:textId="77777777" w:rsidR="008E4BC1" w:rsidRPr="00997E89" w:rsidRDefault="00581FA7" w:rsidP="00997E89">
      <w:pPr>
        <w:pStyle w:val="Reference"/>
        <w:rPr>
          <w:highlight w:val="white"/>
        </w:rPr>
      </w:pPr>
      <w:hyperlink r:id="rId152">
        <w:r w:rsidRPr="00997E89">
          <w:rPr>
            <w:highlight w:val="white"/>
          </w:rPr>
          <w:t xml:space="preserve">Poornima, P., Krithikadatta, J., Ponraj, R. R., Velmurugan, N., &amp; Kishen, A. (2021). Biofilm formation following chitosan-based varnish or chlorhexidine-fluoride varnish application in patients undergoing fixed orthodontic </w:t>
        </w:r>
        <w:r w:rsidRPr="00997E89">
          <w:rPr>
            <w:highlight w:val="white"/>
          </w:rPr>
          <w:lastRenderedPageBreak/>
          <w:t xml:space="preserve">treatment: a double blinded randomised controlled trial. </w:t>
        </w:r>
      </w:hyperlink>
      <w:hyperlink r:id="rId153">
        <w:r w:rsidRPr="00997E89">
          <w:rPr>
            <w:highlight w:val="white"/>
          </w:rPr>
          <w:t>BMC Oral Health</w:t>
        </w:r>
      </w:hyperlink>
      <w:hyperlink r:id="rId154">
        <w:r w:rsidRPr="00997E89">
          <w:rPr>
            <w:highlight w:val="white"/>
          </w:rPr>
          <w:t xml:space="preserve">, </w:t>
        </w:r>
      </w:hyperlink>
      <w:hyperlink r:id="rId155">
        <w:r w:rsidRPr="00997E89">
          <w:rPr>
            <w:highlight w:val="white"/>
          </w:rPr>
          <w:t>21</w:t>
        </w:r>
      </w:hyperlink>
      <w:hyperlink r:id="rId156">
        <w:r w:rsidRPr="00997E89">
          <w:rPr>
            <w:highlight w:val="white"/>
          </w:rPr>
          <w:t>(1), 465. https://doi.org/</w:t>
        </w:r>
      </w:hyperlink>
      <w:hyperlink r:id="rId157">
        <w:r w:rsidRPr="00997E89">
          <w:rPr>
            <w:highlight w:val="white"/>
          </w:rPr>
          <w:t>10.1186/s12903-021-01805-8</w:t>
        </w:r>
      </w:hyperlink>
    </w:p>
    <w:p w14:paraId="52A84D9E" w14:textId="77777777" w:rsidR="00FE48E0" w:rsidRPr="00997E89" w:rsidRDefault="00FE48E0" w:rsidP="00997E89">
      <w:pPr>
        <w:pStyle w:val="Reference"/>
      </w:pPr>
      <w:r w:rsidRPr="00997E89">
        <w:t>Rafi, D. M., Lakshmi, T. V., Shirley, C. P., Ravivarman, G., &amp; Senthilkumar, G. (2024, April). Improving Prostate Cancer Diagnosis with Weakly Supervised Learning and Radiology-Confirmed Negative MRI Data. In 2024 International Conference on Inventive Computation Technologies (ICICT) (pp. 1183-1188). IEEE.</w:t>
      </w:r>
    </w:p>
    <w:p w14:paraId="1DB68F73" w14:textId="77777777" w:rsidR="008E4BC1" w:rsidRPr="00997E89" w:rsidRDefault="00581FA7" w:rsidP="00997E89">
      <w:pPr>
        <w:pStyle w:val="Reference"/>
        <w:rPr>
          <w:highlight w:val="white"/>
        </w:rPr>
      </w:pPr>
      <w:hyperlink r:id="rId158">
        <w:r w:rsidRPr="00997E89">
          <w:rPr>
            <w:highlight w:val="white"/>
          </w:rPr>
          <w:t xml:space="preserve">Ramamurthy, S., Thiagarajan, K., Varghese, S., Kumar, R., Karthick, B. P., Varadarajan, S., &amp; Balaji, T. M. (2022). Assessing the in vitro antioxidant and anti-inflammatory activity of Moringa oleifera crude extract. </w:t>
        </w:r>
      </w:hyperlink>
      <w:hyperlink r:id="rId159">
        <w:r w:rsidRPr="00997E89">
          <w:rPr>
            <w:highlight w:val="white"/>
          </w:rPr>
          <w:t>The Journal of Contemporary Dental Practice</w:t>
        </w:r>
      </w:hyperlink>
      <w:hyperlink r:id="rId160">
        <w:r w:rsidRPr="00997E89">
          <w:rPr>
            <w:highlight w:val="white"/>
          </w:rPr>
          <w:t xml:space="preserve">, </w:t>
        </w:r>
      </w:hyperlink>
      <w:hyperlink r:id="rId161">
        <w:r w:rsidRPr="00997E89">
          <w:rPr>
            <w:highlight w:val="white"/>
          </w:rPr>
          <w:t>23</w:t>
        </w:r>
      </w:hyperlink>
      <w:hyperlink r:id="rId162">
        <w:r w:rsidRPr="00997E89">
          <w:rPr>
            <w:highlight w:val="white"/>
          </w:rPr>
          <w:t>(4), 437–442. https://doi.org/</w:t>
        </w:r>
      </w:hyperlink>
      <w:hyperlink r:id="rId163">
        <w:r w:rsidRPr="00997E89">
          <w:rPr>
            <w:highlight w:val="white"/>
          </w:rPr>
          <w:t>10.5005/jp-journals-10024-3323</w:t>
        </w:r>
      </w:hyperlink>
    </w:p>
    <w:p w14:paraId="7FA9FB93" w14:textId="77777777" w:rsidR="008E4BC1" w:rsidRPr="00997E89" w:rsidRDefault="00581FA7" w:rsidP="00997E89">
      <w:pPr>
        <w:pStyle w:val="Reference"/>
        <w:rPr>
          <w:highlight w:val="white"/>
        </w:rPr>
      </w:pPr>
      <w:hyperlink r:id="rId164">
        <w:r w:rsidRPr="00997E89">
          <w:rPr>
            <w:highlight w:val="white"/>
          </w:rPr>
          <w:t xml:space="preserve">Seelan, R., Kumar, A., Maheswari, S., &amp; Raja, J. (2015). Caries management by risk assessment: A review on current strategies for caries prevention and management. In </w:t>
        </w:r>
      </w:hyperlink>
      <w:hyperlink r:id="rId165">
        <w:r w:rsidRPr="00997E89">
          <w:rPr>
            <w:highlight w:val="white"/>
          </w:rPr>
          <w:t>Journal of Pharmacy and Bioallied Sciences</w:t>
        </w:r>
      </w:hyperlink>
      <w:hyperlink r:id="rId166">
        <w:r w:rsidRPr="00997E89">
          <w:rPr>
            <w:highlight w:val="white"/>
          </w:rPr>
          <w:t xml:space="preserve"> (Vol. 7, Issue 6, p. 320). https://doi.org/</w:t>
        </w:r>
      </w:hyperlink>
      <w:hyperlink r:id="rId167">
        <w:r w:rsidRPr="00997E89">
          <w:rPr>
            <w:highlight w:val="white"/>
          </w:rPr>
          <w:t>10.4103/0975-7406.163436</w:t>
        </w:r>
      </w:hyperlink>
    </w:p>
    <w:p w14:paraId="37253D93" w14:textId="77777777" w:rsidR="008E4BC1" w:rsidRPr="00997E89" w:rsidRDefault="00581FA7" w:rsidP="00997E89">
      <w:pPr>
        <w:pStyle w:val="Reference"/>
        <w:rPr>
          <w:highlight w:val="white"/>
        </w:rPr>
      </w:pPr>
      <w:hyperlink r:id="rId168">
        <w:r w:rsidRPr="00997E89">
          <w:rPr>
            <w:highlight w:val="white"/>
          </w:rPr>
          <w:t xml:space="preserve">Solanki, L. A., Dinesh, S. P. S., Jain, R. K., &amp; Balasubramaniam, A. (2023). Effects of titanium oxide coating on the antimicrobial properties, surface characteristics, and cytotoxicity of orthodontic brackets - A systematic review and meta analysis of in-vitro studies. </w:t>
        </w:r>
      </w:hyperlink>
      <w:hyperlink r:id="rId169">
        <w:r w:rsidRPr="00997E89">
          <w:rPr>
            <w:highlight w:val="white"/>
          </w:rPr>
          <w:t>Journal of Oral Biology and Craniofacial Research</w:t>
        </w:r>
      </w:hyperlink>
      <w:hyperlink r:id="rId170">
        <w:r w:rsidRPr="00997E89">
          <w:rPr>
            <w:highlight w:val="white"/>
          </w:rPr>
          <w:t xml:space="preserve">, </w:t>
        </w:r>
      </w:hyperlink>
      <w:hyperlink r:id="rId171">
        <w:r w:rsidRPr="00997E89">
          <w:rPr>
            <w:highlight w:val="white"/>
          </w:rPr>
          <w:t>13</w:t>
        </w:r>
      </w:hyperlink>
      <w:hyperlink r:id="rId172">
        <w:r w:rsidRPr="00997E89">
          <w:rPr>
            <w:highlight w:val="white"/>
          </w:rPr>
          <w:t>(5), 553–562. https://doi.org/</w:t>
        </w:r>
      </w:hyperlink>
      <w:hyperlink r:id="rId173">
        <w:r w:rsidRPr="00997E89">
          <w:rPr>
            <w:highlight w:val="white"/>
          </w:rPr>
          <w:t>10.1016/j.jobcr.2023.05.014</w:t>
        </w:r>
      </w:hyperlink>
    </w:p>
    <w:p w14:paraId="2AB7FDF4" w14:textId="77777777" w:rsidR="008E4BC1" w:rsidRPr="00997E89" w:rsidRDefault="00581FA7" w:rsidP="00997E89">
      <w:pPr>
        <w:pStyle w:val="Reference"/>
        <w:rPr>
          <w:highlight w:val="white"/>
        </w:rPr>
      </w:pPr>
      <w:hyperlink r:id="rId174">
        <w:r w:rsidRPr="00997E89">
          <w:rPr>
            <w:highlight w:val="white"/>
          </w:rPr>
          <w:t xml:space="preserve">Sreevarun, M., Ajay, R., Suganya, G., Rakshagan, V., Bhanuchander, V., &amp; Suma, K. (2023). Formulation, configuration, and physical properties of dental composite resin containing a novel 2π + 2π photodimerized crosslinker - cinnamyl methacrylate: An in vitro research. </w:t>
        </w:r>
      </w:hyperlink>
      <w:hyperlink r:id="rId175">
        <w:r w:rsidRPr="00997E89">
          <w:rPr>
            <w:highlight w:val="white"/>
          </w:rPr>
          <w:t>The Journal of Contemporary Dental Practice</w:t>
        </w:r>
      </w:hyperlink>
      <w:hyperlink r:id="rId176">
        <w:r w:rsidRPr="00997E89">
          <w:rPr>
            <w:highlight w:val="white"/>
          </w:rPr>
          <w:t xml:space="preserve">, </w:t>
        </w:r>
      </w:hyperlink>
      <w:hyperlink r:id="rId177">
        <w:r w:rsidRPr="00997E89">
          <w:rPr>
            <w:highlight w:val="white"/>
          </w:rPr>
          <w:t>24</w:t>
        </w:r>
      </w:hyperlink>
      <w:hyperlink r:id="rId178">
        <w:r w:rsidRPr="00997E89">
          <w:rPr>
            <w:highlight w:val="white"/>
          </w:rPr>
          <w:t>(6), 364–371. https://doi.org/</w:t>
        </w:r>
      </w:hyperlink>
      <w:hyperlink r:id="rId179">
        <w:r w:rsidRPr="00997E89">
          <w:rPr>
            <w:highlight w:val="white"/>
          </w:rPr>
          <w:t>10.5005/jp-journals-10024-3480</w:t>
        </w:r>
      </w:hyperlink>
    </w:p>
    <w:p w14:paraId="6F965367" w14:textId="77777777" w:rsidR="008E4BC1" w:rsidRPr="00997E89" w:rsidRDefault="00581FA7" w:rsidP="00997E89">
      <w:pPr>
        <w:pStyle w:val="Reference"/>
        <w:rPr>
          <w:highlight w:val="white"/>
        </w:rPr>
      </w:pPr>
      <w:hyperlink r:id="rId180">
        <w:r w:rsidRPr="00997E89">
          <w:rPr>
            <w:highlight w:val="white"/>
          </w:rPr>
          <w:t xml:space="preserve">Subramanian, A., &amp; Harikrishnan, S. (2023). 3D printing in orthodontics: A narrative review. </w:t>
        </w:r>
      </w:hyperlink>
      <w:hyperlink r:id="rId181">
        <w:r w:rsidRPr="00997E89">
          <w:rPr>
            <w:highlight w:val="white"/>
          </w:rPr>
          <w:t>Journal of International Oral Health: JIOH</w:t>
        </w:r>
      </w:hyperlink>
      <w:hyperlink r:id="rId182">
        <w:r w:rsidRPr="00997E89">
          <w:rPr>
            <w:highlight w:val="white"/>
          </w:rPr>
          <w:t xml:space="preserve">, </w:t>
        </w:r>
      </w:hyperlink>
      <w:hyperlink r:id="rId183">
        <w:r w:rsidRPr="00997E89">
          <w:rPr>
            <w:highlight w:val="white"/>
          </w:rPr>
          <w:t>15</w:t>
        </w:r>
      </w:hyperlink>
      <w:hyperlink r:id="rId184">
        <w:r w:rsidRPr="00997E89">
          <w:rPr>
            <w:highlight w:val="white"/>
          </w:rPr>
          <w:t>(1), 15. https://doi.org/</w:t>
        </w:r>
      </w:hyperlink>
      <w:hyperlink r:id="rId185">
        <w:r w:rsidRPr="00997E89">
          <w:rPr>
            <w:highlight w:val="white"/>
          </w:rPr>
          <w:t>10.4103/jioh.jioh_83_22</w:t>
        </w:r>
      </w:hyperlink>
    </w:p>
    <w:p w14:paraId="750A877B" w14:textId="77777777" w:rsidR="00FE48E0" w:rsidRPr="00997E89" w:rsidRDefault="00FE48E0" w:rsidP="00997E89">
      <w:pPr>
        <w:pStyle w:val="Reference"/>
      </w:pPr>
      <w:proofErr w:type="spellStart"/>
      <w:r w:rsidRPr="00997E89">
        <w:t>Tuluwengjiang</w:t>
      </w:r>
      <w:proofErr w:type="spellEnd"/>
      <w:r w:rsidRPr="00997E89">
        <w:t xml:space="preserve">, G., Rasulova, I., Ahmed, S., </w:t>
      </w:r>
      <w:proofErr w:type="spellStart"/>
      <w:r w:rsidRPr="00997E89">
        <w:t>Kiasari</w:t>
      </w:r>
      <w:proofErr w:type="spellEnd"/>
      <w:r w:rsidRPr="00997E89">
        <w:t xml:space="preserve">, B. A., Sârbu, I., </w:t>
      </w:r>
      <w:proofErr w:type="spellStart"/>
      <w:r w:rsidRPr="00997E89">
        <w:t>Ciongradi</w:t>
      </w:r>
      <w:proofErr w:type="spellEnd"/>
      <w:r w:rsidRPr="00997E89">
        <w:t>, C. I., &amp; Samaniego, S. S. C. (2024). Dendritic cell-derived exosomes (Dex): Underlying the role of exosomes derived from diverse DC subtypes in cancer pathogenesis. Pathology-Research and Practice, 254, 155097.</w:t>
      </w:r>
    </w:p>
    <w:p w14:paraId="2FFC7DA2" w14:textId="77777777" w:rsidR="008E4BC1" w:rsidRPr="00997E89" w:rsidRDefault="00581FA7" w:rsidP="00997E89">
      <w:pPr>
        <w:pStyle w:val="Reference"/>
        <w:rPr>
          <w:highlight w:val="white"/>
        </w:rPr>
      </w:pPr>
      <w:hyperlink r:id="rId186">
        <w:r w:rsidRPr="00997E89">
          <w:rPr>
            <w:highlight w:val="white"/>
          </w:rPr>
          <w:t xml:space="preserve">Verma, P., &amp; Muthuswamy Pandian, S. (2021). Bionic effects of nano hydroxyapatite dentifrice on demineralised surface of enamel post orthodontic debonding: in-vivo split mouth study. </w:t>
        </w:r>
      </w:hyperlink>
      <w:hyperlink r:id="rId187">
        <w:r w:rsidRPr="00997E89">
          <w:rPr>
            <w:highlight w:val="white"/>
          </w:rPr>
          <w:t>Progress in Orthodontics</w:t>
        </w:r>
      </w:hyperlink>
      <w:hyperlink r:id="rId188">
        <w:r w:rsidRPr="00997E89">
          <w:rPr>
            <w:highlight w:val="white"/>
          </w:rPr>
          <w:t xml:space="preserve">, </w:t>
        </w:r>
      </w:hyperlink>
      <w:hyperlink r:id="rId189">
        <w:r w:rsidRPr="00997E89">
          <w:rPr>
            <w:highlight w:val="white"/>
          </w:rPr>
          <w:t>22</w:t>
        </w:r>
      </w:hyperlink>
      <w:hyperlink r:id="rId190">
        <w:r w:rsidRPr="00997E89">
          <w:rPr>
            <w:highlight w:val="white"/>
          </w:rPr>
          <w:t>(1), 39. https://doi.org/</w:t>
        </w:r>
      </w:hyperlink>
      <w:hyperlink r:id="rId191">
        <w:r w:rsidRPr="00997E89">
          <w:rPr>
            <w:highlight w:val="white"/>
          </w:rPr>
          <w:t>10.1186/s40510-021-00381-5</w:t>
        </w:r>
      </w:hyperlink>
    </w:p>
    <w:p w14:paraId="046C84C0" w14:textId="77777777" w:rsidR="008E4BC1" w:rsidRPr="00997E89" w:rsidRDefault="00581FA7" w:rsidP="00997E89">
      <w:pPr>
        <w:pStyle w:val="Reference"/>
        <w:rPr>
          <w:highlight w:val="white"/>
        </w:rPr>
      </w:pPr>
      <w:hyperlink r:id="rId192">
        <w:r w:rsidRPr="00997E89">
          <w:rPr>
            <w:highlight w:val="white"/>
          </w:rPr>
          <w:t xml:space="preserve">Wadhwani, V., Sivaswamy, V., &amp; Rajaraman, V. (2022). Surface roughness and marginal adaptation of stereolithography versus digital light processing three-dimensional printed resins: An in-vitro study. </w:t>
        </w:r>
      </w:hyperlink>
      <w:hyperlink r:id="rId193">
        <w:r w:rsidRPr="00997E89">
          <w:rPr>
            <w:highlight w:val="white"/>
          </w:rPr>
          <w:t>Journal of Indian Prosthodontic Society</w:t>
        </w:r>
      </w:hyperlink>
      <w:hyperlink r:id="rId194">
        <w:r w:rsidRPr="00997E89">
          <w:rPr>
            <w:highlight w:val="white"/>
          </w:rPr>
          <w:t xml:space="preserve">, </w:t>
        </w:r>
      </w:hyperlink>
      <w:hyperlink r:id="rId195">
        <w:r w:rsidRPr="00997E89">
          <w:rPr>
            <w:highlight w:val="white"/>
          </w:rPr>
          <w:t>22</w:t>
        </w:r>
      </w:hyperlink>
      <w:hyperlink r:id="rId196">
        <w:r w:rsidRPr="00997E89">
          <w:rPr>
            <w:highlight w:val="white"/>
          </w:rPr>
          <w:t>(4), 377–381. https://doi.org/</w:t>
        </w:r>
      </w:hyperlink>
      <w:hyperlink r:id="rId197">
        <w:r w:rsidRPr="00997E89">
          <w:rPr>
            <w:highlight w:val="white"/>
          </w:rPr>
          <w:t>10.4103/jips.jips_8_22</w:t>
        </w:r>
      </w:hyperlink>
    </w:p>
    <w:p w14:paraId="522D6582" w14:textId="77777777" w:rsidR="008E4BC1" w:rsidRDefault="008E4BC1">
      <w:pPr>
        <w:widowControl w:val="0"/>
        <w:pBdr>
          <w:top w:val="nil"/>
          <w:left w:val="nil"/>
          <w:bottom w:val="nil"/>
          <w:right w:val="nil"/>
          <w:between w:val="nil"/>
        </w:pBdr>
        <w:jc w:val="both"/>
        <w:rPr>
          <w:color w:val="212121"/>
          <w:szCs w:val="24"/>
          <w:highlight w:val="white"/>
        </w:rPr>
      </w:pPr>
    </w:p>
    <w:sectPr w:rsidR="008E4BC1">
      <w:headerReference w:type="default" r:id="rId198"/>
      <w:footerReference w:type="default" r:id="rId199"/>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E64A2E6" w14:textId="77777777" w:rsidR="003E0C59" w:rsidRDefault="003E0C59">
      <w:r>
        <w:separator/>
      </w:r>
    </w:p>
  </w:endnote>
  <w:endnote w:type="continuationSeparator" w:id="0">
    <w:p w14:paraId="1451FD02" w14:textId="77777777" w:rsidR="003E0C59" w:rsidRDefault="003E0C5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Latha">
    <w:panose1 w:val="02000400000000000000"/>
    <w:charset w:val="00"/>
    <w:family w:val="swiss"/>
    <w:pitch w:val="variable"/>
    <w:sig w:usb0="001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A60B06" w14:textId="77777777" w:rsidR="008E4BC1" w:rsidRDefault="008E4BC1"/>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AED6AF1" w14:textId="77777777" w:rsidR="003E0C59" w:rsidRDefault="003E0C59">
      <w:r>
        <w:separator/>
      </w:r>
    </w:p>
  </w:footnote>
  <w:footnote w:type="continuationSeparator" w:id="0">
    <w:p w14:paraId="15AF1B3F" w14:textId="77777777" w:rsidR="003E0C59" w:rsidRDefault="003E0C5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E5EA0B" w14:textId="77777777" w:rsidR="008E4BC1" w:rsidRDefault="008E4BC1"/>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2"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3"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5"/>
  </w:num>
  <w:num w:numId="2" w16cid:durableId="1623537524">
    <w:abstractNumId w:val="3"/>
  </w:num>
  <w:num w:numId="3" w16cid:durableId="333149680">
    <w:abstractNumId w:val="12"/>
  </w:num>
  <w:num w:numId="4" w16cid:durableId="1958750756">
    <w:abstractNumId w:val="7"/>
  </w:num>
  <w:num w:numId="5" w16cid:durableId="1466237890">
    <w:abstractNumId w:val="11"/>
  </w:num>
  <w:num w:numId="6" w16cid:durableId="846751398">
    <w:abstractNumId w:val="4"/>
  </w:num>
  <w:num w:numId="7" w16cid:durableId="982584711">
    <w:abstractNumId w:val="6"/>
  </w:num>
  <w:num w:numId="8" w16cid:durableId="247734440">
    <w:abstractNumId w:val="1"/>
  </w:num>
  <w:num w:numId="9" w16cid:durableId="1514879319">
    <w:abstractNumId w:val="14"/>
  </w:num>
  <w:num w:numId="10" w16cid:durableId="1383210328">
    <w:abstractNumId w:val="9"/>
  </w:num>
  <w:num w:numId="11" w16cid:durableId="1513061117">
    <w:abstractNumId w:val="13"/>
  </w:num>
  <w:num w:numId="12" w16cid:durableId="958226418">
    <w:abstractNumId w:val="10"/>
  </w:num>
  <w:num w:numId="13" w16cid:durableId="771170886">
    <w:abstractNumId w:val="5"/>
  </w:num>
  <w:num w:numId="14" w16cid:durableId="1726029251">
    <w:abstractNumId w:val="8"/>
  </w:num>
  <w:num w:numId="15" w16cid:durableId="1939214429">
    <w:abstractNumId w:val="11"/>
    <w:lvlOverride w:ilvl="0">
      <w:startOverride w:val="1"/>
    </w:lvlOverride>
  </w:num>
  <w:num w:numId="16" w16cid:durableId="957906086">
    <w:abstractNumId w:val="11"/>
    <w:lvlOverride w:ilvl="0">
      <w:startOverride w:val="1"/>
    </w:lvlOverride>
  </w:num>
  <w:num w:numId="17" w16cid:durableId="1087652185">
    <w:abstractNumId w:val="11"/>
    <w:lvlOverride w:ilvl="0">
      <w:startOverride w:val="1"/>
    </w:lvlOverride>
  </w:num>
  <w:num w:numId="18" w16cid:durableId="1054889863">
    <w:abstractNumId w:val="12"/>
    <w:lvlOverride w:ilvl="0">
      <w:startOverride w:val="1"/>
    </w:lvlOverride>
  </w:num>
  <w:num w:numId="19" w16cid:durableId="1903178079">
    <w:abstractNumId w:val="12"/>
    <w:lvlOverride w:ilvl="0">
      <w:startOverride w:val="1"/>
    </w:lvlOverride>
  </w:num>
  <w:num w:numId="20" w16cid:durableId="874267395">
    <w:abstractNumId w:val="12"/>
    <w:lvlOverride w:ilvl="0">
      <w:startOverride w:val="1"/>
    </w:lvlOverride>
  </w:num>
  <w:num w:numId="21" w16cid:durableId="1368025285">
    <w:abstractNumId w:val="12"/>
    <w:lvlOverride w:ilvl="0">
      <w:startOverride w:val="1"/>
    </w:lvlOverride>
  </w:num>
  <w:num w:numId="22" w16cid:durableId="944078796">
    <w:abstractNumId w:val="12"/>
    <w:lvlOverride w:ilvl="0">
      <w:startOverride w:val="1"/>
    </w:lvlOverride>
  </w:num>
  <w:num w:numId="23" w16cid:durableId="1653829719">
    <w:abstractNumId w:val="2"/>
  </w:num>
  <w:num w:numId="24"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attachedTemplate r:id="rId1"/>
  <w:linkStyle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4BC1"/>
    <w:rsid w:val="000123C9"/>
    <w:rsid w:val="000F62D0"/>
    <w:rsid w:val="003340BE"/>
    <w:rsid w:val="003E0C59"/>
    <w:rsid w:val="00581FA7"/>
    <w:rsid w:val="007304C9"/>
    <w:rsid w:val="008E4BC1"/>
    <w:rsid w:val="00997E89"/>
    <w:rsid w:val="00FE48E0"/>
  </w:rsids>
  <m:mathPr>
    <m:mathFont m:val="Cambria Math"/>
    <m:brkBin m:val="before"/>
    <m:brkBinSub m:val="--"/>
    <m:smallFrac m:val="0"/>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7EFE1DE"/>
  <w15:docId w15:val="{E62DF760-9363-4D0F-83EE-721AD2501C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0F62D0"/>
    <w:pPr>
      <w:spacing w:line="240" w:lineRule="auto"/>
    </w:pPr>
    <w:rPr>
      <w:rFonts w:ascii="Times New Roman" w:eastAsia="Times New Roman" w:hAnsi="Times New Roman" w:cs="Times New Roman"/>
      <w:sz w:val="24"/>
      <w:szCs w:val="20"/>
      <w:lang w:val="en-US"/>
    </w:rPr>
  </w:style>
  <w:style w:type="paragraph" w:styleId="Heading1">
    <w:name w:val="heading 1"/>
    <w:basedOn w:val="Normal"/>
    <w:next w:val="Paragraph"/>
    <w:qFormat/>
    <w:rsid w:val="000F62D0"/>
    <w:pPr>
      <w:keepNext/>
      <w:spacing w:before="240" w:after="240"/>
      <w:jc w:val="center"/>
      <w:outlineLvl w:val="0"/>
    </w:pPr>
    <w:rPr>
      <w:b/>
      <w:caps/>
    </w:rPr>
  </w:style>
  <w:style w:type="paragraph" w:styleId="Heading2">
    <w:name w:val="heading 2"/>
    <w:basedOn w:val="Normal"/>
    <w:next w:val="Paragraph"/>
    <w:qFormat/>
    <w:rsid w:val="000F62D0"/>
    <w:pPr>
      <w:keepNext/>
      <w:spacing w:before="240" w:after="240"/>
      <w:jc w:val="center"/>
      <w:outlineLvl w:val="1"/>
    </w:pPr>
    <w:rPr>
      <w:b/>
    </w:rPr>
  </w:style>
  <w:style w:type="paragraph" w:styleId="Heading3">
    <w:name w:val="heading 3"/>
    <w:basedOn w:val="Normal"/>
    <w:next w:val="Normal"/>
    <w:qFormat/>
    <w:rsid w:val="000F62D0"/>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0F62D0"/>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0F62D0"/>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paragraph" w:styleId="BalloonText">
    <w:name w:val="Balloon Text"/>
    <w:basedOn w:val="Normal"/>
    <w:link w:val="BalloonTextChar"/>
    <w:rsid w:val="000F62D0"/>
    <w:rPr>
      <w:rFonts w:ascii="Tahoma" w:hAnsi="Tahoma" w:cs="Tahoma"/>
      <w:sz w:val="16"/>
      <w:szCs w:val="16"/>
    </w:rPr>
  </w:style>
  <w:style w:type="character" w:customStyle="1" w:styleId="BalloonTextChar">
    <w:name w:val="Balloon Text Char"/>
    <w:basedOn w:val="DefaultParagraphFont"/>
    <w:link w:val="BalloonText"/>
    <w:rsid w:val="000F62D0"/>
    <w:rPr>
      <w:rFonts w:ascii="Tahoma" w:eastAsia="Times New Roman" w:hAnsi="Tahoma" w:cs="Tahoma"/>
      <w:sz w:val="16"/>
      <w:szCs w:val="16"/>
      <w:lang w:val="en-US"/>
    </w:rPr>
  </w:style>
  <w:style w:type="paragraph" w:styleId="FootnoteText">
    <w:name w:val="footnote text"/>
    <w:basedOn w:val="Normal"/>
    <w:link w:val="FootnoteTextChar"/>
    <w:semiHidden/>
    <w:rsid w:val="000F62D0"/>
    <w:rPr>
      <w:sz w:val="16"/>
    </w:rPr>
  </w:style>
  <w:style w:type="character" w:customStyle="1" w:styleId="FootnoteTextChar">
    <w:name w:val="Footnote Text Char"/>
    <w:basedOn w:val="DefaultParagraphFont"/>
    <w:link w:val="FootnoteText"/>
    <w:semiHidden/>
    <w:rsid w:val="00997E89"/>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0F62D0"/>
    <w:pPr>
      <w:spacing w:before="1200"/>
      <w:jc w:val="center"/>
    </w:pPr>
    <w:rPr>
      <w:b/>
      <w:sz w:val="36"/>
    </w:rPr>
  </w:style>
  <w:style w:type="paragraph" w:customStyle="1" w:styleId="AuthorName">
    <w:name w:val="Author Name"/>
    <w:basedOn w:val="Normal"/>
    <w:next w:val="AuthorAffiliation"/>
    <w:rsid w:val="000F62D0"/>
    <w:pPr>
      <w:spacing w:before="360" w:after="360"/>
      <w:jc w:val="center"/>
    </w:pPr>
    <w:rPr>
      <w:sz w:val="28"/>
    </w:rPr>
  </w:style>
  <w:style w:type="paragraph" w:customStyle="1" w:styleId="AuthorAffiliation">
    <w:name w:val="Author Affiliation"/>
    <w:basedOn w:val="Normal"/>
    <w:rsid w:val="000F62D0"/>
    <w:pPr>
      <w:jc w:val="center"/>
    </w:pPr>
    <w:rPr>
      <w:i/>
      <w:sz w:val="20"/>
    </w:rPr>
  </w:style>
  <w:style w:type="paragraph" w:customStyle="1" w:styleId="Abstract">
    <w:name w:val="Abstract"/>
    <w:basedOn w:val="Normal"/>
    <w:next w:val="Heading1"/>
    <w:rsid w:val="000F62D0"/>
    <w:pPr>
      <w:spacing w:before="360" w:after="360"/>
      <w:ind w:left="289" w:right="289"/>
      <w:jc w:val="both"/>
    </w:pPr>
    <w:rPr>
      <w:sz w:val="18"/>
    </w:rPr>
  </w:style>
  <w:style w:type="paragraph" w:customStyle="1" w:styleId="Paragraph">
    <w:name w:val="Paragraph"/>
    <w:basedOn w:val="Normal"/>
    <w:rsid w:val="000F62D0"/>
    <w:pPr>
      <w:ind w:firstLine="284"/>
      <w:jc w:val="both"/>
    </w:pPr>
    <w:rPr>
      <w:sz w:val="20"/>
    </w:rPr>
  </w:style>
  <w:style w:type="character" w:styleId="FootnoteReference">
    <w:name w:val="footnote reference"/>
    <w:semiHidden/>
    <w:rsid w:val="000F62D0"/>
    <w:rPr>
      <w:vertAlign w:val="superscript"/>
    </w:rPr>
  </w:style>
  <w:style w:type="paragraph" w:customStyle="1" w:styleId="Reference">
    <w:name w:val="Reference"/>
    <w:basedOn w:val="Paragraph"/>
    <w:rsid w:val="000F62D0"/>
    <w:pPr>
      <w:numPr>
        <w:numId w:val="14"/>
      </w:numPr>
      <w:ind w:left="426" w:hanging="426"/>
    </w:pPr>
  </w:style>
  <w:style w:type="paragraph" w:customStyle="1" w:styleId="FigureCaption">
    <w:name w:val="Figure Caption"/>
    <w:next w:val="Paragraph"/>
    <w:rsid w:val="000F62D0"/>
    <w:pPr>
      <w:spacing w:before="120" w:line="240" w:lineRule="auto"/>
      <w:jc w:val="center"/>
    </w:pPr>
    <w:rPr>
      <w:rFonts w:ascii="Times New Roman" w:eastAsia="Times New Roman" w:hAnsi="Times New Roman" w:cs="Times New Roman"/>
      <w:sz w:val="18"/>
      <w:szCs w:val="20"/>
      <w:lang w:val="en-US"/>
    </w:rPr>
  </w:style>
  <w:style w:type="paragraph" w:customStyle="1" w:styleId="Figure">
    <w:name w:val="Figure"/>
    <w:basedOn w:val="Paragraph"/>
    <w:rsid w:val="000F62D0"/>
    <w:pPr>
      <w:keepNext/>
      <w:ind w:firstLine="0"/>
      <w:jc w:val="center"/>
    </w:pPr>
  </w:style>
  <w:style w:type="paragraph" w:customStyle="1" w:styleId="Equation">
    <w:name w:val="Equation"/>
    <w:basedOn w:val="Paragraph"/>
    <w:rsid w:val="000F62D0"/>
    <w:pPr>
      <w:tabs>
        <w:tab w:val="center" w:pos="4320"/>
        <w:tab w:val="right" w:pos="9242"/>
      </w:tabs>
      <w:ind w:firstLine="0"/>
      <w:jc w:val="center"/>
    </w:pPr>
  </w:style>
  <w:style w:type="character" w:styleId="Hyperlink">
    <w:name w:val="Hyperlink"/>
    <w:rsid w:val="000F62D0"/>
    <w:rPr>
      <w:color w:val="0000FF"/>
      <w:u w:val="single"/>
    </w:rPr>
  </w:style>
  <w:style w:type="table" w:styleId="TableGrid">
    <w:name w:val="Table Grid"/>
    <w:basedOn w:val="TableNormal"/>
    <w:rsid w:val="000F62D0"/>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0F62D0"/>
    <w:pPr>
      <w:numPr>
        <w:numId w:val="13"/>
      </w:numPr>
      <w:ind w:left="641" w:hanging="357"/>
    </w:pPr>
  </w:style>
  <w:style w:type="paragraph" w:customStyle="1" w:styleId="AuthorEmail">
    <w:name w:val="Author Email"/>
    <w:basedOn w:val="Normal"/>
    <w:qFormat/>
    <w:rsid w:val="000F62D0"/>
    <w:pPr>
      <w:jc w:val="center"/>
    </w:pPr>
    <w:rPr>
      <w:sz w:val="20"/>
    </w:rPr>
  </w:style>
  <w:style w:type="paragraph" w:styleId="NormalWeb">
    <w:name w:val="Normal (Web)"/>
    <w:basedOn w:val="Normal"/>
    <w:uiPriority w:val="99"/>
    <w:unhideWhenUsed/>
    <w:rsid w:val="000F62D0"/>
    <w:pPr>
      <w:spacing w:before="100" w:beforeAutospacing="1" w:after="100" w:afterAutospacing="1"/>
    </w:pPr>
    <w:rPr>
      <w:szCs w:val="24"/>
      <w:lang w:val="en-GB" w:eastAsia="en-GB"/>
    </w:rPr>
  </w:style>
  <w:style w:type="character" w:styleId="Strong">
    <w:name w:val="Strong"/>
    <w:basedOn w:val="DefaultParagraphFont"/>
    <w:uiPriority w:val="22"/>
    <w:qFormat/>
    <w:rsid w:val="000F62D0"/>
    <w:rPr>
      <w:b/>
      <w:bCs/>
    </w:rPr>
  </w:style>
  <w:style w:type="character" w:styleId="Emphasis">
    <w:name w:val="Emphasis"/>
    <w:basedOn w:val="DefaultParagraphFont"/>
    <w:uiPriority w:val="20"/>
    <w:qFormat/>
    <w:rsid w:val="000F62D0"/>
    <w:rPr>
      <w:i/>
      <w:iCs/>
    </w:rPr>
  </w:style>
  <w:style w:type="paragraph" w:customStyle="1" w:styleId="TableCaption">
    <w:name w:val="Table Caption"/>
    <w:basedOn w:val="FigureCaption"/>
    <w:qFormat/>
    <w:rsid w:val="000F62D0"/>
    <w:rPr>
      <w:szCs w:val="18"/>
    </w:rPr>
  </w:style>
  <w:style w:type="paragraph" w:customStyle="1" w:styleId="Paragraphnumbered">
    <w:name w:val="Paragraph (numbered)"/>
    <w:rsid w:val="000F62D0"/>
    <w:pPr>
      <w:numPr>
        <w:numId w:val="3"/>
      </w:numPr>
      <w:spacing w:line="240" w:lineRule="auto"/>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0F62D0"/>
    <w:rPr>
      <w:color w:val="808080"/>
      <w:shd w:val="clear" w:color="auto" w:fill="E6E6E6"/>
    </w:rPr>
  </w:style>
  <w:style w:type="paragraph" w:styleId="ListParagraph">
    <w:name w:val="List Paragraph"/>
    <w:basedOn w:val="Normal"/>
    <w:uiPriority w:val="34"/>
    <w:rsid w:val="000F62D0"/>
    <w:pPr>
      <w:ind w:left="720"/>
      <w:contextualSpacing/>
    </w:pPr>
  </w:style>
  <w:style w:type="character" w:styleId="CommentReference">
    <w:name w:val="annotation reference"/>
    <w:basedOn w:val="DefaultParagraphFont"/>
    <w:semiHidden/>
    <w:unhideWhenUsed/>
    <w:rsid w:val="000F62D0"/>
    <w:rPr>
      <w:sz w:val="16"/>
      <w:szCs w:val="16"/>
    </w:rPr>
  </w:style>
  <w:style w:type="paragraph" w:styleId="CommentText">
    <w:name w:val="annotation text"/>
    <w:basedOn w:val="Normal"/>
    <w:link w:val="CommentTextChar"/>
    <w:semiHidden/>
    <w:unhideWhenUsed/>
    <w:rsid w:val="000F62D0"/>
    <w:rPr>
      <w:sz w:val="20"/>
    </w:rPr>
  </w:style>
  <w:style w:type="character" w:customStyle="1" w:styleId="CommentTextChar">
    <w:name w:val="Comment Text Char"/>
    <w:basedOn w:val="DefaultParagraphFont"/>
    <w:link w:val="CommentText"/>
    <w:semiHidden/>
    <w:rsid w:val="000F62D0"/>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0F62D0"/>
    <w:rPr>
      <w:b/>
      <w:bCs/>
    </w:rPr>
  </w:style>
  <w:style w:type="character" w:customStyle="1" w:styleId="CommentSubjectChar">
    <w:name w:val="Comment Subject Char"/>
    <w:basedOn w:val="CommentTextChar"/>
    <w:link w:val="CommentSubject"/>
    <w:semiHidden/>
    <w:rsid w:val="000F62D0"/>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paperpile.com/b/HD9805/E5i4" TargetMode="External"/><Relationship Id="rId21" Type="http://schemas.openxmlformats.org/officeDocument/2006/relationships/image" Target="media/image3.jpg"/><Relationship Id="rId42" Type="http://schemas.openxmlformats.org/officeDocument/2006/relationships/hyperlink" Target="http://paperpile.com/b/HD9805/lKGr" TargetMode="External"/><Relationship Id="rId63" Type="http://schemas.openxmlformats.org/officeDocument/2006/relationships/hyperlink" Target="http://paperpile.com/b/HD9805/4ctD" TargetMode="External"/><Relationship Id="rId84" Type="http://schemas.openxmlformats.org/officeDocument/2006/relationships/hyperlink" Target="http://paperpile.com/b/HD9805/eJzZ" TargetMode="External"/><Relationship Id="rId138" Type="http://schemas.openxmlformats.org/officeDocument/2006/relationships/hyperlink" Target="http://paperpile.com/b/HD9805/lGQo" TargetMode="External"/><Relationship Id="rId159" Type="http://schemas.openxmlformats.org/officeDocument/2006/relationships/hyperlink" Target="http://paperpile.com/b/HD9805/NPVP" TargetMode="External"/><Relationship Id="rId170" Type="http://schemas.openxmlformats.org/officeDocument/2006/relationships/hyperlink" Target="http://paperpile.com/b/HD9805/GBN4" TargetMode="External"/><Relationship Id="rId191" Type="http://schemas.openxmlformats.org/officeDocument/2006/relationships/hyperlink" Target="http://dx.doi.org/10.1186/s40510-021-00381-5" TargetMode="External"/><Relationship Id="rId107" Type="http://schemas.openxmlformats.org/officeDocument/2006/relationships/hyperlink" Target="http://paperpile.com/b/HD9805/zIxJ" TargetMode="External"/><Relationship Id="rId11" Type="http://schemas.openxmlformats.org/officeDocument/2006/relationships/hyperlink" Target="https://paperpile.com/c/HD9805/bMAt+gjBf" TargetMode="External"/><Relationship Id="rId32" Type="http://schemas.openxmlformats.org/officeDocument/2006/relationships/hyperlink" Target="http://paperpile.com/b/HD9805/7Qk8" TargetMode="External"/><Relationship Id="rId53" Type="http://schemas.openxmlformats.org/officeDocument/2006/relationships/hyperlink" Target="http://paperpile.com/b/HD9805/A2f5" TargetMode="External"/><Relationship Id="rId74" Type="http://schemas.openxmlformats.org/officeDocument/2006/relationships/hyperlink" Target="http://paperpile.com/b/HD9805/ZhwP" TargetMode="External"/><Relationship Id="rId128" Type="http://schemas.openxmlformats.org/officeDocument/2006/relationships/hyperlink" Target="http://paperpile.com/b/HD9805/Wn9b" TargetMode="External"/><Relationship Id="rId149" Type="http://schemas.openxmlformats.org/officeDocument/2006/relationships/hyperlink" Target="http://paperpile.com/b/HD9805/dZaf" TargetMode="External"/><Relationship Id="rId5" Type="http://schemas.openxmlformats.org/officeDocument/2006/relationships/footnotes" Target="footnotes.xml"/><Relationship Id="rId95" Type="http://schemas.openxmlformats.org/officeDocument/2006/relationships/hyperlink" Target="http://paperpile.com/b/HD9805/p3Fz" TargetMode="External"/><Relationship Id="rId160" Type="http://schemas.openxmlformats.org/officeDocument/2006/relationships/hyperlink" Target="http://paperpile.com/b/HD9805/NPVP" TargetMode="External"/><Relationship Id="rId181" Type="http://schemas.openxmlformats.org/officeDocument/2006/relationships/hyperlink" Target="http://paperpile.com/b/HD9805/gpSZ" TargetMode="External"/><Relationship Id="rId22" Type="http://schemas.openxmlformats.org/officeDocument/2006/relationships/image" Target="media/image4.jpg"/><Relationship Id="rId43" Type="http://schemas.openxmlformats.org/officeDocument/2006/relationships/hyperlink" Target="http://dx.doi.org/10.4103/jcd.jcd_638_20" TargetMode="External"/><Relationship Id="rId64" Type="http://schemas.openxmlformats.org/officeDocument/2006/relationships/hyperlink" Target="http://paperpile.com/b/HD9805/4ctD" TargetMode="External"/><Relationship Id="rId118" Type="http://schemas.openxmlformats.org/officeDocument/2006/relationships/hyperlink" Target="http://paperpile.com/b/HD9805/E5i4" TargetMode="External"/><Relationship Id="rId139" Type="http://schemas.openxmlformats.org/officeDocument/2006/relationships/hyperlink" Target="http://paperpile.com/b/HD9805/lGQo" TargetMode="External"/><Relationship Id="rId85" Type="http://schemas.openxmlformats.org/officeDocument/2006/relationships/hyperlink" Target="http://paperpile.com/b/HD9805/eJzZ" TargetMode="External"/><Relationship Id="rId150" Type="http://schemas.openxmlformats.org/officeDocument/2006/relationships/hyperlink" Target="http://paperpile.com/b/HD9805/dZaf" TargetMode="External"/><Relationship Id="rId171" Type="http://schemas.openxmlformats.org/officeDocument/2006/relationships/hyperlink" Target="http://paperpile.com/b/HD9805/GBN4" TargetMode="External"/><Relationship Id="rId192" Type="http://schemas.openxmlformats.org/officeDocument/2006/relationships/hyperlink" Target="http://paperpile.com/b/HD9805/1npd" TargetMode="External"/><Relationship Id="rId12" Type="http://schemas.openxmlformats.org/officeDocument/2006/relationships/hyperlink" Target="https://paperpile.com/c/HD9805/bMAt+gjBf" TargetMode="External"/><Relationship Id="rId33" Type="http://schemas.openxmlformats.org/officeDocument/2006/relationships/hyperlink" Target="http://paperpile.com/b/HD9805/7Qk8" TargetMode="External"/><Relationship Id="rId108" Type="http://schemas.openxmlformats.org/officeDocument/2006/relationships/hyperlink" Target="http://paperpile.com/b/HD9805/zIxJ" TargetMode="External"/><Relationship Id="rId129" Type="http://schemas.openxmlformats.org/officeDocument/2006/relationships/hyperlink" Target="http://paperpile.com/b/HD9805/Wn9b" TargetMode="External"/><Relationship Id="rId54" Type="http://schemas.openxmlformats.org/officeDocument/2006/relationships/hyperlink" Target="http://paperpile.com/b/HD9805/A2f5" TargetMode="External"/><Relationship Id="rId75" Type="http://schemas.openxmlformats.org/officeDocument/2006/relationships/hyperlink" Target="http://paperpile.com/b/HD9805/ZhwP" TargetMode="External"/><Relationship Id="rId96" Type="http://schemas.openxmlformats.org/officeDocument/2006/relationships/hyperlink" Target="http://paperpile.com/b/HD9805/p3Fz" TargetMode="External"/><Relationship Id="rId140" Type="http://schemas.openxmlformats.org/officeDocument/2006/relationships/hyperlink" Target="http://paperpile.com/b/HD9805/lGQo" TargetMode="External"/><Relationship Id="rId161" Type="http://schemas.openxmlformats.org/officeDocument/2006/relationships/hyperlink" Target="http://paperpile.com/b/HD9805/NPVP" TargetMode="External"/><Relationship Id="rId182" Type="http://schemas.openxmlformats.org/officeDocument/2006/relationships/hyperlink" Target="http://paperpile.com/b/HD9805/gpSZ" TargetMode="External"/><Relationship Id="rId6" Type="http://schemas.openxmlformats.org/officeDocument/2006/relationships/endnotes" Target="endnotes.xml"/><Relationship Id="rId23" Type="http://schemas.openxmlformats.org/officeDocument/2006/relationships/image" Target="media/image5.png"/><Relationship Id="rId119" Type="http://schemas.openxmlformats.org/officeDocument/2006/relationships/hyperlink" Target="http://dx.doi.org/10.1007/s10973-023-12336-5" TargetMode="External"/><Relationship Id="rId44" Type="http://schemas.openxmlformats.org/officeDocument/2006/relationships/hyperlink" Target="http://paperpile.com/b/HD9805/bMAt" TargetMode="External"/><Relationship Id="rId65" Type="http://schemas.openxmlformats.org/officeDocument/2006/relationships/hyperlink" Target="http://dx.doi.org/10.5005/jp-journals-10024-3436" TargetMode="External"/><Relationship Id="rId86" Type="http://schemas.openxmlformats.org/officeDocument/2006/relationships/hyperlink" Target="http://paperpile.com/b/HD9805/eJzZ" TargetMode="External"/><Relationship Id="rId130" Type="http://schemas.openxmlformats.org/officeDocument/2006/relationships/hyperlink" Target="http://paperpile.com/b/HD9805/Wn9b" TargetMode="External"/><Relationship Id="rId151" Type="http://schemas.openxmlformats.org/officeDocument/2006/relationships/hyperlink" Target="http://dx.doi.org/10.4103/JCD.JCD_369_21" TargetMode="External"/><Relationship Id="rId172" Type="http://schemas.openxmlformats.org/officeDocument/2006/relationships/hyperlink" Target="http://paperpile.com/b/HD9805/GBN4" TargetMode="External"/><Relationship Id="rId193" Type="http://schemas.openxmlformats.org/officeDocument/2006/relationships/hyperlink" Target="http://paperpile.com/b/HD9805/1npd" TargetMode="External"/><Relationship Id="rId13" Type="http://schemas.openxmlformats.org/officeDocument/2006/relationships/hyperlink" Target="https://paperpile.com/c/HD9805/bMAt+gjBf" TargetMode="External"/><Relationship Id="rId109" Type="http://schemas.openxmlformats.org/officeDocument/2006/relationships/hyperlink" Target="http://dx.doi.org/10.5005/jp-journals-10015-2042" TargetMode="External"/><Relationship Id="rId34" Type="http://schemas.openxmlformats.org/officeDocument/2006/relationships/hyperlink" Target="http://paperpile.com/b/HD9805/7Qk8" TargetMode="External"/><Relationship Id="rId55" Type="http://schemas.openxmlformats.org/officeDocument/2006/relationships/hyperlink" Target="http://dx.doi.org/10.15193/zntj/2013/88/027-038" TargetMode="External"/><Relationship Id="rId76" Type="http://schemas.openxmlformats.org/officeDocument/2006/relationships/hyperlink" Target="http://paperpile.com/b/HD9805/ZhwP" TargetMode="External"/><Relationship Id="rId97" Type="http://schemas.openxmlformats.org/officeDocument/2006/relationships/hyperlink" Target="http://dx.doi.org/10.1007/978-3-319-30552-3_7" TargetMode="External"/><Relationship Id="rId120" Type="http://schemas.openxmlformats.org/officeDocument/2006/relationships/hyperlink" Target="http://paperpile.com/b/HD9805/1qYv" TargetMode="External"/><Relationship Id="rId141" Type="http://schemas.openxmlformats.org/officeDocument/2006/relationships/hyperlink" Target="http://dx.doi.org/10.1053/j.sodo.2022.12.011" TargetMode="External"/><Relationship Id="rId7" Type="http://schemas.openxmlformats.org/officeDocument/2006/relationships/hyperlink" Target="mailto:vidushij60@gmail.com" TargetMode="External"/><Relationship Id="rId162" Type="http://schemas.openxmlformats.org/officeDocument/2006/relationships/hyperlink" Target="http://paperpile.com/b/HD9805/NPVP" TargetMode="External"/><Relationship Id="rId183" Type="http://schemas.openxmlformats.org/officeDocument/2006/relationships/hyperlink" Target="http://paperpile.com/b/HD9805/gpSZ" TargetMode="External"/><Relationship Id="rId2" Type="http://schemas.openxmlformats.org/officeDocument/2006/relationships/styles" Target="styles.xml"/><Relationship Id="rId29" Type="http://schemas.openxmlformats.org/officeDocument/2006/relationships/hyperlink" Target="https://paperpile.com/c/HD9805/tyJi+gpSZ+YQP8" TargetMode="External"/><Relationship Id="rId24" Type="http://schemas.openxmlformats.org/officeDocument/2006/relationships/hyperlink" Target="https://paperpile.com/c/HD9805/E5i4+OD7r+tlfn" TargetMode="External"/><Relationship Id="rId40" Type="http://schemas.openxmlformats.org/officeDocument/2006/relationships/hyperlink" Target="http://paperpile.com/b/HD9805/lKGr" TargetMode="External"/><Relationship Id="rId45" Type="http://schemas.openxmlformats.org/officeDocument/2006/relationships/hyperlink" Target="http://paperpile.com/b/HD9805/bMAt" TargetMode="External"/><Relationship Id="rId66" Type="http://schemas.openxmlformats.org/officeDocument/2006/relationships/hyperlink" Target="http://paperpile.com/b/HD9805/9vPC" TargetMode="External"/><Relationship Id="rId87" Type="http://schemas.openxmlformats.org/officeDocument/2006/relationships/hyperlink" Target="http://paperpile.com/b/HD9805/eJzZ" TargetMode="External"/><Relationship Id="rId110" Type="http://schemas.openxmlformats.org/officeDocument/2006/relationships/hyperlink" Target="http://paperpile.com/b/HD9805/iZbk" TargetMode="External"/><Relationship Id="rId115" Type="http://schemas.openxmlformats.org/officeDocument/2006/relationships/hyperlink" Target="http://paperpile.com/b/HD9805/E5i4" TargetMode="External"/><Relationship Id="rId131" Type="http://schemas.openxmlformats.org/officeDocument/2006/relationships/hyperlink" Target="http://dx.doi.org/10.2174/18742106-v16-e2202230" TargetMode="External"/><Relationship Id="rId136" Type="http://schemas.openxmlformats.org/officeDocument/2006/relationships/hyperlink" Target="http://paperpile.com/b/HD9805/9Ees" TargetMode="External"/><Relationship Id="rId157" Type="http://schemas.openxmlformats.org/officeDocument/2006/relationships/hyperlink" Target="http://dx.doi.org/10.1186/s12903-021-01805-8" TargetMode="External"/><Relationship Id="rId178" Type="http://schemas.openxmlformats.org/officeDocument/2006/relationships/hyperlink" Target="http://paperpile.com/b/HD9805/soZK" TargetMode="External"/><Relationship Id="rId61" Type="http://schemas.openxmlformats.org/officeDocument/2006/relationships/hyperlink" Target="http://paperpile.com/b/HD9805/4ctD" TargetMode="External"/><Relationship Id="rId82" Type="http://schemas.openxmlformats.org/officeDocument/2006/relationships/hyperlink" Target="http://paperpile.com/b/HD9805/5xqO" TargetMode="External"/><Relationship Id="rId152" Type="http://schemas.openxmlformats.org/officeDocument/2006/relationships/hyperlink" Target="http://paperpile.com/b/HD9805/9v1S" TargetMode="External"/><Relationship Id="rId173" Type="http://schemas.openxmlformats.org/officeDocument/2006/relationships/hyperlink" Target="http://dx.doi.org/10.1016/j.jobcr.2023.05.014" TargetMode="External"/><Relationship Id="rId194" Type="http://schemas.openxmlformats.org/officeDocument/2006/relationships/hyperlink" Target="http://paperpile.com/b/HD9805/1npd" TargetMode="External"/><Relationship Id="rId199" Type="http://schemas.openxmlformats.org/officeDocument/2006/relationships/footer" Target="footer1.xml"/><Relationship Id="rId19" Type="http://schemas.openxmlformats.org/officeDocument/2006/relationships/image" Target="media/image1.jpg"/><Relationship Id="rId14" Type="http://schemas.openxmlformats.org/officeDocument/2006/relationships/hyperlink" Target="https://paperpile.com/c/HD9805/bMAt+soZK+1npd" TargetMode="External"/><Relationship Id="rId30" Type="http://schemas.openxmlformats.org/officeDocument/2006/relationships/hyperlink" Target="https://paperpile.com/c/HD9805/A2f5+GBN4+lKGr" TargetMode="External"/><Relationship Id="rId35" Type="http://schemas.openxmlformats.org/officeDocument/2006/relationships/hyperlink" Target="http://dx.doi.org/10.1053/j.sodo.2023.01.002" TargetMode="External"/><Relationship Id="rId56" Type="http://schemas.openxmlformats.org/officeDocument/2006/relationships/hyperlink" Target="http://paperpile.com/b/HD9805/zdMl" TargetMode="External"/><Relationship Id="rId77" Type="http://schemas.openxmlformats.org/officeDocument/2006/relationships/hyperlink" Target="http://paperpile.com/b/HD9805/ZhwP" TargetMode="External"/><Relationship Id="rId100" Type="http://schemas.openxmlformats.org/officeDocument/2006/relationships/hyperlink" Target="http://paperpile.com/b/HD9805/NPNM" TargetMode="External"/><Relationship Id="rId105" Type="http://schemas.openxmlformats.org/officeDocument/2006/relationships/hyperlink" Target="http://paperpile.com/b/HD9805/zIxJ" TargetMode="External"/><Relationship Id="rId126" Type="http://schemas.openxmlformats.org/officeDocument/2006/relationships/hyperlink" Target="http://paperpile.com/b/HD9805/Wn9b" TargetMode="External"/><Relationship Id="rId147" Type="http://schemas.openxmlformats.org/officeDocument/2006/relationships/hyperlink" Target="http://paperpile.com/b/HD9805/dZaf" TargetMode="External"/><Relationship Id="rId168" Type="http://schemas.openxmlformats.org/officeDocument/2006/relationships/hyperlink" Target="http://paperpile.com/b/HD9805/GBN4" TargetMode="External"/><Relationship Id="rId8" Type="http://schemas.openxmlformats.org/officeDocument/2006/relationships/hyperlink" Target="https://paperpile.com/c/HD9805/p3Fz" TargetMode="External"/><Relationship Id="rId51" Type="http://schemas.openxmlformats.org/officeDocument/2006/relationships/hyperlink" Target="http://dx.doi.org/10.3168/jds.2015-9442" TargetMode="External"/><Relationship Id="rId72" Type="http://schemas.openxmlformats.org/officeDocument/2006/relationships/hyperlink" Target="http://paperpile.com/b/HD9805/gjBf" TargetMode="External"/><Relationship Id="rId93" Type="http://schemas.openxmlformats.org/officeDocument/2006/relationships/hyperlink" Target="http://dx.doi.org/10.19070/2377-8075-21000605" TargetMode="External"/><Relationship Id="rId98" Type="http://schemas.openxmlformats.org/officeDocument/2006/relationships/hyperlink" Target="http://paperpile.com/b/HD9805/NPNM" TargetMode="External"/><Relationship Id="rId121" Type="http://schemas.openxmlformats.org/officeDocument/2006/relationships/hyperlink" Target="http://paperpile.com/b/HD9805/1qYv" TargetMode="External"/><Relationship Id="rId142" Type="http://schemas.openxmlformats.org/officeDocument/2006/relationships/hyperlink" Target="http://paperpile.com/b/HD9805/ZsVR" TargetMode="External"/><Relationship Id="rId163" Type="http://schemas.openxmlformats.org/officeDocument/2006/relationships/hyperlink" Target="http://dx.doi.org/10.5005/jp-journals-10024-3323" TargetMode="External"/><Relationship Id="rId184" Type="http://schemas.openxmlformats.org/officeDocument/2006/relationships/hyperlink" Target="http://paperpile.com/b/HD9805/gpSZ" TargetMode="External"/><Relationship Id="rId189" Type="http://schemas.openxmlformats.org/officeDocument/2006/relationships/hyperlink" Target="http://paperpile.com/b/HD9805/YQP8" TargetMode="External"/><Relationship Id="rId3" Type="http://schemas.openxmlformats.org/officeDocument/2006/relationships/settings" Target="settings.xml"/><Relationship Id="rId25" Type="http://schemas.openxmlformats.org/officeDocument/2006/relationships/hyperlink" Target="https://paperpile.com/c/HD9805/E5i4+OD7r+tlfn" TargetMode="External"/><Relationship Id="rId46" Type="http://schemas.openxmlformats.org/officeDocument/2006/relationships/hyperlink" Target="http://paperpile.com/b/HD9805/bMAt" TargetMode="External"/><Relationship Id="rId67" Type="http://schemas.openxmlformats.org/officeDocument/2006/relationships/hyperlink" Target="http://paperpile.com/b/HD9805/9vPC" TargetMode="External"/><Relationship Id="rId116" Type="http://schemas.openxmlformats.org/officeDocument/2006/relationships/hyperlink" Target="http://paperpile.com/b/HD9805/E5i4" TargetMode="External"/><Relationship Id="rId137" Type="http://schemas.openxmlformats.org/officeDocument/2006/relationships/hyperlink" Target="http://dx.doi.org/10.4322/bds.2022.e2591" TargetMode="External"/><Relationship Id="rId158" Type="http://schemas.openxmlformats.org/officeDocument/2006/relationships/hyperlink" Target="http://paperpile.com/b/HD9805/NPVP" TargetMode="External"/><Relationship Id="rId20" Type="http://schemas.openxmlformats.org/officeDocument/2006/relationships/image" Target="media/image2.jpg"/><Relationship Id="rId41" Type="http://schemas.openxmlformats.org/officeDocument/2006/relationships/hyperlink" Target="http://paperpile.com/b/HD9805/lKGr" TargetMode="External"/><Relationship Id="rId62" Type="http://schemas.openxmlformats.org/officeDocument/2006/relationships/hyperlink" Target="http://paperpile.com/b/HD9805/4ctD" TargetMode="External"/><Relationship Id="rId83" Type="http://schemas.openxmlformats.org/officeDocument/2006/relationships/hyperlink" Target="http://dx.doi.org/10.4103/ejd.ejd_253_17" TargetMode="External"/><Relationship Id="rId88" Type="http://schemas.openxmlformats.org/officeDocument/2006/relationships/hyperlink" Target="http://paperpile.com/b/HD9805/eJzZ" TargetMode="External"/><Relationship Id="rId111" Type="http://schemas.openxmlformats.org/officeDocument/2006/relationships/hyperlink" Target="http://paperpile.com/b/HD9805/iZbk" TargetMode="External"/><Relationship Id="rId132" Type="http://schemas.openxmlformats.org/officeDocument/2006/relationships/hyperlink" Target="http://paperpile.com/b/HD9805/9Ees" TargetMode="External"/><Relationship Id="rId153" Type="http://schemas.openxmlformats.org/officeDocument/2006/relationships/hyperlink" Target="http://paperpile.com/b/HD9805/9v1S" TargetMode="External"/><Relationship Id="rId174" Type="http://schemas.openxmlformats.org/officeDocument/2006/relationships/hyperlink" Target="http://paperpile.com/b/HD9805/soZK" TargetMode="External"/><Relationship Id="rId179" Type="http://schemas.openxmlformats.org/officeDocument/2006/relationships/hyperlink" Target="http://dx.doi.org/10.5005/jp-journals-10024-3480" TargetMode="External"/><Relationship Id="rId195" Type="http://schemas.openxmlformats.org/officeDocument/2006/relationships/hyperlink" Target="http://paperpile.com/b/HD9805/1npd" TargetMode="External"/><Relationship Id="rId190" Type="http://schemas.openxmlformats.org/officeDocument/2006/relationships/hyperlink" Target="http://paperpile.com/b/HD9805/YQP8" TargetMode="External"/><Relationship Id="rId15" Type="http://schemas.openxmlformats.org/officeDocument/2006/relationships/hyperlink" Target="https://paperpile.com/c/HD9805/NPNM+9v1S" TargetMode="External"/><Relationship Id="rId36" Type="http://schemas.openxmlformats.org/officeDocument/2006/relationships/hyperlink" Target="http://paperpile.com/b/HD9805/OD7r" TargetMode="External"/><Relationship Id="rId57" Type="http://schemas.openxmlformats.org/officeDocument/2006/relationships/hyperlink" Target="http://paperpile.com/b/HD9805/zdMl" TargetMode="External"/><Relationship Id="rId106" Type="http://schemas.openxmlformats.org/officeDocument/2006/relationships/hyperlink" Target="http://paperpile.com/b/HD9805/zIxJ" TargetMode="External"/><Relationship Id="rId127" Type="http://schemas.openxmlformats.org/officeDocument/2006/relationships/hyperlink" Target="http://paperpile.com/b/HD9805/Wn9b" TargetMode="External"/><Relationship Id="rId10" Type="http://schemas.openxmlformats.org/officeDocument/2006/relationships/hyperlink" Target="https://paperpile.com/c/HD9805/5xqO+7Qk8" TargetMode="External"/><Relationship Id="rId31" Type="http://schemas.openxmlformats.org/officeDocument/2006/relationships/hyperlink" Target="https://paperpile.com/c/HD9805/eJzZ+ZsVR+ZhwP" TargetMode="External"/><Relationship Id="rId52" Type="http://schemas.openxmlformats.org/officeDocument/2006/relationships/hyperlink" Target="http://paperpile.com/b/HD9805/A2f5" TargetMode="External"/><Relationship Id="rId73" Type="http://schemas.openxmlformats.org/officeDocument/2006/relationships/hyperlink" Target="http://paperpile.com/b/HD9805/gjBf" TargetMode="External"/><Relationship Id="rId78" Type="http://schemas.openxmlformats.org/officeDocument/2006/relationships/hyperlink" Target="http://paperpile.com/b/HD9805/ZhwP" TargetMode="External"/><Relationship Id="rId94" Type="http://schemas.openxmlformats.org/officeDocument/2006/relationships/hyperlink" Target="http://paperpile.com/b/HD9805/p3Fz" TargetMode="External"/><Relationship Id="rId99" Type="http://schemas.openxmlformats.org/officeDocument/2006/relationships/hyperlink" Target="http://paperpile.com/b/HD9805/NPNM" TargetMode="External"/><Relationship Id="rId101" Type="http://schemas.openxmlformats.org/officeDocument/2006/relationships/hyperlink" Target="http://paperpile.com/b/HD9805/NPNM" TargetMode="External"/><Relationship Id="rId122" Type="http://schemas.openxmlformats.org/officeDocument/2006/relationships/hyperlink" Target="http://paperpile.com/b/HD9805/1qYv" TargetMode="External"/><Relationship Id="rId143" Type="http://schemas.openxmlformats.org/officeDocument/2006/relationships/hyperlink" Target="http://paperpile.com/b/HD9805/ZsVR" TargetMode="External"/><Relationship Id="rId148" Type="http://schemas.openxmlformats.org/officeDocument/2006/relationships/hyperlink" Target="http://paperpile.com/b/HD9805/dZaf" TargetMode="External"/><Relationship Id="rId164" Type="http://schemas.openxmlformats.org/officeDocument/2006/relationships/hyperlink" Target="http://paperpile.com/b/HD9805/tyJi" TargetMode="External"/><Relationship Id="rId169" Type="http://schemas.openxmlformats.org/officeDocument/2006/relationships/hyperlink" Target="http://paperpile.com/b/HD9805/GBN4" TargetMode="External"/><Relationship Id="rId185" Type="http://schemas.openxmlformats.org/officeDocument/2006/relationships/hyperlink" Target="http://dx.doi.org/10.4103/jioh.jioh_83_22" TargetMode="External"/><Relationship Id="rId4" Type="http://schemas.openxmlformats.org/officeDocument/2006/relationships/webSettings" Target="webSettings.xml"/><Relationship Id="rId9" Type="http://schemas.openxmlformats.org/officeDocument/2006/relationships/hyperlink" Target="https://paperpile.com/c/HD9805/1qYv+9Ees" TargetMode="External"/><Relationship Id="rId180" Type="http://schemas.openxmlformats.org/officeDocument/2006/relationships/hyperlink" Target="http://paperpile.com/b/HD9805/gpSZ" TargetMode="External"/><Relationship Id="rId26" Type="http://schemas.openxmlformats.org/officeDocument/2006/relationships/hyperlink" Target="https://paperpile.com/c/HD9805/E5i4+OD7r+tlfn" TargetMode="External"/><Relationship Id="rId47" Type="http://schemas.openxmlformats.org/officeDocument/2006/relationships/hyperlink" Target="http://dx.doi.org/10.3390/plants10061153" TargetMode="External"/><Relationship Id="rId68" Type="http://schemas.openxmlformats.org/officeDocument/2006/relationships/hyperlink" Target="http://paperpile.com/b/HD9805/9vPC" TargetMode="External"/><Relationship Id="rId89" Type="http://schemas.openxmlformats.org/officeDocument/2006/relationships/hyperlink" Target="http://dx.doi.org/10.1083/jcb.200802081" TargetMode="External"/><Relationship Id="rId112" Type="http://schemas.openxmlformats.org/officeDocument/2006/relationships/hyperlink" Target="http://paperpile.com/b/HD9805/iZbk" TargetMode="External"/><Relationship Id="rId133" Type="http://schemas.openxmlformats.org/officeDocument/2006/relationships/hyperlink" Target="http://paperpile.com/b/HD9805/9Ees" TargetMode="External"/><Relationship Id="rId154" Type="http://schemas.openxmlformats.org/officeDocument/2006/relationships/hyperlink" Target="http://paperpile.com/b/HD9805/9v1S" TargetMode="External"/><Relationship Id="rId175" Type="http://schemas.openxmlformats.org/officeDocument/2006/relationships/hyperlink" Target="http://paperpile.com/b/HD9805/soZK" TargetMode="External"/><Relationship Id="rId196" Type="http://schemas.openxmlformats.org/officeDocument/2006/relationships/hyperlink" Target="http://paperpile.com/b/HD9805/1npd" TargetMode="External"/><Relationship Id="rId200" Type="http://schemas.openxmlformats.org/officeDocument/2006/relationships/fontTable" Target="fontTable.xml"/><Relationship Id="rId16" Type="http://schemas.openxmlformats.org/officeDocument/2006/relationships/hyperlink" Target="https://paperpile.com/c/HD9805/NMhl+zIxJ+Wn9b" TargetMode="External"/><Relationship Id="rId37" Type="http://schemas.openxmlformats.org/officeDocument/2006/relationships/hyperlink" Target="http://paperpile.com/b/HD9805/OD7r" TargetMode="External"/><Relationship Id="rId58" Type="http://schemas.openxmlformats.org/officeDocument/2006/relationships/hyperlink" Target="http://paperpile.com/b/HD9805/zdMl" TargetMode="External"/><Relationship Id="rId79" Type="http://schemas.openxmlformats.org/officeDocument/2006/relationships/hyperlink" Target="http://dx.doi.org/10.4103/jiaomr.jiaomr_101_21" TargetMode="External"/><Relationship Id="rId102" Type="http://schemas.openxmlformats.org/officeDocument/2006/relationships/hyperlink" Target="http://paperpile.com/b/HD9805/NPNM" TargetMode="External"/><Relationship Id="rId123" Type="http://schemas.openxmlformats.org/officeDocument/2006/relationships/hyperlink" Target="http://paperpile.com/b/HD9805/1qYv" TargetMode="External"/><Relationship Id="rId144" Type="http://schemas.openxmlformats.org/officeDocument/2006/relationships/hyperlink" Target="http://paperpile.com/b/HD9805/ZsVR" TargetMode="External"/><Relationship Id="rId90" Type="http://schemas.openxmlformats.org/officeDocument/2006/relationships/hyperlink" Target="http://paperpile.com/b/HD9805/tlfn" TargetMode="External"/><Relationship Id="rId165" Type="http://schemas.openxmlformats.org/officeDocument/2006/relationships/hyperlink" Target="http://paperpile.com/b/HD9805/tyJi" TargetMode="External"/><Relationship Id="rId186" Type="http://schemas.openxmlformats.org/officeDocument/2006/relationships/hyperlink" Target="http://paperpile.com/b/HD9805/YQP8" TargetMode="External"/><Relationship Id="rId27" Type="http://schemas.openxmlformats.org/officeDocument/2006/relationships/hyperlink" Target="https://paperpile.com/c/HD9805/lGQo+9vPC" TargetMode="External"/><Relationship Id="rId48" Type="http://schemas.openxmlformats.org/officeDocument/2006/relationships/hyperlink" Target="http://paperpile.com/b/HD9805/NMhl" TargetMode="External"/><Relationship Id="rId69" Type="http://schemas.openxmlformats.org/officeDocument/2006/relationships/hyperlink" Target="http://paperpile.com/b/HD9805/9vPC" TargetMode="External"/><Relationship Id="rId113" Type="http://schemas.openxmlformats.org/officeDocument/2006/relationships/hyperlink" Target="http://dx.doi.org/10.31031/apdv.2019.06.000635" TargetMode="External"/><Relationship Id="rId134" Type="http://schemas.openxmlformats.org/officeDocument/2006/relationships/hyperlink" Target="http://paperpile.com/b/HD9805/9Ees" TargetMode="External"/><Relationship Id="rId80" Type="http://schemas.openxmlformats.org/officeDocument/2006/relationships/hyperlink" Target="http://paperpile.com/b/HD9805/5xqO" TargetMode="External"/><Relationship Id="rId155" Type="http://schemas.openxmlformats.org/officeDocument/2006/relationships/hyperlink" Target="http://paperpile.com/b/HD9805/9v1S" TargetMode="External"/><Relationship Id="rId176" Type="http://schemas.openxmlformats.org/officeDocument/2006/relationships/hyperlink" Target="http://paperpile.com/b/HD9805/soZK" TargetMode="External"/><Relationship Id="rId197" Type="http://schemas.openxmlformats.org/officeDocument/2006/relationships/hyperlink" Target="http://dx.doi.org/10.4103/jips.jips_8_22" TargetMode="External"/><Relationship Id="rId201" Type="http://schemas.openxmlformats.org/officeDocument/2006/relationships/theme" Target="theme/theme1.xml"/><Relationship Id="rId17" Type="http://schemas.openxmlformats.org/officeDocument/2006/relationships/hyperlink" Target="https://paperpile.com/c/HD9805/iZbk+4ctD+dZaf" TargetMode="External"/><Relationship Id="rId38" Type="http://schemas.openxmlformats.org/officeDocument/2006/relationships/hyperlink" Target="http://paperpile.com/b/HD9805/lKGr" TargetMode="External"/><Relationship Id="rId59" Type="http://schemas.openxmlformats.org/officeDocument/2006/relationships/hyperlink" Target="http://dx.doi.org/10.1002/ptr.2124" TargetMode="External"/><Relationship Id="rId103" Type="http://schemas.openxmlformats.org/officeDocument/2006/relationships/hyperlink" Target="http://dx.doi.org/10.1046/j.1472-765x.1997.00073.x" TargetMode="External"/><Relationship Id="rId124" Type="http://schemas.openxmlformats.org/officeDocument/2006/relationships/hyperlink" Target="http://paperpile.com/b/HD9805/1qYv" TargetMode="External"/><Relationship Id="rId70" Type="http://schemas.openxmlformats.org/officeDocument/2006/relationships/hyperlink" Target="http://paperpile.com/b/HD9805/9vPC" TargetMode="External"/><Relationship Id="rId91" Type="http://schemas.openxmlformats.org/officeDocument/2006/relationships/hyperlink" Target="http://paperpile.com/b/HD9805/tlfn" TargetMode="External"/><Relationship Id="rId145" Type="http://schemas.openxmlformats.org/officeDocument/2006/relationships/hyperlink" Target="http://dx.doi.org/10.9734/jpri/2021/v33i62b35178" TargetMode="External"/><Relationship Id="rId166" Type="http://schemas.openxmlformats.org/officeDocument/2006/relationships/hyperlink" Target="http://paperpile.com/b/HD9805/tyJi" TargetMode="External"/><Relationship Id="rId187" Type="http://schemas.openxmlformats.org/officeDocument/2006/relationships/hyperlink" Target="http://paperpile.com/b/HD9805/YQP8" TargetMode="External"/><Relationship Id="rId1" Type="http://schemas.openxmlformats.org/officeDocument/2006/relationships/numbering" Target="numbering.xml"/><Relationship Id="rId28" Type="http://schemas.openxmlformats.org/officeDocument/2006/relationships/hyperlink" Target="https://paperpile.com/c/HD9805/eJzZ+YQP8" TargetMode="External"/><Relationship Id="rId49" Type="http://schemas.openxmlformats.org/officeDocument/2006/relationships/hyperlink" Target="http://paperpile.com/b/HD9805/NMhl" TargetMode="External"/><Relationship Id="rId114" Type="http://schemas.openxmlformats.org/officeDocument/2006/relationships/hyperlink" Target="http://paperpile.com/b/HD9805/E5i4" TargetMode="External"/><Relationship Id="rId60" Type="http://schemas.openxmlformats.org/officeDocument/2006/relationships/hyperlink" Target="http://paperpile.com/b/HD9805/4ctD" TargetMode="External"/><Relationship Id="rId81" Type="http://schemas.openxmlformats.org/officeDocument/2006/relationships/hyperlink" Target="http://paperpile.com/b/HD9805/5xqO" TargetMode="External"/><Relationship Id="rId135" Type="http://schemas.openxmlformats.org/officeDocument/2006/relationships/hyperlink" Target="http://paperpile.com/b/HD9805/9Ees" TargetMode="External"/><Relationship Id="rId156" Type="http://schemas.openxmlformats.org/officeDocument/2006/relationships/hyperlink" Target="http://paperpile.com/b/HD9805/9v1S" TargetMode="External"/><Relationship Id="rId177" Type="http://schemas.openxmlformats.org/officeDocument/2006/relationships/hyperlink" Target="http://paperpile.com/b/HD9805/soZK" TargetMode="External"/><Relationship Id="rId198" Type="http://schemas.openxmlformats.org/officeDocument/2006/relationships/header" Target="header1.xml"/><Relationship Id="rId18" Type="http://schemas.openxmlformats.org/officeDocument/2006/relationships/hyperlink" Target="https://paperpile.com/c/HD9805/zdMl+NPVP+4ctD" TargetMode="External"/><Relationship Id="rId39" Type="http://schemas.openxmlformats.org/officeDocument/2006/relationships/hyperlink" Target="http://paperpile.com/b/HD9805/lKGr" TargetMode="External"/><Relationship Id="rId50" Type="http://schemas.openxmlformats.org/officeDocument/2006/relationships/hyperlink" Target="http://paperpile.com/b/HD9805/NMhl" TargetMode="External"/><Relationship Id="rId104" Type="http://schemas.openxmlformats.org/officeDocument/2006/relationships/hyperlink" Target="http://paperpile.com/b/HD9805/zIxJ" TargetMode="External"/><Relationship Id="rId125" Type="http://schemas.openxmlformats.org/officeDocument/2006/relationships/hyperlink" Target="http://dx.doi.org/10.1159/000261607" TargetMode="External"/><Relationship Id="rId146" Type="http://schemas.openxmlformats.org/officeDocument/2006/relationships/hyperlink" Target="http://paperpile.com/b/HD9805/dZaf" TargetMode="External"/><Relationship Id="rId167" Type="http://schemas.openxmlformats.org/officeDocument/2006/relationships/hyperlink" Target="http://dx.doi.org/10.4103/0975-7406.163436" TargetMode="External"/><Relationship Id="rId188" Type="http://schemas.openxmlformats.org/officeDocument/2006/relationships/hyperlink" Target="http://paperpile.com/b/HD9805/YQP8" TargetMode="External"/><Relationship Id="rId71" Type="http://schemas.openxmlformats.org/officeDocument/2006/relationships/hyperlink" Target="http://dx.doi.org/10.4103/jispcd.JISPCD_175_22" TargetMode="External"/><Relationship Id="rId92" Type="http://schemas.openxmlformats.org/officeDocument/2006/relationships/hyperlink" Target="http://paperpile.com/b/HD9805/tlfn"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13</TotalTime>
  <Pages>1</Pages>
  <Words>5028</Words>
  <Characters>28665</Characters>
  <Application>Microsoft Office Word</Application>
  <DocSecurity>0</DocSecurity>
  <Lines>238</Lines>
  <Paragraphs>67</Paragraphs>
  <ScaleCrop>false</ScaleCrop>
  <Company>home</Company>
  <LinksUpToDate>false</LinksUpToDate>
  <CharactersWithSpaces>33626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ABINAYA</dc:creator>
  <cp:lastModifiedBy>Shankara Narayanan V R</cp:lastModifiedBy>
  <cp:revision>4</cp:revision>
  <cp:lastPrinted>2025-10-28T07:28:00Z</cp:lastPrinted>
  <dcterms:created xsi:type="dcterms:W3CDTF">2025-09-07T08:48:00Z</dcterms:created>
  <dcterms:modified xsi:type="dcterms:W3CDTF">2025-10-28T07:28:00Z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bf21d177-1a6e-42a1-a31a-b492db69d173</vt:lpwstr>
  </property>
</Properties>
</file>