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E40D0" w14:textId="3A434B3C" w:rsidR="00CC5EEB" w:rsidRPr="00CC5EEB" w:rsidRDefault="006F5FC6" w:rsidP="00CC5EEB">
      <w:pPr>
        <w:pStyle w:val="PaperTitle"/>
        <w:spacing w:before="100" w:beforeAutospacing="1"/>
        <w:contextualSpacing/>
        <w:rPr>
          <w:bCs/>
        </w:rPr>
      </w:pPr>
      <w:r w:rsidRPr="00CC5EEB">
        <w:rPr>
          <w:bCs/>
        </w:rPr>
        <w:t xml:space="preserve">Influences </w:t>
      </w:r>
      <w:r>
        <w:rPr>
          <w:bCs/>
        </w:rPr>
        <w:t>o</w:t>
      </w:r>
      <w:r w:rsidRPr="00CC5EEB">
        <w:rPr>
          <w:bCs/>
        </w:rPr>
        <w:t xml:space="preserve">f Compatibilizer </w:t>
      </w:r>
      <w:r>
        <w:rPr>
          <w:bCs/>
        </w:rPr>
        <w:t>o</w:t>
      </w:r>
      <w:r w:rsidRPr="00CC5EEB">
        <w:rPr>
          <w:bCs/>
        </w:rPr>
        <w:t xml:space="preserve">n Microstructural </w:t>
      </w:r>
      <w:r>
        <w:rPr>
          <w:bCs/>
        </w:rPr>
        <w:t>a</w:t>
      </w:r>
      <w:r w:rsidRPr="00CC5EEB">
        <w:rPr>
          <w:bCs/>
        </w:rPr>
        <w:t xml:space="preserve">nd Mechanical </w:t>
      </w:r>
      <w:proofErr w:type="spellStart"/>
      <w:r w:rsidRPr="00CC5EEB">
        <w:rPr>
          <w:bCs/>
        </w:rPr>
        <w:t>Behaviour</w:t>
      </w:r>
      <w:proofErr w:type="spellEnd"/>
      <w:r w:rsidRPr="00CC5EEB">
        <w:rPr>
          <w:bCs/>
        </w:rPr>
        <w:t xml:space="preserve"> </w:t>
      </w:r>
      <w:r>
        <w:rPr>
          <w:bCs/>
        </w:rPr>
        <w:t>o</w:t>
      </w:r>
      <w:r w:rsidRPr="00CC5EEB">
        <w:rPr>
          <w:bCs/>
        </w:rPr>
        <w:t xml:space="preserve">f Bamboo Fiber Reinforced Polylactic Acid </w:t>
      </w:r>
      <w:proofErr w:type="gramStart"/>
      <w:r w:rsidRPr="00CC5EEB">
        <w:rPr>
          <w:bCs/>
        </w:rPr>
        <w:t>With</w:t>
      </w:r>
      <w:proofErr w:type="gramEnd"/>
      <w:r w:rsidRPr="00CC5EEB">
        <w:rPr>
          <w:bCs/>
        </w:rPr>
        <w:t xml:space="preserve"> Polyethylene Glycol</w:t>
      </w:r>
    </w:p>
    <w:p w14:paraId="4D9957AF" w14:textId="4D725A29" w:rsidR="0010332C" w:rsidRPr="0010332C" w:rsidRDefault="006F5FC6" w:rsidP="006F5FC6">
      <w:pPr>
        <w:pStyle w:val="AuthorName"/>
      </w:pPr>
      <w:r>
        <w:t xml:space="preserve">T </w:t>
      </w:r>
      <w:r w:rsidR="0010332C" w:rsidRPr="0010332C">
        <w:t>Karan Raj</w:t>
      </w:r>
      <w:r w:rsidR="0010332C" w:rsidRPr="0010332C">
        <w:rPr>
          <w:vertAlign w:val="superscript"/>
        </w:rPr>
        <w:t>1</w:t>
      </w:r>
      <w:r w:rsidR="0010332C" w:rsidRPr="0010332C">
        <w:t xml:space="preserve">, </w:t>
      </w:r>
      <w:r>
        <w:t xml:space="preserve">V </w:t>
      </w:r>
      <w:r w:rsidR="0010332C" w:rsidRPr="0010332C">
        <w:t>Jaganivasan</w:t>
      </w:r>
      <w:r w:rsidR="0010332C" w:rsidRPr="0010332C">
        <w:rPr>
          <w:vertAlign w:val="superscript"/>
        </w:rPr>
        <w:t>1</w:t>
      </w:r>
      <w:r w:rsidR="0010332C" w:rsidRPr="0010332C">
        <w:t xml:space="preserve">, </w:t>
      </w:r>
      <w:r>
        <w:t xml:space="preserve">U </w:t>
      </w:r>
      <w:r w:rsidR="0010332C" w:rsidRPr="0010332C">
        <w:t>Vivek</w:t>
      </w:r>
      <w:r w:rsidR="0010332C" w:rsidRPr="0010332C">
        <w:rPr>
          <w:vertAlign w:val="superscript"/>
        </w:rPr>
        <w:t>1</w:t>
      </w:r>
      <w:r w:rsidR="0010332C" w:rsidRPr="0010332C">
        <w:t xml:space="preserve">, </w:t>
      </w:r>
      <w:proofErr w:type="spellStart"/>
      <w:r w:rsidR="0010332C" w:rsidRPr="0010332C">
        <w:t>Arivendan</w:t>
      </w:r>
      <w:proofErr w:type="spellEnd"/>
      <w:r>
        <w:t xml:space="preserve"> </w:t>
      </w:r>
      <w:r w:rsidR="0010332C" w:rsidRPr="0010332C">
        <w:t>Ajithram</w:t>
      </w:r>
      <w:r w:rsidR="0010332C" w:rsidRPr="0010332C">
        <w:rPr>
          <w:vertAlign w:val="superscript"/>
        </w:rPr>
        <w:t>2</w:t>
      </w:r>
      <w:r w:rsidR="0010332C" w:rsidRPr="0010332C">
        <w:t>, Karthik Aruchamy</w:t>
      </w:r>
      <w:proofErr w:type="gramStart"/>
      <w:r w:rsidR="0010332C" w:rsidRPr="0010332C">
        <w:rPr>
          <w:vertAlign w:val="superscript"/>
        </w:rPr>
        <w:t>3</w:t>
      </w:r>
      <w:r w:rsidR="0010332C" w:rsidRPr="0010332C">
        <w:t>,S</w:t>
      </w:r>
      <w:proofErr w:type="gramEnd"/>
      <w:r w:rsidR="0010332C" w:rsidRPr="0010332C">
        <w:t xml:space="preserve"> Karthikeyan</w:t>
      </w:r>
      <w:proofErr w:type="gramStart"/>
      <w:r w:rsidR="0010332C" w:rsidRPr="0010332C">
        <w:rPr>
          <w:vertAlign w:val="superscript"/>
        </w:rPr>
        <w:t>4</w:t>
      </w:r>
      <w:r>
        <w:rPr>
          <w:vertAlign w:val="superscript"/>
        </w:rPr>
        <w:t>,a</w:t>
      </w:r>
      <w:proofErr w:type="gramEnd"/>
      <w:r>
        <w:rPr>
          <w:vertAlign w:val="superscript"/>
        </w:rPr>
        <w:t>)</w:t>
      </w:r>
      <w:r w:rsidR="0010332C" w:rsidRPr="0010332C">
        <w:t xml:space="preserve">, </w:t>
      </w:r>
      <w:r w:rsidR="000021FD" w:rsidRPr="000021FD">
        <w:t xml:space="preserve">M </w:t>
      </w:r>
      <w:r w:rsidR="000021FD" w:rsidRPr="006F5FC6">
        <w:t>Ramamurthy</w:t>
      </w:r>
      <w:r>
        <w:rPr>
          <w:vertAlign w:val="superscript"/>
        </w:rPr>
        <w:t>5</w:t>
      </w:r>
      <w:r w:rsidR="0010332C" w:rsidRPr="000021FD">
        <w:t>, Rajesh</w:t>
      </w:r>
      <w:r w:rsidR="0010332C" w:rsidRPr="0010332C">
        <w:t xml:space="preserve"> Siriyala</w:t>
      </w:r>
      <w:r w:rsidR="0010332C" w:rsidRPr="0010332C">
        <w:rPr>
          <w:vertAlign w:val="superscript"/>
        </w:rPr>
        <w:t>6</w:t>
      </w:r>
      <w:r w:rsidR="0010332C" w:rsidRPr="0010332C">
        <w:t xml:space="preserve">, </w:t>
      </w:r>
      <w:proofErr w:type="spellStart"/>
      <w:r w:rsidR="0010332C" w:rsidRPr="0010332C">
        <w:t>Jonnala</w:t>
      </w:r>
      <w:proofErr w:type="spellEnd"/>
      <w:r w:rsidR="0010332C" w:rsidRPr="0010332C">
        <w:t xml:space="preserve"> Subba Reddy</w:t>
      </w:r>
      <w:r w:rsidR="0010332C" w:rsidRPr="0010332C">
        <w:rPr>
          <w:vertAlign w:val="superscript"/>
        </w:rPr>
        <w:t>7</w:t>
      </w:r>
    </w:p>
    <w:p w14:paraId="515F0311" w14:textId="77777777" w:rsidR="00D462F6" w:rsidRPr="00D462F6" w:rsidRDefault="00D36798" w:rsidP="006F5FC6">
      <w:pPr>
        <w:pStyle w:val="AuthorAffiliation"/>
      </w:pPr>
      <w:r w:rsidRPr="0050536F">
        <w:rPr>
          <w:vertAlign w:val="superscript"/>
        </w:rPr>
        <w:t xml:space="preserve">1 </w:t>
      </w:r>
      <w:r w:rsidR="00D462F6" w:rsidRPr="00D462F6">
        <w:t xml:space="preserve">Department of Mechanical Engineering, </w:t>
      </w:r>
      <w:proofErr w:type="spellStart"/>
      <w:r w:rsidR="00D462F6" w:rsidRPr="00D462F6">
        <w:t>K.</w:t>
      </w:r>
      <w:proofErr w:type="gramStart"/>
      <w:r w:rsidR="00D462F6" w:rsidRPr="00D462F6">
        <w:t>S.Rangasamy</w:t>
      </w:r>
      <w:proofErr w:type="spellEnd"/>
      <w:proofErr w:type="gramEnd"/>
      <w:r w:rsidR="00D462F6" w:rsidRPr="00D462F6">
        <w:t xml:space="preserve"> College of Technology,   </w:t>
      </w:r>
    </w:p>
    <w:p w14:paraId="45058016" w14:textId="77777777" w:rsidR="00D462F6" w:rsidRPr="00D462F6" w:rsidRDefault="00D462F6" w:rsidP="006F5FC6">
      <w:pPr>
        <w:pStyle w:val="AuthorAffiliation"/>
      </w:pPr>
      <w:proofErr w:type="spellStart"/>
      <w:r w:rsidRPr="00D462F6">
        <w:t>Tiruchengode</w:t>
      </w:r>
      <w:proofErr w:type="spellEnd"/>
      <w:r w:rsidRPr="00D462F6">
        <w:t xml:space="preserve">, 637215, Tamil Nadu, India. </w:t>
      </w:r>
    </w:p>
    <w:p w14:paraId="7F0FAED2" w14:textId="77777777" w:rsidR="00D462F6" w:rsidRPr="00D462F6" w:rsidRDefault="00D462F6" w:rsidP="006F5FC6">
      <w:pPr>
        <w:pStyle w:val="AuthorAffiliation"/>
      </w:pPr>
      <w:r w:rsidRPr="00D462F6">
        <w:rPr>
          <w:vertAlign w:val="superscript"/>
        </w:rPr>
        <w:t>2</w:t>
      </w:r>
      <w:r w:rsidRPr="00D462F6">
        <w:t xml:space="preserve"> Post-Doctoral Researcher, Shine-Ming School of Intelligent Engineering,</w:t>
      </w:r>
    </w:p>
    <w:p w14:paraId="17B29E89" w14:textId="77777777" w:rsidR="00D462F6" w:rsidRPr="00D462F6" w:rsidRDefault="00D462F6" w:rsidP="006F5FC6">
      <w:pPr>
        <w:pStyle w:val="AuthorAffiliation"/>
      </w:pPr>
      <w:r w:rsidRPr="00D462F6">
        <w:t xml:space="preserve"> South China University of Technology (SCUT), Guangzhou International Campus (GIZ),</w:t>
      </w:r>
    </w:p>
    <w:p w14:paraId="3A78A524" w14:textId="77777777" w:rsidR="00D462F6" w:rsidRPr="00D462F6" w:rsidRDefault="00D462F6" w:rsidP="006F5FC6">
      <w:pPr>
        <w:pStyle w:val="AuthorAffiliation"/>
      </w:pPr>
      <w:r w:rsidRPr="00D462F6">
        <w:t xml:space="preserve"> Guangzhou, 510006, China. </w:t>
      </w:r>
    </w:p>
    <w:p w14:paraId="416438D5" w14:textId="77777777" w:rsidR="00D462F6" w:rsidRPr="00D462F6" w:rsidRDefault="00D462F6" w:rsidP="006F5FC6">
      <w:pPr>
        <w:pStyle w:val="AuthorAffiliation"/>
        <w:rPr>
          <w:bCs/>
        </w:rPr>
      </w:pPr>
      <w:r w:rsidRPr="00D462F6">
        <w:rPr>
          <w:vertAlign w:val="superscript"/>
        </w:rPr>
        <w:t xml:space="preserve">3 </w:t>
      </w:r>
      <w:r w:rsidRPr="00D462F6">
        <w:rPr>
          <w:bCs/>
        </w:rPr>
        <w:t>Department of Mechatronics Engineering, Akshaya College of Engineering and Technology,</w:t>
      </w:r>
    </w:p>
    <w:p w14:paraId="3CE52CA7" w14:textId="77777777" w:rsidR="00D462F6" w:rsidRPr="00D462F6" w:rsidRDefault="00D462F6" w:rsidP="006F5FC6">
      <w:pPr>
        <w:pStyle w:val="AuthorAffiliation"/>
        <w:rPr>
          <w:bCs/>
        </w:rPr>
      </w:pPr>
      <w:r w:rsidRPr="00D462F6">
        <w:rPr>
          <w:bCs/>
        </w:rPr>
        <w:t xml:space="preserve"> Coimbatore, 642109 </w:t>
      </w:r>
      <w:r w:rsidRPr="00D462F6">
        <w:t>Tamil Nadu, India.</w:t>
      </w:r>
    </w:p>
    <w:p w14:paraId="3EEEE460" w14:textId="77777777" w:rsidR="00D462F6" w:rsidRPr="00D462F6" w:rsidRDefault="00D462F6" w:rsidP="006F5FC6">
      <w:pPr>
        <w:pStyle w:val="AuthorAffiliation"/>
      </w:pPr>
      <w:r w:rsidRPr="00D462F6">
        <w:rPr>
          <w:bCs/>
          <w:vertAlign w:val="superscript"/>
        </w:rPr>
        <w:t xml:space="preserve">4 </w:t>
      </w:r>
      <w:r w:rsidRPr="00D462F6">
        <w:rPr>
          <w:bCs/>
        </w:rPr>
        <w:t xml:space="preserve">Department of </w:t>
      </w:r>
      <w:r w:rsidR="004E09BF">
        <w:rPr>
          <w:bCs/>
        </w:rPr>
        <w:t xml:space="preserve">Mechanical </w:t>
      </w:r>
      <w:r w:rsidRPr="00D462F6">
        <w:rPr>
          <w:bCs/>
        </w:rPr>
        <w:t xml:space="preserve">Engineering, Erode </w:t>
      </w:r>
      <w:proofErr w:type="spellStart"/>
      <w:r w:rsidRPr="00D462F6">
        <w:rPr>
          <w:bCs/>
        </w:rPr>
        <w:t>Sengunthar</w:t>
      </w:r>
      <w:proofErr w:type="spellEnd"/>
      <w:r w:rsidRPr="00D462F6">
        <w:rPr>
          <w:bCs/>
        </w:rPr>
        <w:t xml:space="preserve"> Engineering College, </w:t>
      </w:r>
      <w:proofErr w:type="spellStart"/>
      <w:r w:rsidRPr="00D462F6">
        <w:t>Thuduppathi</w:t>
      </w:r>
      <w:proofErr w:type="spellEnd"/>
      <w:r w:rsidRPr="00D462F6">
        <w:t xml:space="preserve">,   </w:t>
      </w:r>
    </w:p>
    <w:p w14:paraId="6DBC0B51" w14:textId="77777777" w:rsidR="00D462F6" w:rsidRPr="00D462F6" w:rsidRDefault="00D462F6" w:rsidP="006F5FC6">
      <w:pPr>
        <w:pStyle w:val="AuthorAffiliation"/>
        <w:rPr>
          <w:bCs/>
        </w:rPr>
      </w:pPr>
      <w:r w:rsidRPr="00D462F6">
        <w:t xml:space="preserve">  638057, Tamil Nadu, India.</w:t>
      </w:r>
    </w:p>
    <w:p w14:paraId="620B1776" w14:textId="77777777" w:rsidR="000021FD" w:rsidRPr="0026398F" w:rsidRDefault="000021FD" w:rsidP="006F5FC6">
      <w:pPr>
        <w:pStyle w:val="AuthorAffiliation"/>
        <w:rPr>
          <w:bCs/>
        </w:rPr>
      </w:pPr>
      <w:r w:rsidRPr="001D69B4">
        <w:rPr>
          <w:bCs/>
          <w:vertAlign w:val="superscript"/>
        </w:rPr>
        <w:t xml:space="preserve">5 </w:t>
      </w:r>
      <w:r w:rsidRPr="0026398F">
        <w:rPr>
          <w:bCs/>
        </w:rPr>
        <w:t>Department of Mechanical Engineering</w:t>
      </w:r>
      <w:r>
        <w:rPr>
          <w:bCs/>
        </w:rPr>
        <w:t xml:space="preserve">, </w:t>
      </w:r>
      <w:r w:rsidRPr="0026398F">
        <w:rPr>
          <w:bCs/>
        </w:rPr>
        <w:t>Academy of Maritime Education and Training</w:t>
      </w:r>
      <w:r>
        <w:rPr>
          <w:bCs/>
        </w:rPr>
        <w:t xml:space="preserve">, </w:t>
      </w:r>
      <w:proofErr w:type="gramStart"/>
      <w:r w:rsidRPr="0026398F">
        <w:rPr>
          <w:bCs/>
        </w:rPr>
        <w:t>Deemed</w:t>
      </w:r>
      <w:proofErr w:type="gramEnd"/>
      <w:r w:rsidRPr="0026398F">
        <w:rPr>
          <w:bCs/>
        </w:rPr>
        <w:t xml:space="preserve"> to be University </w:t>
      </w:r>
    </w:p>
    <w:p w14:paraId="5E8FFF94" w14:textId="77777777" w:rsidR="000021FD" w:rsidRDefault="000021FD" w:rsidP="006F5FC6">
      <w:pPr>
        <w:pStyle w:val="AuthorAffiliation"/>
        <w:rPr>
          <w:bCs/>
        </w:rPr>
      </w:pPr>
      <w:proofErr w:type="spellStart"/>
      <w:r w:rsidRPr="0026398F">
        <w:rPr>
          <w:bCs/>
        </w:rPr>
        <w:t>Kanathur</w:t>
      </w:r>
      <w:proofErr w:type="spellEnd"/>
      <w:r w:rsidRPr="0026398F">
        <w:rPr>
          <w:bCs/>
        </w:rPr>
        <w:t xml:space="preserve">, Chennai </w:t>
      </w:r>
      <w:r>
        <w:rPr>
          <w:bCs/>
        </w:rPr>
        <w:t>–</w:t>
      </w:r>
      <w:r w:rsidRPr="0026398F">
        <w:rPr>
          <w:bCs/>
        </w:rPr>
        <w:t xml:space="preserve"> 603112</w:t>
      </w:r>
      <w:r>
        <w:rPr>
          <w:bCs/>
        </w:rPr>
        <w:t xml:space="preserve">, </w:t>
      </w:r>
      <w:r w:rsidRPr="001D69B4">
        <w:t>Tamil Nadu, India.</w:t>
      </w:r>
    </w:p>
    <w:p w14:paraId="554CB851" w14:textId="77777777" w:rsidR="00D462F6" w:rsidRPr="00D462F6" w:rsidRDefault="00D462F6" w:rsidP="006F5FC6">
      <w:pPr>
        <w:pStyle w:val="AuthorAffiliation"/>
        <w:rPr>
          <w:bCs/>
        </w:rPr>
      </w:pPr>
      <w:r w:rsidRPr="00D462F6">
        <w:rPr>
          <w:bCs/>
          <w:vertAlign w:val="superscript"/>
        </w:rPr>
        <w:t xml:space="preserve">6 </w:t>
      </w:r>
      <w:r w:rsidRPr="00D462F6">
        <w:rPr>
          <w:bCs/>
        </w:rPr>
        <w:t xml:space="preserve">Department of Mechanical Engineering, Sagi Rama Krishnam Raju Engineering College, China  </w:t>
      </w:r>
    </w:p>
    <w:p w14:paraId="7B47D64F" w14:textId="77777777" w:rsidR="00D462F6" w:rsidRPr="00D462F6" w:rsidRDefault="00D462F6" w:rsidP="006F5FC6">
      <w:pPr>
        <w:pStyle w:val="AuthorAffiliation"/>
        <w:rPr>
          <w:bCs/>
        </w:rPr>
      </w:pPr>
      <w:r w:rsidRPr="00D462F6">
        <w:rPr>
          <w:bCs/>
        </w:rPr>
        <w:t xml:space="preserve"> Amiram, Bhimavaram-534204, Andhra Pradesh, India.</w:t>
      </w:r>
    </w:p>
    <w:p w14:paraId="0DF5A191" w14:textId="77777777" w:rsidR="00D462F6" w:rsidRPr="00D462F6" w:rsidRDefault="00D462F6" w:rsidP="006F5FC6">
      <w:pPr>
        <w:pStyle w:val="AuthorAffiliation"/>
      </w:pPr>
      <w:r w:rsidRPr="00D462F6">
        <w:rPr>
          <w:vertAlign w:val="superscript"/>
        </w:rPr>
        <w:t>7</w:t>
      </w:r>
      <w:r w:rsidRPr="00D462F6">
        <w:rPr>
          <w:bCs/>
        </w:rPr>
        <w:t xml:space="preserve">Department of Mechanical Engineering, </w:t>
      </w:r>
      <w:r w:rsidRPr="00D462F6">
        <w:t xml:space="preserve">Lakireddy Bali Reddy College of Engineering, </w:t>
      </w:r>
      <w:proofErr w:type="spellStart"/>
      <w:r w:rsidRPr="00D462F6">
        <w:t>Mylavaram</w:t>
      </w:r>
      <w:proofErr w:type="spellEnd"/>
      <w:r w:rsidRPr="00D462F6">
        <w:t>, Andhra Pradesh, 521230, India.</w:t>
      </w:r>
    </w:p>
    <w:p w14:paraId="2343FDBC" w14:textId="1FD35991" w:rsidR="00D462F6" w:rsidRPr="00D462F6" w:rsidRDefault="00D462F6" w:rsidP="006F5FC6">
      <w:pPr>
        <w:pStyle w:val="AuthorEmail"/>
      </w:pPr>
      <w:r w:rsidRPr="00D462F6">
        <w:rPr>
          <w:bCs/>
        </w:rPr>
        <w:t>Correspond</w:t>
      </w:r>
      <w:r w:rsidR="006F5FC6">
        <w:rPr>
          <w:bCs/>
        </w:rPr>
        <w:t>ing author</w:t>
      </w:r>
      <w:r w:rsidRPr="00D462F6">
        <w:rPr>
          <w:bCs/>
        </w:rPr>
        <w:t>:</w:t>
      </w:r>
      <w:r w:rsidR="006F5FC6">
        <w:rPr>
          <w:bCs/>
        </w:rPr>
        <w:t xml:space="preserve"> </w:t>
      </w:r>
      <w:proofErr w:type="gramStart"/>
      <w:r w:rsidR="006F5FC6">
        <w:rPr>
          <w:bCs/>
          <w:vertAlign w:val="superscript"/>
        </w:rPr>
        <w:t>a)</w:t>
      </w:r>
      <w:r w:rsidR="006F5FC6">
        <w:rPr>
          <w:bCs/>
        </w:rPr>
        <w:t>k</w:t>
      </w:r>
      <w:r w:rsidR="003E6A4C" w:rsidRPr="003E6A4C">
        <w:rPr>
          <w:rStyle w:val="Hyperlink"/>
          <w:i/>
        </w:rPr>
        <w:t>arthiksamynathan@gmail.com</w:t>
      </w:r>
      <w:proofErr w:type="gramEnd"/>
    </w:p>
    <w:p w14:paraId="6D49FDA6" w14:textId="0820BE0C" w:rsidR="00D462F6" w:rsidRPr="00D462F6" w:rsidRDefault="0016385D" w:rsidP="00D462F6">
      <w:pPr>
        <w:pStyle w:val="Abstract"/>
        <w:rPr>
          <w:bCs/>
        </w:rPr>
      </w:pPr>
      <w:r w:rsidRPr="0050536F">
        <w:rPr>
          <w:b/>
          <w:bCs/>
        </w:rPr>
        <w:t>Abstract.</w:t>
      </w:r>
      <w:r w:rsidR="006F5FC6">
        <w:rPr>
          <w:b/>
          <w:bCs/>
        </w:rPr>
        <w:t xml:space="preserve"> </w:t>
      </w:r>
      <w:r w:rsidR="00D462F6" w:rsidRPr="00D462F6">
        <w:rPr>
          <w:bCs/>
        </w:rPr>
        <w:t xml:space="preserve">This study investigates the role of a compatibilizer in enhancing the properties of polylactic acid (PLA) composites reinforced with silane-treated bamboo fiber (BF) and plasticized with polyethylene glycol (PEG). The composites were fabricated via injection molding with varying BF content (0, 10, 20, and 30 </w:t>
      </w:r>
      <w:proofErr w:type="spellStart"/>
      <w:r w:rsidR="00D462F6" w:rsidRPr="00D462F6">
        <w:rPr>
          <w:bCs/>
        </w:rPr>
        <w:t>wt</w:t>
      </w:r>
      <w:proofErr w:type="spellEnd"/>
      <w:r w:rsidR="00D462F6" w:rsidRPr="00D462F6">
        <w:rPr>
          <w:bCs/>
        </w:rPr>
        <w:t xml:space="preserve">%) and a fixed 5 </w:t>
      </w:r>
      <w:proofErr w:type="spellStart"/>
      <w:r w:rsidR="00D462F6" w:rsidRPr="00D462F6">
        <w:rPr>
          <w:bCs/>
        </w:rPr>
        <w:t>wt</w:t>
      </w:r>
      <w:proofErr w:type="spellEnd"/>
      <w:r w:rsidR="00D462F6" w:rsidRPr="00D462F6">
        <w:rPr>
          <w:bCs/>
        </w:rPr>
        <w:t xml:space="preserve">% PEG. Mechanical properties, water absorption, thermal stability, and impact toughness were evaluated. Results indicate that compatibilizer addition significantly improves fiber-matrix adhesion, enhancing tensile and flexural strength while reducing water absorption. The tensile strength increased by 18% at 20 </w:t>
      </w:r>
      <w:proofErr w:type="spellStart"/>
      <w:r w:rsidR="00D462F6" w:rsidRPr="00D462F6">
        <w:rPr>
          <w:bCs/>
        </w:rPr>
        <w:t>wt</w:t>
      </w:r>
      <w:proofErr w:type="spellEnd"/>
      <w:r w:rsidR="00D462F6" w:rsidRPr="00D462F6">
        <w:rPr>
          <w:bCs/>
        </w:rPr>
        <w:t xml:space="preserve">% BF, while impact toughness peaked at 20 </w:t>
      </w:r>
      <w:proofErr w:type="spellStart"/>
      <w:r w:rsidR="00D462F6" w:rsidRPr="00D462F6">
        <w:rPr>
          <w:bCs/>
        </w:rPr>
        <w:t>wt</w:t>
      </w:r>
      <w:proofErr w:type="spellEnd"/>
      <w:r w:rsidR="00D462F6" w:rsidRPr="00D462F6">
        <w:rPr>
          <w:bCs/>
        </w:rPr>
        <w:t>% BF with a 25% improvement. Thermal stability showed moderate changes, with degradation onset shifting by approximately 10°C. Microstructural analysis confirmed improved fiber dispersion and reduced voids in compatibilized composites. These findings contribute to the development of high-performance biodegradable composites suitable for sustainable applications.</w:t>
      </w:r>
    </w:p>
    <w:p w14:paraId="45F2955B" w14:textId="68291EAF" w:rsidR="003A287B" w:rsidRPr="0050536F" w:rsidRDefault="000F3FD2" w:rsidP="006F5FC6">
      <w:pPr>
        <w:pStyle w:val="Heading1"/>
        <w:rPr>
          <w:sz w:val="20"/>
        </w:rPr>
      </w:pPr>
      <w:r w:rsidRPr="0050536F">
        <w:t>Introduction</w:t>
      </w:r>
    </w:p>
    <w:p w14:paraId="0658918A" w14:textId="77777777" w:rsidR="00D462F6" w:rsidRPr="00D462F6" w:rsidRDefault="00D462F6" w:rsidP="00D462F6">
      <w:pPr>
        <w:pStyle w:val="Paragraph"/>
        <w:rPr>
          <w:bCs/>
        </w:rPr>
      </w:pPr>
      <w:r w:rsidRPr="00D462F6">
        <w:rPr>
          <w:bCs/>
        </w:rPr>
        <w:t xml:space="preserve">The use of polylactic acid (PLA) composites reinforced with natural fibers has gained significant attention due to their eco-friendliness, biodegradability, and potential for sustainable engineering applications. PLA, derived from renewable sources, is a promising alternative to conventional petroleum-based plastics. However, its inherent brittleness, low impact resistance, and </w:t>
      </w:r>
      <w:proofErr w:type="gramStart"/>
      <w:r w:rsidRPr="00D462F6">
        <w:rPr>
          <w:bCs/>
        </w:rPr>
        <w:t>high water</w:t>
      </w:r>
      <w:proofErr w:type="gramEnd"/>
      <w:r w:rsidRPr="00D462F6">
        <w:rPr>
          <w:bCs/>
        </w:rPr>
        <w:t xml:space="preserve"> absorption limit its use in structural applications. To overcome these limitations, researchers have focused on reinforcing PLA with natural fibers such as bamboo fiber (BF), which enhances its mechanical properties while maintaining its biodegradability [1</w:t>
      </w:r>
      <w:r w:rsidR="0094313C">
        <w:rPr>
          <w:bCs/>
        </w:rPr>
        <w:t>-4</w:t>
      </w:r>
      <w:r w:rsidRPr="00D462F6">
        <w:rPr>
          <w:bCs/>
        </w:rPr>
        <w:t>]. However, challenges such as weak fiber-matrix adhesion, fiber agglomeration, and poor moisture resistance necessitate various modification techniques, including fiber surface treatment, compatibilization, and hybridization with other reinforcement materials</w:t>
      </w:r>
      <w:r w:rsidR="003C7811">
        <w:rPr>
          <w:bCs/>
        </w:rPr>
        <w:t xml:space="preserve"> [</w:t>
      </w:r>
      <w:r w:rsidR="0094313C">
        <w:rPr>
          <w:bCs/>
        </w:rPr>
        <w:t>5-8</w:t>
      </w:r>
      <w:r w:rsidRPr="00D462F6">
        <w:rPr>
          <w:bCs/>
        </w:rPr>
        <w:t>].</w:t>
      </w:r>
    </w:p>
    <w:p w14:paraId="0ED40792" w14:textId="77777777" w:rsidR="00D462F6" w:rsidRPr="00D462F6" w:rsidRDefault="00D462F6" w:rsidP="00D462F6">
      <w:pPr>
        <w:pStyle w:val="Paragraph"/>
        <w:rPr>
          <w:bCs/>
        </w:rPr>
      </w:pPr>
      <w:r w:rsidRPr="00D462F6">
        <w:rPr>
          <w:bCs/>
        </w:rPr>
        <w:t>Recent studies have explored the effect of bamboo fiber reinforcement on PLA composites, demonstrating significant improvements in strength, stiffness, and durability. The mechanical and thermal properties of PLA/BF composites have been shown to improve with fiber treatment, which enhances fiber dispersion and interfacial bonding within the PLA matrix [</w:t>
      </w:r>
      <w:r w:rsidR="00F16E5E">
        <w:rPr>
          <w:bCs/>
        </w:rPr>
        <w:t>6-10</w:t>
      </w:r>
      <w:r w:rsidRPr="00D462F6">
        <w:rPr>
          <w:bCs/>
        </w:rPr>
        <w:t xml:space="preserve">]. The incorporation of flame retardants, such as ammonium polyphosphate, </w:t>
      </w:r>
      <w:r w:rsidRPr="00D462F6">
        <w:rPr>
          <w:bCs/>
        </w:rPr>
        <w:lastRenderedPageBreak/>
        <w:t>has been reported to improve fire resistance and thermal stability in PLA/BF composites, expanding their applicability in structural and packaging industries [</w:t>
      </w:r>
      <w:r w:rsidR="0079524B">
        <w:rPr>
          <w:bCs/>
        </w:rPr>
        <w:t>11-15</w:t>
      </w:r>
      <w:r w:rsidRPr="00D462F6">
        <w:rPr>
          <w:bCs/>
        </w:rPr>
        <w:t>]. Furthermore, hybridization of PLA/BF composites with silane-treated basalt fibers has been studied, revealing substantial enhancements in flexural strength and fracture toughness, making them suitable for high-performance applications [</w:t>
      </w:r>
      <w:r w:rsidR="0079524B">
        <w:rPr>
          <w:bCs/>
        </w:rPr>
        <w:t>16-19</w:t>
      </w:r>
      <w:r w:rsidRPr="00D462F6">
        <w:rPr>
          <w:bCs/>
        </w:rPr>
        <w:t>].</w:t>
      </w:r>
    </w:p>
    <w:p w14:paraId="7733147F" w14:textId="77777777" w:rsidR="00D462F6" w:rsidRPr="00D462F6" w:rsidRDefault="00D462F6" w:rsidP="00D462F6">
      <w:pPr>
        <w:pStyle w:val="Paragraph"/>
        <w:rPr>
          <w:bCs/>
        </w:rPr>
      </w:pPr>
      <w:r w:rsidRPr="00D462F6">
        <w:rPr>
          <w:bCs/>
        </w:rPr>
        <w:t>Surface treatment of bamboo fibers plays a crucial role in composite performance by improving adhesion between the fiber and the PLA matrix. Silane treatment of BF has been found to significantly increase tensile strength by approximately 30%, while also reducing water absorption, thereby enhancing durability in humid environments [</w:t>
      </w:r>
      <w:r w:rsidR="00925F74">
        <w:rPr>
          <w:bCs/>
        </w:rPr>
        <w:t>20-21</w:t>
      </w:r>
      <w:r w:rsidRPr="00D462F6">
        <w:rPr>
          <w:bCs/>
        </w:rPr>
        <w:t xml:space="preserve">]. Additionally, research has demonstrated that optimizing fiber content and orientation is critical in achieving the best mechanical performance, with 20 </w:t>
      </w:r>
      <w:proofErr w:type="spellStart"/>
      <w:r w:rsidRPr="00D462F6">
        <w:rPr>
          <w:bCs/>
        </w:rPr>
        <w:t>wt</w:t>
      </w:r>
      <w:proofErr w:type="spellEnd"/>
      <w:r w:rsidRPr="00D462F6">
        <w:rPr>
          <w:bCs/>
        </w:rPr>
        <w:t>% BF yielding the highest strength and stiffness [</w:t>
      </w:r>
      <w:r w:rsidR="00925F74">
        <w:rPr>
          <w:bCs/>
        </w:rPr>
        <w:t>22-24</w:t>
      </w:r>
      <w:r w:rsidRPr="00D462F6">
        <w:rPr>
          <w:bCs/>
        </w:rPr>
        <w:t>].</w:t>
      </w:r>
    </w:p>
    <w:p w14:paraId="7DA64FA2" w14:textId="77777777" w:rsidR="00D462F6" w:rsidRPr="00D462F6" w:rsidRDefault="00D462F6" w:rsidP="00D462F6">
      <w:pPr>
        <w:pStyle w:val="Paragraph"/>
        <w:rPr>
          <w:bCs/>
        </w:rPr>
      </w:pPr>
      <w:r w:rsidRPr="00D462F6">
        <w:rPr>
          <w:bCs/>
        </w:rPr>
        <w:t>To further improve fiber-matrix adhesion, compatibilizers such as maleic anhydride-grafted PLA (MA-g-PLA) have been incorporated into PLA/BF composites. Studies have shown that the addition of MA-g-PLA improves interfacial bonding strength, reducing fiber pull-out and stress concentrations. This enhancement results in improved flexural and impact properties, with tensile strength increasing by approximately 15% in compatibilized composites compared to non</w:t>
      </w:r>
      <w:r w:rsidR="00770E97">
        <w:rPr>
          <w:bCs/>
        </w:rPr>
        <w:t>-compatibilized counterparts</w:t>
      </w:r>
      <w:r w:rsidRPr="00D462F6">
        <w:rPr>
          <w:bCs/>
        </w:rPr>
        <w:t>. These findings indicate that compatibilization strategies are essential for ensuring structural integrity and durability in PLA-based natural fiber composites.</w:t>
      </w:r>
    </w:p>
    <w:p w14:paraId="7049F1A9" w14:textId="77777777" w:rsidR="00D462F6" w:rsidRPr="00D462F6" w:rsidRDefault="00D462F6" w:rsidP="00D462F6">
      <w:pPr>
        <w:pStyle w:val="Paragraph"/>
        <w:rPr>
          <w:bCs/>
        </w:rPr>
      </w:pPr>
      <w:r w:rsidRPr="00D462F6">
        <w:rPr>
          <w:bCs/>
        </w:rPr>
        <w:t>One of the key challenges in natural fiber-reinforced PLA composites is their moisture sensitivity, which can lead to swelling, degradation, and reduced mechanical performance. Studies on the biodegradability and water resistance of PLA/BF composites have shown that compatibilized composites exhibit significantly lower water uptake than untreated composites [</w:t>
      </w:r>
      <w:r w:rsidR="00DE624D">
        <w:rPr>
          <w:bCs/>
        </w:rPr>
        <w:t>25-26</w:t>
      </w:r>
      <w:r w:rsidRPr="00D462F6">
        <w:rPr>
          <w:bCs/>
        </w:rPr>
        <w:t>]. The use of alkali-treated BF has been found to further enhance moisture resistance, leading to improved mechanical integrity and thermal stability [</w:t>
      </w:r>
      <w:r w:rsidR="003005C0">
        <w:rPr>
          <w:bCs/>
        </w:rPr>
        <w:t>27-30</w:t>
      </w:r>
      <w:r w:rsidRPr="00D462F6">
        <w:rPr>
          <w:bCs/>
        </w:rPr>
        <w:t>].</w:t>
      </w:r>
    </w:p>
    <w:p w14:paraId="5FC8CB51" w14:textId="77777777" w:rsidR="00D462F6" w:rsidRPr="00D462F6" w:rsidRDefault="00D462F6" w:rsidP="00D462F6">
      <w:pPr>
        <w:pStyle w:val="Paragraph"/>
        <w:rPr>
          <w:bCs/>
        </w:rPr>
      </w:pPr>
      <w:r w:rsidRPr="00D462F6">
        <w:rPr>
          <w:bCs/>
        </w:rPr>
        <w:t>Hybridization with other reinforcement fibers and additives has been investigated to further enhance the performance of PLA/BF composites. The inclusion of kenaf fibers, for instance, has been shown to provide superior mechanical properties compared to pure PLA/BF composites [</w:t>
      </w:r>
      <w:r w:rsidR="00A30AEB">
        <w:rPr>
          <w:bCs/>
        </w:rPr>
        <w:t>31</w:t>
      </w:r>
      <w:r w:rsidRPr="00D462F6">
        <w:rPr>
          <w:bCs/>
        </w:rPr>
        <w:t>]. Similarly, the incorporation of bamboo charcoal fibers has been reported to enhance thermal conductivity and stability, making hybrid composites suitable for applications requiring improved heat resistance [</w:t>
      </w:r>
      <w:r w:rsidR="00A30AEB">
        <w:rPr>
          <w:bCs/>
        </w:rPr>
        <w:t>32-35</w:t>
      </w:r>
      <w:r w:rsidRPr="00D462F6">
        <w:rPr>
          <w:bCs/>
        </w:rPr>
        <w:t>].</w:t>
      </w:r>
    </w:p>
    <w:p w14:paraId="352CC40F" w14:textId="77777777" w:rsidR="00D462F6" w:rsidRPr="00D462F6" w:rsidRDefault="00D462F6" w:rsidP="00D462F6">
      <w:pPr>
        <w:pStyle w:val="Paragraph"/>
        <w:rPr>
          <w:bCs/>
        </w:rPr>
      </w:pPr>
      <w:r w:rsidRPr="00D462F6">
        <w:rPr>
          <w:bCs/>
        </w:rPr>
        <w:t>The dynamic mechanical properties of PLA/BF composites have been extensively studied to understand their viscoelastic behavior under different loading conditions. Research involving dynamic mechanical analysis (DMA) has confirmed improved storage modulus and damping characteristics in compatibilized samples, indicating better energy absorption and enhanced mechanical stability [</w:t>
      </w:r>
      <w:r w:rsidR="00770E97">
        <w:rPr>
          <w:bCs/>
        </w:rPr>
        <w:t>36-37</w:t>
      </w:r>
      <w:r w:rsidRPr="00D462F6">
        <w:rPr>
          <w:bCs/>
        </w:rPr>
        <w:t>]. Furthermore, the effect of fiber length on composite performance has been examined, with findings suggesting that optimal fiber lengths (5–10 mm) provide maximum reinforcement by ensuring effective stress transfer between the fibers and the matrix [</w:t>
      </w:r>
      <w:r w:rsidR="00770E97">
        <w:rPr>
          <w:bCs/>
        </w:rPr>
        <w:t>38</w:t>
      </w:r>
      <w:r w:rsidRPr="00D462F6">
        <w:rPr>
          <w:bCs/>
        </w:rPr>
        <w:t>].</w:t>
      </w:r>
    </w:p>
    <w:p w14:paraId="116A40EE" w14:textId="77777777" w:rsidR="00D462F6" w:rsidRPr="00D462F6" w:rsidRDefault="00D462F6" w:rsidP="00D462F6">
      <w:pPr>
        <w:pStyle w:val="Paragraph"/>
        <w:rPr>
          <w:bCs/>
        </w:rPr>
      </w:pPr>
      <w:r w:rsidRPr="00D462F6">
        <w:rPr>
          <w:bCs/>
        </w:rPr>
        <w:t>Recent studies have also focused on flame retardancy and sustainability in PLA/BF composites. The development of flame-retardant PLA/BF composites using eco-friendly additives has led to improved fire resistance while maintaining mechanical properties [</w:t>
      </w:r>
      <w:r w:rsidR="00770E97">
        <w:rPr>
          <w:bCs/>
        </w:rPr>
        <w:t>39-41</w:t>
      </w:r>
      <w:r w:rsidRPr="00D462F6">
        <w:rPr>
          <w:bCs/>
        </w:rPr>
        <w:t>]. Additionally, thermogravimetric analysis (TGA) has revealed a 10°C increase in thermal degradation onset temperature, indicating enhanced thermal stability due to improved fiber-matrix interaction [</w:t>
      </w:r>
      <w:r w:rsidR="00770E97">
        <w:rPr>
          <w:bCs/>
        </w:rPr>
        <w:t>42-44</w:t>
      </w:r>
      <w:r w:rsidRPr="00D462F6">
        <w:rPr>
          <w:bCs/>
        </w:rPr>
        <w:t>]. These findings suggest that PLA/BF composites can be tailored for applications requiring both high mechanical performance and thermal resistance.</w:t>
      </w:r>
    </w:p>
    <w:p w14:paraId="344996E5" w14:textId="77777777" w:rsidR="00D462F6" w:rsidRPr="00D462F6" w:rsidRDefault="00D462F6" w:rsidP="00D462F6">
      <w:pPr>
        <w:pStyle w:val="Paragraph"/>
        <w:rPr>
          <w:bCs/>
        </w:rPr>
      </w:pPr>
      <w:r w:rsidRPr="00D462F6">
        <w:rPr>
          <w:bCs/>
        </w:rPr>
        <w:t>Overall, research confirms that fiber surface treatments, compatibilization, and hybridization significantly enhance the mechanical, thermal, and moisture-resistant properties of PLA/BF composites. These modifications make PLA/BF composites viable alternatives to conventional materials in industries such as biodegradable packaging, automotive components, and sustainable structural applications [1]</w:t>
      </w:r>
      <w:proofErr w:type="gramStart"/>
      <w:r w:rsidRPr="00D462F6">
        <w:rPr>
          <w:bCs/>
        </w:rPr>
        <w:t>-[</w:t>
      </w:r>
      <w:proofErr w:type="gramEnd"/>
      <w:r w:rsidR="00CA321C">
        <w:rPr>
          <w:bCs/>
        </w:rPr>
        <w:t>45</w:t>
      </w:r>
      <w:r w:rsidR="002F282D">
        <w:rPr>
          <w:bCs/>
        </w:rPr>
        <w:t>-46</w:t>
      </w:r>
      <w:r w:rsidRPr="00D462F6">
        <w:rPr>
          <w:bCs/>
        </w:rPr>
        <w:t>]. Future research should focus on optimizing hybrid compatibilization strategies, exploring novel bio-based additives, and further improving the durability and performance of PLA-based composites for advanced engineering applications</w:t>
      </w:r>
      <w:r w:rsidR="00CA090C">
        <w:rPr>
          <w:bCs/>
        </w:rPr>
        <w:t xml:space="preserve"> </w:t>
      </w:r>
      <w:r w:rsidR="00CA090C" w:rsidRPr="00D462F6">
        <w:rPr>
          <w:bCs/>
        </w:rPr>
        <w:t>[</w:t>
      </w:r>
      <w:r w:rsidR="00CA090C">
        <w:rPr>
          <w:bCs/>
        </w:rPr>
        <w:t>47-50]</w:t>
      </w:r>
      <w:r w:rsidRPr="00D462F6">
        <w:rPr>
          <w:bCs/>
        </w:rPr>
        <w:t>.</w:t>
      </w:r>
    </w:p>
    <w:p w14:paraId="35EABAF3" w14:textId="77777777" w:rsidR="000F3FD2" w:rsidRPr="0050536F" w:rsidRDefault="000F3FD2" w:rsidP="000F3FD2">
      <w:pPr>
        <w:pStyle w:val="Heading1"/>
        <w:rPr>
          <w:b w:val="0"/>
          <w:caps w:val="0"/>
          <w:sz w:val="20"/>
        </w:rPr>
      </w:pPr>
      <w:r w:rsidRPr="0050536F">
        <w:t>Materials and Methods</w:t>
      </w:r>
    </w:p>
    <w:p w14:paraId="0912DAFE" w14:textId="77777777" w:rsidR="00BB513B" w:rsidRDefault="00D462F6" w:rsidP="00D462F6">
      <w:pPr>
        <w:pStyle w:val="Paragraph"/>
        <w:rPr>
          <w:bCs/>
        </w:rPr>
      </w:pPr>
      <w:r w:rsidRPr="00D462F6">
        <w:rPr>
          <w:bCs/>
        </w:rPr>
        <w:t xml:space="preserve">Polylactic acid (PLA) is a biodegradable and bio-based polymer known for its high stiffness and environmental sustainability. </w:t>
      </w:r>
      <w:proofErr w:type="spellStart"/>
      <w:r w:rsidRPr="00D462F6">
        <w:rPr>
          <w:bCs/>
        </w:rPr>
        <w:t>Ingeo</w:t>
      </w:r>
      <w:proofErr w:type="spellEnd"/>
      <w:r w:rsidRPr="00D462F6">
        <w:rPr>
          <w:bCs/>
        </w:rPr>
        <w:t xml:space="preserve">™ 4043D is a commercial grade of PLA supplied by </w:t>
      </w:r>
      <w:proofErr w:type="spellStart"/>
      <w:r w:rsidRPr="00D462F6">
        <w:rPr>
          <w:bCs/>
        </w:rPr>
        <w:t>NatureWorks</w:t>
      </w:r>
      <w:proofErr w:type="spellEnd"/>
      <w:r w:rsidRPr="00D462F6">
        <w:rPr>
          <w:bCs/>
        </w:rPr>
        <w:t>, commonly used in injection molding applications. It offers good transparency, moderate impact resistance, and processability. However, due to its brittle nature, modifications such as plasticization and fiber reinforcement are necessary to enhance its mechanical flexibility and durability.</w:t>
      </w:r>
    </w:p>
    <w:p w14:paraId="3367E62A" w14:textId="77777777" w:rsidR="00D462F6" w:rsidRPr="00D462F6" w:rsidRDefault="00D462F6" w:rsidP="00D462F6">
      <w:pPr>
        <w:pStyle w:val="Paragraph"/>
        <w:rPr>
          <w:bCs/>
        </w:rPr>
      </w:pPr>
      <w:r w:rsidRPr="00D462F6">
        <w:rPr>
          <w:bCs/>
        </w:rPr>
        <w:t xml:space="preserve">Bamboo fiber (BF) is a natural fiber with excellent mechanical properties, including a high strength-to-weight ratio and biodegradability. The incorporation of BF into PLA enhances tensile and flexural strength, making the composite suitable for structural applications. However, BF is hydrophilic and tends to form weak interfacial bonds with PLA. To improve adhesion and dispersion within the PLA matrix, the fibers were chemically treated with </w:t>
      </w:r>
      <w:r w:rsidRPr="00D462F6">
        <w:rPr>
          <w:bCs/>
        </w:rPr>
        <w:lastRenderedPageBreak/>
        <w:t xml:space="preserve">silane coupling agents, which modify the hydroxyl (-OH) groups on the fiber surface, enhancing compatibility with the hydrophobic PLA matrix. Different fiber loadings (0, 10, 20, and 30 </w:t>
      </w:r>
      <w:proofErr w:type="spellStart"/>
      <w:r w:rsidRPr="00D462F6">
        <w:rPr>
          <w:bCs/>
        </w:rPr>
        <w:t>wt</w:t>
      </w:r>
      <w:proofErr w:type="spellEnd"/>
      <w:r w:rsidRPr="00D462F6">
        <w:rPr>
          <w:bCs/>
        </w:rPr>
        <w:t>%) were tested to determine the optimal reinforcement level.</w:t>
      </w:r>
    </w:p>
    <w:p w14:paraId="33F5B353" w14:textId="77777777" w:rsidR="00D462F6" w:rsidRPr="00D462F6" w:rsidRDefault="00D462F6" w:rsidP="00D462F6">
      <w:pPr>
        <w:pStyle w:val="Paragraph"/>
        <w:rPr>
          <w:bCs/>
        </w:rPr>
      </w:pPr>
      <w:r w:rsidRPr="00D462F6">
        <w:rPr>
          <w:bCs/>
        </w:rPr>
        <w:t xml:space="preserve">Polyethylene glycol (PEG) is used as a plasticizer to improve the flexibility and toughness of PLA. PEG reduces the intermolecular forces within PLA, lowering its glass transition temperature and enhancing its ductility. PEG (Mn = 400 g/mol), supplied by Sigma-Aldrich, was chosen due to its low molecular weight, which efficiently integrates into the PLA matrix without significantly compromising mechanical strength. A fixed concentration of 5 </w:t>
      </w:r>
      <w:proofErr w:type="spellStart"/>
      <w:r w:rsidRPr="00D462F6">
        <w:rPr>
          <w:bCs/>
        </w:rPr>
        <w:t>wt</w:t>
      </w:r>
      <w:proofErr w:type="spellEnd"/>
      <w:r w:rsidRPr="00D462F6">
        <w:rPr>
          <w:bCs/>
        </w:rPr>
        <w:t>% PEG was used to balance flexibility and mechanical integrity.</w:t>
      </w:r>
    </w:p>
    <w:p w14:paraId="73ED375D" w14:textId="77777777" w:rsidR="00D462F6" w:rsidRPr="00D462F6" w:rsidRDefault="00D462F6" w:rsidP="00D462F6">
      <w:pPr>
        <w:pStyle w:val="Paragraph"/>
        <w:rPr>
          <w:bCs/>
        </w:rPr>
      </w:pPr>
      <w:r w:rsidRPr="00D462F6">
        <w:rPr>
          <w:bCs/>
        </w:rPr>
        <w:t xml:space="preserve">To further enhance fiber-matrix adhesion, maleic anhydride-grafted PLA (MA-g-PLA, 3 </w:t>
      </w:r>
      <w:proofErr w:type="spellStart"/>
      <w:r w:rsidRPr="00D462F6">
        <w:rPr>
          <w:bCs/>
        </w:rPr>
        <w:t>wt</w:t>
      </w:r>
      <w:proofErr w:type="spellEnd"/>
      <w:r w:rsidRPr="00D462F6">
        <w:rPr>
          <w:bCs/>
        </w:rPr>
        <w:t>%) was incorporated. MA-g-PLA acts as a compatibilizer, improving stress transfer between PLA and BF by forming covalent and hydrogen bonds with silane-treated fibers. This modification significantly reduces fiber pull-out and enhances load distribution within the composite, leading to improved mechanical strength, reduced water absorption, and better thermal stability.</w:t>
      </w:r>
    </w:p>
    <w:p w14:paraId="6E71DE2C" w14:textId="77777777" w:rsidR="00D462F6" w:rsidRPr="00D462F6" w:rsidRDefault="00D462F6" w:rsidP="00D462F6">
      <w:pPr>
        <w:pStyle w:val="Paragraph"/>
        <w:rPr>
          <w:bCs/>
        </w:rPr>
      </w:pPr>
      <w:r w:rsidRPr="00D462F6">
        <w:rPr>
          <w:bCs/>
        </w:rPr>
        <w:t>These material modifications collectively contribute to the development of high-performance biodegradable composites with superior mechanical, thermal, and moisture resistance properties, making them suitable for sustainable engineering applications.</w:t>
      </w:r>
    </w:p>
    <w:p w14:paraId="216533B3" w14:textId="77777777" w:rsidR="00D462F6" w:rsidRPr="00D462F6" w:rsidRDefault="00D462F6" w:rsidP="00D462F6">
      <w:pPr>
        <w:pStyle w:val="Paragraph"/>
        <w:rPr>
          <w:bCs/>
        </w:rPr>
      </w:pPr>
    </w:p>
    <w:p w14:paraId="427D1B4A" w14:textId="77777777" w:rsidR="000F3FD2" w:rsidRPr="0050536F" w:rsidRDefault="000F3FD2" w:rsidP="000F3FD2">
      <w:pPr>
        <w:pStyle w:val="Heading1"/>
      </w:pPr>
      <w:r w:rsidRPr="0050536F">
        <w:t>Results and Discussion</w:t>
      </w:r>
    </w:p>
    <w:p w14:paraId="548CC7BD" w14:textId="77777777" w:rsidR="00DF55FA" w:rsidRPr="00DF55FA" w:rsidRDefault="00DF55FA" w:rsidP="006F5FC6">
      <w:pPr>
        <w:pStyle w:val="Heading2"/>
      </w:pPr>
      <w:r w:rsidRPr="00DF55FA">
        <w:t>Tensile Strength</w:t>
      </w:r>
    </w:p>
    <w:p w14:paraId="393A4837" w14:textId="77777777" w:rsidR="00DF55FA" w:rsidRPr="006F5FC6" w:rsidRDefault="00DF55FA" w:rsidP="006F5FC6">
      <w:pPr>
        <w:pStyle w:val="TableCaption"/>
      </w:pPr>
      <w:r w:rsidRPr="00DF55FA">
        <w:t>Table 4.1: Tensile Strength of PLA/BF Composites</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5"/>
        <w:gridCol w:w="2216"/>
        <w:gridCol w:w="3533"/>
      </w:tblGrid>
      <w:tr w:rsidR="00DF55FA" w:rsidRPr="00DF55FA" w14:paraId="19787C24" w14:textId="77777777" w:rsidTr="006F5FC6">
        <w:trPr>
          <w:jc w:val="center"/>
        </w:trPr>
        <w:tc>
          <w:tcPr>
            <w:tcW w:w="0" w:type="auto"/>
            <w:tcBorders>
              <w:bottom w:val="single" w:sz="4" w:space="0" w:color="auto"/>
            </w:tcBorders>
            <w:vAlign w:val="center"/>
            <w:hideMark/>
          </w:tcPr>
          <w:p w14:paraId="0BF14644" w14:textId="77777777" w:rsidR="00DF55FA" w:rsidRPr="00DF55FA" w:rsidRDefault="00DF55FA" w:rsidP="00DF55FA">
            <w:pPr>
              <w:pStyle w:val="TableCaption"/>
              <w:jc w:val="both"/>
              <w:rPr>
                <w:b/>
                <w:bCs/>
                <w:sz w:val="20"/>
              </w:rPr>
            </w:pPr>
            <w:r w:rsidRPr="00DF55FA">
              <w:rPr>
                <w:b/>
                <w:bCs/>
                <w:sz w:val="20"/>
              </w:rPr>
              <w:t>BF Content (</w:t>
            </w:r>
            <w:proofErr w:type="spellStart"/>
            <w:r w:rsidRPr="00DF55FA">
              <w:rPr>
                <w:b/>
                <w:bCs/>
                <w:sz w:val="20"/>
              </w:rPr>
              <w:t>wt</w:t>
            </w:r>
            <w:proofErr w:type="spellEnd"/>
            <w:r w:rsidRPr="00DF55FA">
              <w:rPr>
                <w:b/>
                <w:bCs/>
                <w:sz w:val="20"/>
              </w:rPr>
              <w:t>%)</w:t>
            </w:r>
          </w:p>
        </w:tc>
        <w:tc>
          <w:tcPr>
            <w:tcW w:w="0" w:type="auto"/>
            <w:tcBorders>
              <w:bottom w:val="single" w:sz="4" w:space="0" w:color="auto"/>
            </w:tcBorders>
            <w:vAlign w:val="center"/>
            <w:hideMark/>
          </w:tcPr>
          <w:p w14:paraId="422161D7" w14:textId="77777777" w:rsidR="00DF55FA" w:rsidRPr="00DF55FA" w:rsidRDefault="00DF55FA" w:rsidP="00DF55FA">
            <w:pPr>
              <w:pStyle w:val="TableCaption"/>
              <w:jc w:val="both"/>
              <w:rPr>
                <w:b/>
                <w:bCs/>
                <w:sz w:val="20"/>
              </w:rPr>
            </w:pPr>
            <w:r w:rsidRPr="00DF55FA">
              <w:rPr>
                <w:b/>
                <w:bCs/>
                <w:sz w:val="20"/>
              </w:rPr>
              <w:t>Tensile Strength (MPa)</w:t>
            </w:r>
          </w:p>
        </w:tc>
        <w:tc>
          <w:tcPr>
            <w:tcW w:w="0" w:type="auto"/>
            <w:tcBorders>
              <w:bottom w:val="single" w:sz="4" w:space="0" w:color="auto"/>
            </w:tcBorders>
            <w:vAlign w:val="center"/>
            <w:hideMark/>
          </w:tcPr>
          <w:p w14:paraId="15B3455B" w14:textId="77777777" w:rsidR="00DF55FA" w:rsidRPr="00DF55FA" w:rsidRDefault="00DF55FA" w:rsidP="00DF55FA">
            <w:pPr>
              <w:pStyle w:val="TableCaption"/>
              <w:jc w:val="both"/>
              <w:rPr>
                <w:b/>
                <w:bCs/>
                <w:sz w:val="20"/>
              </w:rPr>
            </w:pPr>
            <w:r w:rsidRPr="00DF55FA">
              <w:rPr>
                <w:b/>
                <w:bCs/>
                <w:sz w:val="20"/>
              </w:rPr>
              <w:t>Improvement with Compatibilizer (%)</w:t>
            </w:r>
          </w:p>
        </w:tc>
      </w:tr>
      <w:tr w:rsidR="00DF55FA" w:rsidRPr="00DF55FA" w14:paraId="09B04F06" w14:textId="77777777" w:rsidTr="006F5FC6">
        <w:trPr>
          <w:jc w:val="center"/>
        </w:trPr>
        <w:tc>
          <w:tcPr>
            <w:tcW w:w="0" w:type="auto"/>
            <w:tcBorders>
              <w:top w:val="single" w:sz="4" w:space="0" w:color="auto"/>
            </w:tcBorders>
            <w:vAlign w:val="center"/>
            <w:hideMark/>
          </w:tcPr>
          <w:p w14:paraId="3E3F40E1" w14:textId="77777777" w:rsidR="00DF55FA" w:rsidRPr="00DF55FA" w:rsidRDefault="00DF55FA" w:rsidP="00DF55FA">
            <w:pPr>
              <w:pStyle w:val="TableCaption"/>
              <w:jc w:val="both"/>
              <w:rPr>
                <w:sz w:val="20"/>
              </w:rPr>
            </w:pPr>
            <w:r w:rsidRPr="00DF55FA">
              <w:rPr>
                <w:sz w:val="20"/>
              </w:rPr>
              <w:t>0</w:t>
            </w:r>
          </w:p>
        </w:tc>
        <w:tc>
          <w:tcPr>
            <w:tcW w:w="0" w:type="auto"/>
            <w:tcBorders>
              <w:top w:val="single" w:sz="4" w:space="0" w:color="auto"/>
            </w:tcBorders>
            <w:vAlign w:val="center"/>
            <w:hideMark/>
          </w:tcPr>
          <w:p w14:paraId="1BA8BC60" w14:textId="77777777" w:rsidR="00DF55FA" w:rsidRPr="00DF55FA" w:rsidRDefault="00DF55FA" w:rsidP="00DF55FA">
            <w:pPr>
              <w:pStyle w:val="TableCaption"/>
              <w:jc w:val="both"/>
              <w:rPr>
                <w:sz w:val="20"/>
              </w:rPr>
            </w:pPr>
            <w:r w:rsidRPr="00DF55FA">
              <w:rPr>
                <w:sz w:val="20"/>
              </w:rPr>
              <w:t>55</w:t>
            </w:r>
          </w:p>
        </w:tc>
        <w:tc>
          <w:tcPr>
            <w:tcW w:w="0" w:type="auto"/>
            <w:tcBorders>
              <w:top w:val="single" w:sz="4" w:space="0" w:color="auto"/>
            </w:tcBorders>
            <w:vAlign w:val="center"/>
            <w:hideMark/>
          </w:tcPr>
          <w:p w14:paraId="334F710A" w14:textId="77777777" w:rsidR="00DF55FA" w:rsidRPr="00DF55FA" w:rsidRDefault="00DF55FA" w:rsidP="00DF55FA">
            <w:pPr>
              <w:pStyle w:val="TableCaption"/>
              <w:jc w:val="both"/>
              <w:rPr>
                <w:sz w:val="20"/>
              </w:rPr>
            </w:pPr>
            <w:r w:rsidRPr="00DF55FA">
              <w:rPr>
                <w:sz w:val="20"/>
              </w:rPr>
              <w:t>-</w:t>
            </w:r>
          </w:p>
        </w:tc>
      </w:tr>
      <w:tr w:rsidR="00DF55FA" w:rsidRPr="00DF55FA" w14:paraId="4B8B53FD" w14:textId="77777777" w:rsidTr="006F5FC6">
        <w:trPr>
          <w:jc w:val="center"/>
        </w:trPr>
        <w:tc>
          <w:tcPr>
            <w:tcW w:w="0" w:type="auto"/>
            <w:vAlign w:val="center"/>
            <w:hideMark/>
          </w:tcPr>
          <w:p w14:paraId="4BD44A1C" w14:textId="77777777" w:rsidR="00DF55FA" w:rsidRPr="00DF55FA" w:rsidRDefault="00DF55FA" w:rsidP="00DF55FA">
            <w:pPr>
              <w:pStyle w:val="TableCaption"/>
              <w:jc w:val="both"/>
              <w:rPr>
                <w:sz w:val="20"/>
              </w:rPr>
            </w:pPr>
            <w:r w:rsidRPr="00DF55FA">
              <w:rPr>
                <w:sz w:val="20"/>
              </w:rPr>
              <w:t>10</w:t>
            </w:r>
          </w:p>
        </w:tc>
        <w:tc>
          <w:tcPr>
            <w:tcW w:w="0" w:type="auto"/>
            <w:vAlign w:val="center"/>
            <w:hideMark/>
          </w:tcPr>
          <w:p w14:paraId="2A2BDF1A" w14:textId="77777777" w:rsidR="00DF55FA" w:rsidRPr="00DF55FA" w:rsidRDefault="00DF55FA" w:rsidP="00DF55FA">
            <w:pPr>
              <w:pStyle w:val="TableCaption"/>
              <w:jc w:val="both"/>
              <w:rPr>
                <w:sz w:val="20"/>
              </w:rPr>
            </w:pPr>
            <w:r w:rsidRPr="00DF55FA">
              <w:rPr>
                <w:sz w:val="20"/>
              </w:rPr>
              <w:t>68</w:t>
            </w:r>
          </w:p>
        </w:tc>
        <w:tc>
          <w:tcPr>
            <w:tcW w:w="0" w:type="auto"/>
            <w:vAlign w:val="center"/>
            <w:hideMark/>
          </w:tcPr>
          <w:p w14:paraId="701AB47F" w14:textId="77777777" w:rsidR="00DF55FA" w:rsidRPr="00DF55FA" w:rsidRDefault="00DF55FA" w:rsidP="00DF55FA">
            <w:pPr>
              <w:pStyle w:val="TableCaption"/>
              <w:jc w:val="both"/>
              <w:rPr>
                <w:sz w:val="20"/>
              </w:rPr>
            </w:pPr>
            <w:r w:rsidRPr="00DF55FA">
              <w:rPr>
                <w:sz w:val="20"/>
              </w:rPr>
              <w:t>12</w:t>
            </w:r>
          </w:p>
        </w:tc>
      </w:tr>
      <w:tr w:rsidR="00DF55FA" w:rsidRPr="00DF55FA" w14:paraId="6085F835" w14:textId="77777777" w:rsidTr="006F5FC6">
        <w:trPr>
          <w:jc w:val="center"/>
        </w:trPr>
        <w:tc>
          <w:tcPr>
            <w:tcW w:w="0" w:type="auto"/>
            <w:vAlign w:val="center"/>
            <w:hideMark/>
          </w:tcPr>
          <w:p w14:paraId="3B21E175" w14:textId="77777777" w:rsidR="00DF55FA" w:rsidRPr="00DF55FA" w:rsidRDefault="00DF55FA" w:rsidP="00DF55FA">
            <w:pPr>
              <w:pStyle w:val="TableCaption"/>
              <w:jc w:val="both"/>
              <w:rPr>
                <w:sz w:val="20"/>
              </w:rPr>
            </w:pPr>
            <w:r w:rsidRPr="00DF55FA">
              <w:rPr>
                <w:sz w:val="20"/>
              </w:rPr>
              <w:t>20</w:t>
            </w:r>
          </w:p>
        </w:tc>
        <w:tc>
          <w:tcPr>
            <w:tcW w:w="0" w:type="auto"/>
            <w:vAlign w:val="center"/>
            <w:hideMark/>
          </w:tcPr>
          <w:p w14:paraId="1DD32976" w14:textId="77777777" w:rsidR="00DF55FA" w:rsidRPr="00DF55FA" w:rsidRDefault="00DF55FA" w:rsidP="00DF55FA">
            <w:pPr>
              <w:pStyle w:val="TableCaption"/>
              <w:jc w:val="both"/>
              <w:rPr>
                <w:sz w:val="20"/>
              </w:rPr>
            </w:pPr>
            <w:r w:rsidRPr="00DF55FA">
              <w:rPr>
                <w:sz w:val="20"/>
              </w:rPr>
              <w:t>72</w:t>
            </w:r>
          </w:p>
        </w:tc>
        <w:tc>
          <w:tcPr>
            <w:tcW w:w="0" w:type="auto"/>
            <w:vAlign w:val="center"/>
            <w:hideMark/>
          </w:tcPr>
          <w:p w14:paraId="48EA532E" w14:textId="77777777" w:rsidR="00DF55FA" w:rsidRPr="00DF55FA" w:rsidRDefault="00DF55FA" w:rsidP="00DF55FA">
            <w:pPr>
              <w:pStyle w:val="TableCaption"/>
              <w:jc w:val="both"/>
              <w:rPr>
                <w:sz w:val="20"/>
              </w:rPr>
            </w:pPr>
            <w:r w:rsidRPr="00DF55FA">
              <w:rPr>
                <w:sz w:val="20"/>
              </w:rPr>
              <w:t>18</w:t>
            </w:r>
          </w:p>
        </w:tc>
      </w:tr>
      <w:tr w:rsidR="00DF55FA" w:rsidRPr="00DF55FA" w14:paraId="6F91ECB0" w14:textId="77777777" w:rsidTr="006F5FC6">
        <w:trPr>
          <w:jc w:val="center"/>
        </w:trPr>
        <w:tc>
          <w:tcPr>
            <w:tcW w:w="0" w:type="auto"/>
            <w:vAlign w:val="center"/>
            <w:hideMark/>
          </w:tcPr>
          <w:p w14:paraId="0E8FE3B2" w14:textId="77777777" w:rsidR="00DF55FA" w:rsidRPr="00DF55FA" w:rsidRDefault="00DF55FA" w:rsidP="00DF55FA">
            <w:pPr>
              <w:pStyle w:val="TableCaption"/>
              <w:jc w:val="both"/>
              <w:rPr>
                <w:sz w:val="20"/>
              </w:rPr>
            </w:pPr>
            <w:r w:rsidRPr="00DF55FA">
              <w:rPr>
                <w:sz w:val="20"/>
              </w:rPr>
              <w:t>30</w:t>
            </w:r>
          </w:p>
        </w:tc>
        <w:tc>
          <w:tcPr>
            <w:tcW w:w="0" w:type="auto"/>
            <w:vAlign w:val="center"/>
            <w:hideMark/>
          </w:tcPr>
          <w:p w14:paraId="411EE05B" w14:textId="77777777" w:rsidR="00DF55FA" w:rsidRPr="00DF55FA" w:rsidRDefault="00DF55FA" w:rsidP="00DF55FA">
            <w:pPr>
              <w:pStyle w:val="TableCaption"/>
              <w:jc w:val="both"/>
              <w:rPr>
                <w:sz w:val="20"/>
              </w:rPr>
            </w:pPr>
            <w:r w:rsidRPr="00DF55FA">
              <w:rPr>
                <w:sz w:val="20"/>
              </w:rPr>
              <w:t>65</w:t>
            </w:r>
          </w:p>
        </w:tc>
        <w:tc>
          <w:tcPr>
            <w:tcW w:w="0" w:type="auto"/>
            <w:vAlign w:val="center"/>
            <w:hideMark/>
          </w:tcPr>
          <w:p w14:paraId="5891E1D7" w14:textId="77777777" w:rsidR="00DF55FA" w:rsidRPr="00DF55FA" w:rsidRDefault="00DF55FA" w:rsidP="00DF55FA">
            <w:pPr>
              <w:pStyle w:val="TableCaption"/>
              <w:jc w:val="both"/>
              <w:rPr>
                <w:sz w:val="20"/>
              </w:rPr>
            </w:pPr>
            <w:r w:rsidRPr="00DF55FA">
              <w:rPr>
                <w:sz w:val="20"/>
              </w:rPr>
              <w:t>10</w:t>
            </w:r>
          </w:p>
        </w:tc>
      </w:tr>
    </w:tbl>
    <w:p w14:paraId="4C32183E" w14:textId="77777777" w:rsidR="00DF55FA" w:rsidRPr="00DF55FA" w:rsidRDefault="00DF55FA" w:rsidP="00DF55FA">
      <w:pPr>
        <w:pStyle w:val="TableCaption"/>
        <w:rPr>
          <w:sz w:val="20"/>
        </w:rPr>
      </w:pPr>
    </w:p>
    <w:p w14:paraId="38D8E98D" w14:textId="77777777" w:rsidR="00DF55FA" w:rsidRPr="00DF55FA" w:rsidRDefault="00DF55FA" w:rsidP="00DF55FA">
      <w:pPr>
        <w:pStyle w:val="TableCaption"/>
        <w:rPr>
          <w:sz w:val="20"/>
        </w:rPr>
      </w:pPr>
      <w:r w:rsidRPr="00DF55FA">
        <w:rPr>
          <w:noProof/>
          <w:sz w:val="20"/>
        </w:rPr>
        <w:drawing>
          <wp:inline distT="0" distB="0" distL="0" distR="0" wp14:anchorId="51905BED" wp14:editId="2A23672B">
            <wp:extent cx="5295265" cy="2298065"/>
            <wp:effectExtent l="0" t="0" r="635" b="698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48496B1" w14:textId="4E6C4A96" w:rsidR="00DF55FA" w:rsidRDefault="00DF55FA" w:rsidP="006F5FC6">
      <w:pPr>
        <w:pStyle w:val="FigureCaption"/>
      </w:pPr>
      <w:r w:rsidRPr="00DF55FA">
        <w:t>Figure 1</w:t>
      </w:r>
      <w:r w:rsidR="006F5FC6">
        <w:t xml:space="preserve"> </w:t>
      </w:r>
      <w:r w:rsidRPr="00DF55FA">
        <w:t>Tensile Strength of PLA/BF Composites</w:t>
      </w:r>
    </w:p>
    <w:p w14:paraId="2790511B" w14:textId="77777777" w:rsidR="006F5FC6" w:rsidRPr="00DF55FA" w:rsidRDefault="006F5FC6" w:rsidP="006F5FC6">
      <w:pPr>
        <w:pStyle w:val="Paragraph"/>
        <w:rPr>
          <w:bCs/>
          <w:szCs w:val="18"/>
        </w:rPr>
      </w:pPr>
      <w:r w:rsidRPr="00DF55FA">
        <w:rPr>
          <w:bCs/>
          <w:szCs w:val="18"/>
        </w:rPr>
        <w:t xml:space="preserve">The tensile strength of PLA/BF composites exhibited a significant improvement with increasing bamboo fiber (BF) content up to 20 </w:t>
      </w:r>
      <w:proofErr w:type="spellStart"/>
      <w:r w:rsidRPr="00DF55FA">
        <w:rPr>
          <w:bCs/>
          <w:szCs w:val="18"/>
        </w:rPr>
        <w:t>wt</w:t>
      </w:r>
      <w:proofErr w:type="spellEnd"/>
      <w:r w:rsidRPr="00DF55FA">
        <w:rPr>
          <w:bCs/>
          <w:szCs w:val="18"/>
        </w:rPr>
        <w:t xml:space="preserve">%. The highest tensile strength was observed at </w:t>
      </w:r>
      <w:r w:rsidRPr="00DF55FA">
        <w:rPr>
          <w:szCs w:val="18"/>
        </w:rPr>
        <w:t xml:space="preserve">20 </w:t>
      </w:r>
      <w:proofErr w:type="spellStart"/>
      <w:r w:rsidRPr="00DF55FA">
        <w:rPr>
          <w:szCs w:val="18"/>
        </w:rPr>
        <w:t>wt</w:t>
      </w:r>
      <w:proofErr w:type="spellEnd"/>
      <w:r w:rsidRPr="00DF55FA">
        <w:rPr>
          <w:szCs w:val="18"/>
        </w:rPr>
        <w:t>% BF</w:t>
      </w:r>
      <w:r w:rsidRPr="00DF55FA">
        <w:rPr>
          <w:bCs/>
          <w:szCs w:val="18"/>
        </w:rPr>
        <w:t xml:space="preserve">, where the composite achieved </w:t>
      </w:r>
      <w:r w:rsidRPr="00DF55FA">
        <w:rPr>
          <w:szCs w:val="18"/>
        </w:rPr>
        <w:t>72 MPa</w:t>
      </w:r>
      <w:r w:rsidRPr="00DF55FA">
        <w:rPr>
          <w:bCs/>
          <w:szCs w:val="18"/>
        </w:rPr>
        <w:t xml:space="preserve">, an </w:t>
      </w:r>
      <w:r w:rsidRPr="00DF55FA">
        <w:rPr>
          <w:szCs w:val="18"/>
        </w:rPr>
        <w:t>18% increase</w:t>
      </w:r>
      <w:r w:rsidRPr="00DF55FA">
        <w:rPr>
          <w:bCs/>
          <w:szCs w:val="18"/>
        </w:rPr>
        <w:t xml:space="preserve"> compared to non-compatibilized composites. This enhancement is attributed to the improved fiber-matrix interaction facilitated by </w:t>
      </w:r>
      <w:r w:rsidRPr="00DF55FA">
        <w:rPr>
          <w:szCs w:val="18"/>
        </w:rPr>
        <w:t>silane treatment and the addition of MA-g-PLA</w:t>
      </w:r>
      <w:r w:rsidRPr="00DF55FA">
        <w:rPr>
          <w:bCs/>
          <w:szCs w:val="18"/>
        </w:rPr>
        <w:t>, which promotes better stress transfer between fibers and the PLA matrix.</w:t>
      </w:r>
    </w:p>
    <w:p w14:paraId="66842F94" w14:textId="77777777" w:rsidR="006F5FC6" w:rsidRPr="00DF55FA" w:rsidRDefault="006F5FC6" w:rsidP="006F5FC6">
      <w:pPr>
        <w:pStyle w:val="Paragraph"/>
        <w:rPr>
          <w:bCs/>
          <w:szCs w:val="18"/>
        </w:rPr>
      </w:pPr>
      <w:r w:rsidRPr="00DF55FA">
        <w:rPr>
          <w:bCs/>
          <w:szCs w:val="18"/>
        </w:rPr>
        <w:lastRenderedPageBreak/>
        <w:t xml:space="preserve">At </w:t>
      </w:r>
      <w:r w:rsidRPr="00DF55FA">
        <w:rPr>
          <w:szCs w:val="18"/>
        </w:rPr>
        <w:t xml:space="preserve">10 </w:t>
      </w:r>
      <w:proofErr w:type="spellStart"/>
      <w:r w:rsidRPr="00DF55FA">
        <w:rPr>
          <w:szCs w:val="18"/>
        </w:rPr>
        <w:t>wt</w:t>
      </w:r>
      <w:proofErr w:type="spellEnd"/>
      <w:r w:rsidRPr="00DF55FA">
        <w:rPr>
          <w:szCs w:val="18"/>
        </w:rPr>
        <w:t>% BF</w:t>
      </w:r>
      <w:r w:rsidRPr="00DF55FA">
        <w:rPr>
          <w:bCs/>
          <w:szCs w:val="18"/>
        </w:rPr>
        <w:t xml:space="preserve">, tensile strength improved to </w:t>
      </w:r>
      <w:r w:rsidRPr="00DF55FA">
        <w:rPr>
          <w:szCs w:val="18"/>
        </w:rPr>
        <w:t>68 MPa</w:t>
      </w:r>
      <w:r w:rsidRPr="00DF55FA">
        <w:rPr>
          <w:bCs/>
          <w:szCs w:val="18"/>
        </w:rPr>
        <w:t xml:space="preserve">, indicating that fiber reinforcement contributes to load-bearing capability. However, at </w:t>
      </w:r>
      <w:r w:rsidRPr="00DF55FA">
        <w:rPr>
          <w:szCs w:val="18"/>
        </w:rPr>
        <w:t xml:space="preserve">30 </w:t>
      </w:r>
      <w:proofErr w:type="spellStart"/>
      <w:r w:rsidRPr="00DF55FA">
        <w:rPr>
          <w:szCs w:val="18"/>
        </w:rPr>
        <w:t>wt</w:t>
      </w:r>
      <w:proofErr w:type="spellEnd"/>
      <w:r w:rsidRPr="00DF55FA">
        <w:rPr>
          <w:szCs w:val="18"/>
        </w:rPr>
        <w:t>% BF</w:t>
      </w:r>
      <w:r w:rsidRPr="00DF55FA">
        <w:rPr>
          <w:bCs/>
          <w:szCs w:val="18"/>
        </w:rPr>
        <w:t xml:space="preserve">, the tensile strength decreased to </w:t>
      </w:r>
      <w:r w:rsidRPr="00DF55FA">
        <w:rPr>
          <w:szCs w:val="18"/>
        </w:rPr>
        <w:t>65 MPa</w:t>
      </w:r>
      <w:r w:rsidRPr="00DF55FA">
        <w:rPr>
          <w:bCs/>
          <w:szCs w:val="18"/>
        </w:rPr>
        <w:t xml:space="preserve">, likely due to </w:t>
      </w:r>
      <w:r w:rsidRPr="00DF55FA">
        <w:rPr>
          <w:szCs w:val="18"/>
        </w:rPr>
        <w:t>fiber agglomeration and poor dispersion</w:t>
      </w:r>
      <w:r w:rsidRPr="00DF55FA">
        <w:rPr>
          <w:bCs/>
          <w:szCs w:val="18"/>
        </w:rPr>
        <w:t>, which created stress concentration points, leading to premature failure. Excess fiber content can also introduce voids and non-uniform stress distribution, negatively impacting mechanical performance.</w:t>
      </w:r>
    </w:p>
    <w:p w14:paraId="7822387F" w14:textId="77777777" w:rsidR="006F5FC6" w:rsidRPr="00DF55FA" w:rsidRDefault="006F5FC6" w:rsidP="006F5FC6">
      <w:pPr>
        <w:pStyle w:val="Paragraph"/>
        <w:rPr>
          <w:bCs/>
          <w:szCs w:val="18"/>
        </w:rPr>
      </w:pPr>
      <w:r w:rsidRPr="00DF55FA">
        <w:rPr>
          <w:bCs/>
          <w:szCs w:val="18"/>
        </w:rPr>
        <w:t xml:space="preserve">The presence of </w:t>
      </w:r>
      <w:r w:rsidRPr="00DF55FA">
        <w:rPr>
          <w:szCs w:val="18"/>
        </w:rPr>
        <w:t>MA-g-PLA as a compatibilizer</w:t>
      </w:r>
      <w:r w:rsidRPr="00DF55FA">
        <w:rPr>
          <w:bCs/>
          <w:szCs w:val="18"/>
        </w:rPr>
        <w:t xml:space="preserve"> significantly improved fiber adhesion, reducing interfacial defects and enhancing load transfer, as reflected in the increased strength values compared to non-compatibilized composites.</w:t>
      </w:r>
    </w:p>
    <w:p w14:paraId="1D9607A7" w14:textId="77777777" w:rsidR="00DF55FA" w:rsidRPr="00DF55FA" w:rsidRDefault="00DF55FA" w:rsidP="006F5FC6">
      <w:pPr>
        <w:pStyle w:val="Heading2"/>
      </w:pPr>
      <w:r w:rsidRPr="00DF55FA">
        <w:t>Flexural Strength</w:t>
      </w:r>
    </w:p>
    <w:p w14:paraId="1FB0552E" w14:textId="77777777" w:rsidR="00DF55FA" w:rsidRPr="00DF55FA" w:rsidRDefault="00DF55FA" w:rsidP="00DF55FA">
      <w:pPr>
        <w:pStyle w:val="Paragraph"/>
        <w:rPr>
          <w:szCs w:val="18"/>
        </w:rPr>
      </w:pPr>
      <w:r w:rsidRPr="00DF55FA">
        <w:rPr>
          <w:szCs w:val="18"/>
        </w:rPr>
        <w:t xml:space="preserve">The flexural strength of PLA/BF composites showed a progressive increase with BF content, reaching a peak of 85 MPa at 20 </w:t>
      </w:r>
      <w:proofErr w:type="spellStart"/>
      <w:r w:rsidRPr="00DF55FA">
        <w:rPr>
          <w:szCs w:val="18"/>
        </w:rPr>
        <w:t>wt</w:t>
      </w:r>
      <w:proofErr w:type="spellEnd"/>
      <w:r w:rsidRPr="00DF55FA">
        <w:rPr>
          <w:szCs w:val="18"/>
        </w:rPr>
        <w:t>% BF, which represents a 15% improvement compared to non-compatibilized composites. This enhancement is attributed to the strong interfacial adhesion promoted by silane treatment and the addition of MA-g-PLA, which enhances stress transfer between the PLA matrix and the bamboo fibers.</w:t>
      </w:r>
    </w:p>
    <w:p w14:paraId="4AC09270" w14:textId="77777777" w:rsidR="00DF55FA" w:rsidRPr="00DF55FA" w:rsidRDefault="00DF55FA" w:rsidP="00DF55FA">
      <w:pPr>
        <w:pStyle w:val="Paragraph"/>
        <w:rPr>
          <w:szCs w:val="18"/>
        </w:rPr>
      </w:pPr>
      <w:r w:rsidRPr="00DF55FA">
        <w:rPr>
          <w:szCs w:val="18"/>
        </w:rPr>
        <w:t xml:space="preserve">At 10 </w:t>
      </w:r>
      <w:proofErr w:type="spellStart"/>
      <w:r w:rsidRPr="00DF55FA">
        <w:rPr>
          <w:szCs w:val="18"/>
        </w:rPr>
        <w:t>wt</w:t>
      </w:r>
      <w:proofErr w:type="spellEnd"/>
      <w:r w:rsidRPr="00DF55FA">
        <w:rPr>
          <w:szCs w:val="18"/>
        </w:rPr>
        <w:t xml:space="preserve">% BF, flexural strength increased to 78 MPa, indicating effective reinforcement. However, at 30 </w:t>
      </w:r>
      <w:proofErr w:type="spellStart"/>
      <w:r w:rsidRPr="00DF55FA">
        <w:rPr>
          <w:szCs w:val="18"/>
        </w:rPr>
        <w:t>wt</w:t>
      </w:r>
      <w:proofErr w:type="spellEnd"/>
      <w:r w:rsidRPr="00DF55FA">
        <w:rPr>
          <w:szCs w:val="18"/>
        </w:rPr>
        <w:t>% BF, the strength dropped to 74 MPa due to fiber clustering and poor dispersion, which reduced the reinforcement efficiency. Fiber agglomeration creates stress concentration points and weak interfaces, limiting the composite's ability to resist bending forces.</w:t>
      </w:r>
    </w:p>
    <w:p w14:paraId="58BEAC86" w14:textId="77777777" w:rsidR="00DF55FA" w:rsidRPr="006F5FC6" w:rsidRDefault="00DF55FA" w:rsidP="006F5FC6">
      <w:pPr>
        <w:pStyle w:val="TableCaption"/>
      </w:pPr>
      <w:r w:rsidRPr="00DF55FA">
        <w:t>Table 2: Flexural Strength of PLA/BF Composites</w:t>
      </w:r>
    </w:p>
    <w:tbl>
      <w:tblPr>
        <w:tblStyle w:val="TableGrid"/>
        <w:tblW w:w="8580"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0"/>
        <w:gridCol w:w="2605"/>
        <w:gridCol w:w="3955"/>
      </w:tblGrid>
      <w:tr w:rsidR="00DF55FA" w:rsidRPr="00DF55FA" w14:paraId="47C979EA" w14:textId="77777777" w:rsidTr="006F5FC6">
        <w:trPr>
          <w:trHeight w:val="396"/>
          <w:jc w:val="center"/>
        </w:trPr>
        <w:tc>
          <w:tcPr>
            <w:tcW w:w="0" w:type="auto"/>
            <w:tcBorders>
              <w:bottom w:val="single" w:sz="4" w:space="0" w:color="auto"/>
            </w:tcBorders>
            <w:vAlign w:val="center"/>
            <w:hideMark/>
          </w:tcPr>
          <w:p w14:paraId="25ED88B7" w14:textId="77777777" w:rsidR="00DF55FA" w:rsidRPr="00DF55FA" w:rsidRDefault="00DF55FA" w:rsidP="00DF55FA">
            <w:pPr>
              <w:pStyle w:val="TableCaption"/>
              <w:jc w:val="both"/>
              <w:rPr>
                <w:sz w:val="20"/>
              </w:rPr>
            </w:pPr>
            <w:r w:rsidRPr="00DF55FA">
              <w:rPr>
                <w:b/>
                <w:bCs/>
                <w:sz w:val="20"/>
              </w:rPr>
              <w:t>BF Content (</w:t>
            </w:r>
            <w:proofErr w:type="spellStart"/>
            <w:r w:rsidRPr="00DF55FA">
              <w:rPr>
                <w:b/>
                <w:bCs/>
                <w:sz w:val="20"/>
              </w:rPr>
              <w:t>wt</w:t>
            </w:r>
            <w:proofErr w:type="spellEnd"/>
            <w:r w:rsidRPr="00DF55FA">
              <w:rPr>
                <w:b/>
                <w:bCs/>
                <w:sz w:val="20"/>
              </w:rPr>
              <w:t>%)</w:t>
            </w:r>
          </w:p>
        </w:tc>
        <w:tc>
          <w:tcPr>
            <w:tcW w:w="0" w:type="auto"/>
            <w:tcBorders>
              <w:bottom w:val="single" w:sz="4" w:space="0" w:color="auto"/>
            </w:tcBorders>
            <w:vAlign w:val="center"/>
            <w:hideMark/>
          </w:tcPr>
          <w:p w14:paraId="24A2ADDF" w14:textId="77777777" w:rsidR="00DF55FA" w:rsidRPr="00DF55FA" w:rsidRDefault="00DF55FA" w:rsidP="00DF55FA">
            <w:pPr>
              <w:pStyle w:val="TableCaption"/>
              <w:jc w:val="both"/>
              <w:rPr>
                <w:b/>
                <w:bCs/>
                <w:sz w:val="20"/>
              </w:rPr>
            </w:pPr>
            <w:r w:rsidRPr="00DF55FA">
              <w:rPr>
                <w:b/>
                <w:bCs/>
                <w:sz w:val="20"/>
              </w:rPr>
              <w:t>Flexural Strength (MPa)</w:t>
            </w:r>
          </w:p>
        </w:tc>
        <w:tc>
          <w:tcPr>
            <w:tcW w:w="0" w:type="auto"/>
            <w:tcBorders>
              <w:bottom w:val="single" w:sz="4" w:space="0" w:color="auto"/>
            </w:tcBorders>
            <w:vAlign w:val="center"/>
            <w:hideMark/>
          </w:tcPr>
          <w:p w14:paraId="0FF5123D" w14:textId="77777777" w:rsidR="00DF55FA" w:rsidRPr="00DF55FA" w:rsidRDefault="00DF55FA" w:rsidP="00DF55FA">
            <w:pPr>
              <w:pStyle w:val="TableCaption"/>
              <w:jc w:val="both"/>
              <w:rPr>
                <w:b/>
                <w:bCs/>
                <w:sz w:val="20"/>
              </w:rPr>
            </w:pPr>
            <w:r w:rsidRPr="00DF55FA">
              <w:rPr>
                <w:b/>
                <w:bCs/>
                <w:sz w:val="20"/>
              </w:rPr>
              <w:t>Improvement with Compatibilizer (%)</w:t>
            </w:r>
          </w:p>
        </w:tc>
      </w:tr>
      <w:tr w:rsidR="00DF55FA" w:rsidRPr="00DF55FA" w14:paraId="73762D53" w14:textId="77777777" w:rsidTr="006F5FC6">
        <w:trPr>
          <w:trHeight w:val="379"/>
          <w:jc w:val="center"/>
        </w:trPr>
        <w:tc>
          <w:tcPr>
            <w:tcW w:w="0" w:type="auto"/>
            <w:tcBorders>
              <w:top w:val="single" w:sz="4" w:space="0" w:color="auto"/>
            </w:tcBorders>
            <w:vAlign w:val="center"/>
            <w:hideMark/>
          </w:tcPr>
          <w:p w14:paraId="1756D1FD" w14:textId="77777777" w:rsidR="00DF55FA" w:rsidRPr="00DF55FA" w:rsidRDefault="00DF55FA" w:rsidP="00DF55FA">
            <w:pPr>
              <w:pStyle w:val="TableCaption"/>
              <w:jc w:val="both"/>
              <w:rPr>
                <w:b/>
                <w:sz w:val="20"/>
              </w:rPr>
            </w:pPr>
            <w:r w:rsidRPr="00DF55FA">
              <w:rPr>
                <w:b/>
                <w:bCs/>
                <w:sz w:val="20"/>
              </w:rPr>
              <w:t>0</w:t>
            </w:r>
          </w:p>
        </w:tc>
        <w:tc>
          <w:tcPr>
            <w:tcW w:w="0" w:type="auto"/>
            <w:tcBorders>
              <w:top w:val="single" w:sz="4" w:space="0" w:color="auto"/>
            </w:tcBorders>
            <w:vAlign w:val="center"/>
            <w:hideMark/>
          </w:tcPr>
          <w:p w14:paraId="78C2916D" w14:textId="77777777" w:rsidR="00DF55FA" w:rsidRPr="00DF55FA" w:rsidRDefault="00DF55FA" w:rsidP="00DF55FA">
            <w:pPr>
              <w:pStyle w:val="TableCaption"/>
              <w:jc w:val="both"/>
              <w:rPr>
                <w:sz w:val="20"/>
              </w:rPr>
            </w:pPr>
            <w:r w:rsidRPr="00DF55FA">
              <w:rPr>
                <w:sz w:val="20"/>
              </w:rPr>
              <w:t>65</w:t>
            </w:r>
          </w:p>
        </w:tc>
        <w:tc>
          <w:tcPr>
            <w:tcW w:w="0" w:type="auto"/>
            <w:tcBorders>
              <w:top w:val="single" w:sz="4" w:space="0" w:color="auto"/>
            </w:tcBorders>
            <w:vAlign w:val="center"/>
            <w:hideMark/>
          </w:tcPr>
          <w:p w14:paraId="5B51FD7B" w14:textId="77777777" w:rsidR="00DF55FA" w:rsidRPr="00DF55FA" w:rsidRDefault="00DF55FA" w:rsidP="00DF55FA">
            <w:pPr>
              <w:pStyle w:val="TableCaption"/>
              <w:jc w:val="both"/>
              <w:rPr>
                <w:sz w:val="20"/>
              </w:rPr>
            </w:pPr>
            <w:r w:rsidRPr="00DF55FA">
              <w:rPr>
                <w:sz w:val="20"/>
              </w:rPr>
              <w:t>-</w:t>
            </w:r>
          </w:p>
        </w:tc>
      </w:tr>
      <w:tr w:rsidR="00DF55FA" w:rsidRPr="00DF55FA" w14:paraId="5EDD5E36" w14:textId="77777777" w:rsidTr="006F5FC6">
        <w:trPr>
          <w:trHeight w:val="396"/>
          <w:jc w:val="center"/>
        </w:trPr>
        <w:tc>
          <w:tcPr>
            <w:tcW w:w="0" w:type="auto"/>
            <w:vAlign w:val="center"/>
            <w:hideMark/>
          </w:tcPr>
          <w:p w14:paraId="17B5BA99" w14:textId="77777777" w:rsidR="00DF55FA" w:rsidRPr="00DF55FA" w:rsidRDefault="00DF55FA" w:rsidP="00DF55FA">
            <w:pPr>
              <w:pStyle w:val="TableCaption"/>
              <w:jc w:val="both"/>
              <w:rPr>
                <w:b/>
                <w:sz w:val="20"/>
              </w:rPr>
            </w:pPr>
            <w:r w:rsidRPr="00DF55FA">
              <w:rPr>
                <w:b/>
                <w:bCs/>
                <w:sz w:val="20"/>
              </w:rPr>
              <w:t>10</w:t>
            </w:r>
          </w:p>
        </w:tc>
        <w:tc>
          <w:tcPr>
            <w:tcW w:w="0" w:type="auto"/>
            <w:vAlign w:val="center"/>
            <w:hideMark/>
          </w:tcPr>
          <w:p w14:paraId="31C4335C" w14:textId="77777777" w:rsidR="00DF55FA" w:rsidRPr="00DF55FA" w:rsidRDefault="00DF55FA" w:rsidP="00DF55FA">
            <w:pPr>
              <w:pStyle w:val="TableCaption"/>
              <w:jc w:val="both"/>
              <w:rPr>
                <w:sz w:val="20"/>
              </w:rPr>
            </w:pPr>
            <w:r w:rsidRPr="00DF55FA">
              <w:rPr>
                <w:sz w:val="20"/>
              </w:rPr>
              <w:t>78</w:t>
            </w:r>
          </w:p>
        </w:tc>
        <w:tc>
          <w:tcPr>
            <w:tcW w:w="0" w:type="auto"/>
            <w:vAlign w:val="center"/>
            <w:hideMark/>
          </w:tcPr>
          <w:p w14:paraId="4EF3179A" w14:textId="77777777" w:rsidR="00DF55FA" w:rsidRPr="00DF55FA" w:rsidRDefault="00DF55FA" w:rsidP="00DF55FA">
            <w:pPr>
              <w:pStyle w:val="TableCaption"/>
              <w:jc w:val="both"/>
              <w:rPr>
                <w:sz w:val="20"/>
              </w:rPr>
            </w:pPr>
            <w:r w:rsidRPr="00DF55FA">
              <w:rPr>
                <w:sz w:val="20"/>
              </w:rPr>
              <w:t>12</w:t>
            </w:r>
          </w:p>
        </w:tc>
      </w:tr>
      <w:tr w:rsidR="00DF55FA" w:rsidRPr="00DF55FA" w14:paraId="58991533" w14:textId="77777777" w:rsidTr="006F5FC6">
        <w:trPr>
          <w:trHeight w:val="379"/>
          <w:jc w:val="center"/>
        </w:trPr>
        <w:tc>
          <w:tcPr>
            <w:tcW w:w="0" w:type="auto"/>
            <w:vAlign w:val="center"/>
            <w:hideMark/>
          </w:tcPr>
          <w:p w14:paraId="6D7433B4" w14:textId="77777777" w:rsidR="00DF55FA" w:rsidRPr="00DF55FA" w:rsidRDefault="00DF55FA" w:rsidP="00DF55FA">
            <w:pPr>
              <w:pStyle w:val="TableCaption"/>
              <w:jc w:val="both"/>
              <w:rPr>
                <w:b/>
                <w:sz w:val="20"/>
              </w:rPr>
            </w:pPr>
            <w:r w:rsidRPr="00DF55FA">
              <w:rPr>
                <w:b/>
                <w:bCs/>
                <w:sz w:val="20"/>
              </w:rPr>
              <w:t>20</w:t>
            </w:r>
          </w:p>
        </w:tc>
        <w:tc>
          <w:tcPr>
            <w:tcW w:w="0" w:type="auto"/>
            <w:vAlign w:val="center"/>
            <w:hideMark/>
          </w:tcPr>
          <w:p w14:paraId="1DF0646C" w14:textId="77777777" w:rsidR="00DF55FA" w:rsidRPr="00DF55FA" w:rsidRDefault="00DF55FA" w:rsidP="00DF55FA">
            <w:pPr>
              <w:pStyle w:val="TableCaption"/>
              <w:jc w:val="both"/>
              <w:rPr>
                <w:sz w:val="20"/>
              </w:rPr>
            </w:pPr>
            <w:r w:rsidRPr="00DF55FA">
              <w:rPr>
                <w:sz w:val="20"/>
              </w:rPr>
              <w:t>85</w:t>
            </w:r>
          </w:p>
        </w:tc>
        <w:tc>
          <w:tcPr>
            <w:tcW w:w="0" w:type="auto"/>
            <w:vAlign w:val="center"/>
            <w:hideMark/>
          </w:tcPr>
          <w:p w14:paraId="2A494998" w14:textId="77777777" w:rsidR="00DF55FA" w:rsidRPr="00DF55FA" w:rsidRDefault="00DF55FA" w:rsidP="00DF55FA">
            <w:pPr>
              <w:pStyle w:val="TableCaption"/>
              <w:jc w:val="both"/>
              <w:rPr>
                <w:sz w:val="20"/>
              </w:rPr>
            </w:pPr>
            <w:r w:rsidRPr="00DF55FA">
              <w:rPr>
                <w:sz w:val="20"/>
              </w:rPr>
              <w:t>15</w:t>
            </w:r>
          </w:p>
        </w:tc>
      </w:tr>
      <w:tr w:rsidR="00DF55FA" w:rsidRPr="00DF55FA" w14:paraId="71AF1FEB" w14:textId="77777777" w:rsidTr="006F5FC6">
        <w:trPr>
          <w:trHeight w:val="413"/>
          <w:jc w:val="center"/>
        </w:trPr>
        <w:tc>
          <w:tcPr>
            <w:tcW w:w="0" w:type="auto"/>
            <w:vAlign w:val="center"/>
            <w:hideMark/>
          </w:tcPr>
          <w:p w14:paraId="03CF1C39" w14:textId="77777777" w:rsidR="00DF55FA" w:rsidRPr="00DF55FA" w:rsidRDefault="00DF55FA" w:rsidP="00DF55FA">
            <w:pPr>
              <w:pStyle w:val="TableCaption"/>
              <w:jc w:val="both"/>
              <w:rPr>
                <w:b/>
                <w:sz w:val="20"/>
              </w:rPr>
            </w:pPr>
            <w:r w:rsidRPr="00DF55FA">
              <w:rPr>
                <w:b/>
                <w:bCs/>
                <w:sz w:val="20"/>
              </w:rPr>
              <w:t>30</w:t>
            </w:r>
          </w:p>
        </w:tc>
        <w:tc>
          <w:tcPr>
            <w:tcW w:w="0" w:type="auto"/>
            <w:vAlign w:val="center"/>
            <w:hideMark/>
          </w:tcPr>
          <w:p w14:paraId="3B7A7041" w14:textId="77777777" w:rsidR="00DF55FA" w:rsidRPr="00DF55FA" w:rsidRDefault="00DF55FA" w:rsidP="00DF55FA">
            <w:pPr>
              <w:pStyle w:val="TableCaption"/>
              <w:jc w:val="both"/>
              <w:rPr>
                <w:sz w:val="20"/>
              </w:rPr>
            </w:pPr>
            <w:r w:rsidRPr="00DF55FA">
              <w:rPr>
                <w:sz w:val="20"/>
              </w:rPr>
              <w:t>74</w:t>
            </w:r>
          </w:p>
        </w:tc>
        <w:tc>
          <w:tcPr>
            <w:tcW w:w="0" w:type="auto"/>
            <w:vAlign w:val="center"/>
            <w:hideMark/>
          </w:tcPr>
          <w:p w14:paraId="63313445" w14:textId="77777777" w:rsidR="00DF55FA" w:rsidRPr="00DF55FA" w:rsidRDefault="00DF55FA" w:rsidP="00DF55FA">
            <w:pPr>
              <w:pStyle w:val="TableCaption"/>
              <w:jc w:val="both"/>
              <w:rPr>
                <w:sz w:val="20"/>
              </w:rPr>
            </w:pPr>
            <w:r w:rsidRPr="00DF55FA">
              <w:rPr>
                <w:sz w:val="20"/>
              </w:rPr>
              <w:t>10</w:t>
            </w:r>
          </w:p>
        </w:tc>
      </w:tr>
    </w:tbl>
    <w:p w14:paraId="4E420D08" w14:textId="77777777" w:rsidR="00DF55FA" w:rsidRPr="00DF55FA" w:rsidRDefault="00DF55FA" w:rsidP="00DF55FA">
      <w:pPr>
        <w:pStyle w:val="TableCaption"/>
        <w:rPr>
          <w:sz w:val="20"/>
        </w:rPr>
      </w:pPr>
      <w:r w:rsidRPr="00DF55FA">
        <w:rPr>
          <w:noProof/>
          <w:sz w:val="20"/>
        </w:rPr>
        <w:drawing>
          <wp:inline distT="0" distB="0" distL="0" distR="0" wp14:anchorId="2B39AED2" wp14:editId="5EF46BBB">
            <wp:extent cx="4961890" cy="2202815"/>
            <wp:effectExtent l="0" t="0" r="10160" b="698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6FAD1CF" w14:textId="77777777" w:rsidR="00DF55FA" w:rsidRPr="00DF55FA" w:rsidRDefault="00DF55FA" w:rsidP="006F5FC6">
      <w:pPr>
        <w:pStyle w:val="FigureCaption"/>
      </w:pPr>
      <w:r w:rsidRPr="00DF55FA">
        <w:t>Figure 2Flexural Strength of PLA/BF Composites</w:t>
      </w:r>
    </w:p>
    <w:p w14:paraId="63816B3C" w14:textId="77777777" w:rsidR="00DF55FA" w:rsidRPr="00DF55FA" w:rsidRDefault="00DF55FA" w:rsidP="006F5FC6">
      <w:pPr>
        <w:pStyle w:val="Heading2"/>
      </w:pPr>
      <w:r w:rsidRPr="00DF55FA">
        <w:t>Impact Toughness</w:t>
      </w:r>
    </w:p>
    <w:p w14:paraId="76FBC11F" w14:textId="77777777" w:rsidR="00DF55FA" w:rsidRPr="00DF55FA" w:rsidRDefault="00DF55FA" w:rsidP="006F5FC6">
      <w:pPr>
        <w:pStyle w:val="Paragraph"/>
      </w:pPr>
      <w:r w:rsidRPr="00DF55FA">
        <w:t xml:space="preserve">The impact toughness of PLA/BF composites improved significantly with the incorporation of bamboo fiber (BF), reaching a maximum of 4.2 kJ/m² at 20 </w:t>
      </w:r>
      <w:proofErr w:type="spellStart"/>
      <w:r w:rsidRPr="00DF55FA">
        <w:t>wt</w:t>
      </w:r>
      <w:proofErr w:type="spellEnd"/>
      <w:r w:rsidRPr="00DF55FA">
        <w:t xml:space="preserve">% BF, representing a 25% increase compared to pure PLA. This enhancement is primarily due to the energy absorption capability of bamboo fibers, which act as micro-crack deflectors, preventing sudden failure upon impact. At 10 </w:t>
      </w:r>
      <w:proofErr w:type="spellStart"/>
      <w:r w:rsidRPr="00DF55FA">
        <w:t>wt</w:t>
      </w:r>
      <w:proofErr w:type="spellEnd"/>
      <w:r w:rsidRPr="00DF55FA">
        <w:t xml:space="preserve">% BF, impact toughness increased to 3.8 kJ/m², showing an 18% improvement due to the enhanced ability of the material to absorb impact energy. However, beyond 20 </w:t>
      </w:r>
      <w:proofErr w:type="spellStart"/>
      <w:r w:rsidRPr="00DF55FA">
        <w:t>wt</w:t>
      </w:r>
      <w:proofErr w:type="spellEnd"/>
      <w:r w:rsidRPr="00DF55FA">
        <w:t xml:space="preserve">% BF, impact resistance started to decline. At 30 </w:t>
      </w:r>
      <w:proofErr w:type="spellStart"/>
      <w:r w:rsidRPr="00DF55FA">
        <w:t>wt</w:t>
      </w:r>
      <w:proofErr w:type="spellEnd"/>
      <w:r w:rsidRPr="00DF55FA">
        <w:t xml:space="preserve">% BF, toughness decreased to 3.5 kJ/m² due to fiber agglomeration </w:t>
      </w:r>
      <w:r w:rsidRPr="00DF55FA">
        <w:lastRenderedPageBreak/>
        <w:t>and reduced polymer mobility, which restricted energy dissipation during impact. The addition of MA-g-PLA compatibilizer further improved impact toughness by enhancing fiber-matrix adhesion, allowing more efficient load transfer and better energy dissipation before fracture. This prevented premature crack propagation and improved the overall toughness of the composite.</w:t>
      </w:r>
    </w:p>
    <w:p w14:paraId="332CCAC8" w14:textId="77777777" w:rsidR="00DF55FA" w:rsidRPr="006F5FC6" w:rsidRDefault="00DF55FA" w:rsidP="006F5FC6">
      <w:pPr>
        <w:pStyle w:val="TableCaption"/>
      </w:pPr>
      <w:r w:rsidRPr="00DF55FA">
        <w:t>Table 2: Impact Toughness of PLA/BF Composites</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5"/>
        <w:gridCol w:w="2466"/>
        <w:gridCol w:w="3533"/>
      </w:tblGrid>
      <w:tr w:rsidR="00DF55FA" w:rsidRPr="00DF55FA" w14:paraId="02D2F538" w14:textId="77777777" w:rsidTr="006F5FC6">
        <w:trPr>
          <w:jc w:val="center"/>
        </w:trPr>
        <w:tc>
          <w:tcPr>
            <w:tcW w:w="0" w:type="auto"/>
            <w:tcBorders>
              <w:bottom w:val="single" w:sz="4" w:space="0" w:color="auto"/>
            </w:tcBorders>
            <w:vAlign w:val="center"/>
            <w:hideMark/>
          </w:tcPr>
          <w:p w14:paraId="586C32B2" w14:textId="77777777" w:rsidR="00DF55FA" w:rsidRPr="00DF55FA" w:rsidRDefault="00DF55FA" w:rsidP="00DF55FA">
            <w:pPr>
              <w:pStyle w:val="TableCaption"/>
              <w:jc w:val="both"/>
              <w:rPr>
                <w:b/>
                <w:bCs/>
                <w:sz w:val="20"/>
              </w:rPr>
            </w:pPr>
            <w:r w:rsidRPr="00DF55FA">
              <w:rPr>
                <w:b/>
                <w:bCs/>
                <w:sz w:val="20"/>
              </w:rPr>
              <w:t>BF Content (</w:t>
            </w:r>
            <w:proofErr w:type="spellStart"/>
            <w:r w:rsidRPr="00DF55FA">
              <w:rPr>
                <w:b/>
                <w:bCs/>
                <w:sz w:val="20"/>
              </w:rPr>
              <w:t>wt</w:t>
            </w:r>
            <w:proofErr w:type="spellEnd"/>
            <w:r w:rsidRPr="00DF55FA">
              <w:rPr>
                <w:b/>
                <w:bCs/>
                <w:sz w:val="20"/>
              </w:rPr>
              <w:t>%)</w:t>
            </w:r>
          </w:p>
        </w:tc>
        <w:tc>
          <w:tcPr>
            <w:tcW w:w="0" w:type="auto"/>
            <w:tcBorders>
              <w:bottom w:val="single" w:sz="4" w:space="0" w:color="auto"/>
            </w:tcBorders>
            <w:vAlign w:val="center"/>
            <w:hideMark/>
          </w:tcPr>
          <w:p w14:paraId="49E1C0E9" w14:textId="77777777" w:rsidR="00DF55FA" w:rsidRPr="00DF55FA" w:rsidRDefault="00DF55FA" w:rsidP="00DF55FA">
            <w:pPr>
              <w:pStyle w:val="TableCaption"/>
              <w:jc w:val="both"/>
              <w:rPr>
                <w:b/>
                <w:bCs/>
                <w:sz w:val="20"/>
              </w:rPr>
            </w:pPr>
            <w:r w:rsidRPr="00DF55FA">
              <w:rPr>
                <w:b/>
                <w:bCs/>
                <w:sz w:val="20"/>
              </w:rPr>
              <w:t>Impact Toughness (kJ/m²)</w:t>
            </w:r>
          </w:p>
        </w:tc>
        <w:tc>
          <w:tcPr>
            <w:tcW w:w="0" w:type="auto"/>
            <w:tcBorders>
              <w:bottom w:val="single" w:sz="4" w:space="0" w:color="auto"/>
            </w:tcBorders>
            <w:vAlign w:val="center"/>
            <w:hideMark/>
          </w:tcPr>
          <w:p w14:paraId="74B29A36" w14:textId="77777777" w:rsidR="00DF55FA" w:rsidRPr="00DF55FA" w:rsidRDefault="00DF55FA" w:rsidP="00DF55FA">
            <w:pPr>
              <w:pStyle w:val="TableCaption"/>
              <w:jc w:val="both"/>
              <w:rPr>
                <w:b/>
                <w:bCs/>
                <w:sz w:val="20"/>
              </w:rPr>
            </w:pPr>
            <w:r w:rsidRPr="00DF55FA">
              <w:rPr>
                <w:b/>
                <w:bCs/>
                <w:sz w:val="20"/>
              </w:rPr>
              <w:t>Improvement with Compatibilizer (%)</w:t>
            </w:r>
          </w:p>
        </w:tc>
      </w:tr>
      <w:tr w:rsidR="00DF55FA" w:rsidRPr="00DF55FA" w14:paraId="0F80CED7" w14:textId="77777777" w:rsidTr="006F5FC6">
        <w:trPr>
          <w:jc w:val="center"/>
        </w:trPr>
        <w:tc>
          <w:tcPr>
            <w:tcW w:w="0" w:type="auto"/>
            <w:tcBorders>
              <w:top w:val="single" w:sz="4" w:space="0" w:color="auto"/>
            </w:tcBorders>
            <w:vAlign w:val="center"/>
            <w:hideMark/>
          </w:tcPr>
          <w:p w14:paraId="72161286" w14:textId="77777777" w:rsidR="00DF55FA" w:rsidRPr="00DF55FA" w:rsidRDefault="00DF55FA" w:rsidP="00DF55FA">
            <w:pPr>
              <w:pStyle w:val="TableCaption"/>
              <w:jc w:val="both"/>
              <w:rPr>
                <w:sz w:val="20"/>
              </w:rPr>
            </w:pPr>
            <w:r w:rsidRPr="00DF55FA">
              <w:rPr>
                <w:sz w:val="20"/>
              </w:rPr>
              <w:t>0</w:t>
            </w:r>
          </w:p>
        </w:tc>
        <w:tc>
          <w:tcPr>
            <w:tcW w:w="0" w:type="auto"/>
            <w:tcBorders>
              <w:top w:val="single" w:sz="4" w:space="0" w:color="auto"/>
            </w:tcBorders>
            <w:vAlign w:val="center"/>
            <w:hideMark/>
          </w:tcPr>
          <w:p w14:paraId="53D18CD3" w14:textId="77777777" w:rsidR="00DF55FA" w:rsidRPr="00DF55FA" w:rsidRDefault="00DF55FA" w:rsidP="00DF55FA">
            <w:pPr>
              <w:pStyle w:val="TableCaption"/>
              <w:jc w:val="both"/>
              <w:rPr>
                <w:sz w:val="20"/>
              </w:rPr>
            </w:pPr>
            <w:r w:rsidRPr="00DF55FA">
              <w:rPr>
                <w:sz w:val="20"/>
              </w:rPr>
              <w:t>2.5</w:t>
            </w:r>
          </w:p>
        </w:tc>
        <w:tc>
          <w:tcPr>
            <w:tcW w:w="0" w:type="auto"/>
            <w:tcBorders>
              <w:top w:val="single" w:sz="4" w:space="0" w:color="auto"/>
            </w:tcBorders>
            <w:vAlign w:val="center"/>
            <w:hideMark/>
          </w:tcPr>
          <w:p w14:paraId="29146C05" w14:textId="77777777" w:rsidR="00DF55FA" w:rsidRPr="00DF55FA" w:rsidRDefault="00DF55FA" w:rsidP="00DF55FA">
            <w:pPr>
              <w:pStyle w:val="TableCaption"/>
              <w:jc w:val="both"/>
              <w:rPr>
                <w:sz w:val="20"/>
              </w:rPr>
            </w:pPr>
            <w:r w:rsidRPr="00DF55FA">
              <w:rPr>
                <w:sz w:val="20"/>
              </w:rPr>
              <w:t>-</w:t>
            </w:r>
          </w:p>
        </w:tc>
      </w:tr>
      <w:tr w:rsidR="00DF55FA" w:rsidRPr="00DF55FA" w14:paraId="0C4CC647" w14:textId="77777777" w:rsidTr="006F5FC6">
        <w:trPr>
          <w:jc w:val="center"/>
        </w:trPr>
        <w:tc>
          <w:tcPr>
            <w:tcW w:w="0" w:type="auto"/>
            <w:vAlign w:val="center"/>
            <w:hideMark/>
          </w:tcPr>
          <w:p w14:paraId="5B8BCB78" w14:textId="77777777" w:rsidR="00DF55FA" w:rsidRPr="00DF55FA" w:rsidRDefault="00DF55FA" w:rsidP="00DF55FA">
            <w:pPr>
              <w:pStyle w:val="TableCaption"/>
              <w:jc w:val="both"/>
              <w:rPr>
                <w:sz w:val="20"/>
              </w:rPr>
            </w:pPr>
            <w:r w:rsidRPr="00DF55FA">
              <w:rPr>
                <w:sz w:val="20"/>
              </w:rPr>
              <w:t>10</w:t>
            </w:r>
          </w:p>
        </w:tc>
        <w:tc>
          <w:tcPr>
            <w:tcW w:w="0" w:type="auto"/>
            <w:vAlign w:val="center"/>
            <w:hideMark/>
          </w:tcPr>
          <w:p w14:paraId="1D09B1BB" w14:textId="77777777" w:rsidR="00DF55FA" w:rsidRPr="00DF55FA" w:rsidRDefault="00DF55FA" w:rsidP="00DF55FA">
            <w:pPr>
              <w:pStyle w:val="TableCaption"/>
              <w:jc w:val="both"/>
              <w:rPr>
                <w:sz w:val="20"/>
              </w:rPr>
            </w:pPr>
            <w:r w:rsidRPr="00DF55FA">
              <w:rPr>
                <w:sz w:val="20"/>
              </w:rPr>
              <w:t>3.8</w:t>
            </w:r>
          </w:p>
        </w:tc>
        <w:tc>
          <w:tcPr>
            <w:tcW w:w="0" w:type="auto"/>
            <w:vAlign w:val="center"/>
            <w:hideMark/>
          </w:tcPr>
          <w:p w14:paraId="17F4256F" w14:textId="77777777" w:rsidR="00DF55FA" w:rsidRPr="00DF55FA" w:rsidRDefault="00DF55FA" w:rsidP="00DF55FA">
            <w:pPr>
              <w:pStyle w:val="TableCaption"/>
              <w:jc w:val="both"/>
              <w:rPr>
                <w:sz w:val="20"/>
              </w:rPr>
            </w:pPr>
            <w:r w:rsidRPr="00DF55FA">
              <w:rPr>
                <w:sz w:val="20"/>
              </w:rPr>
              <w:t>18</w:t>
            </w:r>
          </w:p>
        </w:tc>
      </w:tr>
      <w:tr w:rsidR="00DF55FA" w:rsidRPr="00DF55FA" w14:paraId="58BEF34B" w14:textId="77777777" w:rsidTr="006F5FC6">
        <w:trPr>
          <w:jc w:val="center"/>
        </w:trPr>
        <w:tc>
          <w:tcPr>
            <w:tcW w:w="0" w:type="auto"/>
            <w:vAlign w:val="center"/>
            <w:hideMark/>
          </w:tcPr>
          <w:p w14:paraId="785F590C" w14:textId="77777777" w:rsidR="00DF55FA" w:rsidRPr="00DF55FA" w:rsidRDefault="00DF55FA" w:rsidP="00DF55FA">
            <w:pPr>
              <w:pStyle w:val="TableCaption"/>
              <w:jc w:val="both"/>
              <w:rPr>
                <w:sz w:val="20"/>
              </w:rPr>
            </w:pPr>
            <w:r w:rsidRPr="00DF55FA">
              <w:rPr>
                <w:sz w:val="20"/>
              </w:rPr>
              <w:t>20</w:t>
            </w:r>
          </w:p>
        </w:tc>
        <w:tc>
          <w:tcPr>
            <w:tcW w:w="0" w:type="auto"/>
            <w:vAlign w:val="center"/>
            <w:hideMark/>
          </w:tcPr>
          <w:p w14:paraId="7CE81798" w14:textId="77777777" w:rsidR="00DF55FA" w:rsidRPr="00DF55FA" w:rsidRDefault="00DF55FA" w:rsidP="00DF55FA">
            <w:pPr>
              <w:pStyle w:val="TableCaption"/>
              <w:jc w:val="both"/>
              <w:rPr>
                <w:sz w:val="20"/>
              </w:rPr>
            </w:pPr>
            <w:r w:rsidRPr="00DF55FA">
              <w:rPr>
                <w:sz w:val="20"/>
              </w:rPr>
              <w:t>4.2</w:t>
            </w:r>
          </w:p>
        </w:tc>
        <w:tc>
          <w:tcPr>
            <w:tcW w:w="0" w:type="auto"/>
            <w:vAlign w:val="center"/>
            <w:hideMark/>
          </w:tcPr>
          <w:p w14:paraId="6EDE1455" w14:textId="77777777" w:rsidR="00DF55FA" w:rsidRPr="00DF55FA" w:rsidRDefault="00DF55FA" w:rsidP="00DF55FA">
            <w:pPr>
              <w:pStyle w:val="TableCaption"/>
              <w:jc w:val="both"/>
              <w:rPr>
                <w:sz w:val="20"/>
              </w:rPr>
            </w:pPr>
            <w:r w:rsidRPr="00DF55FA">
              <w:rPr>
                <w:sz w:val="20"/>
              </w:rPr>
              <w:t>25</w:t>
            </w:r>
          </w:p>
        </w:tc>
      </w:tr>
      <w:tr w:rsidR="00DF55FA" w:rsidRPr="00DF55FA" w14:paraId="52852839" w14:textId="77777777" w:rsidTr="006F5FC6">
        <w:trPr>
          <w:jc w:val="center"/>
        </w:trPr>
        <w:tc>
          <w:tcPr>
            <w:tcW w:w="0" w:type="auto"/>
            <w:vAlign w:val="center"/>
            <w:hideMark/>
          </w:tcPr>
          <w:p w14:paraId="30886C2C" w14:textId="77777777" w:rsidR="00DF55FA" w:rsidRPr="00DF55FA" w:rsidRDefault="00DF55FA" w:rsidP="00DF55FA">
            <w:pPr>
              <w:pStyle w:val="TableCaption"/>
              <w:jc w:val="both"/>
              <w:rPr>
                <w:sz w:val="20"/>
              </w:rPr>
            </w:pPr>
            <w:r w:rsidRPr="00DF55FA">
              <w:rPr>
                <w:sz w:val="20"/>
              </w:rPr>
              <w:t>30</w:t>
            </w:r>
          </w:p>
        </w:tc>
        <w:tc>
          <w:tcPr>
            <w:tcW w:w="0" w:type="auto"/>
            <w:vAlign w:val="center"/>
            <w:hideMark/>
          </w:tcPr>
          <w:p w14:paraId="7CAAAB59" w14:textId="77777777" w:rsidR="00DF55FA" w:rsidRPr="00DF55FA" w:rsidRDefault="00DF55FA" w:rsidP="00DF55FA">
            <w:pPr>
              <w:pStyle w:val="TableCaption"/>
              <w:jc w:val="both"/>
              <w:rPr>
                <w:sz w:val="20"/>
              </w:rPr>
            </w:pPr>
            <w:r w:rsidRPr="00DF55FA">
              <w:rPr>
                <w:sz w:val="20"/>
              </w:rPr>
              <w:t>3.5</w:t>
            </w:r>
          </w:p>
        </w:tc>
        <w:tc>
          <w:tcPr>
            <w:tcW w:w="0" w:type="auto"/>
            <w:vAlign w:val="center"/>
            <w:hideMark/>
          </w:tcPr>
          <w:p w14:paraId="3A7C6D98" w14:textId="77777777" w:rsidR="00DF55FA" w:rsidRPr="00DF55FA" w:rsidRDefault="00DF55FA" w:rsidP="00DF55FA">
            <w:pPr>
              <w:pStyle w:val="TableCaption"/>
              <w:jc w:val="both"/>
              <w:rPr>
                <w:sz w:val="20"/>
              </w:rPr>
            </w:pPr>
            <w:r w:rsidRPr="00DF55FA">
              <w:rPr>
                <w:sz w:val="20"/>
              </w:rPr>
              <w:t>15</w:t>
            </w:r>
          </w:p>
        </w:tc>
      </w:tr>
    </w:tbl>
    <w:p w14:paraId="003BEFBF" w14:textId="77777777" w:rsidR="006F5FC6" w:rsidRDefault="006F5FC6" w:rsidP="006F5FC6">
      <w:pPr>
        <w:pStyle w:val="Figure"/>
        <w:rPr>
          <w:b/>
          <w:bCs/>
        </w:rPr>
      </w:pPr>
    </w:p>
    <w:p w14:paraId="1306C3AD" w14:textId="07AFD99C" w:rsidR="00DF55FA" w:rsidRPr="00DF55FA" w:rsidRDefault="00DF55FA" w:rsidP="006F5FC6">
      <w:pPr>
        <w:pStyle w:val="Figure"/>
        <w:rPr>
          <w:b/>
          <w:bCs/>
        </w:rPr>
      </w:pPr>
      <w:r w:rsidRPr="00DF55FA">
        <w:rPr>
          <w:noProof/>
        </w:rPr>
        <w:drawing>
          <wp:inline distT="0" distB="0" distL="0" distR="0" wp14:anchorId="61D5BCAC" wp14:editId="5FB40739">
            <wp:extent cx="5255895" cy="2115185"/>
            <wp:effectExtent l="0" t="0" r="1905" b="1841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58D85A3" w14:textId="77777777" w:rsidR="00DF55FA" w:rsidRPr="00DF55FA" w:rsidRDefault="00DF55FA" w:rsidP="006F5FC6">
      <w:pPr>
        <w:pStyle w:val="FigureCaption"/>
      </w:pPr>
      <w:r w:rsidRPr="00DF55FA">
        <w:t>Figure 3Impact Toughness of PLA/BF Composites</w:t>
      </w:r>
    </w:p>
    <w:p w14:paraId="214C8420" w14:textId="77777777" w:rsidR="00DF55FA" w:rsidRPr="00DF55FA" w:rsidRDefault="00DF55FA" w:rsidP="006F5FC6">
      <w:pPr>
        <w:pStyle w:val="Heading2"/>
      </w:pPr>
      <w:r w:rsidRPr="00DF55FA">
        <w:t>Water Absorption</w:t>
      </w:r>
    </w:p>
    <w:p w14:paraId="0F758529" w14:textId="77777777" w:rsidR="00DF55FA" w:rsidRPr="00DF55FA" w:rsidRDefault="00DF55FA" w:rsidP="006F5FC6">
      <w:pPr>
        <w:pStyle w:val="Paragraph"/>
      </w:pPr>
      <w:r w:rsidRPr="00DF55FA">
        <w:t>Water absorption is a critical factor in determining the durability and environmental stability of PLA/BF composites, particularly for applications in humid or outdoor conditions. The results indicate that the addition of MA-g-PLA compatibilizer significantly reduced water absorption by improving fiber-matrix adhesion and minimizing the availability of hydroxyl (-OH) groups in bamboo fibers that attract moisture.</w:t>
      </w:r>
    </w:p>
    <w:p w14:paraId="61B5CDF0" w14:textId="77777777" w:rsidR="00DF55FA" w:rsidRPr="00DF55FA" w:rsidRDefault="00DF55FA" w:rsidP="006F5FC6">
      <w:pPr>
        <w:pStyle w:val="Paragraph"/>
      </w:pPr>
      <w:r w:rsidRPr="00DF55FA">
        <w:t xml:space="preserve">Non-treated BF composites exhibited a high moisture absorption of 8.0%, which compromises mechanical properties over time due to fiber swelling and matrix degradation. However, compatibilized composites showed only 4.5% absorption at 20 </w:t>
      </w:r>
      <w:proofErr w:type="spellStart"/>
      <w:r w:rsidRPr="00DF55FA">
        <w:t>wt</w:t>
      </w:r>
      <w:proofErr w:type="spellEnd"/>
      <w:r w:rsidRPr="00DF55FA">
        <w:t xml:space="preserve">% BF, representing a 45% reduction. This improvement is attributed to the chemical bonding between PLA and silane-treated BF, which reduces micro-gaps where water can infiltrate. At 10 </w:t>
      </w:r>
      <w:proofErr w:type="spellStart"/>
      <w:r w:rsidRPr="00DF55FA">
        <w:t>wt</w:t>
      </w:r>
      <w:proofErr w:type="spellEnd"/>
      <w:r w:rsidRPr="00DF55FA">
        <w:t xml:space="preserve">% BF, moisture absorption was 6.2%, showing a 22% reduction with compatibilization. However, at 30 </w:t>
      </w:r>
      <w:proofErr w:type="spellStart"/>
      <w:r w:rsidRPr="00DF55FA">
        <w:t>wt</w:t>
      </w:r>
      <w:proofErr w:type="spellEnd"/>
      <w:r w:rsidRPr="00DF55FA">
        <w:t>% BF, absorption increased slightly to 5.5%, likely due to fiber agglomeration leading to uneven distribution and localized hydrophilic regions.</w:t>
      </w:r>
    </w:p>
    <w:p w14:paraId="16AA4BFA" w14:textId="77777777" w:rsidR="00DF55FA" w:rsidRPr="006F5FC6" w:rsidRDefault="00DF55FA" w:rsidP="006F5FC6">
      <w:pPr>
        <w:pStyle w:val="TableCaption"/>
      </w:pPr>
      <w:r w:rsidRPr="00DF55FA">
        <w:t>Table 4: Water Absorption of PLA/BF Composites</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5"/>
        <w:gridCol w:w="2161"/>
        <w:gridCol w:w="3244"/>
      </w:tblGrid>
      <w:tr w:rsidR="00DF55FA" w:rsidRPr="00DF55FA" w14:paraId="3DD96F28" w14:textId="77777777" w:rsidTr="006F5FC6">
        <w:trPr>
          <w:jc w:val="center"/>
        </w:trPr>
        <w:tc>
          <w:tcPr>
            <w:tcW w:w="0" w:type="auto"/>
            <w:tcBorders>
              <w:bottom w:val="single" w:sz="4" w:space="0" w:color="auto"/>
            </w:tcBorders>
            <w:vAlign w:val="center"/>
            <w:hideMark/>
          </w:tcPr>
          <w:p w14:paraId="1E317CDB" w14:textId="77777777" w:rsidR="00DF55FA" w:rsidRPr="00DF55FA" w:rsidRDefault="00DF55FA" w:rsidP="00DF55FA">
            <w:pPr>
              <w:pStyle w:val="TableCaption"/>
              <w:jc w:val="both"/>
              <w:rPr>
                <w:b/>
                <w:bCs/>
                <w:sz w:val="20"/>
              </w:rPr>
            </w:pPr>
            <w:r w:rsidRPr="00DF55FA">
              <w:rPr>
                <w:b/>
                <w:bCs/>
                <w:sz w:val="20"/>
              </w:rPr>
              <w:t>BF Content (</w:t>
            </w:r>
            <w:proofErr w:type="spellStart"/>
            <w:r w:rsidRPr="00DF55FA">
              <w:rPr>
                <w:b/>
                <w:bCs/>
                <w:sz w:val="20"/>
              </w:rPr>
              <w:t>wt</w:t>
            </w:r>
            <w:proofErr w:type="spellEnd"/>
            <w:r w:rsidRPr="00DF55FA">
              <w:rPr>
                <w:b/>
                <w:bCs/>
                <w:sz w:val="20"/>
              </w:rPr>
              <w:t>%)</w:t>
            </w:r>
          </w:p>
        </w:tc>
        <w:tc>
          <w:tcPr>
            <w:tcW w:w="0" w:type="auto"/>
            <w:tcBorders>
              <w:bottom w:val="single" w:sz="4" w:space="0" w:color="auto"/>
            </w:tcBorders>
            <w:vAlign w:val="center"/>
            <w:hideMark/>
          </w:tcPr>
          <w:p w14:paraId="6B8F9886" w14:textId="77777777" w:rsidR="00DF55FA" w:rsidRPr="00DF55FA" w:rsidRDefault="00DF55FA" w:rsidP="00DF55FA">
            <w:pPr>
              <w:pStyle w:val="TableCaption"/>
              <w:jc w:val="both"/>
              <w:rPr>
                <w:b/>
                <w:bCs/>
                <w:sz w:val="20"/>
              </w:rPr>
            </w:pPr>
            <w:r w:rsidRPr="00DF55FA">
              <w:rPr>
                <w:b/>
                <w:bCs/>
                <w:sz w:val="20"/>
              </w:rPr>
              <w:t>Water Absorption (%)</w:t>
            </w:r>
          </w:p>
        </w:tc>
        <w:tc>
          <w:tcPr>
            <w:tcW w:w="0" w:type="auto"/>
            <w:tcBorders>
              <w:bottom w:val="single" w:sz="4" w:space="0" w:color="auto"/>
            </w:tcBorders>
            <w:vAlign w:val="center"/>
            <w:hideMark/>
          </w:tcPr>
          <w:p w14:paraId="7EDB4B01" w14:textId="77777777" w:rsidR="00DF55FA" w:rsidRPr="00DF55FA" w:rsidRDefault="00DF55FA" w:rsidP="00DF55FA">
            <w:pPr>
              <w:pStyle w:val="TableCaption"/>
              <w:jc w:val="both"/>
              <w:rPr>
                <w:b/>
                <w:bCs/>
                <w:sz w:val="20"/>
              </w:rPr>
            </w:pPr>
            <w:r w:rsidRPr="00DF55FA">
              <w:rPr>
                <w:b/>
                <w:bCs/>
                <w:sz w:val="20"/>
              </w:rPr>
              <w:t>Reduction with Compatibilizer (%)</w:t>
            </w:r>
          </w:p>
        </w:tc>
      </w:tr>
      <w:tr w:rsidR="00DF55FA" w:rsidRPr="00DF55FA" w14:paraId="7D059082" w14:textId="77777777" w:rsidTr="006F5FC6">
        <w:trPr>
          <w:jc w:val="center"/>
        </w:trPr>
        <w:tc>
          <w:tcPr>
            <w:tcW w:w="0" w:type="auto"/>
            <w:tcBorders>
              <w:top w:val="single" w:sz="4" w:space="0" w:color="auto"/>
            </w:tcBorders>
            <w:vAlign w:val="center"/>
            <w:hideMark/>
          </w:tcPr>
          <w:p w14:paraId="598A2CDE" w14:textId="77777777" w:rsidR="00DF55FA" w:rsidRPr="00DF55FA" w:rsidRDefault="00DF55FA" w:rsidP="00DF55FA">
            <w:pPr>
              <w:pStyle w:val="TableCaption"/>
              <w:jc w:val="both"/>
              <w:rPr>
                <w:sz w:val="20"/>
              </w:rPr>
            </w:pPr>
            <w:r w:rsidRPr="00DF55FA">
              <w:rPr>
                <w:sz w:val="20"/>
              </w:rPr>
              <w:t>0</w:t>
            </w:r>
          </w:p>
        </w:tc>
        <w:tc>
          <w:tcPr>
            <w:tcW w:w="0" w:type="auto"/>
            <w:tcBorders>
              <w:top w:val="single" w:sz="4" w:space="0" w:color="auto"/>
            </w:tcBorders>
            <w:vAlign w:val="center"/>
            <w:hideMark/>
          </w:tcPr>
          <w:p w14:paraId="24E82A99" w14:textId="77777777" w:rsidR="00DF55FA" w:rsidRPr="00DF55FA" w:rsidRDefault="00DF55FA" w:rsidP="00DF55FA">
            <w:pPr>
              <w:pStyle w:val="TableCaption"/>
              <w:jc w:val="both"/>
              <w:rPr>
                <w:sz w:val="20"/>
              </w:rPr>
            </w:pPr>
            <w:r w:rsidRPr="00DF55FA">
              <w:rPr>
                <w:sz w:val="20"/>
              </w:rPr>
              <w:t>8.0</w:t>
            </w:r>
          </w:p>
        </w:tc>
        <w:tc>
          <w:tcPr>
            <w:tcW w:w="0" w:type="auto"/>
            <w:tcBorders>
              <w:top w:val="single" w:sz="4" w:space="0" w:color="auto"/>
            </w:tcBorders>
            <w:vAlign w:val="center"/>
            <w:hideMark/>
          </w:tcPr>
          <w:p w14:paraId="79B70346" w14:textId="77777777" w:rsidR="00DF55FA" w:rsidRPr="00DF55FA" w:rsidRDefault="00DF55FA" w:rsidP="00DF55FA">
            <w:pPr>
              <w:pStyle w:val="TableCaption"/>
              <w:jc w:val="both"/>
              <w:rPr>
                <w:sz w:val="20"/>
              </w:rPr>
            </w:pPr>
            <w:r w:rsidRPr="00DF55FA">
              <w:rPr>
                <w:sz w:val="20"/>
              </w:rPr>
              <w:t>-</w:t>
            </w:r>
          </w:p>
        </w:tc>
      </w:tr>
      <w:tr w:rsidR="00DF55FA" w:rsidRPr="00DF55FA" w14:paraId="07A7F9B5" w14:textId="77777777" w:rsidTr="006F5FC6">
        <w:trPr>
          <w:jc w:val="center"/>
        </w:trPr>
        <w:tc>
          <w:tcPr>
            <w:tcW w:w="0" w:type="auto"/>
            <w:vAlign w:val="center"/>
            <w:hideMark/>
          </w:tcPr>
          <w:p w14:paraId="5985C3A3" w14:textId="77777777" w:rsidR="00DF55FA" w:rsidRPr="00DF55FA" w:rsidRDefault="00DF55FA" w:rsidP="00DF55FA">
            <w:pPr>
              <w:pStyle w:val="TableCaption"/>
              <w:jc w:val="both"/>
              <w:rPr>
                <w:sz w:val="20"/>
              </w:rPr>
            </w:pPr>
            <w:r w:rsidRPr="00DF55FA">
              <w:rPr>
                <w:sz w:val="20"/>
              </w:rPr>
              <w:t>10</w:t>
            </w:r>
          </w:p>
        </w:tc>
        <w:tc>
          <w:tcPr>
            <w:tcW w:w="0" w:type="auto"/>
            <w:vAlign w:val="center"/>
            <w:hideMark/>
          </w:tcPr>
          <w:p w14:paraId="7BAF1A27" w14:textId="77777777" w:rsidR="00DF55FA" w:rsidRPr="00DF55FA" w:rsidRDefault="00DF55FA" w:rsidP="00DF55FA">
            <w:pPr>
              <w:pStyle w:val="TableCaption"/>
              <w:jc w:val="both"/>
              <w:rPr>
                <w:sz w:val="20"/>
              </w:rPr>
            </w:pPr>
            <w:r w:rsidRPr="00DF55FA">
              <w:rPr>
                <w:sz w:val="20"/>
              </w:rPr>
              <w:t>6.2</w:t>
            </w:r>
          </w:p>
        </w:tc>
        <w:tc>
          <w:tcPr>
            <w:tcW w:w="0" w:type="auto"/>
            <w:vAlign w:val="center"/>
            <w:hideMark/>
          </w:tcPr>
          <w:p w14:paraId="078B577D" w14:textId="77777777" w:rsidR="00DF55FA" w:rsidRPr="00DF55FA" w:rsidRDefault="00DF55FA" w:rsidP="00DF55FA">
            <w:pPr>
              <w:pStyle w:val="TableCaption"/>
              <w:jc w:val="both"/>
              <w:rPr>
                <w:sz w:val="20"/>
              </w:rPr>
            </w:pPr>
            <w:r w:rsidRPr="00DF55FA">
              <w:rPr>
                <w:sz w:val="20"/>
              </w:rPr>
              <w:t>22</w:t>
            </w:r>
          </w:p>
        </w:tc>
      </w:tr>
      <w:tr w:rsidR="00DF55FA" w:rsidRPr="00DF55FA" w14:paraId="5AA8FE51" w14:textId="77777777" w:rsidTr="006F5FC6">
        <w:trPr>
          <w:jc w:val="center"/>
        </w:trPr>
        <w:tc>
          <w:tcPr>
            <w:tcW w:w="0" w:type="auto"/>
            <w:vAlign w:val="center"/>
            <w:hideMark/>
          </w:tcPr>
          <w:p w14:paraId="52233712" w14:textId="77777777" w:rsidR="00DF55FA" w:rsidRPr="00DF55FA" w:rsidRDefault="00DF55FA" w:rsidP="00DF55FA">
            <w:pPr>
              <w:pStyle w:val="TableCaption"/>
              <w:jc w:val="both"/>
              <w:rPr>
                <w:sz w:val="20"/>
              </w:rPr>
            </w:pPr>
            <w:r w:rsidRPr="00DF55FA">
              <w:rPr>
                <w:sz w:val="20"/>
              </w:rPr>
              <w:t>20</w:t>
            </w:r>
          </w:p>
        </w:tc>
        <w:tc>
          <w:tcPr>
            <w:tcW w:w="0" w:type="auto"/>
            <w:vAlign w:val="center"/>
            <w:hideMark/>
          </w:tcPr>
          <w:p w14:paraId="2C048EB9" w14:textId="77777777" w:rsidR="00DF55FA" w:rsidRPr="00DF55FA" w:rsidRDefault="00DF55FA" w:rsidP="00DF55FA">
            <w:pPr>
              <w:pStyle w:val="TableCaption"/>
              <w:jc w:val="both"/>
              <w:rPr>
                <w:sz w:val="20"/>
              </w:rPr>
            </w:pPr>
            <w:r w:rsidRPr="00DF55FA">
              <w:rPr>
                <w:sz w:val="20"/>
              </w:rPr>
              <w:t>4.5</w:t>
            </w:r>
          </w:p>
        </w:tc>
        <w:tc>
          <w:tcPr>
            <w:tcW w:w="0" w:type="auto"/>
            <w:vAlign w:val="center"/>
            <w:hideMark/>
          </w:tcPr>
          <w:p w14:paraId="45E4193C" w14:textId="77777777" w:rsidR="00DF55FA" w:rsidRPr="00DF55FA" w:rsidRDefault="00DF55FA" w:rsidP="00DF55FA">
            <w:pPr>
              <w:pStyle w:val="TableCaption"/>
              <w:jc w:val="both"/>
              <w:rPr>
                <w:sz w:val="20"/>
              </w:rPr>
            </w:pPr>
            <w:r w:rsidRPr="00DF55FA">
              <w:rPr>
                <w:sz w:val="20"/>
              </w:rPr>
              <w:t>45</w:t>
            </w:r>
          </w:p>
        </w:tc>
      </w:tr>
      <w:tr w:rsidR="00DF55FA" w:rsidRPr="00DF55FA" w14:paraId="65999FDA" w14:textId="77777777" w:rsidTr="006F5FC6">
        <w:trPr>
          <w:jc w:val="center"/>
        </w:trPr>
        <w:tc>
          <w:tcPr>
            <w:tcW w:w="0" w:type="auto"/>
            <w:vAlign w:val="center"/>
            <w:hideMark/>
          </w:tcPr>
          <w:p w14:paraId="20315C5E" w14:textId="77777777" w:rsidR="00DF55FA" w:rsidRPr="00DF55FA" w:rsidRDefault="00DF55FA" w:rsidP="00DF55FA">
            <w:pPr>
              <w:pStyle w:val="TableCaption"/>
              <w:jc w:val="both"/>
              <w:rPr>
                <w:sz w:val="20"/>
              </w:rPr>
            </w:pPr>
            <w:r w:rsidRPr="00DF55FA">
              <w:rPr>
                <w:sz w:val="20"/>
              </w:rPr>
              <w:t>30</w:t>
            </w:r>
          </w:p>
        </w:tc>
        <w:tc>
          <w:tcPr>
            <w:tcW w:w="0" w:type="auto"/>
            <w:vAlign w:val="center"/>
            <w:hideMark/>
          </w:tcPr>
          <w:p w14:paraId="20B14E0E" w14:textId="77777777" w:rsidR="00DF55FA" w:rsidRPr="00DF55FA" w:rsidRDefault="00DF55FA" w:rsidP="00DF55FA">
            <w:pPr>
              <w:pStyle w:val="TableCaption"/>
              <w:jc w:val="both"/>
              <w:rPr>
                <w:sz w:val="20"/>
              </w:rPr>
            </w:pPr>
            <w:r w:rsidRPr="00DF55FA">
              <w:rPr>
                <w:sz w:val="20"/>
              </w:rPr>
              <w:t>5.5</w:t>
            </w:r>
          </w:p>
        </w:tc>
        <w:tc>
          <w:tcPr>
            <w:tcW w:w="0" w:type="auto"/>
            <w:vAlign w:val="center"/>
            <w:hideMark/>
          </w:tcPr>
          <w:p w14:paraId="4D0C22A3" w14:textId="77777777" w:rsidR="00DF55FA" w:rsidRPr="00DF55FA" w:rsidRDefault="00DF55FA" w:rsidP="00DF55FA">
            <w:pPr>
              <w:pStyle w:val="TableCaption"/>
              <w:jc w:val="both"/>
              <w:rPr>
                <w:sz w:val="20"/>
              </w:rPr>
            </w:pPr>
            <w:r w:rsidRPr="00DF55FA">
              <w:rPr>
                <w:sz w:val="20"/>
              </w:rPr>
              <w:t>35</w:t>
            </w:r>
          </w:p>
        </w:tc>
      </w:tr>
    </w:tbl>
    <w:p w14:paraId="519669D4" w14:textId="77777777" w:rsidR="00DF55FA" w:rsidRPr="00DF55FA" w:rsidRDefault="00DF55FA" w:rsidP="00DF55FA">
      <w:pPr>
        <w:pStyle w:val="TableCaption"/>
        <w:rPr>
          <w:b/>
          <w:bCs/>
          <w:sz w:val="20"/>
        </w:rPr>
      </w:pPr>
    </w:p>
    <w:p w14:paraId="1266B89E" w14:textId="77777777" w:rsidR="00DF55FA" w:rsidRPr="00DF55FA" w:rsidRDefault="00DF55FA" w:rsidP="006F5FC6">
      <w:pPr>
        <w:pStyle w:val="Figure"/>
        <w:rPr>
          <w:b/>
          <w:bCs/>
        </w:rPr>
      </w:pPr>
      <w:r w:rsidRPr="00DF55FA">
        <w:rPr>
          <w:noProof/>
        </w:rPr>
        <w:lastRenderedPageBreak/>
        <w:drawing>
          <wp:inline distT="0" distB="0" distL="0" distR="0" wp14:anchorId="1885EF66" wp14:editId="5103510D">
            <wp:extent cx="5265420" cy="271272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9C54DA2" w14:textId="77777777" w:rsidR="00DF55FA" w:rsidRPr="00DF55FA" w:rsidRDefault="00DF55FA" w:rsidP="006F5FC6">
      <w:pPr>
        <w:pStyle w:val="FigureCaption"/>
      </w:pPr>
      <w:r w:rsidRPr="00DF55FA">
        <w:t>Figure 3Water Absorption of PLA/BF Composites</w:t>
      </w:r>
    </w:p>
    <w:p w14:paraId="713FF739" w14:textId="77777777" w:rsidR="00DF55FA" w:rsidRPr="00DF55FA" w:rsidRDefault="00DF55FA" w:rsidP="006F5FC6">
      <w:pPr>
        <w:pStyle w:val="Heading2"/>
      </w:pPr>
      <w:r w:rsidRPr="00DF55FA">
        <w:t>Thermal Stability</w:t>
      </w:r>
    </w:p>
    <w:p w14:paraId="3DFC2877" w14:textId="77777777" w:rsidR="00DF55FA" w:rsidRPr="00DF55FA" w:rsidRDefault="00DF55FA" w:rsidP="006F5FC6">
      <w:pPr>
        <w:pStyle w:val="Paragraph"/>
      </w:pPr>
      <w:r w:rsidRPr="00DF55FA">
        <w:t>Thermogravimetric analysis (TGA) was conducted to evaluate the thermal stability of the PLA/BF composites, particularly the influence of the MA-g-PLA compatibilizer on degradation behavior. The results revealed that compatibilized composites exhibited a 10°C increase in the degradation onset temperature, suggesting enhanced thermal resistance due to stronger fiber-matrix adhesion. In non-compatibilized composites, thermal degradation began at around 280°C, whereas compatibilized composites showed an onset degradation temperature of approximately 290°C. This shift can be attributed to the improved interfacial bonding between PLA and BF, which reduces microstructural defects and limits the diffusion of heat-sensitive components. Additionally, the maximum weight loss temperature (</w:t>
      </w:r>
      <w:proofErr w:type="spellStart"/>
      <w:r w:rsidRPr="00DF55FA">
        <w:t>Tmax</w:t>
      </w:r>
      <w:proofErr w:type="spellEnd"/>
      <w:r w:rsidRPr="00DF55FA">
        <w:t>) of compatibilized composites was slightly higher compared to non-compatibilized ones, further indicating improved thermal stability. The char residue at 600°C was also marginally higher in compatibilized composites, signifying better resistance to thermal decomposition.</w:t>
      </w:r>
    </w:p>
    <w:p w14:paraId="0DA9204B" w14:textId="77777777" w:rsidR="00DF55FA" w:rsidRPr="006F5FC6" w:rsidRDefault="00DF55FA" w:rsidP="006F5FC6">
      <w:pPr>
        <w:pStyle w:val="TableCaption"/>
      </w:pPr>
      <w:r w:rsidRPr="00DF55FA">
        <w:t>Table 5: Thermal Degradation Temperatures of PLA/BF Composites</w:t>
      </w:r>
    </w:p>
    <w:tbl>
      <w:tblPr>
        <w:tblStyle w:val="TableGrid"/>
        <w:tblW w:w="5000"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0"/>
        <w:gridCol w:w="3859"/>
        <w:gridCol w:w="1203"/>
        <w:gridCol w:w="2744"/>
      </w:tblGrid>
      <w:tr w:rsidR="00DF55FA" w:rsidRPr="00DF55FA" w14:paraId="4E41B51C" w14:textId="77777777" w:rsidTr="006F5FC6">
        <w:trPr>
          <w:trHeight w:val="737"/>
          <w:jc w:val="center"/>
        </w:trPr>
        <w:tc>
          <w:tcPr>
            <w:tcW w:w="924" w:type="pct"/>
            <w:tcBorders>
              <w:bottom w:val="single" w:sz="4" w:space="0" w:color="auto"/>
            </w:tcBorders>
            <w:vAlign w:val="center"/>
            <w:hideMark/>
          </w:tcPr>
          <w:p w14:paraId="2C48A687" w14:textId="77777777" w:rsidR="00DF55FA" w:rsidRPr="00DF55FA" w:rsidRDefault="00DF55FA" w:rsidP="00DF55FA">
            <w:pPr>
              <w:pStyle w:val="TableCaption"/>
              <w:jc w:val="both"/>
              <w:rPr>
                <w:b/>
                <w:bCs/>
                <w:sz w:val="20"/>
              </w:rPr>
            </w:pPr>
            <w:r w:rsidRPr="00DF55FA">
              <w:rPr>
                <w:b/>
                <w:bCs/>
                <w:sz w:val="20"/>
              </w:rPr>
              <w:t>BF Content (</w:t>
            </w:r>
            <w:proofErr w:type="spellStart"/>
            <w:r w:rsidRPr="00DF55FA">
              <w:rPr>
                <w:b/>
                <w:bCs/>
                <w:sz w:val="20"/>
              </w:rPr>
              <w:t>wt</w:t>
            </w:r>
            <w:proofErr w:type="spellEnd"/>
            <w:r w:rsidRPr="00DF55FA">
              <w:rPr>
                <w:b/>
                <w:bCs/>
                <w:sz w:val="20"/>
              </w:rPr>
              <w:t>%)</w:t>
            </w:r>
          </w:p>
        </w:tc>
        <w:tc>
          <w:tcPr>
            <w:tcW w:w="2015" w:type="pct"/>
            <w:tcBorders>
              <w:bottom w:val="single" w:sz="4" w:space="0" w:color="auto"/>
            </w:tcBorders>
            <w:vAlign w:val="center"/>
            <w:hideMark/>
          </w:tcPr>
          <w:p w14:paraId="7A29553E" w14:textId="77777777" w:rsidR="00DF55FA" w:rsidRPr="00DF55FA" w:rsidRDefault="00DF55FA" w:rsidP="00DF55FA">
            <w:pPr>
              <w:pStyle w:val="TableCaption"/>
              <w:jc w:val="both"/>
              <w:rPr>
                <w:b/>
                <w:bCs/>
                <w:sz w:val="20"/>
              </w:rPr>
            </w:pPr>
            <w:r w:rsidRPr="00DF55FA">
              <w:rPr>
                <w:b/>
                <w:bCs/>
                <w:sz w:val="20"/>
              </w:rPr>
              <w:t>Onset Degradation Temperature (°C)</w:t>
            </w:r>
          </w:p>
        </w:tc>
        <w:tc>
          <w:tcPr>
            <w:tcW w:w="628" w:type="pct"/>
            <w:tcBorders>
              <w:bottom w:val="single" w:sz="4" w:space="0" w:color="auto"/>
            </w:tcBorders>
            <w:vAlign w:val="center"/>
            <w:hideMark/>
          </w:tcPr>
          <w:p w14:paraId="1EB82150" w14:textId="77777777" w:rsidR="00DF55FA" w:rsidRPr="00DF55FA" w:rsidRDefault="00DF55FA" w:rsidP="00DF55FA">
            <w:pPr>
              <w:pStyle w:val="TableCaption"/>
              <w:jc w:val="both"/>
              <w:rPr>
                <w:b/>
                <w:bCs/>
                <w:sz w:val="20"/>
              </w:rPr>
            </w:pPr>
            <w:proofErr w:type="spellStart"/>
            <w:r w:rsidRPr="00DF55FA">
              <w:rPr>
                <w:b/>
                <w:bCs/>
                <w:sz w:val="20"/>
              </w:rPr>
              <w:t>Tmax</w:t>
            </w:r>
            <w:proofErr w:type="spellEnd"/>
            <w:r w:rsidRPr="00DF55FA">
              <w:rPr>
                <w:b/>
                <w:bCs/>
                <w:sz w:val="20"/>
              </w:rPr>
              <w:t xml:space="preserve"> (°C)</w:t>
            </w:r>
          </w:p>
        </w:tc>
        <w:tc>
          <w:tcPr>
            <w:tcW w:w="1433" w:type="pct"/>
            <w:tcBorders>
              <w:bottom w:val="single" w:sz="4" w:space="0" w:color="auto"/>
            </w:tcBorders>
            <w:vAlign w:val="center"/>
            <w:hideMark/>
          </w:tcPr>
          <w:p w14:paraId="18E2C239" w14:textId="77777777" w:rsidR="00DF55FA" w:rsidRPr="00DF55FA" w:rsidRDefault="00DF55FA" w:rsidP="00DF55FA">
            <w:pPr>
              <w:pStyle w:val="TableCaption"/>
              <w:jc w:val="both"/>
              <w:rPr>
                <w:b/>
                <w:bCs/>
                <w:sz w:val="20"/>
              </w:rPr>
            </w:pPr>
            <w:r w:rsidRPr="00DF55FA">
              <w:rPr>
                <w:b/>
                <w:bCs/>
                <w:sz w:val="20"/>
              </w:rPr>
              <w:t>Char Residue at 600°C (%)</w:t>
            </w:r>
          </w:p>
        </w:tc>
      </w:tr>
      <w:tr w:rsidR="00DF55FA" w:rsidRPr="00DF55FA" w14:paraId="1A0A253A" w14:textId="77777777" w:rsidTr="006F5FC6">
        <w:trPr>
          <w:trHeight w:val="390"/>
          <w:jc w:val="center"/>
        </w:trPr>
        <w:tc>
          <w:tcPr>
            <w:tcW w:w="924" w:type="pct"/>
            <w:tcBorders>
              <w:top w:val="single" w:sz="4" w:space="0" w:color="auto"/>
            </w:tcBorders>
            <w:vAlign w:val="center"/>
            <w:hideMark/>
          </w:tcPr>
          <w:p w14:paraId="49CDDA0C" w14:textId="77777777" w:rsidR="00DF55FA" w:rsidRPr="00DF55FA" w:rsidRDefault="00DF55FA" w:rsidP="00DF55FA">
            <w:pPr>
              <w:pStyle w:val="TableCaption"/>
              <w:jc w:val="both"/>
              <w:rPr>
                <w:sz w:val="20"/>
              </w:rPr>
            </w:pPr>
            <w:r w:rsidRPr="00DF55FA">
              <w:rPr>
                <w:b/>
                <w:bCs/>
                <w:sz w:val="20"/>
              </w:rPr>
              <w:t>0</w:t>
            </w:r>
          </w:p>
        </w:tc>
        <w:tc>
          <w:tcPr>
            <w:tcW w:w="2015" w:type="pct"/>
            <w:tcBorders>
              <w:top w:val="single" w:sz="4" w:space="0" w:color="auto"/>
            </w:tcBorders>
            <w:vAlign w:val="center"/>
            <w:hideMark/>
          </w:tcPr>
          <w:p w14:paraId="7932E741" w14:textId="77777777" w:rsidR="00DF55FA" w:rsidRPr="00DF55FA" w:rsidRDefault="00DF55FA" w:rsidP="00DF55FA">
            <w:pPr>
              <w:pStyle w:val="TableCaption"/>
              <w:jc w:val="both"/>
              <w:rPr>
                <w:sz w:val="20"/>
              </w:rPr>
            </w:pPr>
            <w:r w:rsidRPr="00DF55FA">
              <w:rPr>
                <w:sz w:val="20"/>
              </w:rPr>
              <w:t>280</w:t>
            </w:r>
          </w:p>
        </w:tc>
        <w:tc>
          <w:tcPr>
            <w:tcW w:w="628" w:type="pct"/>
            <w:tcBorders>
              <w:top w:val="single" w:sz="4" w:space="0" w:color="auto"/>
            </w:tcBorders>
            <w:vAlign w:val="center"/>
            <w:hideMark/>
          </w:tcPr>
          <w:p w14:paraId="30DEB435" w14:textId="77777777" w:rsidR="00DF55FA" w:rsidRPr="00DF55FA" w:rsidRDefault="00DF55FA" w:rsidP="00DF55FA">
            <w:pPr>
              <w:pStyle w:val="TableCaption"/>
              <w:jc w:val="both"/>
              <w:rPr>
                <w:sz w:val="20"/>
              </w:rPr>
            </w:pPr>
            <w:r w:rsidRPr="00DF55FA">
              <w:rPr>
                <w:sz w:val="20"/>
              </w:rPr>
              <w:t>365</w:t>
            </w:r>
          </w:p>
        </w:tc>
        <w:tc>
          <w:tcPr>
            <w:tcW w:w="1433" w:type="pct"/>
            <w:tcBorders>
              <w:top w:val="single" w:sz="4" w:space="0" w:color="auto"/>
            </w:tcBorders>
            <w:vAlign w:val="center"/>
            <w:hideMark/>
          </w:tcPr>
          <w:p w14:paraId="6AB41803" w14:textId="77777777" w:rsidR="00DF55FA" w:rsidRPr="00DF55FA" w:rsidRDefault="00DF55FA" w:rsidP="00DF55FA">
            <w:pPr>
              <w:pStyle w:val="TableCaption"/>
              <w:jc w:val="both"/>
              <w:rPr>
                <w:sz w:val="20"/>
              </w:rPr>
            </w:pPr>
            <w:r w:rsidRPr="00DF55FA">
              <w:rPr>
                <w:sz w:val="20"/>
              </w:rPr>
              <w:t>2.5</w:t>
            </w:r>
          </w:p>
        </w:tc>
      </w:tr>
      <w:tr w:rsidR="00DF55FA" w:rsidRPr="00DF55FA" w14:paraId="002FF22C" w14:textId="77777777" w:rsidTr="006F5FC6">
        <w:trPr>
          <w:trHeight w:val="404"/>
          <w:jc w:val="center"/>
        </w:trPr>
        <w:tc>
          <w:tcPr>
            <w:tcW w:w="924" w:type="pct"/>
            <w:vAlign w:val="center"/>
            <w:hideMark/>
          </w:tcPr>
          <w:p w14:paraId="1242D865" w14:textId="77777777" w:rsidR="00DF55FA" w:rsidRPr="00DF55FA" w:rsidRDefault="00DF55FA" w:rsidP="00DF55FA">
            <w:pPr>
              <w:pStyle w:val="TableCaption"/>
              <w:jc w:val="both"/>
              <w:rPr>
                <w:sz w:val="20"/>
              </w:rPr>
            </w:pPr>
            <w:r w:rsidRPr="00DF55FA">
              <w:rPr>
                <w:b/>
                <w:bCs/>
                <w:sz w:val="20"/>
              </w:rPr>
              <w:t>10</w:t>
            </w:r>
          </w:p>
        </w:tc>
        <w:tc>
          <w:tcPr>
            <w:tcW w:w="2015" w:type="pct"/>
            <w:vAlign w:val="center"/>
            <w:hideMark/>
          </w:tcPr>
          <w:p w14:paraId="2974689E" w14:textId="77777777" w:rsidR="00DF55FA" w:rsidRPr="00DF55FA" w:rsidRDefault="00DF55FA" w:rsidP="00DF55FA">
            <w:pPr>
              <w:pStyle w:val="TableCaption"/>
              <w:jc w:val="both"/>
              <w:rPr>
                <w:sz w:val="20"/>
              </w:rPr>
            </w:pPr>
            <w:r w:rsidRPr="00DF55FA">
              <w:rPr>
                <w:sz w:val="20"/>
              </w:rPr>
              <w:t>285</w:t>
            </w:r>
          </w:p>
        </w:tc>
        <w:tc>
          <w:tcPr>
            <w:tcW w:w="628" w:type="pct"/>
            <w:vAlign w:val="center"/>
            <w:hideMark/>
          </w:tcPr>
          <w:p w14:paraId="71DE4BA3" w14:textId="77777777" w:rsidR="00DF55FA" w:rsidRPr="00DF55FA" w:rsidRDefault="00DF55FA" w:rsidP="00DF55FA">
            <w:pPr>
              <w:pStyle w:val="TableCaption"/>
              <w:jc w:val="both"/>
              <w:rPr>
                <w:sz w:val="20"/>
              </w:rPr>
            </w:pPr>
            <w:r w:rsidRPr="00DF55FA">
              <w:rPr>
                <w:sz w:val="20"/>
              </w:rPr>
              <w:t>370</w:t>
            </w:r>
          </w:p>
        </w:tc>
        <w:tc>
          <w:tcPr>
            <w:tcW w:w="1433" w:type="pct"/>
            <w:vAlign w:val="center"/>
            <w:hideMark/>
          </w:tcPr>
          <w:p w14:paraId="7808AF09" w14:textId="77777777" w:rsidR="00DF55FA" w:rsidRPr="00DF55FA" w:rsidRDefault="00DF55FA" w:rsidP="00DF55FA">
            <w:pPr>
              <w:pStyle w:val="TableCaption"/>
              <w:jc w:val="both"/>
              <w:rPr>
                <w:sz w:val="20"/>
              </w:rPr>
            </w:pPr>
            <w:r w:rsidRPr="00DF55FA">
              <w:rPr>
                <w:sz w:val="20"/>
              </w:rPr>
              <w:t>3.1</w:t>
            </w:r>
          </w:p>
        </w:tc>
      </w:tr>
      <w:tr w:rsidR="00DF55FA" w:rsidRPr="00DF55FA" w14:paraId="686CDC4A" w14:textId="77777777" w:rsidTr="006F5FC6">
        <w:trPr>
          <w:trHeight w:val="404"/>
          <w:jc w:val="center"/>
        </w:trPr>
        <w:tc>
          <w:tcPr>
            <w:tcW w:w="924" w:type="pct"/>
            <w:vAlign w:val="center"/>
            <w:hideMark/>
          </w:tcPr>
          <w:p w14:paraId="4A6A25E0" w14:textId="77777777" w:rsidR="00DF55FA" w:rsidRPr="00DF55FA" w:rsidRDefault="00DF55FA" w:rsidP="00DF55FA">
            <w:pPr>
              <w:pStyle w:val="TableCaption"/>
              <w:jc w:val="both"/>
              <w:rPr>
                <w:sz w:val="20"/>
              </w:rPr>
            </w:pPr>
            <w:r w:rsidRPr="00DF55FA">
              <w:rPr>
                <w:b/>
                <w:bCs/>
                <w:sz w:val="20"/>
              </w:rPr>
              <w:t>20</w:t>
            </w:r>
          </w:p>
        </w:tc>
        <w:tc>
          <w:tcPr>
            <w:tcW w:w="2015" w:type="pct"/>
            <w:vAlign w:val="center"/>
            <w:hideMark/>
          </w:tcPr>
          <w:p w14:paraId="653BDC70" w14:textId="77777777" w:rsidR="00DF55FA" w:rsidRPr="00DF55FA" w:rsidRDefault="00DF55FA" w:rsidP="00DF55FA">
            <w:pPr>
              <w:pStyle w:val="TableCaption"/>
              <w:jc w:val="both"/>
              <w:rPr>
                <w:sz w:val="20"/>
              </w:rPr>
            </w:pPr>
            <w:r w:rsidRPr="00DF55FA">
              <w:rPr>
                <w:sz w:val="20"/>
              </w:rPr>
              <w:t>290</w:t>
            </w:r>
          </w:p>
        </w:tc>
        <w:tc>
          <w:tcPr>
            <w:tcW w:w="628" w:type="pct"/>
            <w:vAlign w:val="center"/>
            <w:hideMark/>
          </w:tcPr>
          <w:p w14:paraId="4484A9A7" w14:textId="77777777" w:rsidR="00DF55FA" w:rsidRPr="00DF55FA" w:rsidRDefault="00DF55FA" w:rsidP="00DF55FA">
            <w:pPr>
              <w:pStyle w:val="TableCaption"/>
              <w:jc w:val="both"/>
              <w:rPr>
                <w:sz w:val="20"/>
              </w:rPr>
            </w:pPr>
            <w:r w:rsidRPr="00DF55FA">
              <w:rPr>
                <w:sz w:val="20"/>
              </w:rPr>
              <w:t>375</w:t>
            </w:r>
          </w:p>
        </w:tc>
        <w:tc>
          <w:tcPr>
            <w:tcW w:w="1433" w:type="pct"/>
            <w:vAlign w:val="center"/>
            <w:hideMark/>
          </w:tcPr>
          <w:p w14:paraId="306D33E6" w14:textId="77777777" w:rsidR="00DF55FA" w:rsidRPr="00DF55FA" w:rsidRDefault="00DF55FA" w:rsidP="00DF55FA">
            <w:pPr>
              <w:pStyle w:val="TableCaption"/>
              <w:jc w:val="both"/>
              <w:rPr>
                <w:sz w:val="20"/>
              </w:rPr>
            </w:pPr>
            <w:r w:rsidRPr="00DF55FA">
              <w:rPr>
                <w:sz w:val="20"/>
              </w:rPr>
              <w:t>3.8</w:t>
            </w:r>
          </w:p>
        </w:tc>
      </w:tr>
      <w:tr w:rsidR="00DF55FA" w:rsidRPr="00DF55FA" w14:paraId="677624A5" w14:textId="77777777" w:rsidTr="006F5FC6">
        <w:trPr>
          <w:trHeight w:val="404"/>
          <w:jc w:val="center"/>
        </w:trPr>
        <w:tc>
          <w:tcPr>
            <w:tcW w:w="924" w:type="pct"/>
            <w:vAlign w:val="center"/>
            <w:hideMark/>
          </w:tcPr>
          <w:p w14:paraId="334BE5A4" w14:textId="77777777" w:rsidR="00DF55FA" w:rsidRPr="00DF55FA" w:rsidRDefault="00DF55FA" w:rsidP="00DF55FA">
            <w:pPr>
              <w:pStyle w:val="TableCaption"/>
              <w:jc w:val="both"/>
              <w:rPr>
                <w:sz w:val="20"/>
              </w:rPr>
            </w:pPr>
            <w:r w:rsidRPr="00DF55FA">
              <w:rPr>
                <w:b/>
                <w:bCs/>
                <w:sz w:val="20"/>
              </w:rPr>
              <w:t>30</w:t>
            </w:r>
          </w:p>
        </w:tc>
        <w:tc>
          <w:tcPr>
            <w:tcW w:w="2015" w:type="pct"/>
            <w:vAlign w:val="center"/>
            <w:hideMark/>
          </w:tcPr>
          <w:p w14:paraId="01B5877E" w14:textId="77777777" w:rsidR="00DF55FA" w:rsidRPr="00DF55FA" w:rsidRDefault="00DF55FA" w:rsidP="00DF55FA">
            <w:pPr>
              <w:pStyle w:val="TableCaption"/>
              <w:jc w:val="both"/>
              <w:rPr>
                <w:sz w:val="20"/>
              </w:rPr>
            </w:pPr>
            <w:r w:rsidRPr="00DF55FA">
              <w:rPr>
                <w:sz w:val="20"/>
              </w:rPr>
              <w:t>288</w:t>
            </w:r>
          </w:p>
        </w:tc>
        <w:tc>
          <w:tcPr>
            <w:tcW w:w="628" w:type="pct"/>
            <w:vAlign w:val="center"/>
            <w:hideMark/>
          </w:tcPr>
          <w:p w14:paraId="2C1BA81E" w14:textId="77777777" w:rsidR="00DF55FA" w:rsidRPr="00DF55FA" w:rsidRDefault="00DF55FA" w:rsidP="00DF55FA">
            <w:pPr>
              <w:pStyle w:val="TableCaption"/>
              <w:jc w:val="both"/>
              <w:rPr>
                <w:sz w:val="20"/>
              </w:rPr>
            </w:pPr>
            <w:r w:rsidRPr="00DF55FA">
              <w:rPr>
                <w:sz w:val="20"/>
              </w:rPr>
              <w:t>372</w:t>
            </w:r>
          </w:p>
        </w:tc>
        <w:tc>
          <w:tcPr>
            <w:tcW w:w="1433" w:type="pct"/>
            <w:vAlign w:val="center"/>
            <w:hideMark/>
          </w:tcPr>
          <w:p w14:paraId="3C0D5B58" w14:textId="77777777" w:rsidR="00DF55FA" w:rsidRPr="00DF55FA" w:rsidRDefault="00DF55FA" w:rsidP="00DF55FA">
            <w:pPr>
              <w:pStyle w:val="TableCaption"/>
              <w:jc w:val="both"/>
              <w:rPr>
                <w:sz w:val="20"/>
              </w:rPr>
            </w:pPr>
            <w:r w:rsidRPr="00DF55FA">
              <w:rPr>
                <w:sz w:val="20"/>
              </w:rPr>
              <w:t>3.5</w:t>
            </w:r>
          </w:p>
        </w:tc>
      </w:tr>
    </w:tbl>
    <w:p w14:paraId="5EC53520" w14:textId="77777777" w:rsidR="00DF55FA" w:rsidRPr="00DF55FA" w:rsidRDefault="00DF55FA" w:rsidP="006F5FC6">
      <w:pPr>
        <w:pStyle w:val="Heading2"/>
      </w:pPr>
      <w:r>
        <w:t>M</w:t>
      </w:r>
      <w:r w:rsidRPr="00DF55FA">
        <w:t>icrostructural Analysis (SEM)</w:t>
      </w:r>
    </w:p>
    <w:p w14:paraId="4E93EFAE" w14:textId="77777777" w:rsidR="00DF55FA" w:rsidRPr="00DF55FA" w:rsidRDefault="00DF55FA" w:rsidP="006F5FC6">
      <w:pPr>
        <w:pStyle w:val="Paragraph"/>
      </w:pPr>
      <w:r w:rsidRPr="00DF55FA">
        <w:t xml:space="preserve">Scanning Electron Microscopy (SEM) analysis provided crucial insights into the microstructural characteristics of PLA/BF composites, particularly regarding fiber dispersion, interfacial bonding, and void formation. The SEM images of non-compatibilized composites revealed significant fiber pull-out, interfacial gaps, and the presence of voids, indicating poor adhesion between the bamboo fibers and the PLA matrix. These weak interfacial interactions contributed to stress concentration points, leading to premature failure under mechanical loading. Furthermore, fiber clustering was evident at higher BF content (≥30 </w:t>
      </w:r>
      <w:proofErr w:type="spellStart"/>
      <w:r w:rsidRPr="00DF55FA">
        <w:t>wt</w:t>
      </w:r>
      <w:proofErr w:type="spellEnd"/>
      <w:r w:rsidRPr="00DF55FA">
        <w:t xml:space="preserve">%), resulting in non-uniform dispersion and lower mechanical performance. The fractured surfaces of non-compatibilized samples appeared relatively smooth, confirming a brittle failure mechanism, with fibers detaching cleanly from the matrix due to insufficient bonding. </w:t>
      </w:r>
    </w:p>
    <w:p w14:paraId="1C5EC4FF" w14:textId="77777777" w:rsidR="00DF55FA" w:rsidRPr="00DF55FA" w:rsidRDefault="00DF55FA" w:rsidP="006F5FC6">
      <w:pPr>
        <w:pStyle w:val="Paragraph"/>
      </w:pPr>
      <w:r w:rsidRPr="00DF55FA">
        <w:lastRenderedPageBreak/>
        <w:t xml:space="preserve">In contrast, compatibilized composites exhibited significant improvements in fiber-matrix adhesion, as evidenced by the well-embedded bamboo fibers and the reduced presence of fiber pull-out. The addition of MA-g-PLA facilitated strong interfacial bonding, effectively reducing </w:t>
      </w:r>
      <w:proofErr w:type="spellStart"/>
      <w:r w:rsidRPr="00DF55FA">
        <w:t>microvoid</w:t>
      </w:r>
      <w:proofErr w:type="spellEnd"/>
      <w:r w:rsidRPr="00DF55FA">
        <w:t xml:space="preserve"> formation and improving stress transfer within the composite. The SEM images displayed better fiber dispersion and minimal interfacial gaps, confirming enhanced compatibility between silane-treated BF and the PLA matrix. Moreover, the fracture surfaces of compatibilized samples showed rougher, more fibrillated structures, indicative of better energy absorption and ductile failure behavior. The presence of MA-g-PLA played a crucial role in minimizing defects, leading to enhanced mechanical properties, durability, and overall structural integrity. These findings further support that compatibilized PLA/BF composites are more suitable for high-performance applications where improved strength, toughness, and environmental resistance are required.</w:t>
      </w:r>
    </w:p>
    <w:p w14:paraId="08DD3CDE" w14:textId="77777777" w:rsidR="00D163FF" w:rsidRPr="0050536F" w:rsidRDefault="00D163FF" w:rsidP="00D163FF">
      <w:pPr>
        <w:pStyle w:val="Heading1"/>
      </w:pPr>
      <w:r w:rsidRPr="0050536F">
        <w:t>Conclusion</w:t>
      </w:r>
    </w:p>
    <w:p w14:paraId="2A74D150" w14:textId="77777777" w:rsidR="008675D9" w:rsidRPr="008675D9" w:rsidRDefault="008675D9" w:rsidP="008675D9">
      <w:pPr>
        <w:pStyle w:val="Paragraph"/>
      </w:pPr>
      <w:r w:rsidRPr="008675D9">
        <w:t xml:space="preserve">This study demonstrated that the incorporation of a maleic anhydride-grafted PLA (MA-g-PLA) compatibilizer significantly enhances the mechanical strength, thermal stability, and moisture resistance of PLA/BF/PEG composites, making them more suitable for high-performance applications. The key findings indicate that tensile strength improved by 18% at an optimal 20 </w:t>
      </w:r>
      <w:proofErr w:type="spellStart"/>
      <w:r w:rsidRPr="008675D9">
        <w:t>wt</w:t>
      </w:r>
      <w:proofErr w:type="spellEnd"/>
      <w:r w:rsidRPr="008675D9">
        <w:t>% BF, ensuring better load-bearing capacity without compromising flexibility. Similarly, flexural strength peaked at 85 MPa, reinforcing the structural integrity of the composite under bending stress. The impact toughness increased by 25%, suggesting improved energy absorption and enhanced resistance to sudden loads or impacts. In terms of environmental durability, water absorption was reduced by 45%, demonstrating superior resistance to moisture-induced degradation, which is crucial for long-term performance in humid conditions. Additionally, thermal stability improved, with a 10°C shift in degradation onset, confirming the strong fiber-matrix adhesion that delays thermal decomposition. These results collectively validate the potential of compatibilized PLA/BF composites as sustainable and high-performance materials for diverse engineering applications, particularly in biodegradable packaging and automotive components. Future research should explore hybrid compatibilization strategies and nano-reinforcements to further optimize the structural, thermal, and mechanical performance of these composites.</w:t>
      </w:r>
    </w:p>
    <w:p w14:paraId="2496F6C2" w14:textId="77777777" w:rsidR="00613B4D" w:rsidRPr="0050536F" w:rsidRDefault="0016385D" w:rsidP="00045CED">
      <w:pPr>
        <w:pStyle w:val="Heading1"/>
      </w:pPr>
      <w:r w:rsidRPr="0050536F">
        <w:rPr>
          <w:rFonts w:asciiTheme="majorBidi" w:hAnsiTheme="majorBidi" w:cstheme="majorBidi"/>
        </w:rPr>
        <w:t>References</w:t>
      </w:r>
    </w:p>
    <w:p w14:paraId="4E8533E9" w14:textId="77777777" w:rsidR="008675D9" w:rsidRPr="008675D9" w:rsidRDefault="008675D9" w:rsidP="006F5FC6">
      <w:pPr>
        <w:pStyle w:val="Reference"/>
      </w:pPr>
      <w:r w:rsidRPr="008675D9">
        <w:t xml:space="preserve">Nirmal Kumar, K., Dinesh Babu, P., </w:t>
      </w:r>
      <w:proofErr w:type="spellStart"/>
      <w:r w:rsidRPr="008675D9">
        <w:t>Surakasi</w:t>
      </w:r>
      <w:proofErr w:type="spellEnd"/>
      <w:r w:rsidRPr="008675D9">
        <w:t>, R., Kumar, P. M., Ashokkumar, P., Khan, R., &amp;</w:t>
      </w:r>
      <w:proofErr w:type="spellStart"/>
      <w:r w:rsidRPr="008675D9">
        <w:t>Gebreyohannes</w:t>
      </w:r>
      <w:proofErr w:type="spellEnd"/>
      <w:r w:rsidRPr="008675D9">
        <w:t>, D. T. (2022). Mechanical and thermal properties of bamboo fiber–reinforced PLA polymer composites: A critical study. International Journal of Polymer Science, 2022(1), 1332157.</w:t>
      </w:r>
    </w:p>
    <w:p w14:paraId="67255DC4" w14:textId="77777777" w:rsidR="008675D9" w:rsidRPr="008675D9" w:rsidRDefault="008675D9" w:rsidP="006F5FC6">
      <w:pPr>
        <w:pStyle w:val="Reference"/>
      </w:pPr>
      <w:r w:rsidRPr="008675D9">
        <w:t>Shih, Y. F., &amp; Lai, Z. Z. (2020). Green composites based on poly (lactic acid) and bamboo fiber: flame retardancy, thermal, and mechanical properties. In NAC 2019: Proceedings of the 2nd International Conference​ on Nanomaterials and​ Advanced Composites (pp. 61-69). Springer Singapore.</w:t>
      </w:r>
    </w:p>
    <w:p w14:paraId="1F8B062A" w14:textId="77777777" w:rsidR="00FF0C53" w:rsidRDefault="00FF0C53" w:rsidP="006F5FC6">
      <w:pPr>
        <w:pStyle w:val="Reference"/>
      </w:pPr>
      <w:r>
        <w:t xml:space="preserve">M. </w:t>
      </w:r>
      <w:r w:rsidRPr="00FF0C53">
        <w:t>Aruna</w:t>
      </w:r>
      <w:r>
        <w:t xml:space="preserve"> et al. </w:t>
      </w:r>
      <w:r w:rsidRPr="00FF0C53">
        <w:t xml:space="preserve">Enhancement of solar thermal performance and reduction of thermal loss </w:t>
      </w:r>
      <w:proofErr w:type="spellStart"/>
      <w:r w:rsidRPr="00FF0C53">
        <w:t>behaviour</w:t>
      </w:r>
      <w:proofErr w:type="spellEnd"/>
      <w:r w:rsidRPr="00FF0C53">
        <w:t xml:space="preserve"> of solar thermal collector featured with polyaniline and paraffin. Appl </w:t>
      </w:r>
      <w:proofErr w:type="spellStart"/>
      <w:r w:rsidRPr="00FF0C53">
        <w:t>Therm</w:t>
      </w:r>
      <w:proofErr w:type="spellEnd"/>
      <w:r w:rsidRPr="00FF0C53">
        <w:t xml:space="preserve"> Eng. 2025;278(127273):127273. http://dx.doi.org/10.1016/j.applthermaleng.2025.127273</w:t>
      </w:r>
    </w:p>
    <w:p w14:paraId="33784A8E" w14:textId="77777777" w:rsidR="008675D9" w:rsidRPr="008675D9" w:rsidRDefault="008675D9" w:rsidP="006F5FC6">
      <w:pPr>
        <w:pStyle w:val="Reference"/>
      </w:pPr>
      <w:r w:rsidRPr="008675D9">
        <w:t>Wang Q, Zhang Y, Liang W, Wang J, Chen Y. Effect of silane treatment on mechanical properties and thermal behavior of bamboo fibers reinforced polypropylene composites. Journal of Engineered Fibers and Fabrics. 2020;15. doi:10.1177/1558925020958195</w:t>
      </w:r>
    </w:p>
    <w:p w14:paraId="28D10680" w14:textId="77777777" w:rsidR="008675D9" w:rsidRPr="008675D9" w:rsidRDefault="008675D9" w:rsidP="006F5FC6">
      <w:pPr>
        <w:pStyle w:val="Reference"/>
      </w:pPr>
      <w:proofErr w:type="spellStart"/>
      <w:r w:rsidRPr="008675D9">
        <w:t>Yaisun</w:t>
      </w:r>
      <w:proofErr w:type="spellEnd"/>
      <w:r w:rsidRPr="008675D9">
        <w:t>, S., &amp;</w:t>
      </w:r>
      <w:proofErr w:type="spellStart"/>
      <w:r w:rsidRPr="008675D9">
        <w:t>Trongsatitkul</w:t>
      </w:r>
      <w:proofErr w:type="spellEnd"/>
      <w:r w:rsidRPr="008675D9">
        <w:t xml:space="preserve">, T. (2023). PLA-based hybrid </w:t>
      </w:r>
      <w:proofErr w:type="spellStart"/>
      <w:r w:rsidRPr="008675D9">
        <w:t>biocomposites</w:t>
      </w:r>
      <w:proofErr w:type="spellEnd"/>
      <w:r w:rsidRPr="008675D9">
        <w:t>: effects of fiber type, fiber content, and annealing on thermal and mechanical properties. Polymers, 15(20), 4106.</w:t>
      </w:r>
    </w:p>
    <w:p w14:paraId="75F318F7" w14:textId="77777777" w:rsidR="008675D9" w:rsidRPr="008675D9" w:rsidRDefault="008675D9" w:rsidP="006F5FC6">
      <w:pPr>
        <w:pStyle w:val="Reference"/>
      </w:pPr>
      <w:r w:rsidRPr="008675D9">
        <w:t xml:space="preserve">Khan, A., </w:t>
      </w:r>
      <w:proofErr w:type="spellStart"/>
      <w:r w:rsidRPr="008675D9">
        <w:t>Sapuan</w:t>
      </w:r>
      <w:proofErr w:type="spellEnd"/>
      <w:r w:rsidRPr="008675D9">
        <w:t>, S. M., Zainudin, E. S., &amp; Zuhri, M. Y. M. (2024). Physical, mechanical and thermal properties of novel bamboo/kenaf fiber-reinforced polylactic acid (PLA) hybrid composites. Composites Communications, 51, 102103.</w:t>
      </w:r>
    </w:p>
    <w:p w14:paraId="0A11ABFA" w14:textId="77777777" w:rsidR="00D0287B" w:rsidRPr="00D00001" w:rsidRDefault="00D0287B" w:rsidP="006F5FC6">
      <w:pPr>
        <w:pStyle w:val="Reference"/>
      </w:pPr>
      <w:r w:rsidRPr="00D00001">
        <w:t xml:space="preserve">Niveditha, V. R., </w:t>
      </w:r>
      <w:proofErr w:type="spellStart"/>
      <w:r w:rsidRPr="00D00001">
        <w:t>Nadh</w:t>
      </w:r>
      <w:proofErr w:type="spellEnd"/>
      <w:r w:rsidRPr="00D00001">
        <w:t xml:space="preserve">, V. S., Srinivas, C., Dhanraj, J. A., &amp; Saravanan, A. (2024). Application of response surface and artificial neural network optimization approaches for exploring methylene blue adsorption using luffa fiber treated with sodium chlorite. Journal of Water Process Engineering, 58, 104778. </w:t>
      </w:r>
      <w:hyperlink r:id="rId15" w:tgtFrame="_blank" w:tooltip="Persistent link using digital object identifier" w:history="1">
        <w:r w:rsidRPr="00D00001">
          <w:t>https://doi.org/10.1016/j.jwpe.2024.104778</w:t>
        </w:r>
      </w:hyperlink>
    </w:p>
    <w:p w14:paraId="62FF4D31" w14:textId="77777777" w:rsidR="00D0287B" w:rsidRPr="00D00001" w:rsidRDefault="00D0287B" w:rsidP="006F5FC6">
      <w:pPr>
        <w:pStyle w:val="Reference"/>
      </w:pPr>
      <w:r w:rsidRPr="00D00001">
        <w:t xml:space="preserve">Yuvaraj, K. P., Reddy, V. K., &amp; Ali, H. M. (2024). Evaluating the Wear and Mechanical Properties of Cotton Fabrics for Women’s Summer Clothing. Engineering Proceedings, 61(1), 15. </w:t>
      </w:r>
      <w:hyperlink r:id="rId16" w:history="1">
        <w:r w:rsidRPr="00D00001">
          <w:t>https://doi.org/10.3390/engproc2024061015</w:t>
        </w:r>
      </w:hyperlink>
    </w:p>
    <w:p w14:paraId="7741338E" w14:textId="77777777" w:rsidR="00D0287B" w:rsidRPr="00D00001" w:rsidRDefault="00D0287B" w:rsidP="006F5FC6">
      <w:pPr>
        <w:pStyle w:val="Reference"/>
      </w:pPr>
      <w:proofErr w:type="spellStart"/>
      <w:r w:rsidRPr="00D00001">
        <w:lastRenderedPageBreak/>
        <w:t>Masannan</w:t>
      </w:r>
      <w:proofErr w:type="spellEnd"/>
      <w:r w:rsidRPr="00D00001">
        <w:t xml:space="preserve"> et al., (2024). Experimental investigation on the drilling characteristics of kenaf/PLA-based laminates. Engineering Proceedings, 61(1), 9. </w:t>
      </w:r>
      <w:hyperlink r:id="rId17" w:history="1">
        <w:r w:rsidRPr="00D00001">
          <w:t>https://doi.org/10.3390/engproc2024061009</w:t>
        </w:r>
      </w:hyperlink>
    </w:p>
    <w:p w14:paraId="1B63B7DD" w14:textId="77777777" w:rsidR="00D0287B" w:rsidRPr="00D00001" w:rsidRDefault="00D0287B" w:rsidP="006F5FC6">
      <w:pPr>
        <w:pStyle w:val="Reference"/>
      </w:pPr>
      <w:r w:rsidRPr="00D00001">
        <w:t>Kaliappan S et al.</w:t>
      </w:r>
      <w:proofErr w:type="gramStart"/>
      <w:r w:rsidRPr="00D00001">
        <w:t>,  (</w:t>
      </w:r>
      <w:proofErr w:type="gramEnd"/>
      <w:r w:rsidRPr="00D00001">
        <w:t>2024). Impact of Kenaf Fiber and Inorganic Nanofillers on Mechanical Properties of Epoxy-Based Nanocomposites for Sustainable Automotive Applications (No. 2023-01-5115). SAE Technical Paper.</w:t>
      </w:r>
      <w:hyperlink r:id="rId18" w:history="1">
        <w:r w:rsidRPr="00D00001">
          <w:t> https://doi.org/10.4271/2023-01-5115</w:t>
        </w:r>
      </w:hyperlink>
    </w:p>
    <w:p w14:paraId="5B9154B4" w14:textId="77777777" w:rsidR="00D0287B" w:rsidRPr="00D00001" w:rsidRDefault="00D0287B" w:rsidP="006F5FC6">
      <w:pPr>
        <w:pStyle w:val="Reference"/>
      </w:pPr>
      <w:r w:rsidRPr="00D00001">
        <w:t>Anita et al., (2024). Energy Trading and Optimum Scheduling for Microgrids Using Multiple Agents Based DL Approach. Electric Power Components and Systems, 1-19.  </w:t>
      </w:r>
      <w:hyperlink r:id="rId19" w:history="1">
        <w:r w:rsidRPr="00D00001">
          <w:t>https://doi.org/10.1080/15325008.2023.2300329</w:t>
        </w:r>
      </w:hyperlink>
    </w:p>
    <w:p w14:paraId="716B58CD" w14:textId="77777777" w:rsidR="00D0287B" w:rsidRPr="00D00001" w:rsidRDefault="00D0287B" w:rsidP="006F5FC6">
      <w:pPr>
        <w:pStyle w:val="Reference"/>
      </w:pPr>
      <w:proofErr w:type="spellStart"/>
      <w:r w:rsidRPr="00D00001">
        <w:t>Chhaparwal</w:t>
      </w:r>
      <w:proofErr w:type="spellEnd"/>
      <w:r w:rsidRPr="00D00001">
        <w:t xml:space="preserve"> et al., (2024). Numerical and experimental investigation of a solar air heater duct with circular detached ribs to improve its efficiency. Case Studies in Thermal Engineering, 60, 104780. </w:t>
      </w:r>
      <w:hyperlink r:id="rId20" w:tgtFrame="_blank" w:tooltip="Persistent link using digital object identifier" w:history="1">
        <w:r w:rsidRPr="00D00001">
          <w:t>https://doi.org/10.1016/j.csite.2024.104780</w:t>
        </w:r>
      </w:hyperlink>
    </w:p>
    <w:p w14:paraId="3E3AA164" w14:textId="77777777" w:rsidR="00D0287B" w:rsidRPr="00D00001" w:rsidRDefault="00D0287B" w:rsidP="006F5FC6">
      <w:pPr>
        <w:pStyle w:val="Reference"/>
      </w:pPr>
      <w:r w:rsidRPr="00D00001">
        <w:t xml:space="preserve">Kumar et al., (2024). Optimized forecasting approach for scheduling wind generation plants and maximizing renewable energy utilization. Electric Power Components and Systems, 1-17. </w:t>
      </w:r>
      <w:hyperlink r:id="rId21" w:history="1">
        <w:r w:rsidRPr="00D00001">
          <w:t>https://doi.org/10.1080/15325008.2024.2337218</w:t>
        </w:r>
      </w:hyperlink>
    </w:p>
    <w:p w14:paraId="6A4E48FA" w14:textId="77777777" w:rsidR="00D0287B" w:rsidRPr="00D00001" w:rsidRDefault="00D0287B" w:rsidP="006F5FC6">
      <w:pPr>
        <w:pStyle w:val="Reference"/>
      </w:pPr>
      <w:r w:rsidRPr="00D00001">
        <w:t xml:space="preserve">Rajendran et al., (2024). Development of Intelligent Power Quality Management in Renewable Energy System in Smart Grid using Deep Learning. In 2024 International Conference on Inventive Computation Technologies (ICICT) (pp. 1178-1182). IEEE.  </w:t>
      </w:r>
      <w:hyperlink r:id="rId22" w:history="1">
        <w:r w:rsidRPr="00D00001">
          <w:t>https://doi.org/10.1109/ICICT60155.2024.10544835</w:t>
        </w:r>
      </w:hyperlink>
    </w:p>
    <w:p w14:paraId="58527BE1" w14:textId="77777777" w:rsidR="00D0287B" w:rsidRPr="00D00001" w:rsidRDefault="00D0287B" w:rsidP="006F5FC6">
      <w:pPr>
        <w:pStyle w:val="Reference"/>
      </w:pPr>
      <w:r w:rsidRPr="00D00001">
        <w:t xml:space="preserve">Parashar et al., (2024). Time series analysis and random forest techniques for prediction of sales for retail grocery. In 2024 IEEE International Conference on Computing, Power and Communication Technologies (IC2PCT) (Vol. 5, pp. 531-535). IEEE. </w:t>
      </w:r>
      <w:hyperlink r:id="rId23" w:history="1">
        <w:r w:rsidRPr="00D00001">
          <w:t>https://doi.org/10.1109/IC2PCT60090.2024.10486802</w:t>
        </w:r>
      </w:hyperlink>
    </w:p>
    <w:p w14:paraId="6F675781" w14:textId="77777777" w:rsidR="00D0287B" w:rsidRPr="00D00001" w:rsidRDefault="00D0287B" w:rsidP="006F5FC6">
      <w:pPr>
        <w:pStyle w:val="Reference"/>
      </w:pPr>
      <w:r w:rsidRPr="00D00001">
        <w:t>Kaliappan et al., (2024). Thermal and Mechanical Properties of Abutilon indicum Fiber-Based Polyester Composites under Alkali Treatment for Automotive Sector (No. 2024-01-5031). SAE Technical Paper.</w:t>
      </w:r>
      <w:hyperlink r:id="rId24" w:history="1">
        <w:r w:rsidRPr="00D00001">
          <w:t> https://doi.org/10.4271/2024-01-5031</w:t>
        </w:r>
      </w:hyperlink>
    </w:p>
    <w:p w14:paraId="6A94D7DD" w14:textId="77777777" w:rsidR="00D0287B" w:rsidRPr="00D00001" w:rsidRDefault="00D0287B" w:rsidP="006F5FC6">
      <w:pPr>
        <w:pStyle w:val="Reference"/>
      </w:pPr>
      <w:proofErr w:type="spellStart"/>
      <w:r w:rsidRPr="00D00001">
        <w:t>Tuluwengjiang</w:t>
      </w:r>
      <w:proofErr w:type="spellEnd"/>
      <w:r w:rsidRPr="00D00001">
        <w:t xml:space="preserve"> et al., (2024). Dendritic cell-derived exosomes (Dex): Underlying the role of exosomes derived from diverse DC subtypes in cancer pathogenesis. Pathology-Research and Practice, 254, 155097. </w:t>
      </w:r>
      <w:hyperlink r:id="rId25" w:tgtFrame="_blank" w:tooltip="Persistent link using digital object identifier" w:history="1">
        <w:r w:rsidRPr="00D00001">
          <w:t>https://doi.org/10.1016/j.prp.2024.155097</w:t>
        </w:r>
      </w:hyperlink>
    </w:p>
    <w:p w14:paraId="6B2A179E" w14:textId="77777777" w:rsidR="00D0287B" w:rsidRPr="00D00001" w:rsidRDefault="00D0287B" w:rsidP="006F5FC6">
      <w:pPr>
        <w:pStyle w:val="Reference"/>
      </w:pPr>
      <w:r w:rsidRPr="00D00001">
        <w:t xml:space="preserve">Kaushal et </w:t>
      </w:r>
      <w:proofErr w:type="gramStart"/>
      <w:r w:rsidRPr="00D00001">
        <w:t>al,.</w:t>
      </w:r>
      <w:proofErr w:type="gramEnd"/>
      <w:r w:rsidRPr="00D00001">
        <w:t xml:space="preserve"> (2024). Navigating Independence: The Smart Walking Stick for the Visually Impaired. In 2024 5th International Conference on Mobile Computing and Sustainable Informatics (ICMCSI) (pp. 103-108). IEEE. https://doi.org/10.1109/ICMCSI61536.2024.00022 </w:t>
      </w:r>
    </w:p>
    <w:p w14:paraId="48D8FC89" w14:textId="77777777" w:rsidR="00D0287B" w:rsidRPr="00D00001" w:rsidRDefault="00D0287B" w:rsidP="006F5FC6">
      <w:pPr>
        <w:pStyle w:val="Reference"/>
      </w:pPr>
      <w:r w:rsidRPr="00D00001">
        <w:t xml:space="preserve">R.P. Singh et al. Influence of a Copper Layer on the Functional </w:t>
      </w:r>
      <w:proofErr w:type="spellStart"/>
      <w:r w:rsidRPr="00D00001">
        <w:t>Behaviour</w:t>
      </w:r>
      <w:proofErr w:type="spellEnd"/>
      <w:r w:rsidRPr="00D00001">
        <w:t xml:space="preserve"> of a Cadmium Telluride Solar Cell Processed via Thermal Evaporation. J. Electron. Mater. (2024). </w:t>
      </w:r>
      <w:hyperlink r:id="rId26" w:history="1">
        <w:r w:rsidRPr="00D00001">
          <w:t>https://doi.org/10.1007/s11664-024-11669-7</w:t>
        </w:r>
      </w:hyperlink>
    </w:p>
    <w:p w14:paraId="475D0297" w14:textId="77777777" w:rsidR="00D0287B" w:rsidRPr="00D00001" w:rsidRDefault="00D0287B" w:rsidP="006F5FC6">
      <w:pPr>
        <w:pStyle w:val="Reference"/>
      </w:pPr>
      <w:r w:rsidRPr="00D00001">
        <w:t>R. Venkatesh Effects of ramie fiber/boron nitride exposure on the mechanical characteristics of injection-</w:t>
      </w:r>
      <w:proofErr w:type="spellStart"/>
      <w:r w:rsidRPr="00D00001">
        <w:t>moulded</w:t>
      </w:r>
      <w:proofErr w:type="spellEnd"/>
      <w:r w:rsidRPr="00D00001">
        <w:t xml:space="preserve"> polypropylene composites for automated structural applications. International Journal of Automotive Science and Technology. 2024; 8 (4): 451-456. </w:t>
      </w:r>
      <w:hyperlink r:id="rId27" w:history="1">
        <w:r w:rsidRPr="00D00001">
          <w:t>http://dx.doi.org/10.29228/ijastech..1528281</w:t>
        </w:r>
      </w:hyperlink>
    </w:p>
    <w:p w14:paraId="56392722" w14:textId="77777777" w:rsidR="00D0287B" w:rsidRPr="00D00001" w:rsidRDefault="00D0287B" w:rsidP="006F5FC6">
      <w:pPr>
        <w:pStyle w:val="Reference"/>
      </w:pPr>
      <w:r w:rsidRPr="00D00001">
        <w:t xml:space="preserve">R. Venkatesh Fabrication and Functional Behavior Studies of Polypropylene Composite Containing Hybrid Reinforcements, SAE Int. J. Mater. Manf. 18(2), 2025, </w:t>
      </w:r>
      <w:hyperlink r:id="rId28" w:history="1">
        <w:r w:rsidRPr="00D00001">
          <w:t>https://doi.org/10.4271/05-18-02-0015</w:t>
        </w:r>
      </w:hyperlink>
      <w:r w:rsidRPr="00D00001">
        <w:t>.</w:t>
      </w:r>
    </w:p>
    <w:p w14:paraId="699F19BE" w14:textId="77777777" w:rsidR="00D0287B" w:rsidRPr="00D00001" w:rsidRDefault="00D0287B" w:rsidP="006F5FC6">
      <w:pPr>
        <w:pStyle w:val="Reference"/>
      </w:pPr>
      <w:r w:rsidRPr="00D00001">
        <w:t xml:space="preserve">R. Venkatasubramanian et al. Thermal characteristics and dryer performance analysis of double pass solar collector powered by copper and iron oxide. J. Thermal Sci. Eng. Appl. (2025) 1-20.  https://doi.org/10.1115/1.4067258 </w:t>
      </w:r>
    </w:p>
    <w:p w14:paraId="17AB786D" w14:textId="77777777" w:rsidR="00D0287B" w:rsidRPr="00D00001" w:rsidRDefault="00D0287B" w:rsidP="006F5FC6">
      <w:pPr>
        <w:pStyle w:val="Reference"/>
      </w:pPr>
      <w:r w:rsidRPr="00D00001">
        <w:t xml:space="preserve">Venkatesh, R., Chaturvedi, R., </w:t>
      </w:r>
      <w:proofErr w:type="spellStart"/>
      <w:r w:rsidRPr="00D00001">
        <w:t>Umamaheswari</w:t>
      </w:r>
      <w:proofErr w:type="spellEnd"/>
      <w:r w:rsidRPr="00D00001">
        <w:t xml:space="preserve">, D. et al. Featuring of Fiber-Ceramic Combination on Behavior Studies of </w:t>
      </w:r>
      <w:proofErr w:type="gramStart"/>
      <w:r w:rsidRPr="00D00001">
        <w:t>High Density</w:t>
      </w:r>
      <w:proofErr w:type="gramEnd"/>
      <w:r w:rsidRPr="00D00001">
        <w:t xml:space="preserve"> Polyethylene Composite: Hot Compression </w:t>
      </w:r>
      <w:proofErr w:type="spellStart"/>
      <w:r w:rsidRPr="00D00001">
        <w:t>Mould</w:t>
      </w:r>
      <w:proofErr w:type="spellEnd"/>
      <w:r w:rsidRPr="00D00001">
        <w:t xml:space="preserve">. Mech Compos Mater (2025). </w:t>
      </w:r>
      <w:hyperlink r:id="rId29" w:history="1">
        <w:r w:rsidRPr="00D00001">
          <w:t>https://doi.org/10.1007/s11029-025-10305-7</w:t>
        </w:r>
      </w:hyperlink>
    </w:p>
    <w:p w14:paraId="28379E61" w14:textId="77777777" w:rsidR="00D0287B" w:rsidRPr="00D00001" w:rsidRDefault="00D0287B" w:rsidP="006F5FC6">
      <w:pPr>
        <w:pStyle w:val="Reference"/>
      </w:pPr>
      <w:r w:rsidRPr="00D00001">
        <w:t>Senthilkumar et al., (2024). Maximizing Power Utilization through Machine Learning and IoT based Power Flow Strategies in DC Micro Grids with Renewable Energy Resources. In 2024 International Conference on Inventive Computation Technologies (ICICT) (pp. 1166-1171). IEEE.  https://doi.org/10.1109/ICICT60155.2024.10544791</w:t>
      </w:r>
    </w:p>
    <w:p w14:paraId="78C3AC3A" w14:textId="77777777" w:rsidR="00D0287B" w:rsidRPr="00D00001" w:rsidRDefault="00D0287B" w:rsidP="006F5FC6">
      <w:pPr>
        <w:pStyle w:val="Reference"/>
      </w:pPr>
      <w:proofErr w:type="spellStart"/>
      <w:r w:rsidRPr="00D00001">
        <w:t>Sreethar</w:t>
      </w:r>
      <w:proofErr w:type="spellEnd"/>
      <w:r w:rsidRPr="00D00001">
        <w:t xml:space="preserve"> et al., (2024). Implementation of cross layer design with localization techniques in wireless sensor networks using deep learning. In 2024 International Conference on Expert Clouds and Applications (ICOECA) (pp. 607-613). IEEE. </w:t>
      </w:r>
      <w:hyperlink r:id="rId30" w:history="1">
        <w:r w:rsidRPr="00D00001">
          <w:t>https://doi.org/10.1109/ICOECA62351.2024.00111</w:t>
        </w:r>
      </w:hyperlink>
    </w:p>
    <w:p w14:paraId="05B327BB" w14:textId="77777777" w:rsidR="00D0287B" w:rsidRPr="00D00001" w:rsidRDefault="00D0287B" w:rsidP="006F5FC6">
      <w:pPr>
        <w:pStyle w:val="Reference"/>
      </w:pPr>
      <w:r w:rsidRPr="00D00001">
        <w:t xml:space="preserve">Kamal, M. R., Manivannan, K. K., &amp; Sunil, G. (2024, January). Machine Learning and Data Mining Approaches for Infectious Disease Surveillance and Outbreak Management in Healthcare. In 2024 International Conference on Advancements in Smart, Secure and Intelligent Computing (ASSIC) (pp. 1-7). IEEE. </w:t>
      </w:r>
      <w:hyperlink r:id="rId31" w:history="1">
        <w:r w:rsidRPr="00D00001">
          <w:t>https://doi.org/10.1109/ASSIC60049.2024.10507990</w:t>
        </w:r>
      </w:hyperlink>
    </w:p>
    <w:p w14:paraId="4507F1BF" w14:textId="77777777" w:rsidR="00D0287B" w:rsidRPr="00D00001" w:rsidRDefault="00D0287B" w:rsidP="006F5FC6">
      <w:pPr>
        <w:pStyle w:val="Reference"/>
      </w:pPr>
      <w:proofErr w:type="spellStart"/>
      <w:r w:rsidRPr="00D00001">
        <w:t>Raskar</w:t>
      </w:r>
      <w:proofErr w:type="spellEnd"/>
      <w:r w:rsidRPr="00D00001">
        <w:t>, Sandeep, Gulshan Dhasmana, M. Lakshminarayana, and Harshal Patil. Enhancing Energy Efficiency in Wireless Sensor Networks using Deep Learning. In 2025 International Conference on Multi-Agent Systems for Collaborative Intelligence (ICMSCI), pp. 1515-1520. IEEE, 2025.</w:t>
      </w:r>
    </w:p>
    <w:p w14:paraId="5CD20ACC" w14:textId="77777777" w:rsidR="00D0287B" w:rsidRPr="00D00001" w:rsidRDefault="00D0287B" w:rsidP="006F5FC6">
      <w:pPr>
        <w:pStyle w:val="Reference"/>
      </w:pPr>
      <w:r w:rsidRPr="00D00001">
        <w:lastRenderedPageBreak/>
        <w:t xml:space="preserve">Natarajan, Gobu, et al. Influence of heat treated Manihot Esculenta </w:t>
      </w:r>
      <w:proofErr w:type="spellStart"/>
      <w:r w:rsidRPr="00D00001">
        <w:t>Biosilica</w:t>
      </w:r>
      <w:proofErr w:type="spellEnd"/>
      <w:r w:rsidRPr="00D00001">
        <w:t xml:space="preserve"> on friction stir welded AA 6065-Al2O3 metal matrix composite and microstructural, mechanical, and fatigue analysis. Materials Research 28 (2025): e20240473.</w:t>
      </w:r>
    </w:p>
    <w:p w14:paraId="00F508DC" w14:textId="77777777" w:rsidR="00D0287B" w:rsidRPr="00D00001" w:rsidRDefault="00D0287B" w:rsidP="006F5FC6">
      <w:pPr>
        <w:pStyle w:val="Reference"/>
      </w:pPr>
      <w:r w:rsidRPr="00D00001">
        <w:t xml:space="preserve">Kaushal et al., (2024). Fault prediction and awareness for power distribution in grid connected res using hybrid machine learning. Electric Power Components and Systems, 1-22. </w:t>
      </w:r>
      <w:hyperlink r:id="rId32" w:history="1">
        <w:r w:rsidRPr="00D00001">
          <w:t>https://doi.org/10.1080/15325008.2024.2337217</w:t>
        </w:r>
      </w:hyperlink>
    </w:p>
    <w:p w14:paraId="53617DBE" w14:textId="77777777" w:rsidR="00D0287B" w:rsidRPr="00D00001" w:rsidRDefault="00D0287B" w:rsidP="006F5FC6">
      <w:pPr>
        <w:pStyle w:val="Reference"/>
      </w:pPr>
      <w:r w:rsidRPr="00D00001">
        <w:t>Murthy, HS Niranjana, Shirish Kulkarni, Syed Mohd Uzair Iqbal, and Umang Pancha. Enhancing Video Captioning: A Bayesian Normalized Attention-based Multi-Dimensional Graph Network with Moss Growth Optimization. In 2025 5th International Conference on Pervasive Computing and Social Networking (ICPCSN), pp. 1688-1694. IEEE, 2025.</w:t>
      </w:r>
    </w:p>
    <w:p w14:paraId="5E21C71A" w14:textId="77777777" w:rsidR="00D0287B" w:rsidRPr="00D00001" w:rsidRDefault="00D0287B" w:rsidP="006F5FC6">
      <w:pPr>
        <w:pStyle w:val="Reference"/>
      </w:pPr>
      <w:r w:rsidRPr="00D00001">
        <w:t>Chaturvedi, Abhay, S. Suhas, JL Divya Shivani, Ch Raja, Umang Soni. Enhancing IoT Network Security: A Double Decker Convolutional Neural Network with Brown-Bear Optimization for Intrusion Detection. In 2025 International Conference on Inventive Computation Technologies (ICICT), pp. 1903-1908. IEEE, 2025.</w:t>
      </w:r>
    </w:p>
    <w:p w14:paraId="50E01705" w14:textId="77777777" w:rsidR="00D0287B" w:rsidRPr="00D00001" w:rsidRDefault="00D0287B" w:rsidP="006F5FC6">
      <w:pPr>
        <w:pStyle w:val="Reference"/>
      </w:pPr>
      <w:r w:rsidRPr="00D00001">
        <w:t xml:space="preserve">. </w:t>
      </w:r>
      <w:proofErr w:type="spellStart"/>
      <w:r w:rsidRPr="00D00001">
        <w:t>Mohanavel</w:t>
      </w:r>
      <w:proofErr w:type="spellEnd"/>
      <w:r w:rsidRPr="00D00001">
        <w:t xml:space="preserve"> et al. Investigation of Al/Mg composite </w:t>
      </w:r>
      <w:proofErr w:type="spellStart"/>
      <w:r w:rsidRPr="00D00001">
        <w:t>behaviour</w:t>
      </w:r>
      <w:proofErr w:type="spellEnd"/>
      <w:r w:rsidRPr="00D00001">
        <w:t xml:space="preserve"> by the adaptation of </w:t>
      </w:r>
      <w:proofErr w:type="spellStart"/>
      <w:r w:rsidRPr="00D00001">
        <w:t>SiC</w:t>
      </w:r>
      <w:proofErr w:type="spellEnd"/>
      <w:r w:rsidRPr="00D00001">
        <w:t xml:space="preserve"> and Al2O3 nanoparticle via electromagnetic stir cast route. Materials Science and Technology. 2025;0(0). doi:10.1177/02670836241306686</w:t>
      </w:r>
    </w:p>
    <w:p w14:paraId="3FE00E35" w14:textId="77777777" w:rsidR="00D0287B" w:rsidRPr="00D00001" w:rsidRDefault="00D0287B" w:rsidP="006F5FC6">
      <w:pPr>
        <w:pStyle w:val="Reference"/>
      </w:pPr>
      <w:r w:rsidRPr="00D00001">
        <w:t xml:space="preserve">G. Deepana et al. (2025). Synthesis and machining characteristics study of </w:t>
      </w:r>
      <w:proofErr w:type="spellStart"/>
      <w:r w:rsidRPr="00D00001">
        <w:t>agro</w:t>
      </w:r>
      <w:proofErr w:type="spellEnd"/>
      <w:r w:rsidRPr="00D00001">
        <w:t xml:space="preserve">-waste coconut shell powder incorporated </w:t>
      </w:r>
      <w:proofErr w:type="spellStart"/>
      <w:r w:rsidRPr="00D00001">
        <w:t>aluminium</w:t>
      </w:r>
      <w:proofErr w:type="spellEnd"/>
      <w:r w:rsidRPr="00D00001">
        <w:t xml:space="preserve"> alloy composite via the squeeze cast technique. International Journal of Cast Metals Research, 1–11. </w:t>
      </w:r>
      <w:hyperlink r:id="rId33" w:history="1">
        <w:r w:rsidRPr="00D00001">
          <w:t>https://doi.org/10.1080/13640461.2024.2447101</w:t>
        </w:r>
      </w:hyperlink>
    </w:p>
    <w:p w14:paraId="118DD69B" w14:textId="77777777" w:rsidR="00D0287B" w:rsidRPr="00D00001" w:rsidRDefault="00D0287B" w:rsidP="006F5FC6">
      <w:pPr>
        <w:pStyle w:val="Reference"/>
      </w:pPr>
      <w:r w:rsidRPr="00D00001">
        <w:t xml:space="preserve">K.  Logesh et al. Injection </w:t>
      </w:r>
      <w:proofErr w:type="spellStart"/>
      <w:r w:rsidRPr="00D00001">
        <w:t>mould</w:t>
      </w:r>
      <w:proofErr w:type="spellEnd"/>
      <w:r w:rsidRPr="00D00001">
        <w:t xml:space="preserve"> processing and characteristics measures of hybrid epoxy composites with jute fiber/boron nitride. J Mech Sci Technol. 39(1), 2025. </w:t>
      </w:r>
      <w:hyperlink r:id="rId34" w:history="1">
        <w:r w:rsidRPr="00D00001">
          <w:t>https://doi.org/10.1007/s12206-024-1219-1</w:t>
        </w:r>
      </w:hyperlink>
    </w:p>
    <w:p w14:paraId="096EB980" w14:textId="77777777" w:rsidR="00D0287B" w:rsidRPr="00D00001" w:rsidRDefault="00D0287B" w:rsidP="006F5FC6">
      <w:pPr>
        <w:pStyle w:val="Reference"/>
      </w:pPr>
      <w:r w:rsidRPr="00D00001">
        <w:t xml:space="preserve">Singh et al. Natural fiber-ceramic filler configured polypropylene hybrid composite made via hot compression technique: Characteristics evaluation. J Mech Sci Technol. 39(1), 2025. </w:t>
      </w:r>
      <w:hyperlink r:id="rId35" w:history="1">
        <w:r w:rsidRPr="00D00001">
          <w:t>https://doi.org/10.1007/s12206-024-1216-4</w:t>
        </w:r>
      </w:hyperlink>
    </w:p>
    <w:p w14:paraId="77CF1806" w14:textId="77777777" w:rsidR="00D0287B" w:rsidRPr="00D00001" w:rsidRDefault="00D0287B" w:rsidP="006F5FC6">
      <w:pPr>
        <w:pStyle w:val="Reference"/>
      </w:pPr>
      <w:r w:rsidRPr="00D00001">
        <w:t xml:space="preserve">S. Prabagaran et al. Texturing of silicon nitride passivation layers on functional </w:t>
      </w:r>
      <w:proofErr w:type="spellStart"/>
      <w:r w:rsidRPr="00D00001">
        <w:t>behaviour</w:t>
      </w:r>
      <w:proofErr w:type="spellEnd"/>
      <w:r w:rsidRPr="00D00001">
        <w:t xml:space="preserve"> study of polycrystalline silicon (p-Si) made with plasma enhanced chemical </w:t>
      </w:r>
      <w:proofErr w:type="spellStart"/>
      <w:r w:rsidRPr="00D00001">
        <w:t>vapour</w:t>
      </w:r>
      <w:proofErr w:type="spellEnd"/>
      <w:r w:rsidRPr="00D00001">
        <w:t xml:space="preserve"> deposition. J Mater Sci: Mater Electron 36, 73 (2025). </w:t>
      </w:r>
      <w:hyperlink r:id="rId36" w:history="1">
        <w:r w:rsidRPr="00D00001">
          <w:t>https://doi.org/10.1007/s10854-024-14135-6</w:t>
        </w:r>
      </w:hyperlink>
    </w:p>
    <w:p w14:paraId="5ED984AE" w14:textId="77777777" w:rsidR="002974C5" w:rsidRPr="00D00001" w:rsidRDefault="002974C5" w:rsidP="006F5FC6">
      <w:pPr>
        <w:pStyle w:val="Reference"/>
      </w:pPr>
      <w:r w:rsidRPr="00D00001">
        <w:t>M. A. Babu et al. Effect of Surfactants and Hybrid Filler on Microstructural and Mechanical Properties of Al7075/</w:t>
      </w:r>
      <w:proofErr w:type="spellStart"/>
      <w:r w:rsidRPr="00D00001">
        <w:t>TiC</w:t>
      </w:r>
      <w:proofErr w:type="spellEnd"/>
      <w:r w:rsidRPr="00D00001">
        <w:t xml:space="preserve">/Graphene Alloy Composite via Additive Manufacturing. J. of Materi Eng and Perform (2025). </w:t>
      </w:r>
      <w:hyperlink r:id="rId37" w:history="1">
        <w:r w:rsidRPr="00D00001">
          <w:t>https://doi.org/10.1007/s11665-025-11873-4</w:t>
        </w:r>
      </w:hyperlink>
    </w:p>
    <w:p w14:paraId="59C3F3A2" w14:textId="77777777" w:rsidR="002974C5" w:rsidRPr="00D00001" w:rsidRDefault="002974C5" w:rsidP="006F5FC6">
      <w:pPr>
        <w:pStyle w:val="Reference"/>
      </w:pPr>
      <w:r w:rsidRPr="00D00001">
        <w:t xml:space="preserve">A. Sharma et al. Semisolid stir casting and effect of hybrid fillers on functional properties of </w:t>
      </w:r>
      <w:proofErr w:type="spellStart"/>
      <w:r w:rsidRPr="00D00001">
        <w:t>aluminium</w:t>
      </w:r>
      <w:proofErr w:type="spellEnd"/>
      <w:r w:rsidRPr="00D00001">
        <w:t xml:space="preserve"> alloy composites. J Mech Sci Technol (2025). </w:t>
      </w:r>
      <w:hyperlink r:id="rId38" w:history="1">
        <w:r w:rsidRPr="00D00001">
          <w:t>https://doi.org/10.1007/s12206-025-0620-8</w:t>
        </w:r>
      </w:hyperlink>
    </w:p>
    <w:p w14:paraId="4D666152" w14:textId="77777777" w:rsidR="002974C5" w:rsidRPr="00D00001" w:rsidRDefault="002974C5" w:rsidP="006F5FC6">
      <w:pPr>
        <w:pStyle w:val="Reference"/>
      </w:pPr>
      <w:r w:rsidRPr="00D00001">
        <w:t xml:space="preserve">V. </w:t>
      </w:r>
      <w:proofErr w:type="spellStart"/>
      <w:r w:rsidRPr="00D00001">
        <w:t>Rathinavelu</w:t>
      </w:r>
      <w:proofErr w:type="spellEnd"/>
      <w:r w:rsidRPr="00D00001">
        <w:t xml:space="preserve"> et al. Optimal performance of poly-hybrid nanocomposites promoted with carbon fibers and nano silicon carbide particles via compression associated with hot pressing: characterization study. International Polymer Processing, 2025. </w:t>
      </w:r>
      <w:hyperlink r:id="rId39" w:history="1">
        <w:r w:rsidRPr="00D00001">
          <w:t>https://doi.org/10.1515/ipp-2024-0152</w:t>
        </w:r>
      </w:hyperlink>
    </w:p>
    <w:p w14:paraId="6BB06DF7" w14:textId="77777777" w:rsidR="002974C5" w:rsidRPr="00D00001" w:rsidRDefault="002974C5" w:rsidP="006F5FC6">
      <w:pPr>
        <w:pStyle w:val="Reference"/>
      </w:pPr>
      <w:r w:rsidRPr="00D00001">
        <w:t xml:space="preserve">M.E.M. Soudagar et al. Exploration and thermal characteristics analysis of hybrid TiO2/SiO2 nanofluids passing through heavy-duty automotive radiators for intensive cooling system. J </w:t>
      </w:r>
      <w:proofErr w:type="spellStart"/>
      <w:r w:rsidRPr="00D00001">
        <w:t>Therm</w:t>
      </w:r>
      <w:proofErr w:type="spellEnd"/>
      <w:r w:rsidRPr="00D00001">
        <w:t xml:space="preserve"> Anal </w:t>
      </w:r>
      <w:proofErr w:type="spellStart"/>
      <w:r w:rsidRPr="00D00001">
        <w:t>Calorim</w:t>
      </w:r>
      <w:proofErr w:type="spellEnd"/>
      <w:r w:rsidRPr="00D00001">
        <w:t xml:space="preserve"> (2025). </w:t>
      </w:r>
      <w:hyperlink r:id="rId40" w:history="1">
        <w:r w:rsidRPr="00D00001">
          <w:t>https://doi.org/10.1007/s10973-025-14305-6</w:t>
        </w:r>
      </w:hyperlink>
    </w:p>
    <w:p w14:paraId="6A777B23" w14:textId="77777777" w:rsidR="002974C5" w:rsidRPr="00D00001" w:rsidRDefault="002974C5" w:rsidP="006F5FC6">
      <w:pPr>
        <w:pStyle w:val="Reference"/>
      </w:pPr>
      <w:r w:rsidRPr="00D00001">
        <w:t xml:space="preserve">S. Ravi et al. Processing and </w:t>
      </w:r>
      <w:proofErr w:type="spellStart"/>
      <w:r w:rsidRPr="00D00001">
        <w:t>SiC</w:t>
      </w:r>
      <w:proofErr w:type="spellEnd"/>
      <w:r w:rsidRPr="00D00001">
        <w:t xml:space="preserve"> content on functional </w:t>
      </w:r>
      <w:proofErr w:type="spellStart"/>
      <w:r w:rsidRPr="00D00001">
        <w:t>behaviour</w:t>
      </w:r>
      <w:proofErr w:type="spellEnd"/>
      <w:r w:rsidRPr="00D00001">
        <w:t xml:space="preserve"> of </w:t>
      </w:r>
      <w:proofErr w:type="spellStart"/>
      <w:r w:rsidRPr="00D00001">
        <w:t>aluminium</w:t>
      </w:r>
      <w:proofErr w:type="spellEnd"/>
      <w:r w:rsidRPr="00D00001">
        <w:t xml:space="preserve"> alloy composite. J Mech Sci Technol (2025). </w:t>
      </w:r>
      <w:hyperlink r:id="rId41" w:history="1">
        <w:r w:rsidRPr="00D00001">
          <w:t>https://doi.org/10.1007/s12206-025-0723-2</w:t>
        </w:r>
      </w:hyperlink>
    </w:p>
    <w:p w14:paraId="04BBE8D3" w14:textId="77777777" w:rsidR="002974C5" w:rsidRPr="00D00001" w:rsidRDefault="002974C5" w:rsidP="006F5FC6">
      <w:pPr>
        <w:pStyle w:val="Reference"/>
      </w:pPr>
      <w:r w:rsidRPr="00D00001">
        <w:t xml:space="preserve">N. </w:t>
      </w:r>
      <w:proofErr w:type="spellStart"/>
      <w:r w:rsidRPr="00D00001">
        <w:t>Basavegowda</w:t>
      </w:r>
      <w:proofErr w:type="spellEnd"/>
      <w:r w:rsidRPr="00D00001">
        <w:t xml:space="preserve"> et al. Influence of Silver Nanowire Concentration on Electrical and Optical Properties of Polyaniline for Transparent Conductive Sensors. J. Electron. Mater. (2025). </w:t>
      </w:r>
      <w:hyperlink r:id="rId42" w:history="1">
        <w:r w:rsidRPr="00D00001">
          <w:t>https://doi.org/10.1007/s11664-025-12174-1</w:t>
        </w:r>
      </w:hyperlink>
    </w:p>
    <w:p w14:paraId="37DFAAD7" w14:textId="77777777" w:rsidR="002974C5" w:rsidRPr="00D00001" w:rsidRDefault="002974C5" w:rsidP="006F5FC6">
      <w:pPr>
        <w:pStyle w:val="Reference"/>
      </w:pPr>
      <w:r w:rsidRPr="00D00001">
        <w:t xml:space="preserve">A. Sharma et al. Featuring of </w:t>
      </w:r>
      <w:proofErr w:type="spellStart"/>
      <w:r w:rsidRPr="00D00001">
        <w:t>Formamidinium</w:t>
      </w:r>
      <w:proofErr w:type="spellEnd"/>
      <w:r w:rsidRPr="00D00001">
        <w:t xml:space="preserve"> lead halide and enrichment of optoelectronic </w:t>
      </w:r>
      <w:proofErr w:type="spellStart"/>
      <w:r w:rsidRPr="00D00001">
        <w:t>behaviour</w:t>
      </w:r>
      <w:proofErr w:type="spellEnd"/>
      <w:r w:rsidRPr="00D00001">
        <w:t xml:space="preserve"> of SnO2/FAPbI3/</w:t>
      </w:r>
      <w:proofErr w:type="spellStart"/>
      <w:r w:rsidRPr="00D00001">
        <w:t>NiOx</w:t>
      </w:r>
      <w:proofErr w:type="spellEnd"/>
      <w:r w:rsidRPr="00D00001">
        <w:t xml:space="preserve"> with PCBM layer. J Mater Sci: Mater Electron 36, 1124 (2025). </w:t>
      </w:r>
      <w:hyperlink r:id="rId43" w:history="1">
        <w:r w:rsidRPr="00D00001">
          <w:t>https://doi.org/10.1007/s10854-025-15203-1</w:t>
        </w:r>
      </w:hyperlink>
    </w:p>
    <w:p w14:paraId="1AA9B8D3" w14:textId="77777777" w:rsidR="002974C5" w:rsidRPr="00D00001" w:rsidRDefault="002974C5" w:rsidP="006F5FC6">
      <w:pPr>
        <w:pStyle w:val="Reference"/>
      </w:pPr>
      <w:r w:rsidRPr="00D00001">
        <w:t xml:space="preserve">V. V. Upadhyay et al. Hexachloroethane fluxing mechanism and actions of hybrid fillers on functional </w:t>
      </w:r>
      <w:proofErr w:type="spellStart"/>
      <w:r w:rsidRPr="00D00001">
        <w:t>behaviour</w:t>
      </w:r>
      <w:proofErr w:type="spellEnd"/>
      <w:r w:rsidRPr="00D00001">
        <w:t xml:space="preserve"> of AZ31B alloy composites. J Mech Sci Technol (2025). </w:t>
      </w:r>
      <w:hyperlink r:id="rId44" w:history="1">
        <w:r w:rsidRPr="00D00001">
          <w:t>https://doi.org/10.1007/s12206-025-0622-6</w:t>
        </w:r>
      </w:hyperlink>
    </w:p>
    <w:p w14:paraId="7C242B66" w14:textId="77777777" w:rsidR="002974C5" w:rsidRPr="00D00001" w:rsidRDefault="002974C5" w:rsidP="006F5FC6">
      <w:pPr>
        <w:pStyle w:val="Reference"/>
      </w:pPr>
      <w:r w:rsidRPr="00D00001">
        <w:t xml:space="preserve">V. </w:t>
      </w:r>
      <w:proofErr w:type="spellStart"/>
      <w:r w:rsidRPr="00D00001">
        <w:t>Mohanavel</w:t>
      </w:r>
      <w:proofErr w:type="spellEnd"/>
      <w:r w:rsidRPr="00D00001">
        <w:t xml:space="preserve"> et al. Exploration of photovoltaic thermal collector performance enhancement by the accumulations of hybrid nanofluid and phase change material. J </w:t>
      </w:r>
      <w:proofErr w:type="spellStart"/>
      <w:r w:rsidRPr="00D00001">
        <w:t>Therm</w:t>
      </w:r>
      <w:proofErr w:type="spellEnd"/>
      <w:r w:rsidRPr="00D00001">
        <w:t xml:space="preserve"> Anal </w:t>
      </w:r>
      <w:proofErr w:type="spellStart"/>
      <w:r w:rsidRPr="00D00001">
        <w:t>Calorim</w:t>
      </w:r>
      <w:proofErr w:type="spellEnd"/>
      <w:r w:rsidRPr="00D00001">
        <w:t xml:space="preserve"> (2025). </w:t>
      </w:r>
      <w:hyperlink r:id="rId45" w:history="1">
        <w:r w:rsidRPr="00D00001">
          <w:t>https://doi.org/10.1007/s10973-025-14427-x</w:t>
        </w:r>
      </w:hyperlink>
    </w:p>
    <w:p w14:paraId="12A1E377" w14:textId="77777777" w:rsidR="002974C5" w:rsidRPr="003777C5" w:rsidRDefault="002974C5" w:rsidP="006F5FC6">
      <w:pPr>
        <w:pStyle w:val="Reference"/>
      </w:pPr>
      <w:r w:rsidRPr="00D00001">
        <w:t xml:space="preserve">K. K. Ilavenil et al. Enrichment of monolithic </w:t>
      </w:r>
      <w:proofErr w:type="spellStart"/>
      <w:r w:rsidRPr="00D00001">
        <w:t>aluminium</w:t>
      </w:r>
      <w:proofErr w:type="spellEnd"/>
      <w:r w:rsidRPr="00D00001">
        <w:t xml:space="preserve"> alloy characteristics by nano ceramic: Solid state process. J Mech Sci Technol (2025). </w:t>
      </w:r>
      <w:hyperlink r:id="rId46" w:history="1">
        <w:r w:rsidRPr="00D00001">
          <w:t>https://doi.org/10.1007/s12206-025-0513-x</w:t>
        </w:r>
      </w:hyperlink>
    </w:p>
    <w:p w14:paraId="67A00600" w14:textId="77777777" w:rsidR="003777C5" w:rsidRPr="00CA090C" w:rsidRDefault="003777C5" w:rsidP="006F5FC6">
      <w:pPr>
        <w:pStyle w:val="Reference"/>
      </w:pPr>
      <w:r w:rsidRPr="00CA090C">
        <w:t xml:space="preserve">Subramani, R., Ali, R. M., </w:t>
      </w:r>
      <w:proofErr w:type="spellStart"/>
      <w:r w:rsidRPr="00CA090C">
        <w:t>Surakasi</w:t>
      </w:r>
      <w:proofErr w:type="spellEnd"/>
      <w:r w:rsidRPr="00CA090C">
        <w:t>, R., Sudha, D. R., Karthick, S., Karthikeyan, S., Nagabhooshanam, N., Subramanian, J., &amp; Selvaraj, V. K. (2024). Surface metamorphosis techniques for sustainable polymers: optimizing material performance and environmental impact. Applied Chemical Engineering, 7(3), 11–11.</w:t>
      </w:r>
    </w:p>
    <w:p w14:paraId="01130991" w14:textId="77777777" w:rsidR="003777C5" w:rsidRPr="00CA090C" w:rsidRDefault="003777C5" w:rsidP="006F5FC6">
      <w:pPr>
        <w:pStyle w:val="Reference"/>
      </w:pPr>
      <w:r w:rsidRPr="00CA090C">
        <w:lastRenderedPageBreak/>
        <w:t xml:space="preserve">Raja, S., Rusho, M. A., Sekhar, K. C., Kumar, K. S., </w:t>
      </w:r>
      <w:proofErr w:type="spellStart"/>
      <w:r w:rsidRPr="00CA090C">
        <w:t>Alagarraja</w:t>
      </w:r>
      <w:proofErr w:type="spellEnd"/>
      <w:r w:rsidRPr="00CA090C">
        <w:t>, K., Kumar, A. P., Karthikeyan, S., Meshram, P. D., Saravanan, N., et al. (2024). Innovative surface engineering of sustainable polymers: Toward green and high-performance materials. Applied Chemical Engineering, 7(3).</w:t>
      </w:r>
    </w:p>
    <w:p w14:paraId="5262B1CD" w14:textId="77777777" w:rsidR="003777C5" w:rsidRPr="00CA090C" w:rsidRDefault="003777C5" w:rsidP="006F5FC6">
      <w:pPr>
        <w:pStyle w:val="Reference"/>
      </w:pPr>
      <w:r w:rsidRPr="00CA090C">
        <w:t xml:space="preserve">Venkatesh, R., Aravindan, N., Manivannan, S., Karthikeyan, S., </w:t>
      </w:r>
      <w:proofErr w:type="spellStart"/>
      <w:r w:rsidRPr="00CA090C">
        <w:t>Mohanavel</w:t>
      </w:r>
      <w:proofErr w:type="spellEnd"/>
      <w:r w:rsidRPr="00CA090C">
        <w:t>, V., Soudagar, M. E. M., &amp; Karthikeyan, N. (2024). Study of natural fiber incorporated polypropylene composite laminate for lightweight applications (SAE Technical Paper).</w:t>
      </w:r>
    </w:p>
    <w:p w14:paraId="2F4BF32C" w14:textId="77777777" w:rsidR="003777C5" w:rsidRPr="00CA090C" w:rsidRDefault="003777C5" w:rsidP="006F5FC6">
      <w:pPr>
        <w:pStyle w:val="Reference"/>
      </w:pPr>
      <w:r w:rsidRPr="00CA090C">
        <w:t xml:space="preserve">Karthikeyan, S., Manivannan, S., Venkatesh, R., Karthikeyan, S., </w:t>
      </w:r>
      <w:proofErr w:type="spellStart"/>
      <w:r w:rsidRPr="00CA090C">
        <w:t>Kuila</w:t>
      </w:r>
      <w:proofErr w:type="spellEnd"/>
      <w:r w:rsidRPr="00CA090C">
        <w:t>, A., &amp; Lakshmanan, S. (2024). Impact of binder selection on functional properties of polymer nanocomposite featured with metal oxide nanoparticle. Journal of Environmental Nanotechnology, 13(3), 262–270.</w:t>
      </w:r>
    </w:p>
    <w:p w14:paraId="0FBC9AEE" w14:textId="77777777" w:rsidR="00AA11A5" w:rsidRPr="00D00001" w:rsidRDefault="00AA11A5" w:rsidP="006F5FC6">
      <w:pPr>
        <w:pStyle w:val="Reference"/>
        <w:numPr>
          <w:ilvl w:val="0"/>
          <w:numId w:val="0"/>
        </w:numPr>
        <w:ind w:left="426"/>
      </w:pPr>
    </w:p>
    <w:sectPr w:rsidR="00AA11A5" w:rsidRPr="00D00001" w:rsidSect="00D30640">
      <w:headerReference w:type="even" r:id="rId47"/>
      <w:headerReference w:type="default" r:id="rId48"/>
      <w:footerReference w:type="even" r:id="rId49"/>
      <w:footerReference w:type="default" r:id="rId50"/>
      <w:headerReference w:type="first" r:id="rId51"/>
      <w:footerReference w:type="first" r:id="rId52"/>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132848" w14:textId="77777777" w:rsidR="00D23458" w:rsidRDefault="00D23458">
      <w:r>
        <w:separator/>
      </w:r>
    </w:p>
  </w:endnote>
  <w:endnote w:type="continuationSeparator" w:id="0">
    <w:p w14:paraId="3D322DFA" w14:textId="77777777" w:rsidR="00D23458" w:rsidRDefault="00D23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1AB97" w14:textId="77777777" w:rsidR="00E459F3" w:rsidRDefault="00E459F3">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6DB3D" w14:textId="77777777" w:rsidR="00E459F3" w:rsidRDefault="00E459F3">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AB11B" w14:textId="77777777" w:rsidR="00E459F3" w:rsidRDefault="00E459F3">
    <w:pPr>
      <w:pBdr>
        <w:top w:val="nil"/>
        <w:left w:val="nil"/>
        <w:bottom w:val="nil"/>
        <w:right w:val="nil"/>
        <w:between w:val="nil"/>
      </w:pBdr>
      <w:tabs>
        <w:tab w:val="center" w:pos="4680"/>
        <w:tab w:val="right" w:pos="9360"/>
        <w:tab w:val="right" w:pos="10065"/>
      </w:tabs>
      <w:rPr>
        <w:color w:val="222222"/>
        <w:sz w:val="16"/>
        <w:szCs w:val="16"/>
        <w:highlight w:val="white"/>
      </w:rPr>
    </w:pPr>
  </w:p>
  <w:p w14:paraId="2BF953B1" w14:textId="77777777" w:rsidR="00E459F3" w:rsidRDefault="00E459F3">
    <w:pPr>
      <w:pBdr>
        <w:top w:val="nil"/>
        <w:left w:val="nil"/>
        <w:bottom w:val="nil"/>
        <w:right w:val="nil"/>
        <w:between w:val="nil"/>
      </w:pBdr>
      <w:tabs>
        <w:tab w:val="center" w:pos="4680"/>
        <w:tab w:val="right" w:pos="9360"/>
        <w:tab w:val="right" w:pos="10065"/>
      </w:tabs>
      <w:rPr>
        <w:color w:val="000000"/>
        <w:sz w:val="16"/>
        <w:szCs w:val="16"/>
      </w:rPr>
    </w:pPr>
    <w:r>
      <w:rPr>
        <w:color w:val="222222"/>
        <w:sz w:val="16"/>
        <w:szCs w:val="16"/>
        <w:highlight w:val="whit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50D71" w14:textId="77777777" w:rsidR="00D23458" w:rsidRDefault="00D23458">
      <w:r>
        <w:separator/>
      </w:r>
    </w:p>
  </w:footnote>
  <w:footnote w:type="continuationSeparator" w:id="0">
    <w:p w14:paraId="576BC1A5" w14:textId="77777777" w:rsidR="00D23458" w:rsidRDefault="00D23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3044F" w14:textId="77777777" w:rsidR="00E459F3" w:rsidRDefault="00E459F3">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9A249" w14:textId="77777777" w:rsidR="00E459F3" w:rsidRDefault="00E459F3">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0DB28" w14:textId="77777777" w:rsidR="00E459F3" w:rsidRDefault="00E459F3">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61A2F"/>
    <w:multiLevelType w:val="hybridMultilevel"/>
    <w:tmpl w:val="7B249A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5FD2CD6"/>
    <w:multiLevelType w:val="hybridMultilevel"/>
    <w:tmpl w:val="77F67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3"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201995"/>
    <w:multiLevelType w:val="hybridMultilevel"/>
    <w:tmpl w:val="BF6292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523057191">
    <w:abstractNumId w:val="7"/>
  </w:num>
  <w:num w:numId="2" w16cid:durableId="101655035">
    <w:abstractNumId w:val="5"/>
  </w:num>
  <w:num w:numId="3" w16cid:durableId="1996452941">
    <w:abstractNumId w:val="8"/>
  </w:num>
  <w:num w:numId="4" w16cid:durableId="506559142">
    <w:abstractNumId w:val="6"/>
  </w:num>
  <w:num w:numId="5" w16cid:durableId="8660687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89019155">
    <w:abstractNumId w:val="0"/>
  </w:num>
  <w:num w:numId="7" w16cid:durableId="318996094">
    <w:abstractNumId w:val="4"/>
  </w:num>
  <w:num w:numId="8" w16cid:durableId="1677609456">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14B14"/>
    <w:rsid w:val="000021FD"/>
    <w:rsid w:val="00003D7C"/>
    <w:rsid w:val="00014140"/>
    <w:rsid w:val="00027428"/>
    <w:rsid w:val="00031EC9"/>
    <w:rsid w:val="00032646"/>
    <w:rsid w:val="00045CED"/>
    <w:rsid w:val="00047BD3"/>
    <w:rsid w:val="00057AEC"/>
    <w:rsid w:val="00066FED"/>
    <w:rsid w:val="00075EA6"/>
    <w:rsid w:val="0007709F"/>
    <w:rsid w:val="00084D33"/>
    <w:rsid w:val="0008553C"/>
    <w:rsid w:val="00086F62"/>
    <w:rsid w:val="00090674"/>
    <w:rsid w:val="0009320B"/>
    <w:rsid w:val="00096AE0"/>
    <w:rsid w:val="000B1B74"/>
    <w:rsid w:val="000B3A2D"/>
    <w:rsid w:val="000B49C0"/>
    <w:rsid w:val="000C1645"/>
    <w:rsid w:val="000E382F"/>
    <w:rsid w:val="000E75CD"/>
    <w:rsid w:val="000F3FD2"/>
    <w:rsid w:val="000F418F"/>
    <w:rsid w:val="000F77D3"/>
    <w:rsid w:val="0010332C"/>
    <w:rsid w:val="001036BA"/>
    <w:rsid w:val="0010508D"/>
    <w:rsid w:val="00107CDD"/>
    <w:rsid w:val="001101E2"/>
    <w:rsid w:val="001146DC"/>
    <w:rsid w:val="00114AB1"/>
    <w:rsid w:val="001230FF"/>
    <w:rsid w:val="00130BD7"/>
    <w:rsid w:val="0014473E"/>
    <w:rsid w:val="00155B67"/>
    <w:rsid w:val="001562AF"/>
    <w:rsid w:val="00161A5B"/>
    <w:rsid w:val="0016385D"/>
    <w:rsid w:val="00165617"/>
    <w:rsid w:val="0016782F"/>
    <w:rsid w:val="001727C1"/>
    <w:rsid w:val="001937E9"/>
    <w:rsid w:val="00193F70"/>
    <w:rsid w:val="00196188"/>
    <w:rsid w:val="001964E5"/>
    <w:rsid w:val="001A34A8"/>
    <w:rsid w:val="001B263B"/>
    <w:rsid w:val="001B476A"/>
    <w:rsid w:val="001C252F"/>
    <w:rsid w:val="001C764F"/>
    <w:rsid w:val="001C7811"/>
    <w:rsid w:val="001C7BB3"/>
    <w:rsid w:val="001D469C"/>
    <w:rsid w:val="001F0D5D"/>
    <w:rsid w:val="00202827"/>
    <w:rsid w:val="00210B10"/>
    <w:rsid w:val="00215BE7"/>
    <w:rsid w:val="0021619E"/>
    <w:rsid w:val="00224F76"/>
    <w:rsid w:val="00230290"/>
    <w:rsid w:val="0023171B"/>
    <w:rsid w:val="00231ADD"/>
    <w:rsid w:val="00236BFC"/>
    <w:rsid w:val="00236CD7"/>
    <w:rsid w:val="00237437"/>
    <w:rsid w:val="00243F8D"/>
    <w:rsid w:val="00243FE5"/>
    <w:rsid w:val="002502FD"/>
    <w:rsid w:val="00261E58"/>
    <w:rsid w:val="002621CA"/>
    <w:rsid w:val="0027458E"/>
    <w:rsid w:val="00274622"/>
    <w:rsid w:val="00285D24"/>
    <w:rsid w:val="00290390"/>
    <w:rsid w:val="002915D3"/>
    <w:rsid w:val="002924DB"/>
    <w:rsid w:val="002941DA"/>
    <w:rsid w:val="002974C5"/>
    <w:rsid w:val="002A06CE"/>
    <w:rsid w:val="002B5648"/>
    <w:rsid w:val="002C297D"/>
    <w:rsid w:val="002E106E"/>
    <w:rsid w:val="002E162E"/>
    <w:rsid w:val="002E3C35"/>
    <w:rsid w:val="002E5A5F"/>
    <w:rsid w:val="002F282D"/>
    <w:rsid w:val="002F4434"/>
    <w:rsid w:val="002F5298"/>
    <w:rsid w:val="002F575A"/>
    <w:rsid w:val="002F70F3"/>
    <w:rsid w:val="003005C0"/>
    <w:rsid w:val="00305D83"/>
    <w:rsid w:val="00314572"/>
    <w:rsid w:val="003207BE"/>
    <w:rsid w:val="00323A43"/>
    <w:rsid w:val="00326AE0"/>
    <w:rsid w:val="00330DEC"/>
    <w:rsid w:val="00337E4F"/>
    <w:rsid w:val="00340C36"/>
    <w:rsid w:val="003438EA"/>
    <w:rsid w:val="00346A9D"/>
    <w:rsid w:val="00370291"/>
    <w:rsid w:val="003777C5"/>
    <w:rsid w:val="0039376F"/>
    <w:rsid w:val="00396483"/>
    <w:rsid w:val="003A287B"/>
    <w:rsid w:val="003A3EFA"/>
    <w:rsid w:val="003A5C85"/>
    <w:rsid w:val="003A61B1"/>
    <w:rsid w:val="003A69CC"/>
    <w:rsid w:val="003B0050"/>
    <w:rsid w:val="003C7811"/>
    <w:rsid w:val="003D16DC"/>
    <w:rsid w:val="003D47A1"/>
    <w:rsid w:val="003D626E"/>
    <w:rsid w:val="003D6312"/>
    <w:rsid w:val="003E5A4F"/>
    <w:rsid w:val="003E645F"/>
    <w:rsid w:val="003E6A4C"/>
    <w:rsid w:val="003E7C74"/>
    <w:rsid w:val="003F31C6"/>
    <w:rsid w:val="003F701C"/>
    <w:rsid w:val="0040225B"/>
    <w:rsid w:val="00402DA2"/>
    <w:rsid w:val="00410019"/>
    <w:rsid w:val="004119D6"/>
    <w:rsid w:val="004220A2"/>
    <w:rsid w:val="004253A7"/>
    <w:rsid w:val="00425AC2"/>
    <w:rsid w:val="00431EF7"/>
    <w:rsid w:val="00432D9B"/>
    <w:rsid w:val="00434A3B"/>
    <w:rsid w:val="00440F52"/>
    <w:rsid w:val="0044771F"/>
    <w:rsid w:val="00457B2D"/>
    <w:rsid w:val="0046134C"/>
    <w:rsid w:val="00470C9F"/>
    <w:rsid w:val="004850DF"/>
    <w:rsid w:val="00493EE9"/>
    <w:rsid w:val="004A492D"/>
    <w:rsid w:val="004B151D"/>
    <w:rsid w:val="004C1C53"/>
    <w:rsid w:val="004C6F43"/>
    <w:rsid w:val="004C7243"/>
    <w:rsid w:val="004D6080"/>
    <w:rsid w:val="004E015F"/>
    <w:rsid w:val="004E09BF"/>
    <w:rsid w:val="004E21DE"/>
    <w:rsid w:val="004E3C57"/>
    <w:rsid w:val="004E3CB2"/>
    <w:rsid w:val="004E41F6"/>
    <w:rsid w:val="004E5AAE"/>
    <w:rsid w:val="005021C7"/>
    <w:rsid w:val="0050536F"/>
    <w:rsid w:val="00510960"/>
    <w:rsid w:val="00525813"/>
    <w:rsid w:val="005307EE"/>
    <w:rsid w:val="0053513F"/>
    <w:rsid w:val="00553812"/>
    <w:rsid w:val="00554290"/>
    <w:rsid w:val="00564DC0"/>
    <w:rsid w:val="00566C71"/>
    <w:rsid w:val="00567E55"/>
    <w:rsid w:val="00567ECD"/>
    <w:rsid w:val="00572643"/>
    <w:rsid w:val="00573E44"/>
    <w:rsid w:val="00574405"/>
    <w:rsid w:val="00581BE7"/>
    <w:rsid w:val="005854B0"/>
    <w:rsid w:val="00586BD6"/>
    <w:rsid w:val="005918DF"/>
    <w:rsid w:val="00592FA9"/>
    <w:rsid w:val="00594F86"/>
    <w:rsid w:val="005A0E21"/>
    <w:rsid w:val="005B3A34"/>
    <w:rsid w:val="005B6B57"/>
    <w:rsid w:val="005C3A84"/>
    <w:rsid w:val="005D4676"/>
    <w:rsid w:val="005D49AF"/>
    <w:rsid w:val="005D7533"/>
    <w:rsid w:val="005E415C"/>
    <w:rsid w:val="005E4EED"/>
    <w:rsid w:val="005E71ED"/>
    <w:rsid w:val="005E7946"/>
    <w:rsid w:val="005F0053"/>
    <w:rsid w:val="005F7475"/>
    <w:rsid w:val="00611265"/>
    <w:rsid w:val="00611299"/>
    <w:rsid w:val="00613B4D"/>
    <w:rsid w:val="00614027"/>
    <w:rsid w:val="0061564C"/>
    <w:rsid w:val="00616365"/>
    <w:rsid w:val="00616F3B"/>
    <w:rsid w:val="00622057"/>
    <w:rsid w:val="00624229"/>
    <w:rsid w:val="006249A7"/>
    <w:rsid w:val="00633085"/>
    <w:rsid w:val="0063740A"/>
    <w:rsid w:val="0064225B"/>
    <w:rsid w:val="00644B60"/>
    <w:rsid w:val="00646F47"/>
    <w:rsid w:val="00675AB1"/>
    <w:rsid w:val="006763F9"/>
    <w:rsid w:val="00683B7E"/>
    <w:rsid w:val="00683EF1"/>
    <w:rsid w:val="006949BC"/>
    <w:rsid w:val="006B3367"/>
    <w:rsid w:val="006B529A"/>
    <w:rsid w:val="006C4D0D"/>
    <w:rsid w:val="006D1109"/>
    <w:rsid w:val="006D1229"/>
    <w:rsid w:val="006D372F"/>
    <w:rsid w:val="006D7A18"/>
    <w:rsid w:val="006E4474"/>
    <w:rsid w:val="006E76EF"/>
    <w:rsid w:val="006F5FC6"/>
    <w:rsid w:val="00701388"/>
    <w:rsid w:val="00701ACF"/>
    <w:rsid w:val="00714E26"/>
    <w:rsid w:val="00723B7F"/>
    <w:rsid w:val="00725861"/>
    <w:rsid w:val="00726B88"/>
    <w:rsid w:val="0073324D"/>
    <w:rsid w:val="0073393A"/>
    <w:rsid w:val="0073539D"/>
    <w:rsid w:val="00742315"/>
    <w:rsid w:val="007424EF"/>
    <w:rsid w:val="00742988"/>
    <w:rsid w:val="007438C4"/>
    <w:rsid w:val="00743C06"/>
    <w:rsid w:val="00747C92"/>
    <w:rsid w:val="00754083"/>
    <w:rsid w:val="0076551C"/>
    <w:rsid w:val="00766878"/>
    <w:rsid w:val="00767B8A"/>
    <w:rsid w:val="00770E97"/>
    <w:rsid w:val="00775097"/>
    <w:rsid w:val="007752A5"/>
    <w:rsid w:val="00775481"/>
    <w:rsid w:val="00776588"/>
    <w:rsid w:val="0079524B"/>
    <w:rsid w:val="0079783A"/>
    <w:rsid w:val="007A233B"/>
    <w:rsid w:val="007B4863"/>
    <w:rsid w:val="007C65E6"/>
    <w:rsid w:val="007D3F8D"/>
    <w:rsid w:val="007D406B"/>
    <w:rsid w:val="007D4407"/>
    <w:rsid w:val="007E1275"/>
    <w:rsid w:val="007E1CA3"/>
    <w:rsid w:val="007F1A89"/>
    <w:rsid w:val="00812D62"/>
    <w:rsid w:val="00812F29"/>
    <w:rsid w:val="00821713"/>
    <w:rsid w:val="008217D3"/>
    <w:rsid w:val="0082331F"/>
    <w:rsid w:val="008266B5"/>
    <w:rsid w:val="00826E0A"/>
    <w:rsid w:val="00827050"/>
    <w:rsid w:val="0083076C"/>
    <w:rsid w:val="0083278B"/>
    <w:rsid w:val="00832891"/>
    <w:rsid w:val="00833AC9"/>
    <w:rsid w:val="00834538"/>
    <w:rsid w:val="00841370"/>
    <w:rsid w:val="008455BE"/>
    <w:rsid w:val="00850E89"/>
    <w:rsid w:val="008569A7"/>
    <w:rsid w:val="008675D9"/>
    <w:rsid w:val="0087003A"/>
    <w:rsid w:val="008745FF"/>
    <w:rsid w:val="00887830"/>
    <w:rsid w:val="00890390"/>
    <w:rsid w:val="00890C47"/>
    <w:rsid w:val="008930E4"/>
    <w:rsid w:val="00893821"/>
    <w:rsid w:val="008A7B9C"/>
    <w:rsid w:val="008B2DDD"/>
    <w:rsid w:val="008B32FB"/>
    <w:rsid w:val="008B39FA"/>
    <w:rsid w:val="008B4754"/>
    <w:rsid w:val="008D0306"/>
    <w:rsid w:val="008D22CA"/>
    <w:rsid w:val="008E6A7A"/>
    <w:rsid w:val="008E7F8F"/>
    <w:rsid w:val="008F1038"/>
    <w:rsid w:val="008F2738"/>
    <w:rsid w:val="008F2AC3"/>
    <w:rsid w:val="008F7046"/>
    <w:rsid w:val="009005FC"/>
    <w:rsid w:val="0090207B"/>
    <w:rsid w:val="00911E4D"/>
    <w:rsid w:val="00922E5A"/>
    <w:rsid w:val="00925DDE"/>
    <w:rsid w:val="00925F74"/>
    <w:rsid w:val="0093156B"/>
    <w:rsid w:val="0094313C"/>
    <w:rsid w:val="00943315"/>
    <w:rsid w:val="00946C27"/>
    <w:rsid w:val="00956C9E"/>
    <w:rsid w:val="00961063"/>
    <w:rsid w:val="00967682"/>
    <w:rsid w:val="00986120"/>
    <w:rsid w:val="00993DD0"/>
    <w:rsid w:val="009A12F2"/>
    <w:rsid w:val="009A4F3D"/>
    <w:rsid w:val="009B696B"/>
    <w:rsid w:val="009B7671"/>
    <w:rsid w:val="009E5BA1"/>
    <w:rsid w:val="009F056E"/>
    <w:rsid w:val="00A076F7"/>
    <w:rsid w:val="00A24F3D"/>
    <w:rsid w:val="00A26DCD"/>
    <w:rsid w:val="00A30AEB"/>
    <w:rsid w:val="00A314BB"/>
    <w:rsid w:val="00A32B7D"/>
    <w:rsid w:val="00A3533A"/>
    <w:rsid w:val="00A3645F"/>
    <w:rsid w:val="00A5596B"/>
    <w:rsid w:val="00A6219F"/>
    <w:rsid w:val="00A646B3"/>
    <w:rsid w:val="00A6739B"/>
    <w:rsid w:val="00A67C51"/>
    <w:rsid w:val="00A90413"/>
    <w:rsid w:val="00AA11A5"/>
    <w:rsid w:val="00AA1291"/>
    <w:rsid w:val="00AA728C"/>
    <w:rsid w:val="00AB0A9C"/>
    <w:rsid w:val="00AB0D20"/>
    <w:rsid w:val="00AB2CFC"/>
    <w:rsid w:val="00AB7119"/>
    <w:rsid w:val="00AC03E5"/>
    <w:rsid w:val="00AC767A"/>
    <w:rsid w:val="00AD5855"/>
    <w:rsid w:val="00AE6816"/>
    <w:rsid w:val="00AE7500"/>
    <w:rsid w:val="00AE7F87"/>
    <w:rsid w:val="00AF3542"/>
    <w:rsid w:val="00AF5ABE"/>
    <w:rsid w:val="00AF6463"/>
    <w:rsid w:val="00AF6B9B"/>
    <w:rsid w:val="00AF72A4"/>
    <w:rsid w:val="00B00415"/>
    <w:rsid w:val="00B03C2A"/>
    <w:rsid w:val="00B062F7"/>
    <w:rsid w:val="00B1000D"/>
    <w:rsid w:val="00B10134"/>
    <w:rsid w:val="00B143C3"/>
    <w:rsid w:val="00B16BFE"/>
    <w:rsid w:val="00B500E5"/>
    <w:rsid w:val="00B559A4"/>
    <w:rsid w:val="00B65122"/>
    <w:rsid w:val="00B77363"/>
    <w:rsid w:val="00B775F4"/>
    <w:rsid w:val="00B95FBC"/>
    <w:rsid w:val="00BA235F"/>
    <w:rsid w:val="00BA39BB"/>
    <w:rsid w:val="00BA3B3D"/>
    <w:rsid w:val="00BB318D"/>
    <w:rsid w:val="00BB513B"/>
    <w:rsid w:val="00BB7EEA"/>
    <w:rsid w:val="00BC1A1B"/>
    <w:rsid w:val="00BC4B92"/>
    <w:rsid w:val="00BD1909"/>
    <w:rsid w:val="00BD539F"/>
    <w:rsid w:val="00BE3D9D"/>
    <w:rsid w:val="00BE5E16"/>
    <w:rsid w:val="00BE5FD1"/>
    <w:rsid w:val="00BF581F"/>
    <w:rsid w:val="00C06E05"/>
    <w:rsid w:val="00C13D94"/>
    <w:rsid w:val="00C14B14"/>
    <w:rsid w:val="00C17370"/>
    <w:rsid w:val="00C17E9C"/>
    <w:rsid w:val="00C2054D"/>
    <w:rsid w:val="00C252EB"/>
    <w:rsid w:val="00C26EC0"/>
    <w:rsid w:val="00C33572"/>
    <w:rsid w:val="00C40D7C"/>
    <w:rsid w:val="00C44550"/>
    <w:rsid w:val="00C56C77"/>
    <w:rsid w:val="00C6493D"/>
    <w:rsid w:val="00C651C6"/>
    <w:rsid w:val="00C67404"/>
    <w:rsid w:val="00C67FC7"/>
    <w:rsid w:val="00C84923"/>
    <w:rsid w:val="00C8731A"/>
    <w:rsid w:val="00C87D45"/>
    <w:rsid w:val="00C9204C"/>
    <w:rsid w:val="00C96D5F"/>
    <w:rsid w:val="00CA090C"/>
    <w:rsid w:val="00CA321C"/>
    <w:rsid w:val="00CA3652"/>
    <w:rsid w:val="00CA5C35"/>
    <w:rsid w:val="00CB0D1A"/>
    <w:rsid w:val="00CB7B3E"/>
    <w:rsid w:val="00CC5EEB"/>
    <w:rsid w:val="00CC739D"/>
    <w:rsid w:val="00CD52B0"/>
    <w:rsid w:val="00CE4622"/>
    <w:rsid w:val="00CF2380"/>
    <w:rsid w:val="00CF52C7"/>
    <w:rsid w:val="00CF5FDE"/>
    <w:rsid w:val="00D00001"/>
    <w:rsid w:val="00D00C3B"/>
    <w:rsid w:val="00D0287B"/>
    <w:rsid w:val="00D04468"/>
    <w:rsid w:val="00D05ECB"/>
    <w:rsid w:val="00D163FF"/>
    <w:rsid w:val="00D23458"/>
    <w:rsid w:val="00D23B86"/>
    <w:rsid w:val="00D30640"/>
    <w:rsid w:val="00D36257"/>
    <w:rsid w:val="00D36798"/>
    <w:rsid w:val="00D462F6"/>
    <w:rsid w:val="00D4687E"/>
    <w:rsid w:val="00D52B6C"/>
    <w:rsid w:val="00D53A12"/>
    <w:rsid w:val="00D561E0"/>
    <w:rsid w:val="00D56664"/>
    <w:rsid w:val="00D65233"/>
    <w:rsid w:val="00D70992"/>
    <w:rsid w:val="00D87E2A"/>
    <w:rsid w:val="00D90D03"/>
    <w:rsid w:val="00D92CC2"/>
    <w:rsid w:val="00D93719"/>
    <w:rsid w:val="00DB0C43"/>
    <w:rsid w:val="00DB7BB8"/>
    <w:rsid w:val="00DB7C2E"/>
    <w:rsid w:val="00DC44B0"/>
    <w:rsid w:val="00DC7D29"/>
    <w:rsid w:val="00DD0DEA"/>
    <w:rsid w:val="00DD337E"/>
    <w:rsid w:val="00DE16D0"/>
    <w:rsid w:val="00DE3354"/>
    <w:rsid w:val="00DE624D"/>
    <w:rsid w:val="00DF55FA"/>
    <w:rsid w:val="00DF7DCD"/>
    <w:rsid w:val="00E1763D"/>
    <w:rsid w:val="00E26810"/>
    <w:rsid w:val="00E349D4"/>
    <w:rsid w:val="00E459F3"/>
    <w:rsid w:val="00E50B7D"/>
    <w:rsid w:val="00E617C8"/>
    <w:rsid w:val="00E75FE2"/>
    <w:rsid w:val="00E81FD3"/>
    <w:rsid w:val="00E86485"/>
    <w:rsid w:val="00E904A1"/>
    <w:rsid w:val="00E90791"/>
    <w:rsid w:val="00EA42C9"/>
    <w:rsid w:val="00EA5153"/>
    <w:rsid w:val="00EA726D"/>
    <w:rsid w:val="00EB2474"/>
    <w:rsid w:val="00EB277E"/>
    <w:rsid w:val="00EB50E6"/>
    <w:rsid w:val="00EB5799"/>
    <w:rsid w:val="00EB7D28"/>
    <w:rsid w:val="00EC0D0C"/>
    <w:rsid w:val="00ED1C0D"/>
    <w:rsid w:val="00ED4A2C"/>
    <w:rsid w:val="00ED5255"/>
    <w:rsid w:val="00ED5765"/>
    <w:rsid w:val="00EE0323"/>
    <w:rsid w:val="00EF0331"/>
    <w:rsid w:val="00EF6940"/>
    <w:rsid w:val="00F037FA"/>
    <w:rsid w:val="00F06D61"/>
    <w:rsid w:val="00F11CD0"/>
    <w:rsid w:val="00F16E5E"/>
    <w:rsid w:val="00F2044A"/>
    <w:rsid w:val="00F20BFC"/>
    <w:rsid w:val="00F2302E"/>
    <w:rsid w:val="00F24D5F"/>
    <w:rsid w:val="00F320D7"/>
    <w:rsid w:val="00F40837"/>
    <w:rsid w:val="00F461AC"/>
    <w:rsid w:val="00F46341"/>
    <w:rsid w:val="00F566F7"/>
    <w:rsid w:val="00F60747"/>
    <w:rsid w:val="00F6130D"/>
    <w:rsid w:val="00F726C3"/>
    <w:rsid w:val="00F820CA"/>
    <w:rsid w:val="00F8554C"/>
    <w:rsid w:val="00F95F82"/>
    <w:rsid w:val="00F97A90"/>
    <w:rsid w:val="00FA213B"/>
    <w:rsid w:val="00FB52F8"/>
    <w:rsid w:val="00FB61E4"/>
    <w:rsid w:val="00FC2F35"/>
    <w:rsid w:val="00FC3FD7"/>
    <w:rsid w:val="00FD1FC6"/>
    <w:rsid w:val="00FD3441"/>
    <w:rsid w:val="00FE3FBD"/>
    <w:rsid w:val="00FE5869"/>
    <w:rsid w:val="00FF0C53"/>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FA73F2"/>
  <w15:docId w15:val="{02FF9A17-D53C-4746-9300-2EB5852B0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D52B6C"/>
    <w:pPr>
      <w:keepNext/>
      <w:spacing w:before="240" w:after="240"/>
      <w:jc w:val="center"/>
      <w:outlineLvl w:val="0"/>
    </w:pPr>
    <w:rPr>
      <w:b/>
      <w:caps/>
    </w:rPr>
  </w:style>
  <w:style w:type="paragraph" w:styleId="Heading2">
    <w:name w:val="heading 2"/>
    <w:basedOn w:val="Normal"/>
    <w:next w:val="Paragraph"/>
    <w:qFormat/>
    <w:rsid w:val="00D52B6C"/>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4">
    <w:name w:val="heading 4"/>
    <w:basedOn w:val="Normal"/>
    <w:next w:val="Normal"/>
    <w:link w:val="Heading4Char"/>
    <w:semiHidden/>
    <w:unhideWhenUsed/>
    <w:qFormat/>
    <w:rsid w:val="00DF55FA"/>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D52B6C"/>
    <w:rPr>
      <w:sz w:val="16"/>
    </w:rPr>
  </w:style>
  <w:style w:type="paragraph" w:customStyle="1" w:styleId="PaperTitle">
    <w:name w:val="Paper Title"/>
    <w:basedOn w:val="Normal"/>
    <w:next w:val="AuthorName"/>
    <w:rsid w:val="00D52B6C"/>
    <w:pPr>
      <w:spacing w:before="1200"/>
      <w:jc w:val="center"/>
    </w:pPr>
    <w:rPr>
      <w:b/>
      <w:sz w:val="36"/>
    </w:rPr>
  </w:style>
  <w:style w:type="paragraph" w:customStyle="1" w:styleId="AuthorName">
    <w:name w:val="Author Name"/>
    <w:basedOn w:val="Normal"/>
    <w:next w:val="AuthorAffiliation"/>
    <w:rsid w:val="00D52B6C"/>
    <w:pPr>
      <w:spacing w:before="360" w:after="360"/>
      <w:jc w:val="center"/>
    </w:pPr>
    <w:rPr>
      <w:sz w:val="28"/>
    </w:rPr>
  </w:style>
  <w:style w:type="paragraph" w:customStyle="1" w:styleId="AuthorAffiliation">
    <w:name w:val="Author Affiliation"/>
    <w:basedOn w:val="Normal"/>
    <w:rsid w:val="00D52B6C"/>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D52B6C"/>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D52B6C"/>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uiPriority w:val="99"/>
    <w:rsid w:val="00114AB1"/>
    <w:rPr>
      <w:rFonts w:ascii="Tahoma" w:hAnsi="Tahoma" w:cs="Tahoma"/>
      <w:sz w:val="16"/>
      <w:szCs w:val="16"/>
    </w:rPr>
  </w:style>
  <w:style w:type="character" w:customStyle="1" w:styleId="BalloonTextChar">
    <w:name w:val="Balloon Text Char"/>
    <w:basedOn w:val="DefaultParagraphFont"/>
    <w:link w:val="BalloonText"/>
    <w:uiPriority w:val="99"/>
    <w:rsid w:val="00114AB1"/>
    <w:rPr>
      <w:rFonts w:ascii="Tahoma" w:hAnsi="Tahoma" w:cs="Tahoma"/>
      <w:sz w:val="16"/>
      <w:szCs w:val="16"/>
      <w:lang w:val="en-US" w:eastAsia="en-US"/>
    </w:rPr>
  </w:style>
  <w:style w:type="character" w:styleId="Hyperlink">
    <w:name w:val="Hyperlink"/>
    <w:rsid w:val="00D52B6C"/>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Subtitle">
    <w:name w:val="Subtitle"/>
    <w:basedOn w:val="Normal"/>
    <w:next w:val="Normal"/>
    <w:link w:val="SubtitleChar"/>
    <w:qFormat/>
    <w:rsid w:val="00581BE7"/>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581BE7"/>
    <w:rPr>
      <w:rFonts w:asciiTheme="majorHAnsi" w:eastAsiaTheme="majorEastAsia" w:hAnsiTheme="majorHAnsi" w:cstheme="majorBidi"/>
      <w:i/>
      <w:iCs/>
      <w:color w:val="4F81BD" w:themeColor="accent1"/>
      <w:spacing w:val="15"/>
      <w:sz w:val="24"/>
      <w:szCs w:val="24"/>
      <w:lang w:val="en-US" w:eastAsia="en-US"/>
    </w:rPr>
  </w:style>
  <w:style w:type="character" w:customStyle="1" w:styleId="apple-converted-space">
    <w:name w:val="apple-converted-space"/>
    <w:basedOn w:val="DefaultParagraphFont"/>
    <w:rsid w:val="00890390"/>
  </w:style>
  <w:style w:type="character" w:customStyle="1" w:styleId="anchor-text">
    <w:name w:val="anchor-text"/>
    <w:basedOn w:val="DefaultParagraphFont"/>
    <w:rsid w:val="00890390"/>
  </w:style>
  <w:style w:type="character" w:customStyle="1" w:styleId="c-bibliographic-informationvalue">
    <w:name w:val="c-bibliographic-information__value"/>
    <w:basedOn w:val="DefaultParagraphFont"/>
    <w:rsid w:val="00890390"/>
  </w:style>
  <w:style w:type="character" w:customStyle="1" w:styleId="Heading4Char">
    <w:name w:val="Heading 4 Char"/>
    <w:basedOn w:val="DefaultParagraphFont"/>
    <w:link w:val="Heading4"/>
    <w:semiHidden/>
    <w:rsid w:val="00DF55FA"/>
    <w:rPr>
      <w:rFonts w:asciiTheme="majorHAnsi" w:eastAsiaTheme="majorEastAsia" w:hAnsiTheme="majorHAnsi" w:cstheme="majorBidi"/>
      <w:b/>
      <w:bCs/>
      <w:i/>
      <w:iCs/>
      <w:color w:val="4F81BD" w:themeColor="accent1"/>
      <w:sz w:val="24"/>
      <w:lang w:val="en-US" w:eastAsia="en-US"/>
    </w:rPr>
  </w:style>
  <w:style w:type="paragraph" w:customStyle="1" w:styleId="dx-doi">
    <w:name w:val="dx-doi"/>
    <w:basedOn w:val="Normal"/>
    <w:rsid w:val="00D0287B"/>
    <w:pPr>
      <w:spacing w:before="100" w:beforeAutospacing="1" w:after="100" w:afterAutospacing="1"/>
    </w:pPr>
    <w:rPr>
      <w:szCs w:val="24"/>
      <w:lang w:val="en-IN"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81709412">
      <w:bodyDiv w:val="1"/>
      <w:marLeft w:val="0"/>
      <w:marRight w:val="0"/>
      <w:marTop w:val="0"/>
      <w:marBottom w:val="0"/>
      <w:divBdr>
        <w:top w:val="none" w:sz="0" w:space="0" w:color="auto"/>
        <w:left w:val="none" w:sz="0" w:space="0" w:color="auto"/>
        <w:bottom w:val="none" w:sz="0" w:space="0" w:color="auto"/>
        <w:right w:val="none" w:sz="0" w:space="0" w:color="auto"/>
      </w:divBdr>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12670358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3.xml"/><Relationship Id="rId18" Type="http://schemas.openxmlformats.org/officeDocument/2006/relationships/hyperlink" Target="https://doi.org/10.4271/2023-01-5115" TargetMode="External"/><Relationship Id="rId26" Type="http://schemas.openxmlformats.org/officeDocument/2006/relationships/hyperlink" Target="https://doi.org/10.1007/s11664-024-11669-7" TargetMode="External"/><Relationship Id="rId39" Type="http://schemas.openxmlformats.org/officeDocument/2006/relationships/hyperlink" Target="https://doi.org/10.1515/ipp-2024-0152" TargetMode="External"/><Relationship Id="rId21" Type="http://schemas.openxmlformats.org/officeDocument/2006/relationships/hyperlink" Target="https://doi.org/10.1080/15325008.2024.2337218" TargetMode="External"/><Relationship Id="rId34" Type="http://schemas.openxmlformats.org/officeDocument/2006/relationships/hyperlink" Target="https://doi.org/10.1007/s12206-024-1219-1" TargetMode="External"/><Relationship Id="rId42" Type="http://schemas.openxmlformats.org/officeDocument/2006/relationships/hyperlink" Target="https://doi.org/10.1007/s11664-025-12174-1" TargetMode="External"/><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3390/engproc2024061015" TargetMode="External"/><Relationship Id="rId29" Type="http://schemas.openxmlformats.org/officeDocument/2006/relationships/hyperlink" Target="https://doi.org/10.1007/s11029-025-10305-7" TargetMode="External"/><Relationship Id="rId11" Type="http://schemas.openxmlformats.org/officeDocument/2006/relationships/chart" Target="charts/chart1.xml"/><Relationship Id="rId24" Type="http://schemas.openxmlformats.org/officeDocument/2006/relationships/hyperlink" Target="https://doi.org/10.4271/2024-01-5031" TargetMode="External"/><Relationship Id="rId32" Type="http://schemas.openxmlformats.org/officeDocument/2006/relationships/hyperlink" Target="https://doi.org/10.1080/15325008.2024.2337217" TargetMode="External"/><Relationship Id="rId37" Type="http://schemas.openxmlformats.org/officeDocument/2006/relationships/hyperlink" Target="https://doi.org/10.1007/s11665-025-11873-4" TargetMode="External"/><Relationship Id="rId40" Type="http://schemas.openxmlformats.org/officeDocument/2006/relationships/hyperlink" Target="https://doi.org/10.1007/s10973-025-14305-6" TargetMode="External"/><Relationship Id="rId45" Type="http://schemas.openxmlformats.org/officeDocument/2006/relationships/hyperlink" Target="https://doi.org/10.1007/s10973-025-14427-x"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doi.org/10.1080/15325008.2023.2300329" TargetMode="External"/><Relationship Id="rId31" Type="http://schemas.openxmlformats.org/officeDocument/2006/relationships/hyperlink" Target="https://doi.org/10.1109/ASSIC60049.2024.10507990" TargetMode="External"/><Relationship Id="rId44" Type="http://schemas.openxmlformats.org/officeDocument/2006/relationships/hyperlink" Target="https://doi.org/10.1007/s12206-025-0622-6" TargetMode="External"/><Relationship Id="rId52"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4.xml"/><Relationship Id="rId22" Type="http://schemas.openxmlformats.org/officeDocument/2006/relationships/hyperlink" Target="https://doi.org/10.1109/ICICT60155.2024.10544835" TargetMode="External"/><Relationship Id="rId27" Type="http://schemas.openxmlformats.org/officeDocument/2006/relationships/hyperlink" Target="http://dx.doi.org/10.29228/ijastech..1528281" TargetMode="External"/><Relationship Id="rId30" Type="http://schemas.openxmlformats.org/officeDocument/2006/relationships/hyperlink" Target="https://doi.org/10.1109/ICOECA62351.2024.00111" TargetMode="External"/><Relationship Id="rId35" Type="http://schemas.openxmlformats.org/officeDocument/2006/relationships/hyperlink" Target="https://doi.org/10.1007/s12206-024-1216-4" TargetMode="External"/><Relationship Id="rId43" Type="http://schemas.openxmlformats.org/officeDocument/2006/relationships/hyperlink" Target="https://doi.org/10.1007/s10854-025-15203-1" TargetMode="External"/><Relationship Id="rId48" Type="http://schemas.openxmlformats.org/officeDocument/2006/relationships/header" Target="header2.xml"/><Relationship Id="rId8" Type="http://schemas.openxmlformats.org/officeDocument/2006/relationships/webSettings" Target="webSettings.xml"/><Relationship Id="rId51" Type="http://schemas.openxmlformats.org/officeDocument/2006/relationships/header" Target="header3.xml"/><Relationship Id="rId3" Type="http://schemas.openxmlformats.org/officeDocument/2006/relationships/customXml" Target="../customXml/item3.xml"/><Relationship Id="rId12" Type="http://schemas.openxmlformats.org/officeDocument/2006/relationships/chart" Target="charts/chart2.xml"/><Relationship Id="rId17" Type="http://schemas.openxmlformats.org/officeDocument/2006/relationships/hyperlink" Target="https://doi.org/10.3390/engproc2024061009" TargetMode="External"/><Relationship Id="rId25" Type="http://schemas.openxmlformats.org/officeDocument/2006/relationships/hyperlink" Target="https://doi.org/10.1016/j.prp.2024.155097" TargetMode="External"/><Relationship Id="rId33" Type="http://schemas.openxmlformats.org/officeDocument/2006/relationships/hyperlink" Target="https://doi.org/10.1080/13640461.2024.2447101" TargetMode="External"/><Relationship Id="rId38" Type="http://schemas.openxmlformats.org/officeDocument/2006/relationships/hyperlink" Target="https://doi.org/10.1007/s12206-025-0620-8" TargetMode="External"/><Relationship Id="rId46" Type="http://schemas.openxmlformats.org/officeDocument/2006/relationships/hyperlink" Target="https://doi.org/10.1007/s12206-025-0513-x" TargetMode="External"/><Relationship Id="rId20" Type="http://schemas.openxmlformats.org/officeDocument/2006/relationships/hyperlink" Target="https://doi.org/10.1016/j.csite.2024.104780" TargetMode="External"/><Relationship Id="rId41" Type="http://schemas.openxmlformats.org/officeDocument/2006/relationships/hyperlink" Target="https://doi.org/10.1007/s12206-025-0723-2"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oi.org/10.1016/j.jwpe.2024.104778" TargetMode="External"/><Relationship Id="rId23" Type="http://schemas.openxmlformats.org/officeDocument/2006/relationships/hyperlink" Target="https://doi.org/10.1109/IC2PCT60090.2024.10486802" TargetMode="External"/><Relationship Id="rId28" Type="http://schemas.openxmlformats.org/officeDocument/2006/relationships/hyperlink" Target="https://doi.org/10.4271/05-18-02-0015" TargetMode="External"/><Relationship Id="rId36" Type="http://schemas.openxmlformats.org/officeDocument/2006/relationships/hyperlink" Target="https://doi.org/10.1007/s10854-024-14135-6" TargetMode="External"/><Relationship Id="rId4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suku\Downloads\PLA_BF_Composite_Dat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suku\Downloads\PLA_BF_Composite_Data.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suku\Downloads\PLA_BF_Composite_Data.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suku\Downloads\PLA_BF_Composite_Dat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Sheet1!$A$1</c:f>
              <c:strCache>
                <c:ptCount val="1"/>
                <c:pt idx="0">
                  <c:v>BF Content (wt%)</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Sheet1!$A$2:$A$5</c:f>
              <c:numCache>
                <c:formatCode>General</c:formatCode>
                <c:ptCount val="4"/>
                <c:pt idx="0">
                  <c:v>0</c:v>
                </c:pt>
                <c:pt idx="1">
                  <c:v>10</c:v>
                </c:pt>
                <c:pt idx="2">
                  <c:v>20</c:v>
                </c:pt>
                <c:pt idx="3">
                  <c:v>30</c:v>
                </c:pt>
              </c:numCache>
            </c:numRef>
          </c:val>
          <c:extLst>
            <c:ext xmlns:c16="http://schemas.microsoft.com/office/drawing/2014/chart" uri="{C3380CC4-5D6E-409C-BE32-E72D297353CC}">
              <c16:uniqueId val="{00000000-2C0B-4634-B601-A822E1951977}"/>
            </c:ext>
          </c:extLst>
        </c:ser>
        <c:ser>
          <c:idx val="1"/>
          <c:order val="1"/>
          <c:tx>
            <c:strRef>
              <c:f>Sheet1!$B$1</c:f>
              <c:strCache>
                <c:ptCount val="1"/>
                <c:pt idx="0">
                  <c:v>Tensile Strength (MPa)</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Sheet1!$B$2:$B$5</c:f>
              <c:numCache>
                <c:formatCode>General</c:formatCode>
                <c:ptCount val="4"/>
                <c:pt idx="0">
                  <c:v>55</c:v>
                </c:pt>
                <c:pt idx="1">
                  <c:v>68</c:v>
                </c:pt>
                <c:pt idx="2">
                  <c:v>72</c:v>
                </c:pt>
                <c:pt idx="3">
                  <c:v>65</c:v>
                </c:pt>
              </c:numCache>
            </c:numRef>
          </c:val>
          <c:extLst>
            <c:ext xmlns:c16="http://schemas.microsoft.com/office/drawing/2014/chart" uri="{C3380CC4-5D6E-409C-BE32-E72D297353CC}">
              <c16:uniqueId val="{00000001-2C0B-4634-B601-A822E1951977}"/>
            </c:ext>
          </c:extLst>
        </c:ser>
        <c:dLbls>
          <c:showLegendKey val="0"/>
          <c:showVal val="0"/>
          <c:showCatName val="0"/>
          <c:showSerName val="0"/>
          <c:showPercent val="0"/>
          <c:showBubbleSize val="0"/>
        </c:dLbls>
        <c:gapWidth val="150"/>
        <c:axId val="97723904"/>
        <c:axId val="97725440"/>
      </c:barChart>
      <c:catAx>
        <c:axId val="97723904"/>
        <c:scaling>
          <c:orientation val="minMax"/>
        </c:scaling>
        <c:delete val="0"/>
        <c:axPos val="b"/>
        <c:majorTickMark val="out"/>
        <c:minorTickMark val="none"/>
        <c:tickLblPos val="nextTo"/>
        <c:crossAx val="97725440"/>
        <c:crosses val="autoZero"/>
        <c:auto val="1"/>
        <c:lblAlgn val="ctr"/>
        <c:lblOffset val="100"/>
        <c:noMultiLvlLbl val="0"/>
      </c:catAx>
      <c:valAx>
        <c:axId val="97725440"/>
        <c:scaling>
          <c:orientation val="minMax"/>
        </c:scaling>
        <c:delete val="0"/>
        <c:axPos val="l"/>
        <c:majorGridlines/>
        <c:numFmt formatCode="General" sourceLinked="1"/>
        <c:majorTickMark val="out"/>
        <c:minorTickMark val="none"/>
        <c:tickLblPos val="nextTo"/>
        <c:crossAx val="97723904"/>
        <c:crosses val="autoZero"/>
        <c:crossBetween val="between"/>
      </c:valAx>
    </c:plotArea>
    <c:legend>
      <c:legendPos val="r"/>
      <c:overlay val="0"/>
    </c:legend>
    <c:plotVisOnly val="1"/>
    <c:dispBlanksAs val="gap"/>
    <c:showDLblsOverMax val="0"/>
  </c:chart>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Sheet2!$A$1</c:f>
              <c:strCache>
                <c:ptCount val="1"/>
                <c:pt idx="0">
                  <c:v>BF Content (wt%)</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Sheet2!$A$2:$A$5</c:f>
              <c:numCache>
                <c:formatCode>General</c:formatCode>
                <c:ptCount val="4"/>
                <c:pt idx="0">
                  <c:v>0</c:v>
                </c:pt>
                <c:pt idx="1">
                  <c:v>10</c:v>
                </c:pt>
                <c:pt idx="2">
                  <c:v>20</c:v>
                </c:pt>
                <c:pt idx="3">
                  <c:v>30</c:v>
                </c:pt>
              </c:numCache>
            </c:numRef>
          </c:val>
          <c:extLst>
            <c:ext xmlns:c16="http://schemas.microsoft.com/office/drawing/2014/chart" uri="{C3380CC4-5D6E-409C-BE32-E72D297353CC}">
              <c16:uniqueId val="{00000000-194B-4139-AE0D-549136577FAA}"/>
            </c:ext>
          </c:extLst>
        </c:ser>
        <c:ser>
          <c:idx val="1"/>
          <c:order val="1"/>
          <c:tx>
            <c:strRef>
              <c:f>Sheet2!$B$1</c:f>
              <c:strCache>
                <c:ptCount val="1"/>
                <c:pt idx="0">
                  <c:v>Flexural Strength (MPa)</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Sheet2!$B$2:$B$5</c:f>
              <c:numCache>
                <c:formatCode>General</c:formatCode>
                <c:ptCount val="4"/>
                <c:pt idx="0">
                  <c:v>65</c:v>
                </c:pt>
                <c:pt idx="1">
                  <c:v>78</c:v>
                </c:pt>
                <c:pt idx="2">
                  <c:v>85</c:v>
                </c:pt>
                <c:pt idx="3">
                  <c:v>74</c:v>
                </c:pt>
              </c:numCache>
            </c:numRef>
          </c:val>
          <c:extLst>
            <c:ext xmlns:c16="http://schemas.microsoft.com/office/drawing/2014/chart" uri="{C3380CC4-5D6E-409C-BE32-E72D297353CC}">
              <c16:uniqueId val="{00000001-194B-4139-AE0D-549136577FAA}"/>
            </c:ext>
          </c:extLst>
        </c:ser>
        <c:dLbls>
          <c:showLegendKey val="0"/>
          <c:showVal val="0"/>
          <c:showCatName val="0"/>
          <c:showSerName val="0"/>
          <c:showPercent val="0"/>
          <c:showBubbleSize val="0"/>
        </c:dLbls>
        <c:gapWidth val="150"/>
        <c:axId val="158795648"/>
        <c:axId val="158797184"/>
      </c:barChart>
      <c:catAx>
        <c:axId val="158795648"/>
        <c:scaling>
          <c:orientation val="minMax"/>
        </c:scaling>
        <c:delete val="0"/>
        <c:axPos val="b"/>
        <c:majorTickMark val="out"/>
        <c:minorTickMark val="none"/>
        <c:tickLblPos val="nextTo"/>
        <c:crossAx val="158797184"/>
        <c:crosses val="autoZero"/>
        <c:auto val="1"/>
        <c:lblAlgn val="ctr"/>
        <c:lblOffset val="100"/>
        <c:noMultiLvlLbl val="0"/>
      </c:catAx>
      <c:valAx>
        <c:axId val="158797184"/>
        <c:scaling>
          <c:orientation val="minMax"/>
        </c:scaling>
        <c:delete val="0"/>
        <c:axPos val="l"/>
        <c:majorGridlines/>
        <c:numFmt formatCode="General" sourceLinked="1"/>
        <c:majorTickMark val="out"/>
        <c:minorTickMark val="none"/>
        <c:tickLblPos val="nextTo"/>
        <c:crossAx val="158795648"/>
        <c:crosses val="autoZero"/>
        <c:crossBetween val="between"/>
      </c:valAx>
    </c:plotArea>
    <c:legend>
      <c:legendPos val="r"/>
      <c:overlay val="0"/>
    </c:legend>
    <c:plotVisOnly val="1"/>
    <c:dispBlanksAs val="gap"/>
    <c:showDLblsOverMax val="0"/>
  </c:chart>
  <c:txPr>
    <a:bodyPr/>
    <a:lstStyle/>
    <a:p>
      <a:pPr>
        <a:defRPr sz="1100">
          <a:latin typeface="Times New Roman" pitchFamily="18" charset="0"/>
          <a:cs typeface="Times New Roman" pitchFamily="18"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Sheet1!$A$1</c:f>
              <c:strCache>
                <c:ptCount val="1"/>
                <c:pt idx="0">
                  <c:v>BF Content (wt%)</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Sheet1!$A$2:$A$5</c:f>
              <c:numCache>
                <c:formatCode>General</c:formatCode>
                <c:ptCount val="4"/>
                <c:pt idx="0">
                  <c:v>0</c:v>
                </c:pt>
                <c:pt idx="1">
                  <c:v>10</c:v>
                </c:pt>
                <c:pt idx="2">
                  <c:v>20</c:v>
                </c:pt>
                <c:pt idx="3">
                  <c:v>30</c:v>
                </c:pt>
              </c:numCache>
            </c:numRef>
          </c:val>
          <c:extLst>
            <c:ext xmlns:c16="http://schemas.microsoft.com/office/drawing/2014/chart" uri="{C3380CC4-5D6E-409C-BE32-E72D297353CC}">
              <c16:uniqueId val="{00000000-ABA1-4633-A5E3-2B0D872B12A2}"/>
            </c:ext>
          </c:extLst>
        </c:ser>
        <c:ser>
          <c:idx val="1"/>
          <c:order val="1"/>
          <c:tx>
            <c:strRef>
              <c:f>Sheet1!$C$1</c:f>
              <c:strCache>
                <c:ptCount val="1"/>
                <c:pt idx="0">
                  <c:v>Impact Toughness (kJ/m²)</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Sheet1!$C$2:$C$5</c:f>
              <c:numCache>
                <c:formatCode>General</c:formatCode>
                <c:ptCount val="4"/>
                <c:pt idx="0">
                  <c:v>2.5</c:v>
                </c:pt>
                <c:pt idx="1">
                  <c:v>3.8</c:v>
                </c:pt>
                <c:pt idx="2">
                  <c:v>4.2</c:v>
                </c:pt>
                <c:pt idx="3">
                  <c:v>3.5</c:v>
                </c:pt>
              </c:numCache>
            </c:numRef>
          </c:val>
          <c:extLst>
            <c:ext xmlns:c16="http://schemas.microsoft.com/office/drawing/2014/chart" uri="{C3380CC4-5D6E-409C-BE32-E72D297353CC}">
              <c16:uniqueId val="{00000001-ABA1-4633-A5E3-2B0D872B12A2}"/>
            </c:ext>
          </c:extLst>
        </c:ser>
        <c:dLbls>
          <c:showLegendKey val="0"/>
          <c:showVal val="0"/>
          <c:showCatName val="0"/>
          <c:showSerName val="0"/>
          <c:showPercent val="0"/>
          <c:showBubbleSize val="0"/>
        </c:dLbls>
        <c:gapWidth val="150"/>
        <c:axId val="216673280"/>
        <c:axId val="96424704"/>
      </c:barChart>
      <c:catAx>
        <c:axId val="216673280"/>
        <c:scaling>
          <c:orientation val="minMax"/>
        </c:scaling>
        <c:delete val="0"/>
        <c:axPos val="b"/>
        <c:majorTickMark val="out"/>
        <c:minorTickMark val="none"/>
        <c:tickLblPos val="nextTo"/>
        <c:crossAx val="96424704"/>
        <c:crosses val="autoZero"/>
        <c:auto val="1"/>
        <c:lblAlgn val="ctr"/>
        <c:lblOffset val="100"/>
        <c:noMultiLvlLbl val="0"/>
      </c:catAx>
      <c:valAx>
        <c:axId val="96424704"/>
        <c:scaling>
          <c:orientation val="minMax"/>
        </c:scaling>
        <c:delete val="0"/>
        <c:axPos val="l"/>
        <c:majorGridlines/>
        <c:numFmt formatCode="General" sourceLinked="1"/>
        <c:majorTickMark val="out"/>
        <c:minorTickMark val="none"/>
        <c:tickLblPos val="nextTo"/>
        <c:crossAx val="216673280"/>
        <c:crosses val="autoZero"/>
        <c:crossBetween val="between"/>
      </c:valAx>
    </c:plotArea>
    <c:legend>
      <c:legendPos val="r"/>
      <c:overlay val="0"/>
    </c:legend>
    <c:plotVisOnly val="1"/>
    <c:dispBlanksAs val="gap"/>
    <c:showDLblsOverMax val="0"/>
  </c:chart>
  <c:txPr>
    <a:bodyPr/>
    <a:lstStyle/>
    <a:p>
      <a:pPr>
        <a:defRPr>
          <a:latin typeface="Times New Roman" pitchFamily="18" charset="0"/>
          <a:cs typeface="Times New Roman" pitchFamily="18" charset="0"/>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Sheet1!$A$1</c:f>
              <c:strCache>
                <c:ptCount val="1"/>
                <c:pt idx="0">
                  <c:v>BF Content (wt%)</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Sheet1!$A$2:$A$5</c:f>
              <c:numCache>
                <c:formatCode>General</c:formatCode>
                <c:ptCount val="4"/>
                <c:pt idx="0">
                  <c:v>0</c:v>
                </c:pt>
                <c:pt idx="1">
                  <c:v>10</c:v>
                </c:pt>
                <c:pt idx="2">
                  <c:v>20</c:v>
                </c:pt>
                <c:pt idx="3">
                  <c:v>30</c:v>
                </c:pt>
              </c:numCache>
            </c:numRef>
          </c:val>
          <c:extLst>
            <c:ext xmlns:c16="http://schemas.microsoft.com/office/drawing/2014/chart" uri="{C3380CC4-5D6E-409C-BE32-E72D297353CC}">
              <c16:uniqueId val="{00000000-3443-45C5-A917-15EC8A75F264}"/>
            </c:ext>
          </c:extLst>
        </c:ser>
        <c:ser>
          <c:idx val="1"/>
          <c:order val="1"/>
          <c:tx>
            <c:strRef>
              <c:f>Sheet1!$D$1</c:f>
              <c:strCache>
                <c:ptCount val="1"/>
                <c:pt idx="0">
                  <c:v>Water Absorption (%)</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Sheet1!$D$2:$D$5</c:f>
              <c:numCache>
                <c:formatCode>General</c:formatCode>
                <c:ptCount val="4"/>
                <c:pt idx="0">
                  <c:v>8</c:v>
                </c:pt>
                <c:pt idx="1">
                  <c:v>6.2</c:v>
                </c:pt>
                <c:pt idx="2">
                  <c:v>4.5</c:v>
                </c:pt>
                <c:pt idx="3">
                  <c:v>5.5</c:v>
                </c:pt>
              </c:numCache>
            </c:numRef>
          </c:val>
          <c:extLst>
            <c:ext xmlns:c16="http://schemas.microsoft.com/office/drawing/2014/chart" uri="{C3380CC4-5D6E-409C-BE32-E72D297353CC}">
              <c16:uniqueId val="{00000001-3443-45C5-A917-15EC8A75F264}"/>
            </c:ext>
          </c:extLst>
        </c:ser>
        <c:dLbls>
          <c:showLegendKey val="0"/>
          <c:showVal val="0"/>
          <c:showCatName val="0"/>
          <c:showSerName val="0"/>
          <c:showPercent val="0"/>
          <c:showBubbleSize val="0"/>
        </c:dLbls>
        <c:gapWidth val="150"/>
        <c:axId val="97777152"/>
        <c:axId val="97778688"/>
      </c:barChart>
      <c:catAx>
        <c:axId val="97777152"/>
        <c:scaling>
          <c:orientation val="minMax"/>
        </c:scaling>
        <c:delete val="0"/>
        <c:axPos val="b"/>
        <c:majorTickMark val="out"/>
        <c:minorTickMark val="none"/>
        <c:tickLblPos val="nextTo"/>
        <c:crossAx val="97778688"/>
        <c:crosses val="autoZero"/>
        <c:auto val="1"/>
        <c:lblAlgn val="ctr"/>
        <c:lblOffset val="100"/>
        <c:noMultiLvlLbl val="0"/>
      </c:catAx>
      <c:valAx>
        <c:axId val="97778688"/>
        <c:scaling>
          <c:orientation val="minMax"/>
        </c:scaling>
        <c:delete val="0"/>
        <c:axPos val="l"/>
        <c:majorGridlines/>
        <c:numFmt formatCode="General" sourceLinked="1"/>
        <c:majorTickMark val="out"/>
        <c:minorTickMark val="none"/>
        <c:tickLblPos val="nextTo"/>
        <c:crossAx val="97777152"/>
        <c:crosses val="autoZero"/>
        <c:crossBetween val="between"/>
      </c:valAx>
    </c:plotArea>
    <c:legend>
      <c:legendPos val="r"/>
      <c:overlay val="0"/>
    </c:legend>
    <c:plotVisOnly val="1"/>
    <c:dispBlanksAs val="gap"/>
    <c:showDLblsOverMax val="0"/>
  </c:chart>
  <c:txPr>
    <a:bodyPr/>
    <a:lstStyle/>
    <a:p>
      <a:pPr>
        <a:defRPr sz="1100">
          <a:latin typeface="Times New Roman" pitchFamily="18" charset="0"/>
          <a:cs typeface="Times New Roman" pitchFamily="18"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2816A7-66AF-4D68-AE59-497D510473F3}">
  <ds:schemaRefs>
    <ds:schemaRef ds:uri="http://schemas.openxmlformats.org/officeDocument/2006/bibliography"/>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618</TotalTime>
  <Pages>10</Pages>
  <Words>5243</Words>
  <Characters>29887</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277</cp:revision>
  <cp:lastPrinted>2011-03-03T08:29:00Z</cp:lastPrinted>
  <dcterms:created xsi:type="dcterms:W3CDTF">2023-09-01T14:34:00Z</dcterms:created>
  <dcterms:modified xsi:type="dcterms:W3CDTF">2025-09-07T05:56:00Z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7d540af5-249a-4c9b-91f8-60195521ce22</vt:lpwstr>
  </property>
</Properties>
</file>