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8B6E5" w14:textId="0F53E9BC" w:rsidR="00AF30D4" w:rsidRPr="00AF30D4" w:rsidRDefault="00793C26" w:rsidP="00793C26">
      <w:pPr>
        <w:pStyle w:val="PaperTitle"/>
      </w:pPr>
      <w:r w:rsidRPr="00AF30D4">
        <w:t xml:space="preserve">Synthesis </w:t>
      </w:r>
      <w:r>
        <w:t>a</w:t>
      </w:r>
      <w:r w:rsidRPr="00AF30D4">
        <w:t xml:space="preserve">nd Features Investigation </w:t>
      </w:r>
      <w:r>
        <w:t>o</w:t>
      </w:r>
      <w:r w:rsidRPr="00AF30D4">
        <w:t xml:space="preserve">f Hand Layup With Hot Compression </w:t>
      </w:r>
      <w:r>
        <w:t>f</w:t>
      </w:r>
      <w:r w:rsidRPr="00AF30D4">
        <w:t>or Abaca/Carbon Fiber Reinforced High-Density Polyethylene Composite</w:t>
      </w:r>
    </w:p>
    <w:p w14:paraId="62AD3B77" w14:textId="4ECB2F49" w:rsidR="00341E18" w:rsidRPr="00341E18" w:rsidRDefault="00793C26" w:rsidP="00793C26">
      <w:pPr>
        <w:pStyle w:val="AuthorName"/>
      </w:pPr>
      <w:r>
        <w:t xml:space="preserve">V </w:t>
      </w:r>
      <w:r w:rsidR="00341E18" w:rsidRPr="00341E18">
        <w:t>Chandru</w:t>
      </w:r>
      <w:r w:rsidR="00341E18" w:rsidRPr="00341E18">
        <w:rPr>
          <w:vertAlign w:val="superscript"/>
        </w:rPr>
        <w:t>1</w:t>
      </w:r>
      <w:r w:rsidR="00341E18" w:rsidRPr="00341E18">
        <w:t xml:space="preserve">, </w:t>
      </w:r>
      <w:r>
        <w:t xml:space="preserve">P </w:t>
      </w:r>
      <w:r w:rsidR="00341E18" w:rsidRPr="00341E18">
        <w:t>Praveen Raj</w:t>
      </w:r>
      <w:r w:rsidR="00341E18" w:rsidRPr="00341E18">
        <w:rPr>
          <w:vertAlign w:val="superscript"/>
        </w:rPr>
        <w:t>1</w:t>
      </w:r>
      <w:r w:rsidR="00341E18" w:rsidRPr="00341E18">
        <w:t>,</w:t>
      </w:r>
      <w:r>
        <w:t xml:space="preserve"> B </w:t>
      </w:r>
      <w:r w:rsidR="00341E18" w:rsidRPr="00341E18">
        <w:t>Balaji</w:t>
      </w:r>
      <w:r w:rsidR="00341E18" w:rsidRPr="00341E18">
        <w:rPr>
          <w:vertAlign w:val="superscript"/>
        </w:rPr>
        <w:t>1</w:t>
      </w:r>
      <w:r w:rsidR="00341E18" w:rsidRPr="00341E18">
        <w:t>,</w:t>
      </w:r>
      <w:r>
        <w:t xml:space="preserve"> V P </w:t>
      </w:r>
      <w:r w:rsidR="00341E18" w:rsidRPr="00341E18">
        <w:t>Arthanarieswaran</w:t>
      </w:r>
      <w:r w:rsidR="00341E18" w:rsidRPr="00341E18">
        <w:rPr>
          <w:vertAlign w:val="superscript"/>
        </w:rPr>
        <w:t>1</w:t>
      </w:r>
      <w:r w:rsidR="00341E18" w:rsidRPr="00341E18">
        <w:t>, S Karthikeyan</w:t>
      </w:r>
      <w:r w:rsidR="00341E18" w:rsidRPr="00341E18">
        <w:rPr>
          <w:vertAlign w:val="superscript"/>
        </w:rPr>
        <w:t>2</w:t>
      </w:r>
      <w:r>
        <w:rPr>
          <w:vertAlign w:val="superscript"/>
        </w:rPr>
        <w:t>,a)</w:t>
      </w:r>
      <w:r w:rsidR="00341E18" w:rsidRPr="00341E18">
        <w:t>, Dhirajkumar K Patel</w:t>
      </w:r>
      <w:r w:rsidR="00341E18" w:rsidRPr="00341E18">
        <w:rPr>
          <w:vertAlign w:val="superscript"/>
        </w:rPr>
        <w:t>3</w:t>
      </w:r>
      <w:r w:rsidR="00341E18" w:rsidRPr="00341E18">
        <w:t>, Shanmugavel Kuppusamy</w:t>
      </w:r>
      <w:r w:rsidR="00341E18" w:rsidRPr="00341E18">
        <w:rPr>
          <w:vertAlign w:val="superscript"/>
        </w:rPr>
        <w:t>4</w:t>
      </w:r>
      <w:r w:rsidR="00341E18" w:rsidRPr="00341E18">
        <w:t xml:space="preserve">, </w:t>
      </w:r>
      <w:r w:rsidR="005B56A6" w:rsidRPr="005B56A6">
        <w:t>M</w:t>
      </w:r>
      <w:r>
        <w:t xml:space="preserve"> </w:t>
      </w:r>
      <w:r w:rsidR="005B56A6" w:rsidRPr="005B56A6">
        <w:t>Ramamurthy</w:t>
      </w:r>
      <w:r w:rsidR="00341E18" w:rsidRPr="005B56A6">
        <w:rPr>
          <w:vertAlign w:val="superscript"/>
        </w:rPr>
        <w:t>5</w:t>
      </w:r>
      <w:r w:rsidR="00341E18" w:rsidRPr="00341E18">
        <w:t>,</w:t>
      </w:r>
      <w:r>
        <w:t xml:space="preserve"> </w:t>
      </w:r>
      <w:r w:rsidR="00341E18" w:rsidRPr="00341E18">
        <w:t>Jonnala Subba Reddy</w:t>
      </w:r>
      <w:r w:rsidR="00341E18" w:rsidRPr="00341E18">
        <w:rPr>
          <w:vertAlign w:val="superscript"/>
        </w:rPr>
        <w:t>6</w:t>
      </w:r>
    </w:p>
    <w:p w14:paraId="2ACF40FD" w14:textId="77777777" w:rsidR="00814E8B" w:rsidRPr="00814E8B" w:rsidRDefault="00D36798" w:rsidP="00793C26">
      <w:pPr>
        <w:pStyle w:val="AuthorAffiliation"/>
      </w:pPr>
      <w:r w:rsidRPr="00D36798">
        <w:rPr>
          <w:vertAlign w:val="superscript"/>
        </w:rPr>
        <w:t xml:space="preserve">1 </w:t>
      </w:r>
      <w:r w:rsidR="00814E8B" w:rsidRPr="00814E8B">
        <w:t xml:space="preserve">Department of Mechanical Engineering, K.S.Rangasamy College of Technology,   </w:t>
      </w:r>
    </w:p>
    <w:p w14:paraId="6BFCEDF1" w14:textId="77777777" w:rsidR="00814E8B" w:rsidRPr="00814E8B" w:rsidRDefault="00814E8B" w:rsidP="00793C26">
      <w:pPr>
        <w:pStyle w:val="AuthorAffiliation"/>
      </w:pPr>
      <w:r w:rsidRPr="00814E8B">
        <w:t xml:space="preserve">Tiruchengode, 637215, Tamil Nadu, India. </w:t>
      </w:r>
    </w:p>
    <w:p w14:paraId="6141340E" w14:textId="77777777" w:rsidR="00814E8B" w:rsidRPr="00814E8B" w:rsidRDefault="00814E8B" w:rsidP="00793C26">
      <w:pPr>
        <w:pStyle w:val="AuthorAffiliation"/>
      </w:pPr>
      <w:r w:rsidRPr="00814E8B">
        <w:rPr>
          <w:bCs/>
          <w:vertAlign w:val="superscript"/>
        </w:rPr>
        <w:t>2</w:t>
      </w:r>
      <w:r w:rsidRPr="00814E8B">
        <w:rPr>
          <w:bCs/>
        </w:rPr>
        <w:t xml:space="preserve">Department of </w:t>
      </w:r>
      <w:r w:rsidRPr="00814E8B">
        <w:t>Mechanical</w:t>
      </w:r>
      <w:r w:rsidRPr="00814E8B">
        <w:rPr>
          <w:bCs/>
        </w:rPr>
        <w:t xml:space="preserve"> Engineering, Erode Sengunthar Engineering College, </w:t>
      </w:r>
      <w:r w:rsidRPr="00814E8B">
        <w:t xml:space="preserve">Thuduppathi,   </w:t>
      </w:r>
    </w:p>
    <w:p w14:paraId="1D76E085" w14:textId="77777777" w:rsidR="00814E8B" w:rsidRPr="00814E8B" w:rsidRDefault="00814E8B" w:rsidP="00793C26">
      <w:pPr>
        <w:pStyle w:val="AuthorAffiliation"/>
        <w:rPr>
          <w:bCs/>
        </w:rPr>
      </w:pPr>
      <w:r w:rsidRPr="00814E8B">
        <w:t xml:space="preserve">  638057, Tamil Nadu, India.</w:t>
      </w:r>
    </w:p>
    <w:p w14:paraId="74900337" w14:textId="77777777" w:rsidR="00814E8B" w:rsidRPr="00814E8B" w:rsidRDefault="00814E8B" w:rsidP="00793C26">
      <w:pPr>
        <w:pStyle w:val="AuthorAffiliation"/>
        <w:rPr>
          <w:bCs/>
        </w:rPr>
      </w:pPr>
      <w:r w:rsidRPr="00814E8B">
        <w:rPr>
          <w:bCs/>
          <w:vertAlign w:val="superscript"/>
        </w:rPr>
        <w:t>3</w:t>
      </w:r>
      <w:r w:rsidRPr="00814E8B">
        <w:rPr>
          <w:bCs/>
        </w:rPr>
        <w:t xml:space="preserve">Department of </w:t>
      </w:r>
      <w:r w:rsidRPr="00814E8B">
        <w:t>Mechanical</w:t>
      </w:r>
      <w:r w:rsidRPr="00814E8B">
        <w:rPr>
          <w:bCs/>
        </w:rPr>
        <w:t xml:space="preserve"> Engineering, Sardar Patel College of Engineering, Andheri (West), </w:t>
      </w:r>
    </w:p>
    <w:p w14:paraId="53D837F6" w14:textId="77777777" w:rsidR="00814E8B" w:rsidRPr="00814E8B" w:rsidRDefault="00814E8B" w:rsidP="00793C26">
      <w:pPr>
        <w:pStyle w:val="AuthorAffiliation"/>
        <w:rPr>
          <w:bCs/>
        </w:rPr>
      </w:pPr>
      <w:r w:rsidRPr="00814E8B">
        <w:rPr>
          <w:bCs/>
        </w:rPr>
        <w:t>Mumbai 400 058.</w:t>
      </w:r>
      <w:r w:rsidRPr="00814E8B">
        <w:t xml:space="preserve"> India.</w:t>
      </w:r>
    </w:p>
    <w:p w14:paraId="28E7B043" w14:textId="77777777" w:rsidR="00814E8B" w:rsidRPr="00814E8B" w:rsidRDefault="00814E8B" w:rsidP="00793C26">
      <w:pPr>
        <w:pStyle w:val="AuthorAffiliation"/>
      </w:pPr>
      <w:r w:rsidRPr="00814E8B">
        <w:rPr>
          <w:bCs/>
          <w:vertAlign w:val="superscript"/>
        </w:rPr>
        <w:t xml:space="preserve">4 </w:t>
      </w:r>
      <w:r w:rsidRPr="00814E8B">
        <w:rPr>
          <w:bCs/>
        </w:rPr>
        <w:t xml:space="preserve">Department of Mechanical Engineering, Sona College of Technology, </w:t>
      </w:r>
      <w:r w:rsidRPr="00814E8B">
        <w:t xml:space="preserve">Salem,   </w:t>
      </w:r>
    </w:p>
    <w:p w14:paraId="5B61B049" w14:textId="77777777" w:rsidR="00814E8B" w:rsidRPr="00814E8B" w:rsidRDefault="00814E8B" w:rsidP="00793C26">
      <w:pPr>
        <w:pStyle w:val="AuthorAffiliation"/>
        <w:rPr>
          <w:bCs/>
        </w:rPr>
      </w:pPr>
      <w:r w:rsidRPr="00814E8B">
        <w:t xml:space="preserve">  636005, Tamil Nadu, India.</w:t>
      </w:r>
    </w:p>
    <w:p w14:paraId="4DB4D854" w14:textId="77777777" w:rsidR="005B56A6" w:rsidRPr="0026398F" w:rsidRDefault="005B56A6" w:rsidP="00793C26">
      <w:pPr>
        <w:pStyle w:val="AuthorAffiliation"/>
        <w:rPr>
          <w:bCs/>
        </w:rPr>
      </w:pPr>
      <w:r w:rsidRPr="001D69B4">
        <w:rPr>
          <w:bCs/>
          <w:vertAlign w:val="superscript"/>
        </w:rPr>
        <w:t xml:space="preserve">5 </w:t>
      </w:r>
      <w:r w:rsidRPr="0026398F">
        <w:rPr>
          <w:bCs/>
        </w:rPr>
        <w:t>Department of Mechanical Engineering</w:t>
      </w:r>
      <w:r>
        <w:rPr>
          <w:bCs/>
        </w:rPr>
        <w:t xml:space="preserve">, </w:t>
      </w:r>
      <w:r w:rsidRPr="0026398F">
        <w:rPr>
          <w:bCs/>
        </w:rPr>
        <w:t>Academy of Maritime Education and Training</w:t>
      </w:r>
      <w:r>
        <w:rPr>
          <w:bCs/>
        </w:rPr>
        <w:t xml:space="preserve">, </w:t>
      </w:r>
      <w:r w:rsidRPr="0026398F">
        <w:rPr>
          <w:bCs/>
        </w:rPr>
        <w:t xml:space="preserve">Deemed to be University </w:t>
      </w:r>
    </w:p>
    <w:p w14:paraId="2DDBF95D" w14:textId="77777777" w:rsidR="005B56A6" w:rsidRDefault="005B56A6" w:rsidP="00793C26">
      <w:pPr>
        <w:pStyle w:val="AuthorAffiliation"/>
        <w:rPr>
          <w:bCs/>
        </w:rPr>
      </w:pPr>
      <w:r w:rsidRPr="0026398F">
        <w:rPr>
          <w:bCs/>
        </w:rPr>
        <w:t xml:space="preserve">Kanathur, Chennai </w:t>
      </w:r>
      <w:r>
        <w:rPr>
          <w:bCs/>
        </w:rPr>
        <w:t>–</w:t>
      </w:r>
      <w:r w:rsidRPr="0026398F">
        <w:rPr>
          <w:bCs/>
        </w:rPr>
        <w:t xml:space="preserve"> 603112</w:t>
      </w:r>
      <w:r>
        <w:rPr>
          <w:bCs/>
        </w:rPr>
        <w:t xml:space="preserve">, </w:t>
      </w:r>
      <w:r w:rsidRPr="001D69B4">
        <w:t>Tamil Nadu, India.</w:t>
      </w:r>
    </w:p>
    <w:p w14:paraId="6AFA3F5F" w14:textId="77777777" w:rsidR="00814E8B" w:rsidRPr="00814E8B" w:rsidRDefault="00814E8B" w:rsidP="00793C26">
      <w:pPr>
        <w:pStyle w:val="AuthorAffiliation"/>
      </w:pPr>
      <w:r w:rsidRPr="00814E8B">
        <w:rPr>
          <w:vertAlign w:val="superscript"/>
        </w:rPr>
        <w:t>6</w:t>
      </w:r>
      <w:r w:rsidRPr="00814E8B">
        <w:rPr>
          <w:bCs/>
        </w:rPr>
        <w:t xml:space="preserve">Department of Mechanical Engineering, </w:t>
      </w:r>
      <w:r w:rsidRPr="00814E8B">
        <w:t>Lakireddy Bali Reddy College of Engineering, Mylavaram, Andhra Pradesh, 521230, India.</w:t>
      </w:r>
    </w:p>
    <w:p w14:paraId="1D5E1082" w14:textId="3469FF5F" w:rsidR="00814E8B" w:rsidRPr="00814E8B" w:rsidRDefault="00814E8B" w:rsidP="00793C26">
      <w:pPr>
        <w:pStyle w:val="AuthorEmail"/>
        <w:rPr>
          <w:b/>
        </w:rPr>
      </w:pPr>
      <w:r w:rsidRPr="00814E8B">
        <w:rPr>
          <w:b/>
        </w:rPr>
        <w:t>Correspond</w:t>
      </w:r>
      <w:r w:rsidR="00793C26">
        <w:rPr>
          <w:b/>
        </w:rPr>
        <w:t xml:space="preserve">ing author: </w:t>
      </w:r>
      <w:r w:rsidR="00793C26">
        <w:rPr>
          <w:b/>
          <w:vertAlign w:val="superscript"/>
        </w:rPr>
        <w:t>a)</w:t>
      </w:r>
      <w:hyperlink r:id="rId11" w:history="1">
        <w:r w:rsidR="00793C26" w:rsidRPr="00B47644">
          <w:rPr>
            <w:rStyle w:val="Hyperlink"/>
            <w:b/>
            <w:bCs/>
            <w:i/>
          </w:rPr>
          <w:t>k</w:t>
        </w:r>
        <w:r w:rsidR="00793C26" w:rsidRPr="00B47644">
          <w:rPr>
            <w:rStyle w:val="Hyperlink"/>
            <w:bCs/>
            <w:i/>
          </w:rPr>
          <w:t>arthiksamynathan@gmail.com</w:t>
        </w:r>
      </w:hyperlink>
      <w:r w:rsidR="00793C26">
        <w:t xml:space="preserve"> </w:t>
      </w:r>
    </w:p>
    <w:p w14:paraId="0C1C3904" w14:textId="6925127F" w:rsidR="00814E8B" w:rsidRPr="00814E8B" w:rsidRDefault="0016385D" w:rsidP="00793C26">
      <w:pPr>
        <w:pStyle w:val="Abstract"/>
      </w:pPr>
      <w:r w:rsidRPr="00075EA6">
        <w:rPr>
          <w:b/>
        </w:rPr>
        <w:t>Abstract</w:t>
      </w:r>
      <w:r w:rsidR="00793C26">
        <w:rPr>
          <w:b/>
        </w:rPr>
        <w:t xml:space="preserve">: </w:t>
      </w:r>
      <w:r w:rsidR="00814E8B" w:rsidRPr="00814E8B">
        <w:t>This work investigates the development of hybrid composites using high-density polyethylene (HDPE) reinforced with a fixed volume of carbon fiber and progressively increasing contents of abaca fiber. Composites were prepared via hand layup followed by hot-pressing, incorporating 10 wt% carbon fiber and abaca loadings of 0, 5, 10, and 15 wt%. The resultant laminates were subjected to a series of mechanical, thermal, and absorptive characterizations. Data reveal that the mechanical strength and yield stress rise with abaca proportion until a threshold is reached; further addition leads to decreased properties, attributed to fiber agglomeration and compromised interfacial bonding. Thermal stability, assessed by thermogravimetric analysis (TGA), improves with the addition of both fiber types, suggesting synergistic reinforcement that delays weight loss. Conversely, the equilibrium moisture uptake rises with abaca content, signaling an augmented hydrophilicity that may influence long-term performance. Collectively, the derived composite systems exhibit noteworthy stiffness and thermal resistance, affirming their suitability for weight-sensitive structural and engineering implements.</w:t>
      </w:r>
    </w:p>
    <w:p w14:paraId="31C40C32" w14:textId="77777777" w:rsidR="003A287B" w:rsidRPr="00075EA6" w:rsidRDefault="000F3FD2" w:rsidP="00003D7C">
      <w:pPr>
        <w:pStyle w:val="Heading1"/>
        <w:rPr>
          <w:b w:val="0"/>
          <w:caps w:val="0"/>
          <w:sz w:val="20"/>
        </w:rPr>
      </w:pPr>
      <w:r w:rsidRPr="000F3FD2">
        <w:t>Introduction</w:t>
      </w:r>
    </w:p>
    <w:p w14:paraId="4914A76A" w14:textId="77777777" w:rsidR="00814E8B" w:rsidRPr="00814E8B" w:rsidRDefault="00814E8B" w:rsidP="00814E8B">
      <w:pPr>
        <w:pStyle w:val="Paragraph"/>
      </w:pPr>
      <w:r w:rsidRPr="00814E8B">
        <w:t>Abaca fiber continues to attract attention because of its remarkable tensile strength, flexibility, and endurance, all of which position it as a compelling reinforcement for polymer composites [1]. Experimental data confirm that composites strengthened with abaca fibers consistently outperform counterparts in flexural and impact resistance, underscoring its utility in load-bearing applications [2</w:t>
      </w:r>
      <w:r w:rsidR="0069104A">
        <w:t>-4</w:t>
      </w:r>
      <w:r w:rsidRPr="00814E8B">
        <w:t>]. A large body of literature converges on fiber pre-treatment, particularly alkali treatments, which are shown to bolster fiber-matrix bonding, thereby pushing tensile and yield strengths to higher levels [</w:t>
      </w:r>
      <w:r w:rsidR="0069104A">
        <w:t>5-9</w:t>
      </w:r>
      <w:r w:rsidRPr="00814E8B">
        <w:t>]. Complementary work on abaca fiber-reinforced HDPE composites indicates that varying fiber loadings serves as a lever for mechanical performance; an additive level of approximately 10 wt% fibers optimizes strength, while any surplus prompts agglomeration, weakens interfacial adhesion, and curtails mechanical performance [</w:t>
      </w:r>
      <w:r w:rsidR="0069104A">
        <w:t>10-12</w:t>
      </w:r>
      <w:r w:rsidRPr="00814E8B">
        <w:t xml:space="preserve">]. To counteract inherent drawbacks of natural fibers—such as moisture uptake and moderate thermal resistance—researchers have implemented hybrid reinforcement strategies </w:t>
      </w:r>
      <w:r w:rsidRPr="00814E8B">
        <w:lastRenderedPageBreak/>
        <w:t>that pair abaca with shorter carbon filaments. Incorporation of carbon at a 10 wt% level yields HDPE composites that boast markedly improved thermal and mechanical stability, all without a corresponding pounds-up penalty on weight [</w:t>
      </w:r>
      <w:r w:rsidR="0069104A">
        <w:t>13-15</w:t>
      </w:r>
      <w:r w:rsidRPr="00814E8B">
        <w:t>]. Hybrid composites leverage the combined strengths of different fiber types, leading to enhanced load transfer and overall structural stiffness when contrasted with composites reinforced by a single fiber alone[7]. Recent experimental studies have substantiated that composites integrating both abaca and carbon fibers outperform high-density polyethylene reinforced with solely one of these fiber types in both flexural and tensile strength. The observed increase in mechanical performance is linked to a more uniform distribution of applied stress and a more robust interfacial bond resulting from the complementary fiber interaction within the hybrid architecture[8]. Nevertheless, once the fiber volume fraction surpasses a determined optimum threshold, mechanical gains are compromised; excessive fiber content encourages agglomerates and elevates the prevalence of voids, neither of which is conducive to long-term structural integrity[</w:t>
      </w:r>
      <w:r w:rsidR="0069104A">
        <w:t>16-19</w:t>
      </w:r>
      <w:r w:rsidRPr="00814E8B">
        <w:t>].</w:t>
      </w:r>
    </w:p>
    <w:p w14:paraId="73842106" w14:textId="77777777" w:rsidR="00814E8B" w:rsidRPr="00814E8B" w:rsidRDefault="00814E8B" w:rsidP="00814E8B">
      <w:pPr>
        <w:pStyle w:val="Paragraph"/>
      </w:pPr>
      <w:r w:rsidRPr="00814E8B">
        <w:t>In applications of fiber-reinforced HDPE composites, thermal stability is a crucial consideration, and recent findings underscore the beneficial impact of carbon fiber. Addition of carbon fiber raises the decomposition temperature of HDPE blends, thereby augmenting thermal resistance[</w:t>
      </w:r>
      <w:r w:rsidR="001F4916">
        <w:t>20-24</w:t>
      </w:r>
      <w:r w:rsidRPr="00814E8B">
        <w:t>]. Thermogravimetric analyses of hybrid composites reveal a thermal decomposition temperature of around 485 °C, contrasting with the 460 °C observed for neat HDPE, confirming the thermal enhancement[</w:t>
      </w:r>
      <w:r w:rsidR="001F4916">
        <w:t>25-30</w:t>
      </w:r>
      <w:r w:rsidRPr="00814E8B">
        <w:t>].The observed increase is attributed chiefly to carbon fiber’s barrier effect, which postpones the onset of degradation and thereby augments the material’s behavior under elevated temperatures[</w:t>
      </w:r>
      <w:r w:rsidR="00D72675">
        <w:t>31-33</w:t>
      </w:r>
      <w:r w:rsidRPr="00814E8B">
        <w:t>]. A thorough survey documents the hybridization effect, demonstrating that the dual reinforcement of abaca and carbon fibers delivers greater thermal protection than the use of either fiber in isolation[</w:t>
      </w:r>
      <w:r w:rsidR="00D72675">
        <w:t>34-35</w:t>
      </w:r>
      <w:r w:rsidRPr="00814E8B">
        <w:t>]. Collectively, these findings indicate that hybrid fiber-reinforced composites possess the thermal stamina necessary for demanding environments, justifying consideration for use in automotive and aerospace technologies, where elevated thermal endurance is routinely required[</w:t>
      </w:r>
      <w:r w:rsidR="00D72675">
        <w:t>36-37</w:t>
      </w:r>
      <w:r w:rsidRPr="00814E8B">
        <w:t>].</w:t>
      </w:r>
    </w:p>
    <w:p w14:paraId="2EF3E58E" w14:textId="77777777" w:rsidR="00814E8B" w:rsidRPr="00814E8B" w:rsidRDefault="00814E8B" w:rsidP="00814E8B">
      <w:pPr>
        <w:pStyle w:val="Paragraph"/>
        <w:rPr>
          <w:bCs/>
        </w:rPr>
      </w:pPr>
      <w:r w:rsidRPr="00814E8B">
        <w:rPr>
          <w:bCs/>
        </w:rPr>
        <w:t xml:space="preserve">Moisture uptake remains a key drawback for fiber-reinforced polymer composites, as natural fibers readily </w:t>
      </w:r>
      <w:r w:rsidRPr="00814E8B">
        <w:t>absorb</w:t>
      </w:r>
      <w:r w:rsidRPr="00814E8B">
        <w:rPr>
          <w:bCs/>
        </w:rPr>
        <w:t xml:space="preserve"> water, leading to dimensional </w:t>
      </w:r>
      <w:r w:rsidRPr="00814E8B">
        <w:t>changes</w:t>
      </w:r>
      <w:r w:rsidRPr="00814E8B">
        <w:rPr>
          <w:bCs/>
        </w:rPr>
        <w:t>, diminished mechanical strength, and accelerated aging [</w:t>
      </w:r>
      <w:r w:rsidR="00D72675">
        <w:rPr>
          <w:bCs/>
        </w:rPr>
        <w:t>38-40</w:t>
      </w:r>
      <w:r w:rsidRPr="00814E8B">
        <w:rPr>
          <w:bCs/>
        </w:rPr>
        <w:t>]. For abaca-reinforced HDPE systems, data reveal that water absorption rises with increasing fiber loading, peaking at 2.5% when 15 wt% abaca is incorporated, suggesting a failure threshold for service life [</w:t>
      </w:r>
      <w:r w:rsidR="00D72675">
        <w:rPr>
          <w:bCs/>
        </w:rPr>
        <w:t>41-43</w:t>
      </w:r>
      <w:r w:rsidRPr="00814E8B">
        <w:rPr>
          <w:bCs/>
        </w:rPr>
        <w:t>]. Inclusion of carbon fibers, which feature a hydrophobic, inert surface, counteracts swelling by acting as a barrier layer; experimental results confirm that the hybrid architecture reduces the overall moisture diffusion coefficient and, by extension, improves dimensional stability [</w:t>
      </w:r>
      <w:r w:rsidR="00D72675">
        <w:rPr>
          <w:bCs/>
        </w:rPr>
        <w:t>44</w:t>
      </w:r>
      <w:r w:rsidRPr="00814E8B">
        <w:rPr>
          <w:bCs/>
        </w:rPr>
        <w:t>]. The hybrid composites display extended durability, positioning them as viable candidates for maritime, civil, and other outdoor constructs subject to humidity cycling and salt-laden atmospheres [</w:t>
      </w:r>
      <w:r w:rsidR="00D72675">
        <w:rPr>
          <w:bCs/>
        </w:rPr>
        <w:t>45-48</w:t>
      </w:r>
      <w:r w:rsidRPr="00814E8B">
        <w:rPr>
          <w:bCs/>
        </w:rPr>
        <w:t>].</w:t>
      </w:r>
    </w:p>
    <w:p w14:paraId="5DBA5485" w14:textId="77777777" w:rsidR="00814E8B" w:rsidRPr="00814E8B" w:rsidRDefault="00814E8B" w:rsidP="00814E8B">
      <w:pPr>
        <w:pStyle w:val="Paragraph"/>
        <w:rPr>
          <w:bCs/>
        </w:rPr>
      </w:pPr>
      <w:r w:rsidRPr="00814E8B">
        <w:rPr>
          <w:bCs/>
        </w:rPr>
        <w:t xml:space="preserve">Extensive evaluations document the mechanical, thermal, and moisture management advantages of abaca/carbon/HDPE hybrids, affirming their capability to replace resource-intensive glass and aramid matrices in structural and semi-permanent arenas. The tri-component platform balances specific strength, elevated </w:t>
      </w:r>
      <w:r w:rsidRPr="00814E8B">
        <w:t>thermal</w:t>
      </w:r>
      <w:r w:rsidRPr="00814E8B">
        <w:rPr>
          <w:bCs/>
        </w:rPr>
        <w:t xml:space="preserve"> degradation onset, and effectively controlled water uptake, collectively enhancing the cost–performance equation relative to conventional thermosets. Upcoming investigations should prioritize surface-active coupling agents, layer-stacking and tow-matrix ratio optimization, and accelerated-aging protocols to further fine-tune interfacial tenacity, thermal transition broadened residence, and moisture-facilitated resistance.</w:t>
      </w:r>
    </w:p>
    <w:p w14:paraId="2C005265" w14:textId="77777777" w:rsidR="000F3FD2" w:rsidRPr="00075EA6" w:rsidRDefault="000F3FD2" w:rsidP="000F3FD2">
      <w:pPr>
        <w:pStyle w:val="Heading1"/>
        <w:rPr>
          <w:b w:val="0"/>
          <w:caps w:val="0"/>
          <w:sz w:val="20"/>
        </w:rPr>
      </w:pPr>
      <w:r w:rsidRPr="000F3FD2">
        <w:t>Materials and Methods</w:t>
      </w:r>
    </w:p>
    <w:p w14:paraId="2365C569" w14:textId="77777777" w:rsidR="00145EE5" w:rsidRDefault="00145EE5" w:rsidP="00145EE5">
      <w:pPr>
        <w:pStyle w:val="Paragraph"/>
      </w:pPr>
      <w:r w:rsidRPr="00145EE5">
        <w:t xml:space="preserve">The composite investigated here employs a high-density polyethylene (HDPE) matrix, recognized for superior ease of fabrication, resistance to aggressive chemicals, and satisfactory bulk mechanical behavior. To elevate the structural integrity of the base HDPE, a hybrid reinforcement strategy has been adopted, combining man-made and biomass-derived fibers. Carbon fibers are added at a </w:t>
      </w:r>
      <w:r w:rsidRPr="00145EE5">
        <w:rPr>
          <w:bCs/>
        </w:rPr>
        <w:t>constant</w:t>
      </w:r>
      <w:r w:rsidRPr="00145EE5">
        <w:t xml:space="preserve"> 10 wt % to the formulation, leveraging their high tensile and flexural moduli as well as outstanding retention of strength at elevated temperatures, thereby heightening flexural rigidity and delaying mechanical creep. Concurrently, abaca bundle fibers have been explored at addition levels of 0, 5, 10, and 15 wt % to investigate the attendant influence on flexural modulus, impact toughness, and the rate of water uptake. Abaca fibers, celebrated for their comparable tensile capabilities, inherent ductility, and complete compostibility, impart a notable energy-dissipation mechanism to the composite and effect a mass-conservative density drop. The data generated reveal that, concomitant to efficacious toughening, raising the abaca proportion linearly accentuates water-absorption kinetics, a consequence of the fiber’s hydroxyl-terminating cellular structure, thereby imposing careful design trade-offs to prevent hydrolytic degradation. The intentional interweaving of the nanoscale carbon reinforcement and the micrometric polysaccharide matrix fiber, firmly encapsulated within the non-polar HDPE continuous phase, is constructed to deliver a prudent compromise predicated on sufficiently elevated tensile modulus at room and elevated temperature, regulated hygrostability, and quantifiable lifecycle </w:t>
      </w:r>
      <w:r w:rsidRPr="00145EE5">
        <w:lastRenderedPageBreak/>
        <w:t>benefits, paving the route toward implementation in lightweight load-bearing components subjected to moderate tensile and compressive service conditions.</w:t>
      </w:r>
    </w:p>
    <w:p w14:paraId="15A7A14C" w14:textId="77777777" w:rsidR="00210B10" w:rsidRDefault="00CE45FB" w:rsidP="00CE45FB">
      <w:pPr>
        <w:pStyle w:val="Paragraph"/>
      </w:pPr>
      <w:r w:rsidRPr="00CE45FB">
        <w:t>HDPE-based hybrid composites were fabricated via hand lay-up followed by hot compression molding, a sequential approach referenced in earlier experimental protocols but optimized in the current work to achieve a more uniform fiber distribution. For the first stage of the operation, HMW-molecular-weight HDPE granules were gently preheated, raising their bulk to the low melt range, a key transition that tightens the thermal gradient across the matrix and thermally promotes interfacial reactions with the fiber surfaces. Once a steady melt phase was confirmed, a predetermined portion of industrial-grade chopped carbon fiber, nominally 10 wt%, was blended with the HDPE, followed by incremental additions of abaca fiber at 0, 5, 10, and 15 wt%, each constituting a separate experimental subset. During blending, both short and coarse fiber species interdigitated, a microstructural condition that was quantitrated by in-situ melt-viscosity analyses and confirmed visually via scanning-microprobe optical microscopy. The homogeneous melt was subsequently transferred to a stout metal mold preheated to 180 °C and subjected to an isothermal cycle combining 10 MPa pressure and an incremental 15-minute dwell. Voids were evacuated by an in-mold vacuum system engineered to maintain a steady 5 kPa dynamic gradient. Quenching was then performed by switching the molding platen to circulating chilled water, and the sample plates were thermally re-stabilized at room temperature prior to conditioning. A set of composite tiles, trimmed and polished to uniform edge thickness, was reserved for the three-phase mechanical, thermal, and moisture absorption characterizations that follow, while replicate coupons were reserved for control microscopy and infinitesimal-mold shrinkage analyses. Performance probes were directed to dynamic mechanical thermal resonances, short-beam shear, and post-mold flash point climate-aging, enabling a uniform interfacial route to assess coupon behavior in a unified experimental design.</w:t>
      </w:r>
    </w:p>
    <w:p w14:paraId="5AE3A937" w14:textId="77777777" w:rsidR="000F3FD2" w:rsidRDefault="000F3FD2" w:rsidP="000F3FD2">
      <w:pPr>
        <w:pStyle w:val="Heading1"/>
      </w:pPr>
      <w:r>
        <w:t>Results and Discussion</w:t>
      </w:r>
    </w:p>
    <w:p w14:paraId="6ADF7D31" w14:textId="77777777" w:rsidR="00CE45FB" w:rsidRPr="00CE45FB" w:rsidRDefault="00CE45FB" w:rsidP="00CE45FB">
      <w:pPr>
        <w:pStyle w:val="Paragraph"/>
        <w:rPr>
          <w:szCs w:val="18"/>
        </w:rPr>
      </w:pPr>
      <w:r w:rsidRPr="00CE45FB">
        <w:rPr>
          <w:szCs w:val="18"/>
        </w:rPr>
        <w:t xml:space="preserve">The </w:t>
      </w:r>
      <w:r w:rsidRPr="00CE45FB">
        <w:t>tensile</w:t>
      </w:r>
      <w:r w:rsidRPr="00CE45FB">
        <w:rPr>
          <w:szCs w:val="18"/>
        </w:rPr>
        <w:t xml:space="preserve"> and flexural mechanical properties of the HDPE-based hybrid composites were characterized through standardized procedures to secure both precision and repeatability. Ultimate and yield tensile strengths were quantified in accord with the ASTM D638 procedure on a universal testing machine, capturing the composite’s capacity to endure axial loads and yielding parameters such as peak tensile stress, yield stress, and elongation at failure. Concurrently, flexural strength was gauged pursuant to the ASTM D790 specification, employing a three-point bending configuration to reveal the material’s resistance to flexural strain. Collectively, these mechanical evaluations yield quantified evaluations of the reinforcing effectiveness of the embedded carbon and abaca fibers, thereby guiding the selection of the most advantageous fiber content for maximizing structural enhancement.</w:t>
      </w:r>
    </w:p>
    <w:p w14:paraId="1AD2B551" w14:textId="77777777" w:rsidR="00CE45FB" w:rsidRPr="00CE45FB" w:rsidRDefault="00CE45FB" w:rsidP="00793C26">
      <w:pPr>
        <w:pStyle w:val="Heading2"/>
      </w:pPr>
      <w:r w:rsidRPr="00CE45FB">
        <w:t>Thermal Stability Analysis</w:t>
      </w:r>
    </w:p>
    <w:p w14:paraId="2082A94A" w14:textId="77777777" w:rsidR="00CE45FB" w:rsidRPr="00CE45FB" w:rsidRDefault="00CE45FB" w:rsidP="00793C26">
      <w:pPr>
        <w:pStyle w:val="Paragraph"/>
      </w:pPr>
      <w:r w:rsidRPr="00CE45FB">
        <w:t xml:space="preserve">The thermal stability of the HDPE-based hybrid composites was probed by means of thermogravimetric analysis (TGA), enabling us to characterize the decomposition temperature and the overall thermal degradation profile of the materials. We performed the TGA by subjecting the samples to a ramped temperature program inside a nitrogen atmosphere, logging weight loss as a continuous function of temperature. The data yielded a clear picture of the composite thermal resistance and underscored how the incorporation of </w:t>
      </w:r>
      <w:r w:rsidRPr="00793C26">
        <w:t>carbon</w:t>
      </w:r>
      <w:r w:rsidRPr="00CE45FB">
        <w:t xml:space="preserve"> and abaca fibers modulated stability. Notably, the composites exhibited elevated decomposition temperatures—an advantage that strengthened in proportion to the fiber loading—thereby suggesting the materials are suitable for environments demanding elevated thermal performance. Moisture absorption was assessed by submerging a set of composite samples in distilled water at ambient temperature, with periodic weighings to capture the progressive gain in mass.</w:t>
      </w:r>
    </w:p>
    <w:p w14:paraId="0EAC52E2" w14:textId="77777777" w:rsidR="00CE45FB" w:rsidRPr="00CE45FB" w:rsidRDefault="00CE45FB" w:rsidP="00793C26">
      <w:pPr>
        <w:pStyle w:val="Heading2"/>
      </w:pPr>
      <w:r w:rsidRPr="00CE45FB">
        <w:t>Mechanical Properties</w:t>
      </w:r>
    </w:p>
    <w:p w14:paraId="03F45A28" w14:textId="77777777" w:rsidR="00CE45FB" w:rsidRPr="00CE45FB" w:rsidRDefault="00CE45FB" w:rsidP="00793C26">
      <w:pPr>
        <w:pStyle w:val="Paragraph"/>
      </w:pPr>
      <w:r w:rsidRPr="00CE45FB">
        <w:t xml:space="preserve">The mechanical behavior of the HDPE/abaca hybrid composites revealed a pronounced sensitivity to the amount of fiber incorporated. Peak tensile strength of 37.8 MPa occurred at 10 wt% fiber loading, signifying a 25% </w:t>
      </w:r>
      <w:r w:rsidRPr="00793C26">
        <w:t>increase</w:t>
      </w:r>
      <w:r w:rsidRPr="00CE45FB">
        <w:t xml:space="preserve"> compared to the unreinforced HDPE. This gain is largely ascribed to efficient stress transfer achieved at that loading, where the fibers effectively bridged the matrix and restrained deformation. Further increases in fiber content yielded a drop in tensile strength, a phenomenon traced to the emergence of fiber bundles that diminished the effective fiber–matrix interfacial area, thus creating localized stress concentrators responsible for early cracking</w:t>
      </w:r>
      <w:r w:rsidR="00D72675">
        <w:t xml:space="preserve"> [49-50]</w:t>
      </w:r>
      <w:r w:rsidRPr="00CE45FB">
        <w:t>.</w:t>
      </w:r>
    </w:p>
    <w:p w14:paraId="503370E5" w14:textId="77777777" w:rsidR="00CE45FB" w:rsidRPr="00CE45FB" w:rsidRDefault="00CE45FB" w:rsidP="00CE45FB">
      <w:pPr>
        <w:pStyle w:val="Paragraph"/>
        <w:rPr>
          <w:szCs w:val="18"/>
        </w:rPr>
      </w:pPr>
      <w:r w:rsidRPr="00CE45FB">
        <w:rPr>
          <w:szCs w:val="18"/>
        </w:rPr>
        <w:t xml:space="preserve">Yield strength followed a comparable pattern: incorporation of 10 wt% abaca fiber proved to be the sweet spot for load-sharing, effectively fortifying the composite's resistance to plastic deformation. Above this level, the gains </w:t>
      </w:r>
      <w:r w:rsidRPr="00CE45FB">
        <w:rPr>
          <w:szCs w:val="18"/>
        </w:rPr>
        <w:lastRenderedPageBreak/>
        <w:t>did not continue. Bending resistance reflected that same behavior—flexural strength climbed steadily to the same loading before stalling, and a small drop emerged when the amount increased to 15 wt%. Microscopic examination suggested that strand agglomeration formed localized weak zones that impeded even stress transfer in certain zones, a reminder that excessive reinforcement can have the</w:t>
      </w:r>
      <w:r w:rsidR="00BF7CFD">
        <w:rPr>
          <w:szCs w:val="18"/>
        </w:rPr>
        <w:t xml:space="preserve"> opposite of the desired effect [51]</w:t>
      </w:r>
      <w:r w:rsidR="00BF7CFD" w:rsidRPr="00CE45FB">
        <w:rPr>
          <w:szCs w:val="18"/>
        </w:rPr>
        <w:t>.</w:t>
      </w:r>
    </w:p>
    <w:p w14:paraId="607EDC27" w14:textId="77777777" w:rsidR="00CE45FB" w:rsidRDefault="00CE45FB" w:rsidP="00793C26">
      <w:pPr>
        <w:pStyle w:val="TableCaption"/>
      </w:pPr>
      <w:r w:rsidRPr="00CE45FB">
        <w:t>Table 1 Mechanical properties of HDPE-based hybrid composites</w:t>
      </w:r>
    </w:p>
    <w:tbl>
      <w:tblPr>
        <w:tblStyle w:val="TableGrid"/>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0"/>
        <w:gridCol w:w="2461"/>
        <w:gridCol w:w="2289"/>
        <w:gridCol w:w="2586"/>
      </w:tblGrid>
      <w:tr w:rsidR="00CE45FB" w:rsidRPr="00CE45FB" w14:paraId="0B91EE2A" w14:textId="77777777" w:rsidTr="00793C26">
        <w:trPr>
          <w:trHeight w:val="526"/>
          <w:jc w:val="center"/>
        </w:trPr>
        <w:tc>
          <w:tcPr>
            <w:tcW w:w="1170" w:type="pct"/>
            <w:tcBorders>
              <w:bottom w:val="single" w:sz="4" w:space="0" w:color="auto"/>
            </w:tcBorders>
            <w:vAlign w:val="center"/>
            <w:hideMark/>
          </w:tcPr>
          <w:p w14:paraId="4A3BA284" w14:textId="77777777" w:rsidR="00CE45FB" w:rsidRPr="00CE45FB" w:rsidRDefault="00CE45FB" w:rsidP="00CE45FB">
            <w:pPr>
              <w:pStyle w:val="TableCaption"/>
              <w:jc w:val="both"/>
              <w:rPr>
                <w:b/>
                <w:bCs/>
                <w:sz w:val="20"/>
              </w:rPr>
            </w:pPr>
            <w:r w:rsidRPr="00CE45FB">
              <w:rPr>
                <w:b/>
                <w:bCs/>
                <w:sz w:val="20"/>
              </w:rPr>
              <w:t>Fiber Content (wt%)</w:t>
            </w:r>
          </w:p>
        </w:tc>
        <w:tc>
          <w:tcPr>
            <w:tcW w:w="1285" w:type="pct"/>
            <w:tcBorders>
              <w:bottom w:val="single" w:sz="4" w:space="0" w:color="auto"/>
            </w:tcBorders>
            <w:vAlign w:val="center"/>
            <w:hideMark/>
          </w:tcPr>
          <w:p w14:paraId="6CD675CC" w14:textId="77777777" w:rsidR="00CE45FB" w:rsidRPr="00CE45FB" w:rsidRDefault="00CE45FB" w:rsidP="00CE45FB">
            <w:pPr>
              <w:pStyle w:val="TableCaption"/>
              <w:jc w:val="both"/>
              <w:rPr>
                <w:b/>
                <w:bCs/>
                <w:sz w:val="20"/>
              </w:rPr>
            </w:pPr>
            <w:r w:rsidRPr="00CE45FB">
              <w:rPr>
                <w:b/>
                <w:bCs/>
                <w:sz w:val="20"/>
              </w:rPr>
              <w:t>Tensile Strength (MPa)</w:t>
            </w:r>
          </w:p>
        </w:tc>
        <w:tc>
          <w:tcPr>
            <w:tcW w:w="1195" w:type="pct"/>
            <w:tcBorders>
              <w:bottom w:val="single" w:sz="4" w:space="0" w:color="auto"/>
            </w:tcBorders>
            <w:vAlign w:val="center"/>
            <w:hideMark/>
          </w:tcPr>
          <w:p w14:paraId="7A71F6C3" w14:textId="77777777" w:rsidR="00CE45FB" w:rsidRPr="00CE45FB" w:rsidRDefault="00CE45FB" w:rsidP="00CE45FB">
            <w:pPr>
              <w:pStyle w:val="TableCaption"/>
              <w:jc w:val="both"/>
              <w:rPr>
                <w:b/>
                <w:bCs/>
                <w:sz w:val="20"/>
              </w:rPr>
            </w:pPr>
            <w:r w:rsidRPr="00CE45FB">
              <w:rPr>
                <w:b/>
                <w:bCs/>
                <w:sz w:val="20"/>
              </w:rPr>
              <w:t>Yield Strength (MPa)</w:t>
            </w:r>
          </w:p>
        </w:tc>
        <w:tc>
          <w:tcPr>
            <w:tcW w:w="1350" w:type="pct"/>
            <w:tcBorders>
              <w:bottom w:val="single" w:sz="4" w:space="0" w:color="auto"/>
            </w:tcBorders>
            <w:vAlign w:val="center"/>
            <w:hideMark/>
          </w:tcPr>
          <w:p w14:paraId="01148729" w14:textId="77777777" w:rsidR="00CE45FB" w:rsidRPr="00CE45FB" w:rsidRDefault="00CE45FB" w:rsidP="00CE45FB">
            <w:pPr>
              <w:pStyle w:val="TableCaption"/>
              <w:jc w:val="both"/>
              <w:rPr>
                <w:b/>
                <w:bCs/>
                <w:sz w:val="20"/>
              </w:rPr>
            </w:pPr>
            <w:r w:rsidRPr="00CE45FB">
              <w:rPr>
                <w:b/>
                <w:bCs/>
                <w:sz w:val="20"/>
              </w:rPr>
              <w:t>Flexural Strength (MPa)</w:t>
            </w:r>
          </w:p>
        </w:tc>
      </w:tr>
      <w:tr w:rsidR="00CE45FB" w:rsidRPr="00CE45FB" w14:paraId="79289070" w14:textId="77777777" w:rsidTr="00793C26">
        <w:trPr>
          <w:trHeight w:val="318"/>
          <w:jc w:val="center"/>
        </w:trPr>
        <w:tc>
          <w:tcPr>
            <w:tcW w:w="1170" w:type="pct"/>
            <w:tcBorders>
              <w:top w:val="single" w:sz="4" w:space="0" w:color="auto"/>
            </w:tcBorders>
            <w:vAlign w:val="center"/>
            <w:hideMark/>
          </w:tcPr>
          <w:p w14:paraId="786A728F" w14:textId="77777777" w:rsidR="00CE45FB" w:rsidRPr="00CE45FB" w:rsidRDefault="00CE45FB" w:rsidP="00CE45FB">
            <w:pPr>
              <w:pStyle w:val="TableCaption"/>
              <w:jc w:val="both"/>
              <w:rPr>
                <w:sz w:val="20"/>
              </w:rPr>
            </w:pPr>
            <w:r w:rsidRPr="00CE45FB">
              <w:rPr>
                <w:sz w:val="20"/>
              </w:rPr>
              <w:t>0 (Pure HDPE)</w:t>
            </w:r>
          </w:p>
        </w:tc>
        <w:tc>
          <w:tcPr>
            <w:tcW w:w="1285" w:type="pct"/>
            <w:tcBorders>
              <w:top w:val="single" w:sz="4" w:space="0" w:color="auto"/>
            </w:tcBorders>
            <w:vAlign w:val="center"/>
            <w:hideMark/>
          </w:tcPr>
          <w:p w14:paraId="26B9D139" w14:textId="77777777" w:rsidR="00CE45FB" w:rsidRPr="00CE45FB" w:rsidRDefault="00CE45FB" w:rsidP="00CE45FB">
            <w:pPr>
              <w:pStyle w:val="TableCaption"/>
              <w:jc w:val="both"/>
              <w:rPr>
                <w:sz w:val="20"/>
              </w:rPr>
            </w:pPr>
            <w:r w:rsidRPr="00CE45FB">
              <w:rPr>
                <w:sz w:val="20"/>
              </w:rPr>
              <w:t>30.2</w:t>
            </w:r>
          </w:p>
        </w:tc>
        <w:tc>
          <w:tcPr>
            <w:tcW w:w="1195" w:type="pct"/>
            <w:tcBorders>
              <w:top w:val="single" w:sz="4" w:space="0" w:color="auto"/>
            </w:tcBorders>
            <w:vAlign w:val="center"/>
            <w:hideMark/>
          </w:tcPr>
          <w:p w14:paraId="419C3DEA" w14:textId="77777777" w:rsidR="00CE45FB" w:rsidRPr="00CE45FB" w:rsidRDefault="00CE45FB" w:rsidP="00CE45FB">
            <w:pPr>
              <w:pStyle w:val="TableCaption"/>
              <w:jc w:val="both"/>
              <w:rPr>
                <w:sz w:val="20"/>
              </w:rPr>
            </w:pPr>
            <w:r w:rsidRPr="00CE45FB">
              <w:rPr>
                <w:sz w:val="20"/>
              </w:rPr>
              <w:t>25.8</w:t>
            </w:r>
          </w:p>
        </w:tc>
        <w:tc>
          <w:tcPr>
            <w:tcW w:w="1350" w:type="pct"/>
            <w:tcBorders>
              <w:top w:val="single" w:sz="4" w:space="0" w:color="auto"/>
            </w:tcBorders>
            <w:vAlign w:val="center"/>
            <w:hideMark/>
          </w:tcPr>
          <w:p w14:paraId="22001B6B" w14:textId="77777777" w:rsidR="00CE45FB" w:rsidRPr="00CE45FB" w:rsidRDefault="00CE45FB" w:rsidP="00CE45FB">
            <w:pPr>
              <w:pStyle w:val="TableCaption"/>
              <w:jc w:val="both"/>
              <w:rPr>
                <w:sz w:val="20"/>
              </w:rPr>
            </w:pPr>
            <w:r w:rsidRPr="00CE45FB">
              <w:rPr>
                <w:sz w:val="20"/>
              </w:rPr>
              <w:t>35.5</w:t>
            </w:r>
          </w:p>
        </w:tc>
      </w:tr>
      <w:tr w:rsidR="00CE45FB" w:rsidRPr="00CE45FB" w14:paraId="5F7AB871" w14:textId="77777777" w:rsidTr="00793C26">
        <w:trPr>
          <w:trHeight w:val="325"/>
          <w:jc w:val="center"/>
        </w:trPr>
        <w:tc>
          <w:tcPr>
            <w:tcW w:w="1170" w:type="pct"/>
            <w:vAlign w:val="center"/>
            <w:hideMark/>
          </w:tcPr>
          <w:p w14:paraId="243A1E36" w14:textId="77777777" w:rsidR="00CE45FB" w:rsidRPr="00CE45FB" w:rsidRDefault="00CE45FB" w:rsidP="00CE45FB">
            <w:pPr>
              <w:pStyle w:val="TableCaption"/>
              <w:jc w:val="both"/>
              <w:rPr>
                <w:sz w:val="20"/>
              </w:rPr>
            </w:pPr>
            <w:r w:rsidRPr="00CE45FB">
              <w:rPr>
                <w:sz w:val="20"/>
              </w:rPr>
              <w:t>5</w:t>
            </w:r>
          </w:p>
        </w:tc>
        <w:tc>
          <w:tcPr>
            <w:tcW w:w="1285" w:type="pct"/>
            <w:vAlign w:val="center"/>
            <w:hideMark/>
          </w:tcPr>
          <w:p w14:paraId="64A5CB77" w14:textId="77777777" w:rsidR="00CE45FB" w:rsidRPr="00CE45FB" w:rsidRDefault="00CE45FB" w:rsidP="00CE45FB">
            <w:pPr>
              <w:pStyle w:val="TableCaption"/>
              <w:jc w:val="both"/>
              <w:rPr>
                <w:sz w:val="20"/>
              </w:rPr>
            </w:pPr>
            <w:r w:rsidRPr="00CE45FB">
              <w:rPr>
                <w:sz w:val="20"/>
              </w:rPr>
              <w:t>34.5</w:t>
            </w:r>
          </w:p>
        </w:tc>
        <w:tc>
          <w:tcPr>
            <w:tcW w:w="1195" w:type="pct"/>
            <w:vAlign w:val="center"/>
            <w:hideMark/>
          </w:tcPr>
          <w:p w14:paraId="477B89DE" w14:textId="77777777" w:rsidR="00CE45FB" w:rsidRPr="00CE45FB" w:rsidRDefault="00CE45FB" w:rsidP="00CE45FB">
            <w:pPr>
              <w:pStyle w:val="TableCaption"/>
              <w:jc w:val="both"/>
              <w:rPr>
                <w:sz w:val="20"/>
              </w:rPr>
            </w:pPr>
            <w:r w:rsidRPr="00CE45FB">
              <w:rPr>
                <w:sz w:val="20"/>
              </w:rPr>
              <w:t>28.2</w:t>
            </w:r>
          </w:p>
        </w:tc>
        <w:tc>
          <w:tcPr>
            <w:tcW w:w="1350" w:type="pct"/>
            <w:vAlign w:val="center"/>
            <w:hideMark/>
          </w:tcPr>
          <w:p w14:paraId="6964EA3B" w14:textId="77777777" w:rsidR="00CE45FB" w:rsidRPr="00CE45FB" w:rsidRDefault="00CE45FB" w:rsidP="00CE45FB">
            <w:pPr>
              <w:pStyle w:val="TableCaption"/>
              <w:jc w:val="both"/>
              <w:rPr>
                <w:sz w:val="20"/>
              </w:rPr>
            </w:pPr>
            <w:r w:rsidRPr="00CE45FB">
              <w:rPr>
                <w:sz w:val="20"/>
              </w:rPr>
              <w:t>38.7</w:t>
            </w:r>
          </w:p>
        </w:tc>
      </w:tr>
      <w:tr w:rsidR="00CE45FB" w:rsidRPr="00CE45FB" w14:paraId="0431D5BB" w14:textId="77777777" w:rsidTr="00793C26">
        <w:trPr>
          <w:trHeight w:val="318"/>
          <w:jc w:val="center"/>
        </w:trPr>
        <w:tc>
          <w:tcPr>
            <w:tcW w:w="1170" w:type="pct"/>
            <w:vAlign w:val="center"/>
            <w:hideMark/>
          </w:tcPr>
          <w:p w14:paraId="0202AD2F" w14:textId="77777777" w:rsidR="00CE45FB" w:rsidRPr="00CE45FB" w:rsidRDefault="00CE45FB" w:rsidP="00CE45FB">
            <w:pPr>
              <w:pStyle w:val="TableCaption"/>
              <w:jc w:val="both"/>
              <w:rPr>
                <w:sz w:val="20"/>
              </w:rPr>
            </w:pPr>
            <w:r w:rsidRPr="00CE45FB">
              <w:rPr>
                <w:sz w:val="20"/>
              </w:rPr>
              <w:t>10</w:t>
            </w:r>
          </w:p>
        </w:tc>
        <w:tc>
          <w:tcPr>
            <w:tcW w:w="1285" w:type="pct"/>
            <w:vAlign w:val="center"/>
            <w:hideMark/>
          </w:tcPr>
          <w:p w14:paraId="3BBA874B" w14:textId="77777777" w:rsidR="00CE45FB" w:rsidRPr="00CE45FB" w:rsidRDefault="00CE45FB" w:rsidP="00CE45FB">
            <w:pPr>
              <w:pStyle w:val="TableCaption"/>
              <w:jc w:val="both"/>
              <w:rPr>
                <w:sz w:val="20"/>
              </w:rPr>
            </w:pPr>
            <w:r w:rsidRPr="00CE45FB">
              <w:rPr>
                <w:bCs/>
                <w:sz w:val="20"/>
              </w:rPr>
              <w:t>37.8</w:t>
            </w:r>
          </w:p>
        </w:tc>
        <w:tc>
          <w:tcPr>
            <w:tcW w:w="1195" w:type="pct"/>
            <w:vAlign w:val="center"/>
            <w:hideMark/>
          </w:tcPr>
          <w:p w14:paraId="7DE509F5" w14:textId="77777777" w:rsidR="00CE45FB" w:rsidRPr="00CE45FB" w:rsidRDefault="00CE45FB" w:rsidP="00CE45FB">
            <w:pPr>
              <w:pStyle w:val="TableCaption"/>
              <w:jc w:val="both"/>
              <w:rPr>
                <w:sz w:val="20"/>
              </w:rPr>
            </w:pPr>
            <w:r w:rsidRPr="00CE45FB">
              <w:rPr>
                <w:bCs/>
                <w:sz w:val="20"/>
              </w:rPr>
              <w:t>30.5</w:t>
            </w:r>
          </w:p>
        </w:tc>
        <w:tc>
          <w:tcPr>
            <w:tcW w:w="1350" w:type="pct"/>
            <w:vAlign w:val="center"/>
            <w:hideMark/>
          </w:tcPr>
          <w:p w14:paraId="56BBF84F" w14:textId="77777777" w:rsidR="00CE45FB" w:rsidRPr="00CE45FB" w:rsidRDefault="00CE45FB" w:rsidP="00CE45FB">
            <w:pPr>
              <w:pStyle w:val="TableCaption"/>
              <w:jc w:val="both"/>
              <w:rPr>
                <w:sz w:val="20"/>
              </w:rPr>
            </w:pPr>
            <w:r w:rsidRPr="00CE45FB">
              <w:rPr>
                <w:bCs/>
                <w:sz w:val="20"/>
              </w:rPr>
              <w:t>41.2</w:t>
            </w:r>
          </w:p>
        </w:tc>
      </w:tr>
      <w:tr w:rsidR="00CE45FB" w:rsidRPr="00CE45FB" w14:paraId="6CD1F44B" w14:textId="77777777" w:rsidTr="00793C26">
        <w:trPr>
          <w:trHeight w:val="311"/>
          <w:jc w:val="center"/>
        </w:trPr>
        <w:tc>
          <w:tcPr>
            <w:tcW w:w="1170" w:type="pct"/>
            <w:vAlign w:val="center"/>
            <w:hideMark/>
          </w:tcPr>
          <w:p w14:paraId="06E1110C" w14:textId="77777777" w:rsidR="00CE45FB" w:rsidRPr="00CE45FB" w:rsidRDefault="00CE45FB" w:rsidP="00CE45FB">
            <w:pPr>
              <w:pStyle w:val="TableCaption"/>
              <w:jc w:val="both"/>
              <w:rPr>
                <w:sz w:val="20"/>
              </w:rPr>
            </w:pPr>
            <w:r w:rsidRPr="00CE45FB">
              <w:rPr>
                <w:sz w:val="20"/>
              </w:rPr>
              <w:t>15</w:t>
            </w:r>
          </w:p>
        </w:tc>
        <w:tc>
          <w:tcPr>
            <w:tcW w:w="1285" w:type="pct"/>
            <w:vAlign w:val="center"/>
            <w:hideMark/>
          </w:tcPr>
          <w:p w14:paraId="0357AFFC" w14:textId="77777777" w:rsidR="00CE45FB" w:rsidRPr="00CE45FB" w:rsidRDefault="00CE45FB" w:rsidP="00CE45FB">
            <w:pPr>
              <w:pStyle w:val="TableCaption"/>
              <w:jc w:val="both"/>
              <w:rPr>
                <w:sz w:val="20"/>
              </w:rPr>
            </w:pPr>
            <w:r w:rsidRPr="00CE45FB">
              <w:rPr>
                <w:sz w:val="20"/>
              </w:rPr>
              <w:t>35.1</w:t>
            </w:r>
          </w:p>
        </w:tc>
        <w:tc>
          <w:tcPr>
            <w:tcW w:w="1195" w:type="pct"/>
            <w:vAlign w:val="center"/>
            <w:hideMark/>
          </w:tcPr>
          <w:p w14:paraId="560719FB" w14:textId="77777777" w:rsidR="00CE45FB" w:rsidRPr="00CE45FB" w:rsidRDefault="00CE45FB" w:rsidP="00CE45FB">
            <w:pPr>
              <w:pStyle w:val="TableCaption"/>
              <w:jc w:val="both"/>
              <w:rPr>
                <w:sz w:val="20"/>
              </w:rPr>
            </w:pPr>
            <w:r w:rsidRPr="00CE45FB">
              <w:rPr>
                <w:sz w:val="20"/>
              </w:rPr>
              <w:t>27.9</w:t>
            </w:r>
          </w:p>
        </w:tc>
        <w:tc>
          <w:tcPr>
            <w:tcW w:w="1350" w:type="pct"/>
            <w:vAlign w:val="center"/>
            <w:hideMark/>
          </w:tcPr>
          <w:p w14:paraId="697C9E4E" w14:textId="77777777" w:rsidR="00CE45FB" w:rsidRPr="00CE45FB" w:rsidRDefault="00CE45FB" w:rsidP="00CE45FB">
            <w:pPr>
              <w:pStyle w:val="TableCaption"/>
              <w:jc w:val="both"/>
              <w:rPr>
                <w:sz w:val="20"/>
              </w:rPr>
            </w:pPr>
            <w:r w:rsidRPr="00CE45FB">
              <w:rPr>
                <w:sz w:val="20"/>
              </w:rPr>
              <w:t>39.0</w:t>
            </w:r>
          </w:p>
        </w:tc>
      </w:tr>
    </w:tbl>
    <w:p w14:paraId="4D95D8E8" w14:textId="77777777" w:rsidR="00CE45FB" w:rsidRPr="00CE45FB" w:rsidRDefault="00CE45FB" w:rsidP="00793C26">
      <w:pPr>
        <w:pStyle w:val="TableCaption"/>
        <w:rPr>
          <w:b/>
          <w:bCs/>
          <w:sz w:val="20"/>
        </w:rPr>
      </w:pPr>
      <w:r w:rsidRPr="00CE45FB">
        <w:rPr>
          <w:b/>
          <w:bCs/>
          <w:noProof/>
          <w:sz w:val="20"/>
        </w:rPr>
        <w:drawing>
          <wp:inline distT="0" distB="0" distL="0" distR="0" wp14:anchorId="7EB93214" wp14:editId="21C31DDC">
            <wp:extent cx="5857875" cy="2066925"/>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5857875" cy="2066925"/>
                    </a:xfrm>
                    <a:prstGeom prst="rect">
                      <a:avLst/>
                    </a:prstGeom>
                    <a:noFill/>
                    <a:ln w="9525">
                      <a:noFill/>
                      <a:miter lim="800000"/>
                      <a:headEnd/>
                      <a:tailEnd/>
                    </a:ln>
                  </pic:spPr>
                </pic:pic>
              </a:graphicData>
            </a:graphic>
          </wp:inline>
        </w:drawing>
      </w:r>
    </w:p>
    <w:p w14:paraId="08AF1945" w14:textId="77777777" w:rsidR="00CE45FB" w:rsidRPr="00CE45FB" w:rsidRDefault="00CE45FB" w:rsidP="00793C26">
      <w:pPr>
        <w:pStyle w:val="FigureCaption"/>
      </w:pPr>
      <w:r w:rsidRPr="00CE45FB">
        <w:t>Fig. 1 Mechanical properties</w:t>
      </w:r>
    </w:p>
    <w:p w14:paraId="40692F81" w14:textId="77777777" w:rsidR="00CE45FB" w:rsidRPr="00CE45FB" w:rsidRDefault="00CE45FB" w:rsidP="00793C26">
      <w:pPr>
        <w:pStyle w:val="Heading2"/>
      </w:pPr>
      <w:r w:rsidRPr="00CE45FB">
        <w:t>Thermal Stability</w:t>
      </w:r>
    </w:p>
    <w:p w14:paraId="1E502DA0" w14:textId="77777777" w:rsidR="00CE45FB" w:rsidRPr="00CE45FB" w:rsidRDefault="00CE45FB" w:rsidP="00793C26">
      <w:pPr>
        <w:pStyle w:val="Paragraph"/>
      </w:pPr>
      <w:r w:rsidRPr="00CE45FB">
        <w:t>The thermogravimetric analysis (TGA) indicates that adding fiber reinforcement tends to shift the decomposition temperature of the HDPE-based hybrid composites higher. In the measurements, pure HDPE began to thermally degrade at 460°C; upon introducing the hybrid structure, the onset temperature rose to 485°C. This shift signifies an observable enhancement of thermal stability, which one can relate to the cooperative action of both carbon and abaca fibers—essentially forming thermal barriers that postpone the degradation event from the polymeric matrix.</w:t>
      </w:r>
    </w:p>
    <w:p w14:paraId="04F30ABA" w14:textId="77777777" w:rsidR="00CE45FB" w:rsidRPr="00CE45FB" w:rsidRDefault="00CE45FB" w:rsidP="00CE45FB">
      <w:pPr>
        <w:pStyle w:val="Paragraph"/>
        <w:rPr>
          <w:szCs w:val="18"/>
        </w:rPr>
      </w:pPr>
      <w:r w:rsidRPr="00CE45FB">
        <w:rPr>
          <w:szCs w:val="18"/>
        </w:rPr>
        <w:t>The contribution from carbon fibers is particularly noteworthy. At an addition level of 10 wt%, the carbon fibers altered the thermal response of the composite significantly. Their intrinsic structure, which combines high thermal integrity with a low coefficient of thermal expansion, imparts a reinforcing effect that hampers the polymer from degrading at elevated temperatures. Consequently, the matrix exhibits a visibly reduced thermal degradation rate. This characteristic positions the hybrid composites as an attractive material, capable of withstanding elevated-service environments typically encountered in automotive components, structural panels, and aerospace applications.</w:t>
      </w:r>
    </w:p>
    <w:p w14:paraId="7AEF2C80" w14:textId="77777777" w:rsidR="00CE45FB" w:rsidRPr="00CE45FB" w:rsidRDefault="00CE45FB" w:rsidP="00793C26">
      <w:pPr>
        <w:pStyle w:val="TableCaption"/>
      </w:pPr>
      <w:r w:rsidRPr="00CE45FB">
        <w:t>Table 2 Thermal stability ofHDPE-</w:t>
      </w:r>
      <w:r w:rsidRPr="00793C26">
        <w:t>based</w:t>
      </w:r>
      <w:r w:rsidRPr="00CE45FB">
        <w:t xml:space="preserve"> hybrid composites</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4"/>
        <w:gridCol w:w="3074"/>
      </w:tblGrid>
      <w:tr w:rsidR="00CE45FB" w:rsidRPr="00CE45FB" w14:paraId="6F32EDB7" w14:textId="77777777" w:rsidTr="00793C26">
        <w:trPr>
          <w:jc w:val="center"/>
        </w:trPr>
        <w:tc>
          <w:tcPr>
            <w:tcW w:w="0" w:type="auto"/>
            <w:tcBorders>
              <w:bottom w:val="single" w:sz="4" w:space="0" w:color="auto"/>
            </w:tcBorders>
            <w:vAlign w:val="center"/>
            <w:hideMark/>
          </w:tcPr>
          <w:p w14:paraId="448B2DC6" w14:textId="77777777" w:rsidR="00CE45FB" w:rsidRPr="00CE45FB" w:rsidRDefault="00CE45FB" w:rsidP="00CE45FB">
            <w:pPr>
              <w:pStyle w:val="TableCaption"/>
              <w:jc w:val="both"/>
              <w:rPr>
                <w:b/>
                <w:bCs/>
                <w:sz w:val="20"/>
              </w:rPr>
            </w:pPr>
            <w:r w:rsidRPr="00CE45FB">
              <w:rPr>
                <w:b/>
                <w:bCs/>
                <w:sz w:val="20"/>
              </w:rPr>
              <w:t>Sample</w:t>
            </w:r>
          </w:p>
        </w:tc>
        <w:tc>
          <w:tcPr>
            <w:tcW w:w="0" w:type="auto"/>
            <w:tcBorders>
              <w:bottom w:val="single" w:sz="4" w:space="0" w:color="auto"/>
            </w:tcBorders>
            <w:vAlign w:val="center"/>
            <w:hideMark/>
          </w:tcPr>
          <w:p w14:paraId="2A67E7C3" w14:textId="77777777" w:rsidR="00CE45FB" w:rsidRPr="00CE45FB" w:rsidRDefault="00CE45FB" w:rsidP="00CE45FB">
            <w:pPr>
              <w:pStyle w:val="TableCaption"/>
              <w:jc w:val="both"/>
              <w:rPr>
                <w:b/>
                <w:bCs/>
                <w:sz w:val="20"/>
              </w:rPr>
            </w:pPr>
            <w:r w:rsidRPr="00CE45FB">
              <w:rPr>
                <w:b/>
                <w:bCs/>
                <w:sz w:val="20"/>
              </w:rPr>
              <w:t>Decomposition Temperature (°C)</w:t>
            </w:r>
          </w:p>
        </w:tc>
      </w:tr>
      <w:tr w:rsidR="00CE45FB" w:rsidRPr="00CE45FB" w14:paraId="584A44AE" w14:textId="77777777" w:rsidTr="00793C26">
        <w:trPr>
          <w:jc w:val="center"/>
        </w:trPr>
        <w:tc>
          <w:tcPr>
            <w:tcW w:w="0" w:type="auto"/>
            <w:tcBorders>
              <w:top w:val="single" w:sz="4" w:space="0" w:color="auto"/>
            </w:tcBorders>
            <w:vAlign w:val="center"/>
            <w:hideMark/>
          </w:tcPr>
          <w:p w14:paraId="0FD6896F" w14:textId="77777777" w:rsidR="00CE45FB" w:rsidRPr="00CE45FB" w:rsidRDefault="00CE45FB" w:rsidP="00CE45FB">
            <w:pPr>
              <w:pStyle w:val="TableCaption"/>
              <w:jc w:val="both"/>
              <w:rPr>
                <w:sz w:val="20"/>
              </w:rPr>
            </w:pPr>
            <w:r w:rsidRPr="00CE45FB">
              <w:rPr>
                <w:sz w:val="20"/>
              </w:rPr>
              <w:t>Pure HDPE</w:t>
            </w:r>
          </w:p>
        </w:tc>
        <w:tc>
          <w:tcPr>
            <w:tcW w:w="0" w:type="auto"/>
            <w:tcBorders>
              <w:top w:val="single" w:sz="4" w:space="0" w:color="auto"/>
            </w:tcBorders>
            <w:vAlign w:val="center"/>
            <w:hideMark/>
          </w:tcPr>
          <w:p w14:paraId="346315DB" w14:textId="77777777" w:rsidR="00CE45FB" w:rsidRPr="00CE45FB" w:rsidRDefault="00CE45FB" w:rsidP="00CE45FB">
            <w:pPr>
              <w:pStyle w:val="TableCaption"/>
              <w:jc w:val="both"/>
              <w:rPr>
                <w:sz w:val="20"/>
              </w:rPr>
            </w:pPr>
            <w:r w:rsidRPr="00CE45FB">
              <w:rPr>
                <w:sz w:val="20"/>
              </w:rPr>
              <w:t>460</w:t>
            </w:r>
          </w:p>
        </w:tc>
      </w:tr>
      <w:tr w:rsidR="00CE45FB" w:rsidRPr="00CE45FB" w14:paraId="07AE24B6" w14:textId="77777777" w:rsidTr="00793C26">
        <w:trPr>
          <w:jc w:val="center"/>
        </w:trPr>
        <w:tc>
          <w:tcPr>
            <w:tcW w:w="0" w:type="auto"/>
            <w:vAlign w:val="center"/>
            <w:hideMark/>
          </w:tcPr>
          <w:p w14:paraId="3439A40C" w14:textId="77777777" w:rsidR="00CE45FB" w:rsidRPr="00CE45FB" w:rsidRDefault="00CE45FB" w:rsidP="00CE45FB">
            <w:pPr>
              <w:pStyle w:val="TableCaption"/>
              <w:jc w:val="both"/>
              <w:rPr>
                <w:sz w:val="20"/>
              </w:rPr>
            </w:pPr>
            <w:r w:rsidRPr="00CE45FB">
              <w:rPr>
                <w:sz w:val="20"/>
              </w:rPr>
              <w:t>HDPE + Carbon Fiber</w:t>
            </w:r>
          </w:p>
        </w:tc>
        <w:tc>
          <w:tcPr>
            <w:tcW w:w="0" w:type="auto"/>
            <w:vAlign w:val="center"/>
            <w:hideMark/>
          </w:tcPr>
          <w:p w14:paraId="22573C39" w14:textId="77777777" w:rsidR="00CE45FB" w:rsidRPr="00CE45FB" w:rsidRDefault="00CE45FB" w:rsidP="00CE45FB">
            <w:pPr>
              <w:pStyle w:val="TableCaption"/>
              <w:jc w:val="both"/>
              <w:rPr>
                <w:sz w:val="20"/>
              </w:rPr>
            </w:pPr>
            <w:r w:rsidRPr="00CE45FB">
              <w:rPr>
                <w:sz w:val="20"/>
              </w:rPr>
              <w:t>480</w:t>
            </w:r>
          </w:p>
        </w:tc>
      </w:tr>
      <w:tr w:rsidR="00CE45FB" w:rsidRPr="00CE45FB" w14:paraId="1CCC0E4D" w14:textId="77777777" w:rsidTr="00793C26">
        <w:trPr>
          <w:jc w:val="center"/>
        </w:trPr>
        <w:tc>
          <w:tcPr>
            <w:tcW w:w="0" w:type="auto"/>
            <w:vAlign w:val="center"/>
            <w:hideMark/>
          </w:tcPr>
          <w:p w14:paraId="3EC310F7" w14:textId="77777777" w:rsidR="00CE45FB" w:rsidRPr="00CE45FB" w:rsidRDefault="00CE45FB" w:rsidP="00CE45FB">
            <w:pPr>
              <w:pStyle w:val="TableCaption"/>
              <w:jc w:val="both"/>
              <w:rPr>
                <w:sz w:val="20"/>
              </w:rPr>
            </w:pPr>
            <w:r w:rsidRPr="00CE45FB">
              <w:rPr>
                <w:sz w:val="20"/>
              </w:rPr>
              <w:t>HDPE + Hybrid (Carbon + Abaca)</w:t>
            </w:r>
          </w:p>
        </w:tc>
        <w:tc>
          <w:tcPr>
            <w:tcW w:w="0" w:type="auto"/>
            <w:vAlign w:val="center"/>
            <w:hideMark/>
          </w:tcPr>
          <w:p w14:paraId="5C6EAC12" w14:textId="77777777" w:rsidR="00CE45FB" w:rsidRPr="00CE45FB" w:rsidRDefault="00CE45FB" w:rsidP="00CE45FB">
            <w:pPr>
              <w:pStyle w:val="TableCaption"/>
              <w:jc w:val="both"/>
              <w:rPr>
                <w:sz w:val="20"/>
              </w:rPr>
            </w:pPr>
            <w:r w:rsidRPr="00CE45FB">
              <w:rPr>
                <w:b/>
                <w:bCs/>
                <w:sz w:val="20"/>
              </w:rPr>
              <w:t>485</w:t>
            </w:r>
          </w:p>
        </w:tc>
      </w:tr>
    </w:tbl>
    <w:p w14:paraId="5B4D58B1" w14:textId="77777777" w:rsidR="00CE45FB" w:rsidRPr="00CE45FB" w:rsidRDefault="00CE45FB" w:rsidP="00793C26">
      <w:pPr>
        <w:pStyle w:val="TableCaption"/>
        <w:rPr>
          <w:b/>
          <w:bCs/>
          <w:sz w:val="20"/>
        </w:rPr>
      </w:pPr>
      <w:r w:rsidRPr="00CE45FB">
        <w:rPr>
          <w:b/>
          <w:bCs/>
          <w:noProof/>
          <w:sz w:val="20"/>
        </w:rPr>
        <w:lastRenderedPageBreak/>
        <w:drawing>
          <wp:inline distT="0" distB="0" distL="0" distR="0" wp14:anchorId="555D3D63" wp14:editId="0DE1AAA0">
            <wp:extent cx="4166235" cy="164592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4173508" cy="1648793"/>
                    </a:xfrm>
                    <a:prstGeom prst="rect">
                      <a:avLst/>
                    </a:prstGeom>
                    <a:noFill/>
                    <a:ln w="9525">
                      <a:noFill/>
                      <a:miter lim="800000"/>
                      <a:headEnd/>
                      <a:tailEnd/>
                    </a:ln>
                  </pic:spPr>
                </pic:pic>
              </a:graphicData>
            </a:graphic>
          </wp:inline>
        </w:drawing>
      </w:r>
    </w:p>
    <w:p w14:paraId="41506B66" w14:textId="77777777" w:rsidR="00CE45FB" w:rsidRPr="00CE45FB" w:rsidRDefault="00CE45FB" w:rsidP="00793C26">
      <w:pPr>
        <w:pStyle w:val="FigureCaption"/>
      </w:pPr>
      <w:r w:rsidRPr="00CE45FB">
        <w:t>Fig. 2 Thermal stability</w:t>
      </w:r>
    </w:p>
    <w:p w14:paraId="4534ED83" w14:textId="77777777" w:rsidR="00CE45FB" w:rsidRPr="00CE45FB" w:rsidRDefault="00CE45FB" w:rsidP="00793C26">
      <w:pPr>
        <w:pStyle w:val="Heading2"/>
      </w:pPr>
      <w:r w:rsidRPr="00CE45FB">
        <w:t>Moisture Absorption</w:t>
      </w:r>
    </w:p>
    <w:p w14:paraId="1A88A30B" w14:textId="77777777" w:rsidR="00CE45FB" w:rsidRPr="00CE45FB" w:rsidRDefault="00CE45FB" w:rsidP="00793C26">
      <w:pPr>
        <w:pStyle w:val="Paragraph"/>
      </w:pPr>
      <w:r w:rsidRPr="00CE45FB">
        <w:rPr>
          <w:b/>
        </w:rPr>
        <w:t>Water Uptake:</w:t>
      </w:r>
      <w:r w:rsidRPr="00CE45FB">
        <w:t xml:space="preserve"> As more abaca fibers were added to the composites, moisture absorption rose steadily because of the fibers’ naturally hydrophilic behaviour. In contrast, the pristine HDPE—fully hydrophobic—absorbed only 0.8% moisture. The composite with 15% abaca, the highest tested, reached 2.5% </w:t>
      </w:r>
      <w:r w:rsidRPr="00793C26">
        <w:t>moisture</w:t>
      </w:r>
      <w:r w:rsidRPr="00CE45FB">
        <w:t xml:space="preserve"> absorption. The observed trend arises from the polysaccharide-rich, cellulosic wall of the abaca fibers, which draws water. Extended moisture exposure can swell these fibers, potentially lowering the composite’s mechanical strength.</w:t>
      </w:r>
    </w:p>
    <w:p w14:paraId="06E3986B" w14:textId="77777777" w:rsidR="00CE45FB" w:rsidRPr="00CE45FB" w:rsidRDefault="00CE45FB" w:rsidP="00793C26">
      <w:pPr>
        <w:pStyle w:val="Paragraph"/>
      </w:pPr>
      <w:r w:rsidRPr="00CE45FB">
        <w:rPr>
          <w:b/>
        </w:rPr>
        <w:t>Hybrid Effect:</w:t>
      </w:r>
      <w:r w:rsidRPr="00CE45FB">
        <w:t xml:space="preserve"> Adding 10% carbon fibers counterbalanced the increasing water absorption trend. Carbon fibers, with their hydrophobic surface and good chemical stability, mask the abaca fibers’ affinity for water. Consequently, the cumulative moisture intake of the composite is slowed. The hybrid </w:t>
      </w:r>
      <w:r w:rsidRPr="00793C26">
        <w:t>approach</w:t>
      </w:r>
      <w:r w:rsidRPr="00CE45FB">
        <w:t xml:space="preserve"> successfully leverages the stiffness and strength of carbon while controlling the water uptake to levels that safeguard structural performance, thus extending the materials’ viability in moisture-rich environments.</w:t>
      </w:r>
    </w:p>
    <w:p w14:paraId="645AF5EB" w14:textId="77777777" w:rsidR="00CE45FB" w:rsidRPr="00CE45FB" w:rsidRDefault="00CE45FB" w:rsidP="00793C26">
      <w:pPr>
        <w:pStyle w:val="TableCaption"/>
      </w:pPr>
      <w:r w:rsidRPr="00CE45FB">
        <w:t xml:space="preserve">Table 3 Moisture absorption ofHDPE-based hybrid </w:t>
      </w:r>
      <w:r w:rsidRPr="00793C26">
        <w:t>composites</w:t>
      </w:r>
    </w:p>
    <w:tbl>
      <w:tblPr>
        <w:tblStyle w:val="TableGrid"/>
        <w:tblW w:w="5317"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1"/>
        <w:gridCol w:w="2886"/>
      </w:tblGrid>
      <w:tr w:rsidR="00CE45FB" w:rsidRPr="00CE45FB" w14:paraId="31771D99" w14:textId="77777777" w:rsidTr="00793C26">
        <w:trPr>
          <w:trHeight w:val="544"/>
          <w:jc w:val="center"/>
        </w:trPr>
        <w:tc>
          <w:tcPr>
            <w:tcW w:w="0" w:type="auto"/>
            <w:tcBorders>
              <w:bottom w:val="single" w:sz="4" w:space="0" w:color="auto"/>
            </w:tcBorders>
            <w:vAlign w:val="center"/>
            <w:hideMark/>
          </w:tcPr>
          <w:p w14:paraId="1099294B" w14:textId="77777777" w:rsidR="00CE45FB" w:rsidRPr="00CE45FB" w:rsidRDefault="00CE45FB" w:rsidP="00CE45FB">
            <w:pPr>
              <w:pStyle w:val="TableCaption"/>
              <w:jc w:val="both"/>
              <w:rPr>
                <w:b/>
                <w:bCs/>
                <w:sz w:val="20"/>
              </w:rPr>
            </w:pPr>
            <w:r w:rsidRPr="00CE45FB">
              <w:rPr>
                <w:b/>
                <w:bCs/>
                <w:sz w:val="20"/>
              </w:rPr>
              <w:t>Fiber Content (wt%)</w:t>
            </w:r>
          </w:p>
        </w:tc>
        <w:tc>
          <w:tcPr>
            <w:tcW w:w="0" w:type="auto"/>
            <w:tcBorders>
              <w:bottom w:val="single" w:sz="4" w:space="0" w:color="auto"/>
            </w:tcBorders>
            <w:vAlign w:val="center"/>
            <w:hideMark/>
          </w:tcPr>
          <w:p w14:paraId="5ED1CB75" w14:textId="77777777" w:rsidR="00CE45FB" w:rsidRPr="00CE45FB" w:rsidRDefault="00CE45FB" w:rsidP="00CE45FB">
            <w:pPr>
              <w:pStyle w:val="TableCaption"/>
              <w:jc w:val="both"/>
              <w:rPr>
                <w:b/>
                <w:bCs/>
                <w:sz w:val="20"/>
              </w:rPr>
            </w:pPr>
            <w:r w:rsidRPr="00CE45FB">
              <w:rPr>
                <w:b/>
                <w:bCs/>
                <w:sz w:val="20"/>
              </w:rPr>
              <w:t>Moisture Absorption (%)</w:t>
            </w:r>
          </w:p>
        </w:tc>
      </w:tr>
      <w:tr w:rsidR="00CE45FB" w:rsidRPr="00CE45FB" w14:paraId="562DF82E" w14:textId="77777777" w:rsidTr="00793C26">
        <w:trPr>
          <w:trHeight w:val="544"/>
          <w:jc w:val="center"/>
        </w:trPr>
        <w:tc>
          <w:tcPr>
            <w:tcW w:w="0" w:type="auto"/>
            <w:tcBorders>
              <w:top w:val="single" w:sz="4" w:space="0" w:color="auto"/>
            </w:tcBorders>
            <w:vAlign w:val="center"/>
            <w:hideMark/>
          </w:tcPr>
          <w:p w14:paraId="41B7451B" w14:textId="77777777" w:rsidR="00CE45FB" w:rsidRPr="00CE45FB" w:rsidRDefault="00CE45FB" w:rsidP="00CE45FB">
            <w:pPr>
              <w:pStyle w:val="TableCaption"/>
              <w:jc w:val="both"/>
              <w:rPr>
                <w:sz w:val="20"/>
              </w:rPr>
            </w:pPr>
            <w:r w:rsidRPr="00CE45FB">
              <w:rPr>
                <w:sz w:val="20"/>
              </w:rPr>
              <w:t>0 (Pure HDPE)</w:t>
            </w:r>
          </w:p>
        </w:tc>
        <w:tc>
          <w:tcPr>
            <w:tcW w:w="0" w:type="auto"/>
            <w:tcBorders>
              <w:top w:val="single" w:sz="4" w:space="0" w:color="auto"/>
            </w:tcBorders>
            <w:vAlign w:val="center"/>
            <w:hideMark/>
          </w:tcPr>
          <w:p w14:paraId="2EE30470" w14:textId="77777777" w:rsidR="00CE45FB" w:rsidRPr="00CE45FB" w:rsidRDefault="00CE45FB" w:rsidP="00CE45FB">
            <w:pPr>
              <w:pStyle w:val="TableCaption"/>
              <w:jc w:val="both"/>
              <w:rPr>
                <w:sz w:val="20"/>
              </w:rPr>
            </w:pPr>
            <w:r w:rsidRPr="00CE45FB">
              <w:rPr>
                <w:sz w:val="20"/>
              </w:rPr>
              <w:t>0.8</w:t>
            </w:r>
          </w:p>
        </w:tc>
      </w:tr>
      <w:tr w:rsidR="00CE45FB" w:rsidRPr="00CE45FB" w14:paraId="3437421E" w14:textId="77777777" w:rsidTr="00793C26">
        <w:trPr>
          <w:trHeight w:val="544"/>
          <w:jc w:val="center"/>
        </w:trPr>
        <w:tc>
          <w:tcPr>
            <w:tcW w:w="0" w:type="auto"/>
            <w:vAlign w:val="center"/>
            <w:hideMark/>
          </w:tcPr>
          <w:p w14:paraId="3C96DF18" w14:textId="77777777" w:rsidR="00CE45FB" w:rsidRPr="00CE45FB" w:rsidRDefault="00CE45FB" w:rsidP="00CE45FB">
            <w:pPr>
              <w:pStyle w:val="TableCaption"/>
              <w:jc w:val="both"/>
              <w:rPr>
                <w:sz w:val="20"/>
              </w:rPr>
            </w:pPr>
            <w:r w:rsidRPr="00CE45FB">
              <w:rPr>
                <w:sz w:val="20"/>
              </w:rPr>
              <w:t>5</w:t>
            </w:r>
          </w:p>
        </w:tc>
        <w:tc>
          <w:tcPr>
            <w:tcW w:w="0" w:type="auto"/>
            <w:vAlign w:val="center"/>
            <w:hideMark/>
          </w:tcPr>
          <w:p w14:paraId="02F96228" w14:textId="77777777" w:rsidR="00CE45FB" w:rsidRPr="00CE45FB" w:rsidRDefault="00CE45FB" w:rsidP="00CE45FB">
            <w:pPr>
              <w:pStyle w:val="TableCaption"/>
              <w:jc w:val="both"/>
              <w:rPr>
                <w:sz w:val="20"/>
              </w:rPr>
            </w:pPr>
            <w:r w:rsidRPr="00CE45FB">
              <w:rPr>
                <w:sz w:val="20"/>
              </w:rPr>
              <w:t>1.4</w:t>
            </w:r>
          </w:p>
        </w:tc>
      </w:tr>
      <w:tr w:rsidR="00CE45FB" w:rsidRPr="00CE45FB" w14:paraId="1C62652C" w14:textId="77777777" w:rsidTr="00793C26">
        <w:trPr>
          <w:trHeight w:val="544"/>
          <w:jc w:val="center"/>
        </w:trPr>
        <w:tc>
          <w:tcPr>
            <w:tcW w:w="0" w:type="auto"/>
            <w:vAlign w:val="center"/>
            <w:hideMark/>
          </w:tcPr>
          <w:p w14:paraId="46F04B79" w14:textId="77777777" w:rsidR="00CE45FB" w:rsidRPr="00CE45FB" w:rsidRDefault="00CE45FB" w:rsidP="00CE45FB">
            <w:pPr>
              <w:pStyle w:val="TableCaption"/>
              <w:jc w:val="both"/>
              <w:rPr>
                <w:sz w:val="20"/>
              </w:rPr>
            </w:pPr>
            <w:r w:rsidRPr="00CE45FB">
              <w:rPr>
                <w:sz w:val="20"/>
              </w:rPr>
              <w:t>10</w:t>
            </w:r>
          </w:p>
        </w:tc>
        <w:tc>
          <w:tcPr>
            <w:tcW w:w="0" w:type="auto"/>
            <w:vAlign w:val="center"/>
            <w:hideMark/>
          </w:tcPr>
          <w:p w14:paraId="0B8C31E2" w14:textId="77777777" w:rsidR="00CE45FB" w:rsidRPr="00CE45FB" w:rsidRDefault="00CE45FB" w:rsidP="00CE45FB">
            <w:pPr>
              <w:pStyle w:val="TableCaption"/>
              <w:jc w:val="both"/>
              <w:rPr>
                <w:sz w:val="20"/>
              </w:rPr>
            </w:pPr>
            <w:r w:rsidRPr="00CE45FB">
              <w:rPr>
                <w:sz w:val="20"/>
              </w:rPr>
              <w:t>2.0</w:t>
            </w:r>
          </w:p>
        </w:tc>
      </w:tr>
      <w:tr w:rsidR="00CE45FB" w:rsidRPr="00CE45FB" w14:paraId="44344656" w14:textId="77777777" w:rsidTr="00793C26">
        <w:trPr>
          <w:trHeight w:val="533"/>
          <w:jc w:val="center"/>
        </w:trPr>
        <w:tc>
          <w:tcPr>
            <w:tcW w:w="0" w:type="auto"/>
            <w:vAlign w:val="center"/>
            <w:hideMark/>
          </w:tcPr>
          <w:p w14:paraId="05D01A10" w14:textId="77777777" w:rsidR="00CE45FB" w:rsidRPr="00CE45FB" w:rsidRDefault="00CE45FB" w:rsidP="00CE45FB">
            <w:pPr>
              <w:pStyle w:val="TableCaption"/>
              <w:jc w:val="both"/>
              <w:rPr>
                <w:sz w:val="20"/>
              </w:rPr>
            </w:pPr>
            <w:r w:rsidRPr="00CE45FB">
              <w:rPr>
                <w:sz w:val="20"/>
              </w:rPr>
              <w:t>15</w:t>
            </w:r>
          </w:p>
        </w:tc>
        <w:tc>
          <w:tcPr>
            <w:tcW w:w="0" w:type="auto"/>
            <w:vAlign w:val="center"/>
            <w:hideMark/>
          </w:tcPr>
          <w:p w14:paraId="1B847975" w14:textId="77777777" w:rsidR="00CE45FB" w:rsidRPr="00CE45FB" w:rsidRDefault="00CE45FB" w:rsidP="00CE45FB">
            <w:pPr>
              <w:pStyle w:val="TableCaption"/>
              <w:jc w:val="both"/>
              <w:rPr>
                <w:sz w:val="20"/>
              </w:rPr>
            </w:pPr>
            <w:r w:rsidRPr="00CE45FB">
              <w:rPr>
                <w:b/>
                <w:bCs/>
                <w:sz w:val="20"/>
              </w:rPr>
              <w:t>2.5</w:t>
            </w:r>
          </w:p>
        </w:tc>
      </w:tr>
    </w:tbl>
    <w:p w14:paraId="247B1A00" w14:textId="77777777" w:rsidR="00CE45FB" w:rsidRPr="00CE45FB" w:rsidRDefault="00CE45FB" w:rsidP="00CE45FB">
      <w:pPr>
        <w:pStyle w:val="TableCaption"/>
        <w:rPr>
          <w:b/>
          <w:bCs/>
          <w:sz w:val="20"/>
        </w:rPr>
      </w:pPr>
      <w:r w:rsidRPr="00CE45FB">
        <w:rPr>
          <w:b/>
          <w:bCs/>
          <w:noProof/>
          <w:sz w:val="20"/>
        </w:rPr>
        <w:drawing>
          <wp:inline distT="0" distB="0" distL="0" distR="0" wp14:anchorId="72CDA1D6" wp14:editId="55C68A00">
            <wp:extent cx="5029200" cy="2124075"/>
            <wp:effectExtent l="1905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5029200" cy="2124075"/>
                    </a:xfrm>
                    <a:prstGeom prst="rect">
                      <a:avLst/>
                    </a:prstGeom>
                    <a:noFill/>
                    <a:ln w="9525">
                      <a:noFill/>
                      <a:miter lim="800000"/>
                      <a:headEnd/>
                      <a:tailEnd/>
                    </a:ln>
                  </pic:spPr>
                </pic:pic>
              </a:graphicData>
            </a:graphic>
          </wp:inline>
        </w:drawing>
      </w:r>
    </w:p>
    <w:p w14:paraId="21A133CA" w14:textId="77777777" w:rsidR="00CE45FB" w:rsidRDefault="00CE45FB" w:rsidP="00793C26">
      <w:pPr>
        <w:pStyle w:val="FigureCaption"/>
      </w:pPr>
      <w:r w:rsidRPr="00CE45FB">
        <w:t>Fig. 3 Moisture absorption</w:t>
      </w:r>
    </w:p>
    <w:p w14:paraId="54950CC7" w14:textId="77777777" w:rsidR="00D163FF" w:rsidRDefault="00D163FF" w:rsidP="00D163FF">
      <w:pPr>
        <w:pStyle w:val="Heading1"/>
      </w:pPr>
      <w:r>
        <w:lastRenderedPageBreak/>
        <w:t>Conclusion</w:t>
      </w:r>
    </w:p>
    <w:p w14:paraId="75181DB5" w14:textId="77777777" w:rsidR="00C67FC7" w:rsidRPr="00C67FC7" w:rsidRDefault="00CE45FB" w:rsidP="00CE45FB">
      <w:pPr>
        <w:pStyle w:val="Paragraph"/>
      </w:pPr>
      <w:r w:rsidRPr="00CE45FB">
        <w:t>This research presents fabrication and detailed analysis of hybrid composites composed of high-density polyethylene (HDPE) and two kinds of reinforcement: carbon and abaca fibers. Processes used were hand lay-up followed by hot compression molding. Adding 10 wt% carbon and varying loads of abaca fibers up to 10 wt% produced marked increases in tensile, yield, and flexural strength, together with improved thermal stability, thus qualifying the materials for structural tasks. Adding more than the 10 wt% abaca threshold, however, led to strength drop owing to fiber clumping and poorer fiber–resin bonding, compounded by fibre-collecting moisture as the abaca is naturally hydrophilic. The blend of carbon with abaca offers the best mix of strength and weight lightening while resisting deformation under load, leading the composites to be of high technical appeal for semi-durable structural components in the automotive, aerospace and construction fields. To assure performance in service, future efforts could adapt fiber surface modification and matrix hydrophobic coatings to lessen moisture gain, and to further fine-tune fiber–matrix bonding for durability under extended loading and thermal cycling.</w:t>
      </w:r>
    </w:p>
    <w:p w14:paraId="3938ACC7" w14:textId="77777777" w:rsidR="00613B4D" w:rsidRDefault="0016385D" w:rsidP="00045CED">
      <w:pPr>
        <w:pStyle w:val="Heading1"/>
      </w:pPr>
      <w:r w:rsidRPr="00075EA6">
        <w:rPr>
          <w:rFonts w:asciiTheme="majorBidi" w:hAnsiTheme="majorBidi" w:cstheme="majorBidi"/>
        </w:rPr>
        <w:t>References</w:t>
      </w:r>
    </w:p>
    <w:p w14:paraId="4E492A3B" w14:textId="77777777" w:rsidR="00CE45FB" w:rsidRDefault="00CE45FB" w:rsidP="00793C26">
      <w:pPr>
        <w:pStyle w:val="Reference"/>
      </w:pPr>
      <w:r>
        <w:t>Kurien, R.A., Selvaraj, D.P., Sekar, M. et al. A comprehensive review on the mechanical, physical, and thermal properties of abaca fibre for their introduction into structural polymer composites. Cellulose 30, 8643–8664 (2023). https://doi.org/10.1007/s10570-023-05441-z</w:t>
      </w:r>
    </w:p>
    <w:p w14:paraId="67E5EE66" w14:textId="77777777" w:rsidR="00CE45FB" w:rsidRDefault="00CE45FB" w:rsidP="00793C26">
      <w:pPr>
        <w:pStyle w:val="Reference"/>
      </w:pPr>
      <w:r>
        <w:t>Choudhury, M., Bindra, H. S., Mittal, J., &amp; Nayak, R. (2021). Evaluation of mechanical properties of carbon HDPE composites. Materials Today: Proceedings, 47, 6712-6718.</w:t>
      </w:r>
    </w:p>
    <w:p w14:paraId="7AF7BE81" w14:textId="77777777" w:rsidR="00CE45FB" w:rsidRDefault="00CE45FB" w:rsidP="00793C26">
      <w:pPr>
        <w:pStyle w:val="Reference"/>
      </w:pPr>
      <w:r>
        <w:t>Sinha, A. K., Bhattacharya, S., &amp; Narang, H. K. (2021). Abaca fibre reinforced polymer composites: a review. Journal of Materials Science, 56, 4569-4587.</w:t>
      </w:r>
    </w:p>
    <w:p w14:paraId="0D5459F2" w14:textId="77777777" w:rsidR="00CE45FB" w:rsidRDefault="00CE45FB" w:rsidP="00793C26">
      <w:pPr>
        <w:pStyle w:val="Reference"/>
      </w:pPr>
      <w:r>
        <w:t>Seculi, F., Espinach, F. X., Julián, F., Delgado-Aguilar, M., Mutjé, P., &amp;Tarrés, Q. (2022). Evaluation of the Strength of the Interface for Abaca Fiber Reinforced Hdpe and Biope Composite Materials, and Its Influence over Tensile Properties. Polymers, 14(24), 5412. https://doi.org/10.3390/polym14245412</w:t>
      </w:r>
    </w:p>
    <w:p w14:paraId="780B4EC9" w14:textId="77777777" w:rsidR="00CE45FB" w:rsidRDefault="00CE45FB" w:rsidP="00793C26">
      <w:pPr>
        <w:pStyle w:val="Reference"/>
      </w:pPr>
      <w:r>
        <w:t>Louvier-Hernández, J. F., García-Bustos, E., Hernández-Navarro, C., Mendoza-Leal, G., Alcaraz-Caracheo, L. A., Navarrete-Damián, J., &amp; García-Rodríguez, F. J. (2018). Tribo-mechanical behavior of HDPE/Natural fibers filler composite materials. MRS Advances, 3(63), 3775-3781.</w:t>
      </w:r>
    </w:p>
    <w:p w14:paraId="64DA65DC" w14:textId="77777777" w:rsidR="00CE45FB" w:rsidRDefault="00CE45FB" w:rsidP="00793C26">
      <w:pPr>
        <w:pStyle w:val="Reference"/>
      </w:pPr>
      <w:r>
        <w:t>Barba, B. J. D., Madrid, J. F., &amp; Penaloza Jr, D. P. (2020). A review of abaca fiber-reinforced polymer composites: Different modes of preparation and their applications. Journal of the Chilean Chemical Society, 65(3), 4919-4924.</w:t>
      </w:r>
    </w:p>
    <w:p w14:paraId="2982980B" w14:textId="77777777" w:rsidR="00CE45FB" w:rsidRDefault="00CE45FB" w:rsidP="00793C26">
      <w:pPr>
        <w:pStyle w:val="Reference"/>
      </w:pPr>
      <w:r>
        <w:t xml:space="preserve">A. </w:t>
      </w:r>
      <w:r w:rsidRPr="00CE45FB">
        <w:t>Surabi</w:t>
      </w:r>
      <w:r>
        <w:t xml:space="preserve"> et al. </w:t>
      </w:r>
      <w:r w:rsidRPr="00CE45FB">
        <w:t>(2025). Study of mechanical, barrier and tribological behaviour of jute &amp; glass fiber epoxy hybrid polymer. SAE Technical Paper Series, 1. 400 Commonwealth Drive, Warrendale, PA, United States: SAE International.</w:t>
      </w:r>
    </w:p>
    <w:p w14:paraId="120F9FC9" w14:textId="77777777" w:rsidR="00CE45FB" w:rsidRDefault="00CE45FB" w:rsidP="00793C26">
      <w:pPr>
        <w:pStyle w:val="Reference"/>
      </w:pPr>
      <w:r>
        <w:t>Mawaddah, N. A., Irmawaty, R., &amp;Ngeljaratan, L. N. (2024). Physical and Mechanical Properties of Abaca Fiber Reinforced Polymer Composites for Sustainable Structural Application. Engineering, Technology &amp; Applied Science Research, 14(6), 18955-18960.</w:t>
      </w:r>
    </w:p>
    <w:p w14:paraId="7C71A7ED" w14:textId="77777777" w:rsidR="00CE45FB" w:rsidRDefault="00CE45FB" w:rsidP="00793C26">
      <w:pPr>
        <w:pStyle w:val="Reference"/>
      </w:pPr>
      <w:r>
        <w:t>Sosiati, H., Kosasih, M., Pamasti, A., Adi, R. K., Hamdan, S., &amp; Yusuf, Y. (2023). Properties of abaca/epoxy composites modified by activated carbon particles for orthosis application. BioResources, 18(4), 7510.</w:t>
      </w:r>
    </w:p>
    <w:p w14:paraId="2F441AFF" w14:textId="77777777" w:rsidR="00CE45FB" w:rsidRDefault="00CE45FB" w:rsidP="00793C26">
      <w:pPr>
        <w:pStyle w:val="Reference"/>
      </w:pPr>
      <w:r>
        <w:t>Luo, Y., Lin, X., Lichtfouse, E., Jiang, H., &amp; Wang, C. (2023). Conversion of waste plastics into value-added carbon materials. Environmental Chemistry Letters, 21(6), 3127-3158.</w:t>
      </w:r>
    </w:p>
    <w:p w14:paraId="69E2EA90" w14:textId="77777777" w:rsidR="003B58E7" w:rsidRPr="008F2A5B" w:rsidRDefault="003B58E7" w:rsidP="00793C26">
      <w:pPr>
        <w:pStyle w:val="Reference"/>
      </w:pPr>
      <w:r w:rsidRPr="008F2A5B">
        <w:t>Chaturvedi, Abhay, S. Suhas, JL Divya Shivani, Ch Raja, Umang Soni. Enhancing IoT Network Security: A Double Decker Convolutional Neural Network with Brown-Bear Optimization for Intrusion Detection. In 2025 International Conference on Inventive Computation Technologies (ICICT), pp. 1903-1908. IEEE, 2025.</w:t>
      </w:r>
    </w:p>
    <w:p w14:paraId="414D77A5" w14:textId="77777777" w:rsidR="003B58E7" w:rsidRPr="008F2A5B" w:rsidRDefault="003B58E7" w:rsidP="00793C26">
      <w:pPr>
        <w:pStyle w:val="Reference"/>
      </w:pPr>
      <w:r w:rsidRPr="008F2A5B">
        <w:t>Murthy, HS Niranjana, Shirish Kulkarni, Syed Mohd Uzair Iqbal, and Umang Pancha. Enhancing Video Captioning: A Bayesian Normalized Attention-based Multi-Dimensional Graph Network with Moss Growth Optimization. In 2025 5th International Conference on Pervasive Computing and Social Networking (ICPCSN), pp. 1688-1694. IEEE, 2025.</w:t>
      </w:r>
    </w:p>
    <w:p w14:paraId="53F3CCE8" w14:textId="77777777" w:rsidR="003B58E7" w:rsidRPr="008A5B2A" w:rsidRDefault="003B58E7" w:rsidP="00793C26">
      <w:pPr>
        <w:pStyle w:val="Reference"/>
      </w:pPr>
      <w:r w:rsidRPr="008A5B2A">
        <w:t>Kaushal et al., (2024). Fault prediction and awareness for power distribution in grid connected res using hybrid machine learning. </w:t>
      </w:r>
      <w:r w:rsidRPr="008F2A5B">
        <w:t>Electric Power Components and Systems</w:t>
      </w:r>
      <w:r w:rsidRPr="008A5B2A">
        <w:t xml:space="preserve">, 1-22. </w:t>
      </w:r>
      <w:hyperlink r:id="rId15" w:history="1">
        <w:r w:rsidRPr="008A5B2A">
          <w:t>https://doi.org/10.1080/15325008.2024.2337217</w:t>
        </w:r>
      </w:hyperlink>
    </w:p>
    <w:p w14:paraId="4B08C390" w14:textId="77777777" w:rsidR="003B58E7" w:rsidRPr="008A5B2A" w:rsidRDefault="003B58E7" w:rsidP="00793C26">
      <w:pPr>
        <w:pStyle w:val="Reference"/>
      </w:pPr>
      <w:r w:rsidRPr="008A5B2A">
        <w:t>Natarajan, Gobu, et al. Influence of heat treated Manihot Esculenta Biosilica on friction stir welded AA 6065-Al2O3 metal matrix composite and microstructural, mechanical, and fatigue analysis. Materials Research 28 (2025): e20240473.</w:t>
      </w:r>
    </w:p>
    <w:p w14:paraId="2A4338A4" w14:textId="77777777" w:rsidR="003B58E7" w:rsidRPr="008A5B2A" w:rsidRDefault="003B58E7" w:rsidP="00793C26">
      <w:pPr>
        <w:pStyle w:val="Reference"/>
      </w:pPr>
      <w:r w:rsidRPr="008A5B2A">
        <w:lastRenderedPageBreak/>
        <w:t>Raskar, Sandeep, Gulshan Dhasmana, M. Lakshminarayana, and Harshal Patil. Enhancing Energy Efficiency in Wireless Sensor Networks using Deep Learning. In 2025 International Conference on Multi-Agent Systems for Collaborative Intelligence (ICMSCI), pp. 1515-1520. IEEE, 2025.</w:t>
      </w:r>
    </w:p>
    <w:p w14:paraId="6FE0B06F" w14:textId="77777777" w:rsidR="003B58E7" w:rsidRPr="008A5B2A" w:rsidRDefault="003B58E7" w:rsidP="00793C26">
      <w:pPr>
        <w:pStyle w:val="Reference"/>
      </w:pPr>
      <w:r w:rsidRPr="008A5B2A">
        <w:t xml:space="preserve">Kamal, M. R., Manivannan, K. K., &amp; Sunil, G. (2024, January). Machine Learning and Data Mining Approaches for Infectious Disease Surveillance and Outbreak Management in Healthcare. In 2024 International Conference on Advancements in Smart, Secure and Intelligent Computing (ASSIC) (pp. 1-7). IEEE. </w:t>
      </w:r>
      <w:hyperlink r:id="rId16" w:history="1">
        <w:r w:rsidRPr="008A5B2A">
          <w:t>https://doi.org/10.1109/ASSIC60049.2024.10507990</w:t>
        </w:r>
      </w:hyperlink>
    </w:p>
    <w:p w14:paraId="19DD8FC2" w14:textId="77777777" w:rsidR="003B58E7" w:rsidRPr="008A5B2A" w:rsidRDefault="003B58E7" w:rsidP="00793C26">
      <w:pPr>
        <w:pStyle w:val="Reference"/>
      </w:pPr>
      <w:r w:rsidRPr="008A5B2A">
        <w:t xml:space="preserve">Sreethar et al., (2024). Implementation of cross layer design with localization techniques in wireless sensor networks using deep learning. In 2024 International Conference on Expert Clouds and Applications (ICOECA) (pp. 607-613). IEEE. </w:t>
      </w:r>
      <w:hyperlink r:id="rId17" w:history="1">
        <w:r w:rsidRPr="008A5B2A">
          <w:t>https://doi.org/10.1109/ICOECA62351.2024.00111</w:t>
        </w:r>
      </w:hyperlink>
    </w:p>
    <w:p w14:paraId="63E0BBA6" w14:textId="77777777" w:rsidR="003B58E7" w:rsidRPr="008A5B2A" w:rsidRDefault="003B58E7" w:rsidP="00793C26">
      <w:pPr>
        <w:pStyle w:val="Reference"/>
      </w:pPr>
      <w:r w:rsidRPr="008A5B2A">
        <w:t>Senthilkumar et al., (2024). Maximizing Power Utilization through Machine Learning and IoT based Power Flow Strategies in DC Micro Grids with Renewable Energy Resources. In 2024 International Conference on Inventive Computation Technologies (ICICT) (pp. 1166-1171). IEEE.  https://doi.org/10.1109/ICICT60155.2024.10544791</w:t>
      </w:r>
    </w:p>
    <w:p w14:paraId="3F8BB5A8" w14:textId="77777777" w:rsidR="003B58E7" w:rsidRPr="008A5B2A" w:rsidRDefault="003B58E7" w:rsidP="00793C26">
      <w:pPr>
        <w:pStyle w:val="Reference"/>
      </w:pPr>
      <w:r w:rsidRPr="008A5B2A">
        <w:t xml:space="preserve">Kaushal et al,. (2024). Navigating Independence: The Smart Walking Stick for the Visually Impaired. In 2024 5th International Conference on Mobile Computing and Sustainable Informatics (ICMCSI) (pp. 103-108). IEEE. https://doi.org/10.1109/ICMCSI61536.2024.00022 </w:t>
      </w:r>
    </w:p>
    <w:p w14:paraId="6DC4CC83" w14:textId="77777777" w:rsidR="003B58E7" w:rsidRPr="008A5B2A" w:rsidRDefault="003B58E7" w:rsidP="00793C26">
      <w:pPr>
        <w:pStyle w:val="Reference"/>
      </w:pPr>
      <w:r w:rsidRPr="008A5B2A">
        <w:t xml:space="preserve">Tuluwengjiang et al., (2024). Dendritic cell-derived exosomes (Dex): Underlying the role of exosomes derived from diverse DC subtypes in cancer pathogenesis. Pathology-Research and Practice, 254, 155097. </w:t>
      </w:r>
      <w:hyperlink r:id="rId18" w:tgtFrame="_blank" w:tooltip="Persistent link using digital object identifier" w:history="1">
        <w:r w:rsidRPr="008A5B2A">
          <w:t>https://doi.org/10.1016/j.prp.2024.155097</w:t>
        </w:r>
      </w:hyperlink>
    </w:p>
    <w:p w14:paraId="31E6BFAB" w14:textId="77777777" w:rsidR="003B58E7" w:rsidRPr="008A5B2A" w:rsidRDefault="003B58E7" w:rsidP="00793C26">
      <w:pPr>
        <w:pStyle w:val="Reference"/>
      </w:pPr>
      <w:r w:rsidRPr="008A5B2A">
        <w:t>Kaliappan et al., (2024). Thermal and Mechanical Properties of Abutilon indicum Fiber-Based Polyester Composites under Alkali Treatment for Automotive Sector (No. 2024-01-5031). SAE Technical Paper.</w:t>
      </w:r>
      <w:hyperlink r:id="rId19" w:history="1">
        <w:r w:rsidRPr="008A5B2A">
          <w:t> https://doi.org/10.4271/2024-01-5031</w:t>
        </w:r>
      </w:hyperlink>
    </w:p>
    <w:p w14:paraId="7C53C32E" w14:textId="77777777" w:rsidR="003B58E7" w:rsidRPr="008A5B2A" w:rsidRDefault="003B58E7" w:rsidP="00793C26">
      <w:pPr>
        <w:pStyle w:val="Reference"/>
      </w:pPr>
      <w:r w:rsidRPr="008A5B2A">
        <w:t xml:space="preserve">Parashar et al., (2024). Time series analysis and random forest techniques for prediction of sales for retail grocery. In 2024 IEEE International Conference on Computing, Power and Communication Technologies (IC2PCT) (Vol. 5, pp. 531-535). IEEE. </w:t>
      </w:r>
      <w:hyperlink r:id="rId20" w:history="1">
        <w:r w:rsidRPr="008A5B2A">
          <w:t>https://doi.org/10.1109/IC2PCT60090.2024.10486802</w:t>
        </w:r>
      </w:hyperlink>
    </w:p>
    <w:p w14:paraId="3473C787" w14:textId="77777777" w:rsidR="003B58E7" w:rsidRPr="008A5B2A" w:rsidRDefault="003B58E7" w:rsidP="00793C26">
      <w:pPr>
        <w:pStyle w:val="Reference"/>
      </w:pPr>
      <w:r w:rsidRPr="008A5B2A">
        <w:t xml:space="preserve">Rajendran et al., (2024). Development of Intelligent Power Quality Management in Renewable Energy System in Smart Grid using Deep Learning. In 2024 International Conference on Inventive Computation Technologies (ICICT) (pp. 1178-1182). IEEE.  </w:t>
      </w:r>
      <w:hyperlink r:id="rId21" w:history="1">
        <w:r w:rsidRPr="008A5B2A">
          <w:t>https://doi.org/10.1109/ICICT60155.2024.10544835</w:t>
        </w:r>
      </w:hyperlink>
    </w:p>
    <w:p w14:paraId="58BA5DC8" w14:textId="77777777" w:rsidR="003B58E7" w:rsidRPr="008F2A5B" w:rsidRDefault="003B58E7" w:rsidP="00793C26">
      <w:pPr>
        <w:pStyle w:val="Reference"/>
      </w:pPr>
      <w:r w:rsidRPr="008A5B2A">
        <w:t>Kumar et al., (2024). Optimized forecasting approach for scheduling wind generation plants and maximizing renewable energy utilization. </w:t>
      </w:r>
      <w:r w:rsidRPr="008F2A5B">
        <w:t>Electric Power Components and Systems</w:t>
      </w:r>
      <w:r w:rsidRPr="008A5B2A">
        <w:t xml:space="preserve">, 1-17. </w:t>
      </w:r>
      <w:hyperlink r:id="rId22" w:history="1">
        <w:r w:rsidRPr="008A5B2A">
          <w:t>https://doi.org/10.1080/15325008.2024.2337218</w:t>
        </w:r>
      </w:hyperlink>
    </w:p>
    <w:p w14:paraId="00ACB666" w14:textId="77777777" w:rsidR="003B58E7" w:rsidRPr="008A5B2A" w:rsidRDefault="003B58E7" w:rsidP="00793C26">
      <w:pPr>
        <w:pStyle w:val="Reference"/>
      </w:pPr>
      <w:r w:rsidRPr="008A5B2A">
        <w:t xml:space="preserve">Chhaparwal et al., (2024). Numerical and experimental investigation of a solar air heater duct with circular detached ribs to improve its efficiency. Case Studies in Thermal Engineering, 60, 104780. </w:t>
      </w:r>
      <w:hyperlink r:id="rId23" w:tgtFrame="_blank" w:tooltip="Persistent link using digital object identifier" w:history="1">
        <w:r w:rsidRPr="008A5B2A">
          <w:t>https://doi.org/10.1016/j.csite.2024.104780</w:t>
        </w:r>
      </w:hyperlink>
    </w:p>
    <w:p w14:paraId="7CDE1A61" w14:textId="77777777" w:rsidR="003B58E7" w:rsidRPr="008A5B2A" w:rsidRDefault="003B58E7" w:rsidP="00793C26">
      <w:pPr>
        <w:pStyle w:val="Reference"/>
      </w:pPr>
      <w:r w:rsidRPr="008A5B2A">
        <w:t>Anita et al., (2024). Energy Trading and Optimum Scheduling for Microgrids Using Multiple Agents Based DL Approach. Electric Power Components and Systems, 1-19.  </w:t>
      </w:r>
      <w:hyperlink r:id="rId24" w:history="1">
        <w:r w:rsidRPr="008A5B2A">
          <w:t>https://doi.org/10.1080/15325008.2023.2300329</w:t>
        </w:r>
      </w:hyperlink>
    </w:p>
    <w:p w14:paraId="6FA6E556" w14:textId="77777777" w:rsidR="003B58E7" w:rsidRPr="008A5B2A" w:rsidRDefault="003B58E7" w:rsidP="00793C26">
      <w:pPr>
        <w:pStyle w:val="Reference"/>
      </w:pPr>
      <w:r w:rsidRPr="008A5B2A">
        <w:t>Kaliappan S et al.,  (2024). Impact of Kenaf Fiber and Inorganic Nanofillers on Mechanical Properties of Epoxy-Based Nanocomposites for Sustainable Automotive Applications (No. 2023-01-5115). SAE Technical Paper.</w:t>
      </w:r>
      <w:hyperlink r:id="rId25" w:history="1">
        <w:r w:rsidRPr="008A5B2A">
          <w:t> https://doi.org/10.4271/2023-01-5115</w:t>
        </w:r>
      </w:hyperlink>
    </w:p>
    <w:p w14:paraId="70B90169" w14:textId="77777777" w:rsidR="003B58E7" w:rsidRPr="008A5B2A" w:rsidRDefault="003B58E7" w:rsidP="00793C26">
      <w:pPr>
        <w:pStyle w:val="Reference"/>
      </w:pPr>
      <w:r w:rsidRPr="008A5B2A">
        <w:t xml:space="preserve">Masannan et al., (2024). Experimental investigation on the drilling characteristics of kenaf/PLA-based laminates. Engineering Proceedings, 61(1), 9. </w:t>
      </w:r>
      <w:hyperlink r:id="rId26" w:history="1">
        <w:r w:rsidRPr="008A5B2A">
          <w:t>https://doi.org/10.3390/engproc2024061009</w:t>
        </w:r>
      </w:hyperlink>
    </w:p>
    <w:p w14:paraId="04780C03" w14:textId="77777777" w:rsidR="003B58E7" w:rsidRPr="008A5B2A" w:rsidRDefault="003B58E7" w:rsidP="00793C26">
      <w:pPr>
        <w:pStyle w:val="Reference"/>
      </w:pPr>
      <w:r w:rsidRPr="008A5B2A">
        <w:t xml:space="preserve">Yuvaraj, K. P., Reddy, V. K., &amp; Ali, H. M. (2024). Evaluating the Wear and Mechanical Properties of Cotton Fabrics for Women’s Summer Clothing. Engineering Proceedings, 61(1), 15. </w:t>
      </w:r>
      <w:hyperlink r:id="rId27" w:history="1">
        <w:r w:rsidRPr="008A5B2A">
          <w:t>https://doi.org/10.3390/engproc2024061015</w:t>
        </w:r>
      </w:hyperlink>
    </w:p>
    <w:p w14:paraId="0C71941A" w14:textId="77777777" w:rsidR="003B58E7" w:rsidRPr="008A5B2A" w:rsidRDefault="003B58E7" w:rsidP="00793C26">
      <w:pPr>
        <w:pStyle w:val="Reference"/>
      </w:pPr>
      <w:r w:rsidRPr="008A5B2A">
        <w:t xml:space="preserve">Niveditha, V. R., Nadh, V. S., Srinivas, C., Dhanraj, J. A., &amp; Saravanan, A. (2024). Application of response surface and artificial neural network optimization approaches for exploring methylene blue adsorption using luffa fiber treated with sodium chlorite. Journal of Water Process Engineering, 58, 104778. </w:t>
      </w:r>
      <w:hyperlink r:id="rId28" w:tgtFrame="_blank" w:tooltip="Persistent link using digital object identifier" w:history="1">
        <w:r w:rsidRPr="008A5B2A">
          <w:t>https://doi.org/10.1016/j.jwpe.2024.104778</w:t>
        </w:r>
      </w:hyperlink>
    </w:p>
    <w:p w14:paraId="7C4B6815" w14:textId="77777777" w:rsidR="008A5B2A" w:rsidRPr="008A5B2A" w:rsidRDefault="008A5B2A" w:rsidP="00793C26">
      <w:pPr>
        <w:pStyle w:val="Reference"/>
      </w:pPr>
      <w:r w:rsidRPr="008A5B2A">
        <w:t xml:space="preserve">S. Ravi et al. Processing and SiC content on functional behaviour of aluminium alloy composite. J Mech Sci Technol (2025). </w:t>
      </w:r>
      <w:hyperlink r:id="rId29" w:history="1">
        <w:r w:rsidRPr="008A5B2A">
          <w:t>https://doi.org/10.1007/s12206-025-0723-2</w:t>
        </w:r>
      </w:hyperlink>
    </w:p>
    <w:p w14:paraId="73E4E822" w14:textId="77777777" w:rsidR="008A5B2A" w:rsidRPr="008A5B2A" w:rsidRDefault="008A5B2A" w:rsidP="00793C26">
      <w:pPr>
        <w:pStyle w:val="Reference"/>
      </w:pPr>
      <w:r w:rsidRPr="008A5B2A">
        <w:t xml:space="preserve">M. A. Babu et al. Effect of Surfactants and Hybrid Filler on Microstructural and Mechanical Properties of Al7075/TiC/Graphene Alloy Composite via Additive Manufacturing. J. of Materi Eng and Perform (2025). </w:t>
      </w:r>
      <w:hyperlink r:id="rId30" w:history="1">
        <w:r w:rsidRPr="008A5B2A">
          <w:t>https://doi.org/10.1007/s11665-025-11873-4</w:t>
        </w:r>
      </w:hyperlink>
    </w:p>
    <w:p w14:paraId="2FAA5FF5" w14:textId="77777777" w:rsidR="008A5B2A" w:rsidRPr="008A5B2A" w:rsidRDefault="008A5B2A" w:rsidP="00793C26">
      <w:pPr>
        <w:pStyle w:val="Reference"/>
      </w:pPr>
      <w:r w:rsidRPr="008A5B2A">
        <w:lastRenderedPageBreak/>
        <w:t xml:space="preserve">A. Sharma et al. Semisolid stir casting and effect of hybrid fillers on functional properties of aluminium alloy composites. J Mech Sci Technol (2025). </w:t>
      </w:r>
      <w:hyperlink r:id="rId31" w:history="1">
        <w:r w:rsidRPr="008A5B2A">
          <w:t>https://doi.org/10.1007/s12206-025-0620-8</w:t>
        </w:r>
      </w:hyperlink>
    </w:p>
    <w:p w14:paraId="362FFA5E" w14:textId="77777777" w:rsidR="008A5B2A" w:rsidRPr="008A5B2A" w:rsidRDefault="008A5B2A" w:rsidP="00793C26">
      <w:pPr>
        <w:pStyle w:val="Reference"/>
      </w:pPr>
      <w:r w:rsidRPr="008A5B2A">
        <w:t xml:space="preserve">V. Mohanavel et al. Exploration of photovoltaic thermal collector performance enhancement by the accumulations of hybrid nanofluid and phase change material. J Therm Anal Calorim (2025). </w:t>
      </w:r>
      <w:hyperlink r:id="rId32" w:history="1">
        <w:r w:rsidRPr="008A5B2A">
          <w:t>https://doi.org/10.1007/s10973-025-14427-x</w:t>
        </w:r>
      </w:hyperlink>
    </w:p>
    <w:p w14:paraId="69A4C31C" w14:textId="77777777" w:rsidR="008A5B2A" w:rsidRPr="008A5B2A" w:rsidRDefault="008A5B2A" w:rsidP="00793C26">
      <w:pPr>
        <w:pStyle w:val="Reference"/>
      </w:pPr>
      <w:r w:rsidRPr="008A5B2A">
        <w:t xml:space="preserve">N. Basavegowda et al. Influence of Silver Nanowire Concentration on Electrical and Optical Properties of Polyaniline for Transparent Conductive Sensors. J. Electron. Mater. (2025). </w:t>
      </w:r>
      <w:hyperlink r:id="rId33" w:history="1">
        <w:r w:rsidRPr="008A5B2A">
          <w:t>https://doi.org/10.1007/s11664-025-12174-1</w:t>
        </w:r>
      </w:hyperlink>
    </w:p>
    <w:p w14:paraId="70DDF6A4" w14:textId="77777777" w:rsidR="008A5B2A" w:rsidRPr="008A5B2A" w:rsidRDefault="008A5B2A" w:rsidP="00793C26">
      <w:pPr>
        <w:pStyle w:val="Reference"/>
      </w:pPr>
      <w:r w:rsidRPr="008A5B2A">
        <w:t xml:space="preserve">V. Rathinavelu et al. Optimal performance of poly-hybrid nanocomposites promoted with carbon fibers and nano silicon carbide particles via compression associated with hot pressing: characterization study. International Polymer Processing, 2025. </w:t>
      </w:r>
      <w:hyperlink r:id="rId34" w:history="1">
        <w:r w:rsidRPr="008A5B2A">
          <w:t>https://doi.org/10.1515/ipp-2024-0152</w:t>
        </w:r>
      </w:hyperlink>
    </w:p>
    <w:p w14:paraId="0E4BD9E2" w14:textId="77777777" w:rsidR="008A5B2A" w:rsidRPr="008A5B2A" w:rsidRDefault="008A5B2A" w:rsidP="00793C26">
      <w:pPr>
        <w:pStyle w:val="Reference"/>
      </w:pPr>
      <w:r w:rsidRPr="008A5B2A">
        <w:t xml:space="preserve">V. V. Upadhyay et al. Hexachloroethane fluxing mechanism and actions of hybrid fillers on functional behaviour of AZ31B alloy composites. J Mech Sci Technol (2025). </w:t>
      </w:r>
      <w:hyperlink r:id="rId35" w:history="1">
        <w:r w:rsidRPr="008A5B2A">
          <w:t>https://doi.org/10.1007/s12206-025-0622-6</w:t>
        </w:r>
      </w:hyperlink>
    </w:p>
    <w:p w14:paraId="0EF26096" w14:textId="77777777" w:rsidR="008A5B2A" w:rsidRPr="008A5B2A" w:rsidRDefault="008A5B2A" w:rsidP="00793C26">
      <w:pPr>
        <w:pStyle w:val="Reference"/>
      </w:pPr>
      <w:r w:rsidRPr="008A5B2A">
        <w:t xml:space="preserve">M.E.M. Soudagar et al. Exploration and thermal characteristics analysis of hybrid TiO2/SiO2 nanofluids passing through heavy-duty automotive radiators for intensive cooling system. J Therm Anal Calorim (2025). </w:t>
      </w:r>
      <w:hyperlink r:id="rId36" w:history="1">
        <w:r w:rsidRPr="008A5B2A">
          <w:t>https://doi.org/10.1007/s10973-025-14305-6</w:t>
        </w:r>
      </w:hyperlink>
    </w:p>
    <w:p w14:paraId="037017CA" w14:textId="77777777" w:rsidR="008A5B2A" w:rsidRPr="008A5B2A" w:rsidRDefault="008A5B2A" w:rsidP="00793C26">
      <w:pPr>
        <w:pStyle w:val="Reference"/>
      </w:pPr>
      <w:r w:rsidRPr="008A5B2A">
        <w:t xml:space="preserve">A. Sharma et al. Featuring of Formamidinium lead halide and enrichment of optoelectronic behaviour of SnO2/FAPbI3/NiOx with PCBM layer. J Mater Sci: Mater Electron 36, 1124 (2025). </w:t>
      </w:r>
      <w:hyperlink r:id="rId37" w:history="1">
        <w:r w:rsidRPr="008A5B2A">
          <w:t>https://doi.org/10.1007/s10854-025-15203-1</w:t>
        </w:r>
      </w:hyperlink>
    </w:p>
    <w:p w14:paraId="7E4D43D2" w14:textId="77777777" w:rsidR="008A5B2A" w:rsidRPr="008A5B2A" w:rsidRDefault="008A5B2A" w:rsidP="00793C26">
      <w:pPr>
        <w:pStyle w:val="Reference"/>
      </w:pPr>
      <w:r w:rsidRPr="008A5B2A">
        <w:t xml:space="preserve">K. K. Ilavenil et al. Enrichment of monolithic aluminium alloy characteristics by nano ceramic: Solid state process. J Mech Sci Technol (2025). </w:t>
      </w:r>
      <w:hyperlink r:id="rId38" w:history="1">
        <w:r w:rsidRPr="008A5B2A">
          <w:t>https://doi.org/10.1007/s12206-025-0513-x</w:t>
        </w:r>
      </w:hyperlink>
    </w:p>
    <w:p w14:paraId="752FCC44" w14:textId="77777777" w:rsidR="008A5B2A" w:rsidRPr="008A5B2A" w:rsidRDefault="008A5B2A" w:rsidP="00793C26">
      <w:pPr>
        <w:pStyle w:val="Reference"/>
      </w:pPr>
      <w:r w:rsidRPr="008A5B2A">
        <w:t xml:space="preserve">Venkatesh, R., Chaturvedi, R., Umamaheswari, D. et al. Featuring of Fiber-Ceramic Combination on Behavior Studies of High Density Polyethylene Composite: Hot Compression Mould. Mech Compos Mater (2025). </w:t>
      </w:r>
      <w:hyperlink r:id="rId39" w:history="1">
        <w:r w:rsidRPr="008A5B2A">
          <w:t>https://doi.org/10.1007/s11029-025-10305-7</w:t>
        </w:r>
      </w:hyperlink>
    </w:p>
    <w:p w14:paraId="45BC4C02" w14:textId="77777777" w:rsidR="008A5B2A" w:rsidRPr="008A5B2A" w:rsidRDefault="008A5B2A" w:rsidP="00793C26">
      <w:pPr>
        <w:pStyle w:val="Reference"/>
      </w:pPr>
      <w:r w:rsidRPr="008A5B2A">
        <w:t xml:space="preserve">R. Venkatasubramanian et al. Thermal characteristics and dryer performance analysis of double pass solar collector powered by copper and iron oxide. J. Thermal Sci. Eng. Appl. (2025) 1-20.  https://doi.org/10.1115/1.4067258 </w:t>
      </w:r>
    </w:p>
    <w:p w14:paraId="63BCB394" w14:textId="77777777" w:rsidR="008A5B2A" w:rsidRPr="008A5B2A" w:rsidRDefault="008A5B2A" w:rsidP="00793C26">
      <w:pPr>
        <w:pStyle w:val="Reference"/>
      </w:pPr>
      <w:r w:rsidRPr="008A5B2A">
        <w:t xml:space="preserve">R. Venkatesh Fabrication and Functional Behavior Studies of Polypropylene Composite Containing Hybrid Reinforcements, SAE Int. J. Mater. Manf. 18(2), 2025, </w:t>
      </w:r>
      <w:hyperlink r:id="rId40" w:history="1">
        <w:r w:rsidRPr="008A5B2A">
          <w:t>https://doi.org/10.4271/05-18-02-0015</w:t>
        </w:r>
      </w:hyperlink>
      <w:r w:rsidRPr="008A5B2A">
        <w:t>.</w:t>
      </w:r>
    </w:p>
    <w:p w14:paraId="59422036" w14:textId="77777777" w:rsidR="008A5B2A" w:rsidRPr="008A5B2A" w:rsidRDefault="008A5B2A" w:rsidP="00793C26">
      <w:pPr>
        <w:pStyle w:val="Reference"/>
      </w:pPr>
      <w:r w:rsidRPr="008A5B2A">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41" w:history="1">
        <w:r w:rsidRPr="008A5B2A">
          <w:t>http://dx.doi.org/10.29228/ijastech..1528281</w:t>
        </w:r>
      </w:hyperlink>
    </w:p>
    <w:p w14:paraId="58DAA396" w14:textId="77777777" w:rsidR="008A5B2A" w:rsidRPr="008A5B2A" w:rsidRDefault="008A5B2A" w:rsidP="00793C26">
      <w:pPr>
        <w:pStyle w:val="Reference"/>
      </w:pPr>
      <w:r w:rsidRPr="008A5B2A">
        <w:t xml:space="preserve">R.P. Singh et al. Influence of a Copper Layer on the Functional Behaviour of a Cadmium Telluride Solar Cell Processed via Thermal Evaporation. J. Electron. Mater. (2024). </w:t>
      </w:r>
      <w:hyperlink r:id="rId42" w:history="1">
        <w:r w:rsidRPr="008A5B2A">
          <w:t>https://doi.org/10.1007/s11664-024-11669-7</w:t>
        </w:r>
      </w:hyperlink>
    </w:p>
    <w:p w14:paraId="56C2A7E1" w14:textId="77777777" w:rsidR="008A5B2A" w:rsidRPr="008A5B2A" w:rsidRDefault="008A5B2A" w:rsidP="00793C26">
      <w:pPr>
        <w:pStyle w:val="Reference"/>
      </w:pPr>
      <w:r w:rsidRPr="008A5B2A">
        <w:t xml:space="preserve">S. Prabagaran et al. Texturing of silicon nitride passivation layers on functional behaviour study of polycrystalline silicon (p-Si) made with plasma enhanced chemical vapour deposition. J Mater Sci: Mater Electron 36, 73 (2025). </w:t>
      </w:r>
      <w:hyperlink r:id="rId43" w:history="1">
        <w:r w:rsidRPr="008A5B2A">
          <w:t>https://doi.org/10.1007/s10854-024-14135-6</w:t>
        </w:r>
      </w:hyperlink>
    </w:p>
    <w:p w14:paraId="04AF3C48" w14:textId="77777777" w:rsidR="008A5B2A" w:rsidRPr="008A5B2A" w:rsidRDefault="008A5B2A" w:rsidP="00793C26">
      <w:pPr>
        <w:pStyle w:val="Reference"/>
      </w:pPr>
      <w:r w:rsidRPr="008A5B2A">
        <w:t xml:space="preserve">Singh et al. Natural fiber-ceramic filler configured polypropylene hybrid composite made via hot compression technique: Characteristics evaluation. J Mech Sci Technol. 39(1), 2025. </w:t>
      </w:r>
      <w:hyperlink r:id="rId44" w:history="1">
        <w:r w:rsidRPr="008A5B2A">
          <w:t>https://doi.org/10.1007/s12206-024-1216-4</w:t>
        </w:r>
      </w:hyperlink>
    </w:p>
    <w:p w14:paraId="51A84BF4" w14:textId="77777777" w:rsidR="008A5B2A" w:rsidRPr="008A5B2A" w:rsidRDefault="008A5B2A" w:rsidP="00793C26">
      <w:pPr>
        <w:pStyle w:val="Reference"/>
      </w:pPr>
      <w:r w:rsidRPr="008A5B2A">
        <w:t xml:space="preserve">K.  Logesh et al. Injection mould processing and characteristics measures of hybrid epoxy composites with jute fiber/boron nitride. J Mech Sci Technol. 39(1), 2025. </w:t>
      </w:r>
      <w:hyperlink r:id="rId45" w:history="1">
        <w:r w:rsidRPr="008A5B2A">
          <w:t>https://doi.org/10.1007/s12206-024-1219-1</w:t>
        </w:r>
      </w:hyperlink>
    </w:p>
    <w:p w14:paraId="4076B984" w14:textId="77777777" w:rsidR="008A5B2A" w:rsidRPr="008A5B2A" w:rsidRDefault="008A5B2A" w:rsidP="00793C26">
      <w:pPr>
        <w:pStyle w:val="Reference"/>
      </w:pPr>
      <w:r w:rsidRPr="008A5B2A">
        <w:t xml:space="preserve">G. Deepana et al. (2025). Synthesis and machining characteristics study of agro-waste coconut shell powder incorporated aluminium alloy composite via the squeeze cast technique. International Journal of Cast Metals Research, 1–11. </w:t>
      </w:r>
      <w:hyperlink r:id="rId46" w:history="1">
        <w:r w:rsidRPr="008A5B2A">
          <w:t>https://doi.org/10.1080/13640461.2024.2447101</w:t>
        </w:r>
      </w:hyperlink>
    </w:p>
    <w:p w14:paraId="25B7C9AE" w14:textId="77777777" w:rsidR="008A5B2A" w:rsidRDefault="008A5B2A" w:rsidP="00793C26">
      <w:pPr>
        <w:pStyle w:val="Reference"/>
      </w:pPr>
      <w:r w:rsidRPr="008A5B2A">
        <w:t>V. Mohanavel et al. Investigation of Al/Mg composite behaviour by the adaptation of SiC and Al2O3 nanoparticle via electromagnetic stir cast route. Materials Science and Technology. 2025;0(0). doi:10.1177/02670836241306686</w:t>
      </w:r>
    </w:p>
    <w:p w14:paraId="16C0F20E" w14:textId="77777777" w:rsidR="00E86BF2" w:rsidRPr="008A5B2A" w:rsidRDefault="00E86BF2" w:rsidP="00793C26">
      <w:pPr>
        <w:pStyle w:val="Reference"/>
      </w:pPr>
      <w:r w:rsidRPr="001074B8">
        <w:t>Venkatesh, R., Aravindan, N., Manivannan, S., Karthikeyan, S., Mohanavel, V., Soudagar, M. E. M., &amp; Karthikeyan, N. (2024). Study of natural fiber incorporated polypropylene composite laminate for lightweight applications (SAE Technical Paper).</w:t>
      </w:r>
    </w:p>
    <w:p w14:paraId="0312AE66" w14:textId="77777777" w:rsidR="00CE45FB" w:rsidRDefault="00CE45FB" w:rsidP="00CE45FB">
      <w:pPr>
        <w:pStyle w:val="Paragraph"/>
      </w:pPr>
    </w:p>
    <w:sectPr w:rsidR="00CE45FB" w:rsidSect="00793C26">
      <w:headerReference w:type="even" r:id="rId47"/>
      <w:headerReference w:type="default" r:id="rId48"/>
      <w:footerReference w:type="even" r:id="rId49"/>
      <w:footerReference w:type="default" r:id="rId50"/>
      <w:headerReference w:type="first" r:id="rId51"/>
      <w:footerReference w:type="first" r:id="rId52"/>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5C790" w14:textId="77777777" w:rsidR="00255E52" w:rsidRDefault="00255E52">
      <w:r>
        <w:separator/>
      </w:r>
    </w:p>
  </w:endnote>
  <w:endnote w:type="continuationSeparator" w:id="0">
    <w:p w14:paraId="690D9121" w14:textId="77777777" w:rsidR="00255E52" w:rsidRDefault="00255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D5988" w14:textId="77777777" w:rsidR="00E459F3" w:rsidRDefault="00E459F3">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4D8F8" w14:textId="77777777" w:rsidR="00E459F3" w:rsidRDefault="00E459F3">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E241E" w14:textId="77777777" w:rsidR="00E459F3" w:rsidRDefault="00E459F3">
    <w:pPr>
      <w:pBdr>
        <w:top w:val="nil"/>
        <w:left w:val="nil"/>
        <w:bottom w:val="nil"/>
        <w:right w:val="nil"/>
        <w:between w:val="nil"/>
      </w:pBdr>
      <w:tabs>
        <w:tab w:val="center" w:pos="4680"/>
        <w:tab w:val="right" w:pos="9360"/>
        <w:tab w:val="right" w:pos="10065"/>
      </w:tabs>
      <w:rPr>
        <w:color w:val="222222"/>
        <w:sz w:val="16"/>
        <w:szCs w:val="16"/>
        <w:highlight w:val="white"/>
      </w:rPr>
    </w:pPr>
  </w:p>
  <w:p w14:paraId="227C6087" w14:textId="77777777" w:rsidR="00E459F3" w:rsidRDefault="00E459F3">
    <w:pPr>
      <w:pBdr>
        <w:top w:val="nil"/>
        <w:left w:val="nil"/>
        <w:bottom w:val="nil"/>
        <w:right w:val="nil"/>
        <w:between w:val="nil"/>
      </w:pBdr>
      <w:tabs>
        <w:tab w:val="center" w:pos="4680"/>
        <w:tab w:val="right" w:pos="9360"/>
        <w:tab w:val="right" w:pos="10065"/>
      </w:tabs>
      <w:rPr>
        <w:color w:val="000000"/>
        <w:sz w:val="16"/>
        <w:szCs w:val="16"/>
      </w:rPr>
    </w:pPr>
    <w:r>
      <w:rPr>
        <w:color w:val="222222"/>
        <w:sz w:val="16"/>
        <w:szCs w:val="16"/>
        <w:highlight w:val="whit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1CF67" w14:textId="77777777" w:rsidR="00255E52" w:rsidRDefault="00255E52">
      <w:r>
        <w:separator/>
      </w:r>
    </w:p>
  </w:footnote>
  <w:footnote w:type="continuationSeparator" w:id="0">
    <w:p w14:paraId="76B0B855" w14:textId="77777777" w:rsidR="00255E52" w:rsidRDefault="00255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27C3D" w14:textId="77777777" w:rsidR="00E459F3" w:rsidRDefault="00E459F3">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741F4" w14:textId="77777777" w:rsidR="00E459F3" w:rsidRDefault="00E459F3">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5389C" w14:textId="77777777" w:rsidR="00E459F3" w:rsidRDefault="00E459F3">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05338848">
    <w:abstractNumId w:val="4"/>
  </w:num>
  <w:num w:numId="2" w16cid:durableId="520365735">
    <w:abstractNumId w:val="2"/>
  </w:num>
  <w:num w:numId="3" w16cid:durableId="983587863">
    <w:abstractNumId w:val="5"/>
  </w:num>
  <w:num w:numId="4" w16cid:durableId="2037458721">
    <w:abstractNumId w:val="3"/>
  </w:num>
  <w:num w:numId="5" w16cid:durableId="51315014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14B14"/>
    <w:rsid w:val="00003D7C"/>
    <w:rsid w:val="00014140"/>
    <w:rsid w:val="00027428"/>
    <w:rsid w:val="00031EC9"/>
    <w:rsid w:val="00032646"/>
    <w:rsid w:val="00045CED"/>
    <w:rsid w:val="00047BD3"/>
    <w:rsid w:val="00054A65"/>
    <w:rsid w:val="00057AEC"/>
    <w:rsid w:val="00066FED"/>
    <w:rsid w:val="00075EA6"/>
    <w:rsid w:val="0007709F"/>
    <w:rsid w:val="00084D33"/>
    <w:rsid w:val="0008553C"/>
    <w:rsid w:val="00086F62"/>
    <w:rsid w:val="00090674"/>
    <w:rsid w:val="0009320B"/>
    <w:rsid w:val="00096AE0"/>
    <w:rsid w:val="000B1B74"/>
    <w:rsid w:val="000B3A2D"/>
    <w:rsid w:val="000B49C0"/>
    <w:rsid w:val="000C1645"/>
    <w:rsid w:val="000E382F"/>
    <w:rsid w:val="000E75CD"/>
    <w:rsid w:val="000F3FD2"/>
    <w:rsid w:val="000F418F"/>
    <w:rsid w:val="000F77D3"/>
    <w:rsid w:val="001036BA"/>
    <w:rsid w:val="00107CDD"/>
    <w:rsid w:val="001146DC"/>
    <w:rsid w:val="00114AB1"/>
    <w:rsid w:val="001230FF"/>
    <w:rsid w:val="00130BD7"/>
    <w:rsid w:val="00145EE5"/>
    <w:rsid w:val="00155B67"/>
    <w:rsid w:val="001562AF"/>
    <w:rsid w:val="00161A5B"/>
    <w:rsid w:val="0016385D"/>
    <w:rsid w:val="00165617"/>
    <w:rsid w:val="0016782F"/>
    <w:rsid w:val="001937E9"/>
    <w:rsid w:val="00193F70"/>
    <w:rsid w:val="001964E5"/>
    <w:rsid w:val="001A34A8"/>
    <w:rsid w:val="001B263B"/>
    <w:rsid w:val="001B476A"/>
    <w:rsid w:val="001C252F"/>
    <w:rsid w:val="001C764F"/>
    <w:rsid w:val="001C7811"/>
    <w:rsid w:val="001C7BB3"/>
    <w:rsid w:val="001D3E42"/>
    <w:rsid w:val="001D469C"/>
    <w:rsid w:val="001F0D5D"/>
    <w:rsid w:val="001F4916"/>
    <w:rsid w:val="00202827"/>
    <w:rsid w:val="00210B10"/>
    <w:rsid w:val="0021619E"/>
    <w:rsid w:val="00224F76"/>
    <w:rsid w:val="00230290"/>
    <w:rsid w:val="0023171B"/>
    <w:rsid w:val="00231ADD"/>
    <w:rsid w:val="00236BFC"/>
    <w:rsid w:val="00236CD7"/>
    <w:rsid w:val="00237437"/>
    <w:rsid w:val="00243F8D"/>
    <w:rsid w:val="00243FE5"/>
    <w:rsid w:val="002502FD"/>
    <w:rsid w:val="00253484"/>
    <w:rsid w:val="00255E52"/>
    <w:rsid w:val="00261E58"/>
    <w:rsid w:val="002621CA"/>
    <w:rsid w:val="00274622"/>
    <w:rsid w:val="00276129"/>
    <w:rsid w:val="00277D39"/>
    <w:rsid w:val="00285D24"/>
    <w:rsid w:val="00290390"/>
    <w:rsid w:val="002915D3"/>
    <w:rsid w:val="002924DB"/>
    <w:rsid w:val="002941DA"/>
    <w:rsid w:val="002A06CE"/>
    <w:rsid w:val="002B5648"/>
    <w:rsid w:val="002C297D"/>
    <w:rsid w:val="002E162E"/>
    <w:rsid w:val="002E3C35"/>
    <w:rsid w:val="002F5298"/>
    <w:rsid w:val="002F575A"/>
    <w:rsid w:val="002F70F3"/>
    <w:rsid w:val="003041DF"/>
    <w:rsid w:val="003207BE"/>
    <w:rsid w:val="00323A43"/>
    <w:rsid w:val="00326AE0"/>
    <w:rsid w:val="00337E4F"/>
    <w:rsid w:val="00340C36"/>
    <w:rsid w:val="00341E18"/>
    <w:rsid w:val="00346A9D"/>
    <w:rsid w:val="00364B4D"/>
    <w:rsid w:val="00370291"/>
    <w:rsid w:val="0039376F"/>
    <w:rsid w:val="00396483"/>
    <w:rsid w:val="003A287B"/>
    <w:rsid w:val="003A3EFA"/>
    <w:rsid w:val="003A5C85"/>
    <w:rsid w:val="003A61B1"/>
    <w:rsid w:val="003A69CC"/>
    <w:rsid w:val="003B0050"/>
    <w:rsid w:val="003B58E7"/>
    <w:rsid w:val="003C59BC"/>
    <w:rsid w:val="003C6162"/>
    <w:rsid w:val="003D16DC"/>
    <w:rsid w:val="003D626E"/>
    <w:rsid w:val="003D6312"/>
    <w:rsid w:val="003E5A4F"/>
    <w:rsid w:val="003E645F"/>
    <w:rsid w:val="003E7C74"/>
    <w:rsid w:val="003F31C6"/>
    <w:rsid w:val="0040225B"/>
    <w:rsid w:val="00402DA2"/>
    <w:rsid w:val="00410019"/>
    <w:rsid w:val="004119D6"/>
    <w:rsid w:val="00416E0B"/>
    <w:rsid w:val="004220A2"/>
    <w:rsid w:val="00425AC2"/>
    <w:rsid w:val="00434A3B"/>
    <w:rsid w:val="00440F52"/>
    <w:rsid w:val="0044171F"/>
    <w:rsid w:val="0044771F"/>
    <w:rsid w:val="00457B2D"/>
    <w:rsid w:val="0046134C"/>
    <w:rsid w:val="00470C9F"/>
    <w:rsid w:val="004907EA"/>
    <w:rsid w:val="00493EE9"/>
    <w:rsid w:val="004A492D"/>
    <w:rsid w:val="004B151D"/>
    <w:rsid w:val="004C1C53"/>
    <w:rsid w:val="004C7243"/>
    <w:rsid w:val="004D6080"/>
    <w:rsid w:val="004E015F"/>
    <w:rsid w:val="004E21DE"/>
    <w:rsid w:val="004E3C57"/>
    <w:rsid w:val="004E3CB2"/>
    <w:rsid w:val="004E41F6"/>
    <w:rsid w:val="004E5AAE"/>
    <w:rsid w:val="004F13A7"/>
    <w:rsid w:val="00501F7C"/>
    <w:rsid w:val="005021C7"/>
    <w:rsid w:val="00510960"/>
    <w:rsid w:val="00525813"/>
    <w:rsid w:val="00527353"/>
    <w:rsid w:val="005307EE"/>
    <w:rsid w:val="0053513F"/>
    <w:rsid w:val="00553812"/>
    <w:rsid w:val="00554290"/>
    <w:rsid w:val="00554ACD"/>
    <w:rsid w:val="00567E55"/>
    <w:rsid w:val="00567ECD"/>
    <w:rsid w:val="00572643"/>
    <w:rsid w:val="00573E44"/>
    <w:rsid w:val="00574405"/>
    <w:rsid w:val="00580C81"/>
    <w:rsid w:val="00581BE7"/>
    <w:rsid w:val="005854B0"/>
    <w:rsid w:val="00586BD6"/>
    <w:rsid w:val="005918DF"/>
    <w:rsid w:val="00592FA9"/>
    <w:rsid w:val="00594F86"/>
    <w:rsid w:val="005A0E21"/>
    <w:rsid w:val="005B3472"/>
    <w:rsid w:val="005B3A34"/>
    <w:rsid w:val="005B56A6"/>
    <w:rsid w:val="005B6B57"/>
    <w:rsid w:val="005C3A84"/>
    <w:rsid w:val="005D143D"/>
    <w:rsid w:val="005D4676"/>
    <w:rsid w:val="005D49AF"/>
    <w:rsid w:val="005E415C"/>
    <w:rsid w:val="005E4EED"/>
    <w:rsid w:val="005E71ED"/>
    <w:rsid w:val="005E7946"/>
    <w:rsid w:val="005F7475"/>
    <w:rsid w:val="00611265"/>
    <w:rsid w:val="00611299"/>
    <w:rsid w:val="00613B4D"/>
    <w:rsid w:val="00614027"/>
    <w:rsid w:val="0061564C"/>
    <w:rsid w:val="00616365"/>
    <w:rsid w:val="00616F3B"/>
    <w:rsid w:val="00622057"/>
    <w:rsid w:val="00624229"/>
    <w:rsid w:val="006249A7"/>
    <w:rsid w:val="0064225B"/>
    <w:rsid w:val="00646F47"/>
    <w:rsid w:val="006763F9"/>
    <w:rsid w:val="00683EF1"/>
    <w:rsid w:val="0069104A"/>
    <w:rsid w:val="00691AE4"/>
    <w:rsid w:val="006949BC"/>
    <w:rsid w:val="006B3367"/>
    <w:rsid w:val="006B529A"/>
    <w:rsid w:val="006C4D0D"/>
    <w:rsid w:val="006D1109"/>
    <w:rsid w:val="006D1229"/>
    <w:rsid w:val="006D372F"/>
    <w:rsid w:val="006D7A18"/>
    <w:rsid w:val="006E4474"/>
    <w:rsid w:val="006E76EF"/>
    <w:rsid w:val="00701388"/>
    <w:rsid w:val="00701ACF"/>
    <w:rsid w:val="00714E26"/>
    <w:rsid w:val="00723B7F"/>
    <w:rsid w:val="00725861"/>
    <w:rsid w:val="00726B88"/>
    <w:rsid w:val="0073324D"/>
    <w:rsid w:val="0073393A"/>
    <w:rsid w:val="0073539D"/>
    <w:rsid w:val="00742315"/>
    <w:rsid w:val="007424EF"/>
    <w:rsid w:val="007438C4"/>
    <w:rsid w:val="00743C06"/>
    <w:rsid w:val="00754083"/>
    <w:rsid w:val="00767B8A"/>
    <w:rsid w:val="007752A5"/>
    <w:rsid w:val="00775481"/>
    <w:rsid w:val="00776588"/>
    <w:rsid w:val="00793C26"/>
    <w:rsid w:val="0079783A"/>
    <w:rsid w:val="007A233B"/>
    <w:rsid w:val="007B4863"/>
    <w:rsid w:val="007C65E6"/>
    <w:rsid w:val="007D3F8D"/>
    <w:rsid w:val="007D406B"/>
    <w:rsid w:val="007D4407"/>
    <w:rsid w:val="007E1275"/>
    <w:rsid w:val="007E1CA3"/>
    <w:rsid w:val="007F1A89"/>
    <w:rsid w:val="00812D62"/>
    <w:rsid w:val="00812F29"/>
    <w:rsid w:val="00814E8B"/>
    <w:rsid w:val="00821713"/>
    <w:rsid w:val="0082331F"/>
    <w:rsid w:val="008266B5"/>
    <w:rsid w:val="00826E0A"/>
    <w:rsid w:val="00827050"/>
    <w:rsid w:val="0083076C"/>
    <w:rsid w:val="0083278B"/>
    <w:rsid w:val="00834538"/>
    <w:rsid w:val="00850E89"/>
    <w:rsid w:val="008569A7"/>
    <w:rsid w:val="00861709"/>
    <w:rsid w:val="0087003A"/>
    <w:rsid w:val="008930E4"/>
    <w:rsid w:val="00893821"/>
    <w:rsid w:val="008A5B2A"/>
    <w:rsid w:val="008A7B9C"/>
    <w:rsid w:val="008B2DDD"/>
    <w:rsid w:val="008B32FB"/>
    <w:rsid w:val="008B39FA"/>
    <w:rsid w:val="008B4754"/>
    <w:rsid w:val="008D0306"/>
    <w:rsid w:val="008E0FC0"/>
    <w:rsid w:val="008E6A7A"/>
    <w:rsid w:val="008E7F8F"/>
    <w:rsid w:val="008F1038"/>
    <w:rsid w:val="008F2AC3"/>
    <w:rsid w:val="008F7046"/>
    <w:rsid w:val="009005FC"/>
    <w:rsid w:val="0090207B"/>
    <w:rsid w:val="00911E4D"/>
    <w:rsid w:val="00922E5A"/>
    <w:rsid w:val="00925DDE"/>
    <w:rsid w:val="00934190"/>
    <w:rsid w:val="00943315"/>
    <w:rsid w:val="00946C27"/>
    <w:rsid w:val="00956C9E"/>
    <w:rsid w:val="00961063"/>
    <w:rsid w:val="00967682"/>
    <w:rsid w:val="00974821"/>
    <w:rsid w:val="00986120"/>
    <w:rsid w:val="00993DD0"/>
    <w:rsid w:val="009A12F2"/>
    <w:rsid w:val="009A4F3D"/>
    <w:rsid w:val="009B696B"/>
    <w:rsid w:val="009B7671"/>
    <w:rsid w:val="009E5BA1"/>
    <w:rsid w:val="009F056E"/>
    <w:rsid w:val="00A076F7"/>
    <w:rsid w:val="00A24F3D"/>
    <w:rsid w:val="00A26DCD"/>
    <w:rsid w:val="00A308A7"/>
    <w:rsid w:val="00A314BB"/>
    <w:rsid w:val="00A32B7D"/>
    <w:rsid w:val="00A3533A"/>
    <w:rsid w:val="00A3645F"/>
    <w:rsid w:val="00A5596B"/>
    <w:rsid w:val="00A6219F"/>
    <w:rsid w:val="00A646B3"/>
    <w:rsid w:val="00A6739B"/>
    <w:rsid w:val="00A67C51"/>
    <w:rsid w:val="00A90413"/>
    <w:rsid w:val="00A93E77"/>
    <w:rsid w:val="00A946B2"/>
    <w:rsid w:val="00AA1291"/>
    <w:rsid w:val="00AA728C"/>
    <w:rsid w:val="00AB0A9C"/>
    <w:rsid w:val="00AB2CFC"/>
    <w:rsid w:val="00AB7119"/>
    <w:rsid w:val="00AC03E5"/>
    <w:rsid w:val="00AC1CE8"/>
    <w:rsid w:val="00AC767A"/>
    <w:rsid w:val="00AD5855"/>
    <w:rsid w:val="00AE7500"/>
    <w:rsid w:val="00AE7F87"/>
    <w:rsid w:val="00AF30D4"/>
    <w:rsid w:val="00AF3542"/>
    <w:rsid w:val="00AF5ABE"/>
    <w:rsid w:val="00AF6463"/>
    <w:rsid w:val="00AF6B9B"/>
    <w:rsid w:val="00B00415"/>
    <w:rsid w:val="00B02758"/>
    <w:rsid w:val="00B03C2A"/>
    <w:rsid w:val="00B062F7"/>
    <w:rsid w:val="00B1000D"/>
    <w:rsid w:val="00B10134"/>
    <w:rsid w:val="00B143C3"/>
    <w:rsid w:val="00B16BFE"/>
    <w:rsid w:val="00B278A8"/>
    <w:rsid w:val="00B4353F"/>
    <w:rsid w:val="00B500E5"/>
    <w:rsid w:val="00B77363"/>
    <w:rsid w:val="00B775F4"/>
    <w:rsid w:val="00B95FBC"/>
    <w:rsid w:val="00BA235F"/>
    <w:rsid w:val="00BA39BB"/>
    <w:rsid w:val="00BA3B3D"/>
    <w:rsid w:val="00BB318D"/>
    <w:rsid w:val="00BB7EEA"/>
    <w:rsid w:val="00BC4B92"/>
    <w:rsid w:val="00BD1909"/>
    <w:rsid w:val="00BE3D9D"/>
    <w:rsid w:val="00BE5E16"/>
    <w:rsid w:val="00BE5FD1"/>
    <w:rsid w:val="00BF581F"/>
    <w:rsid w:val="00BF7CFD"/>
    <w:rsid w:val="00C06E05"/>
    <w:rsid w:val="00C13D94"/>
    <w:rsid w:val="00C14B14"/>
    <w:rsid w:val="00C17370"/>
    <w:rsid w:val="00C2054D"/>
    <w:rsid w:val="00C252EB"/>
    <w:rsid w:val="00C26EC0"/>
    <w:rsid w:val="00C40D7C"/>
    <w:rsid w:val="00C44550"/>
    <w:rsid w:val="00C53500"/>
    <w:rsid w:val="00C56C77"/>
    <w:rsid w:val="00C63AFD"/>
    <w:rsid w:val="00C6493D"/>
    <w:rsid w:val="00C67FC7"/>
    <w:rsid w:val="00C84923"/>
    <w:rsid w:val="00C9204C"/>
    <w:rsid w:val="00C96D5F"/>
    <w:rsid w:val="00CA5C35"/>
    <w:rsid w:val="00CB0489"/>
    <w:rsid w:val="00CB0D1A"/>
    <w:rsid w:val="00CB7B3E"/>
    <w:rsid w:val="00CC739D"/>
    <w:rsid w:val="00CE45FB"/>
    <w:rsid w:val="00CF5FDE"/>
    <w:rsid w:val="00D00C3B"/>
    <w:rsid w:val="00D04468"/>
    <w:rsid w:val="00D05ECB"/>
    <w:rsid w:val="00D163FF"/>
    <w:rsid w:val="00D23945"/>
    <w:rsid w:val="00D23B86"/>
    <w:rsid w:val="00D30640"/>
    <w:rsid w:val="00D36257"/>
    <w:rsid w:val="00D36798"/>
    <w:rsid w:val="00D4687E"/>
    <w:rsid w:val="00D53A12"/>
    <w:rsid w:val="00D561E0"/>
    <w:rsid w:val="00D56664"/>
    <w:rsid w:val="00D65233"/>
    <w:rsid w:val="00D72675"/>
    <w:rsid w:val="00D87E2A"/>
    <w:rsid w:val="00D90D03"/>
    <w:rsid w:val="00D93719"/>
    <w:rsid w:val="00DB0C43"/>
    <w:rsid w:val="00DB7BB8"/>
    <w:rsid w:val="00DC44B0"/>
    <w:rsid w:val="00DC7D29"/>
    <w:rsid w:val="00DD0DEA"/>
    <w:rsid w:val="00DD337E"/>
    <w:rsid w:val="00DE16D0"/>
    <w:rsid w:val="00DE3354"/>
    <w:rsid w:val="00DF7DCD"/>
    <w:rsid w:val="00E02106"/>
    <w:rsid w:val="00E1763D"/>
    <w:rsid w:val="00E26810"/>
    <w:rsid w:val="00E349D4"/>
    <w:rsid w:val="00E459F3"/>
    <w:rsid w:val="00E50B7D"/>
    <w:rsid w:val="00E617C8"/>
    <w:rsid w:val="00E75FE2"/>
    <w:rsid w:val="00E81FD3"/>
    <w:rsid w:val="00E86485"/>
    <w:rsid w:val="00E86BF2"/>
    <w:rsid w:val="00E904A1"/>
    <w:rsid w:val="00E90791"/>
    <w:rsid w:val="00EA42C9"/>
    <w:rsid w:val="00EA5153"/>
    <w:rsid w:val="00EB2474"/>
    <w:rsid w:val="00EB50E6"/>
    <w:rsid w:val="00EB5799"/>
    <w:rsid w:val="00EB7D28"/>
    <w:rsid w:val="00EC0D0C"/>
    <w:rsid w:val="00ED1C0D"/>
    <w:rsid w:val="00ED4A2C"/>
    <w:rsid w:val="00ED5255"/>
    <w:rsid w:val="00ED5765"/>
    <w:rsid w:val="00EE0323"/>
    <w:rsid w:val="00EF6940"/>
    <w:rsid w:val="00F06D61"/>
    <w:rsid w:val="00F11CD0"/>
    <w:rsid w:val="00F2044A"/>
    <w:rsid w:val="00F20BFC"/>
    <w:rsid w:val="00F2302E"/>
    <w:rsid w:val="00F24D5F"/>
    <w:rsid w:val="00F320D7"/>
    <w:rsid w:val="00F40837"/>
    <w:rsid w:val="00F461AC"/>
    <w:rsid w:val="00F46341"/>
    <w:rsid w:val="00F566F7"/>
    <w:rsid w:val="00F60747"/>
    <w:rsid w:val="00F6130D"/>
    <w:rsid w:val="00F726C3"/>
    <w:rsid w:val="00F820CA"/>
    <w:rsid w:val="00F8554C"/>
    <w:rsid w:val="00F95F82"/>
    <w:rsid w:val="00F97A90"/>
    <w:rsid w:val="00FB52F8"/>
    <w:rsid w:val="00FB61E4"/>
    <w:rsid w:val="00FC2F35"/>
    <w:rsid w:val="00FC3FD7"/>
    <w:rsid w:val="00FD1FC6"/>
    <w:rsid w:val="00FD3441"/>
    <w:rsid w:val="00FE3FBD"/>
    <w:rsid w:val="00FE5869"/>
    <w:rsid w:val="00FF3ADD"/>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5FFEDA"/>
  <w15:docId w15:val="{29FA12D3-40D5-44E9-BE70-D628A83A7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B4353F"/>
    <w:pPr>
      <w:keepNext/>
      <w:spacing w:before="240" w:after="240"/>
      <w:jc w:val="center"/>
      <w:outlineLvl w:val="0"/>
    </w:pPr>
    <w:rPr>
      <w:b/>
      <w:caps/>
    </w:rPr>
  </w:style>
  <w:style w:type="paragraph" w:styleId="Heading2">
    <w:name w:val="heading 2"/>
    <w:basedOn w:val="Normal"/>
    <w:next w:val="Paragraph"/>
    <w:qFormat/>
    <w:rsid w:val="00B4353F"/>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B4353F"/>
    <w:rPr>
      <w:sz w:val="16"/>
    </w:rPr>
  </w:style>
  <w:style w:type="paragraph" w:customStyle="1" w:styleId="PaperTitle">
    <w:name w:val="Paper Title"/>
    <w:basedOn w:val="Normal"/>
    <w:next w:val="AuthorName"/>
    <w:rsid w:val="00B4353F"/>
    <w:pPr>
      <w:spacing w:before="1200"/>
      <w:jc w:val="center"/>
    </w:pPr>
    <w:rPr>
      <w:b/>
      <w:sz w:val="36"/>
    </w:rPr>
  </w:style>
  <w:style w:type="paragraph" w:customStyle="1" w:styleId="AuthorName">
    <w:name w:val="Author Name"/>
    <w:basedOn w:val="Normal"/>
    <w:next w:val="AuthorAffiliation"/>
    <w:rsid w:val="00B4353F"/>
    <w:pPr>
      <w:spacing w:before="360" w:after="360"/>
      <w:jc w:val="center"/>
    </w:pPr>
    <w:rPr>
      <w:sz w:val="28"/>
    </w:rPr>
  </w:style>
  <w:style w:type="paragraph" w:customStyle="1" w:styleId="AuthorAffiliation">
    <w:name w:val="Author Affiliation"/>
    <w:basedOn w:val="Normal"/>
    <w:rsid w:val="00B4353F"/>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B4353F"/>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B4353F"/>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uiPriority w:val="99"/>
    <w:rsid w:val="00114AB1"/>
    <w:rPr>
      <w:rFonts w:ascii="Tahoma" w:hAnsi="Tahoma" w:cs="Tahoma"/>
      <w:sz w:val="16"/>
      <w:szCs w:val="16"/>
    </w:rPr>
  </w:style>
  <w:style w:type="character" w:customStyle="1" w:styleId="BalloonTextChar">
    <w:name w:val="Balloon Text Char"/>
    <w:basedOn w:val="DefaultParagraphFont"/>
    <w:link w:val="BalloonText"/>
    <w:uiPriority w:val="99"/>
    <w:rsid w:val="00114AB1"/>
    <w:rPr>
      <w:rFonts w:ascii="Tahoma" w:hAnsi="Tahoma" w:cs="Tahoma"/>
      <w:sz w:val="16"/>
      <w:szCs w:val="16"/>
      <w:lang w:val="en-US" w:eastAsia="en-US"/>
    </w:rPr>
  </w:style>
  <w:style w:type="character" w:styleId="Hyperlink">
    <w:name w:val="Hyperlink"/>
    <w:rsid w:val="00B4353F"/>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Subtitle">
    <w:name w:val="Subtitle"/>
    <w:basedOn w:val="Normal"/>
    <w:next w:val="Normal"/>
    <w:link w:val="SubtitleChar"/>
    <w:qFormat/>
    <w:rsid w:val="00581BE7"/>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581BE7"/>
    <w:rPr>
      <w:rFonts w:asciiTheme="majorHAnsi" w:eastAsiaTheme="majorEastAsia" w:hAnsiTheme="majorHAnsi" w:cstheme="majorBidi"/>
      <w:i/>
      <w:iCs/>
      <w:color w:val="4F81BD" w:themeColor="accent1"/>
      <w:spacing w:val="15"/>
      <w:sz w:val="24"/>
      <w:szCs w:val="24"/>
      <w:lang w:val="en-US" w:eastAsia="en-US"/>
    </w:rPr>
  </w:style>
  <w:style w:type="paragraph" w:customStyle="1" w:styleId="dx-doi">
    <w:name w:val="dx-doi"/>
    <w:basedOn w:val="Normal"/>
    <w:rsid w:val="003B58E7"/>
    <w:pPr>
      <w:spacing w:before="100" w:beforeAutospacing="1" w:after="100" w:afterAutospacing="1"/>
    </w:pPr>
    <w:rPr>
      <w:szCs w:val="24"/>
      <w:lang w:val="en-IN" w:eastAsia="en-GB"/>
    </w:rPr>
  </w:style>
  <w:style w:type="character" w:customStyle="1" w:styleId="apple-converted-space">
    <w:name w:val="apple-converted-space"/>
    <w:basedOn w:val="DefaultParagraphFont"/>
    <w:rsid w:val="003B58E7"/>
  </w:style>
  <w:style w:type="character" w:customStyle="1" w:styleId="anchor-text">
    <w:name w:val="anchor-text"/>
    <w:basedOn w:val="DefaultParagraphFont"/>
    <w:rsid w:val="003B58E7"/>
  </w:style>
  <w:style w:type="character" w:styleId="UnresolvedMention">
    <w:name w:val="Unresolved Mention"/>
    <w:basedOn w:val="DefaultParagraphFont"/>
    <w:uiPriority w:val="99"/>
    <w:semiHidden/>
    <w:unhideWhenUsed/>
    <w:rsid w:val="00793C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1709412">
      <w:bodyDiv w:val="1"/>
      <w:marLeft w:val="0"/>
      <w:marRight w:val="0"/>
      <w:marTop w:val="0"/>
      <w:marBottom w:val="0"/>
      <w:divBdr>
        <w:top w:val="none" w:sz="0" w:space="0" w:color="auto"/>
        <w:left w:val="none" w:sz="0" w:space="0" w:color="auto"/>
        <w:bottom w:val="none" w:sz="0" w:space="0" w:color="auto"/>
        <w:right w:val="none" w:sz="0" w:space="0" w:color="auto"/>
      </w:divBdr>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12670358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doi.org/10.1016/j.prp.2024.155097" TargetMode="External"/><Relationship Id="rId26" Type="http://schemas.openxmlformats.org/officeDocument/2006/relationships/hyperlink" Target="https://doi.org/10.3390/engproc2024061009" TargetMode="External"/><Relationship Id="rId39" Type="http://schemas.openxmlformats.org/officeDocument/2006/relationships/hyperlink" Target="https://doi.org/10.1007/s11029-025-10305-7" TargetMode="External"/><Relationship Id="rId21" Type="http://schemas.openxmlformats.org/officeDocument/2006/relationships/hyperlink" Target="https://doi.org/10.1109/ICICT60155.2024.10544835" TargetMode="External"/><Relationship Id="rId34" Type="http://schemas.openxmlformats.org/officeDocument/2006/relationships/hyperlink" Target="https://doi.org/10.1515/ipp-2024-0152" TargetMode="External"/><Relationship Id="rId42" Type="http://schemas.openxmlformats.org/officeDocument/2006/relationships/hyperlink" Target="https://doi.org/10.1007/s11664-024-11669-7" TargetMode="Externa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109/ASSIC60049.2024.10507990" TargetMode="External"/><Relationship Id="rId29" Type="http://schemas.openxmlformats.org/officeDocument/2006/relationships/hyperlink" Target="https://doi.org/10.1007/s12206-025-0723-2" TargetMode="External"/><Relationship Id="rId11" Type="http://schemas.openxmlformats.org/officeDocument/2006/relationships/hyperlink" Target="mailto:karthiksamynathan@gmail.com" TargetMode="External"/><Relationship Id="rId24" Type="http://schemas.openxmlformats.org/officeDocument/2006/relationships/hyperlink" Target="https://doi.org/10.1080/15325008.2023.2300329" TargetMode="External"/><Relationship Id="rId32" Type="http://schemas.openxmlformats.org/officeDocument/2006/relationships/hyperlink" Target="https://doi.org/10.1007/s10973-025-14427-x" TargetMode="External"/><Relationship Id="rId37" Type="http://schemas.openxmlformats.org/officeDocument/2006/relationships/hyperlink" Target="https://doi.org/10.1007/s10854-025-15203-1" TargetMode="External"/><Relationship Id="rId40" Type="http://schemas.openxmlformats.org/officeDocument/2006/relationships/hyperlink" Target="https://doi.org/10.4271/05-18-02-0015" TargetMode="External"/><Relationship Id="rId45" Type="http://schemas.openxmlformats.org/officeDocument/2006/relationships/hyperlink" Target="https://doi.org/10.1007/s12206-024-1219-1"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doi.org/10.4271/2024-01-5031" TargetMode="External"/><Relationship Id="rId31" Type="http://schemas.openxmlformats.org/officeDocument/2006/relationships/hyperlink" Target="https://doi.org/10.1007/s12206-025-0620-8" TargetMode="External"/><Relationship Id="rId44" Type="http://schemas.openxmlformats.org/officeDocument/2006/relationships/hyperlink" Target="https://doi.org/10.1007/s12206-024-1216-4" TargetMode="External"/><Relationship Id="rId52"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doi.org/10.1080/15325008.2024.2337218" TargetMode="External"/><Relationship Id="rId27" Type="http://schemas.openxmlformats.org/officeDocument/2006/relationships/hyperlink" Target="https://doi.org/10.3390/engproc2024061015" TargetMode="External"/><Relationship Id="rId30" Type="http://schemas.openxmlformats.org/officeDocument/2006/relationships/hyperlink" Target="https://doi.org/10.1007/s11665-025-11873-4" TargetMode="External"/><Relationship Id="rId35" Type="http://schemas.openxmlformats.org/officeDocument/2006/relationships/hyperlink" Target="https://doi.org/10.1007/s12206-025-0622-6" TargetMode="External"/><Relationship Id="rId43" Type="http://schemas.openxmlformats.org/officeDocument/2006/relationships/hyperlink" Target="https://doi.org/10.1007/s10854-024-14135-6" TargetMode="External"/><Relationship Id="rId48"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doi.org/10.1109/ICOECA62351.2024.00111" TargetMode="External"/><Relationship Id="rId25" Type="http://schemas.openxmlformats.org/officeDocument/2006/relationships/hyperlink" Target="https://doi.org/10.4271/2023-01-5115" TargetMode="External"/><Relationship Id="rId33" Type="http://schemas.openxmlformats.org/officeDocument/2006/relationships/hyperlink" Target="https://doi.org/10.1007/s11664-025-12174-1" TargetMode="External"/><Relationship Id="rId38" Type="http://schemas.openxmlformats.org/officeDocument/2006/relationships/hyperlink" Target="https://doi.org/10.1007/s12206-025-0513-x" TargetMode="External"/><Relationship Id="rId46" Type="http://schemas.openxmlformats.org/officeDocument/2006/relationships/hyperlink" Target="https://doi.org/10.1080/13640461.2024.2447101" TargetMode="External"/><Relationship Id="rId20" Type="http://schemas.openxmlformats.org/officeDocument/2006/relationships/hyperlink" Target="https://doi.org/10.1109/IC2PCT60090.2024.10486802" TargetMode="External"/><Relationship Id="rId41" Type="http://schemas.openxmlformats.org/officeDocument/2006/relationships/hyperlink" Target="http://dx.doi.org/10.29228/ijastech..152828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oi.org/10.1080/15325008.2024.2337217" TargetMode="External"/><Relationship Id="rId23" Type="http://schemas.openxmlformats.org/officeDocument/2006/relationships/hyperlink" Target="https://doi.org/10.1016/j.csite.2024.104780" TargetMode="External"/><Relationship Id="rId28" Type="http://schemas.openxmlformats.org/officeDocument/2006/relationships/hyperlink" Target="https://doi.org/10.1016/j.jwpe.2024.104778" TargetMode="External"/><Relationship Id="rId36" Type="http://schemas.openxmlformats.org/officeDocument/2006/relationships/hyperlink" Target="https://doi.org/10.1007/s10973-025-14305-6" TargetMode="External"/><Relationship Id="rId4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0C8A07-29B7-408C-B5FF-7B21BC23860C}">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575</TotalTime>
  <Pages>8</Pages>
  <Words>4996</Words>
  <Characters>28479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227</cp:revision>
  <cp:lastPrinted>2011-03-03T08:29:00Z</cp:lastPrinted>
  <dcterms:created xsi:type="dcterms:W3CDTF">2023-09-01T14:34:00Z</dcterms:created>
  <dcterms:modified xsi:type="dcterms:W3CDTF">2025-09-07T06:03:00Z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e4fab311-031b-42a2-98b6-809914bbefe7</vt:lpwstr>
  </property>
</Properties>
</file>