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812AE" w14:textId="24D5670D" w:rsidR="00DD7BD6" w:rsidRPr="00DD7BD6" w:rsidRDefault="00F52CB0" w:rsidP="00E717BB">
      <w:pPr>
        <w:pStyle w:val="PaperTitle"/>
      </w:pPr>
      <w:r w:rsidRPr="00DD7BD6">
        <w:t xml:space="preserve">Graphene/Magnetite Actions </w:t>
      </w:r>
      <w:r>
        <w:t>o</w:t>
      </w:r>
      <w:r w:rsidRPr="00DD7BD6">
        <w:t xml:space="preserve">n Functional Behaviour </w:t>
      </w:r>
      <w:r>
        <w:t>o</w:t>
      </w:r>
      <w:r w:rsidRPr="00DD7BD6">
        <w:t xml:space="preserve">f Polystyrene Hybrid Composites Via Solution </w:t>
      </w:r>
      <w:r w:rsidRPr="00E717BB">
        <w:t>Blending</w:t>
      </w:r>
      <w:r w:rsidRPr="00DD7BD6">
        <w:t xml:space="preserve"> Route</w:t>
      </w:r>
    </w:p>
    <w:p w14:paraId="1219AB9C" w14:textId="2A567E83" w:rsidR="00B74CF3" w:rsidRPr="00E36988" w:rsidRDefault="00F748A7" w:rsidP="00E717BB">
      <w:pPr>
        <w:pStyle w:val="AuthorName"/>
      </w:pPr>
      <w:r w:rsidRPr="00F748A7">
        <w:t>R.Meenakshi Reddy</w:t>
      </w:r>
      <w:r w:rsidRPr="00F748A7">
        <w:rPr>
          <w:vertAlign w:val="superscript"/>
        </w:rPr>
        <w:t>1</w:t>
      </w:r>
      <w:r w:rsidRPr="00F748A7">
        <w:t>, T V S P V Satya Guru</w:t>
      </w:r>
      <w:r w:rsidRPr="00F748A7">
        <w:rPr>
          <w:vertAlign w:val="superscript"/>
        </w:rPr>
        <w:t>2</w:t>
      </w:r>
      <w:r w:rsidRPr="00F748A7">
        <w:t xml:space="preserve">, </w:t>
      </w:r>
      <w:r w:rsidR="00F52CB0">
        <w:t xml:space="preserve">S </w:t>
      </w:r>
      <w:r w:rsidRPr="00F748A7">
        <w:t>Karvendhan</w:t>
      </w:r>
      <w:r w:rsidRPr="00F748A7">
        <w:rPr>
          <w:vertAlign w:val="superscript"/>
        </w:rPr>
        <w:t>3</w:t>
      </w:r>
      <w:r w:rsidRPr="00F748A7">
        <w:t>, M</w:t>
      </w:r>
      <w:r w:rsidR="00F52CB0">
        <w:t xml:space="preserve"> </w:t>
      </w:r>
      <w:r w:rsidRPr="00F748A7">
        <w:t>Elango</w:t>
      </w:r>
      <w:r w:rsidRPr="00F748A7">
        <w:rPr>
          <w:vertAlign w:val="superscript"/>
        </w:rPr>
        <w:t>4</w:t>
      </w:r>
      <w:r w:rsidR="00892AEA">
        <w:rPr>
          <w:vertAlign w:val="superscript"/>
        </w:rPr>
        <w:t>,a)</w:t>
      </w:r>
      <w:r w:rsidRPr="00F748A7">
        <w:t>,</w:t>
      </w:r>
      <w:r w:rsidR="00E717BB">
        <w:t xml:space="preserve"> </w:t>
      </w:r>
      <w:r w:rsidRPr="00F748A7">
        <w:t>Pawan Devidas Meshram</w:t>
      </w:r>
      <w:r w:rsidRPr="00F748A7">
        <w:rPr>
          <w:vertAlign w:val="superscript"/>
        </w:rPr>
        <w:t>5</w:t>
      </w:r>
      <w:r w:rsidRPr="00F748A7">
        <w:t xml:space="preserve">, </w:t>
      </w:r>
      <w:r w:rsidR="00F52CB0">
        <w:t xml:space="preserve">T </w:t>
      </w:r>
      <w:r w:rsidRPr="00F748A7">
        <w:t>Sathish</w:t>
      </w:r>
      <w:r w:rsidRPr="00F748A7">
        <w:rPr>
          <w:vertAlign w:val="superscript"/>
        </w:rPr>
        <w:t>6</w:t>
      </w:r>
      <w:r w:rsidRPr="00F748A7">
        <w:t xml:space="preserve">, </w:t>
      </w:r>
      <w:r w:rsidR="00B74CF3" w:rsidRPr="00FE4629">
        <w:t>A</w:t>
      </w:r>
      <w:r w:rsidR="00F52CB0">
        <w:t xml:space="preserve"> </w:t>
      </w:r>
      <w:r w:rsidR="00B74CF3" w:rsidRPr="00FE4629">
        <w:t xml:space="preserve">Daniel Das </w:t>
      </w:r>
      <w:r w:rsidR="00B74CF3">
        <w:rPr>
          <w:vertAlign w:val="superscript"/>
        </w:rPr>
        <w:t>7</w:t>
      </w:r>
      <w:r w:rsidR="00B74CF3" w:rsidRPr="00FE4629">
        <w:t>,</w:t>
      </w:r>
      <w:r w:rsidR="00F52CB0">
        <w:t xml:space="preserve"> </w:t>
      </w:r>
      <w:r w:rsidR="00B74CF3" w:rsidRPr="00FE4629">
        <w:t>Senthil Kumar Vishnu</w:t>
      </w:r>
      <w:r w:rsidR="00B74CF3">
        <w:rPr>
          <w:vertAlign w:val="superscript"/>
        </w:rPr>
        <w:t>8</w:t>
      </w:r>
      <w:r w:rsidR="00B74CF3" w:rsidRPr="00E36988">
        <w:t>,</w:t>
      </w:r>
      <w:r w:rsidR="00F52CB0">
        <w:t xml:space="preserve"> </w:t>
      </w:r>
      <w:r w:rsidR="00B74CF3" w:rsidRPr="00FE4629">
        <w:t>Gopal Kaliyaperumal</w:t>
      </w:r>
      <w:r w:rsidR="00B74CF3">
        <w:rPr>
          <w:vertAlign w:val="superscript"/>
        </w:rPr>
        <w:t>9</w:t>
      </w:r>
    </w:p>
    <w:p w14:paraId="7DD9414E" w14:textId="77777777" w:rsidR="00F748A7" w:rsidRPr="00F748A7" w:rsidRDefault="00554290" w:rsidP="00E717BB">
      <w:pPr>
        <w:pStyle w:val="AuthorAffiliation"/>
      </w:pPr>
      <w:r>
        <w:rPr>
          <w:vertAlign w:val="superscript"/>
        </w:rPr>
        <w:t>1</w:t>
      </w:r>
      <w:r w:rsidR="00F748A7" w:rsidRPr="00F748A7">
        <w:t>Department of Mechanical Engineering, G.Pulla Reddy Engineering College, Kurnool, 518007, Andhrapradesh, India</w:t>
      </w:r>
    </w:p>
    <w:p w14:paraId="12AB5209" w14:textId="77777777" w:rsidR="00F748A7" w:rsidRPr="00F748A7" w:rsidRDefault="00F748A7" w:rsidP="00E717BB">
      <w:pPr>
        <w:pStyle w:val="AuthorAffiliation"/>
      </w:pPr>
      <w:r w:rsidRPr="00F748A7">
        <w:rPr>
          <w:vertAlign w:val="superscript"/>
        </w:rPr>
        <w:t>2</w:t>
      </w:r>
      <w:r w:rsidRPr="00F748A7">
        <w:t>Department of Basic Science &amp; Humanities, Vignan's Institute of Information Technology (A), Duvvada, Visakhapatnam, 530049, Andhrapradesh, India</w:t>
      </w:r>
    </w:p>
    <w:p w14:paraId="5176F11F" w14:textId="77777777" w:rsidR="00F748A7" w:rsidRPr="00F748A7" w:rsidRDefault="00F748A7" w:rsidP="00E717BB">
      <w:pPr>
        <w:pStyle w:val="AuthorAffiliation"/>
      </w:pPr>
      <w:r w:rsidRPr="00F748A7">
        <w:rPr>
          <w:vertAlign w:val="superscript"/>
        </w:rPr>
        <w:t xml:space="preserve">3 </w:t>
      </w:r>
      <w:r w:rsidRPr="00F748A7">
        <w:t>Department of Mechanical Engineering, Velalar College of Engineering and Technology, Erode, 638102, Tamil Nadu, India.</w:t>
      </w:r>
    </w:p>
    <w:p w14:paraId="5B0D0189" w14:textId="77777777" w:rsidR="00F748A7" w:rsidRPr="00F748A7" w:rsidRDefault="00F748A7" w:rsidP="00E717BB">
      <w:pPr>
        <w:pStyle w:val="AuthorAffiliation"/>
      </w:pPr>
      <w:r w:rsidRPr="00F748A7">
        <w:rPr>
          <w:vertAlign w:val="superscript"/>
        </w:rPr>
        <w:t xml:space="preserve">4 </w:t>
      </w:r>
      <w:r w:rsidRPr="00F748A7">
        <w:t>Department of Mechanical Engineering, Erode Sengunthar Engineering College, Thuduppathi, 638057, Tamil Nadu, India.</w:t>
      </w:r>
    </w:p>
    <w:p w14:paraId="1D00C55B" w14:textId="77777777" w:rsidR="00F748A7" w:rsidRPr="00F748A7" w:rsidRDefault="00F748A7" w:rsidP="00E717BB">
      <w:pPr>
        <w:pStyle w:val="AuthorAffiliation"/>
      </w:pPr>
      <w:r w:rsidRPr="00F748A7">
        <w:rPr>
          <w:vertAlign w:val="superscript"/>
        </w:rPr>
        <w:t>5</w:t>
      </w:r>
      <w:r w:rsidRPr="00F748A7">
        <w:t>Department of Oil Technology, University Institute of Chemical Technology, Kavayitri Bahinabai Chaudhari North Maharashtra University, Jalgaon, 425001, Maharastra,  India.</w:t>
      </w:r>
    </w:p>
    <w:p w14:paraId="419FECB4" w14:textId="77777777" w:rsidR="00F748A7" w:rsidRDefault="00F748A7" w:rsidP="00E717BB">
      <w:pPr>
        <w:pStyle w:val="AuthorAffiliation"/>
      </w:pPr>
      <w:r w:rsidRPr="00F748A7">
        <w:rPr>
          <w:vertAlign w:val="superscript"/>
        </w:rPr>
        <w:t xml:space="preserve">6 </w:t>
      </w:r>
      <w:r w:rsidRPr="00F748A7">
        <w:t>Department of Mechanical Engineering, Vel Tech Multi Tech Dr.Rangarajan Dr.Sakunthala Engineering College, Avadi, Chennai, 600062, Tamil Nadu, India.</w:t>
      </w:r>
    </w:p>
    <w:p w14:paraId="2F489B85" w14:textId="77777777" w:rsidR="00B74CF3" w:rsidRPr="006F357D" w:rsidRDefault="00B74CF3" w:rsidP="00E717BB">
      <w:pPr>
        <w:pStyle w:val="AuthorAffiliation"/>
      </w:pPr>
      <w:r>
        <w:rPr>
          <w:vertAlign w:val="superscript"/>
        </w:rPr>
        <w:t>7</w:t>
      </w:r>
      <w:r w:rsidRPr="00FE4629">
        <w:t xml:space="preserve">Department of Mechanical Engineering, Karpagam Academy of Higher Education, Coimbatore, Tamil Nadu, India. </w:t>
      </w:r>
    </w:p>
    <w:p w14:paraId="0F8306E6" w14:textId="77777777" w:rsidR="00B74CF3" w:rsidRDefault="00B74CF3" w:rsidP="00E717BB">
      <w:pPr>
        <w:pStyle w:val="AuthorAffiliation"/>
      </w:pPr>
      <w:r>
        <w:rPr>
          <w:vertAlign w:val="superscript"/>
        </w:rPr>
        <w:t>8</w:t>
      </w:r>
      <w:r>
        <w:t>Centre for Sustainable Materials Research, Department of Mechanical Engineering, Academy of Maritime Education and Training (AMET)Deemed to be University, Kanathur, Chennai 603112, Tamil Nadu, India.</w:t>
      </w:r>
    </w:p>
    <w:p w14:paraId="30AC6745" w14:textId="77777777" w:rsidR="00B74CF3" w:rsidRPr="00FE4629" w:rsidRDefault="00B74CF3" w:rsidP="00E717BB">
      <w:pPr>
        <w:pStyle w:val="AuthorAffiliation"/>
      </w:pPr>
      <w:r>
        <w:rPr>
          <w:vertAlign w:val="superscript"/>
        </w:rPr>
        <w:t>9</w:t>
      </w:r>
      <w:r>
        <w:t>Department of Mechanical Engineering, New Horizon College of Engineering, Bangalore, 560103, Karnataka, India</w:t>
      </w:r>
    </w:p>
    <w:p w14:paraId="61028101" w14:textId="5B00DD60" w:rsidR="00F748A7" w:rsidRPr="00F748A7" w:rsidRDefault="00F748A7" w:rsidP="00E717BB">
      <w:pPr>
        <w:pStyle w:val="AuthorEmail"/>
        <w:rPr>
          <w:u w:val="single"/>
        </w:rPr>
      </w:pPr>
      <w:r w:rsidRPr="00F748A7">
        <w:rPr>
          <w:b/>
        </w:rPr>
        <w:t>Correspond</w:t>
      </w:r>
      <w:r w:rsidR="00E717BB">
        <w:rPr>
          <w:b/>
        </w:rPr>
        <w:t xml:space="preserve">ing author: </w:t>
      </w:r>
      <w:r w:rsidR="00E717BB">
        <w:rPr>
          <w:b/>
          <w:vertAlign w:val="superscript"/>
        </w:rPr>
        <w:t>a)</w:t>
      </w:r>
      <w:hyperlink r:id="rId9" w:history="1">
        <w:r w:rsidR="00E717BB" w:rsidRPr="00207929">
          <w:rPr>
            <w:rStyle w:val="Hyperlink"/>
            <w:bCs/>
            <w:i/>
          </w:rPr>
          <w:t>elango3088@gmail.com</w:t>
        </w:r>
      </w:hyperlink>
    </w:p>
    <w:p w14:paraId="2354BF49" w14:textId="7A9EC02C" w:rsidR="00A06D51" w:rsidRPr="00A06D51" w:rsidRDefault="0016385D" w:rsidP="00A06D51">
      <w:pPr>
        <w:pStyle w:val="Abstract"/>
      </w:pPr>
      <w:r w:rsidRPr="00075EA6">
        <w:rPr>
          <w:b/>
          <w:bCs/>
        </w:rPr>
        <w:t>Abstract</w:t>
      </w:r>
      <w:r w:rsidR="00E717BB">
        <w:rPr>
          <w:b/>
          <w:bCs/>
        </w:rPr>
        <w:t xml:space="preserve">: </w:t>
      </w:r>
      <w:r w:rsidR="00A06D51" w:rsidRPr="00A06D51">
        <w:t>This work investigates the influence of hybrid nano fillers which consist of 1 weight percent carbon nanotubes and varying concentrations of boron nitride on the mechanical and thermal properties of Polyether Ether Ketone composites that are subjected to hot pressing. The basis matrix material was PEEK sheets which are chemically stable and resistant to heat and powerful. They were 250 mm x 250 mm x 1 mm in size. The objective was to develop composites that were both lightweight and highly efficient for use in structural vehicle frames. Tensile strength and Shore D hardness were evaluated as well as thermal conductivity and results indicated that the most significant enhancement in thermal and mechanical properties was achieved at a BN concentration of 3 weight percent. The combined action of BN and CNTs improved thermal conduction channels and load transfer. These findings demonstrate that hybrid nanofiller-reinforced PEEK composites are capable of satisfying the requirements of rigorous industrial applications, particularly those in the automotive sector.</w:t>
      </w:r>
    </w:p>
    <w:p w14:paraId="45A1E9A2" w14:textId="77777777" w:rsidR="003A287B" w:rsidRPr="00075EA6" w:rsidRDefault="000F3FD2" w:rsidP="00E717BB">
      <w:pPr>
        <w:pStyle w:val="Heading1"/>
        <w:rPr>
          <w:b w:val="0"/>
          <w:caps w:val="0"/>
          <w:sz w:val="20"/>
        </w:rPr>
      </w:pPr>
      <w:r w:rsidRPr="000F3FD2">
        <w:t>Introduction</w:t>
      </w:r>
    </w:p>
    <w:p w14:paraId="6F8CD75F" w14:textId="77777777" w:rsidR="00F748A7" w:rsidRPr="00F748A7" w:rsidRDefault="00F748A7" w:rsidP="00E717BB">
      <w:pPr>
        <w:pStyle w:val="Paragraph"/>
      </w:pPr>
      <w:r w:rsidRPr="00F748A7">
        <w:t xml:space="preserve">A popular thermoplastic polymer polystyrene is known for its exceptional dimensional stability, simplicity of production and low weight. However its usage in high-performance applications like EMI </w:t>
      </w:r>
      <w:r w:rsidRPr="00E717BB">
        <w:t>shielding</w:t>
      </w:r>
      <w:r w:rsidRPr="00F748A7">
        <w:t xml:space="preserve"> is limited by its intrinsic low electrical conductivity and weak heat resistance. The use of magnetic and conductive nanofillers has become a successful tactic to get around these restrictions. One of the best options for enhancing the conductive network and mechanical integrity of polymer matrices is graphene, a 2D carbon substance with remarkable </w:t>
      </w:r>
      <w:r w:rsidRPr="00F748A7">
        <w:lastRenderedPageBreak/>
        <w:t xml:space="preserve">electrical, mechanical, and thermal properties. Super para magnetic in nature magnetite (FeO₄) nanoparticles are very good at both scattering and absorbing electromagnetic radiation. FeO₄ and graphene can be used to build a hybrid reinforcement system that enhances functional performance in a synergistic way. </w:t>
      </w:r>
    </w:p>
    <w:p w14:paraId="092F4A75" w14:textId="77777777" w:rsidR="00F748A7" w:rsidRPr="00F748A7" w:rsidRDefault="00F748A7" w:rsidP="00F748A7">
      <w:pPr>
        <w:pStyle w:val="Paragraph"/>
      </w:pPr>
      <w:r w:rsidRPr="00F748A7">
        <w:t xml:space="preserve">Graphene and iron-based fillers in polymer composites for EMI shielding were thoroughly reviewed </w:t>
      </w:r>
      <w:r>
        <w:t>[1-4]</w:t>
      </w:r>
      <w:r w:rsidRPr="00F748A7">
        <w:t xml:space="preserve">. Their findings [1] showed that magnetic and conductive phases promote EMI attenuation through reflection and absorption. </w:t>
      </w:r>
      <w:r w:rsidR="00D97B4C">
        <w:t>The</w:t>
      </w:r>
      <w:r w:rsidRPr="00F748A7">
        <w:t xml:space="preserve"> graphene-based EMI shielding recent advances in nanocomposites  and concluded [</w:t>
      </w:r>
      <w:r w:rsidR="00D97B4C">
        <w:t>5-6</w:t>
      </w:r>
      <w:r w:rsidRPr="00F748A7">
        <w:t xml:space="preserve">] that filler shape, dispersion, and alignment affect shielding and mechanical robustness. </w:t>
      </w:r>
    </w:p>
    <w:p w14:paraId="76481031" w14:textId="77777777" w:rsidR="00F748A7" w:rsidRPr="00F748A7" w:rsidRDefault="00F748A7" w:rsidP="00F748A7">
      <w:pPr>
        <w:pStyle w:val="Paragraph"/>
      </w:pPr>
      <w:r w:rsidRPr="00F748A7">
        <w:t xml:space="preserve">In 2025, </w:t>
      </w:r>
      <w:r w:rsidR="00D97B4C">
        <w:t>[7-9]</w:t>
      </w:r>
      <w:r w:rsidRPr="00F748A7">
        <w:t xml:space="preserve">. created Fe₃O₄ with graphene oxide composites from natural iron sand used for photocatalysis and showed [3] that naturally available Fe₃O₄ in hybrid structures can serve multiple purpose including environmental and electrical functions without being EMI specific. </w:t>
      </w:r>
      <w:r w:rsidR="00D55E73">
        <w:t xml:space="preserve">They </w:t>
      </w:r>
      <w:r w:rsidRPr="00F748A7">
        <w:t>examined graphene, CNTs, and magnetite-reinforced low density polyethylene hybrids' structural, morphological and shielding Their findings [</w:t>
      </w:r>
      <w:r w:rsidR="00D55E73">
        <w:t>10-12</w:t>
      </w:r>
      <w:r w:rsidRPr="00F748A7">
        <w:t>] showed that multifunctional hybrids can improve EMI shielding while remaining flexible.</w:t>
      </w:r>
    </w:p>
    <w:p w14:paraId="45A20FA7" w14:textId="77777777" w:rsidR="00F748A7" w:rsidRPr="00F748A7" w:rsidRDefault="00F748A7" w:rsidP="00F748A7">
      <w:pPr>
        <w:pStyle w:val="Paragraph"/>
      </w:pPr>
      <w:r w:rsidRPr="00F748A7">
        <w:t>Their conclusions [</w:t>
      </w:r>
      <w:r w:rsidR="00FB4DC5">
        <w:t>13-15</w:t>
      </w:r>
      <w:r w:rsidRPr="00F748A7">
        <w:t xml:space="preserve">] showed that 3D printing may adjust anisotropic characteristics and improve SE performance by layer orientation. </w:t>
      </w:r>
    </w:p>
    <w:p w14:paraId="753F4A37" w14:textId="77777777" w:rsidR="00F748A7" w:rsidRPr="00F748A7" w:rsidRDefault="00FB4DC5" w:rsidP="00F748A7">
      <w:pPr>
        <w:pStyle w:val="Paragraph"/>
      </w:pPr>
      <w:r>
        <w:t>Research [16]</w:t>
      </w:r>
      <w:r w:rsidR="00F748A7" w:rsidRPr="00F748A7">
        <w:t xml:space="preserve"> discussed EMI shielding composite structural design and typical mistakes. Their findings [6] suggested that percolation thresholds, interface engineering and filler agglomeration limit real-world performance. </w:t>
      </w:r>
      <w:r w:rsidR="00342705">
        <w:t>Research [167]</w:t>
      </w:r>
      <w:r w:rsidR="00F748A7" w:rsidRPr="00F748A7">
        <w:t xml:space="preserve">examined carbon nanotube reinforced polystyrene composites interaction processes and rheology and findings shows [7] supporting polystyrene matrices for high-frequency EMI applications with conductive nanofillers. In his doctoral dissertation Salari (2024) modelled graphene centered polymer composites for EMI shielding at many scales. Theoretical models and experimental validation are needed to accurately estimate shielding performance [8]. </w:t>
      </w:r>
      <w:r w:rsidR="00342705">
        <w:t>Research [18]</w:t>
      </w:r>
      <w:r w:rsidR="00F748A7" w:rsidRPr="00F748A7">
        <w:t>examined polymer-based composite EMI shielding structure and processing techniques. They concluded [</w:t>
      </w:r>
      <w:r w:rsidR="00342705">
        <w:t>19-21</w:t>
      </w:r>
      <w:r w:rsidR="00F748A7" w:rsidRPr="00F748A7">
        <w:t>] that hybrid reinforcement and sustainable processing were essential for environmental and performance goals. Polymer matrices hold 3D graphene constructions according to Chhetri and Kuila (2024)  found various internal reflections and conductive channels in interconnected 3D graphene frameworks improve EMI shielding. Carbon fibre composites bonded with haematite and goethite were examined for shiel</w:t>
      </w:r>
      <w:r w:rsidR="00342705">
        <w:t>ding and mechanical integrity [22-24]</w:t>
      </w:r>
      <w:r w:rsidR="00F748A7" w:rsidRPr="00F748A7">
        <w:t>. Their findings [</w:t>
      </w:r>
      <w:r w:rsidR="00D76838">
        <w:t>25</w:t>
      </w:r>
      <w:r w:rsidR="00F748A7" w:rsidRPr="00F748A7">
        <w:t>] suggest that magnetic fillers and structural reinforcements improve SE and impact strength supporting hybrid design. Polyimide nanocomposites for EMI shielding were studied by Li (2025). Inferences [12] verified that polyimides natural thermal stability and dielectric strength make them appropriate for aerospace shielding with nanocarbon or magnetic fillers.</w:t>
      </w:r>
    </w:p>
    <w:p w14:paraId="180F03F0" w14:textId="77777777" w:rsidR="00F748A7" w:rsidRPr="00F748A7" w:rsidRDefault="00F748A7" w:rsidP="00F748A7">
      <w:pPr>
        <w:pStyle w:val="Paragraph"/>
      </w:pPr>
      <w:r w:rsidRPr="00F748A7">
        <w:t xml:space="preserve">Powder metallurgy was used to study copper based hybrid nanocomposites </w:t>
      </w:r>
      <w:r w:rsidR="00D76838">
        <w:t>[26-29]</w:t>
      </w:r>
      <w:r w:rsidRPr="00F748A7">
        <w:t xml:space="preserve"> and studied the behavior of heat and corrosion  and their findings [13] support metal polymer hybridization. For wearable EMI shielding </w:t>
      </w:r>
      <w:r w:rsidR="0009469D">
        <w:t xml:space="preserve">[30-32] </w:t>
      </w:r>
      <w:r w:rsidRPr="00F748A7">
        <w:t xml:space="preserve">designed PVDF-CNT-GnP nanocomposites via scalable solution spinning. Their findings [14] confirmed that hierarchical architectures and surface engineering enable super hydro phobicity and ultradurable shielding textiles. </w:t>
      </w:r>
      <w:r w:rsidR="0009469D">
        <w:t>Research [33]</w:t>
      </w:r>
      <w:r w:rsidRPr="00F748A7">
        <w:t xml:space="preserve"> examined lightweight polymer-based EMI shielding. They found hybrid fillers to be a trustworthy solution for flexible and structural applications due to their low density and good shielding efficacy [</w:t>
      </w:r>
      <w:r w:rsidR="00AB412F">
        <w:t>34</w:t>
      </w:r>
      <w:r w:rsidRPr="00F748A7">
        <w:t xml:space="preserve">]. </w:t>
      </w:r>
      <w:r w:rsidR="00AB412F">
        <w:t>They</w:t>
      </w:r>
      <w:r w:rsidRPr="00F748A7">
        <w:t xml:space="preserve"> covered EMI shielding materials, mechanisms, and applications. Their conclusions [</w:t>
      </w:r>
      <w:r w:rsidR="00AB412F">
        <w:t>35-36</w:t>
      </w:r>
      <w:r w:rsidRPr="00F748A7">
        <w:t>] united conductive, magnetic and hybrid mechanisms and emphasized composite optimization for next generation shielding.Through solution blending, this work examines the impact of adding 1 weight % graphene and different concentrations of FeO₄ nanoparticles to a PS matrix. For possible usage in electronic enclosures and aircraft shielding applications, the composite's tensile stress, thermal stability, and EMI shielding efficacy are being assessed</w:t>
      </w:r>
      <w:r w:rsidR="007843D7">
        <w:t xml:space="preserve"> </w:t>
      </w:r>
      <w:r w:rsidR="007843D7" w:rsidRPr="00F748A7">
        <w:t>[</w:t>
      </w:r>
      <w:r w:rsidR="007843D7">
        <w:t>52-53</w:t>
      </w:r>
      <w:r w:rsidR="007843D7" w:rsidRPr="00F748A7">
        <w:t>]</w:t>
      </w:r>
      <w:r w:rsidRPr="00F748A7">
        <w:t>.</w:t>
      </w:r>
    </w:p>
    <w:p w14:paraId="6CDC53BC" w14:textId="77777777" w:rsidR="000F3FD2" w:rsidRPr="00075EA6" w:rsidRDefault="000F3FD2" w:rsidP="00E717BB">
      <w:pPr>
        <w:pStyle w:val="Heading1"/>
        <w:rPr>
          <w:b w:val="0"/>
          <w:caps w:val="0"/>
          <w:sz w:val="20"/>
        </w:rPr>
      </w:pPr>
      <w:r w:rsidRPr="000F3FD2">
        <w:t>Materials and Methods</w:t>
      </w:r>
    </w:p>
    <w:p w14:paraId="5B854BDB" w14:textId="77777777" w:rsidR="0044365F" w:rsidRPr="0044365F" w:rsidRDefault="0044365F" w:rsidP="00E717BB">
      <w:pPr>
        <w:pStyle w:val="Paragraph"/>
      </w:pPr>
      <w:r w:rsidRPr="0044365F">
        <w:t>Due to its simplicity of processing and suitability for both structural and functional purposes the commercial grade polystyrene was selected as the foundation polymer matrix for this investigation along with the consideration of their exceptional mechanical strength and electrical conductivity, graphene nanoplatelets were introduced as reinforcing fillers at a set concentration of 1 weight %. Vaious weight % of 2 wt %, 4 wt % and 6 wt % of magnetite (Fe₃O₄) nanoparticles which have an average particle size of 30 nm were added and these magnetic nanoparticles were chosen for their capacity to shield against electromagnetic interference and to increase thermal stability. An analytical grade organic solvent called tetrahydrofuran was used as the dispersion medium because of its superior compatibility with polystyrene and capacity to dissolve the matrix evenly.</w:t>
      </w:r>
    </w:p>
    <w:p w14:paraId="23BBF471" w14:textId="77777777" w:rsidR="0044365F" w:rsidRPr="0044365F" w:rsidRDefault="0044365F" w:rsidP="00E717BB">
      <w:pPr>
        <w:pStyle w:val="Paragraph"/>
      </w:pPr>
      <w:r w:rsidRPr="0044365F">
        <w:t xml:space="preserve">Even filler dispersion and appropriate matrix filler interaction the polystyrene based hybrid nanocomposites were made using a solution blending process and to reduce agglomeration and break apart </w:t>
      </w:r>
      <w:r w:rsidRPr="00E717BB">
        <w:t>particle</w:t>
      </w:r>
      <w:r w:rsidRPr="0044365F">
        <w:t xml:space="preserve"> clusters graphene nanoplatelets and FeO₄ nanoparticles were first dispersed individually in THF using a probe sonicator for 30 minutes. To create a transparent polymer solution polystyrene pellets were dissolved in THF concurrently and guaranteed uniform mixing the sonicated nanofiller suspensions were thereafter introduced progressively to the </w:t>
      </w:r>
      <w:r w:rsidRPr="0044365F">
        <w:lastRenderedPageBreak/>
        <w:t>polymer solution while being continuously stirred by magnetic means. After that the mixture was transferred into sanitized Petri dishes and allowed to evaporate the solvent under normal circumstances. The samples were vacuum dried for 24 hours at 60°C to eliminate any remaining solvent and maintain the integrity of the film and optionally hot pressed to provide standardized sheets with consistent thickness and surface finish for additional compaction and mechanical testing.</w:t>
      </w:r>
    </w:p>
    <w:p w14:paraId="7C9D4B65" w14:textId="77777777" w:rsidR="0044365F" w:rsidRPr="0044365F" w:rsidRDefault="0044365F" w:rsidP="0044365F">
      <w:pPr>
        <w:pStyle w:val="Paragraph"/>
      </w:pPr>
      <w:r w:rsidRPr="0044365F">
        <w:t>The reinforcing effect of graphene and magnetite fillers on the mechanical integrity of the matrix was evaluated by analyzing the tensile behavior of the synthesized polystyrene hybrid nanocomposites. A universal testing machine was used to measure tensile stress in compliance with ASTM D638. The hot pressed composite sheets were used to create dog bone shaped specimens and tests were conducted in with a constant crosshead speed and their findings shed light on the enhancements in toughness and load bearing capability that the hybrid nanofillers brought about.</w:t>
      </w:r>
    </w:p>
    <w:p w14:paraId="3962524F" w14:textId="77777777" w:rsidR="0044365F" w:rsidRPr="0044365F" w:rsidRDefault="0044365F" w:rsidP="0044365F">
      <w:pPr>
        <w:pStyle w:val="Paragraph"/>
      </w:pPr>
      <w:r w:rsidRPr="0044365F">
        <w:t>Thermogravimetric analysis commonly termed as TGA was used to evaluate the thermal stability of the nanocomposites in a nitrogen atmosphere to avoid oxidative degradation. At a steady heating rate 10 milligrams of each sample was heated from atmospheric temperature to 800°C. The maximal degradation rate and the beginning decomposition temperature were the main results. The effect of filler type and the resistance of composites to thermal deterioration was determined with the help of these factors.</w:t>
      </w:r>
    </w:p>
    <w:p w14:paraId="0BFC7AD7" w14:textId="77777777" w:rsidR="0044365F" w:rsidRDefault="0044365F" w:rsidP="00E4346B">
      <w:pPr>
        <w:pStyle w:val="Paragraph"/>
      </w:pPr>
      <w:r w:rsidRPr="0044365F">
        <w:t>A vector network analyser operating in the range of X-band frequency 8.2–12.4 GHz was used to evaluate the composites electromagnetic interference shielding efficacy. The transmission and reflection coefficients were measured by cutting and mounting rectangular specimens in the waveguide holder. Shielding effectiveness which took into account both absorption and reflection mechanisms, was measured in decibels. These measurements were important in finding the composites are suitable for EMI shielding solicitations in electrical and aeronautical systems.</w:t>
      </w:r>
    </w:p>
    <w:p w14:paraId="70015149" w14:textId="77777777" w:rsidR="000F3FD2" w:rsidRDefault="000F3FD2" w:rsidP="000F3FD2">
      <w:pPr>
        <w:pStyle w:val="Heading1"/>
      </w:pPr>
      <w:r>
        <w:t>Results and Discussion</w:t>
      </w:r>
    </w:p>
    <w:p w14:paraId="7D984CC9" w14:textId="77777777" w:rsidR="0044365F" w:rsidRPr="0044365F" w:rsidRDefault="0044365F" w:rsidP="00E717BB">
      <w:pPr>
        <w:pStyle w:val="Heading2"/>
      </w:pPr>
      <w:r w:rsidRPr="0044365F">
        <w:t>Tensile Properties</w:t>
      </w:r>
    </w:p>
    <w:p w14:paraId="1F881CC9" w14:textId="77777777" w:rsidR="0044365F" w:rsidRPr="001016E0" w:rsidRDefault="0044365F" w:rsidP="00E717BB">
      <w:pPr>
        <w:pStyle w:val="TableCaption"/>
      </w:pPr>
      <w:r w:rsidRPr="001016E0">
        <w:t xml:space="preserve">Table 1: Tensile Stress of PS Hybrid </w:t>
      </w:r>
      <w:r w:rsidRPr="00E717BB">
        <w:t>Composites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4"/>
        <w:gridCol w:w="1983"/>
      </w:tblGrid>
      <w:tr w:rsidR="0044365F" w:rsidRPr="0044365F" w14:paraId="54A2ABFD" w14:textId="77777777" w:rsidTr="00E717BB">
        <w:trPr>
          <w:jc w:val="center"/>
        </w:trPr>
        <w:tc>
          <w:tcPr>
            <w:tcW w:w="0" w:type="auto"/>
            <w:tcBorders>
              <w:bottom w:val="single" w:sz="4" w:space="0" w:color="auto"/>
            </w:tcBorders>
            <w:hideMark/>
          </w:tcPr>
          <w:p w14:paraId="43C51426" w14:textId="77777777" w:rsidR="0044365F" w:rsidRPr="0044365F" w:rsidRDefault="0044365F" w:rsidP="0044365F">
            <w:pPr>
              <w:pStyle w:val="TableCaption"/>
              <w:jc w:val="both"/>
              <w:rPr>
                <w:b/>
                <w:bCs/>
                <w:sz w:val="20"/>
              </w:rPr>
            </w:pPr>
            <w:r w:rsidRPr="0044365F">
              <w:rPr>
                <w:b/>
                <w:bCs/>
                <w:sz w:val="20"/>
              </w:rPr>
              <w:t>Fe₃O₄ Content (wt%)</w:t>
            </w:r>
          </w:p>
        </w:tc>
        <w:tc>
          <w:tcPr>
            <w:tcW w:w="0" w:type="auto"/>
            <w:tcBorders>
              <w:bottom w:val="single" w:sz="4" w:space="0" w:color="auto"/>
            </w:tcBorders>
            <w:hideMark/>
          </w:tcPr>
          <w:p w14:paraId="7AA2DA6E" w14:textId="77777777" w:rsidR="0044365F" w:rsidRPr="0044365F" w:rsidRDefault="0044365F" w:rsidP="0044365F">
            <w:pPr>
              <w:pStyle w:val="TableCaption"/>
              <w:jc w:val="both"/>
              <w:rPr>
                <w:b/>
                <w:bCs/>
                <w:sz w:val="20"/>
              </w:rPr>
            </w:pPr>
            <w:r w:rsidRPr="0044365F">
              <w:rPr>
                <w:b/>
                <w:bCs/>
                <w:sz w:val="20"/>
              </w:rPr>
              <w:t>Tensile Stress (MPa)</w:t>
            </w:r>
          </w:p>
        </w:tc>
      </w:tr>
      <w:tr w:rsidR="0044365F" w:rsidRPr="0044365F" w14:paraId="16F13079" w14:textId="77777777" w:rsidTr="00E717BB">
        <w:trPr>
          <w:jc w:val="center"/>
        </w:trPr>
        <w:tc>
          <w:tcPr>
            <w:tcW w:w="0" w:type="auto"/>
            <w:tcBorders>
              <w:top w:val="single" w:sz="4" w:space="0" w:color="auto"/>
            </w:tcBorders>
            <w:hideMark/>
          </w:tcPr>
          <w:p w14:paraId="7FACF6D4" w14:textId="77777777" w:rsidR="0044365F" w:rsidRPr="0044365F" w:rsidRDefault="0044365F" w:rsidP="0044365F">
            <w:pPr>
              <w:pStyle w:val="TableCaption"/>
              <w:jc w:val="both"/>
              <w:rPr>
                <w:sz w:val="20"/>
              </w:rPr>
            </w:pPr>
            <w:r w:rsidRPr="0044365F">
              <w:rPr>
                <w:sz w:val="20"/>
              </w:rPr>
              <w:t>Neat PS</w:t>
            </w:r>
          </w:p>
        </w:tc>
        <w:tc>
          <w:tcPr>
            <w:tcW w:w="0" w:type="auto"/>
            <w:tcBorders>
              <w:top w:val="single" w:sz="4" w:space="0" w:color="auto"/>
            </w:tcBorders>
            <w:hideMark/>
          </w:tcPr>
          <w:p w14:paraId="29860EC4" w14:textId="77777777" w:rsidR="0044365F" w:rsidRPr="0044365F" w:rsidRDefault="0044365F" w:rsidP="0044365F">
            <w:pPr>
              <w:pStyle w:val="TableCaption"/>
              <w:jc w:val="both"/>
              <w:rPr>
                <w:sz w:val="20"/>
              </w:rPr>
            </w:pPr>
            <w:r w:rsidRPr="0044365F">
              <w:rPr>
                <w:sz w:val="20"/>
              </w:rPr>
              <w:t>31.2</w:t>
            </w:r>
          </w:p>
        </w:tc>
      </w:tr>
      <w:tr w:rsidR="0044365F" w:rsidRPr="0044365F" w14:paraId="37158C16" w14:textId="77777777" w:rsidTr="00E717BB">
        <w:trPr>
          <w:jc w:val="center"/>
        </w:trPr>
        <w:tc>
          <w:tcPr>
            <w:tcW w:w="0" w:type="auto"/>
            <w:hideMark/>
          </w:tcPr>
          <w:p w14:paraId="3DDD5F6F" w14:textId="77777777" w:rsidR="0044365F" w:rsidRPr="0044365F" w:rsidRDefault="0044365F" w:rsidP="0044365F">
            <w:pPr>
              <w:pStyle w:val="TableCaption"/>
              <w:jc w:val="both"/>
              <w:rPr>
                <w:sz w:val="20"/>
              </w:rPr>
            </w:pPr>
            <w:r w:rsidRPr="0044365F">
              <w:rPr>
                <w:sz w:val="20"/>
              </w:rPr>
              <w:t>2% Fe₃O₄ + 1% Graphene</w:t>
            </w:r>
          </w:p>
        </w:tc>
        <w:tc>
          <w:tcPr>
            <w:tcW w:w="0" w:type="auto"/>
            <w:hideMark/>
          </w:tcPr>
          <w:p w14:paraId="70A2F81E" w14:textId="77777777" w:rsidR="0044365F" w:rsidRPr="0044365F" w:rsidRDefault="0044365F" w:rsidP="0044365F">
            <w:pPr>
              <w:pStyle w:val="TableCaption"/>
              <w:jc w:val="both"/>
              <w:rPr>
                <w:sz w:val="20"/>
              </w:rPr>
            </w:pPr>
            <w:r w:rsidRPr="0044365F">
              <w:rPr>
                <w:sz w:val="20"/>
              </w:rPr>
              <w:t>38.6</w:t>
            </w:r>
          </w:p>
        </w:tc>
      </w:tr>
      <w:tr w:rsidR="0044365F" w:rsidRPr="0044365F" w14:paraId="2541714E" w14:textId="77777777" w:rsidTr="00E717BB">
        <w:trPr>
          <w:jc w:val="center"/>
        </w:trPr>
        <w:tc>
          <w:tcPr>
            <w:tcW w:w="0" w:type="auto"/>
            <w:hideMark/>
          </w:tcPr>
          <w:p w14:paraId="50AC0521" w14:textId="77777777" w:rsidR="0044365F" w:rsidRPr="0044365F" w:rsidRDefault="0044365F" w:rsidP="0044365F">
            <w:pPr>
              <w:pStyle w:val="TableCaption"/>
              <w:jc w:val="both"/>
              <w:rPr>
                <w:sz w:val="20"/>
              </w:rPr>
            </w:pPr>
            <w:r w:rsidRPr="0044365F">
              <w:rPr>
                <w:sz w:val="20"/>
              </w:rPr>
              <w:t>4% Fe₃O₄ + 1% Graphene</w:t>
            </w:r>
          </w:p>
        </w:tc>
        <w:tc>
          <w:tcPr>
            <w:tcW w:w="0" w:type="auto"/>
            <w:hideMark/>
          </w:tcPr>
          <w:p w14:paraId="724D945C" w14:textId="77777777" w:rsidR="0044365F" w:rsidRPr="0044365F" w:rsidRDefault="0044365F" w:rsidP="0044365F">
            <w:pPr>
              <w:pStyle w:val="TableCaption"/>
              <w:jc w:val="both"/>
              <w:rPr>
                <w:sz w:val="20"/>
              </w:rPr>
            </w:pPr>
            <w:r w:rsidRPr="0044365F">
              <w:rPr>
                <w:b/>
                <w:bCs/>
                <w:sz w:val="20"/>
              </w:rPr>
              <w:t>44.9</w:t>
            </w:r>
          </w:p>
        </w:tc>
      </w:tr>
      <w:tr w:rsidR="0044365F" w:rsidRPr="0044365F" w14:paraId="1191FCF9" w14:textId="77777777" w:rsidTr="00E717BB">
        <w:trPr>
          <w:jc w:val="center"/>
        </w:trPr>
        <w:tc>
          <w:tcPr>
            <w:tcW w:w="0" w:type="auto"/>
            <w:hideMark/>
          </w:tcPr>
          <w:p w14:paraId="5AA475C1" w14:textId="77777777" w:rsidR="0044365F" w:rsidRPr="0044365F" w:rsidRDefault="0044365F" w:rsidP="0044365F">
            <w:pPr>
              <w:pStyle w:val="TableCaption"/>
              <w:jc w:val="both"/>
              <w:rPr>
                <w:sz w:val="20"/>
              </w:rPr>
            </w:pPr>
            <w:r w:rsidRPr="0044365F">
              <w:rPr>
                <w:sz w:val="20"/>
              </w:rPr>
              <w:t>6% Fe₃O₄ + 1% Graphene</w:t>
            </w:r>
          </w:p>
        </w:tc>
        <w:tc>
          <w:tcPr>
            <w:tcW w:w="0" w:type="auto"/>
            <w:hideMark/>
          </w:tcPr>
          <w:p w14:paraId="724664B2" w14:textId="77777777" w:rsidR="0044365F" w:rsidRPr="0044365F" w:rsidRDefault="0044365F" w:rsidP="0044365F">
            <w:pPr>
              <w:pStyle w:val="TableCaption"/>
              <w:jc w:val="both"/>
              <w:rPr>
                <w:sz w:val="20"/>
              </w:rPr>
            </w:pPr>
            <w:r w:rsidRPr="0044365F">
              <w:rPr>
                <w:sz w:val="20"/>
              </w:rPr>
              <w:t>41.5</w:t>
            </w:r>
          </w:p>
        </w:tc>
      </w:tr>
    </w:tbl>
    <w:p w14:paraId="28A29D1F" w14:textId="77777777" w:rsidR="0044365F" w:rsidRPr="0044365F" w:rsidRDefault="0044365F" w:rsidP="001016E0">
      <w:pPr>
        <w:pStyle w:val="TableCaption"/>
        <w:rPr>
          <w:b/>
          <w:bCs/>
          <w:sz w:val="20"/>
        </w:rPr>
      </w:pPr>
      <w:r w:rsidRPr="0044365F">
        <w:rPr>
          <w:noProof/>
          <w:sz w:val="20"/>
        </w:rPr>
        <w:drawing>
          <wp:inline distT="0" distB="0" distL="0" distR="0" wp14:anchorId="6C1B91E6" wp14:editId="354F3FDB">
            <wp:extent cx="3771900" cy="214122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1727EBD" w14:textId="77777777" w:rsidR="0044365F" w:rsidRDefault="0044365F" w:rsidP="00E717BB">
      <w:pPr>
        <w:pStyle w:val="FigureCaption"/>
      </w:pPr>
      <w:r w:rsidRPr="001016E0">
        <w:t>Figure 1: Tensile Stress of PS Hybrid Composites</w:t>
      </w:r>
    </w:p>
    <w:p w14:paraId="70F1E7CD" w14:textId="77777777" w:rsidR="00E717BB" w:rsidRPr="0044365F" w:rsidRDefault="00E717BB" w:rsidP="00E717BB">
      <w:pPr>
        <w:pStyle w:val="Paragraph"/>
      </w:pPr>
      <w:r w:rsidRPr="0044365F">
        <w:t xml:space="preserve">When graphene and FeO₄ nanoparticles were added to the polystyrene hybrid composites their mechanical performance significantly improved. A tensile stress of 31.2 MPa was observed in pristine PS as indicated in Table 1. The first reinforcing effect of the hybrid fillers was highlighted by the increase in tensile stress to 38.6 MPa upon </w:t>
      </w:r>
      <w:r w:rsidRPr="0044365F">
        <w:lastRenderedPageBreak/>
        <w:t xml:space="preserve">the addition of 1 weight percent graphene and 2 weight percent FeO₄ higher </w:t>
      </w:r>
      <w:r w:rsidRPr="00E717BB">
        <w:t>tensile</w:t>
      </w:r>
      <w:r w:rsidRPr="0044365F">
        <w:t xml:space="preserve"> stress of 44.9 MPa was achieved by the composite at 4 weight percent FeO₄ indicating an even greater improvement. By limiting polymer chain mobility and promoting stress transfer across the matrix the evenly distributed FeO₄ nanoparticles and graphene nanoplatelets works to produce this improvement. But at 6 weight percent FeO₄ there was a slight decrease to 41.5 MPa which was probably caused by nanoparticle agglomeration at higher filler concentrations which can serve as stress concentration sites and impair mechanical performance.</w:t>
      </w:r>
    </w:p>
    <w:p w14:paraId="2074CF49" w14:textId="77777777" w:rsidR="0044365F" w:rsidRPr="0044365F" w:rsidRDefault="0044365F" w:rsidP="00E717BB">
      <w:pPr>
        <w:pStyle w:val="Heading2"/>
      </w:pPr>
      <w:r w:rsidRPr="0044365F">
        <w:t>Thermal Stability</w:t>
      </w:r>
    </w:p>
    <w:p w14:paraId="3C40E6F5" w14:textId="77777777" w:rsidR="0044365F" w:rsidRPr="0044365F" w:rsidRDefault="0044365F" w:rsidP="00E717BB">
      <w:pPr>
        <w:pStyle w:val="Paragraph"/>
      </w:pPr>
      <w:r w:rsidRPr="0044365F">
        <w:t xml:space="preserve">The results of thermogravimetric analysis used to assess the composite thermal stability are compiled in Table 2. When the temperature reached 354°C the tidy polystyrene matrix started to break down. An improvement in thermal resistance was consistently seen with the use of hybrid fillers. The beginning decomposition temperature was 368°C for 2 weight% FeO₄ and 1 weight % graphene. The maximum thermal stability with an onset temperature of 379°C was attained at 4 weight percent FeO₄. The scattered FeO₄ nanoparticles and graphene layers barrier effect which prevents the generation of volatile degradation products and slows heat transfer is responsible for this. The onset temperature dropped somewhat to 376°C at 6 weight percent FeO₄ indicating that too </w:t>
      </w:r>
      <w:r w:rsidRPr="00E717BB">
        <w:t>much</w:t>
      </w:r>
      <w:r w:rsidRPr="0044365F">
        <w:t xml:space="preserve"> filler might cause dispersion and thermal shielding homogeneity to be compromised.</w:t>
      </w:r>
    </w:p>
    <w:p w14:paraId="20E91644" w14:textId="77777777" w:rsidR="0044365F" w:rsidRPr="001016E0" w:rsidRDefault="0044365F" w:rsidP="00E717BB">
      <w:pPr>
        <w:pStyle w:val="TableCaption"/>
      </w:pPr>
      <w:r w:rsidRPr="001016E0">
        <w:t>Table 2: Onset Decomposition Temperature</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6"/>
        <w:gridCol w:w="2991"/>
      </w:tblGrid>
      <w:tr w:rsidR="0044365F" w:rsidRPr="0044365F" w14:paraId="245CEB8D" w14:textId="77777777" w:rsidTr="00E717BB">
        <w:trPr>
          <w:jc w:val="center"/>
        </w:trPr>
        <w:tc>
          <w:tcPr>
            <w:tcW w:w="0" w:type="auto"/>
            <w:tcBorders>
              <w:bottom w:val="single" w:sz="4" w:space="0" w:color="auto"/>
            </w:tcBorders>
            <w:vAlign w:val="center"/>
            <w:hideMark/>
          </w:tcPr>
          <w:p w14:paraId="2907F4FD" w14:textId="77777777" w:rsidR="0044365F" w:rsidRPr="0044365F" w:rsidRDefault="0044365F" w:rsidP="0044365F">
            <w:pPr>
              <w:pStyle w:val="TableCaption"/>
              <w:jc w:val="both"/>
              <w:rPr>
                <w:b/>
                <w:bCs/>
                <w:sz w:val="20"/>
              </w:rPr>
            </w:pPr>
            <w:r w:rsidRPr="0044365F">
              <w:rPr>
                <w:b/>
                <w:bCs/>
                <w:sz w:val="20"/>
              </w:rPr>
              <w:t>Fe₃O₄ Content (wt%)</w:t>
            </w:r>
          </w:p>
        </w:tc>
        <w:tc>
          <w:tcPr>
            <w:tcW w:w="0" w:type="auto"/>
            <w:tcBorders>
              <w:bottom w:val="single" w:sz="4" w:space="0" w:color="auto"/>
            </w:tcBorders>
            <w:vAlign w:val="center"/>
            <w:hideMark/>
          </w:tcPr>
          <w:p w14:paraId="314E4FEC" w14:textId="77777777" w:rsidR="0044365F" w:rsidRPr="0044365F" w:rsidRDefault="0044365F" w:rsidP="0044365F">
            <w:pPr>
              <w:pStyle w:val="TableCaption"/>
              <w:jc w:val="both"/>
              <w:rPr>
                <w:b/>
                <w:bCs/>
                <w:sz w:val="20"/>
              </w:rPr>
            </w:pPr>
            <w:r w:rsidRPr="0044365F">
              <w:rPr>
                <w:b/>
                <w:bCs/>
                <w:sz w:val="20"/>
              </w:rPr>
              <w:t>Onset Decomposition Temp (°C)</w:t>
            </w:r>
          </w:p>
        </w:tc>
      </w:tr>
      <w:tr w:rsidR="0044365F" w:rsidRPr="0044365F" w14:paraId="0949BB1C" w14:textId="77777777" w:rsidTr="00E717BB">
        <w:trPr>
          <w:jc w:val="center"/>
        </w:trPr>
        <w:tc>
          <w:tcPr>
            <w:tcW w:w="0" w:type="auto"/>
            <w:tcBorders>
              <w:top w:val="single" w:sz="4" w:space="0" w:color="auto"/>
            </w:tcBorders>
            <w:vAlign w:val="center"/>
            <w:hideMark/>
          </w:tcPr>
          <w:p w14:paraId="1BC53965" w14:textId="77777777" w:rsidR="0044365F" w:rsidRPr="0044365F" w:rsidRDefault="0044365F" w:rsidP="0044365F">
            <w:pPr>
              <w:pStyle w:val="TableCaption"/>
              <w:jc w:val="both"/>
              <w:rPr>
                <w:sz w:val="20"/>
              </w:rPr>
            </w:pPr>
            <w:r w:rsidRPr="0044365F">
              <w:rPr>
                <w:sz w:val="20"/>
              </w:rPr>
              <w:t>Neat PS</w:t>
            </w:r>
          </w:p>
        </w:tc>
        <w:tc>
          <w:tcPr>
            <w:tcW w:w="0" w:type="auto"/>
            <w:tcBorders>
              <w:top w:val="single" w:sz="4" w:space="0" w:color="auto"/>
            </w:tcBorders>
            <w:vAlign w:val="center"/>
            <w:hideMark/>
          </w:tcPr>
          <w:p w14:paraId="7837A1DE" w14:textId="77777777" w:rsidR="0044365F" w:rsidRPr="0044365F" w:rsidRDefault="0044365F" w:rsidP="0044365F">
            <w:pPr>
              <w:pStyle w:val="TableCaption"/>
              <w:jc w:val="both"/>
              <w:rPr>
                <w:sz w:val="20"/>
              </w:rPr>
            </w:pPr>
            <w:r w:rsidRPr="0044365F">
              <w:rPr>
                <w:sz w:val="20"/>
              </w:rPr>
              <w:t>354</w:t>
            </w:r>
          </w:p>
        </w:tc>
      </w:tr>
      <w:tr w:rsidR="0044365F" w:rsidRPr="0044365F" w14:paraId="68308C7F" w14:textId="77777777" w:rsidTr="00E717BB">
        <w:trPr>
          <w:jc w:val="center"/>
        </w:trPr>
        <w:tc>
          <w:tcPr>
            <w:tcW w:w="0" w:type="auto"/>
            <w:vAlign w:val="center"/>
            <w:hideMark/>
          </w:tcPr>
          <w:p w14:paraId="6C9BE594" w14:textId="77777777" w:rsidR="0044365F" w:rsidRPr="0044365F" w:rsidRDefault="0044365F" w:rsidP="0044365F">
            <w:pPr>
              <w:pStyle w:val="TableCaption"/>
              <w:jc w:val="both"/>
              <w:rPr>
                <w:sz w:val="20"/>
              </w:rPr>
            </w:pPr>
            <w:r w:rsidRPr="0044365F">
              <w:rPr>
                <w:sz w:val="20"/>
              </w:rPr>
              <w:t>2% Fe₃O₄ + Graphene</w:t>
            </w:r>
          </w:p>
        </w:tc>
        <w:tc>
          <w:tcPr>
            <w:tcW w:w="0" w:type="auto"/>
            <w:vAlign w:val="center"/>
            <w:hideMark/>
          </w:tcPr>
          <w:p w14:paraId="33C358C0" w14:textId="77777777" w:rsidR="0044365F" w:rsidRPr="0044365F" w:rsidRDefault="0044365F" w:rsidP="0044365F">
            <w:pPr>
              <w:pStyle w:val="TableCaption"/>
              <w:jc w:val="both"/>
              <w:rPr>
                <w:sz w:val="20"/>
              </w:rPr>
            </w:pPr>
            <w:r w:rsidRPr="0044365F">
              <w:rPr>
                <w:sz w:val="20"/>
              </w:rPr>
              <w:t>368</w:t>
            </w:r>
          </w:p>
        </w:tc>
      </w:tr>
      <w:tr w:rsidR="0044365F" w:rsidRPr="0044365F" w14:paraId="72E4CB8A" w14:textId="77777777" w:rsidTr="00E717BB">
        <w:trPr>
          <w:jc w:val="center"/>
        </w:trPr>
        <w:tc>
          <w:tcPr>
            <w:tcW w:w="0" w:type="auto"/>
            <w:vAlign w:val="center"/>
            <w:hideMark/>
          </w:tcPr>
          <w:p w14:paraId="298AE0AB" w14:textId="77777777" w:rsidR="0044365F" w:rsidRPr="0044365F" w:rsidRDefault="0044365F" w:rsidP="0044365F">
            <w:pPr>
              <w:pStyle w:val="TableCaption"/>
              <w:jc w:val="both"/>
              <w:rPr>
                <w:sz w:val="20"/>
              </w:rPr>
            </w:pPr>
            <w:r w:rsidRPr="0044365F">
              <w:rPr>
                <w:sz w:val="20"/>
              </w:rPr>
              <w:t>4% Fe₃O₄ + Graphene</w:t>
            </w:r>
          </w:p>
        </w:tc>
        <w:tc>
          <w:tcPr>
            <w:tcW w:w="0" w:type="auto"/>
            <w:vAlign w:val="center"/>
            <w:hideMark/>
          </w:tcPr>
          <w:p w14:paraId="4FD9D59D" w14:textId="77777777" w:rsidR="0044365F" w:rsidRPr="0044365F" w:rsidRDefault="0044365F" w:rsidP="0044365F">
            <w:pPr>
              <w:pStyle w:val="TableCaption"/>
              <w:jc w:val="both"/>
              <w:rPr>
                <w:sz w:val="20"/>
              </w:rPr>
            </w:pPr>
            <w:r w:rsidRPr="0044365F">
              <w:rPr>
                <w:b/>
                <w:bCs/>
                <w:sz w:val="20"/>
              </w:rPr>
              <w:t>379</w:t>
            </w:r>
          </w:p>
        </w:tc>
      </w:tr>
      <w:tr w:rsidR="0044365F" w:rsidRPr="0044365F" w14:paraId="41334F01" w14:textId="77777777" w:rsidTr="00E717BB">
        <w:trPr>
          <w:jc w:val="center"/>
        </w:trPr>
        <w:tc>
          <w:tcPr>
            <w:tcW w:w="0" w:type="auto"/>
            <w:vAlign w:val="center"/>
            <w:hideMark/>
          </w:tcPr>
          <w:p w14:paraId="4E614F5D" w14:textId="77777777" w:rsidR="0044365F" w:rsidRPr="0044365F" w:rsidRDefault="0044365F" w:rsidP="0044365F">
            <w:pPr>
              <w:pStyle w:val="TableCaption"/>
              <w:jc w:val="both"/>
              <w:rPr>
                <w:sz w:val="20"/>
              </w:rPr>
            </w:pPr>
            <w:r w:rsidRPr="0044365F">
              <w:rPr>
                <w:sz w:val="20"/>
              </w:rPr>
              <w:t>6% Fe₃O₄ + Graphene</w:t>
            </w:r>
          </w:p>
        </w:tc>
        <w:tc>
          <w:tcPr>
            <w:tcW w:w="0" w:type="auto"/>
            <w:vAlign w:val="center"/>
            <w:hideMark/>
          </w:tcPr>
          <w:p w14:paraId="062E81B9" w14:textId="77777777" w:rsidR="0044365F" w:rsidRPr="0044365F" w:rsidRDefault="0044365F" w:rsidP="0044365F">
            <w:pPr>
              <w:pStyle w:val="TableCaption"/>
              <w:jc w:val="both"/>
              <w:rPr>
                <w:sz w:val="20"/>
              </w:rPr>
            </w:pPr>
            <w:r w:rsidRPr="0044365F">
              <w:rPr>
                <w:sz w:val="20"/>
              </w:rPr>
              <w:t>376</w:t>
            </w:r>
          </w:p>
        </w:tc>
      </w:tr>
    </w:tbl>
    <w:p w14:paraId="5E97F883" w14:textId="77777777" w:rsidR="0044365F" w:rsidRPr="0044365F" w:rsidRDefault="0044365F" w:rsidP="001016E0">
      <w:pPr>
        <w:pStyle w:val="TableCaption"/>
        <w:rPr>
          <w:b/>
          <w:bCs/>
          <w:sz w:val="20"/>
        </w:rPr>
      </w:pPr>
      <w:r w:rsidRPr="0044365F">
        <w:rPr>
          <w:noProof/>
          <w:sz w:val="20"/>
        </w:rPr>
        <w:drawing>
          <wp:inline distT="0" distB="0" distL="0" distR="0" wp14:anchorId="6ED2DA1B" wp14:editId="2A0623CA">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725A26B" w14:textId="77777777" w:rsidR="0044365F" w:rsidRPr="001016E0" w:rsidRDefault="0044365F" w:rsidP="00E717BB">
      <w:pPr>
        <w:pStyle w:val="FigureCaption"/>
      </w:pPr>
      <w:r w:rsidRPr="001016E0">
        <w:t>Figure 2: Onset Decomposition Temperature</w:t>
      </w:r>
    </w:p>
    <w:p w14:paraId="49D49AC4" w14:textId="77777777" w:rsidR="0044365F" w:rsidRPr="0044365F" w:rsidRDefault="0044365F" w:rsidP="00E717BB">
      <w:pPr>
        <w:pStyle w:val="Heading2"/>
      </w:pPr>
      <w:r w:rsidRPr="0044365F">
        <w:t>EMI Shielding Effectiveness</w:t>
      </w:r>
    </w:p>
    <w:p w14:paraId="7C423E5F" w14:textId="77777777" w:rsidR="0044365F" w:rsidRPr="0044365F" w:rsidRDefault="0044365F" w:rsidP="001016E0">
      <w:pPr>
        <w:pStyle w:val="Paragraph"/>
        <w:rPr>
          <w:szCs w:val="18"/>
        </w:rPr>
      </w:pPr>
      <w:r w:rsidRPr="0044365F">
        <w:rPr>
          <w:szCs w:val="18"/>
        </w:rPr>
        <w:t xml:space="preserve">The simultaneous presence of magnetic FeO₄ nanoparticles and conductive graphene greatly increased the composites EMI shielding efficiency . As a dielectric polymer neat PS showed very little shielding (~0.3 dB). SE rose to 10.2 dB with the addition of 2 weight percent FeO₄ and 1 weight percent graphene suggesting the development of partial magnetic and conductive shielding networks. With 4 weight % FeO₄, the highest SE of 17.5 dB was obtained which indicats the best possible compromise between magnetic loss (from FeO₄) and electrical </w:t>
      </w:r>
      <w:r w:rsidRPr="0044365F">
        <w:rPr>
          <w:szCs w:val="18"/>
        </w:rPr>
        <w:lastRenderedPageBreak/>
        <w:t>conductivity (from graphene). A minor decrease in SE to 15.8 dB was noted at 6 % percent FeO₄ presumably as a result of increased filler agglomeration that prevents consistent electromagnetic attenuation. These findings are shown in Table 3 support the hybrid nanocomposites' potential for effective and portable EMI shielding applications.</w:t>
      </w:r>
    </w:p>
    <w:p w14:paraId="145FB54E" w14:textId="77777777" w:rsidR="0044365F" w:rsidRPr="001016E0" w:rsidRDefault="0044365F" w:rsidP="00E717BB">
      <w:pPr>
        <w:pStyle w:val="TableCaption"/>
      </w:pPr>
      <w:r w:rsidRPr="001016E0">
        <w:t xml:space="preserve">Table 3: EMI Shielding </w:t>
      </w:r>
      <w:r w:rsidRPr="00E717BB">
        <w:t>Effectiveness</w:t>
      </w:r>
    </w:p>
    <w:tbl>
      <w:tblPr>
        <w:tblStyle w:val="TableGrid"/>
        <w:tblW w:w="403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5"/>
        <w:gridCol w:w="1602"/>
      </w:tblGrid>
      <w:tr w:rsidR="0044365F" w:rsidRPr="0044365F" w14:paraId="4EA3ECE1" w14:textId="77777777" w:rsidTr="00E717BB">
        <w:trPr>
          <w:trHeight w:val="358"/>
          <w:jc w:val="center"/>
        </w:trPr>
        <w:tc>
          <w:tcPr>
            <w:tcW w:w="0" w:type="auto"/>
            <w:tcBorders>
              <w:bottom w:val="single" w:sz="4" w:space="0" w:color="auto"/>
            </w:tcBorders>
            <w:vAlign w:val="center"/>
            <w:hideMark/>
          </w:tcPr>
          <w:p w14:paraId="36BB2F4D" w14:textId="77777777" w:rsidR="0044365F" w:rsidRPr="0044365F" w:rsidRDefault="0044365F" w:rsidP="0044365F">
            <w:pPr>
              <w:pStyle w:val="TableCaption"/>
              <w:jc w:val="both"/>
              <w:rPr>
                <w:b/>
                <w:bCs/>
                <w:sz w:val="20"/>
              </w:rPr>
            </w:pPr>
            <w:r w:rsidRPr="0044365F">
              <w:rPr>
                <w:b/>
                <w:bCs/>
                <w:sz w:val="20"/>
              </w:rPr>
              <w:t>Fe₃O₄ Content (wt%)</w:t>
            </w:r>
          </w:p>
        </w:tc>
        <w:tc>
          <w:tcPr>
            <w:tcW w:w="0" w:type="auto"/>
            <w:tcBorders>
              <w:bottom w:val="single" w:sz="4" w:space="0" w:color="auto"/>
            </w:tcBorders>
            <w:vAlign w:val="center"/>
            <w:hideMark/>
          </w:tcPr>
          <w:p w14:paraId="46127F21" w14:textId="77777777" w:rsidR="0044365F" w:rsidRPr="0044365F" w:rsidRDefault="0044365F" w:rsidP="0044365F">
            <w:pPr>
              <w:pStyle w:val="TableCaption"/>
              <w:jc w:val="both"/>
              <w:rPr>
                <w:b/>
                <w:bCs/>
                <w:sz w:val="20"/>
              </w:rPr>
            </w:pPr>
            <w:r w:rsidRPr="0044365F">
              <w:rPr>
                <w:b/>
                <w:bCs/>
                <w:sz w:val="20"/>
              </w:rPr>
              <w:t>EMI SE (dB)</w:t>
            </w:r>
          </w:p>
        </w:tc>
      </w:tr>
      <w:tr w:rsidR="0044365F" w:rsidRPr="0044365F" w14:paraId="64F26078" w14:textId="77777777" w:rsidTr="00E717BB">
        <w:trPr>
          <w:trHeight w:val="371"/>
          <w:jc w:val="center"/>
        </w:trPr>
        <w:tc>
          <w:tcPr>
            <w:tcW w:w="0" w:type="auto"/>
            <w:tcBorders>
              <w:top w:val="single" w:sz="4" w:space="0" w:color="auto"/>
            </w:tcBorders>
            <w:vAlign w:val="center"/>
            <w:hideMark/>
          </w:tcPr>
          <w:p w14:paraId="01C3500E" w14:textId="77777777" w:rsidR="0044365F" w:rsidRPr="0044365F" w:rsidRDefault="0044365F" w:rsidP="0044365F">
            <w:pPr>
              <w:pStyle w:val="TableCaption"/>
              <w:jc w:val="both"/>
              <w:rPr>
                <w:sz w:val="20"/>
              </w:rPr>
            </w:pPr>
            <w:r w:rsidRPr="0044365F">
              <w:rPr>
                <w:sz w:val="20"/>
              </w:rPr>
              <w:t>Neat PS</w:t>
            </w:r>
          </w:p>
        </w:tc>
        <w:tc>
          <w:tcPr>
            <w:tcW w:w="0" w:type="auto"/>
            <w:tcBorders>
              <w:top w:val="single" w:sz="4" w:space="0" w:color="auto"/>
            </w:tcBorders>
            <w:vAlign w:val="center"/>
            <w:hideMark/>
          </w:tcPr>
          <w:p w14:paraId="3CE2D42C" w14:textId="77777777" w:rsidR="0044365F" w:rsidRPr="0044365F" w:rsidRDefault="0044365F" w:rsidP="0044365F">
            <w:pPr>
              <w:pStyle w:val="TableCaption"/>
              <w:jc w:val="both"/>
              <w:rPr>
                <w:sz w:val="20"/>
              </w:rPr>
            </w:pPr>
            <w:r w:rsidRPr="0044365F">
              <w:rPr>
                <w:sz w:val="20"/>
              </w:rPr>
              <w:t>~0.3</w:t>
            </w:r>
          </w:p>
        </w:tc>
      </w:tr>
      <w:tr w:rsidR="0044365F" w:rsidRPr="0044365F" w14:paraId="4E5B135E" w14:textId="77777777" w:rsidTr="00E717BB">
        <w:trPr>
          <w:trHeight w:val="358"/>
          <w:jc w:val="center"/>
        </w:trPr>
        <w:tc>
          <w:tcPr>
            <w:tcW w:w="0" w:type="auto"/>
            <w:vAlign w:val="center"/>
            <w:hideMark/>
          </w:tcPr>
          <w:p w14:paraId="416BCD2F" w14:textId="77777777" w:rsidR="0044365F" w:rsidRPr="0044365F" w:rsidRDefault="0044365F" w:rsidP="0044365F">
            <w:pPr>
              <w:pStyle w:val="TableCaption"/>
              <w:jc w:val="both"/>
              <w:rPr>
                <w:sz w:val="20"/>
              </w:rPr>
            </w:pPr>
            <w:r w:rsidRPr="0044365F">
              <w:rPr>
                <w:sz w:val="20"/>
              </w:rPr>
              <w:t>2% Fe₃O₄ + Graphene</w:t>
            </w:r>
          </w:p>
        </w:tc>
        <w:tc>
          <w:tcPr>
            <w:tcW w:w="0" w:type="auto"/>
            <w:vAlign w:val="center"/>
            <w:hideMark/>
          </w:tcPr>
          <w:p w14:paraId="5FAB6C00" w14:textId="77777777" w:rsidR="0044365F" w:rsidRPr="0044365F" w:rsidRDefault="0044365F" w:rsidP="0044365F">
            <w:pPr>
              <w:pStyle w:val="TableCaption"/>
              <w:jc w:val="both"/>
              <w:rPr>
                <w:sz w:val="20"/>
              </w:rPr>
            </w:pPr>
            <w:r w:rsidRPr="0044365F">
              <w:rPr>
                <w:sz w:val="20"/>
              </w:rPr>
              <w:t>10.2</w:t>
            </w:r>
          </w:p>
        </w:tc>
      </w:tr>
      <w:tr w:rsidR="0044365F" w:rsidRPr="0044365F" w14:paraId="2E634A1C" w14:textId="77777777" w:rsidTr="00E717BB">
        <w:trPr>
          <w:trHeight w:val="371"/>
          <w:jc w:val="center"/>
        </w:trPr>
        <w:tc>
          <w:tcPr>
            <w:tcW w:w="0" w:type="auto"/>
            <w:vAlign w:val="center"/>
            <w:hideMark/>
          </w:tcPr>
          <w:p w14:paraId="1702CF0C" w14:textId="77777777" w:rsidR="0044365F" w:rsidRPr="0044365F" w:rsidRDefault="0044365F" w:rsidP="0044365F">
            <w:pPr>
              <w:pStyle w:val="TableCaption"/>
              <w:jc w:val="both"/>
              <w:rPr>
                <w:sz w:val="20"/>
              </w:rPr>
            </w:pPr>
            <w:r w:rsidRPr="0044365F">
              <w:rPr>
                <w:sz w:val="20"/>
              </w:rPr>
              <w:t>4% Fe₃O₄ + Graphene</w:t>
            </w:r>
          </w:p>
        </w:tc>
        <w:tc>
          <w:tcPr>
            <w:tcW w:w="0" w:type="auto"/>
            <w:vAlign w:val="center"/>
            <w:hideMark/>
          </w:tcPr>
          <w:p w14:paraId="61CDC74A" w14:textId="77777777" w:rsidR="0044365F" w:rsidRPr="0044365F" w:rsidRDefault="0044365F" w:rsidP="0044365F">
            <w:pPr>
              <w:pStyle w:val="TableCaption"/>
              <w:jc w:val="both"/>
              <w:rPr>
                <w:sz w:val="20"/>
              </w:rPr>
            </w:pPr>
            <w:r w:rsidRPr="0044365F">
              <w:rPr>
                <w:b/>
                <w:bCs/>
                <w:sz w:val="20"/>
              </w:rPr>
              <w:t>17.5</w:t>
            </w:r>
          </w:p>
        </w:tc>
      </w:tr>
      <w:tr w:rsidR="0044365F" w:rsidRPr="0044365F" w14:paraId="237D1526" w14:textId="77777777" w:rsidTr="00E717BB">
        <w:trPr>
          <w:trHeight w:val="358"/>
          <w:jc w:val="center"/>
        </w:trPr>
        <w:tc>
          <w:tcPr>
            <w:tcW w:w="0" w:type="auto"/>
            <w:vAlign w:val="center"/>
            <w:hideMark/>
          </w:tcPr>
          <w:p w14:paraId="321EE10D" w14:textId="77777777" w:rsidR="0044365F" w:rsidRPr="0044365F" w:rsidRDefault="0044365F" w:rsidP="0044365F">
            <w:pPr>
              <w:pStyle w:val="TableCaption"/>
              <w:jc w:val="both"/>
              <w:rPr>
                <w:sz w:val="20"/>
              </w:rPr>
            </w:pPr>
            <w:r w:rsidRPr="0044365F">
              <w:rPr>
                <w:sz w:val="20"/>
              </w:rPr>
              <w:t>6% Fe₃O₄ + Graphene</w:t>
            </w:r>
          </w:p>
        </w:tc>
        <w:tc>
          <w:tcPr>
            <w:tcW w:w="0" w:type="auto"/>
            <w:vAlign w:val="center"/>
            <w:hideMark/>
          </w:tcPr>
          <w:p w14:paraId="65AC7122" w14:textId="77777777" w:rsidR="0044365F" w:rsidRPr="0044365F" w:rsidRDefault="0044365F" w:rsidP="0044365F">
            <w:pPr>
              <w:pStyle w:val="TableCaption"/>
              <w:jc w:val="both"/>
              <w:rPr>
                <w:sz w:val="20"/>
              </w:rPr>
            </w:pPr>
            <w:r w:rsidRPr="0044365F">
              <w:rPr>
                <w:sz w:val="20"/>
              </w:rPr>
              <w:t>15.8</w:t>
            </w:r>
          </w:p>
        </w:tc>
      </w:tr>
    </w:tbl>
    <w:p w14:paraId="10A10695" w14:textId="77777777" w:rsidR="0044365F" w:rsidRPr="0044365F" w:rsidRDefault="0044365F" w:rsidP="00E717BB">
      <w:pPr>
        <w:pStyle w:val="Figure"/>
        <w:rPr>
          <w:b/>
          <w:bCs/>
        </w:rPr>
      </w:pPr>
      <w:r w:rsidRPr="0044365F">
        <w:rPr>
          <w:noProof/>
        </w:rPr>
        <w:drawing>
          <wp:inline distT="0" distB="0" distL="0" distR="0" wp14:anchorId="4897B81A" wp14:editId="7F7E8E5D">
            <wp:extent cx="4572000" cy="27432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C864950" w14:textId="77777777" w:rsidR="0044365F" w:rsidRPr="001016E0" w:rsidRDefault="0044365F" w:rsidP="00E717BB">
      <w:pPr>
        <w:pStyle w:val="FigureCaption"/>
      </w:pPr>
      <w:r w:rsidRPr="001016E0">
        <w:t>Figure 3: EMI Shielding Effectiveness</w:t>
      </w:r>
    </w:p>
    <w:p w14:paraId="10C3DBD2" w14:textId="2D866843" w:rsidR="00E4346B" w:rsidRDefault="00E4346B" w:rsidP="00E4346B">
      <w:pPr>
        <w:pStyle w:val="Heading1"/>
      </w:pPr>
      <w:r>
        <w:t>CONCLUSION</w:t>
      </w:r>
    </w:p>
    <w:p w14:paraId="44D4C4F5" w14:textId="77777777" w:rsidR="001016E0" w:rsidRPr="001016E0" w:rsidRDefault="001016E0" w:rsidP="00E717BB">
      <w:pPr>
        <w:pStyle w:val="Paragraph"/>
      </w:pPr>
      <w:r w:rsidRPr="001016E0">
        <w:t xml:space="preserve">This work unequivocally shows that polystyrene-based hybrid nanocomposites that are optimally loaded with 4 weight % FeO₄ nanoparticles via a solution blending route and reinforced with 1 weight % graphene show a well balanced enhancement in mechanical strength, thermal stability and electromagnetic interference shielding effectiveness. The  interaction between graphene's high electrical conductivity and FeO₄ magnetic loss properties is crucial for the observed performance gains and these two properties work together to  </w:t>
      </w:r>
      <w:r w:rsidRPr="00E717BB">
        <w:t>distribute</w:t>
      </w:r>
      <w:r w:rsidRPr="001016E0">
        <w:t xml:space="preserve"> stress, provide thermal barrier effects and attenuate multi mechanism electromagnetic interference. The lightweight nature of polystyrene is preserved by the hybrid filler system, which makes it possible to create conductive and magnetic routes that promote efficient shielding without appreciably raising the composite density. The industrial applicability of this approach is further supported by the solution blending technique scalability and simplicity especially for EMI shielding applications in small weight sensitive locations like electronic enclosures, aeronautical structures and telecommunications infrastructure.</w:t>
      </w:r>
    </w:p>
    <w:p w14:paraId="3194B14A" w14:textId="77777777" w:rsidR="001016E0" w:rsidRPr="001016E0" w:rsidRDefault="001016E0" w:rsidP="00E717BB">
      <w:pPr>
        <w:pStyle w:val="Paragraph"/>
      </w:pPr>
      <w:r w:rsidRPr="001016E0">
        <w:t xml:space="preserve">To further enhance interfacial interactions and directional conductivity, future studies should concentrate on sophisticated techniques such alignment under external fields, </w:t>
      </w:r>
      <w:r w:rsidRPr="00E717BB">
        <w:t>surface</w:t>
      </w:r>
      <w:r w:rsidRPr="001016E0">
        <w:t xml:space="preserve"> functionalisation of fillers or hierarchical filler architectures. These routes could be used to customise multifunctional polymer composites of the future with better structural performance and electromagnetic compatibility.</w:t>
      </w:r>
    </w:p>
    <w:p w14:paraId="306225E5" w14:textId="77777777" w:rsidR="00E4346B" w:rsidRPr="00E4346B" w:rsidRDefault="00E4346B" w:rsidP="00E4346B">
      <w:pPr>
        <w:pStyle w:val="Paragraph"/>
      </w:pPr>
      <w:r w:rsidRPr="00E4346B">
        <w:t>.</w:t>
      </w:r>
    </w:p>
    <w:p w14:paraId="09180EE7" w14:textId="77777777" w:rsidR="00613B4D" w:rsidRDefault="0016385D" w:rsidP="00E717BB">
      <w:pPr>
        <w:pStyle w:val="Heading1"/>
      </w:pPr>
      <w:r w:rsidRPr="00075EA6">
        <w:lastRenderedPageBreak/>
        <w:t>References</w:t>
      </w:r>
    </w:p>
    <w:p w14:paraId="7B0057BB" w14:textId="77777777" w:rsidR="000B425C" w:rsidRPr="000B425C" w:rsidRDefault="000B425C" w:rsidP="00E717BB">
      <w:pPr>
        <w:pStyle w:val="Reference"/>
      </w:pPr>
      <w:r w:rsidRPr="000B425C">
        <w:t>Gebrekrstos, Amanuel, Tanyaradzwa S. Muzata, Anastasia Elias, and Suprakas Sinha Ray. "Tailoring the Properties of 2D Nanomaterial‐Polymer Composites for Electromagnetic Interference Shielding and Energy Storage by 3D Printing—A Review." </w:t>
      </w:r>
      <w:r w:rsidRPr="000B425C">
        <w:rPr>
          <w:iCs/>
        </w:rPr>
        <w:t>Advanced Engineering Materials</w:t>
      </w:r>
      <w:r w:rsidRPr="000B425C">
        <w:t> 27, no. 7 (2025): 2402179.</w:t>
      </w:r>
    </w:p>
    <w:p w14:paraId="57329A64" w14:textId="77777777" w:rsidR="000B425C" w:rsidRPr="000B425C" w:rsidRDefault="000B425C" w:rsidP="00E717BB">
      <w:pPr>
        <w:pStyle w:val="Reference"/>
      </w:pPr>
      <w:r w:rsidRPr="000B425C">
        <w:t>Isari, Ali Akbar, Ahmadreza Ghaffarkhah, Seyyed Alireza Hashemi, Stefan Wuttke, and Mohammad Arjmand. "Structural design for EMI shielding: from underlying mechanisms to common pitfalls." </w:t>
      </w:r>
      <w:r w:rsidRPr="000B425C">
        <w:rPr>
          <w:iCs/>
        </w:rPr>
        <w:t>Advanced Materials</w:t>
      </w:r>
      <w:r w:rsidRPr="000B425C">
        <w:t> 36, no. 24 (2024): 2310683.</w:t>
      </w:r>
    </w:p>
    <w:p w14:paraId="4B59D91A" w14:textId="77777777" w:rsidR="000B425C" w:rsidRPr="000B425C" w:rsidRDefault="000B425C" w:rsidP="00E717BB">
      <w:pPr>
        <w:pStyle w:val="Reference"/>
      </w:pPr>
      <w:r w:rsidRPr="000B425C">
        <w:t>Yaqoob, Saba, Zulfiqar Ali, Sajjad Ali, and Alberto D’Amore. "Polystyrene–carbon nanotube composites: Interaction mechanisms, preparation methods, structure, and rheological properties—A review." </w:t>
      </w:r>
      <w:r w:rsidRPr="000B425C">
        <w:rPr>
          <w:iCs/>
        </w:rPr>
        <w:t>Physchem</w:t>
      </w:r>
      <w:r w:rsidRPr="000B425C">
        <w:t> 5, no. 2 (2025): 14.</w:t>
      </w:r>
    </w:p>
    <w:p w14:paraId="50EA8E11" w14:textId="77777777" w:rsidR="000B425C" w:rsidRPr="000B425C" w:rsidRDefault="000B425C" w:rsidP="00E717BB">
      <w:pPr>
        <w:pStyle w:val="Reference"/>
      </w:pPr>
      <w:r w:rsidRPr="000B425C">
        <w:t>Salari, Meysam. "Multi-Scale Studies on Electromagnetic Interference Shielding of Graphene-Based Polymer Composites." PhD diss., University of Toronto (Canada), 2024.</w:t>
      </w:r>
    </w:p>
    <w:p w14:paraId="5158F0ED" w14:textId="77777777" w:rsidR="000B425C" w:rsidRPr="000B425C" w:rsidRDefault="000B425C" w:rsidP="00E717BB">
      <w:pPr>
        <w:pStyle w:val="Reference"/>
      </w:pPr>
      <w:r w:rsidRPr="000B425C">
        <w:t>Bheema, Rajesh Kumar, Krithika Bhaskaran, Akshat Verma, Murthy Chavali, and Krishna C. Etika. "A Review on recent progress in polymer composites for effective electromagnetic interference shielding properties-Structures, Process, Sustainability approaches." </w:t>
      </w:r>
      <w:r w:rsidRPr="000B425C">
        <w:rPr>
          <w:iCs/>
        </w:rPr>
        <w:t>Nanoscale Advances</w:t>
      </w:r>
      <w:r w:rsidRPr="000B425C">
        <w:t> (2024).</w:t>
      </w:r>
    </w:p>
    <w:p w14:paraId="5C1F8A44" w14:textId="77777777" w:rsidR="000B425C" w:rsidRPr="000B425C" w:rsidRDefault="000B425C" w:rsidP="00E717BB">
      <w:pPr>
        <w:pStyle w:val="Reference"/>
      </w:pPr>
      <w:r w:rsidRPr="000B425C">
        <w:t>Chhetri, Suman, and Tapas Kuila. "Polymer composites with 3D graphene architectures as high-performance EMI shielding materials: a review." </w:t>
      </w:r>
      <w:r w:rsidRPr="000B425C">
        <w:rPr>
          <w:iCs/>
        </w:rPr>
        <w:t>RSC Applied Polymers</w:t>
      </w:r>
      <w:r w:rsidRPr="000B425C">
        <w:t> (2024).</w:t>
      </w:r>
    </w:p>
    <w:p w14:paraId="41082832" w14:textId="77777777" w:rsidR="000B425C" w:rsidRPr="000B425C" w:rsidRDefault="000B425C" w:rsidP="00E717BB">
      <w:pPr>
        <w:pStyle w:val="Reference"/>
      </w:pPr>
      <w:r w:rsidRPr="000B425C">
        <w:t>Eken, Taha Yasin, Cantekin Kaykilarli, Burak Kucukelyas, and Mehmet Baris Tabakcioglu. "Electromagnetic shielding effectiveness and impact test performance of carbon fiber reinforced polymer composites with hematite and goethite." </w:t>
      </w:r>
      <w:r w:rsidRPr="000B425C">
        <w:rPr>
          <w:iCs/>
        </w:rPr>
        <w:t>Macromolecular Materials and Engineering</w:t>
      </w:r>
      <w:r w:rsidRPr="000B425C">
        <w:t> 309, no. 2 (2024): 2300271.</w:t>
      </w:r>
    </w:p>
    <w:p w14:paraId="70FAE9AB" w14:textId="77777777" w:rsidR="000B425C" w:rsidRPr="000B425C" w:rsidRDefault="000B425C" w:rsidP="00E717BB">
      <w:pPr>
        <w:pStyle w:val="Reference"/>
      </w:pPr>
      <w:r w:rsidRPr="000B425C">
        <w:t>Li, Yuchao. "Polyimide Nanocomposites for Electromagnetic Interference Shielding." </w:t>
      </w:r>
      <w:r w:rsidRPr="000B425C">
        <w:rPr>
          <w:iCs/>
        </w:rPr>
        <w:t>Functional Polyimide Dielectrics: Structure, Properties, and Applications</w:t>
      </w:r>
      <w:r w:rsidRPr="000B425C">
        <w:t> (2025): 163-202.</w:t>
      </w:r>
    </w:p>
    <w:p w14:paraId="64E3275A" w14:textId="77777777" w:rsidR="000B425C" w:rsidRDefault="000B425C" w:rsidP="00E717BB">
      <w:pPr>
        <w:pStyle w:val="Reference"/>
      </w:pPr>
      <w:r w:rsidRPr="000B425C">
        <w:t>Senthilkumar, V., A. Nagadeepan, Melvin Victor De Poures, R. Sasikumar, N. Mukilarasan, M. Aruna, C. B. Priya, Gopal Kaliyaperumal, and Elangomathavan Ramaraj. "Thermal adsorption and corrosion characteristic study of copper hybrid nanocomposite synthesized by powder metallurgy route." </w:t>
      </w:r>
      <w:r w:rsidRPr="000B425C">
        <w:rPr>
          <w:iCs/>
        </w:rPr>
        <w:t>Adsorption Science &amp; Technology</w:t>
      </w:r>
      <w:r w:rsidRPr="000B425C">
        <w:t> 2023 (2023): 5305732.</w:t>
      </w:r>
    </w:p>
    <w:p w14:paraId="796986A0" w14:textId="77777777" w:rsidR="00BA2564" w:rsidRPr="000B425C" w:rsidRDefault="00BA2564" w:rsidP="00E717BB">
      <w:pPr>
        <w:pStyle w:val="Reference"/>
      </w:pPr>
      <w:r>
        <w:t xml:space="preserve">S. </w:t>
      </w:r>
      <w:r w:rsidRPr="00BA2564">
        <w:t>Marimuthu</w:t>
      </w:r>
      <w:r>
        <w:t xml:space="preserve"> et al. </w:t>
      </w:r>
      <w:r w:rsidRPr="00BA2564">
        <w:t>(2022). Incorporating tool identification system in normal machining centre using radio frequency identification. In Materials Today: Proceedings (Vol. 69, pp. 716–719). Elsevier Ltd. https://doi.org/10.1016/j.matpr.2022.07.137</w:t>
      </w:r>
    </w:p>
    <w:p w14:paraId="605EADA5" w14:textId="77777777" w:rsidR="000B425C" w:rsidRPr="000B425C" w:rsidRDefault="000B425C" w:rsidP="00E717BB">
      <w:pPr>
        <w:pStyle w:val="Reference"/>
      </w:pPr>
      <w:r w:rsidRPr="000B425C">
        <w:t>He, Pingping, Ziyu Liu, Jiayang Yu, Yuan Yan, Haomeng Kong, Biao Zhao, and Ruosong Li. "Synergistically Engineered PVDF/CNT/GnP Hierarchical Nanocomposites via Scalable Solution Spinning for Ultradurable, Superhydrophobic EMI Shielding Wearables." </w:t>
      </w:r>
      <w:r w:rsidRPr="000B425C">
        <w:rPr>
          <w:iCs/>
        </w:rPr>
        <w:t>Journal of Materials Chemistry C</w:t>
      </w:r>
      <w:r w:rsidRPr="000B425C">
        <w:t> (2025).</w:t>
      </w:r>
    </w:p>
    <w:p w14:paraId="2B388728" w14:textId="77777777" w:rsidR="004D535B" w:rsidRPr="00572A2A" w:rsidRDefault="004D535B" w:rsidP="00E717BB">
      <w:pPr>
        <w:pStyle w:val="Reference"/>
      </w:pPr>
      <w:r w:rsidRPr="00572A2A">
        <w:t>Meshram et al., (2024). Investigation of Mechanical and Thermal Properties of Bamboo Fiber Reinforced with Epoxidized Soybean Oil for Automotive Seat Bases (No. 2024-01-5009). SAE Technical Paper. https://doi.org/10.4271/2024-01-5009</w:t>
      </w:r>
    </w:p>
    <w:p w14:paraId="32A5D8CE" w14:textId="77777777" w:rsidR="004D535B" w:rsidRPr="00572A2A" w:rsidRDefault="004D535B" w:rsidP="00E717BB">
      <w:pPr>
        <w:pStyle w:val="Reference"/>
      </w:pPr>
      <w:r w:rsidRPr="00572A2A">
        <w:t>Almatrafi et al., (2024). Reducing metastasis ability of gastric cancer cell line by targeting MMP16 using miR-193a-5p and 5-FU. Advances in Medical Sciences, 69(2), 463-473. https://doi.org/10.1016/j.advms.2024.09.008</w:t>
      </w:r>
    </w:p>
    <w:p w14:paraId="1F7B376C" w14:textId="77777777" w:rsidR="004D535B" w:rsidRPr="00572A2A" w:rsidRDefault="004D535B" w:rsidP="00E717BB">
      <w:pPr>
        <w:pStyle w:val="Reference"/>
      </w:pPr>
      <w:r w:rsidRPr="00572A2A">
        <w:t>Vinodh et al., (2024).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5509E2E1" w14:textId="77777777" w:rsidR="004D535B" w:rsidRPr="00572A2A" w:rsidRDefault="004D535B" w:rsidP="00E717BB">
      <w:pPr>
        <w:pStyle w:val="Reference"/>
      </w:pPr>
      <w:r w:rsidRPr="00572A2A">
        <w:t>Nikalje et al., (2024). Detecting Cancer through Analysis of Histopathological Images. In 2024 International Conference on Expert Clouds and Applications (ICOECA) (pp. 579-585). IEEE. https://doi.org/10.1109/ICOECA62351.2024.00107</w:t>
      </w:r>
    </w:p>
    <w:p w14:paraId="7751B7DD" w14:textId="77777777" w:rsidR="004D535B" w:rsidRPr="00572A2A" w:rsidRDefault="004D535B" w:rsidP="00E717BB">
      <w:pPr>
        <w:pStyle w:val="Reference"/>
      </w:pPr>
      <w:r w:rsidRPr="00572A2A">
        <w:t>Aslam et al., (2024). Smart Multiphase Power Converter in the Fault-Tolerant Machine Development for Aerospace Applications. In 2024 Ninth International Conference on Science Technology Engineering and Mathematics (ICONSTEM) (pp. 1-5). IEEE. https://doi.org/10.1109/ICONSTEM60960.2024.10568598</w:t>
      </w:r>
    </w:p>
    <w:p w14:paraId="1507893B" w14:textId="77777777" w:rsidR="004D535B" w:rsidRPr="00572A2A" w:rsidRDefault="004D535B" w:rsidP="00E717BB">
      <w:pPr>
        <w:pStyle w:val="Reference"/>
      </w:pPr>
      <w:r w:rsidRPr="00572A2A">
        <w:t>Neelakandan Aagashram et al., Computational design exploration of rocket nozzle using deep reinforcement learning. Results in Engineering 25 (2025): 104439.</w:t>
      </w:r>
    </w:p>
    <w:p w14:paraId="5D285E4B" w14:textId="77777777" w:rsidR="004D535B" w:rsidRPr="00572A2A" w:rsidRDefault="004D535B" w:rsidP="00E717BB">
      <w:pPr>
        <w:pStyle w:val="Reference"/>
      </w:pPr>
      <w:r w:rsidRPr="00572A2A">
        <w:t>Udhayakumar et al.,  (2025). Multi-functional natural fiber composites using flaxseed and cotton: tailoring acoustic, mechanical, and thermal properties for eco-friendly applications. Discover Applied Sciences, 7(8), 906.</w:t>
      </w:r>
    </w:p>
    <w:p w14:paraId="70B6567C" w14:textId="77777777" w:rsidR="004D535B" w:rsidRPr="00572A2A" w:rsidRDefault="004D535B" w:rsidP="00E717BB">
      <w:pPr>
        <w:pStyle w:val="Reference"/>
      </w:pPr>
      <w:r w:rsidRPr="00572A2A">
        <w:lastRenderedPageBreak/>
        <w:t xml:space="preserve">Melvin Victor De Poures et al. Effect of Gasification Temperature on Biohydrogen Derived from Waste Agro Products for Alternative Fuel Application " SAE Technical Paper 2024-01-5260, 2024, </w:t>
      </w:r>
      <w:hyperlink r:id="rId13" w:history="1">
        <w:r w:rsidRPr="00572A2A">
          <w:t>https://doi.org/10.4271/2024-01-5260</w:t>
        </w:r>
      </w:hyperlink>
    </w:p>
    <w:p w14:paraId="1E20BAD3" w14:textId="77777777" w:rsidR="004D535B" w:rsidRPr="00572A2A" w:rsidRDefault="004D535B" w:rsidP="00E717BB">
      <w:pPr>
        <w:pStyle w:val="Reference"/>
      </w:pPr>
      <w:r w:rsidRPr="00572A2A">
        <w:t xml:space="preserve">Ravindra Pratap Singh et al. Enhancement and thermal performance evaluation of parabolic trough solar collector with the integration of innovative snail porous material. ASME. J. Thermal Sci. Eng. Appl. (2025) 1-23.  </w:t>
      </w:r>
      <w:hyperlink r:id="rId14" w:history="1">
        <w:r w:rsidRPr="00572A2A">
          <w:t>https://doi.org/10.1115/1.4067588</w:t>
        </w:r>
      </w:hyperlink>
    </w:p>
    <w:p w14:paraId="68ABFA28" w14:textId="77777777" w:rsidR="004D535B" w:rsidRPr="00572A2A" w:rsidRDefault="004D535B" w:rsidP="00E717BB">
      <w:pPr>
        <w:pStyle w:val="Reference"/>
      </w:pPr>
      <w:r w:rsidRPr="00572A2A">
        <w:t>V. Mohanavel et al. Investigation of Al/Mg composite behaviour by the adaptation of SiC and Al2O3 nanoparticle via electromagnetic stir cast route. Materials Science and Technology. 2025;0(0). doi:10.1177/02670836241306686</w:t>
      </w:r>
    </w:p>
    <w:p w14:paraId="28A8B1A4" w14:textId="77777777" w:rsidR="004D535B" w:rsidRPr="00572A2A" w:rsidRDefault="004D535B" w:rsidP="00E717BB">
      <w:pPr>
        <w:pStyle w:val="Reference"/>
      </w:pPr>
      <w:r w:rsidRPr="00572A2A">
        <w:t xml:space="preserve">Singh et al. Natural fiber-ceramic filler configured polypropylene hybrid composite made via hot compression technique: Characteristics evaluation. J Mech Sci Technol. 39(1), 2025. </w:t>
      </w:r>
      <w:hyperlink r:id="rId15" w:history="1">
        <w:r w:rsidRPr="00572A2A">
          <w:t>https://doi.org/10.1007/s12206-024-1216-4</w:t>
        </w:r>
      </w:hyperlink>
    </w:p>
    <w:p w14:paraId="6AB3A3A3" w14:textId="77777777" w:rsidR="004D535B" w:rsidRPr="00572A2A" w:rsidRDefault="004D535B" w:rsidP="00E717BB">
      <w:pPr>
        <w:pStyle w:val="Reference"/>
      </w:pPr>
      <w:r w:rsidRPr="00572A2A">
        <w:t xml:space="preserve">R.P. Singh et al. Influence of a Copper Layer on the Functional Behaviour of a Cadmium Telluride Solar Cell Processed via Thermal Evaporation. J. Electron. Mater. (2024). </w:t>
      </w:r>
      <w:hyperlink r:id="rId16" w:history="1">
        <w:r w:rsidRPr="00572A2A">
          <w:t>https://doi.org/10.1007/s11664-024-11669-7</w:t>
        </w:r>
      </w:hyperlink>
    </w:p>
    <w:p w14:paraId="089993DD" w14:textId="77777777" w:rsidR="004D535B" w:rsidRPr="00572A2A" w:rsidRDefault="004D535B" w:rsidP="00E717BB">
      <w:pPr>
        <w:pStyle w:val="Reference"/>
      </w:pPr>
      <w:r w:rsidRPr="00572A2A">
        <w:t xml:space="preserve">R. Venkatasubramanian et al. Thermal characteristics and dryer performance analysis of double pass solar collector powered by copper and iron oxide. J. Thermal Sci. Eng. Appl. (2025) 1-20.  https://doi.org/10.1115/1.4067258 </w:t>
      </w:r>
    </w:p>
    <w:p w14:paraId="06CA2B21" w14:textId="77777777" w:rsidR="004D535B" w:rsidRPr="00572A2A" w:rsidRDefault="004D535B" w:rsidP="00E717BB">
      <w:pPr>
        <w:pStyle w:val="Reference"/>
      </w:pPr>
      <w:r w:rsidRPr="00572A2A">
        <w:t xml:space="preserve">Umamaheswari, D. et al. Featuring of Fiber-Ceramic Combination on Behavior Studies of High Density Polyethylene Composite: Hot Compression Mould. Mech Compos Mater (2025). </w:t>
      </w:r>
      <w:hyperlink r:id="rId17" w:history="1">
        <w:r w:rsidRPr="00572A2A">
          <w:t>https://doi.org/10.1007/s11029-025-10305-7</w:t>
        </w:r>
      </w:hyperlink>
    </w:p>
    <w:p w14:paraId="14E53A0D" w14:textId="77777777" w:rsidR="004D535B" w:rsidRPr="00572A2A" w:rsidRDefault="004D535B" w:rsidP="00E717BB">
      <w:pPr>
        <w:pStyle w:val="Reference"/>
      </w:pPr>
      <w:r w:rsidRPr="00572A2A">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18" w:history="1">
        <w:r w:rsidRPr="00572A2A">
          <w:t>http://dx.doi.org/10.29228/ijastech..1528281</w:t>
        </w:r>
      </w:hyperlink>
    </w:p>
    <w:p w14:paraId="38F0CCE1" w14:textId="77777777" w:rsidR="004D535B" w:rsidRPr="00572A2A" w:rsidRDefault="004D535B" w:rsidP="00E717BB">
      <w:pPr>
        <w:pStyle w:val="Reference"/>
      </w:pPr>
      <w:r w:rsidRPr="00572A2A">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doi: </w:t>
      </w:r>
      <w:hyperlink r:id="rId19" w:history="1">
        <w:r w:rsidRPr="00572A2A">
          <w:t>https://doi.org/10.1115/1.4067631</w:t>
        </w:r>
      </w:hyperlink>
    </w:p>
    <w:p w14:paraId="08F0AA82" w14:textId="77777777" w:rsidR="004D535B" w:rsidRPr="00572A2A" w:rsidRDefault="004D535B" w:rsidP="00E717BB">
      <w:pPr>
        <w:pStyle w:val="Reference"/>
      </w:pPr>
      <w:r w:rsidRPr="00572A2A">
        <w:t xml:space="preserve">Melvin Victor De Poures et al. Influences of Zinc Oxide Doping on Functional Characteristics Study of Thin Film Solar Cell for Hybrid Solar Electric Vehicle Utilization" SAE Technical Paper 2024-01-5256, 2024, </w:t>
      </w:r>
      <w:hyperlink r:id="rId20" w:history="1">
        <w:r w:rsidRPr="00572A2A">
          <w:t>https://doi.org/10.4271/2024-01-5256</w:t>
        </w:r>
      </w:hyperlink>
    </w:p>
    <w:p w14:paraId="13C9FDBE" w14:textId="77777777" w:rsidR="004D535B" w:rsidRPr="00572A2A" w:rsidRDefault="004D535B" w:rsidP="00E717BB">
      <w:pPr>
        <w:pStyle w:val="Reference"/>
      </w:pPr>
      <w:r w:rsidRPr="00572A2A">
        <w:t>Supriya et al., (2024). Securing loT Systems with AI-Infused Software and Virtual Replica Models. In 2024 International Conference on Integrated Intelligence and Communication Systems (ICIICS) (pp. 1-6). IEEE. https://doi.org/10.1109/ICIICS63763.2024.10860178</w:t>
      </w:r>
    </w:p>
    <w:p w14:paraId="4718248F" w14:textId="77777777" w:rsidR="004D535B" w:rsidRPr="00572A2A" w:rsidRDefault="004D535B" w:rsidP="00E717BB">
      <w:pPr>
        <w:pStyle w:val="Reference"/>
      </w:pPr>
      <w:r w:rsidRPr="00572A2A">
        <w:t>Chaudhary et al.,  (2024). AI-Driven Digital Mirror Technology for Securing IoT-Enabled Smart Infrastructures. In 2024 International Conference on Integrated Intelligence and Communication Systems (ICIICS) (pp. 01-08). IEEE. https://doi.org/10.1109/ICIICS63763.2024.10859436</w:t>
      </w:r>
    </w:p>
    <w:p w14:paraId="043F672E" w14:textId="77777777" w:rsidR="004D535B" w:rsidRPr="00572A2A" w:rsidRDefault="004D535B" w:rsidP="00E717BB">
      <w:pPr>
        <w:pStyle w:val="Reference"/>
      </w:pPr>
      <w:r w:rsidRPr="00572A2A">
        <w:t xml:space="preserve">Lakshmaiya, N. (2024). Perovskite photovoltaic cells with freezone zone carbon-based instruments: state of review. In International Conference on Medical Imaging, Electronic Imaging, Information Technologies, and Sensors (MIEITS 2024) (Vol. 13188, pp. 351-358). SPIE. </w:t>
      </w:r>
      <w:hyperlink r:id="rId21" w:history="1">
        <w:r w:rsidRPr="00572A2A">
          <w:t>https://doi.org/10.1117/12.3030837</w:t>
        </w:r>
      </w:hyperlink>
    </w:p>
    <w:p w14:paraId="0F661267" w14:textId="77777777" w:rsidR="004D535B" w:rsidRPr="00572A2A" w:rsidRDefault="004D535B" w:rsidP="00E717BB">
      <w:pPr>
        <w:pStyle w:val="Reference"/>
      </w:pPr>
      <w:r w:rsidRPr="00572A2A">
        <w:t>Prasad et al., (2024). Deep Learning based Channel Assignment with Load Balancing in MANET for Improved Performance. In 2024 International Conference on Inventive Computation Technologies (ICICT) (pp. 1172-1177). IEEE. https://doi.org/10.1109/ICICT60155.2024.10544447</w:t>
      </w:r>
    </w:p>
    <w:p w14:paraId="59DC9FDB" w14:textId="77777777" w:rsidR="004D535B" w:rsidRPr="00572A2A" w:rsidRDefault="004D535B" w:rsidP="00E717BB">
      <w:pPr>
        <w:pStyle w:val="Reference"/>
      </w:pPr>
      <w:r w:rsidRPr="00572A2A">
        <w:t>Munirathnam, Rajesh, Rohit P. Jadhav, Nilesh M. Mahajan, Amit Barve, and ME Shashi Kumar. Electric Vehicle Charging Demand Prediction using Multiresolution Sinusoidal Neural Network Optimized with Addax Optimization. In 2025 5th International Conference on Trends in Material Science and Inventive Materials (ICTMIM), pp. 604-609. IEEE, 2025.</w:t>
      </w:r>
    </w:p>
    <w:p w14:paraId="7FED755D" w14:textId="77777777" w:rsidR="004D535B" w:rsidRPr="00572A2A" w:rsidRDefault="004D535B" w:rsidP="00E717BB">
      <w:pPr>
        <w:pStyle w:val="Reference"/>
      </w:pPr>
      <w:r w:rsidRPr="00572A2A">
        <w:t>Lakshmaiya, N. (2024). Short review of partial flow dilution systems for very low PM mass measurements. In International Conference on Medical Imaging, Electronic Imaging, Information Technologies, and Sensors (MIEITS 2024) (Vol. 13188, pp. 359-367). SPIE. https://doi.org/10.1117/12.3030836</w:t>
      </w:r>
    </w:p>
    <w:p w14:paraId="53BC64B3" w14:textId="77777777" w:rsidR="004D535B" w:rsidRPr="00572A2A" w:rsidRDefault="004D535B" w:rsidP="00E717BB">
      <w:pPr>
        <w:pStyle w:val="Reference"/>
      </w:pPr>
      <w:r w:rsidRPr="00572A2A">
        <w:t>Baruah et al., (2024). Artificial Intelligence Influence on Leadership Styles in Human Resource Management for Employee Engagement. In 2024 Ninth International Conference on Science Technology Engineering and Mathematics (ICONSTEM) (pp. 1-5). IEEE. https://doi.org/10.1109/ICONSTEM60960.2024.10568819</w:t>
      </w:r>
    </w:p>
    <w:p w14:paraId="7D7000DD" w14:textId="77777777" w:rsidR="004D535B" w:rsidRPr="00572A2A" w:rsidRDefault="004D535B" w:rsidP="00E717BB">
      <w:pPr>
        <w:pStyle w:val="Reference"/>
      </w:pPr>
      <w:r w:rsidRPr="00572A2A">
        <w:t xml:space="preserve">Saadh et al., (2024). Natural killer cell-mediated immune surveillance in cancer: Role of tumor microenvironment. Pathology-Research and Practice, 254, 155120. </w:t>
      </w:r>
      <w:hyperlink r:id="rId22" w:tgtFrame="_blank" w:tooltip="Persistent link using digital object identifier" w:history="1">
        <w:r w:rsidRPr="00572A2A">
          <w:t>https://doi.org/10.1016/j.prp.2024.155120</w:t>
        </w:r>
      </w:hyperlink>
    </w:p>
    <w:p w14:paraId="4CDE1652" w14:textId="77777777" w:rsidR="004D535B" w:rsidRPr="00572A2A" w:rsidRDefault="004D535B" w:rsidP="00E717BB">
      <w:pPr>
        <w:pStyle w:val="Reference"/>
      </w:pPr>
      <w:r w:rsidRPr="00572A2A">
        <w:lastRenderedPageBreak/>
        <w:t xml:space="preserve">Selvi et al., (2024). Transfer Learning Approaches for Improved Thyroid Detection. In 2024 5th International Conference on Electronics and Sustainable Communication Systems (ICESC) (pp. 1311-1317). IEEE. </w:t>
      </w:r>
      <w:hyperlink r:id="rId23" w:history="1">
        <w:r w:rsidRPr="00572A2A">
          <w:t>https://doi.org/10.1109/ICESC60852.2024.10689771</w:t>
        </w:r>
      </w:hyperlink>
    </w:p>
    <w:p w14:paraId="7F0B2153" w14:textId="77777777" w:rsidR="004D535B" w:rsidRPr="00572A2A" w:rsidRDefault="004D535B" w:rsidP="00E717BB">
      <w:pPr>
        <w:pStyle w:val="Reference"/>
      </w:pPr>
      <w:r w:rsidRPr="00572A2A">
        <w:t>Jain, Akshay, et al. Conversion of water hyacinth biomass to biofuel with TiO2 nanoparticle blending: Exergy and statistical analysis. Case Studies in Thermal Engineering 67 (2025): 105771.</w:t>
      </w:r>
    </w:p>
    <w:p w14:paraId="690A6FAD" w14:textId="77777777" w:rsidR="004D535B" w:rsidRPr="00572A2A" w:rsidRDefault="004D535B" w:rsidP="00E717BB">
      <w:pPr>
        <w:pStyle w:val="Reference"/>
      </w:pPr>
      <w:r w:rsidRPr="00572A2A">
        <w:t xml:space="preserve">Venkatesh, R., "Synthesis and Machining Characteristics Evaluation of Silicon Nitride Made Magnesium Alloy Composites," SAE Int. J. Mater. Manf. 18(3), 2025, </w:t>
      </w:r>
      <w:hyperlink r:id="rId24" w:history="1">
        <w:r w:rsidRPr="00572A2A">
          <w:t>https://doi.org/10.4271/05-18-03-0017</w:t>
        </w:r>
      </w:hyperlink>
      <w:r w:rsidRPr="00572A2A">
        <w:t>.</w:t>
      </w:r>
    </w:p>
    <w:p w14:paraId="506B29DF" w14:textId="77777777" w:rsidR="004D535B" w:rsidRPr="00572A2A" w:rsidRDefault="004D535B" w:rsidP="00E717BB">
      <w:pPr>
        <w:pStyle w:val="Reference"/>
      </w:pPr>
      <w:r w:rsidRPr="00572A2A">
        <w:t xml:space="preserve">Melvin Victor De Poures et al., Processing and Characteristics Study of Hydrogen from Sewage and Waste Municipal Water via Gasification Process" SAE Technical Paper 2024-01-5257, 2024, </w:t>
      </w:r>
      <w:hyperlink r:id="rId25" w:history="1">
        <w:r w:rsidRPr="00572A2A">
          <w:t>https://doi.org/10.4271/2024-01-5257</w:t>
        </w:r>
      </w:hyperlink>
    </w:p>
    <w:p w14:paraId="3A322AAD" w14:textId="77777777" w:rsidR="004D535B" w:rsidRPr="00572A2A" w:rsidRDefault="004D535B" w:rsidP="00E717BB">
      <w:pPr>
        <w:pStyle w:val="Reference"/>
      </w:pPr>
      <w:r w:rsidRPr="00572A2A">
        <w:t xml:space="preserve">K.  Logesh et al. Injection mould processing and characteristics measures of hybrid epoxy composites with jute fiber/boron nitride. J Mech Sci Technol. 39(1), 2025. </w:t>
      </w:r>
      <w:hyperlink r:id="rId26" w:history="1">
        <w:r w:rsidRPr="00572A2A">
          <w:t>https://doi.org/10.1007/s12206-024-1219-1</w:t>
        </w:r>
      </w:hyperlink>
    </w:p>
    <w:p w14:paraId="319C0072" w14:textId="77777777" w:rsidR="004D535B" w:rsidRPr="00572A2A" w:rsidRDefault="004D535B" w:rsidP="00E717BB">
      <w:pPr>
        <w:pStyle w:val="Reference"/>
      </w:pPr>
      <w:r w:rsidRPr="00572A2A">
        <w:t xml:space="preserve">R.P. Singh et al. Alumina-silicon dioxide hybrid nanofluid action on functional characteristics of photovoltaic thermal collector featured with spiral coil. J Therm Anal Calorim (2025). </w:t>
      </w:r>
      <w:hyperlink r:id="rId27" w:history="1">
        <w:r w:rsidRPr="00572A2A">
          <w:t>https://doi.org/10.1007/s10973-024-13973-0</w:t>
        </w:r>
      </w:hyperlink>
    </w:p>
    <w:p w14:paraId="48C9E7D6" w14:textId="77777777" w:rsidR="004D535B" w:rsidRPr="00572A2A" w:rsidRDefault="004D535B" w:rsidP="00E717BB">
      <w:pPr>
        <w:pStyle w:val="Reference"/>
      </w:pPr>
      <w:r w:rsidRPr="00572A2A">
        <w:t xml:space="preserve">V. Mohanvel et al. Ferric oxide nanofluid on functional properties of parabolic trough solar collector under different flow rate, Applied Thermal Engineering (2025). Volume 265, 2025,125608, </w:t>
      </w:r>
      <w:hyperlink r:id="rId28" w:history="1">
        <w:r w:rsidRPr="00572A2A">
          <w:t>https://doi.org/10.1016/j.applthermaleng.2025.125608R</w:t>
        </w:r>
      </w:hyperlink>
      <w:r w:rsidRPr="00572A2A">
        <w:t xml:space="preserve">. </w:t>
      </w:r>
    </w:p>
    <w:p w14:paraId="04CFCF18" w14:textId="77777777" w:rsidR="004D535B" w:rsidRPr="00572A2A" w:rsidRDefault="004D535B" w:rsidP="00E717BB">
      <w:pPr>
        <w:pStyle w:val="Reference"/>
      </w:pPr>
      <w:r w:rsidRPr="00572A2A">
        <w:t xml:space="preserve">R. Venkatesh Fabrication and Functional Behavior Studies of Polypropylene Composite Containing Hybrid Reinforcements, SAE Int. J. Mater. Manf. 18(2), 2025, </w:t>
      </w:r>
      <w:hyperlink r:id="rId29" w:history="1">
        <w:r w:rsidRPr="00572A2A">
          <w:t>https://doi.org/10.4271/05-18-02-0015</w:t>
        </w:r>
      </w:hyperlink>
      <w:r w:rsidRPr="00572A2A">
        <w:t>.</w:t>
      </w:r>
    </w:p>
    <w:p w14:paraId="334870BC" w14:textId="77777777" w:rsidR="004D535B" w:rsidRPr="00572A2A" w:rsidRDefault="004D535B" w:rsidP="00E717BB">
      <w:pPr>
        <w:pStyle w:val="Reference"/>
      </w:pPr>
      <w:r w:rsidRPr="00572A2A">
        <w:t xml:space="preserve">S. Prabagaran et al. Texturing of silicon nitride passivation layers on functional behaviour study of polycrystalline silicon (p-Si) made with plasma enhanced chemical vapour deposition. J Mater Sci: Mater Electron 36, 73 (2025). </w:t>
      </w:r>
      <w:hyperlink r:id="rId30" w:history="1">
        <w:r w:rsidRPr="00572A2A">
          <w:t>https://doi.org/10.1007/s10854-024-14135-6</w:t>
        </w:r>
      </w:hyperlink>
    </w:p>
    <w:p w14:paraId="7D19ABCB" w14:textId="77777777" w:rsidR="004D535B" w:rsidRPr="00572A2A" w:rsidRDefault="004D535B" w:rsidP="00E717BB">
      <w:pPr>
        <w:pStyle w:val="Reference"/>
      </w:pPr>
      <w:r w:rsidRPr="00572A2A">
        <w:t xml:space="preserve">G. Deepana et al. (2025). Synthesis and machining characteristics study of agro-waste coconut shell powder incorporated aluminium alloy composite via the squeeze cast technique. International Journal of Cast Metals Research, 1–11. </w:t>
      </w:r>
      <w:hyperlink r:id="rId31" w:history="1">
        <w:r w:rsidRPr="00572A2A">
          <w:t>https://doi.org/10.1080/13640461.2024.2447101</w:t>
        </w:r>
      </w:hyperlink>
    </w:p>
    <w:p w14:paraId="5CE0803B" w14:textId="77777777" w:rsidR="004D535B" w:rsidRPr="00572A2A" w:rsidRDefault="004D535B" w:rsidP="00E717BB">
      <w:pPr>
        <w:pStyle w:val="Reference"/>
      </w:pPr>
      <w:r w:rsidRPr="00572A2A">
        <w:t xml:space="preserve">M.E.M. Soudagar et al. Integration and heat performance evaluation of NaNO3–KNO3 PCM and hybrid nanofluid configured solar thermal heat exchanger. J Therm Anal Calorim (2025). </w:t>
      </w:r>
      <w:hyperlink r:id="rId32" w:history="1">
        <w:r w:rsidRPr="00572A2A">
          <w:t>https://doi.org/10.1007/s10973-024-13970-3</w:t>
        </w:r>
      </w:hyperlink>
    </w:p>
    <w:p w14:paraId="2BA45072" w14:textId="77777777" w:rsidR="004D535B" w:rsidRPr="00572A2A" w:rsidRDefault="004D535B" w:rsidP="00E717BB">
      <w:pPr>
        <w:pStyle w:val="Reference"/>
      </w:pPr>
      <w:r w:rsidRPr="00572A2A">
        <w:t xml:space="preserve">R.K. Singh et al. Exposure of Cu on microstructural and functional performance of Cadmium telluride solar cell. Opt Quant Electron 57, 112 (2025). </w:t>
      </w:r>
      <w:hyperlink r:id="rId33" w:history="1">
        <w:r w:rsidRPr="00572A2A">
          <w:t>https://doi.org/10.1007/s11082-024-08027-6</w:t>
        </w:r>
      </w:hyperlink>
    </w:p>
    <w:p w14:paraId="59AEE64D" w14:textId="77777777" w:rsidR="004D535B" w:rsidRPr="00572A2A" w:rsidRDefault="004D535B" w:rsidP="00E717BB">
      <w:pPr>
        <w:pStyle w:val="Reference"/>
      </w:pPr>
      <w:r w:rsidRPr="00572A2A">
        <w:t>Alamanda et al., (2024). Machine Learning-Based Fault Diagnosis for Rotating Machinery in Industrial Settings. In 2024 Ninth International Conference on Science Technology Engineering and Mathematics (ICONSTEM) (pp. 1-5). IEEE. https://doi.org/10.1109/ICONSTEM60960.2024.10568891</w:t>
      </w:r>
    </w:p>
    <w:p w14:paraId="25C5FD5A" w14:textId="77777777" w:rsidR="004D535B" w:rsidRPr="00572A2A" w:rsidRDefault="004D535B" w:rsidP="00E717BB">
      <w:pPr>
        <w:pStyle w:val="Reference"/>
      </w:pPr>
      <w:r w:rsidRPr="00572A2A">
        <w:t>Mohan et al., (2024). Image Quality Enhancement using Deep Convolutional Network. In 2024 International Conference on Inventive Computation Technologies (ICICT) (pp. 1272-1277). IEEE. https://doi.org/10.1109/ICICT60155.2024.10544980</w:t>
      </w:r>
    </w:p>
    <w:p w14:paraId="37953652" w14:textId="77777777" w:rsidR="004D535B" w:rsidRDefault="004D535B" w:rsidP="00E717BB">
      <w:pPr>
        <w:pStyle w:val="Reference"/>
      </w:pPr>
      <w:r w:rsidRPr="00572A2A">
        <w:t xml:space="preserve">Kumar et al., (2024). Cognitive Digital Twin Systems for Predictive Security in AI-Enhanced IoT Environments. In 2024 First International Conference on Software, Systems and Information Technology (SSITCON) (pp. 1-6). IEEE. </w:t>
      </w:r>
      <w:hyperlink r:id="rId34" w:history="1">
        <w:r w:rsidR="00B6455A" w:rsidRPr="001D3295">
          <w:rPr>
            <w:rStyle w:val="Hyperlink"/>
          </w:rPr>
          <w:t>https://doi.org/10.1109/SSITCON62437.2024.10796449</w:t>
        </w:r>
      </w:hyperlink>
    </w:p>
    <w:p w14:paraId="7251AC59" w14:textId="77777777" w:rsidR="00B6455A" w:rsidRPr="001074B8" w:rsidRDefault="00B6455A" w:rsidP="00E717BB">
      <w:pPr>
        <w:pStyle w:val="Reference"/>
      </w:pPr>
      <w:r w:rsidRPr="001074B8">
        <w:t>Karthikeyan, S., Karthick, M., Saravanan, N., Udayakumaran, P., Suriyaprakash, L., &amp; Senthilkumar, K. (2025). Construction safety performance measure for perception of excavation hazard by comprehensive survey route. In </w:t>
      </w:r>
      <w:r w:rsidRPr="001074B8">
        <w:rPr>
          <w:i/>
          <w:iCs/>
        </w:rPr>
        <w:t>AIP Conference Proceedings</w:t>
      </w:r>
      <w:r w:rsidRPr="001074B8">
        <w:t> (Vol. 3252, No. 1, p. 020220). AIP Publishing LLC.</w:t>
      </w:r>
    </w:p>
    <w:p w14:paraId="424DB3E4" w14:textId="77777777" w:rsidR="00B6455A" w:rsidRPr="00572A2A" w:rsidRDefault="00B6455A" w:rsidP="00E717BB">
      <w:pPr>
        <w:pStyle w:val="Reference"/>
      </w:pPr>
      <w:r w:rsidRPr="001074B8">
        <w:t>Saravanan, N., Karthikeyan, S., Marimuthu, S., Murali, J. G., Prasath, M., &amp; Gowrishankar, A. (2025). Effect of surface treatment on characteristics of bast fiber incorporated polyethylene composite: Behavior study. In </w:t>
      </w:r>
      <w:r w:rsidRPr="001074B8">
        <w:rPr>
          <w:i/>
          <w:iCs/>
        </w:rPr>
        <w:t>AIP Conference Proceedings</w:t>
      </w:r>
      <w:r w:rsidRPr="001074B8">
        <w:t> (Vol. 3267, No. 1, p. 020295). AIP Publishing LLC.</w:t>
      </w:r>
    </w:p>
    <w:p w14:paraId="39FAF87C" w14:textId="77777777" w:rsidR="00BE33A2" w:rsidRDefault="00BE33A2" w:rsidP="00363DD3">
      <w:pPr>
        <w:pStyle w:val="Paragraph"/>
        <w:ind w:left="360" w:firstLine="0"/>
      </w:pPr>
    </w:p>
    <w:sectPr w:rsidR="00BE33A2" w:rsidSect="00E717BB">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D91AF8"/>
    <w:multiLevelType w:val="hybridMultilevel"/>
    <w:tmpl w:val="C6621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E830D3"/>
    <w:multiLevelType w:val="hybridMultilevel"/>
    <w:tmpl w:val="842AE20A"/>
    <w:lvl w:ilvl="0" w:tplc="E0D86AA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100032260">
    <w:abstractNumId w:val="6"/>
  </w:num>
  <w:num w:numId="2" w16cid:durableId="1123619006">
    <w:abstractNumId w:val="4"/>
  </w:num>
  <w:num w:numId="3" w16cid:durableId="1699165306">
    <w:abstractNumId w:val="8"/>
  </w:num>
  <w:num w:numId="4" w16cid:durableId="1011878085">
    <w:abstractNumId w:val="5"/>
  </w:num>
  <w:num w:numId="5" w16cid:durableId="1619145431">
    <w:abstractNumId w:val="7"/>
  </w:num>
  <w:num w:numId="6" w16cid:durableId="1662125969">
    <w:abstractNumId w:val="0"/>
  </w:num>
  <w:num w:numId="7" w16cid:durableId="1229683347">
    <w:abstractNumId w:val="1"/>
  </w:num>
  <w:num w:numId="8" w16cid:durableId="200766106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7428"/>
    <w:rsid w:val="00031EC9"/>
    <w:rsid w:val="00045CED"/>
    <w:rsid w:val="00066FED"/>
    <w:rsid w:val="00075EA6"/>
    <w:rsid w:val="0007709F"/>
    <w:rsid w:val="00084D33"/>
    <w:rsid w:val="00085303"/>
    <w:rsid w:val="0008553C"/>
    <w:rsid w:val="00086F62"/>
    <w:rsid w:val="00090674"/>
    <w:rsid w:val="000930A7"/>
    <w:rsid w:val="0009320B"/>
    <w:rsid w:val="0009469D"/>
    <w:rsid w:val="00096AE0"/>
    <w:rsid w:val="000B1B74"/>
    <w:rsid w:val="000B3A2D"/>
    <w:rsid w:val="000B425C"/>
    <w:rsid w:val="000B49C0"/>
    <w:rsid w:val="000C76B8"/>
    <w:rsid w:val="000E382F"/>
    <w:rsid w:val="000E75CD"/>
    <w:rsid w:val="000F3FD2"/>
    <w:rsid w:val="001016E0"/>
    <w:rsid w:val="001036BA"/>
    <w:rsid w:val="00107CDD"/>
    <w:rsid w:val="001146DC"/>
    <w:rsid w:val="00114AB1"/>
    <w:rsid w:val="001230FF"/>
    <w:rsid w:val="00130BD7"/>
    <w:rsid w:val="00155B67"/>
    <w:rsid w:val="001562AF"/>
    <w:rsid w:val="00161A5B"/>
    <w:rsid w:val="0016385D"/>
    <w:rsid w:val="0016782F"/>
    <w:rsid w:val="001937E9"/>
    <w:rsid w:val="001964E5"/>
    <w:rsid w:val="001B263B"/>
    <w:rsid w:val="001B476A"/>
    <w:rsid w:val="001C252F"/>
    <w:rsid w:val="001C764F"/>
    <w:rsid w:val="001C7811"/>
    <w:rsid w:val="001C7BB3"/>
    <w:rsid w:val="001D469C"/>
    <w:rsid w:val="001F0D5D"/>
    <w:rsid w:val="00202827"/>
    <w:rsid w:val="0021619E"/>
    <w:rsid w:val="002273EF"/>
    <w:rsid w:val="00230290"/>
    <w:rsid w:val="0023171B"/>
    <w:rsid w:val="00231ADD"/>
    <w:rsid w:val="00236BFC"/>
    <w:rsid w:val="00237437"/>
    <w:rsid w:val="00243F8D"/>
    <w:rsid w:val="00243FE5"/>
    <w:rsid w:val="002502FD"/>
    <w:rsid w:val="00255FAE"/>
    <w:rsid w:val="00261E58"/>
    <w:rsid w:val="002621CA"/>
    <w:rsid w:val="00274622"/>
    <w:rsid w:val="00285D24"/>
    <w:rsid w:val="00290390"/>
    <w:rsid w:val="002915D3"/>
    <w:rsid w:val="002924DB"/>
    <w:rsid w:val="002941DA"/>
    <w:rsid w:val="002B5648"/>
    <w:rsid w:val="002C297D"/>
    <w:rsid w:val="002E162E"/>
    <w:rsid w:val="002E3C35"/>
    <w:rsid w:val="002F5298"/>
    <w:rsid w:val="00326AE0"/>
    <w:rsid w:val="00337E4F"/>
    <w:rsid w:val="00340C36"/>
    <w:rsid w:val="00342705"/>
    <w:rsid w:val="00346A9D"/>
    <w:rsid w:val="00363DD3"/>
    <w:rsid w:val="0039376F"/>
    <w:rsid w:val="003A287B"/>
    <w:rsid w:val="003A3EFA"/>
    <w:rsid w:val="003A5C85"/>
    <w:rsid w:val="003A61B1"/>
    <w:rsid w:val="003A69CC"/>
    <w:rsid w:val="003B0050"/>
    <w:rsid w:val="003D626E"/>
    <w:rsid w:val="003D6312"/>
    <w:rsid w:val="003E5A4F"/>
    <w:rsid w:val="003E7C74"/>
    <w:rsid w:val="003F31C6"/>
    <w:rsid w:val="0040225B"/>
    <w:rsid w:val="00402DA2"/>
    <w:rsid w:val="004119D6"/>
    <w:rsid w:val="004220A2"/>
    <w:rsid w:val="00425AC2"/>
    <w:rsid w:val="00440F52"/>
    <w:rsid w:val="0044365F"/>
    <w:rsid w:val="0044771F"/>
    <w:rsid w:val="004543DE"/>
    <w:rsid w:val="004A492D"/>
    <w:rsid w:val="004B151D"/>
    <w:rsid w:val="004C7243"/>
    <w:rsid w:val="004D535B"/>
    <w:rsid w:val="004D6080"/>
    <w:rsid w:val="004E21DE"/>
    <w:rsid w:val="004E3C57"/>
    <w:rsid w:val="004E3CB2"/>
    <w:rsid w:val="004E41F6"/>
    <w:rsid w:val="005021C7"/>
    <w:rsid w:val="00525813"/>
    <w:rsid w:val="0053513F"/>
    <w:rsid w:val="00553812"/>
    <w:rsid w:val="00554290"/>
    <w:rsid w:val="00567E55"/>
    <w:rsid w:val="00573E44"/>
    <w:rsid w:val="00574405"/>
    <w:rsid w:val="00581BE7"/>
    <w:rsid w:val="005854B0"/>
    <w:rsid w:val="005918DF"/>
    <w:rsid w:val="00594F86"/>
    <w:rsid w:val="005968AB"/>
    <w:rsid w:val="005978A0"/>
    <w:rsid w:val="005A0E21"/>
    <w:rsid w:val="005A65E6"/>
    <w:rsid w:val="005B3A34"/>
    <w:rsid w:val="005C3A84"/>
    <w:rsid w:val="005D4676"/>
    <w:rsid w:val="005D49AF"/>
    <w:rsid w:val="005E415C"/>
    <w:rsid w:val="005E4EED"/>
    <w:rsid w:val="005E71ED"/>
    <w:rsid w:val="005E7946"/>
    <w:rsid w:val="005F7475"/>
    <w:rsid w:val="00611265"/>
    <w:rsid w:val="00611299"/>
    <w:rsid w:val="00613B4D"/>
    <w:rsid w:val="00616365"/>
    <w:rsid w:val="00616F3B"/>
    <w:rsid w:val="00624229"/>
    <w:rsid w:val="006249A7"/>
    <w:rsid w:val="00641FFD"/>
    <w:rsid w:val="0064225B"/>
    <w:rsid w:val="00646F47"/>
    <w:rsid w:val="00661EA4"/>
    <w:rsid w:val="006763F9"/>
    <w:rsid w:val="006949BC"/>
    <w:rsid w:val="006B3367"/>
    <w:rsid w:val="006C6AD4"/>
    <w:rsid w:val="006D1229"/>
    <w:rsid w:val="006D372F"/>
    <w:rsid w:val="006D7A18"/>
    <w:rsid w:val="006E4474"/>
    <w:rsid w:val="006E76EF"/>
    <w:rsid w:val="006F357D"/>
    <w:rsid w:val="00701388"/>
    <w:rsid w:val="00701ACF"/>
    <w:rsid w:val="00723B7F"/>
    <w:rsid w:val="00725861"/>
    <w:rsid w:val="0073324D"/>
    <w:rsid w:val="0073393A"/>
    <w:rsid w:val="0073539D"/>
    <w:rsid w:val="007438C4"/>
    <w:rsid w:val="00767407"/>
    <w:rsid w:val="00767B8A"/>
    <w:rsid w:val="00775481"/>
    <w:rsid w:val="00776588"/>
    <w:rsid w:val="007843D7"/>
    <w:rsid w:val="0079783A"/>
    <w:rsid w:val="007A233B"/>
    <w:rsid w:val="007A39BE"/>
    <w:rsid w:val="007B4863"/>
    <w:rsid w:val="007C65E6"/>
    <w:rsid w:val="007D3F8D"/>
    <w:rsid w:val="007D406B"/>
    <w:rsid w:val="007D4407"/>
    <w:rsid w:val="007E1CA3"/>
    <w:rsid w:val="007F1A89"/>
    <w:rsid w:val="00812D62"/>
    <w:rsid w:val="00812F29"/>
    <w:rsid w:val="00821713"/>
    <w:rsid w:val="008266B5"/>
    <w:rsid w:val="00826E0A"/>
    <w:rsid w:val="00827050"/>
    <w:rsid w:val="0083076C"/>
    <w:rsid w:val="0083278B"/>
    <w:rsid w:val="00834538"/>
    <w:rsid w:val="0084736D"/>
    <w:rsid w:val="00850E89"/>
    <w:rsid w:val="008569A7"/>
    <w:rsid w:val="00871375"/>
    <w:rsid w:val="00892AEA"/>
    <w:rsid w:val="008930E4"/>
    <w:rsid w:val="00893821"/>
    <w:rsid w:val="008A7B9C"/>
    <w:rsid w:val="008B0CC3"/>
    <w:rsid w:val="008B2DDD"/>
    <w:rsid w:val="008B32FB"/>
    <w:rsid w:val="008B39FA"/>
    <w:rsid w:val="008B4754"/>
    <w:rsid w:val="008E6A7A"/>
    <w:rsid w:val="008F1038"/>
    <w:rsid w:val="008F7046"/>
    <w:rsid w:val="009005FC"/>
    <w:rsid w:val="00922E5A"/>
    <w:rsid w:val="00925DDE"/>
    <w:rsid w:val="00943315"/>
    <w:rsid w:val="00946C27"/>
    <w:rsid w:val="00956C9E"/>
    <w:rsid w:val="009646A7"/>
    <w:rsid w:val="009A4F3D"/>
    <w:rsid w:val="009B696B"/>
    <w:rsid w:val="009B7671"/>
    <w:rsid w:val="009E5BA1"/>
    <w:rsid w:val="009F056E"/>
    <w:rsid w:val="00A06D51"/>
    <w:rsid w:val="00A076F7"/>
    <w:rsid w:val="00A24F3D"/>
    <w:rsid w:val="00A26DCD"/>
    <w:rsid w:val="00A314BB"/>
    <w:rsid w:val="00A32B7D"/>
    <w:rsid w:val="00A3533A"/>
    <w:rsid w:val="00A3645F"/>
    <w:rsid w:val="00A5596B"/>
    <w:rsid w:val="00A646B3"/>
    <w:rsid w:val="00A6739B"/>
    <w:rsid w:val="00A67C51"/>
    <w:rsid w:val="00A90413"/>
    <w:rsid w:val="00AA728C"/>
    <w:rsid w:val="00AB0A9C"/>
    <w:rsid w:val="00AB2CFC"/>
    <w:rsid w:val="00AB412F"/>
    <w:rsid w:val="00AB7119"/>
    <w:rsid w:val="00AD5855"/>
    <w:rsid w:val="00AE7500"/>
    <w:rsid w:val="00AE7F87"/>
    <w:rsid w:val="00AF3542"/>
    <w:rsid w:val="00AF5ABE"/>
    <w:rsid w:val="00B00415"/>
    <w:rsid w:val="00B03C2A"/>
    <w:rsid w:val="00B062F7"/>
    <w:rsid w:val="00B1000D"/>
    <w:rsid w:val="00B10134"/>
    <w:rsid w:val="00B143C3"/>
    <w:rsid w:val="00B16BFE"/>
    <w:rsid w:val="00B500E5"/>
    <w:rsid w:val="00B6455A"/>
    <w:rsid w:val="00B74CF3"/>
    <w:rsid w:val="00B77363"/>
    <w:rsid w:val="00BA235F"/>
    <w:rsid w:val="00BA2564"/>
    <w:rsid w:val="00BA39BB"/>
    <w:rsid w:val="00BA3B3D"/>
    <w:rsid w:val="00BB318D"/>
    <w:rsid w:val="00BB7EEA"/>
    <w:rsid w:val="00BC4B92"/>
    <w:rsid w:val="00BD1909"/>
    <w:rsid w:val="00BE33A2"/>
    <w:rsid w:val="00BE5E16"/>
    <w:rsid w:val="00BE5FD1"/>
    <w:rsid w:val="00BF581F"/>
    <w:rsid w:val="00C06E05"/>
    <w:rsid w:val="00C13D94"/>
    <w:rsid w:val="00C14B14"/>
    <w:rsid w:val="00C17370"/>
    <w:rsid w:val="00C2054D"/>
    <w:rsid w:val="00C252EB"/>
    <w:rsid w:val="00C26EC0"/>
    <w:rsid w:val="00C40D7C"/>
    <w:rsid w:val="00C4127A"/>
    <w:rsid w:val="00C44550"/>
    <w:rsid w:val="00C56C77"/>
    <w:rsid w:val="00C84923"/>
    <w:rsid w:val="00CB7B3E"/>
    <w:rsid w:val="00CC739D"/>
    <w:rsid w:val="00CF5FDE"/>
    <w:rsid w:val="00D04468"/>
    <w:rsid w:val="00D163FF"/>
    <w:rsid w:val="00D30640"/>
    <w:rsid w:val="00D36257"/>
    <w:rsid w:val="00D4687E"/>
    <w:rsid w:val="00D53A12"/>
    <w:rsid w:val="00D55E73"/>
    <w:rsid w:val="00D729E7"/>
    <w:rsid w:val="00D76838"/>
    <w:rsid w:val="00D87E2A"/>
    <w:rsid w:val="00D90D03"/>
    <w:rsid w:val="00D93719"/>
    <w:rsid w:val="00D97B4C"/>
    <w:rsid w:val="00DB0C43"/>
    <w:rsid w:val="00DB7BB8"/>
    <w:rsid w:val="00DC44B0"/>
    <w:rsid w:val="00DC7D29"/>
    <w:rsid w:val="00DD337E"/>
    <w:rsid w:val="00DD7BD6"/>
    <w:rsid w:val="00DE16D0"/>
    <w:rsid w:val="00DE3354"/>
    <w:rsid w:val="00DF7DCD"/>
    <w:rsid w:val="00E349D4"/>
    <w:rsid w:val="00E36988"/>
    <w:rsid w:val="00E4346B"/>
    <w:rsid w:val="00E50B7D"/>
    <w:rsid w:val="00E717BB"/>
    <w:rsid w:val="00E75FE2"/>
    <w:rsid w:val="00E86485"/>
    <w:rsid w:val="00E904A1"/>
    <w:rsid w:val="00E90791"/>
    <w:rsid w:val="00EA42C9"/>
    <w:rsid w:val="00EA5153"/>
    <w:rsid w:val="00EB2474"/>
    <w:rsid w:val="00EB30F5"/>
    <w:rsid w:val="00EB50E6"/>
    <w:rsid w:val="00EB7D28"/>
    <w:rsid w:val="00EC0D0C"/>
    <w:rsid w:val="00ED1C0D"/>
    <w:rsid w:val="00ED4A2C"/>
    <w:rsid w:val="00ED5255"/>
    <w:rsid w:val="00EE0323"/>
    <w:rsid w:val="00EF6940"/>
    <w:rsid w:val="00F06D61"/>
    <w:rsid w:val="00F2044A"/>
    <w:rsid w:val="00F20BFC"/>
    <w:rsid w:val="00F2302E"/>
    <w:rsid w:val="00F24D5F"/>
    <w:rsid w:val="00F320D7"/>
    <w:rsid w:val="00F461AC"/>
    <w:rsid w:val="00F52CB0"/>
    <w:rsid w:val="00F6130D"/>
    <w:rsid w:val="00F726C3"/>
    <w:rsid w:val="00F748A7"/>
    <w:rsid w:val="00F80BE6"/>
    <w:rsid w:val="00F820CA"/>
    <w:rsid w:val="00F8554C"/>
    <w:rsid w:val="00F95F82"/>
    <w:rsid w:val="00F97A90"/>
    <w:rsid w:val="00FB4DC5"/>
    <w:rsid w:val="00FB52F8"/>
    <w:rsid w:val="00FB61E4"/>
    <w:rsid w:val="00FC2F35"/>
    <w:rsid w:val="00FC37BC"/>
    <w:rsid w:val="00FC3FD7"/>
    <w:rsid w:val="00FD1FC6"/>
    <w:rsid w:val="00FD3441"/>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29A928"/>
  <w15:docId w15:val="{D1432A39-949C-466E-B6EE-1FF27DF1B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661EA4"/>
    <w:pPr>
      <w:keepNext/>
      <w:spacing w:before="240" w:after="240"/>
      <w:jc w:val="center"/>
      <w:outlineLvl w:val="0"/>
    </w:pPr>
    <w:rPr>
      <w:b/>
      <w:caps/>
    </w:rPr>
  </w:style>
  <w:style w:type="paragraph" w:styleId="Heading2">
    <w:name w:val="heading 2"/>
    <w:basedOn w:val="Normal"/>
    <w:next w:val="Paragraph"/>
    <w:qFormat/>
    <w:rsid w:val="00661EA4"/>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661EA4"/>
    <w:rPr>
      <w:sz w:val="16"/>
    </w:rPr>
  </w:style>
  <w:style w:type="paragraph" w:customStyle="1" w:styleId="PaperTitle">
    <w:name w:val="Paper Title"/>
    <w:basedOn w:val="Normal"/>
    <w:next w:val="AuthorName"/>
    <w:rsid w:val="00661EA4"/>
    <w:pPr>
      <w:spacing w:before="1200"/>
      <w:jc w:val="center"/>
    </w:pPr>
    <w:rPr>
      <w:b/>
      <w:sz w:val="36"/>
    </w:rPr>
  </w:style>
  <w:style w:type="paragraph" w:customStyle="1" w:styleId="AuthorName">
    <w:name w:val="Author Name"/>
    <w:basedOn w:val="Normal"/>
    <w:next w:val="AuthorAffiliation"/>
    <w:rsid w:val="00661EA4"/>
    <w:pPr>
      <w:spacing w:before="360" w:after="360"/>
      <w:jc w:val="center"/>
    </w:pPr>
    <w:rPr>
      <w:sz w:val="28"/>
    </w:rPr>
  </w:style>
  <w:style w:type="paragraph" w:customStyle="1" w:styleId="AuthorAffiliation">
    <w:name w:val="Author Affiliation"/>
    <w:basedOn w:val="Normal"/>
    <w:rsid w:val="00661EA4"/>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661EA4"/>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661EA4"/>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rsid w:val="00661EA4"/>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character" w:customStyle="1" w:styleId="apple-converted-space">
    <w:name w:val="apple-converted-space"/>
    <w:basedOn w:val="DefaultParagraphFont"/>
    <w:rsid w:val="008B0CC3"/>
  </w:style>
  <w:style w:type="character" w:styleId="UnresolvedMention">
    <w:name w:val="Unresolved Mention"/>
    <w:basedOn w:val="DefaultParagraphFont"/>
    <w:uiPriority w:val="99"/>
    <w:semiHidden/>
    <w:unhideWhenUsed/>
    <w:rsid w:val="00E717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4271/2024-01-5260" TargetMode="External"/><Relationship Id="rId18" Type="http://schemas.openxmlformats.org/officeDocument/2006/relationships/hyperlink" Target="http://dx.doi.org/10.29228/ijastech..1528281" TargetMode="External"/><Relationship Id="rId26" Type="http://schemas.openxmlformats.org/officeDocument/2006/relationships/hyperlink" Target="https://doi.org/10.1007/s12206-024-1219-1" TargetMode="External"/><Relationship Id="rId3" Type="http://schemas.openxmlformats.org/officeDocument/2006/relationships/customXml" Target="../customXml/item3.xml"/><Relationship Id="rId21" Type="http://schemas.openxmlformats.org/officeDocument/2006/relationships/hyperlink" Target="https://doi.org/10.1117/12.3030837" TargetMode="External"/><Relationship Id="rId34" Type="http://schemas.openxmlformats.org/officeDocument/2006/relationships/hyperlink" Target="https://doi.org/10.1109/SSITCON62437.2024.10796449" TargetMode="External"/><Relationship Id="rId7" Type="http://schemas.openxmlformats.org/officeDocument/2006/relationships/settings" Target="settings.xml"/><Relationship Id="rId12" Type="http://schemas.openxmlformats.org/officeDocument/2006/relationships/chart" Target="charts/chart3.xml"/><Relationship Id="rId17" Type="http://schemas.openxmlformats.org/officeDocument/2006/relationships/hyperlink" Target="https://doi.org/10.1007/s11029-025-10305-7" TargetMode="External"/><Relationship Id="rId25" Type="http://schemas.openxmlformats.org/officeDocument/2006/relationships/hyperlink" Target="https://doi.org/10.4271/2024-01-5257" TargetMode="External"/><Relationship Id="rId33" Type="http://schemas.openxmlformats.org/officeDocument/2006/relationships/hyperlink" Target="https://doi.org/10.1007/s11082-024-08027-6" TargetMode="External"/><Relationship Id="rId2" Type="http://schemas.openxmlformats.org/officeDocument/2006/relationships/customXml" Target="../customXml/item2.xml"/><Relationship Id="rId16" Type="http://schemas.openxmlformats.org/officeDocument/2006/relationships/hyperlink" Target="https://doi.org/10.1007/s11664-024-11669-7" TargetMode="External"/><Relationship Id="rId20" Type="http://schemas.openxmlformats.org/officeDocument/2006/relationships/hyperlink" Target="https://doi.org/10.4271/2024-01-5256" TargetMode="External"/><Relationship Id="rId29" Type="http://schemas.openxmlformats.org/officeDocument/2006/relationships/hyperlink" Target="https://doi.org/10.4271/05-18-02-00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2.xml"/><Relationship Id="rId24" Type="http://schemas.openxmlformats.org/officeDocument/2006/relationships/hyperlink" Target="https://doi.org/10.4271/05-18-03-0017" TargetMode="External"/><Relationship Id="rId32" Type="http://schemas.openxmlformats.org/officeDocument/2006/relationships/hyperlink" Target="https://doi.org/10.1007/s10973-024-13970-3" TargetMode="External"/><Relationship Id="rId5" Type="http://schemas.openxmlformats.org/officeDocument/2006/relationships/numbering" Target="numbering.xml"/><Relationship Id="rId15" Type="http://schemas.openxmlformats.org/officeDocument/2006/relationships/hyperlink" Target="https://doi.org/10.1007/s12206-024-1216-4" TargetMode="External"/><Relationship Id="rId23" Type="http://schemas.openxmlformats.org/officeDocument/2006/relationships/hyperlink" Target="https://doi.org/10.1109/ICESC60852.2024.10689771" TargetMode="External"/><Relationship Id="rId28" Type="http://schemas.openxmlformats.org/officeDocument/2006/relationships/hyperlink" Target="https://doi.org/10.1016/j.applthermaleng.2025.125608R" TargetMode="External"/><Relationship Id="rId36"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hyperlink" Target="https://doi.org/10.1115/1.4067631" TargetMode="External"/><Relationship Id="rId31" Type="http://schemas.openxmlformats.org/officeDocument/2006/relationships/hyperlink" Target="https://doi.org/10.1080/13640461.2024.2447101" TargetMode="External"/><Relationship Id="rId4" Type="http://schemas.openxmlformats.org/officeDocument/2006/relationships/customXml" Target="../customXml/item4.xml"/><Relationship Id="rId9" Type="http://schemas.openxmlformats.org/officeDocument/2006/relationships/hyperlink" Target="mailto:elango3088@gmail.com" TargetMode="External"/><Relationship Id="rId14" Type="http://schemas.openxmlformats.org/officeDocument/2006/relationships/hyperlink" Target="https://doi.org/10.1115/1.4067588" TargetMode="External"/><Relationship Id="rId22" Type="http://schemas.openxmlformats.org/officeDocument/2006/relationships/hyperlink" Target="https://doi.org/10.1016/j.prp.2024.155120" TargetMode="External"/><Relationship Id="rId27" Type="http://schemas.openxmlformats.org/officeDocument/2006/relationships/hyperlink" Target="https://doi.org/10.1007/s10973-024-13973-0" TargetMode="External"/><Relationship Id="rId30" Type="http://schemas.openxmlformats.org/officeDocument/2006/relationships/hyperlink" Target="https://doi.org/10.1007/s10854-024-14135-6"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G:\June%202025\002%20Jun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June%202025\002%20June.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June%202025\002%20Jun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Sheet1!$B$1</c:f>
              <c:strCache>
                <c:ptCount val="1"/>
                <c:pt idx="0">
                  <c:v>Tensile Stress (MPa)</c:v>
                </c:pt>
              </c:strCache>
            </c:strRef>
          </c:tx>
          <c:spPr>
            <a:solidFill>
              <a:schemeClr val="accent1"/>
            </a:solidFill>
            <a:ln>
              <a:noFill/>
            </a:ln>
            <a:effectLst/>
          </c:spPr>
          <c:invertIfNegative val="0"/>
          <c:cat>
            <c:strRef>
              <c:f>Sheet1!$A$2:$A$5</c:f>
              <c:strCache>
                <c:ptCount val="4"/>
                <c:pt idx="0">
                  <c:v>Neat PS</c:v>
                </c:pt>
                <c:pt idx="1">
                  <c:v>2% Fe3O4 + 1% Graphene</c:v>
                </c:pt>
                <c:pt idx="2">
                  <c:v>4% Fe3O4 + 1% Graphene</c:v>
                </c:pt>
                <c:pt idx="3">
                  <c:v>6% Fe3O4 + 1% Graphene</c:v>
                </c:pt>
              </c:strCache>
            </c:strRef>
          </c:cat>
          <c:val>
            <c:numRef>
              <c:f>Sheet1!$B$2:$B$5</c:f>
              <c:numCache>
                <c:formatCode>General</c:formatCode>
                <c:ptCount val="4"/>
                <c:pt idx="0">
                  <c:v>31.2</c:v>
                </c:pt>
                <c:pt idx="1">
                  <c:v>38.6</c:v>
                </c:pt>
                <c:pt idx="2">
                  <c:v>44.9</c:v>
                </c:pt>
                <c:pt idx="3">
                  <c:v>41.5</c:v>
                </c:pt>
              </c:numCache>
            </c:numRef>
          </c:val>
          <c:extLst>
            <c:ext xmlns:c16="http://schemas.microsoft.com/office/drawing/2014/chart" uri="{C3380CC4-5D6E-409C-BE32-E72D297353CC}">
              <c16:uniqueId val="{00000000-7A7B-45F1-8598-A6F108538AED}"/>
            </c:ext>
          </c:extLst>
        </c:ser>
        <c:dLbls>
          <c:showLegendKey val="0"/>
          <c:showVal val="0"/>
          <c:showCatName val="0"/>
          <c:showSerName val="0"/>
          <c:showPercent val="0"/>
          <c:showBubbleSize val="0"/>
        </c:dLbls>
        <c:gapWidth val="219"/>
        <c:overlap val="-27"/>
        <c:axId val="191344000"/>
        <c:axId val="191354368"/>
      </c:barChart>
      <c:catAx>
        <c:axId val="191344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91354368"/>
        <c:crosses val="autoZero"/>
        <c:auto val="1"/>
        <c:lblAlgn val="ctr"/>
        <c:lblOffset val="100"/>
        <c:noMultiLvlLbl val="0"/>
      </c:catAx>
      <c:valAx>
        <c:axId val="1913543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913440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Sheet1!$C$1</c:f>
              <c:strCache>
                <c:ptCount val="1"/>
                <c:pt idx="0">
                  <c:v>Onset Decomposition Temp (°C)</c:v>
                </c:pt>
              </c:strCache>
            </c:strRef>
          </c:tx>
          <c:spPr>
            <a:solidFill>
              <a:schemeClr val="accent1"/>
            </a:solidFill>
            <a:ln>
              <a:noFill/>
            </a:ln>
            <a:effectLst/>
          </c:spPr>
          <c:invertIfNegative val="0"/>
          <c:cat>
            <c:strRef>
              <c:f>Sheet1!$A$2:$A$5</c:f>
              <c:strCache>
                <c:ptCount val="4"/>
                <c:pt idx="0">
                  <c:v>Neat PS</c:v>
                </c:pt>
                <c:pt idx="1">
                  <c:v>2% Fe3O4 + 1% Graphene</c:v>
                </c:pt>
                <c:pt idx="2">
                  <c:v>4% Fe3O4 + 1% Graphene</c:v>
                </c:pt>
                <c:pt idx="3">
                  <c:v>6% Fe3O4 + 1% Graphene</c:v>
                </c:pt>
              </c:strCache>
            </c:strRef>
          </c:cat>
          <c:val>
            <c:numRef>
              <c:f>Sheet1!$C$2:$C$5</c:f>
              <c:numCache>
                <c:formatCode>General</c:formatCode>
                <c:ptCount val="4"/>
                <c:pt idx="0">
                  <c:v>354</c:v>
                </c:pt>
                <c:pt idx="1">
                  <c:v>368</c:v>
                </c:pt>
                <c:pt idx="2">
                  <c:v>379</c:v>
                </c:pt>
                <c:pt idx="3">
                  <c:v>376</c:v>
                </c:pt>
              </c:numCache>
            </c:numRef>
          </c:val>
          <c:extLst>
            <c:ext xmlns:c16="http://schemas.microsoft.com/office/drawing/2014/chart" uri="{C3380CC4-5D6E-409C-BE32-E72D297353CC}">
              <c16:uniqueId val="{00000000-9C7C-46A0-9E3E-30E73F16CB12}"/>
            </c:ext>
          </c:extLst>
        </c:ser>
        <c:dLbls>
          <c:showLegendKey val="0"/>
          <c:showVal val="0"/>
          <c:showCatName val="0"/>
          <c:showSerName val="0"/>
          <c:showPercent val="0"/>
          <c:showBubbleSize val="0"/>
        </c:dLbls>
        <c:gapWidth val="219"/>
        <c:overlap val="-27"/>
        <c:axId val="191303680"/>
        <c:axId val="191305216"/>
      </c:barChart>
      <c:catAx>
        <c:axId val="191303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91305216"/>
        <c:crosses val="autoZero"/>
        <c:auto val="1"/>
        <c:lblAlgn val="ctr"/>
        <c:lblOffset val="100"/>
        <c:noMultiLvlLbl val="0"/>
      </c:catAx>
      <c:valAx>
        <c:axId val="1913052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913036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Sheet1!$D$1</c:f>
              <c:strCache>
                <c:ptCount val="1"/>
                <c:pt idx="0">
                  <c:v>EMI Shielding Effectiveness (dB)</c:v>
                </c:pt>
              </c:strCache>
            </c:strRef>
          </c:tx>
          <c:spPr>
            <a:solidFill>
              <a:schemeClr val="accent1"/>
            </a:solidFill>
            <a:ln>
              <a:noFill/>
            </a:ln>
            <a:effectLst/>
          </c:spPr>
          <c:invertIfNegative val="0"/>
          <c:cat>
            <c:strRef>
              <c:f>Sheet1!$A$2:$A$5</c:f>
              <c:strCache>
                <c:ptCount val="4"/>
                <c:pt idx="0">
                  <c:v>Neat PS</c:v>
                </c:pt>
                <c:pt idx="1">
                  <c:v>2% Fe3O4 + 1% Graphene</c:v>
                </c:pt>
                <c:pt idx="2">
                  <c:v>4% Fe3O4 + 1% Graphene</c:v>
                </c:pt>
                <c:pt idx="3">
                  <c:v>6% Fe3O4 + 1% Graphene</c:v>
                </c:pt>
              </c:strCache>
            </c:strRef>
          </c:cat>
          <c:val>
            <c:numRef>
              <c:f>Sheet1!$D$2:$D$5</c:f>
              <c:numCache>
                <c:formatCode>General</c:formatCode>
                <c:ptCount val="4"/>
                <c:pt idx="0">
                  <c:v>0.30000000000000021</c:v>
                </c:pt>
                <c:pt idx="1">
                  <c:v>10.200000000000001</c:v>
                </c:pt>
                <c:pt idx="2">
                  <c:v>17.5</c:v>
                </c:pt>
                <c:pt idx="3">
                  <c:v>15.8</c:v>
                </c:pt>
              </c:numCache>
            </c:numRef>
          </c:val>
          <c:extLst>
            <c:ext xmlns:c16="http://schemas.microsoft.com/office/drawing/2014/chart" uri="{C3380CC4-5D6E-409C-BE32-E72D297353CC}">
              <c16:uniqueId val="{00000000-DD6C-48DB-94D3-124A4A1DD530}"/>
            </c:ext>
          </c:extLst>
        </c:ser>
        <c:dLbls>
          <c:showLegendKey val="0"/>
          <c:showVal val="0"/>
          <c:showCatName val="0"/>
          <c:showSerName val="0"/>
          <c:showPercent val="0"/>
          <c:showBubbleSize val="0"/>
        </c:dLbls>
        <c:gapWidth val="219"/>
        <c:overlap val="-27"/>
        <c:axId val="191320832"/>
        <c:axId val="191322368"/>
      </c:barChart>
      <c:catAx>
        <c:axId val="191320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91322368"/>
        <c:crosses val="autoZero"/>
        <c:auto val="1"/>
        <c:lblAlgn val="ctr"/>
        <c:lblOffset val="100"/>
        <c:noMultiLvlLbl val="0"/>
      </c:catAx>
      <c:valAx>
        <c:axId val="1913223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913208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67BD21CB-3E44-4344-B7AA-1FD36EA811F9}">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524</TotalTime>
  <Pages>8</Pages>
  <Words>4567</Words>
  <Characters>26034</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129</cp:revision>
  <cp:lastPrinted>2011-03-03T08:29:00Z</cp:lastPrinted>
  <dcterms:created xsi:type="dcterms:W3CDTF">2023-09-01T14:34:00Z</dcterms:created>
  <dcterms:modified xsi:type="dcterms:W3CDTF">2025-09-14T04:13:00Z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88c98394-67e7-492b-aa97-4ff36eab6167</vt:lpwstr>
  </property>
</Properties>
</file>