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624BB" w14:textId="6ED3CEC2" w:rsidR="00724DB2" w:rsidRDefault="00AD3C7C" w:rsidP="009D2AA8">
      <w:pPr>
        <w:pStyle w:val="PaperTitle"/>
      </w:pPr>
      <w:r>
        <w:t>C</w:t>
      </w:r>
      <w:r w:rsidRPr="00AD3C7C">
        <w:t xml:space="preserve">haracterization </w:t>
      </w:r>
      <w:r w:rsidR="00FA4E3C">
        <w:t>o</w:t>
      </w:r>
      <w:r w:rsidR="00FA4E3C" w:rsidRPr="00AD3C7C">
        <w:t xml:space="preserve">f </w:t>
      </w:r>
      <w:r w:rsidR="00FA4E3C">
        <w:t>t</w:t>
      </w:r>
      <w:r w:rsidR="00FA4E3C" w:rsidRPr="00AD3C7C">
        <w:t xml:space="preserve">he Steady-State Void Percentage Using </w:t>
      </w:r>
      <w:r w:rsidR="00FA4E3C">
        <w:t>t</w:t>
      </w:r>
      <w:r w:rsidR="00FA4E3C" w:rsidRPr="00AD3C7C">
        <w:t>he Lowest Entropy Production Principle</w:t>
      </w:r>
    </w:p>
    <w:p w14:paraId="2751D20C" w14:textId="23660CE5" w:rsidR="00A21EA7" w:rsidRPr="00133CA3" w:rsidRDefault="00A21EA7" w:rsidP="009D2AA8">
      <w:pPr>
        <w:pStyle w:val="AuthorName"/>
      </w:pPr>
      <w:r w:rsidRPr="00133CA3">
        <w:t>Sudhakar Reddy Kota</w:t>
      </w:r>
      <w:r w:rsidRPr="00133CA3">
        <w:rPr>
          <w:vertAlign w:val="superscript"/>
        </w:rPr>
        <w:t>1</w:t>
      </w:r>
      <w:r w:rsidRPr="00133CA3">
        <w:t>, Naga Dheeraj Kumar Reddy Chukka</w:t>
      </w:r>
      <w:r w:rsidRPr="00133CA3">
        <w:rPr>
          <w:vertAlign w:val="superscript"/>
        </w:rPr>
        <w:t>2</w:t>
      </w:r>
      <w:r w:rsidRPr="00133CA3">
        <w:t xml:space="preserve">, T. </w:t>
      </w:r>
      <w:r w:rsidR="00133CA3" w:rsidRPr="00133CA3">
        <w:t>Roseline Velankanni</w:t>
      </w:r>
      <w:r w:rsidRPr="00133CA3">
        <w:rPr>
          <w:vertAlign w:val="superscript"/>
        </w:rPr>
        <w:t>3</w:t>
      </w:r>
      <w:r w:rsidRPr="00133CA3">
        <w:t xml:space="preserve">, </w:t>
      </w:r>
      <w:r w:rsidR="00FA4E3C">
        <w:t xml:space="preserve">M </w:t>
      </w:r>
      <w:r w:rsidRPr="00133CA3">
        <w:t>Ramya</w:t>
      </w:r>
      <w:proofErr w:type="gramStart"/>
      <w:r w:rsidRPr="00133CA3">
        <w:rPr>
          <w:vertAlign w:val="superscript"/>
        </w:rPr>
        <w:t>4</w:t>
      </w:r>
      <w:r w:rsidR="009D2AA8">
        <w:rPr>
          <w:vertAlign w:val="superscript"/>
        </w:rPr>
        <w:t>,a</w:t>
      </w:r>
      <w:proofErr w:type="gramEnd"/>
      <w:r w:rsidR="009D2AA8">
        <w:rPr>
          <w:vertAlign w:val="superscript"/>
        </w:rPr>
        <w:t>)</w:t>
      </w:r>
      <w:r w:rsidRPr="00133CA3">
        <w:t xml:space="preserve">, </w:t>
      </w:r>
      <w:r w:rsidR="0009359C" w:rsidRPr="00133CA3">
        <w:t>Gaddam Ashok</w:t>
      </w:r>
      <w:r w:rsidRPr="00133CA3">
        <w:rPr>
          <w:vertAlign w:val="superscript"/>
        </w:rPr>
        <w:t>5</w:t>
      </w:r>
      <w:r w:rsidRPr="00133CA3">
        <w:t xml:space="preserve">, </w:t>
      </w:r>
      <w:proofErr w:type="spellStart"/>
      <w:r w:rsidRPr="00133CA3">
        <w:t>Vijayanandh</w:t>
      </w:r>
      <w:proofErr w:type="spellEnd"/>
      <w:r w:rsidRPr="00133CA3">
        <w:t xml:space="preserve"> Raja</w:t>
      </w:r>
      <w:r w:rsidRPr="00133CA3">
        <w:rPr>
          <w:vertAlign w:val="superscript"/>
        </w:rPr>
        <w:t>6</w:t>
      </w:r>
    </w:p>
    <w:p w14:paraId="58F741AE" w14:textId="07E1AFC4" w:rsidR="00A21EA7" w:rsidRPr="00F114B1" w:rsidRDefault="00082408" w:rsidP="009D2AA8">
      <w:pPr>
        <w:pStyle w:val="AuthorAffiliation"/>
      </w:pPr>
      <w:r w:rsidRPr="00F114B1">
        <w:rPr>
          <w:vertAlign w:val="superscript"/>
        </w:rPr>
        <w:t xml:space="preserve">1 </w:t>
      </w:r>
      <w:r w:rsidR="00A21EA7" w:rsidRPr="00F114B1">
        <w:t>Department of Civil Engineering, G. Pulla Reddy Engineering College, Kurnool, India</w:t>
      </w:r>
    </w:p>
    <w:p w14:paraId="772BF456" w14:textId="7820ADC5" w:rsidR="00A21EA7" w:rsidRPr="00F114B1" w:rsidRDefault="00082408" w:rsidP="009D2AA8">
      <w:pPr>
        <w:pStyle w:val="AuthorAffiliation"/>
      </w:pPr>
      <w:r w:rsidRPr="00F114B1">
        <w:rPr>
          <w:vertAlign w:val="superscript"/>
        </w:rPr>
        <w:t xml:space="preserve">2 </w:t>
      </w:r>
      <w:r w:rsidR="00A21EA7" w:rsidRPr="00F114B1">
        <w:t xml:space="preserve">Department of Civil Engineering, Aditya University, </w:t>
      </w:r>
      <w:proofErr w:type="spellStart"/>
      <w:r w:rsidR="00A21EA7" w:rsidRPr="00F114B1">
        <w:t>Surampalem</w:t>
      </w:r>
      <w:proofErr w:type="spellEnd"/>
      <w:r w:rsidR="00A21EA7" w:rsidRPr="00F114B1">
        <w:t>, India.</w:t>
      </w:r>
    </w:p>
    <w:p w14:paraId="1FA2D8B8" w14:textId="18B747EB" w:rsidR="00A21EA7" w:rsidRPr="00F114B1" w:rsidRDefault="00082408" w:rsidP="009D2AA8">
      <w:pPr>
        <w:pStyle w:val="AuthorAffiliation"/>
      </w:pPr>
      <w:r w:rsidRPr="00F114B1">
        <w:rPr>
          <w:vertAlign w:val="superscript"/>
        </w:rPr>
        <w:t xml:space="preserve">3 </w:t>
      </w:r>
      <w:r w:rsidR="00A21EA7" w:rsidRPr="00F114B1">
        <w:t xml:space="preserve">Department of Mathematics, KCG College of Technology, </w:t>
      </w:r>
      <w:proofErr w:type="spellStart"/>
      <w:r w:rsidR="00A21EA7" w:rsidRPr="00F114B1">
        <w:t>Karapakkam</w:t>
      </w:r>
      <w:proofErr w:type="spellEnd"/>
      <w:r w:rsidR="00A21EA7" w:rsidRPr="00F114B1">
        <w:t>, Chennai 600 097, India.</w:t>
      </w:r>
    </w:p>
    <w:p w14:paraId="5E08CBC8" w14:textId="76EB4F57" w:rsidR="00A21EA7" w:rsidRPr="00F114B1" w:rsidRDefault="00082408" w:rsidP="009D2AA8">
      <w:pPr>
        <w:pStyle w:val="AuthorAffiliation"/>
      </w:pPr>
      <w:r w:rsidRPr="00F114B1">
        <w:rPr>
          <w:vertAlign w:val="superscript"/>
        </w:rPr>
        <w:t xml:space="preserve">4 </w:t>
      </w:r>
      <w:r w:rsidR="00A21EA7" w:rsidRPr="00F114B1">
        <w:t xml:space="preserve">Division of Research and Development, Lovely Professional University, Jalandhar - Delhi </w:t>
      </w:r>
      <w:proofErr w:type="spellStart"/>
      <w:r w:rsidR="00A21EA7" w:rsidRPr="00F114B1">
        <w:t>G.</w:t>
      </w:r>
      <w:proofErr w:type="gramStart"/>
      <w:r w:rsidR="00A21EA7" w:rsidRPr="00F114B1">
        <w:t>T.Road</w:t>
      </w:r>
      <w:proofErr w:type="spellEnd"/>
      <w:proofErr w:type="gramEnd"/>
      <w:r w:rsidR="00A21EA7" w:rsidRPr="00F114B1">
        <w:t xml:space="preserve">, Phagwara, Punjab– 144411, India.  </w:t>
      </w:r>
      <w:r w:rsidR="00707F1C" w:rsidRPr="00707F1C">
        <w:t>ramyalpu@yahoo.com</w:t>
      </w:r>
    </w:p>
    <w:p w14:paraId="25F88974" w14:textId="5AEAE07E" w:rsidR="00A21EA7" w:rsidRPr="00F114B1" w:rsidRDefault="00082408" w:rsidP="009D2AA8">
      <w:pPr>
        <w:pStyle w:val="AuthorAffiliation"/>
      </w:pPr>
      <w:r w:rsidRPr="00F114B1">
        <w:rPr>
          <w:vertAlign w:val="superscript"/>
        </w:rPr>
        <w:t xml:space="preserve">5 </w:t>
      </w:r>
      <w:r w:rsidR="00A21EA7" w:rsidRPr="00F114B1">
        <w:t>Departmen</w:t>
      </w:r>
      <w:r w:rsidRPr="00F114B1">
        <w:t xml:space="preserve">t of Mechanical Engineering, </w:t>
      </w:r>
      <w:r w:rsidR="0009359C" w:rsidRPr="00F114B1">
        <w:t xml:space="preserve">SR University, Warangal, </w:t>
      </w:r>
      <w:proofErr w:type="spellStart"/>
      <w:r w:rsidR="0009359C" w:rsidRPr="00F114B1">
        <w:t>Telungana</w:t>
      </w:r>
      <w:proofErr w:type="spellEnd"/>
      <w:r w:rsidR="0009359C" w:rsidRPr="00F114B1">
        <w:t>, India</w:t>
      </w:r>
      <w:r w:rsidR="00A21EA7" w:rsidRPr="00F114B1">
        <w:t>,</w:t>
      </w:r>
    </w:p>
    <w:p w14:paraId="6D402B37" w14:textId="3822EAD9" w:rsidR="00A21EA7" w:rsidRPr="00F114B1" w:rsidRDefault="00082408" w:rsidP="009D2AA8">
      <w:pPr>
        <w:pStyle w:val="AuthorAffiliation"/>
      </w:pPr>
      <w:r w:rsidRPr="00F114B1">
        <w:rPr>
          <w:vertAlign w:val="superscript"/>
        </w:rPr>
        <w:t xml:space="preserve">6 </w:t>
      </w:r>
      <w:r w:rsidR="00A21EA7" w:rsidRPr="00F114B1">
        <w:t>Department of Aeronautical Engineering, Kumaraguru College of Technology, Coimbatore-641049, Tamil Nadu, India</w:t>
      </w:r>
      <w:r w:rsidR="009D2AA8">
        <w:t>.</w:t>
      </w:r>
    </w:p>
    <w:p w14:paraId="71FBA57E" w14:textId="5EA8F40E" w:rsidR="00A21EA7" w:rsidRPr="00F114B1" w:rsidRDefault="00A21EA7" w:rsidP="009D2AA8">
      <w:pPr>
        <w:pStyle w:val="AuthorEmail"/>
      </w:pPr>
      <w:r w:rsidRPr="00F114B1">
        <w:t>Corresponding Author:</w:t>
      </w:r>
      <w:r w:rsidR="00082408" w:rsidRPr="00F114B1">
        <w:t xml:space="preserve"> </w:t>
      </w:r>
      <w:r w:rsidR="00F114B1" w:rsidRPr="00F114B1">
        <w:t xml:space="preserve"> </w:t>
      </w:r>
      <w:r w:rsidR="009D2AA8">
        <w:rPr>
          <w:vertAlign w:val="superscript"/>
        </w:rPr>
        <w:t>a)</w:t>
      </w:r>
      <w:hyperlink r:id="rId5" w:history="1">
        <w:r w:rsidR="009D2AA8" w:rsidRPr="00976DC6">
          <w:rPr>
            <w:rStyle w:val="Hyperlink"/>
          </w:rPr>
          <w:t>ramyalpu@yahoo.com</w:t>
        </w:r>
      </w:hyperlink>
      <w:r w:rsidR="009D2AA8">
        <w:t xml:space="preserve"> </w:t>
      </w:r>
    </w:p>
    <w:p w14:paraId="29C08549" w14:textId="77777777" w:rsidR="009D2AA8" w:rsidRDefault="00F54426" w:rsidP="009D2AA8">
      <w:pPr>
        <w:pStyle w:val="Abstract"/>
      </w:pPr>
      <w:r>
        <w:rPr>
          <w:b/>
          <w:bCs/>
        </w:rPr>
        <w:t>Abstract</w:t>
      </w:r>
      <w:r w:rsidR="009D2AA8">
        <w:rPr>
          <w:b/>
          <w:bCs/>
        </w:rPr>
        <w:t xml:space="preserve">: </w:t>
      </w:r>
      <w:r w:rsidR="00AD3C7C" w:rsidRPr="00AD3C7C">
        <w:t>The real intricacy of thermodynamic engineering structures involves multiphase interfacial processes that deviate from stability. As a result, its general articulation may help improve our comprehension and management of these occurrences, ultimately leading to the advancement of related technologies that are already in use. In this regard, variational concepts are important for creating comparatively simpler equations while gaining a more thorough physical description and solving the issue. This work develops a broad variational composition, predicated on minimal entropy generation, for dissipative flows that have two phases. This work offers a universal equation for calculating the entropy creation rate, taking into account the surface tension differences across stages. The formula is then used to calculate the flow's two-phase percentage using Prigogine's theory of minimal entropy production. Then, this definition is examined in regards to multiple pressure falls algorithms and presumptions. It is used to elucidate how Prigogine's theorems are applied to derive the generally recognised Zivi's fraction of voids conveying and how various assumptions affect the departure from his definition. At last, an entirely novel equation covering longitudinal flow circumstances is produced, which is explicitly not applicable to Zivi's equation.</w:t>
      </w:r>
    </w:p>
    <w:p w14:paraId="27D4F234" w14:textId="5DB95360" w:rsidR="00F54426" w:rsidRDefault="00F54426" w:rsidP="009D2AA8">
      <w:pPr>
        <w:pStyle w:val="Abstract"/>
      </w:pPr>
      <w:r w:rsidRPr="00F54426">
        <w:rPr>
          <w:b/>
          <w:bCs/>
        </w:rPr>
        <w:t xml:space="preserve">Keywords: </w:t>
      </w:r>
      <w:r w:rsidRPr="00F54426">
        <w:t>Steady state; Void; Entropy; Zivi’s equations; Heat flow.</w:t>
      </w:r>
    </w:p>
    <w:p w14:paraId="7B368765" w14:textId="1B434194" w:rsidR="00F54426" w:rsidRDefault="00F54426" w:rsidP="009D2AA8">
      <w:pPr>
        <w:pStyle w:val="Heading1"/>
      </w:pPr>
      <w:r w:rsidRPr="00F54426">
        <w:t>Introduction</w:t>
      </w:r>
    </w:p>
    <w:p w14:paraId="6D805818" w14:textId="0005D313" w:rsidR="00F54426" w:rsidRDefault="00AD3C7C" w:rsidP="009D2AA8">
      <w:pPr>
        <w:pStyle w:val="Paragraph"/>
      </w:pPr>
      <w:r w:rsidRPr="00AD3C7C">
        <w:t xml:space="preserve">The recognition of a gap between the technical advancement of thermally engineering structures and their scientific understanding—that is, the lack of a well-established description of numerous of the intricate physical processes involved—is the basis for this work. The observed discrepancy between the catalogued system's performance in the rated state and the real operational effectiveness is noteworthy. This discrepancy may be attributed to the system's operating inappropriately, stemming from either simplistic </w:t>
      </w:r>
      <w:r w:rsidR="004A61E8" w:rsidRPr="00AD3C7C">
        <w:t>calculation</w:t>
      </w:r>
      <w:r w:rsidRPr="00AD3C7C">
        <w:t xml:space="preserve"> at thermodynamic equilibrium or using trial-and-error methods. The intricacy of practical functioning entails multiphase interfacial issues that continuously shift out of harmony</w:t>
      </w:r>
      <w:r w:rsidR="004A61E8">
        <w:t xml:space="preserve"> [1]</w:t>
      </w:r>
      <w:r w:rsidRPr="00AD3C7C">
        <w:t>. Therefore, a comprehensive description of these occurrences within the framework of chaotic thermodynamics could potentially bridge this divide and ultimately transform the associated technologies beyond the current cutting-edge. Due to their capacity to provide supplementary circumstances to the preservation concepts—which can additionally be used to carry out optimum procedures—variational concepts associated with the 2nd law of thermodynamics are being utilised for industrial optimisation challenges. Following the creation of the entropy minimization concept, the heat and mass transmission of diabatic electronics utilising one-phase operating fluids have been improved by distributing dissipative impacts. The relatively straightforward implementation of energy, mass, and momentum, along with related boundaries, does not produce sufficient formulae for the substantial amount of different factors present in these types of technical issues because of the greater variation that is encountered when tackling dual-phase flow challenges</w:t>
      </w:r>
      <w:r w:rsidR="004A61E8">
        <w:t xml:space="preserve"> [2]</w:t>
      </w:r>
      <w:r w:rsidRPr="00AD3C7C">
        <w:t xml:space="preserve">. Consequently, the issue may be closed, and more straightforward mathematical descriptions with regard to generalisation parameters can be obtained by using variational </w:t>
      </w:r>
      <w:r w:rsidRPr="00AD3C7C">
        <w:lastRenderedPageBreak/>
        <w:t>concepts and reducing geometrical axioms. The absence of a universal variational framework has prevented chaotic mechanics from reaching the desired state of fullness, despite tremendous efforts being made in this direction</w:t>
      </w:r>
      <w:r w:rsidR="004A61E8">
        <w:t xml:space="preserve"> [3]</w:t>
      </w:r>
      <w:r w:rsidRPr="00AD3C7C">
        <w:t>.</w:t>
      </w:r>
      <w:r w:rsidR="00F54426" w:rsidRPr="00F54426">
        <w:t xml:space="preserve"> </w:t>
      </w:r>
    </w:p>
    <w:p w14:paraId="39DF8294" w14:textId="1270F020" w:rsidR="00F54426" w:rsidRDefault="0080550D" w:rsidP="009D2AA8">
      <w:pPr>
        <w:pStyle w:val="Paragraph"/>
      </w:pPr>
      <w:r w:rsidRPr="0080550D">
        <w:t>20 years ago, "</w:t>
      </w:r>
      <w:proofErr w:type="spellStart"/>
      <w:r w:rsidRPr="0080550D">
        <w:t>Energetique</w:t>
      </w:r>
      <w:proofErr w:type="spellEnd"/>
      <w:r w:rsidRPr="0080550D">
        <w:t>" by Duhem laid the foundation for the present field of physics, with an emphasis on quantifying "underpaid change," or "the amount of generation" that occurs when permanent changes take place. This procedure makes it possible to write the entropy formulation as an equivalence instead of a Clausewitz disparity, in which permanent events are explicitly considered in addition to thermodynamic conditions. Consequently, the goal is to formulate permanent events that arise from the existence of meteorological forces and their potential, leading to thermodynamic fluxes that push the whole thing towards stability at the extremities of the thermodynamic potential. This work pertains to the class of situations in which "local stability" is maintained</w:t>
      </w:r>
      <w:r w:rsidR="004A61E8">
        <w:t xml:space="preserve"> [4]</w:t>
      </w:r>
      <w:r w:rsidRPr="0080550D">
        <w:t>. Through a variational concept suggesting the structure's layout approaches an extremum of the rate of unpredictability manufacture, a generic expression of the creation of entropy rates is provided as the foundation for characterising dissipative flows with two phases in conventional-sized to microscopic tubes. Mechanical steady state void percentage is expressed using Prigogine's essentially, and its application is examined to elucidate the impact of different operation governments, presumptions, and fundamental physiological relationships</w:t>
      </w:r>
      <w:r w:rsidR="004A61E8">
        <w:t xml:space="preserve"> [5]</w:t>
      </w:r>
      <w:r w:rsidRPr="0080550D">
        <w:t>. Thus, several simplified hypotheses that need to be met in order to arrive at the generally recognised Zivi's statement of the steady state vacancy fraction—where entropy creation is equivalent to energy dissipation—are discussed. Ultimately, a novel expression is derived to include fluid flow circumstances, which are demonstrated to be tacitly disregarded from the reliability of Zivi's statement. By expressing the creation of entropy percentage, this highlights the need for the immediate use of Prigogine's essentially and allows for the inclusion of various entropy sources to produce mathematical models with a variety of recovery that are generally applicable to various fluids in use. Hence, this work advances the theoretical knowledge of recurring multiphase processes in heat mechanical systems.</w:t>
      </w:r>
    </w:p>
    <w:p w14:paraId="3485B468" w14:textId="2C791085" w:rsidR="00F54426" w:rsidRDefault="00F54426" w:rsidP="009D2AA8">
      <w:pPr>
        <w:pStyle w:val="Heading1"/>
      </w:pPr>
      <w:r>
        <w:t>Experimental works</w:t>
      </w:r>
    </w:p>
    <w:p w14:paraId="2832AECE" w14:textId="7314F53A" w:rsidR="00F54426" w:rsidRPr="00F54426" w:rsidRDefault="00F54426" w:rsidP="009D2AA8">
      <w:pPr>
        <w:pStyle w:val="Heading2"/>
      </w:pPr>
      <w:r w:rsidRPr="00F54426">
        <w:t xml:space="preserve">Thermodynamic formulation </w:t>
      </w:r>
    </w:p>
    <w:p w14:paraId="0C2C9960" w14:textId="6C9AF034" w:rsidR="00F54426" w:rsidRDefault="0080550D" w:rsidP="009D2AA8">
      <w:pPr>
        <w:pStyle w:val="Paragraph"/>
      </w:pPr>
      <w:r w:rsidRPr="0080550D">
        <w:t>In order to apply conservation rules and the third principle of thermodynamics to systems that have a stage boundary and are out of worldwide equilibrium, it is first essential to lay them out. That is accomplished by establishing a link between limited energy concentration and limited macroscopic variables by depending on the presumption that there is local stability or the premise of limited reliability of the following law. This suggests that an adequate predominance of molecule collisional forces constrains large departures from statistical stability. It is believed that the interface splits the structure into two continuing part structures, and external volatility generators might exist</w:t>
      </w:r>
      <w:r w:rsidR="0069576A">
        <w:t xml:space="preserve"> [12-18]</w:t>
      </w:r>
      <w:r w:rsidRPr="0080550D">
        <w:t>.</w:t>
      </w:r>
    </w:p>
    <w:p w14:paraId="4C11DB26" w14:textId="686BF6A8" w:rsidR="002658D8" w:rsidRPr="002658D8" w:rsidRDefault="002658D8" w:rsidP="009D2AA8">
      <w:pPr>
        <w:pStyle w:val="Heading2"/>
      </w:pPr>
      <w:r w:rsidRPr="002658D8">
        <w:t xml:space="preserve">Effect on code calculation due to approximations </w:t>
      </w:r>
    </w:p>
    <w:p w14:paraId="5517CF4D" w14:textId="04BA4B4D" w:rsidR="0080550D" w:rsidRDefault="0080550D" w:rsidP="009D2AA8">
      <w:pPr>
        <w:pStyle w:val="Paragraph"/>
      </w:pPr>
      <w:r w:rsidRPr="0080550D">
        <w:t>The velocity formula obtained with homogeneous void profile assumptions is often used for limited system evaluation programmes like Trac and TRAC-BF1, and the expression differs from a thorough and meticulous derivation using void percentage correlation. Furthermore, the area-averaged speed component is affected by the fraction of void correlation; nonetheless, the present system evaluation algorithm still considers homogeneous void dispersion. It is required to include a covariance component when examining the impact of gap dispersion. The creation of the correlation model to describe the void's profiles has become feasible because of advancements in equipment, including the conductance probes. Report Word for local void percentage measurements and the use of the CT scanner for void percent dispersion assessment</w:t>
      </w:r>
      <w:r w:rsidR="0069576A">
        <w:t xml:space="preserve"> [19-23]</w:t>
      </w:r>
      <w:r w:rsidRPr="0080550D">
        <w:t>. The reliability of the thermal-hydraulic model in the vessel's core area becomes essential when performing the nuclear energy plant's security evaluation. In order to assess the impact on the consistent void dispersion presumption, thermal-hydraulic simulation inside the combustibility rod bundles utilising the TRAC-BF1 algorithm will be shown in the chapter that follows.</w:t>
      </w:r>
    </w:p>
    <w:p w14:paraId="2CCF061B" w14:textId="2F88DA63" w:rsidR="0080550D" w:rsidRPr="0080550D" w:rsidRDefault="0080550D" w:rsidP="009D2AA8">
      <w:pPr>
        <w:pStyle w:val="Heading1"/>
      </w:pPr>
      <w:r w:rsidRPr="0080550D">
        <w:t>Result and discussion</w:t>
      </w:r>
    </w:p>
    <w:p w14:paraId="6D42E171" w14:textId="1E4A3869" w:rsidR="002658D8" w:rsidRPr="002658D8" w:rsidRDefault="002658D8" w:rsidP="009D2AA8">
      <w:pPr>
        <w:pStyle w:val="Heading2"/>
      </w:pPr>
      <w:r w:rsidRPr="002658D8">
        <w:t xml:space="preserve">Steady-state condition </w:t>
      </w:r>
    </w:p>
    <w:p w14:paraId="3C1AC0C6" w14:textId="0CB18FBF" w:rsidR="009D41CD" w:rsidRDefault="009D41CD" w:rsidP="009D2AA8">
      <w:pPr>
        <w:pStyle w:val="Paragraph"/>
      </w:pPr>
      <w:r w:rsidRPr="009D41CD">
        <w:t xml:space="preserve">After the outlet and inlet boundary parameters and bundles power generation value were specified as constants, the void percentage calculation outcomes for the rod bundle shape were produced for a steady-state study. Eight intake circumstances with an intake velocity that ranged from 1.4 to 20 kg/s have been taken into consideration, and the desired fraction of voids number was chosen at 0.9. A void percentage value comparable </w:t>
      </w:r>
      <w:r w:rsidRPr="009D41CD">
        <w:lastRenderedPageBreak/>
        <w:t>to α</w:t>
      </w:r>
      <w:proofErr w:type="spellStart"/>
      <w:r w:rsidRPr="009D41CD">
        <w:t>gtarget</w:t>
      </w:r>
      <w:proofErr w:type="spellEnd"/>
      <w:r w:rsidRPr="009D41CD">
        <w:t xml:space="preserve"> was obtained for the final condition by using the drift-flux theory</w:t>
      </w:r>
      <w:r w:rsidR="004A61E8">
        <w:t xml:space="preserve"> [6</w:t>
      </w:r>
      <w:r w:rsidR="0069576A">
        <w:t>, 24</w:t>
      </w:r>
      <w:r w:rsidR="004A61E8">
        <w:t>]</w:t>
      </w:r>
      <w:r w:rsidRPr="009D41CD">
        <w:t xml:space="preserve">. The second table lists the combination of electrical output numbers as well as the boundary circumstances for the inlet and outflow. The area-averaged vacancy fractions, determined at the non-heated portion with intake flow parameters of five, ten, and fifteen kg/s, is shown in Figure </w:t>
      </w:r>
      <w:r w:rsidR="00997894">
        <w:t>1</w:t>
      </w:r>
      <w:r w:rsidRPr="009D41CD">
        <w:t>. The illustration displays the outcome of two calculations: one using equal void percentage dispersion (no covariance) &amp; the other with void percent correlation</w:t>
      </w:r>
      <w:r w:rsidR="0069576A">
        <w:t xml:space="preserve"> [25-30]</w:t>
      </w:r>
      <w:r w:rsidRPr="009D41CD">
        <w:t>. The graphic illustrates how vapour formation in the overheated zone leads to raise the area-averaged fraction of voids figure. The final void percentage number at the rod bundle section's entrance reaches the planned void percent of 0.8, yet it overestimates the actual number near the region that is heated due to vapour production and propagation factors. In the event of low mass flow velocity conditions, this kind of void percentage exaggeration rapidly approaches the desired void percentage worth, although it tends to be bigger upstream of the hot zone</w:t>
      </w:r>
      <w:r w:rsidR="002C2D13">
        <w:t xml:space="preserve"> [7</w:t>
      </w:r>
      <w:r w:rsidR="0069576A">
        <w:t>, 31-34</w:t>
      </w:r>
      <w:r w:rsidR="002C2D13">
        <w:t>]</w:t>
      </w:r>
      <w:r w:rsidRPr="009D41CD">
        <w:t xml:space="preserve">. However, as a result of the strong convective into effect, a higher mass flow requirement necessitates a closer approximation to the intended void percent value over longer distances. Figure </w:t>
      </w:r>
      <w:r w:rsidR="00997894">
        <w:t>1</w:t>
      </w:r>
      <w:r w:rsidRPr="009D41CD">
        <w:t xml:space="preserve"> shows the link among area-averaged void percentage with mass flow for the upstream of heated-segment, allowing findings to be compared to the intended void percent level</w:t>
      </w:r>
      <w:r w:rsidR="004A61E8">
        <w:t xml:space="preserve"> [</w:t>
      </w:r>
      <w:r w:rsidR="002C2D13">
        <w:t>8</w:t>
      </w:r>
      <w:r w:rsidR="004A61E8">
        <w:t>]</w:t>
      </w:r>
      <w:r w:rsidRPr="009D41CD">
        <w:t xml:space="preserve">. </w:t>
      </w:r>
    </w:p>
    <w:p w14:paraId="3315028B" w14:textId="6DCAF46D" w:rsidR="00997894" w:rsidRDefault="00AA51E8" w:rsidP="009D2AA8">
      <w:pPr>
        <w:pStyle w:val="Figure"/>
      </w:pPr>
      <w:r>
        <w:rPr>
          <w:noProof/>
        </w:rPr>
        <w:object w:dxaOrig="7957" w:dyaOrig="5612" w14:anchorId="3E701B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1.4pt;mso-width-percent:0;mso-height-percent:0;mso-width-percent:0;mso-height-percent:0" o:ole="">
            <v:imagedata r:id="rId6" o:title=""/>
          </v:shape>
          <o:OLEObject Type="Embed" ProgID="Origin50.Graph" ShapeID="_x0000_i1025" DrawAspect="Content" ObjectID="_1819373695" r:id="rId7"/>
        </w:object>
      </w:r>
    </w:p>
    <w:p w14:paraId="61689343" w14:textId="72FB44EC" w:rsidR="00997894" w:rsidRPr="00997894" w:rsidRDefault="00997894" w:rsidP="009D2AA8">
      <w:pPr>
        <w:pStyle w:val="FigureCaption"/>
        <w:rPr>
          <w:sz w:val="28"/>
          <w:szCs w:val="28"/>
        </w:rPr>
      </w:pPr>
      <w:r w:rsidRPr="00997894">
        <w:rPr>
          <w:b/>
          <w:bCs/>
        </w:rPr>
        <w:t>Figure 1.</w:t>
      </w:r>
      <w:r w:rsidRPr="00997894">
        <w:t xml:space="preserve"> Void fraction covariance based on pressure</w:t>
      </w:r>
    </w:p>
    <w:p w14:paraId="2149812B" w14:textId="064992EC" w:rsidR="002658D8" w:rsidRPr="002658D8" w:rsidRDefault="009D41CD" w:rsidP="009D2AA8">
      <w:pPr>
        <w:pStyle w:val="Paragraph"/>
      </w:pPr>
      <w:r w:rsidRPr="009D41CD">
        <w:t>The figure illustrates how the two-fluid theory code's computation outcomes for both void dispersion procedures are quite near to the desired void percent value determined through the drift-flux theory</w:t>
      </w:r>
      <w:r w:rsidR="002C2D13">
        <w:t xml:space="preserve"> [9</w:t>
      </w:r>
      <w:r w:rsidR="0069576A">
        <w:t>, 35-40</w:t>
      </w:r>
      <w:r w:rsidR="002C2D13">
        <w:t>]</w:t>
      </w:r>
      <w:r w:rsidRPr="009D41CD">
        <w:t>. It was established that there was a very little variation (within 1%) between the area-averaged void ratio figures for the two situations. In contrast to the situation of homogeneous void shipping, the fraction of voids exaggeration at the heated-region exit is more likely in the case of void fraction covariance</w:t>
      </w:r>
      <w:r w:rsidR="002C2D13">
        <w:t xml:space="preserve"> [10]</w:t>
      </w:r>
      <w:r w:rsidRPr="009D41CD">
        <w:t>. Equations (12) while (24) demonstrate that the interface drag component tends to be less for the empty percent correlation scenario, and the sum of the underlying components in the right-hand part of the equation describing momentum equals for the two cases. Therefore, in order to correctly recoup the overestimated vacuum a fraction, additional space is needed owing to the poor adsorption of phase speed for the scatter scenario</w:t>
      </w:r>
      <w:r w:rsidR="004A61E8">
        <w:t xml:space="preserve"> [</w:t>
      </w:r>
      <w:r w:rsidR="002C2D13">
        <w:t>11</w:t>
      </w:r>
      <w:r w:rsidR="0069576A">
        <w:t>, 41-43</w:t>
      </w:r>
      <w:r w:rsidR="004A61E8">
        <w:t>]</w:t>
      </w:r>
      <w:r w:rsidRPr="009D41CD">
        <w:t>.</w:t>
      </w:r>
    </w:p>
    <w:p w14:paraId="668E5BE4" w14:textId="3A2126D2" w:rsidR="002658D8" w:rsidRPr="002658D8" w:rsidRDefault="002658D8" w:rsidP="009D2AA8">
      <w:pPr>
        <w:pStyle w:val="Heading2"/>
      </w:pPr>
      <w:r w:rsidRPr="002658D8">
        <w:t xml:space="preserve">Transient condition </w:t>
      </w:r>
    </w:p>
    <w:p w14:paraId="002B0060" w14:textId="1FBCDA2E" w:rsidR="00997894" w:rsidRDefault="009D41CD" w:rsidP="009D2AA8">
      <w:pPr>
        <w:pStyle w:val="Paragraph"/>
      </w:pPr>
      <w:r w:rsidRPr="009D41CD">
        <w:t>The scenario with the void percentage variance will decrease the kinetic coupling across both phases of the gas-liquid, as demonstrated in Section 2. As demonstrated in Section 4.1, it turned out that the outcomes of the two situations were similar under non-accelerating, stable conditions</w:t>
      </w:r>
      <w:r w:rsidR="002C2D13">
        <w:t xml:space="preserve"> [12]</w:t>
      </w:r>
      <w:r w:rsidRPr="009D41CD">
        <w:t>. On the other hand, an area-averaged void percentage computation that is different for a temporary state might be the consequence of a loosely connected two-phase design</w:t>
      </w:r>
      <w:r w:rsidR="0069576A">
        <w:t xml:space="preserve"> [44-49]</w:t>
      </w:r>
      <w:r w:rsidRPr="009D41CD">
        <w:t>. The present research will concentrate on the two-stage instability issue for the transitory state. It is widely recognised that adding a third-party disruption to a flow stream with continuous hydraulic pressure causes a two-phase stability phenomenon</w:t>
      </w:r>
      <w:r w:rsidR="002C2D13">
        <w:t xml:space="preserve"> [13]</w:t>
      </w:r>
      <w:r w:rsidRPr="009D41CD">
        <w:t xml:space="preserve">. </w:t>
      </w:r>
    </w:p>
    <w:p w14:paraId="58491FC4" w14:textId="79B3AFCB" w:rsidR="00997894" w:rsidRDefault="00AA51E8" w:rsidP="00997894">
      <w:pPr>
        <w:spacing w:line="360" w:lineRule="auto"/>
        <w:jc w:val="center"/>
      </w:pPr>
      <w:r>
        <w:rPr>
          <w:noProof/>
        </w:rPr>
        <w:object w:dxaOrig="7957" w:dyaOrig="5612" w14:anchorId="72531E06">
          <v:shape id="_x0000_i1026" type="#_x0000_t75" alt="" style="width:397.2pt;height:281.4pt;mso-width-percent:0;mso-height-percent:0;mso-width-percent:0;mso-height-percent:0" o:ole="">
            <v:imagedata r:id="rId8" o:title=""/>
          </v:shape>
          <o:OLEObject Type="Embed" ProgID="Origin50.Graph" ShapeID="_x0000_i1026" DrawAspect="Content" ObjectID="_1819373696" r:id="rId9"/>
        </w:object>
      </w:r>
    </w:p>
    <w:p w14:paraId="28D46DA0" w14:textId="6210124F" w:rsidR="00997894" w:rsidRPr="00997894" w:rsidRDefault="00997894" w:rsidP="009D2AA8">
      <w:pPr>
        <w:pStyle w:val="FigureCaption"/>
        <w:rPr>
          <w:sz w:val="28"/>
          <w:szCs w:val="28"/>
        </w:rPr>
      </w:pPr>
      <w:r w:rsidRPr="00997894">
        <w:rPr>
          <w:b/>
          <w:bCs/>
        </w:rPr>
        <w:t xml:space="preserve">Figure </w:t>
      </w:r>
      <w:r>
        <w:rPr>
          <w:b/>
          <w:bCs/>
        </w:rPr>
        <w:t>2</w:t>
      </w:r>
      <w:r w:rsidRPr="00997894">
        <w:rPr>
          <w:b/>
          <w:bCs/>
        </w:rPr>
        <w:t>.</w:t>
      </w:r>
      <w:r w:rsidRPr="00997894">
        <w:t xml:space="preserve"> </w:t>
      </w:r>
      <w:r>
        <w:t>Power rate based on the time</w:t>
      </w:r>
    </w:p>
    <w:p w14:paraId="574D030B" w14:textId="33AAE171" w:rsidR="00F54426" w:rsidRPr="002658D8" w:rsidRDefault="009D41CD" w:rsidP="009D2AA8">
      <w:pPr>
        <w:pStyle w:val="Paragraph"/>
      </w:pPr>
      <w:r w:rsidRPr="009D41CD">
        <w:t xml:space="preserve">The intake border was modified to the BREAK component, as can be seen in Figure </w:t>
      </w:r>
      <w:r w:rsidR="00997894">
        <w:t>2</w:t>
      </w:r>
      <w:r w:rsidRPr="009D41CD">
        <w:t>, and the values of pressure in both directions were adjusted to maintain the same hydraulic-head state. At these limits, the CHEN component's bundle electrical output changed, and both scenarios' changes in the area of the mean vacancy percentage and intake velocity in relation to time were evaluated</w:t>
      </w:r>
      <w:r w:rsidR="002C2D13">
        <w:t xml:space="preserve"> [14]</w:t>
      </w:r>
      <w:r w:rsidRPr="009D41CD">
        <w:t xml:space="preserve">. The behaviour of the rated power relative to time is shown in Figure </w:t>
      </w:r>
      <w:r w:rsidR="00997894">
        <w:t>2</w:t>
      </w:r>
      <w:r w:rsidRPr="009D41CD">
        <w:t>. In this section, a starting flow velocity of 10 kg/s is determined by adjusting the pressure variation in both the upper and lower regions. Additionally, a number of calculation scenarios with various beginning void fraction conditions were taken into consideration in this research since the interaction component is strongly reliant on the fraction of empty space. In the programme computation, the initial increase rate—1.4 moments of rise between 1 and 3 s—is chosen to optimise the covariance factor's impact on the unused space percentage</w:t>
      </w:r>
      <w:r w:rsidR="004A61E8">
        <w:t xml:space="preserve"> [1</w:t>
      </w:r>
      <w:r w:rsidR="002C2D13">
        <w:t>5</w:t>
      </w:r>
      <w:r w:rsidR="004A61E8">
        <w:t>]</w:t>
      </w:r>
      <w:r w:rsidRPr="009D41CD">
        <w:t>.</w:t>
      </w:r>
    </w:p>
    <w:p w14:paraId="0063FEFF" w14:textId="43421C83" w:rsidR="002658D8" w:rsidRPr="002658D8" w:rsidRDefault="002658D8" w:rsidP="009D2AA8">
      <w:pPr>
        <w:pStyle w:val="Heading1"/>
      </w:pPr>
      <w:r w:rsidRPr="002658D8">
        <w:t>Conclusion</w:t>
      </w:r>
    </w:p>
    <w:p w14:paraId="701A7C3F" w14:textId="6B5D410C" w:rsidR="002658D8" w:rsidRDefault="009D41CD" w:rsidP="009D2AA8">
      <w:pPr>
        <w:pStyle w:val="Paragraph"/>
      </w:pPr>
      <w:r w:rsidRPr="009D41CD">
        <w:t>The scenario with the void percentage variance will decrease the kinetic coupling across both phases of the gas-liquid, as demonstrated in Section 2. As demonstrated in Section 4.1, it turned out that the outcomes of the two situations were similar under non-accelerating, stable conditions. On the other hand, an area-averaged void percentage computation that is different for a temporary state might be the consequence of a loosely connected two-phase design. The present research will concentrate on the two-stage instability issue for the transitory state. It is widely recognised that adding a third-party disruption to a flow stream with continuous hydraulic pressure causes a two-phase stability phenomenon. The intake border was modified to the BREAK component, as can be seen in Figure 5, and the values of pressure in both directions were adjusted to maintain the same hydraulic-head state. At these limits, the CHEN component's bundle electrical output changed, and both scenarios' changes in the area of the mean vacancy percentage and intake velocity in relation to time were evaluated. In this section, a starting flow velocity of 10 kg/s is determined by adjusting the pressure variation in both the upper and lower regions. Additionally, a number of calculation scenarios with various beginning void fraction conditions were taken into consideration in this research since the interaction component is strongly reliant on the fraction of empty space. In the programme computation, the initial increase rate—1.4 moments of rise between 1 and 3 s—is chosen to optimise the covariance factor's impact on the unused space percentage. </w:t>
      </w:r>
    </w:p>
    <w:p w14:paraId="1E5A156A" w14:textId="5277FB18" w:rsidR="00997894" w:rsidRPr="00997894" w:rsidRDefault="00997894" w:rsidP="009D2AA8">
      <w:pPr>
        <w:pStyle w:val="Heading1"/>
      </w:pPr>
      <w:r w:rsidRPr="00997894">
        <w:lastRenderedPageBreak/>
        <w:t>References</w:t>
      </w:r>
    </w:p>
    <w:p w14:paraId="4F54F35C" w14:textId="77777777" w:rsidR="004A61E8" w:rsidRPr="002C2D13" w:rsidRDefault="004A61E8" w:rsidP="009D2AA8">
      <w:pPr>
        <w:pStyle w:val="Reference"/>
        <w:rPr>
          <w:shd w:val="clear" w:color="auto" w:fill="FFFFFF"/>
        </w:rPr>
      </w:pPr>
      <w:r w:rsidRPr="002C2D13">
        <w:rPr>
          <w:shd w:val="clear" w:color="auto" w:fill="FFFFFF"/>
        </w:rPr>
        <w:t>Ratts, Eric B., and J. Steven Brown. "A generalized analysis for cascading single fluid vapor compression refrigeration cycles using an entropy generation minimization method." </w:t>
      </w:r>
      <w:r w:rsidRPr="002C2D13">
        <w:rPr>
          <w:i/>
          <w:iCs/>
          <w:shd w:val="clear" w:color="auto" w:fill="FFFFFF"/>
        </w:rPr>
        <w:t>International Journal of Refrigeration</w:t>
      </w:r>
      <w:r w:rsidRPr="002C2D13">
        <w:rPr>
          <w:shd w:val="clear" w:color="auto" w:fill="FFFFFF"/>
        </w:rPr>
        <w:t> 23, no. 5 (2000): 353-365.</w:t>
      </w:r>
    </w:p>
    <w:p w14:paraId="6A00315C" w14:textId="77777777" w:rsidR="002C2D13" w:rsidRPr="002C2D13" w:rsidRDefault="002C2D13" w:rsidP="009D2AA8">
      <w:pPr>
        <w:pStyle w:val="Reference"/>
      </w:pPr>
      <w:bookmarkStart w:id="0" w:name="_Hlk199496627"/>
      <w:r w:rsidRPr="002C2D13">
        <w:rPr>
          <w:shd w:val="clear" w:color="auto" w:fill="FFFFFF"/>
        </w:rPr>
        <w:t>Saadh et al., (2024). Natural killer cell-mediated immune surveillance in cancer: Role of tumor microenvironment.</w:t>
      </w:r>
      <w:r w:rsidRPr="002C2D13">
        <w:rPr>
          <w:rStyle w:val="apple-converted-space"/>
          <w:szCs w:val="24"/>
          <w:shd w:val="clear" w:color="auto" w:fill="FFFFFF"/>
        </w:rPr>
        <w:t> </w:t>
      </w:r>
      <w:r w:rsidRPr="002C2D13">
        <w:rPr>
          <w:i/>
          <w:iCs/>
        </w:rPr>
        <w:t>Pathology-Research and Practice</w:t>
      </w:r>
      <w:r w:rsidRPr="002C2D13">
        <w:rPr>
          <w:shd w:val="clear" w:color="auto" w:fill="FFFFFF"/>
        </w:rPr>
        <w:t>,</w:t>
      </w:r>
      <w:r w:rsidRPr="002C2D13">
        <w:rPr>
          <w:rStyle w:val="apple-converted-space"/>
          <w:szCs w:val="24"/>
          <w:shd w:val="clear" w:color="auto" w:fill="FFFFFF"/>
        </w:rPr>
        <w:t> </w:t>
      </w:r>
      <w:r w:rsidRPr="002C2D13">
        <w:rPr>
          <w:i/>
          <w:iCs/>
        </w:rPr>
        <w:t>254</w:t>
      </w:r>
      <w:r w:rsidRPr="002C2D13">
        <w:rPr>
          <w:shd w:val="clear" w:color="auto" w:fill="FFFFFF"/>
        </w:rPr>
        <w:t xml:space="preserve">, 155120. </w:t>
      </w:r>
      <w:hyperlink r:id="rId10" w:tgtFrame="_blank" w:tooltip="Persistent link using digital object identifier" w:history="1">
        <w:r w:rsidRPr="002C2D13">
          <w:rPr>
            <w:rStyle w:val="anchor-text"/>
            <w:szCs w:val="24"/>
          </w:rPr>
          <w:t>https://doi.org/10.1016/j.prp.2024.155120</w:t>
        </w:r>
      </w:hyperlink>
    </w:p>
    <w:bookmarkEnd w:id="0"/>
    <w:p w14:paraId="0908F7AD" w14:textId="77777777" w:rsidR="004A61E8" w:rsidRPr="002C2D13" w:rsidRDefault="004A61E8" w:rsidP="009D2AA8">
      <w:pPr>
        <w:pStyle w:val="Reference"/>
      </w:pPr>
      <w:r w:rsidRPr="002C2D13">
        <w:rPr>
          <w:shd w:val="clear" w:color="auto" w:fill="FFFFFF"/>
        </w:rPr>
        <w:t xml:space="preserve">Konchada, Pavan Kumar, Vinay Pv, and Varaprasad Bhemuni. "Statistical analysis of entropy generation in longitudinally finned tube heat exchanger with shell side nanofluid by a </w:t>
      </w:r>
      <w:proofErr w:type="gramStart"/>
      <w:r w:rsidRPr="002C2D13">
        <w:rPr>
          <w:shd w:val="clear" w:color="auto" w:fill="FFFFFF"/>
        </w:rPr>
        <w:t>single phase</w:t>
      </w:r>
      <w:proofErr w:type="gramEnd"/>
      <w:r w:rsidRPr="002C2D13">
        <w:rPr>
          <w:shd w:val="clear" w:color="auto" w:fill="FFFFFF"/>
        </w:rPr>
        <w:t xml:space="preserve"> approach." </w:t>
      </w:r>
      <w:r w:rsidRPr="002C2D13">
        <w:rPr>
          <w:i/>
          <w:iCs/>
          <w:shd w:val="clear" w:color="auto" w:fill="FFFFFF"/>
        </w:rPr>
        <w:t>Archives of thermodynamics</w:t>
      </w:r>
      <w:r w:rsidRPr="002C2D13">
        <w:rPr>
          <w:shd w:val="clear" w:color="auto" w:fill="FFFFFF"/>
        </w:rPr>
        <w:t> 37, no. 2 (2016): 3-22.</w:t>
      </w:r>
    </w:p>
    <w:p w14:paraId="381266DD" w14:textId="77777777" w:rsidR="004A61E8" w:rsidRPr="002C2D13" w:rsidRDefault="004A61E8" w:rsidP="009D2AA8">
      <w:pPr>
        <w:pStyle w:val="Reference"/>
      </w:pPr>
      <w:r w:rsidRPr="002C2D13">
        <w:rPr>
          <w:shd w:val="clear" w:color="auto" w:fill="FFFFFF"/>
        </w:rPr>
        <w:t>Ball, Rowena. "Entropy generation analyses of Endex and conventional calcium looping processes for CO2 capture." </w:t>
      </w:r>
      <w:r w:rsidRPr="002C2D13">
        <w:rPr>
          <w:i/>
          <w:iCs/>
          <w:shd w:val="clear" w:color="auto" w:fill="FFFFFF"/>
        </w:rPr>
        <w:t>Fuel</w:t>
      </w:r>
      <w:r w:rsidRPr="002C2D13">
        <w:rPr>
          <w:shd w:val="clear" w:color="auto" w:fill="FFFFFF"/>
        </w:rPr>
        <w:t> 127 (2014): 202-211.</w:t>
      </w:r>
    </w:p>
    <w:p w14:paraId="2677D0ED" w14:textId="77777777" w:rsidR="002C2D13" w:rsidRPr="002C2D13" w:rsidRDefault="002C2D13" w:rsidP="009D2AA8">
      <w:pPr>
        <w:pStyle w:val="Reference"/>
      </w:pPr>
      <w:bookmarkStart w:id="1" w:name="_Hlk199493914"/>
      <w:r w:rsidRPr="002C2D13">
        <w:rPr>
          <w:shd w:val="clear" w:color="auto" w:fill="FFFFFF"/>
        </w:rPr>
        <w:t>Matharu et al., (2024). Developing an AI-Driven Personalization Engine for Real-Time Content Marketing in E-commerce Platforms. In</w:t>
      </w:r>
      <w:r w:rsidRPr="002C2D13">
        <w:rPr>
          <w:rStyle w:val="apple-converted-space"/>
          <w:szCs w:val="24"/>
          <w:shd w:val="clear" w:color="auto" w:fill="FFFFFF"/>
        </w:rPr>
        <w:t> </w:t>
      </w:r>
      <w:r w:rsidRPr="002C2D13">
        <w:rPr>
          <w:i/>
          <w:iCs/>
        </w:rPr>
        <w:t>2024 15th International Conference on Computing Communication and Networking Technologies (ICCCNT)</w:t>
      </w:r>
      <w:r w:rsidRPr="002C2D13">
        <w:rPr>
          <w:rStyle w:val="apple-converted-space"/>
          <w:szCs w:val="24"/>
          <w:shd w:val="clear" w:color="auto" w:fill="FFFFFF"/>
        </w:rPr>
        <w:t> </w:t>
      </w:r>
      <w:r w:rsidRPr="002C2D13">
        <w:rPr>
          <w:shd w:val="clear" w:color="auto" w:fill="FFFFFF"/>
        </w:rPr>
        <w:t>(pp. 1-6). IEEE.</w:t>
      </w:r>
      <w:r w:rsidRPr="002C2D13">
        <w:t xml:space="preserve"> </w:t>
      </w:r>
      <w:r w:rsidRPr="002C2D13">
        <w:rPr>
          <w:shd w:val="clear" w:color="auto" w:fill="FFFFFF"/>
        </w:rPr>
        <w:t>https://doi.org/10.1109/ICCCNT61001.2024.10725400</w:t>
      </w:r>
    </w:p>
    <w:bookmarkEnd w:id="1"/>
    <w:p w14:paraId="3500FCE9" w14:textId="77777777" w:rsidR="004A61E8" w:rsidRPr="002C2D13" w:rsidRDefault="004A61E8" w:rsidP="009D2AA8">
      <w:pPr>
        <w:pStyle w:val="Reference"/>
      </w:pPr>
      <w:r w:rsidRPr="002C2D13">
        <w:rPr>
          <w:shd w:val="clear" w:color="auto" w:fill="FFFFFF"/>
        </w:rPr>
        <w:t>Kiyasatfar, Mehdi. "Convective heat transfer and entropy generation analysis of non-Newtonian power-law fluid flows in parallel-plate and circular microchannels under slip boundary conditions." </w:t>
      </w:r>
      <w:r w:rsidRPr="002C2D13">
        <w:rPr>
          <w:i/>
          <w:iCs/>
          <w:shd w:val="clear" w:color="auto" w:fill="FFFFFF"/>
        </w:rPr>
        <w:t>International Journal of Thermal Sciences</w:t>
      </w:r>
      <w:r w:rsidRPr="002C2D13">
        <w:rPr>
          <w:shd w:val="clear" w:color="auto" w:fill="FFFFFF"/>
        </w:rPr>
        <w:t> 128 (2018): 15-27.</w:t>
      </w:r>
    </w:p>
    <w:p w14:paraId="01F33B35" w14:textId="77777777" w:rsidR="004A61E8" w:rsidRPr="002C2D13" w:rsidRDefault="004A61E8" w:rsidP="009D2AA8">
      <w:pPr>
        <w:pStyle w:val="Reference"/>
      </w:pPr>
      <w:r w:rsidRPr="002C2D13">
        <w:rPr>
          <w:shd w:val="clear" w:color="auto" w:fill="FFFFFF"/>
        </w:rPr>
        <w:t>Seara, Daniel S., Vikrant Yadav, Ian Linsmeier, A. Pasha Tabatabai, Patrick W. Oakes, SM Ali Tabei, Shiladitya Banerjee, and Michael P. Murrell. "Entropy production rate is maximized in non-contractile actomyosin." </w:t>
      </w:r>
      <w:r w:rsidRPr="002C2D13">
        <w:rPr>
          <w:i/>
          <w:iCs/>
          <w:shd w:val="clear" w:color="auto" w:fill="FFFFFF"/>
        </w:rPr>
        <w:t>Nature communications</w:t>
      </w:r>
      <w:r w:rsidRPr="002C2D13">
        <w:rPr>
          <w:shd w:val="clear" w:color="auto" w:fill="FFFFFF"/>
        </w:rPr>
        <w:t> 9, no. 1 (2018): 4948.</w:t>
      </w:r>
    </w:p>
    <w:p w14:paraId="076ED240" w14:textId="77777777" w:rsidR="002C2D13" w:rsidRPr="002C2D13" w:rsidRDefault="002C2D13" w:rsidP="009D2AA8">
      <w:pPr>
        <w:pStyle w:val="Reference"/>
      </w:pPr>
      <w:bookmarkStart w:id="2" w:name="_Hlk199493892"/>
      <w:r w:rsidRPr="002C2D13">
        <w:rPr>
          <w:shd w:val="clear" w:color="auto" w:fill="FFFFFF"/>
        </w:rPr>
        <w:t>Anand et al., (2024). A comprehensive analysis of small-scale building integrated photovoltaic system for residential buildings: Techno-economic benefits and greenhouse gas mitigation potential.</w:t>
      </w:r>
      <w:r w:rsidRPr="002C2D13">
        <w:rPr>
          <w:rStyle w:val="apple-converted-space"/>
          <w:szCs w:val="24"/>
          <w:shd w:val="clear" w:color="auto" w:fill="FFFFFF"/>
        </w:rPr>
        <w:t> </w:t>
      </w:r>
      <w:r w:rsidRPr="002C2D13">
        <w:rPr>
          <w:i/>
          <w:iCs/>
        </w:rPr>
        <w:t>Journal of Building Engineering</w:t>
      </w:r>
      <w:r w:rsidRPr="002C2D13">
        <w:rPr>
          <w:shd w:val="clear" w:color="auto" w:fill="FFFFFF"/>
        </w:rPr>
        <w:t>,</w:t>
      </w:r>
      <w:r w:rsidRPr="002C2D13">
        <w:rPr>
          <w:rStyle w:val="apple-converted-space"/>
          <w:szCs w:val="24"/>
          <w:shd w:val="clear" w:color="auto" w:fill="FFFFFF"/>
        </w:rPr>
        <w:t> </w:t>
      </w:r>
      <w:r w:rsidRPr="002C2D13">
        <w:rPr>
          <w:i/>
          <w:iCs/>
        </w:rPr>
        <w:t>82</w:t>
      </w:r>
      <w:r w:rsidRPr="002C2D13">
        <w:rPr>
          <w:shd w:val="clear" w:color="auto" w:fill="FFFFFF"/>
        </w:rPr>
        <w:t xml:space="preserve">, 108232. </w:t>
      </w:r>
      <w:hyperlink r:id="rId11" w:tgtFrame="_blank" w:tooltip="Persistent link using digital object identifier" w:history="1">
        <w:r w:rsidRPr="002C2D13">
          <w:rPr>
            <w:rStyle w:val="anchor-text"/>
            <w:rFonts w:eastAsia="Trebuchet MS"/>
            <w:szCs w:val="24"/>
          </w:rPr>
          <w:t>https://doi.org/10.1016/j.jobe.2023.108232</w:t>
        </w:r>
      </w:hyperlink>
    </w:p>
    <w:bookmarkEnd w:id="2"/>
    <w:p w14:paraId="6B331B72" w14:textId="77777777" w:rsidR="004A61E8" w:rsidRPr="002C2D13" w:rsidRDefault="004A61E8" w:rsidP="009D2AA8">
      <w:pPr>
        <w:pStyle w:val="Reference"/>
      </w:pPr>
      <w:r w:rsidRPr="002C2D13">
        <w:rPr>
          <w:shd w:val="clear" w:color="auto" w:fill="FFFFFF"/>
        </w:rPr>
        <w:t>Osara, Jude A., and Michael D. Bryant. "A temperature-only system degradation analysis based on thermal entropy and the degradation-entropy generation methodology." </w:t>
      </w:r>
      <w:r w:rsidRPr="002C2D13">
        <w:rPr>
          <w:i/>
          <w:iCs/>
          <w:shd w:val="clear" w:color="auto" w:fill="FFFFFF"/>
        </w:rPr>
        <w:t>International Journal of Heat and Mass Transfer</w:t>
      </w:r>
      <w:r w:rsidRPr="002C2D13">
        <w:rPr>
          <w:shd w:val="clear" w:color="auto" w:fill="FFFFFF"/>
        </w:rPr>
        <w:t> 158 (2020): 120051.</w:t>
      </w:r>
    </w:p>
    <w:p w14:paraId="28CE246A" w14:textId="77777777" w:rsidR="0047572D" w:rsidRPr="0047572D" w:rsidRDefault="0047572D" w:rsidP="009D2AA8">
      <w:pPr>
        <w:pStyle w:val="Reference"/>
        <w:rPr>
          <w:shd w:val="clear" w:color="auto" w:fill="FFFFFF"/>
        </w:rPr>
      </w:pPr>
      <w:r w:rsidRPr="0047572D">
        <w:rPr>
          <w:shd w:val="clear" w:color="auto" w:fill="FFFFFF"/>
        </w:rPr>
        <w:t>Kaliappan et al., (2024). Thermal and Mechanical Properties of Abutilon indicum Fiber-Based Polyester Composites under Alkali Treatment for Automotive Sector (No. 2024-01-5031). SAE Technical Paper.</w:t>
      </w:r>
      <w:hyperlink r:id="rId12" w:history="1">
        <w:r w:rsidRPr="0047572D">
          <w:rPr>
            <w:shd w:val="clear" w:color="auto" w:fill="FFFFFF"/>
          </w:rPr>
          <w:t> https://doi.org/10.4271/2024-01-5031</w:t>
        </w:r>
      </w:hyperlink>
    </w:p>
    <w:p w14:paraId="0757C57C" w14:textId="77777777" w:rsidR="0047572D" w:rsidRPr="0047572D" w:rsidRDefault="0047572D" w:rsidP="009D2AA8">
      <w:pPr>
        <w:pStyle w:val="Reference"/>
        <w:rPr>
          <w:shd w:val="clear" w:color="auto" w:fill="FFFFFF"/>
        </w:rPr>
      </w:pPr>
      <w:proofErr w:type="spellStart"/>
      <w:r w:rsidRPr="0047572D">
        <w:rPr>
          <w:shd w:val="clear" w:color="auto" w:fill="FFFFFF"/>
        </w:rPr>
        <w:t>Tuluwengjiang</w:t>
      </w:r>
      <w:proofErr w:type="spellEnd"/>
      <w:r w:rsidRPr="0047572D">
        <w:rPr>
          <w:shd w:val="clear" w:color="auto" w:fill="FFFFFF"/>
        </w:rPr>
        <w:t xml:space="preserve"> et al., (2024). Dendritic cell-derived exosomes (Dex): Underlying the role of exosomes derived from diverse DC subtypes in cancer pathogenesis. Pathology-Research and Practice, 254, 155097. </w:t>
      </w:r>
      <w:hyperlink r:id="rId13" w:tgtFrame="_blank" w:tooltip="Persistent link using digital object identifier" w:history="1">
        <w:r w:rsidRPr="0047572D">
          <w:rPr>
            <w:shd w:val="clear" w:color="auto" w:fill="FFFFFF"/>
          </w:rPr>
          <w:t>https://doi.org/10.1016/j.prp.2024.155097</w:t>
        </w:r>
      </w:hyperlink>
    </w:p>
    <w:p w14:paraId="36B9FF08" w14:textId="77777777" w:rsidR="0047572D" w:rsidRPr="0047572D" w:rsidRDefault="0047572D" w:rsidP="009D2AA8">
      <w:pPr>
        <w:pStyle w:val="Reference"/>
        <w:rPr>
          <w:shd w:val="clear" w:color="auto" w:fill="FFFFFF"/>
        </w:rPr>
      </w:pPr>
      <w:r w:rsidRPr="0047572D">
        <w:rPr>
          <w:shd w:val="clear" w:color="auto" w:fill="FFFFFF"/>
        </w:rPr>
        <w:t>Anita et al., (2024). Energy Trading and Optimum Scheduling for Microgrids Using Multiple Agents Based DL Approach. Electric Power Components and Systems, 1-19.  </w:t>
      </w:r>
      <w:hyperlink r:id="rId14" w:history="1">
        <w:r w:rsidRPr="0047572D">
          <w:rPr>
            <w:shd w:val="clear" w:color="auto" w:fill="FFFFFF"/>
          </w:rPr>
          <w:t>https://doi.org/10.1080/15325008.2023.2300329</w:t>
        </w:r>
      </w:hyperlink>
    </w:p>
    <w:p w14:paraId="1879B9F0" w14:textId="77777777" w:rsidR="0047572D" w:rsidRPr="0047572D" w:rsidRDefault="0047572D" w:rsidP="009D2AA8">
      <w:pPr>
        <w:pStyle w:val="Reference"/>
        <w:rPr>
          <w:shd w:val="clear" w:color="auto" w:fill="FFFFFF"/>
        </w:rPr>
      </w:pPr>
      <w:proofErr w:type="spellStart"/>
      <w:r w:rsidRPr="0047572D">
        <w:rPr>
          <w:shd w:val="clear" w:color="auto" w:fill="FFFFFF"/>
        </w:rPr>
        <w:t>Chhaparwal</w:t>
      </w:r>
      <w:proofErr w:type="spellEnd"/>
      <w:r w:rsidRPr="0047572D">
        <w:rPr>
          <w:shd w:val="clear" w:color="auto" w:fill="FFFFFF"/>
        </w:rPr>
        <w:t xml:space="preserve"> et al., (2024). Numerical and experimental investigation of a solar air heater duct with circular detached ribs to improve its efficiency. Case Studies in Thermal Engineering, 60, 104780. </w:t>
      </w:r>
      <w:hyperlink r:id="rId15" w:tgtFrame="_blank" w:tooltip="Persistent link using digital object identifier" w:history="1">
        <w:r w:rsidRPr="0047572D">
          <w:rPr>
            <w:shd w:val="clear" w:color="auto" w:fill="FFFFFF"/>
          </w:rPr>
          <w:t>https://doi.org/10.1016/j.csite.2024.104780</w:t>
        </w:r>
      </w:hyperlink>
    </w:p>
    <w:p w14:paraId="667438EB" w14:textId="77777777" w:rsidR="0047572D" w:rsidRPr="0047572D" w:rsidRDefault="0047572D" w:rsidP="009D2AA8">
      <w:pPr>
        <w:pStyle w:val="Reference"/>
        <w:rPr>
          <w:shd w:val="clear" w:color="auto" w:fill="FFFFFF"/>
        </w:rPr>
      </w:pPr>
      <w:r w:rsidRPr="0047572D">
        <w:rPr>
          <w:shd w:val="clear" w:color="auto" w:fill="FFFFFF"/>
        </w:rPr>
        <w:t xml:space="preserve">Niveditha, V. R., </w:t>
      </w:r>
      <w:proofErr w:type="spellStart"/>
      <w:r w:rsidRPr="0047572D">
        <w:rPr>
          <w:shd w:val="clear" w:color="auto" w:fill="FFFFFF"/>
        </w:rPr>
        <w:t>Nadh</w:t>
      </w:r>
      <w:proofErr w:type="spellEnd"/>
      <w:r w:rsidRPr="0047572D">
        <w:rPr>
          <w:shd w:val="clear" w:color="auto" w:fill="FFFFFF"/>
        </w:rPr>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16" w:tgtFrame="_blank" w:tooltip="Persistent link using digital object identifier" w:history="1">
        <w:r w:rsidRPr="0047572D">
          <w:rPr>
            <w:shd w:val="clear" w:color="auto" w:fill="FFFFFF"/>
          </w:rPr>
          <w:t>https://doi.org/10.1016/j.jwpe.2024.104778</w:t>
        </w:r>
      </w:hyperlink>
    </w:p>
    <w:p w14:paraId="3C63EDC2" w14:textId="77777777" w:rsidR="0047572D" w:rsidRPr="0047572D" w:rsidRDefault="0047572D" w:rsidP="009D2AA8">
      <w:pPr>
        <w:pStyle w:val="Reference"/>
        <w:rPr>
          <w:shd w:val="clear" w:color="auto" w:fill="FFFFFF"/>
        </w:rPr>
      </w:pPr>
      <w:proofErr w:type="spellStart"/>
      <w:r w:rsidRPr="0047572D">
        <w:rPr>
          <w:shd w:val="clear" w:color="auto" w:fill="FFFFFF"/>
        </w:rPr>
        <w:t>Raskar</w:t>
      </w:r>
      <w:proofErr w:type="spellEnd"/>
      <w:r w:rsidRPr="0047572D">
        <w:rPr>
          <w:shd w:val="clear" w:color="auto" w:fill="FFFFFF"/>
        </w:rPr>
        <w:t>, Sandeep, Gulshan Dhasmana, M. Lakshminarayana, and Harshal Patil. Enhancing Energy Efficiency in Wireless Sensor Networks using Deep Learning. In 2025 International Conference on Multi-Agent Systems for Collaborative Intelligence (ICMSCI), pp. 1515-1520. IEEE, 2025.</w:t>
      </w:r>
    </w:p>
    <w:p w14:paraId="60A5108E" w14:textId="77777777" w:rsidR="0047572D" w:rsidRPr="0047572D" w:rsidRDefault="0047572D" w:rsidP="009D2AA8">
      <w:pPr>
        <w:pStyle w:val="Reference"/>
        <w:rPr>
          <w:shd w:val="clear" w:color="auto" w:fill="FFFFFF"/>
        </w:rPr>
      </w:pPr>
      <w:r w:rsidRPr="0047572D">
        <w:rPr>
          <w:shd w:val="clear" w:color="auto" w:fill="FFFFFF"/>
        </w:rPr>
        <w:t xml:space="preserve">Natarajan, Gobu, et al. Influence of heat treated Manihot Esculenta </w:t>
      </w:r>
      <w:proofErr w:type="spellStart"/>
      <w:r w:rsidRPr="0047572D">
        <w:rPr>
          <w:shd w:val="clear" w:color="auto" w:fill="FFFFFF"/>
        </w:rPr>
        <w:t>Biosilica</w:t>
      </w:r>
      <w:proofErr w:type="spellEnd"/>
      <w:r w:rsidRPr="0047572D">
        <w:rPr>
          <w:shd w:val="clear" w:color="auto" w:fill="FFFFFF"/>
        </w:rPr>
        <w:t xml:space="preserve"> on friction stir welded AA 6065-Al2O3 metal matrix composite and microstructural, mechanical, and fatigue analysis. Materials Research 28 (2025): e20240473.</w:t>
      </w:r>
    </w:p>
    <w:p w14:paraId="1CDED48A" w14:textId="77777777" w:rsidR="0047572D" w:rsidRPr="0047572D" w:rsidRDefault="0047572D" w:rsidP="009D2AA8">
      <w:pPr>
        <w:pStyle w:val="Reference"/>
        <w:rPr>
          <w:shd w:val="clear" w:color="auto" w:fill="FFFFFF"/>
        </w:rPr>
      </w:pPr>
      <w:r w:rsidRPr="0047572D">
        <w:rPr>
          <w:shd w:val="clear" w:color="auto" w:fill="FFFFFF"/>
        </w:rPr>
        <w:t xml:space="preserve">. </w:t>
      </w:r>
      <w:proofErr w:type="spellStart"/>
      <w:r w:rsidRPr="0047572D">
        <w:rPr>
          <w:shd w:val="clear" w:color="auto" w:fill="FFFFFF"/>
        </w:rPr>
        <w:t>Mohanavel</w:t>
      </w:r>
      <w:proofErr w:type="spellEnd"/>
      <w:r w:rsidRPr="0047572D">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2B8C82FB" w14:textId="77777777" w:rsidR="0047572D" w:rsidRPr="0047572D" w:rsidRDefault="0047572D" w:rsidP="009D2AA8">
      <w:pPr>
        <w:pStyle w:val="Reference"/>
        <w:rPr>
          <w:shd w:val="clear" w:color="auto" w:fill="FFFFFF"/>
        </w:rPr>
      </w:pPr>
      <w:r w:rsidRPr="0047572D">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17" w:history="1">
        <w:r w:rsidRPr="0047572D">
          <w:rPr>
            <w:shd w:val="clear" w:color="auto" w:fill="FFFFFF"/>
          </w:rPr>
          <w:t>https://doi.org/10.1080/13640461.2024.2447101</w:t>
        </w:r>
      </w:hyperlink>
    </w:p>
    <w:p w14:paraId="2BF37081" w14:textId="77777777" w:rsidR="0047572D" w:rsidRPr="0047572D" w:rsidRDefault="0047572D" w:rsidP="009D2AA8">
      <w:pPr>
        <w:pStyle w:val="Reference"/>
        <w:rPr>
          <w:shd w:val="clear" w:color="auto" w:fill="FFFFFF"/>
        </w:rPr>
      </w:pPr>
      <w:r w:rsidRPr="0047572D">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18" w:history="1">
        <w:r w:rsidRPr="0047572D">
          <w:rPr>
            <w:shd w:val="clear" w:color="auto" w:fill="FFFFFF"/>
          </w:rPr>
          <w:t>https://doi.org/10.1007/s10854-024-14135-6</w:t>
        </w:r>
      </w:hyperlink>
    </w:p>
    <w:p w14:paraId="352FDE54" w14:textId="77777777" w:rsidR="0047572D" w:rsidRPr="0047572D" w:rsidRDefault="0047572D" w:rsidP="009D2AA8">
      <w:pPr>
        <w:pStyle w:val="Reference"/>
        <w:rPr>
          <w:shd w:val="clear" w:color="auto" w:fill="FFFFFF"/>
        </w:rPr>
      </w:pPr>
      <w:r w:rsidRPr="0047572D">
        <w:rPr>
          <w:shd w:val="clear" w:color="auto" w:fill="FFFFFF"/>
        </w:rPr>
        <w:lastRenderedPageBreak/>
        <w:t xml:space="preserve">M. A. Babu et al. Effect of Surfactants and Hybrid Filler on Microstructural and Mechanical Properties of Al7075/TiC/Graphene Alloy Composite via Additive Manufacturing. J. of Materi Eng and Perform (2025). </w:t>
      </w:r>
      <w:hyperlink r:id="rId19" w:history="1">
        <w:r w:rsidRPr="0047572D">
          <w:rPr>
            <w:shd w:val="clear" w:color="auto" w:fill="FFFFFF"/>
          </w:rPr>
          <w:t>https://doi.org/10.1007/s11665-025-11873-4</w:t>
        </w:r>
      </w:hyperlink>
    </w:p>
    <w:p w14:paraId="4AE5F5B4" w14:textId="77777777" w:rsidR="0047572D" w:rsidRPr="0047572D" w:rsidRDefault="0047572D" w:rsidP="009D2AA8">
      <w:pPr>
        <w:pStyle w:val="Reference"/>
        <w:rPr>
          <w:shd w:val="clear" w:color="auto" w:fill="FFFFFF"/>
        </w:rPr>
      </w:pPr>
      <w:r w:rsidRPr="0047572D">
        <w:rPr>
          <w:shd w:val="clear" w:color="auto" w:fill="FFFFFF"/>
        </w:rPr>
        <w:t xml:space="preserve">S. Ravi et al. Processing and SiC content on functional behaviour of aluminium alloy composite. J Mech Sci Technol (2025). </w:t>
      </w:r>
      <w:hyperlink r:id="rId20" w:history="1">
        <w:r w:rsidRPr="0047572D">
          <w:rPr>
            <w:shd w:val="clear" w:color="auto" w:fill="FFFFFF"/>
          </w:rPr>
          <w:t>https://doi.org/10.1007/s12206-025-0723-2</w:t>
        </w:r>
      </w:hyperlink>
    </w:p>
    <w:p w14:paraId="730FD3A1" w14:textId="77777777" w:rsidR="0047572D" w:rsidRPr="0047572D" w:rsidRDefault="0047572D" w:rsidP="009D2AA8">
      <w:pPr>
        <w:pStyle w:val="Reference"/>
        <w:rPr>
          <w:shd w:val="clear" w:color="auto" w:fill="FFFFFF"/>
        </w:rPr>
      </w:pPr>
      <w:r w:rsidRPr="0047572D">
        <w:rPr>
          <w:shd w:val="clear" w:color="auto" w:fill="FFFFFF"/>
        </w:rPr>
        <w:t xml:space="preserve">N. </w:t>
      </w:r>
      <w:proofErr w:type="spellStart"/>
      <w:r w:rsidRPr="0047572D">
        <w:rPr>
          <w:shd w:val="clear" w:color="auto" w:fill="FFFFFF"/>
        </w:rPr>
        <w:t>Basavegowda</w:t>
      </w:r>
      <w:proofErr w:type="spellEnd"/>
      <w:r w:rsidRPr="0047572D">
        <w:rPr>
          <w:shd w:val="clear" w:color="auto" w:fill="FFFFFF"/>
        </w:rPr>
        <w:t xml:space="preserve"> et al. Influence of Silver Nanowire Concentration on Electrical and Optical Properties of Polyaniline for Transparent Conductive Sensors. J. Electron. Mater. (2025). </w:t>
      </w:r>
      <w:hyperlink r:id="rId21" w:history="1">
        <w:r w:rsidRPr="0047572D">
          <w:rPr>
            <w:shd w:val="clear" w:color="auto" w:fill="FFFFFF"/>
          </w:rPr>
          <w:t>https://doi.org/10.1007/s11664-025-12174-1</w:t>
        </w:r>
      </w:hyperlink>
    </w:p>
    <w:p w14:paraId="0E4EE031" w14:textId="77777777" w:rsidR="0047572D" w:rsidRPr="0047572D" w:rsidRDefault="0047572D" w:rsidP="009D2AA8">
      <w:pPr>
        <w:pStyle w:val="Reference"/>
        <w:rPr>
          <w:shd w:val="clear" w:color="auto" w:fill="FFFFFF"/>
        </w:rPr>
      </w:pPr>
      <w:r w:rsidRPr="0047572D">
        <w:rPr>
          <w:shd w:val="clear" w:color="auto" w:fill="FFFFFF"/>
        </w:rPr>
        <w:t xml:space="preserve">V. </w:t>
      </w:r>
      <w:proofErr w:type="spellStart"/>
      <w:r w:rsidRPr="0047572D">
        <w:rPr>
          <w:shd w:val="clear" w:color="auto" w:fill="FFFFFF"/>
        </w:rPr>
        <w:t>Mohanavel</w:t>
      </w:r>
      <w:proofErr w:type="spellEnd"/>
      <w:r w:rsidRPr="0047572D">
        <w:rPr>
          <w:shd w:val="clear" w:color="auto" w:fill="FFFFFF"/>
        </w:rPr>
        <w:t xml:space="preserve"> et al. Exploration of photovoltaic thermal collector performance enhancement by the accumulations of hybrid nanofluid and phase change material. J </w:t>
      </w:r>
      <w:proofErr w:type="spellStart"/>
      <w:r w:rsidRPr="0047572D">
        <w:rPr>
          <w:shd w:val="clear" w:color="auto" w:fill="FFFFFF"/>
        </w:rPr>
        <w:t>Therm</w:t>
      </w:r>
      <w:proofErr w:type="spellEnd"/>
      <w:r w:rsidRPr="0047572D">
        <w:rPr>
          <w:shd w:val="clear" w:color="auto" w:fill="FFFFFF"/>
        </w:rPr>
        <w:t xml:space="preserve"> Anal </w:t>
      </w:r>
      <w:proofErr w:type="spellStart"/>
      <w:r w:rsidRPr="0047572D">
        <w:rPr>
          <w:shd w:val="clear" w:color="auto" w:fill="FFFFFF"/>
        </w:rPr>
        <w:t>Calorim</w:t>
      </w:r>
      <w:proofErr w:type="spellEnd"/>
      <w:r w:rsidRPr="0047572D">
        <w:rPr>
          <w:shd w:val="clear" w:color="auto" w:fill="FFFFFF"/>
        </w:rPr>
        <w:t xml:space="preserve"> (2025). </w:t>
      </w:r>
      <w:hyperlink r:id="rId22" w:history="1">
        <w:r w:rsidRPr="0047572D">
          <w:rPr>
            <w:shd w:val="clear" w:color="auto" w:fill="FFFFFF"/>
          </w:rPr>
          <w:t>https://doi.org/10.1007/s10973-025-14427-x</w:t>
        </w:r>
      </w:hyperlink>
    </w:p>
    <w:p w14:paraId="02FB7DB7" w14:textId="77777777" w:rsidR="0047572D" w:rsidRPr="0047572D" w:rsidRDefault="0047572D" w:rsidP="009D2AA8">
      <w:pPr>
        <w:pStyle w:val="Reference"/>
        <w:rPr>
          <w:shd w:val="clear" w:color="auto" w:fill="FFFFFF"/>
        </w:rPr>
      </w:pPr>
      <w:r w:rsidRPr="0047572D">
        <w:rPr>
          <w:shd w:val="clear" w:color="auto" w:fill="FFFFFF"/>
        </w:rPr>
        <w:t xml:space="preserve">K. K. Ilavenil et al. Enrichment of monolithic aluminium alloy characteristics by nano ceramic: Solid state process. J Mech Sci Technol (2025). </w:t>
      </w:r>
      <w:hyperlink r:id="rId23" w:history="1">
        <w:r w:rsidRPr="0047572D">
          <w:rPr>
            <w:shd w:val="clear" w:color="auto" w:fill="FFFFFF"/>
          </w:rPr>
          <w:t>https://doi.org/10.1007/s12206-025-0513-x</w:t>
        </w:r>
      </w:hyperlink>
    </w:p>
    <w:p w14:paraId="2241E73A" w14:textId="77777777" w:rsidR="0047572D" w:rsidRPr="0047572D" w:rsidRDefault="0047572D" w:rsidP="009D2AA8">
      <w:pPr>
        <w:pStyle w:val="Reference"/>
        <w:rPr>
          <w:shd w:val="clear" w:color="auto" w:fill="FFFFFF"/>
        </w:rPr>
      </w:pPr>
      <w:r w:rsidRPr="0047572D">
        <w:rPr>
          <w:shd w:val="clear" w:color="auto" w:fill="FFFFFF"/>
        </w:rPr>
        <w:t xml:space="preserve">Kaushal et al., (2024). Fault prediction and awareness for power distribution in grid connected res using hybrid machine learning. Electric Power Components and Systems, 1-22. </w:t>
      </w:r>
      <w:hyperlink r:id="rId24" w:history="1">
        <w:r w:rsidRPr="0047572D">
          <w:rPr>
            <w:shd w:val="clear" w:color="auto" w:fill="FFFFFF"/>
          </w:rPr>
          <w:t>https://doi.org/10.1080/15325008.2024.2337217</w:t>
        </w:r>
      </w:hyperlink>
    </w:p>
    <w:p w14:paraId="55505B3C" w14:textId="77777777" w:rsidR="0047572D" w:rsidRPr="0047572D" w:rsidRDefault="0047572D" w:rsidP="009D2AA8">
      <w:pPr>
        <w:pStyle w:val="Reference"/>
        <w:rPr>
          <w:shd w:val="clear" w:color="auto" w:fill="FFFFFF"/>
        </w:rPr>
      </w:pPr>
      <w:r w:rsidRPr="0047572D">
        <w:rPr>
          <w:shd w:val="clear" w:color="auto" w:fill="FFFFFF"/>
        </w:rPr>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1F84E634" w14:textId="77777777" w:rsidR="0047572D" w:rsidRPr="0047572D" w:rsidRDefault="0047572D" w:rsidP="009D2AA8">
      <w:pPr>
        <w:pStyle w:val="Reference"/>
        <w:rPr>
          <w:shd w:val="clear" w:color="auto" w:fill="FFFFFF"/>
        </w:rPr>
      </w:pPr>
      <w:proofErr w:type="spellStart"/>
      <w:r w:rsidRPr="0047572D">
        <w:rPr>
          <w:shd w:val="clear" w:color="auto" w:fill="FFFFFF"/>
        </w:rPr>
        <w:t>Sreethar</w:t>
      </w:r>
      <w:proofErr w:type="spellEnd"/>
      <w:r w:rsidRPr="0047572D">
        <w:rPr>
          <w:shd w:val="clear" w:color="auto" w:fill="FFFFFF"/>
        </w:rPr>
        <w:t xml:space="preserve"> et al., (2024). Implementation of cross layer design with localization techniques in wireless sensor networks using deep learning. In 2024 International Conference on Expert Clouds and Applications (ICOECA) (pp. 607-613). IEEE. </w:t>
      </w:r>
      <w:hyperlink r:id="rId25" w:history="1">
        <w:r w:rsidRPr="0047572D">
          <w:rPr>
            <w:shd w:val="clear" w:color="auto" w:fill="FFFFFF"/>
          </w:rPr>
          <w:t>https://doi.org/10.1109/ICOECA62351.2024.00111</w:t>
        </w:r>
      </w:hyperlink>
      <w:r w:rsidRPr="0047572D">
        <w:rPr>
          <w:shd w:val="clear" w:color="auto" w:fill="FFFFFF"/>
        </w:rPr>
        <w:t xml:space="preserve"> </w:t>
      </w:r>
    </w:p>
    <w:p w14:paraId="48800C37" w14:textId="77777777" w:rsidR="0047572D" w:rsidRPr="0047572D" w:rsidRDefault="0047572D" w:rsidP="009D2AA8">
      <w:pPr>
        <w:pStyle w:val="Reference"/>
        <w:rPr>
          <w:shd w:val="clear" w:color="auto" w:fill="FFFFFF"/>
        </w:rPr>
      </w:pPr>
      <w:r w:rsidRPr="0047572D">
        <w:rPr>
          <w:shd w:val="clear" w:color="auto" w:fill="FFFFFF"/>
        </w:rPr>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26" w:history="1">
        <w:r w:rsidRPr="0047572D">
          <w:rPr>
            <w:shd w:val="clear" w:color="auto" w:fill="FFFFFF"/>
          </w:rPr>
          <w:t>https://doi.org/10.1109/ASSIC60049.2024.10507990</w:t>
        </w:r>
      </w:hyperlink>
    </w:p>
    <w:p w14:paraId="7857E6C0" w14:textId="77777777" w:rsidR="0047572D" w:rsidRPr="0047572D" w:rsidRDefault="0047572D" w:rsidP="009D2AA8">
      <w:pPr>
        <w:pStyle w:val="Reference"/>
        <w:rPr>
          <w:shd w:val="clear" w:color="auto" w:fill="FFFFFF"/>
        </w:rPr>
      </w:pPr>
      <w:r w:rsidRPr="0047572D">
        <w:rPr>
          <w:shd w:val="clear" w:color="auto" w:fill="FFFFFF"/>
        </w:rPr>
        <w:t xml:space="preserve">R.P. Singh et al. Influence of a Copper Layer on the Functional Behaviour of a Cadmium Telluride Solar Cell Processed via Thermal Evaporation. J. Electron. Mater. (2024). </w:t>
      </w:r>
      <w:hyperlink r:id="rId27" w:history="1">
        <w:r w:rsidRPr="0047572D">
          <w:rPr>
            <w:shd w:val="clear" w:color="auto" w:fill="FFFFFF"/>
          </w:rPr>
          <w:t>https://doi.org/10.1007/s11664-024-11669-7</w:t>
        </w:r>
      </w:hyperlink>
    </w:p>
    <w:p w14:paraId="5F3C5261" w14:textId="77777777" w:rsidR="0047572D" w:rsidRPr="0047572D" w:rsidRDefault="0047572D" w:rsidP="009D2AA8">
      <w:pPr>
        <w:pStyle w:val="Reference"/>
        <w:rPr>
          <w:shd w:val="clear" w:color="auto" w:fill="FFFFFF"/>
        </w:rPr>
      </w:pPr>
      <w:r w:rsidRPr="0047572D">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8" w:history="1">
        <w:r w:rsidRPr="0047572D">
          <w:rPr>
            <w:shd w:val="clear" w:color="auto" w:fill="FFFFFF"/>
          </w:rPr>
          <w:t>http://dx.doi.org/10.29228/ijastech..1528281</w:t>
        </w:r>
      </w:hyperlink>
    </w:p>
    <w:p w14:paraId="28312C08" w14:textId="77777777" w:rsidR="0047572D" w:rsidRPr="0047572D" w:rsidRDefault="0047572D" w:rsidP="009D2AA8">
      <w:pPr>
        <w:pStyle w:val="Reference"/>
        <w:rPr>
          <w:shd w:val="clear" w:color="auto" w:fill="FFFFFF"/>
        </w:rPr>
      </w:pPr>
      <w:r w:rsidRPr="0047572D">
        <w:rPr>
          <w:shd w:val="clear" w:color="auto" w:fill="FFFFFF"/>
        </w:rPr>
        <w:t xml:space="preserve">R. Venkatesh Fabrication and Functional Behavior Studies of Polypropylene Composite Containing Hybrid Reinforcements, SAE Int. J. Mater. Manf. 18(2), 2025, </w:t>
      </w:r>
      <w:hyperlink r:id="rId29" w:history="1">
        <w:r w:rsidRPr="0047572D">
          <w:rPr>
            <w:shd w:val="clear" w:color="auto" w:fill="FFFFFF"/>
          </w:rPr>
          <w:t>https://doi.org/10.4271/05-18-02-0015</w:t>
        </w:r>
      </w:hyperlink>
      <w:r w:rsidRPr="0047572D">
        <w:rPr>
          <w:shd w:val="clear" w:color="auto" w:fill="FFFFFF"/>
        </w:rPr>
        <w:t>.</w:t>
      </w:r>
    </w:p>
    <w:p w14:paraId="20B56C04" w14:textId="77777777" w:rsidR="0047572D" w:rsidRPr="0047572D" w:rsidRDefault="0047572D" w:rsidP="009D2AA8">
      <w:pPr>
        <w:pStyle w:val="Reference"/>
        <w:rPr>
          <w:shd w:val="clear" w:color="auto" w:fill="FFFFFF"/>
        </w:rPr>
      </w:pPr>
      <w:r w:rsidRPr="0047572D">
        <w:rPr>
          <w:shd w:val="clear" w:color="auto" w:fill="FFFFFF"/>
        </w:rPr>
        <w:t xml:space="preserve">Rajendran et al., (2024). Development of Intelligent Power Quality Management in Renewable Energy System in Smart Grid using Deep Learning. In 2024 International Conference on Inventive Computation Technologies (ICICT) (pp. 1178-1182). IEEE.  </w:t>
      </w:r>
      <w:hyperlink r:id="rId30" w:history="1">
        <w:r w:rsidRPr="0047572D">
          <w:rPr>
            <w:shd w:val="clear" w:color="auto" w:fill="FFFFFF"/>
          </w:rPr>
          <w:t>https://doi.org/10.1109/ICICT60155.2024.10544835</w:t>
        </w:r>
      </w:hyperlink>
      <w:r w:rsidRPr="0047572D">
        <w:rPr>
          <w:shd w:val="clear" w:color="auto" w:fill="FFFFFF"/>
        </w:rPr>
        <w:t xml:space="preserve"> </w:t>
      </w:r>
    </w:p>
    <w:p w14:paraId="6AFD8C99" w14:textId="77777777" w:rsidR="0047572D" w:rsidRPr="0047572D" w:rsidRDefault="0047572D" w:rsidP="009D2AA8">
      <w:pPr>
        <w:pStyle w:val="Reference"/>
        <w:rPr>
          <w:shd w:val="clear" w:color="auto" w:fill="FFFFFF"/>
        </w:rPr>
      </w:pPr>
      <w:r w:rsidRPr="0047572D">
        <w:rPr>
          <w:shd w:val="clear" w:color="auto" w:fill="FFFFFF"/>
        </w:rPr>
        <w:t xml:space="preserve">Parashar et al., (2024). Time series analysis and random forest techniques for prediction of sales for retail grocery. In 2024 IEEE International Conference on Computing, Power and Communication Technologies (IC2PCT) (Vol. 5, pp. 531-535). IEEE. </w:t>
      </w:r>
      <w:hyperlink r:id="rId31" w:history="1">
        <w:r w:rsidRPr="0047572D">
          <w:rPr>
            <w:shd w:val="clear" w:color="auto" w:fill="FFFFFF"/>
          </w:rPr>
          <w:t>https://doi.org/10.1109/IC2PCT60090.2024.10486802</w:t>
        </w:r>
      </w:hyperlink>
      <w:r w:rsidRPr="0047572D">
        <w:rPr>
          <w:shd w:val="clear" w:color="auto" w:fill="FFFFFF"/>
        </w:rPr>
        <w:t xml:space="preserve"> </w:t>
      </w:r>
    </w:p>
    <w:p w14:paraId="6011AA27" w14:textId="77777777" w:rsidR="0047572D" w:rsidRPr="0047572D" w:rsidRDefault="0047572D" w:rsidP="009D2AA8">
      <w:pPr>
        <w:pStyle w:val="Reference"/>
        <w:rPr>
          <w:shd w:val="clear" w:color="auto" w:fill="FFFFFF"/>
        </w:rPr>
      </w:pPr>
      <w:r w:rsidRPr="0047572D">
        <w:rPr>
          <w:shd w:val="clear" w:color="auto" w:fill="FFFFFF"/>
        </w:rPr>
        <w:t xml:space="preserve">Yuvaraj, K. P., Reddy, V. K., &amp; Ali, H. M. (2024). Evaluating the Wear and Mechanical Properties of Cotton Fabrics for Women’s Summer Clothing. Engineering Proceedings, 61(1), 15. </w:t>
      </w:r>
      <w:hyperlink r:id="rId32" w:history="1">
        <w:r w:rsidRPr="0047572D">
          <w:rPr>
            <w:shd w:val="clear" w:color="auto" w:fill="FFFFFF"/>
          </w:rPr>
          <w:t>https://doi.org/10.3390/engproc2024061015</w:t>
        </w:r>
      </w:hyperlink>
    </w:p>
    <w:p w14:paraId="20B97788" w14:textId="77777777" w:rsidR="0047572D" w:rsidRPr="0047572D" w:rsidRDefault="0047572D" w:rsidP="009D2AA8">
      <w:pPr>
        <w:pStyle w:val="Reference"/>
        <w:rPr>
          <w:shd w:val="clear" w:color="auto" w:fill="FFFFFF"/>
        </w:rPr>
      </w:pPr>
      <w:proofErr w:type="spellStart"/>
      <w:r w:rsidRPr="0047572D">
        <w:rPr>
          <w:shd w:val="clear" w:color="auto" w:fill="FFFFFF"/>
        </w:rPr>
        <w:t>Masannan</w:t>
      </w:r>
      <w:proofErr w:type="spellEnd"/>
      <w:r w:rsidRPr="0047572D">
        <w:rPr>
          <w:shd w:val="clear" w:color="auto" w:fill="FFFFFF"/>
        </w:rPr>
        <w:t xml:space="preserve"> et al., (2024). Experimental investigation on the drilling characteristics of kenaf/PLA-based laminates. Engineering Proceedings, 61(1), 9. </w:t>
      </w:r>
      <w:hyperlink r:id="rId33" w:history="1">
        <w:r w:rsidRPr="0047572D">
          <w:rPr>
            <w:shd w:val="clear" w:color="auto" w:fill="FFFFFF"/>
          </w:rPr>
          <w:t>https://doi.org/10.3390/engproc2024061009</w:t>
        </w:r>
      </w:hyperlink>
    </w:p>
    <w:p w14:paraId="062B5C53" w14:textId="77777777" w:rsidR="0047572D" w:rsidRPr="0047572D" w:rsidRDefault="0047572D" w:rsidP="009D2AA8">
      <w:pPr>
        <w:pStyle w:val="Reference"/>
        <w:rPr>
          <w:shd w:val="clear" w:color="auto" w:fill="FFFFFF"/>
        </w:rPr>
      </w:pPr>
      <w:r w:rsidRPr="0047572D">
        <w:rPr>
          <w:shd w:val="clear" w:color="auto" w:fill="FFFFFF"/>
        </w:rPr>
        <w:t>Kaliappan S et al.</w:t>
      </w:r>
      <w:proofErr w:type="gramStart"/>
      <w:r w:rsidRPr="0047572D">
        <w:rPr>
          <w:shd w:val="clear" w:color="auto" w:fill="FFFFFF"/>
        </w:rPr>
        <w:t>,  (</w:t>
      </w:r>
      <w:proofErr w:type="gramEnd"/>
      <w:r w:rsidRPr="0047572D">
        <w:rPr>
          <w:shd w:val="clear" w:color="auto" w:fill="FFFFFF"/>
        </w:rPr>
        <w:t>2024). Impact of Kenaf Fiber and Inorganic Nanofillers on Mechanical Properties of Epoxy-Based Nanocomposites for Sustainable Automotive Applications (No. 2023-01-5115). SAE Technical Paper.</w:t>
      </w:r>
      <w:hyperlink r:id="rId34" w:history="1">
        <w:r w:rsidRPr="0047572D">
          <w:rPr>
            <w:shd w:val="clear" w:color="auto" w:fill="FFFFFF"/>
          </w:rPr>
          <w:t> https://doi.org/10.4271/2023-01-5115</w:t>
        </w:r>
      </w:hyperlink>
    </w:p>
    <w:p w14:paraId="0EDCE145" w14:textId="77777777" w:rsidR="0047572D" w:rsidRPr="0047572D" w:rsidRDefault="0047572D" w:rsidP="009D2AA8">
      <w:pPr>
        <w:pStyle w:val="Reference"/>
        <w:rPr>
          <w:shd w:val="clear" w:color="auto" w:fill="FFFFFF"/>
        </w:rPr>
      </w:pPr>
      <w:r w:rsidRPr="0047572D">
        <w:rPr>
          <w:shd w:val="clear" w:color="auto" w:fill="FFFFFF"/>
        </w:rPr>
        <w:t xml:space="preserve">Kumar et al., (2024). Optimized forecasting approach for scheduling wind generation plants and maximizing renewable energy utilization. Electric Power Components and Systems, 1-17. </w:t>
      </w:r>
      <w:hyperlink r:id="rId35" w:history="1">
        <w:r w:rsidRPr="0047572D">
          <w:rPr>
            <w:shd w:val="clear" w:color="auto" w:fill="FFFFFF"/>
          </w:rPr>
          <w:t>https://doi.org/10.1080/15325008.2024.2337218</w:t>
        </w:r>
      </w:hyperlink>
    </w:p>
    <w:p w14:paraId="6BDC3AAB" w14:textId="77777777" w:rsidR="0047572D" w:rsidRPr="0047572D" w:rsidRDefault="0047572D" w:rsidP="009D2AA8">
      <w:pPr>
        <w:pStyle w:val="Reference"/>
        <w:rPr>
          <w:shd w:val="clear" w:color="auto" w:fill="FFFFFF"/>
        </w:rPr>
      </w:pPr>
      <w:r w:rsidRPr="0047572D">
        <w:rPr>
          <w:shd w:val="clear" w:color="auto" w:fill="FFFFFF"/>
        </w:rPr>
        <w:t xml:space="preserve">Kaushal et </w:t>
      </w:r>
      <w:proofErr w:type="gramStart"/>
      <w:r w:rsidRPr="0047572D">
        <w:rPr>
          <w:shd w:val="clear" w:color="auto" w:fill="FFFFFF"/>
        </w:rPr>
        <w:t>al,.</w:t>
      </w:r>
      <w:proofErr w:type="gramEnd"/>
      <w:r w:rsidRPr="0047572D">
        <w:rPr>
          <w:shd w:val="clear" w:color="auto" w:fill="FFFFFF"/>
        </w:rPr>
        <w:t xml:space="preserve"> (2024). Navigating Independence: The Smart Walking Stick for the Visually Impaired. In 2024 5th International Conference on Mobile Computing and Sustainable Informatics (ICMCSI) (pp. 103-108). IEEE. https://doi.org/10.1109/ICMCSI61536.2024.00022 </w:t>
      </w:r>
    </w:p>
    <w:p w14:paraId="7E0FE980" w14:textId="77777777" w:rsidR="0047572D" w:rsidRPr="0047572D" w:rsidRDefault="0047572D" w:rsidP="009D2AA8">
      <w:pPr>
        <w:pStyle w:val="Reference"/>
        <w:rPr>
          <w:shd w:val="clear" w:color="auto" w:fill="FFFFFF"/>
        </w:rPr>
      </w:pPr>
      <w:r w:rsidRPr="0047572D">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437DC132" w14:textId="77777777" w:rsidR="0047572D" w:rsidRPr="0047572D" w:rsidRDefault="0047572D" w:rsidP="009D2AA8">
      <w:pPr>
        <w:pStyle w:val="Reference"/>
        <w:rPr>
          <w:shd w:val="clear" w:color="auto" w:fill="FFFFFF"/>
        </w:rPr>
      </w:pPr>
      <w:r w:rsidRPr="0047572D">
        <w:rPr>
          <w:shd w:val="clear" w:color="auto" w:fill="FFFFFF"/>
        </w:rPr>
        <w:lastRenderedPageBreak/>
        <w:t xml:space="preserve">Venkatesh, R., Chaturvedi, R., </w:t>
      </w:r>
      <w:proofErr w:type="spellStart"/>
      <w:r w:rsidRPr="0047572D">
        <w:rPr>
          <w:shd w:val="clear" w:color="auto" w:fill="FFFFFF"/>
        </w:rPr>
        <w:t>Umamaheswari</w:t>
      </w:r>
      <w:proofErr w:type="spellEnd"/>
      <w:r w:rsidRPr="0047572D">
        <w:rPr>
          <w:shd w:val="clear" w:color="auto" w:fill="FFFFFF"/>
        </w:rPr>
        <w:t xml:space="preserve">, D. et al. Featuring of Fiber-Ceramic Combination on Behavior Studies of </w:t>
      </w:r>
      <w:proofErr w:type="gramStart"/>
      <w:r w:rsidRPr="0047572D">
        <w:rPr>
          <w:shd w:val="clear" w:color="auto" w:fill="FFFFFF"/>
        </w:rPr>
        <w:t>High Density</w:t>
      </w:r>
      <w:proofErr w:type="gramEnd"/>
      <w:r w:rsidRPr="0047572D">
        <w:rPr>
          <w:shd w:val="clear" w:color="auto" w:fill="FFFFFF"/>
        </w:rPr>
        <w:t xml:space="preserve"> Polyethylene Composite: Hot Compression Mould. Mech Compos Mater (2025). </w:t>
      </w:r>
      <w:hyperlink r:id="rId36" w:history="1">
        <w:r w:rsidRPr="0047572D">
          <w:rPr>
            <w:shd w:val="clear" w:color="auto" w:fill="FFFFFF"/>
          </w:rPr>
          <w:t>https://doi.org/10.1007/s11029-025-10305-7</w:t>
        </w:r>
      </w:hyperlink>
    </w:p>
    <w:p w14:paraId="4A697201" w14:textId="77777777" w:rsidR="0047572D" w:rsidRPr="0047572D" w:rsidRDefault="0047572D" w:rsidP="009D2AA8">
      <w:pPr>
        <w:pStyle w:val="Reference"/>
        <w:rPr>
          <w:shd w:val="clear" w:color="auto" w:fill="FFFFFF"/>
        </w:rPr>
      </w:pPr>
      <w:r w:rsidRPr="0047572D">
        <w:rPr>
          <w:shd w:val="clear" w:color="auto" w:fill="FFFFFF"/>
        </w:rPr>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2ED5CB83" w14:textId="77777777" w:rsidR="0047572D" w:rsidRPr="0047572D" w:rsidRDefault="0047572D" w:rsidP="009D2AA8">
      <w:pPr>
        <w:pStyle w:val="Reference"/>
        <w:rPr>
          <w:shd w:val="clear" w:color="auto" w:fill="FFFFFF"/>
        </w:rPr>
      </w:pPr>
      <w:r w:rsidRPr="0047572D">
        <w:rPr>
          <w:shd w:val="clear" w:color="auto" w:fill="FFFFFF"/>
        </w:rPr>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4B18BB00" w14:textId="77777777" w:rsidR="0047572D" w:rsidRPr="0047572D" w:rsidRDefault="0047572D" w:rsidP="009D2AA8">
      <w:pPr>
        <w:pStyle w:val="Reference"/>
        <w:rPr>
          <w:shd w:val="clear" w:color="auto" w:fill="FFFFFF"/>
        </w:rPr>
      </w:pPr>
      <w:r w:rsidRPr="0047572D">
        <w:rPr>
          <w:shd w:val="clear" w:color="auto" w:fill="FFFFFF"/>
        </w:rPr>
        <w:t xml:space="preserve">K.  Logesh et al. Injection mould processing and characteristics measures of hybrid epoxy composites with jute fiber/boron nitride. J Mech Sci Technol. 39(1), 2025. </w:t>
      </w:r>
      <w:hyperlink r:id="rId37" w:history="1">
        <w:r w:rsidRPr="0047572D">
          <w:rPr>
            <w:shd w:val="clear" w:color="auto" w:fill="FFFFFF"/>
          </w:rPr>
          <w:t>https://doi.org/10.1007/s12206-024-1219-1</w:t>
        </w:r>
      </w:hyperlink>
    </w:p>
    <w:p w14:paraId="0ECABC08" w14:textId="77777777" w:rsidR="0047572D" w:rsidRPr="0047572D" w:rsidRDefault="0047572D" w:rsidP="009D2AA8">
      <w:pPr>
        <w:pStyle w:val="Reference"/>
        <w:rPr>
          <w:shd w:val="clear" w:color="auto" w:fill="FFFFFF"/>
        </w:rPr>
      </w:pPr>
      <w:r w:rsidRPr="0047572D">
        <w:rPr>
          <w:shd w:val="clear" w:color="auto" w:fill="FFFFFF"/>
        </w:rPr>
        <w:t xml:space="preserve">Singh et al. Natural fiber-ceramic filler configured polypropylene hybrid composite made via hot compression technique: Characteristics evaluation. J Mech Sci Technol. 39(1), 2025. </w:t>
      </w:r>
      <w:hyperlink r:id="rId38" w:history="1">
        <w:r w:rsidRPr="0047572D">
          <w:rPr>
            <w:shd w:val="clear" w:color="auto" w:fill="FFFFFF"/>
          </w:rPr>
          <w:t>https://doi.org/10.1007/s12206-024-1216-4</w:t>
        </w:r>
      </w:hyperlink>
    </w:p>
    <w:p w14:paraId="4F9DC919" w14:textId="77777777" w:rsidR="0047572D" w:rsidRPr="0047572D" w:rsidRDefault="0047572D" w:rsidP="009D2AA8">
      <w:pPr>
        <w:pStyle w:val="Reference"/>
        <w:rPr>
          <w:shd w:val="clear" w:color="auto" w:fill="FFFFFF"/>
        </w:rPr>
      </w:pPr>
      <w:r w:rsidRPr="0047572D">
        <w:rPr>
          <w:shd w:val="clear" w:color="auto" w:fill="FFFFFF"/>
        </w:rPr>
        <w:t xml:space="preserve">A. Sharma et al. Semisolid stir casting and effect of hybrid fillers on functional properties of aluminium alloy composites. J Mech Sci Technol (2025). </w:t>
      </w:r>
      <w:hyperlink r:id="rId39" w:history="1">
        <w:r w:rsidRPr="0047572D">
          <w:rPr>
            <w:shd w:val="clear" w:color="auto" w:fill="FFFFFF"/>
          </w:rPr>
          <w:t>https://doi.org/10.1007/s12206-025-0620-8</w:t>
        </w:r>
      </w:hyperlink>
    </w:p>
    <w:p w14:paraId="7338991F" w14:textId="77777777" w:rsidR="0047572D" w:rsidRPr="0047572D" w:rsidRDefault="0047572D" w:rsidP="009D2AA8">
      <w:pPr>
        <w:pStyle w:val="Reference"/>
        <w:rPr>
          <w:shd w:val="clear" w:color="auto" w:fill="FFFFFF"/>
        </w:rPr>
      </w:pPr>
      <w:r w:rsidRPr="0047572D">
        <w:rPr>
          <w:shd w:val="clear" w:color="auto" w:fill="FFFFFF"/>
        </w:rPr>
        <w:t xml:space="preserve">V. </w:t>
      </w:r>
      <w:proofErr w:type="spellStart"/>
      <w:r w:rsidRPr="0047572D">
        <w:rPr>
          <w:shd w:val="clear" w:color="auto" w:fill="FFFFFF"/>
        </w:rPr>
        <w:t>Rathinavelu</w:t>
      </w:r>
      <w:proofErr w:type="spellEnd"/>
      <w:r w:rsidRPr="0047572D">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w:t>
      </w:r>
      <w:hyperlink r:id="rId40" w:history="1">
        <w:r w:rsidRPr="0047572D">
          <w:rPr>
            <w:shd w:val="clear" w:color="auto" w:fill="FFFFFF"/>
          </w:rPr>
          <w:t>https://doi.org/10.1515/ipp-2024-0152</w:t>
        </w:r>
      </w:hyperlink>
    </w:p>
    <w:p w14:paraId="5D5740AE" w14:textId="77777777" w:rsidR="0047572D" w:rsidRPr="0047572D" w:rsidRDefault="0047572D" w:rsidP="009D2AA8">
      <w:pPr>
        <w:pStyle w:val="Reference"/>
        <w:rPr>
          <w:shd w:val="clear" w:color="auto" w:fill="FFFFFF"/>
        </w:rPr>
      </w:pPr>
      <w:r w:rsidRPr="0047572D">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47572D">
        <w:rPr>
          <w:shd w:val="clear" w:color="auto" w:fill="FFFFFF"/>
        </w:rPr>
        <w:t>Therm</w:t>
      </w:r>
      <w:proofErr w:type="spellEnd"/>
      <w:r w:rsidRPr="0047572D">
        <w:rPr>
          <w:shd w:val="clear" w:color="auto" w:fill="FFFFFF"/>
        </w:rPr>
        <w:t xml:space="preserve"> Anal </w:t>
      </w:r>
      <w:proofErr w:type="spellStart"/>
      <w:r w:rsidRPr="0047572D">
        <w:rPr>
          <w:shd w:val="clear" w:color="auto" w:fill="FFFFFF"/>
        </w:rPr>
        <w:t>Calorim</w:t>
      </w:r>
      <w:proofErr w:type="spellEnd"/>
      <w:r w:rsidRPr="0047572D">
        <w:rPr>
          <w:shd w:val="clear" w:color="auto" w:fill="FFFFFF"/>
        </w:rPr>
        <w:t xml:space="preserve"> (2025). </w:t>
      </w:r>
      <w:hyperlink r:id="rId41" w:history="1">
        <w:r w:rsidRPr="0047572D">
          <w:rPr>
            <w:shd w:val="clear" w:color="auto" w:fill="FFFFFF"/>
          </w:rPr>
          <w:t>https://doi.org/10.1007/s10973-025-14305-6</w:t>
        </w:r>
      </w:hyperlink>
    </w:p>
    <w:p w14:paraId="2B816D0B" w14:textId="77777777" w:rsidR="0047572D" w:rsidRPr="0047572D" w:rsidRDefault="0047572D" w:rsidP="009D2AA8">
      <w:pPr>
        <w:pStyle w:val="Reference"/>
        <w:rPr>
          <w:shd w:val="clear" w:color="auto" w:fill="FFFFFF"/>
        </w:rPr>
      </w:pPr>
      <w:r w:rsidRPr="0047572D">
        <w:rPr>
          <w:shd w:val="clear" w:color="auto" w:fill="FFFFFF"/>
        </w:rPr>
        <w:t xml:space="preserve">A. Sharma et al. Featuring of Formamidinium lead halide and enrichment of optoelectronic behaviour of SnO2/FAPbI3/NiOx with PCBM layer. J Mater Sci: Mater Electron 36, 1124 (2025). </w:t>
      </w:r>
      <w:hyperlink r:id="rId42" w:history="1">
        <w:r w:rsidRPr="0047572D">
          <w:rPr>
            <w:shd w:val="clear" w:color="auto" w:fill="FFFFFF"/>
          </w:rPr>
          <w:t>https://doi.org/10.1007/s10854-025-15203-1</w:t>
        </w:r>
      </w:hyperlink>
    </w:p>
    <w:p w14:paraId="1F40FB2A" w14:textId="77777777" w:rsidR="0047572D" w:rsidRPr="0047572D" w:rsidRDefault="0047572D" w:rsidP="009D2AA8">
      <w:pPr>
        <w:pStyle w:val="Reference"/>
        <w:rPr>
          <w:shd w:val="clear" w:color="auto" w:fill="FFFFFF"/>
        </w:rPr>
      </w:pPr>
      <w:r w:rsidRPr="0047572D">
        <w:rPr>
          <w:shd w:val="clear" w:color="auto" w:fill="FFFFFF"/>
        </w:rPr>
        <w:t xml:space="preserve">V. V. Upadhyay et al. Hexachloroethane fluxing mechanism and actions of hybrid fillers on functional behaviour of AZ31B alloy composites. J Mech Sci Technol (2025). </w:t>
      </w:r>
      <w:hyperlink r:id="rId43" w:history="1">
        <w:r w:rsidRPr="0047572D">
          <w:rPr>
            <w:shd w:val="clear" w:color="auto" w:fill="FFFFFF"/>
          </w:rPr>
          <w:t>https://doi.org/10.1007/s12206-025-0622-6</w:t>
        </w:r>
      </w:hyperlink>
    </w:p>
    <w:p w14:paraId="7CB2A3CA" w14:textId="161111F5" w:rsidR="00997894" w:rsidRPr="002C2D13" w:rsidRDefault="00997894" w:rsidP="0047572D">
      <w:pPr>
        <w:pStyle w:val="ListParagraph"/>
        <w:spacing w:line="360" w:lineRule="auto"/>
        <w:jc w:val="both"/>
        <w:rPr>
          <w:szCs w:val="24"/>
        </w:rPr>
      </w:pPr>
    </w:p>
    <w:sectPr w:rsidR="00997894" w:rsidRPr="002C2D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543ED"/>
    <w:multiLevelType w:val="hybridMultilevel"/>
    <w:tmpl w:val="FCDAF48E"/>
    <w:lvl w:ilvl="0" w:tplc="8D569818">
      <w:start w:val="1"/>
      <w:numFmt w:val="decimal"/>
      <w:lvlText w:val="%1."/>
      <w:lvlJc w:val="left"/>
      <w:pPr>
        <w:ind w:left="720" w:hanging="360"/>
      </w:pPr>
      <w:rPr>
        <w:rFonts w:ascii="Times New Roman" w:hAnsi="Times New Roman" w:cs="Times New Roman" w:hint="default"/>
        <w:color w:val="auto"/>
        <w:sz w:val="24"/>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7C574F"/>
    <w:multiLevelType w:val="hybridMultilevel"/>
    <w:tmpl w:val="5F222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55328543">
    <w:abstractNumId w:val="2"/>
  </w:num>
  <w:num w:numId="2" w16cid:durableId="1696075816">
    <w:abstractNumId w:val="12"/>
  </w:num>
  <w:num w:numId="3" w16cid:durableId="10954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4975">
    <w:abstractNumId w:val="18"/>
  </w:num>
  <w:num w:numId="5" w16cid:durableId="1623537524">
    <w:abstractNumId w:val="5"/>
  </w:num>
  <w:num w:numId="6" w16cid:durableId="333149680">
    <w:abstractNumId w:val="15"/>
  </w:num>
  <w:num w:numId="7" w16cid:durableId="1958750756">
    <w:abstractNumId w:val="9"/>
  </w:num>
  <w:num w:numId="8" w16cid:durableId="1466237890">
    <w:abstractNumId w:val="14"/>
  </w:num>
  <w:num w:numId="9" w16cid:durableId="846751398">
    <w:abstractNumId w:val="6"/>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7"/>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41A"/>
    <w:rsid w:val="00082408"/>
    <w:rsid w:val="0009359C"/>
    <w:rsid w:val="00133CA3"/>
    <w:rsid w:val="001C2AD9"/>
    <w:rsid w:val="002658D8"/>
    <w:rsid w:val="002A7AF7"/>
    <w:rsid w:val="002C2D13"/>
    <w:rsid w:val="00362C9C"/>
    <w:rsid w:val="0047572D"/>
    <w:rsid w:val="004A61E8"/>
    <w:rsid w:val="005D490C"/>
    <w:rsid w:val="005E6427"/>
    <w:rsid w:val="0060490A"/>
    <w:rsid w:val="00657508"/>
    <w:rsid w:val="0069576A"/>
    <w:rsid w:val="00707F1C"/>
    <w:rsid w:val="00724DB2"/>
    <w:rsid w:val="007A28F5"/>
    <w:rsid w:val="007B541A"/>
    <w:rsid w:val="0080550D"/>
    <w:rsid w:val="0083760B"/>
    <w:rsid w:val="00887589"/>
    <w:rsid w:val="008D12E4"/>
    <w:rsid w:val="00997894"/>
    <w:rsid w:val="009D2AA8"/>
    <w:rsid w:val="009D41CD"/>
    <w:rsid w:val="00A00FB4"/>
    <w:rsid w:val="00A21EA7"/>
    <w:rsid w:val="00AA51E8"/>
    <w:rsid w:val="00AD209B"/>
    <w:rsid w:val="00AD3C7C"/>
    <w:rsid w:val="00B63BC6"/>
    <w:rsid w:val="00BB4253"/>
    <w:rsid w:val="00ED03C3"/>
    <w:rsid w:val="00F114B1"/>
    <w:rsid w:val="00F54426"/>
    <w:rsid w:val="00F77B7A"/>
    <w:rsid w:val="00FA2D73"/>
    <w:rsid w:val="00FA4E3C"/>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8DEF4"/>
  <w15:docId w15:val="{9EDECDD4-E0CE-46F9-8421-D75BA80A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AA8"/>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9D2AA8"/>
    <w:pPr>
      <w:keepNext/>
      <w:spacing w:before="240" w:after="240"/>
      <w:jc w:val="center"/>
      <w:outlineLvl w:val="0"/>
    </w:pPr>
    <w:rPr>
      <w:b/>
      <w:caps/>
    </w:rPr>
  </w:style>
  <w:style w:type="paragraph" w:styleId="Heading2">
    <w:name w:val="heading 2"/>
    <w:basedOn w:val="Normal"/>
    <w:next w:val="Paragraph"/>
    <w:link w:val="Heading2Char"/>
    <w:qFormat/>
    <w:rsid w:val="009D2AA8"/>
    <w:pPr>
      <w:keepNext/>
      <w:spacing w:before="240" w:after="240"/>
      <w:jc w:val="center"/>
      <w:outlineLvl w:val="1"/>
    </w:pPr>
    <w:rPr>
      <w:b/>
    </w:rPr>
  </w:style>
  <w:style w:type="paragraph" w:styleId="Heading3">
    <w:name w:val="heading 3"/>
    <w:basedOn w:val="Normal"/>
    <w:next w:val="Normal"/>
    <w:link w:val="Heading3Char"/>
    <w:qFormat/>
    <w:rsid w:val="009D2AA8"/>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9D2A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AA8"/>
  </w:style>
  <w:style w:type="paragraph" w:styleId="ListParagraph">
    <w:name w:val="List Paragraph"/>
    <w:basedOn w:val="Normal"/>
    <w:uiPriority w:val="34"/>
    <w:rsid w:val="009D2AA8"/>
    <w:pPr>
      <w:ind w:left="720"/>
      <w:contextualSpacing/>
    </w:pPr>
  </w:style>
  <w:style w:type="character" w:styleId="Hyperlink">
    <w:name w:val="Hyperlink"/>
    <w:rsid w:val="009D2AA8"/>
    <w:rPr>
      <w:color w:val="0000FF"/>
      <w:u w:val="single"/>
    </w:rPr>
  </w:style>
  <w:style w:type="character" w:customStyle="1" w:styleId="apple-converted-space">
    <w:name w:val="apple-converted-space"/>
    <w:basedOn w:val="DefaultParagraphFont"/>
    <w:rsid w:val="002C2D13"/>
  </w:style>
  <w:style w:type="character" w:customStyle="1" w:styleId="anchor-text">
    <w:name w:val="anchor-text"/>
    <w:basedOn w:val="DefaultParagraphFont"/>
    <w:rsid w:val="002C2D13"/>
  </w:style>
  <w:style w:type="character" w:customStyle="1" w:styleId="Heading1Char">
    <w:name w:val="Heading 1 Char"/>
    <w:basedOn w:val="DefaultParagraphFont"/>
    <w:link w:val="Heading1"/>
    <w:rsid w:val="001C2AD9"/>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1C2AD9"/>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1C2AD9"/>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9D2AA8"/>
    <w:rPr>
      <w:sz w:val="16"/>
    </w:rPr>
  </w:style>
  <w:style w:type="character" w:customStyle="1" w:styleId="FootnoteTextChar">
    <w:name w:val="Footnote Text Char"/>
    <w:basedOn w:val="DefaultParagraphFont"/>
    <w:link w:val="FootnoteText"/>
    <w:semiHidden/>
    <w:rsid w:val="001C2AD9"/>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9D2AA8"/>
    <w:pPr>
      <w:spacing w:before="1200"/>
      <w:jc w:val="center"/>
    </w:pPr>
    <w:rPr>
      <w:b/>
      <w:sz w:val="36"/>
    </w:rPr>
  </w:style>
  <w:style w:type="paragraph" w:customStyle="1" w:styleId="AuthorName">
    <w:name w:val="Author Name"/>
    <w:basedOn w:val="Normal"/>
    <w:next w:val="AuthorAffiliation"/>
    <w:rsid w:val="009D2AA8"/>
    <w:pPr>
      <w:spacing w:before="360" w:after="360"/>
      <w:jc w:val="center"/>
    </w:pPr>
    <w:rPr>
      <w:sz w:val="28"/>
    </w:rPr>
  </w:style>
  <w:style w:type="paragraph" w:customStyle="1" w:styleId="AuthorAffiliation">
    <w:name w:val="Author Affiliation"/>
    <w:basedOn w:val="Normal"/>
    <w:rsid w:val="009D2AA8"/>
    <w:pPr>
      <w:jc w:val="center"/>
    </w:pPr>
    <w:rPr>
      <w:i/>
      <w:sz w:val="20"/>
    </w:rPr>
  </w:style>
  <w:style w:type="paragraph" w:customStyle="1" w:styleId="Abstract">
    <w:name w:val="Abstract"/>
    <w:basedOn w:val="Normal"/>
    <w:next w:val="Heading1"/>
    <w:rsid w:val="009D2AA8"/>
    <w:pPr>
      <w:spacing w:before="360" w:after="360"/>
      <w:ind w:left="289" w:right="289"/>
      <w:jc w:val="both"/>
    </w:pPr>
    <w:rPr>
      <w:sz w:val="18"/>
    </w:rPr>
  </w:style>
  <w:style w:type="paragraph" w:customStyle="1" w:styleId="Paragraph">
    <w:name w:val="Paragraph"/>
    <w:basedOn w:val="Normal"/>
    <w:rsid w:val="009D2AA8"/>
    <w:pPr>
      <w:ind w:firstLine="284"/>
      <w:jc w:val="both"/>
    </w:pPr>
    <w:rPr>
      <w:sz w:val="20"/>
    </w:rPr>
  </w:style>
  <w:style w:type="character" w:styleId="FootnoteReference">
    <w:name w:val="footnote reference"/>
    <w:semiHidden/>
    <w:rsid w:val="009D2AA8"/>
    <w:rPr>
      <w:vertAlign w:val="superscript"/>
    </w:rPr>
  </w:style>
  <w:style w:type="paragraph" w:customStyle="1" w:styleId="Reference">
    <w:name w:val="Reference"/>
    <w:basedOn w:val="Paragraph"/>
    <w:rsid w:val="009D2AA8"/>
    <w:pPr>
      <w:numPr>
        <w:numId w:val="17"/>
      </w:numPr>
      <w:ind w:left="426" w:hanging="426"/>
    </w:pPr>
  </w:style>
  <w:style w:type="paragraph" w:customStyle="1" w:styleId="FigureCaption">
    <w:name w:val="Figure Caption"/>
    <w:next w:val="Paragraph"/>
    <w:rsid w:val="009D2AA8"/>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9D2AA8"/>
    <w:pPr>
      <w:keepNext/>
      <w:ind w:firstLine="0"/>
      <w:jc w:val="center"/>
    </w:pPr>
  </w:style>
  <w:style w:type="paragraph" w:customStyle="1" w:styleId="Equation">
    <w:name w:val="Equation"/>
    <w:basedOn w:val="Paragraph"/>
    <w:rsid w:val="009D2AA8"/>
    <w:pPr>
      <w:tabs>
        <w:tab w:val="center" w:pos="4320"/>
        <w:tab w:val="right" w:pos="9242"/>
      </w:tabs>
      <w:ind w:firstLine="0"/>
      <w:jc w:val="center"/>
    </w:pPr>
  </w:style>
  <w:style w:type="paragraph" w:styleId="BalloonText">
    <w:name w:val="Balloon Text"/>
    <w:basedOn w:val="Normal"/>
    <w:link w:val="BalloonTextChar"/>
    <w:rsid w:val="009D2AA8"/>
    <w:rPr>
      <w:rFonts w:ascii="Tahoma" w:hAnsi="Tahoma" w:cs="Tahoma"/>
      <w:sz w:val="16"/>
      <w:szCs w:val="16"/>
    </w:rPr>
  </w:style>
  <w:style w:type="character" w:customStyle="1" w:styleId="BalloonTextChar">
    <w:name w:val="Balloon Text Char"/>
    <w:basedOn w:val="DefaultParagraphFont"/>
    <w:link w:val="BalloonText"/>
    <w:rsid w:val="009D2AA8"/>
    <w:rPr>
      <w:rFonts w:ascii="Tahoma" w:eastAsia="Times New Roman" w:hAnsi="Tahoma" w:cs="Tahoma"/>
      <w:kern w:val="0"/>
      <w:sz w:val="16"/>
      <w:szCs w:val="16"/>
      <w:lang w:val="en-US"/>
      <w14:ligatures w14:val="none"/>
    </w:rPr>
  </w:style>
  <w:style w:type="table" w:styleId="TableGrid">
    <w:name w:val="Table Grid"/>
    <w:basedOn w:val="TableNormal"/>
    <w:rsid w:val="009D2AA8"/>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D2AA8"/>
    <w:pPr>
      <w:numPr>
        <w:numId w:val="16"/>
      </w:numPr>
      <w:ind w:left="641" w:hanging="357"/>
    </w:pPr>
  </w:style>
  <w:style w:type="paragraph" w:customStyle="1" w:styleId="AuthorEmail">
    <w:name w:val="Author Email"/>
    <w:basedOn w:val="Normal"/>
    <w:qFormat/>
    <w:rsid w:val="009D2AA8"/>
    <w:pPr>
      <w:jc w:val="center"/>
    </w:pPr>
    <w:rPr>
      <w:sz w:val="20"/>
    </w:rPr>
  </w:style>
  <w:style w:type="paragraph" w:styleId="NormalWeb">
    <w:name w:val="Normal (Web)"/>
    <w:basedOn w:val="Normal"/>
    <w:uiPriority w:val="99"/>
    <w:unhideWhenUsed/>
    <w:rsid w:val="009D2AA8"/>
    <w:pPr>
      <w:spacing w:before="100" w:beforeAutospacing="1" w:after="100" w:afterAutospacing="1"/>
    </w:pPr>
    <w:rPr>
      <w:szCs w:val="24"/>
      <w:lang w:val="en-GB" w:eastAsia="en-GB"/>
    </w:rPr>
  </w:style>
  <w:style w:type="character" w:styleId="Strong">
    <w:name w:val="Strong"/>
    <w:basedOn w:val="DefaultParagraphFont"/>
    <w:uiPriority w:val="22"/>
    <w:qFormat/>
    <w:rsid w:val="009D2AA8"/>
    <w:rPr>
      <w:b/>
      <w:bCs/>
    </w:rPr>
  </w:style>
  <w:style w:type="character" w:styleId="Emphasis">
    <w:name w:val="Emphasis"/>
    <w:basedOn w:val="DefaultParagraphFont"/>
    <w:uiPriority w:val="20"/>
    <w:qFormat/>
    <w:rsid w:val="009D2AA8"/>
    <w:rPr>
      <w:i/>
      <w:iCs/>
    </w:rPr>
  </w:style>
  <w:style w:type="paragraph" w:customStyle="1" w:styleId="TableCaption">
    <w:name w:val="Table Caption"/>
    <w:basedOn w:val="FigureCaption"/>
    <w:qFormat/>
    <w:rsid w:val="009D2AA8"/>
    <w:rPr>
      <w:szCs w:val="18"/>
    </w:rPr>
  </w:style>
  <w:style w:type="paragraph" w:customStyle="1" w:styleId="Paragraphnumbered">
    <w:name w:val="Paragraph (numbered)"/>
    <w:rsid w:val="009D2AA8"/>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9D2AA8"/>
    <w:rPr>
      <w:color w:val="808080"/>
      <w:shd w:val="clear" w:color="auto" w:fill="E6E6E6"/>
    </w:rPr>
  </w:style>
  <w:style w:type="character" w:styleId="CommentReference">
    <w:name w:val="annotation reference"/>
    <w:basedOn w:val="DefaultParagraphFont"/>
    <w:semiHidden/>
    <w:unhideWhenUsed/>
    <w:rsid w:val="009D2AA8"/>
    <w:rPr>
      <w:sz w:val="16"/>
      <w:szCs w:val="16"/>
    </w:rPr>
  </w:style>
  <w:style w:type="paragraph" w:styleId="CommentText">
    <w:name w:val="annotation text"/>
    <w:basedOn w:val="Normal"/>
    <w:link w:val="CommentTextChar"/>
    <w:semiHidden/>
    <w:unhideWhenUsed/>
    <w:rsid w:val="009D2AA8"/>
    <w:rPr>
      <w:sz w:val="20"/>
    </w:rPr>
  </w:style>
  <w:style w:type="character" w:customStyle="1" w:styleId="CommentTextChar">
    <w:name w:val="Comment Text Char"/>
    <w:basedOn w:val="DefaultParagraphFont"/>
    <w:link w:val="CommentText"/>
    <w:semiHidden/>
    <w:rsid w:val="009D2AA8"/>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9D2AA8"/>
    <w:rPr>
      <w:b/>
      <w:bCs/>
    </w:rPr>
  </w:style>
  <w:style w:type="character" w:customStyle="1" w:styleId="CommentSubjectChar">
    <w:name w:val="Comment Subject Char"/>
    <w:basedOn w:val="CommentTextChar"/>
    <w:link w:val="CommentSubject"/>
    <w:semiHidden/>
    <w:rsid w:val="009D2AA8"/>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641194">
      <w:bodyDiv w:val="1"/>
      <w:marLeft w:val="0"/>
      <w:marRight w:val="0"/>
      <w:marTop w:val="0"/>
      <w:marBottom w:val="0"/>
      <w:divBdr>
        <w:top w:val="none" w:sz="0" w:space="0" w:color="auto"/>
        <w:left w:val="none" w:sz="0" w:space="0" w:color="auto"/>
        <w:bottom w:val="none" w:sz="0" w:space="0" w:color="auto"/>
        <w:right w:val="none" w:sz="0" w:space="0" w:color="auto"/>
      </w:divBdr>
    </w:div>
    <w:div w:id="803695477">
      <w:bodyDiv w:val="1"/>
      <w:marLeft w:val="0"/>
      <w:marRight w:val="0"/>
      <w:marTop w:val="0"/>
      <w:marBottom w:val="0"/>
      <w:divBdr>
        <w:top w:val="none" w:sz="0" w:space="0" w:color="auto"/>
        <w:left w:val="none" w:sz="0" w:space="0" w:color="auto"/>
        <w:bottom w:val="none" w:sz="0" w:space="0" w:color="auto"/>
        <w:right w:val="none" w:sz="0" w:space="0" w:color="auto"/>
      </w:divBdr>
    </w:div>
    <w:div w:id="1103573106">
      <w:bodyDiv w:val="1"/>
      <w:marLeft w:val="0"/>
      <w:marRight w:val="0"/>
      <w:marTop w:val="0"/>
      <w:marBottom w:val="0"/>
      <w:divBdr>
        <w:top w:val="none" w:sz="0" w:space="0" w:color="auto"/>
        <w:left w:val="none" w:sz="0" w:space="0" w:color="auto"/>
        <w:bottom w:val="none" w:sz="0" w:space="0" w:color="auto"/>
        <w:right w:val="none" w:sz="0" w:space="0" w:color="auto"/>
      </w:divBdr>
    </w:div>
    <w:div w:id="1200625532">
      <w:bodyDiv w:val="1"/>
      <w:marLeft w:val="0"/>
      <w:marRight w:val="0"/>
      <w:marTop w:val="0"/>
      <w:marBottom w:val="0"/>
      <w:divBdr>
        <w:top w:val="none" w:sz="0" w:space="0" w:color="auto"/>
        <w:left w:val="none" w:sz="0" w:space="0" w:color="auto"/>
        <w:bottom w:val="none" w:sz="0" w:space="0" w:color="auto"/>
        <w:right w:val="none" w:sz="0" w:space="0" w:color="auto"/>
      </w:divBdr>
    </w:div>
    <w:div w:id="1469323254">
      <w:bodyDiv w:val="1"/>
      <w:marLeft w:val="0"/>
      <w:marRight w:val="0"/>
      <w:marTop w:val="0"/>
      <w:marBottom w:val="0"/>
      <w:divBdr>
        <w:top w:val="none" w:sz="0" w:space="0" w:color="auto"/>
        <w:left w:val="none" w:sz="0" w:space="0" w:color="auto"/>
        <w:bottom w:val="none" w:sz="0" w:space="0" w:color="auto"/>
        <w:right w:val="none" w:sz="0" w:space="0" w:color="auto"/>
      </w:divBdr>
    </w:div>
    <w:div w:id="1607614056">
      <w:bodyDiv w:val="1"/>
      <w:marLeft w:val="0"/>
      <w:marRight w:val="0"/>
      <w:marTop w:val="0"/>
      <w:marBottom w:val="0"/>
      <w:divBdr>
        <w:top w:val="none" w:sz="0" w:space="0" w:color="auto"/>
        <w:left w:val="none" w:sz="0" w:space="0" w:color="auto"/>
        <w:bottom w:val="none" w:sz="0" w:space="0" w:color="auto"/>
        <w:right w:val="none" w:sz="0" w:space="0" w:color="auto"/>
      </w:divBdr>
    </w:div>
    <w:div w:id="1658026626">
      <w:bodyDiv w:val="1"/>
      <w:marLeft w:val="0"/>
      <w:marRight w:val="0"/>
      <w:marTop w:val="0"/>
      <w:marBottom w:val="0"/>
      <w:divBdr>
        <w:top w:val="none" w:sz="0" w:space="0" w:color="auto"/>
        <w:left w:val="none" w:sz="0" w:space="0" w:color="auto"/>
        <w:bottom w:val="none" w:sz="0" w:space="0" w:color="auto"/>
        <w:right w:val="none" w:sz="0" w:space="0" w:color="auto"/>
      </w:divBdr>
    </w:div>
    <w:div w:id="1805193731">
      <w:bodyDiv w:val="1"/>
      <w:marLeft w:val="0"/>
      <w:marRight w:val="0"/>
      <w:marTop w:val="0"/>
      <w:marBottom w:val="0"/>
      <w:divBdr>
        <w:top w:val="none" w:sz="0" w:space="0" w:color="auto"/>
        <w:left w:val="none" w:sz="0" w:space="0" w:color="auto"/>
        <w:bottom w:val="none" w:sz="0" w:space="0" w:color="auto"/>
        <w:right w:val="none" w:sz="0" w:space="0" w:color="auto"/>
      </w:divBdr>
    </w:div>
    <w:div w:id="197390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prp.2024.155097" TargetMode="External"/><Relationship Id="rId18" Type="http://schemas.openxmlformats.org/officeDocument/2006/relationships/hyperlink" Target="https://doi.org/10.1007/s10854-024-14135-6" TargetMode="External"/><Relationship Id="rId26" Type="http://schemas.openxmlformats.org/officeDocument/2006/relationships/hyperlink" Target="https://doi.org/10.1109/ASSIC60049.2024.10507990" TargetMode="External"/><Relationship Id="rId39" Type="http://schemas.openxmlformats.org/officeDocument/2006/relationships/hyperlink" Target="https://doi.org/10.1007/s12206-025-0620-8" TargetMode="External"/><Relationship Id="rId21" Type="http://schemas.openxmlformats.org/officeDocument/2006/relationships/hyperlink" Target="https://doi.org/10.1007/s11664-025-12174-1" TargetMode="External"/><Relationship Id="rId34" Type="http://schemas.openxmlformats.org/officeDocument/2006/relationships/hyperlink" Target="https://doi.org/10.4271/2023-01-5115" TargetMode="External"/><Relationship Id="rId42" Type="http://schemas.openxmlformats.org/officeDocument/2006/relationships/hyperlink" Target="https://doi.org/10.1007/s10854-025-15203-1" TargetMode="Externa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doi.org/10.1016/j.jwpe.2024.104778" TargetMode="External"/><Relationship Id="rId29" Type="http://schemas.openxmlformats.org/officeDocument/2006/relationships/hyperlink" Target="https://doi.org/10.4271/05-18-02-0015"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16/j.jobe.2023.108232" TargetMode="External"/><Relationship Id="rId24" Type="http://schemas.openxmlformats.org/officeDocument/2006/relationships/hyperlink" Target="https://doi.org/10.1080/15325008.2024.2337217" TargetMode="External"/><Relationship Id="rId32" Type="http://schemas.openxmlformats.org/officeDocument/2006/relationships/hyperlink" Target="https://doi.org/10.3390/engproc2024061015" TargetMode="External"/><Relationship Id="rId37" Type="http://schemas.openxmlformats.org/officeDocument/2006/relationships/hyperlink" Target="https://doi.org/10.1007/s12206-024-1219-1" TargetMode="External"/><Relationship Id="rId40" Type="http://schemas.openxmlformats.org/officeDocument/2006/relationships/hyperlink" Target="https://doi.org/10.1515/ipp-2024-0152" TargetMode="External"/><Relationship Id="rId45" Type="http://schemas.openxmlformats.org/officeDocument/2006/relationships/theme" Target="theme/theme1.xml"/><Relationship Id="rId5" Type="http://schemas.openxmlformats.org/officeDocument/2006/relationships/hyperlink" Target="mailto:ramyalpu@yahoo.com" TargetMode="External"/><Relationship Id="rId15" Type="http://schemas.openxmlformats.org/officeDocument/2006/relationships/hyperlink" Target="https://doi.org/10.1016/j.csite.2024.104780" TargetMode="External"/><Relationship Id="rId23" Type="http://schemas.openxmlformats.org/officeDocument/2006/relationships/hyperlink" Target="https://doi.org/10.1007/s12206-025-0513-x" TargetMode="External"/><Relationship Id="rId28" Type="http://schemas.openxmlformats.org/officeDocument/2006/relationships/hyperlink" Target="http://dx.doi.org/10.29228/ijastech..1528281" TargetMode="External"/><Relationship Id="rId36" Type="http://schemas.openxmlformats.org/officeDocument/2006/relationships/hyperlink" Target="https://doi.org/10.1007/s11029-025-10305-7" TargetMode="External"/><Relationship Id="rId10" Type="http://schemas.openxmlformats.org/officeDocument/2006/relationships/hyperlink" Target="https://doi.org/10.1016/j.prp.2024.155120" TargetMode="External"/><Relationship Id="rId19" Type="http://schemas.openxmlformats.org/officeDocument/2006/relationships/hyperlink" Target="https://doi.org/10.1007/s11665-025-11873-4" TargetMode="External"/><Relationship Id="rId31" Type="http://schemas.openxmlformats.org/officeDocument/2006/relationships/hyperlink" Target="https://doi.org/10.1109/IC2PCT60090.2024.10486802"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80/15325008.2023.2300329" TargetMode="External"/><Relationship Id="rId22" Type="http://schemas.openxmlformats.org/officeDocument/2006/relationships/hyperlink" Target="https://doi.org/10.1007/s10973-025-14427-x" TargetMode="External"/><Relationship Id="rId27" Type="http://schemas.openxmlformats.org/officeDocument/2006/relationships/hyperlink" Target="https://doi.org/10.1007/s11664-024-11669-7" TargetMode="External"/><Relationship Id="rId30" Type="http://schemas.openxmlformats.org/officeDocument/2006/relationships/hyperlink" Target="https://doi.org/10.1109/ICICT60155.2024.10544835" TargetMode="External"/><Relationship Id="rId35" Type="http://schemas.openxmlformats.org/officeDocument/2006/relationships/hyperlink" Target="https://doi.org/10.1080/15325008.2024.2337218" TargetMode="External"/><Relationship Id="rId43" Type="http://schemas.openxmlformats.org/officeDocument/2006/relationships/hyperlink" Target="https://doi.org/10.1007/s12206-025-0622-6" TargetMode="Externa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s://doi.org/10.4271/2024-01-5031" TargetMode="External"/><Relationship Id="rId17" Type="http://schemas.openxmlformats.org/officeDocument/2006/relationships/hyperlink" Target="https://doi.org/10.1080/13640461.2024.2447101" TargetMode="External"/><Relationship Id="rId25" Type="http://schemas.openxmlformats.org/officeDocument/2006/relationships/hyperlink" Target="https://doi.org/10.1109/ICOECA62351.2024.00111" TargetMode="External"/><Relationship Id="rId33" Type="http://schemas.openxmlformats.org/officeDocument/2006/relationships/hyperlink" Target="https://doi.org/10.3390/engproc2024061009" TargetMode="External"/><Relationship Id="rId38" Type="http://schemas.openxmlformats.org/officeDocument/2006/relationships/hyperlink" Target="https://doi.org/10.1007/s12206-024-1216-4" TargetMode="External"/><Relationship Id="rId20" Type="http://schemas.openxmlformats.org/officeDocument/2006/relationships/hyperlink" Target="https://doi.org/10.1007/s12206-025-0723-2" TargetMode="External"/><Relationship Id="rId41" Type="http://schemas.openxmlformats.org/officeDocument/2006/relationships/hyperlink" Target="https://doi.org/10.1007/s10973-025-1430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4422</Words>
  <Characters>25209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19</cp:revision>
  <dcterms:created xsi:type="dcterms:W3CDTF">2025-07-21T07:15:00Z</dcterms:created>
  <dcterms:modified xsi:type="dcterms:W3CDTF">2025-09-14T11:18:00Z</dcterms:modified>
</cp:coreProperties>
</file>