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27C0FF" w14:textId="77777777" w:rsidR="007C664D" w:rsidRPr="007C664D" w:rsidRDefault="007C664D" w:rsidP="00D07E98">
      <w:pPr>
        <w:pStyle w:val="PaperTitle"/>
      </w:pPr>
      <w:r w:rsidRPr="007C664D">
        <w:t>From Conventional Fuzzy Systems to Advanced Interval Type-2 Optimization: GA-Based Approaches for Robust and Interpretable OBE Analytics</w:t>
      </w:r>
    </w:p>
    <w:p w14:paraId="00595A53" w14:textId="7C688C81" w:rsidR="009E342D" w:rsidRPr="00D07E98" w:rsidRDefault="009E342D" w:rsidP="00D07E98">
      <w:pPr>
        <w:pStyle w:val="AuthorName"/>
        <w:rPr>
          <w:vertAlign w:val="superscript"/>
        </w:rPr>
      </w:pPr>
      <w:r>
        <w:t>Annamalai</w:t>
      </w:r>
      <w:r w:rsidR="00CA4B69">
        <w:t xml:space="preserve"> </w:t>
      </w:r>
      <w:r>
        <w:t>Ravishankar Ravitha</w:t>
      </w:r>
      <w:proofErr w:type="gramStart"/>
      <w:r>
        <w:rPr>
          <w:vertAlign w:val="superscript"/>
        </w:rPr>
        <w:t>1</w:t>
      </w:r>
      <w:r w:rsidR="00D07E98">
        <w:rPr>
          <w:vertAlign w:val="superscript"/>
        </w:rPr>
        <w:t>,a</w:t>
      </w:r>
      <w:proofErr w:type="gramEnd"/>
      <w:r w:rsidR="00D07E98">
        <w:rPr>
          <w:vertAlign w:val="superscript"/>
        </w:rPr>
        <w:t>)</w:t>
      </w:r>
      <w:r>
        <w:t>, Ponnan Vijayalakshmi</w:t>
      </w:r>
      <w:proofErr w:type="gramStart"/>
      <w:r w:rsidR="00D07E98">
        <w:rPr>
          <w:vertAlign w:val="superscript"/>
        </w:rPr>
        <w:t>1,b</w:t>
      </w:r>
      <w:proofErr w:type="gramEnd"/>
      <w:r w:rsidR="00D07E98">
        <w:rPr>
          <w:vertAlign w:val="superscript"/>
        </w:rPr>
        <w:t>)</w:t>
      </w:r>
    </w:p>
    <w:p w14:paraId="4F570912" w14:textId="4EF4A9D1" w:rsidR="007C664D" w:rsidRPr="009E342D" w:rsidRDefault="009E342D" w:rsidP="00D07E98">
      <w:pPr>
        <w:pStyle w:val="AuthorEmail"/>
        <w:rPr>
          <w:i/>
        </w:rPr>
      </w:pPr>
      <w:r>
        <w:rPr>
          <w:i/>
          <w:vertAlign w:val="superscript"/>
        </w:rPr>
        <w:t>1</w:t>
      </w:r>
      <w:r w:rsidRPr="005011AB">
        <w:rPr>
          <w:i/>
        </w:rPr>
        <w:t>Department of Mathematics, Periyar Maniammai Institute of Science &amp; Technology (Deemed to be University),</w:t>
      </w:r>
      <w:r>
        <w:rPr>
          <w:i/>
        </w:rPr>
        <w:t xml:space="preserve"> Thanjavur, 613 403, Tamil Nadu, India</w:t>
      </w:r>
      <w:r w:rsidRPr="005011AB">
        <w:rPr>
          <w:i/>
        </w:rPr>
        <w:br/>
      </w:r>
      <w:r w:rsidR="00D07E98">
        <w:t>Corresponding author:</w:t>
      </w:r>
      <w:r w:rsidRPr="00D07E98">
        <w:t xml:space="preserve"> </w:t>
      </w:r>
      <w:r w:rsidR="00D07E98">
        <w:rPr>
          <w:vertAlign w:val="superscript"/>
        </w:rPr>
        <w:t>a)</w:t>
      </w:r>
      <w:hyperlink r:id="rId8" w:history="1">
        <w:r w:rsidR="00D07E98" w:rsidRPr="00AA6484">
          <w:rPr>
            <w:rStyle w:val="Hyperlink"/>
          </w:rPr>
          <w:t>ravitha@pmu.edu</w:t>
        </w:r>
      </w:hyperlink>
      <w:r w:rsidR="00D07E98">
        <w:t>,</w:t>
      </w:r>
      <w:r w:rsidRPr="00D07E98">
        <w:t xml:space="preserve"> </w:t>
      </w:r>
      <w:r w:rsidR="00D07E98">
        <w:rPr>
          <w:vertAlign w:val="superscript"/>
        </w:rPr>
        <w:t>b)</w:t>
      </w:r>
      <w:hyperlink r:id="rId9" w:history="1">
        <w:r w:rsidRPr="00D07E98">
          <w:rPr>
            <w:rStyle w:val="Hyperlink"/>
          </w:rPr>
          <w:t>vijayalakshmi@pmu.edu</w:t>
        </w:r>
      </w:hyperlink>
      <w:r w:rsidR="00D07E98">
        <w:t xml:space="preserve">  </w:t>
      </w:r>
      <w:r w:rsidRPr="00D07E98">
        <w:t xml:space="preserve"> </w:t>
      </w:r>
    </w:p>
    <w:p w14:paraId="3956ECDD" w14:textId="77777777" w:rsidR="00D07E98" w:rsidRDefault="000B3B91" w:rsidP="00D07E98">
      <w:pPr>
        <w:pStyle w:val="Abstract"/>
      </w:pPr>
      <w:r w:rsidRPr="000B3B91">
        <w:rPr>
          <w:b/>
          <w:bCs/>
        </w:rPr>
        <w:t>Abstract</w:t>
      </w:r>
      <w:r w:rsidR="00D07E98">
        <w:rPr>
          <w:b/>
          <w:bCs/>
        </w:rPr>
        <w:t xml:space="preserve">: </w:t>
      </w:r>
      <w:r w:rsidRPr="000B3B91">
        <w:t>Interval Type-2 Fuzzy Inference Systems (IT2-FIS) provide a principled approach to represent and manage epistemic and aleatory uncertainty in applied prediction tasks. This paper introduces a Genetic Algorithm</w:t>
      </w:r>
      <w:r w:rsidR="009B1150">
        <w:t>-</w:t>
      </w:r>
      <w:r w:rsidRPr="000B3B91">
        <w:t>optimized IT2-FIS (GA-IT2 FIS) for predicting Course Outcome–Program Outcome (CO</w:t>
      </w:r>
      <w:r w:rsidR="003808F9">
        <w:t>-</w:t>
      </w:r>
      <w:r w:rsidRPr="000B3B91">
        <w:t>PO) attainment from six institutional indicators: Student</w:t>
      </w:r>
      <w:r w:rsidR="009B1150">
        <w:t> </w:t>
      </w:r>
      <w:r w:rsidRPr="000B3B91">
        <w:t>Performance, Course</w:t>
      </w:r>
      <w:r w:rsidR="009B1150">
        <w:t> </w:t>
      </w:r>
      <w:r w:rsidRPr="000B3B91">
        <w:t>Complexity, Faculty</w:t>
      </w:r>
      <w:r w:rsidR="009B1150">
        <w:t> </w:t>
      </w:r>
      <w:r w:rsidRPr="000B3B91">
        <w:t>Effectiveness, Assessment</w:t>
      </w:r>
      <w:r w:rsidR="009B1150">
        <w:t> </w:t>
      </w:r>
      <w:r w:rsidRPr="000B3B91">
        <w:t>Rigour, Student</w:t>
      </w:r>
      <w:r w:rsidR="009B1150">
        <w:t> </w:t>
      </w:r>
      <w:r w:rsidRPr="000B3B91">
        <w:t>Engagement, and Teaching</w:t>
      </w:r>
      <w:r w:rsidR="009B1150">
        <w:t> </w:t>
      </w:r>
      <w:r w:rsidRPr="000B3B91">
        <w:t>Quality</w:t>
      </w:r>
      <w:r w:rsidR="009B1150">
        <w:t> </w:t>
      </w:r>
      <w:r w:rsidRPr="000B3B91">
        <w:t>Feedback. The proposed framework jointly optimizes membership</w:t>
      </w:r>
      <w:r w:rsidR="003808F9">
        <w:t xml:space="preserve"> </w:t>
      </w:r>
      <w:r w:rsidRPr="000B3B91">
        <w:t xml:space="preserve">function parameters, LMF/UMF scale factors, rule activation flags, and consequent parameters; we additionally evaluate a multi-objective NSGA-II variant that trades accuracy against interpretability. Performance is compared to a Type-1 GA-FIS baseline, ANFIS, and a multilayer perceptron, and robustness is assessed under additive noise, asymmetric rater bias, label corruption, and missingness. On a 10,000-record dataset the GA-IT2 FIS attains RMSE = 0.0325 and R² = 0.962, yielding ≈7.8% RMSE reduction relative to the Type-1 baseline, while producing calibrated 90% prediction intervals with 91.4% empirical coverage and favorable Winkler scores. Robustness tests report 30–45% lower error escalation for IT2 models. The method preserves interpretability with a compact rule base (~42 active rules) and supports real-time deployment (inference ≈ 2.3 </w:t>
      </w:r>
      <w:proofErr w:type="spellStart"/>
      <w:r w:rsidRPr="000B3B91">
        <w:t>ms</w:t>
      </w:r>
      <w:proofErr w:type="spellEnd"/>
      <w:r w:rsidRPr="000B3B91">
        <w:t>/sample). Code and artifacts are publicly available to ensure reproducibility and transparency.</w:t>
      </w:r>
      <w:r w:rsidR="00D07E98">
        <w:t xml:space="preserve"> </w:t>
      </w:r>
    </w:p>
    <w:p w14:paraId="6C1B0ABC" w14:textId="222D27A7" w:rsidR="002415DE" w:rsidRDefault="002415DE" w:rsidP="00D07E98">
      <w:pPr>
        <w:pStyle w:val="Abstract"/>
      </w:pPr>
      <w:r w:rsidRPr="00E706A0">
        <w:rPr>
          <w:b/>
          <w:bCs/>
        </w:rPr>
        <w:t>K</w:t>
      </w:r>
      <w:r w:rsidR="00E706A0" w:rsidRPr="00E706A0">
        <w:rPr>
          <w:b/>
          <w:bCs/>
        </w:rPr>
        <w:t>eywords</w:t>
      </w:r>
      <w:r>
        <w:rPr>
          <w:b/>
          <w:bCs/>
        </w:rPr>
        <w:t>:</w:t>
      </w:r>
      <w:r w:rsidR="00E706A0" w:rsidRPr="00E706A0">
        <w:t xml:space="preserve"> </w:t>
      </w:r>
      <w:r w:rsidR="000B3B91" w:rsidRPr="00E706A0">
        <w:t>Interval Type-2 Fuzzy Inference Systems, Genetic Algorithm optimization, Uncertainty quantification, Outcome-Based Education (CO-PO attainment), Robustness to noise and missingness</w:t>
      </w:r>
    </w:p>
    <w:p w14:paraId="4C452CB0" w14:textId="42F8D559" w:rsidR="000B3B91" w:rsidRPr="00E706A0" w:rsidRDefault="000B3B91" w:rsidP="00D07E98">
      <w:pPr>
        <w:pStyle w:val="Heading1"/>
      </w:pPr>
      <w:r w:rsidRPr="00E706A0">
        <w:t>Introduction</w:t>
      </w:r>
    </w:p>
    <w:p w14:paraId="14D04657" w14:textId="7D394FA6" w:rsidR="000B3B91" w:rsidRPr="000B3B91" w:rsidRDefault="000B3B91" w:rsidP="00D07E98">
      <w:pPr>
        <w:pStyle w:val="Paragraph"/>
      </w:pPr>
      <w:r w:rsidRPr="000B3B91">
        <w:t>Outcome-Based Education (OBE) increasingly relies on data-driven analytics to monitor curriculum delivery, measure student learning outcomes, and support evidence-based pedagogical decisions.</w:t>
      </w:r>
      <w:r w:rsidR="00982F8C" w:rsidRPr="00982F8C">
        <w:t xml:space="preserve"> </w:t>
      </w:r>
      <w:r w:rsidR="00982F8C" w:rsidRPr="00FC7C07">
        <w:t>Blumenstein,</w:t>
      </w:r>
      <w:r w:rsidR="00982F8C">
        <w:t xml:space="preserve"> et al.</w:t>
      </w:r>
      <w:r w:rsidR="00982F8C" w:rsidRPr="00FC7C07">
        <w:t xml:space="preserve"> (2020)</w:t>
      </w:r>
      <w:r w:rsidRPr="000B3B91">
        <w:t xml:space="preserve"> Educational datasets, however, are frequently afflicted by measurement noise, rater bias, missing entries and subjective judgments arising from human assessors. </w:t>
      </w:r>
      <w:proofErr w:type="spellStart"/>
      <w:r w:rsidR="00982F8C" w:rsidRPr="00982F8C">
        <w:t>Tempelaar</w:t>
      </w:r>
      <w:proofErr w:type="spellEnd"/>
      <w:r w:rsidR="00982F8C" w:rsidRPr="000B3B91">
        <w:t xml:space="preserve"> </w:t>
      </w:r>
      <w:r w:rsidR="00982F8C">
        <w:t xml:space="preserve">et al. (2020). </w:t>
      </w:r>
      <w:r w:rsidRPr="000B3B91">
        <w:t xml:space="preserve">These forms of </w:t>
      </w:r>
      <w:r w:rsidRPr="000B3B91">
        <w:rPr>
          <w:i/>
          <w:iCs/>
        </w:rPr>
        <w:t>deep uncertainty</w:t>
      </w:r>
      <w:r w:rsidRPr="000B3B91">
        <w:t xml:space="preserve"> impair the reliability of point-prediction models and undermine stakeholder trust when model outputs are delivered without quantifiable confidence. </w:t>
      </w:r>
      <w:r w:rsidR="006E3834" w:rsidRPr="00FC7C07">
        <w:t xml:space="preserve">Yang, C., &amp; Li, Y. (2023). </w:t>
      </w:r>
      <w:r w:rsidRPr="000B3B91">
        <w:t>At the same time, practitioners and policy-makers in education demand interpretable models whose internal logic (rules, linguistic terms) can be inspected and validated by domain experts</w:t>
      </w:r>
      <w:r w:rsidR="006E3834" w:rsidRPr="006E3834">
        <w:t xml:space="preserve"> </w:t>
      </w:r>
      <w:r w:rsidR="006E3834" w:rsidRPr="00FC7C07">
        <w:t>Navarro-Almanza,</w:t>
      </w:r>
      <w:r w:rsidR="006E3834">
        <w:t xml:space="preserve"> et al. (2021)</w:t>
      </w:r>
      <w:r w:rsidRPr="000B3B91">
        <w:t>. There is therefore a pressing need for predictive models that (</w:t>
      </w:r>
      <w:proofErr w:type="spellStart"/>
      <w:r w:rsidRPr="000B3B91">
        <w:t>i</w:t>
      </w:r>
      <w:proofErr w:type="spellEnd"/>
      <w:r w:rsidRPr="000B3B91">
        <w:t>) explicitly represent and quantify uncertainty, (ii) remain robust under realistic data perturbations, and (iii) preserve human interpretability for adoption in educational practice.</w:t>
      </w:r>
      <w:r w:rsidR="006E3834" w:rsidRPr="006E3834">
        <w:rPr>
          <w:rFonts w:ascii="Arial" w:hAnsi="Arial" w:cs="Arial"/>
          <w:color w:val="28333D"/>
          <w:sz w:val="27"/>
          <w:szCs w:val="27"/>
          <w:shd w:val="clear" w:color="auto" w:fill="FFFFFF"/>
        </w:rPr>
        <w:t xml:space="preserve"> </w:t>
      </w:r>
      <w:r w:rsidR="006E3834" w:rsidRPr="006E3834">
        <w:t>Rishabh Singh et al.</w:t>
      </w:r>
      <w:r w:rsidR="006E3834">
        <w:t xml:space="preserve"> (2020)</w:t>
      </w:r>
    </w:p>
    <w:p w14:paraId="15272863" w14:textId="56BD9CFF" w:rsidR="000B3B91" w:rsidRPr="000B3B91" w:rsidRDefault="000B3B91" w:rsidP="00D07E98">
      <w:pPr>
        <w:pStyle w:val="Paragraph"/>
      </w:pPr>
      <w:r w:rsidRPr="000B3B91">
        <w:t>Fuzzy inference systems are a natural fit for this triad of requirements. Type-1 fuzzy systems provide linguistic transparency but lack an intrinsic mechanism to represent secondary uncertainty.</w:t>
      </w:r>
      <w:r w:rsidR="006E3834" w:rsidRPr="006E3834">
        <w:rPr>
          <w:rFonts w:ascii="Arial" w:hAnsi="Arial" w:cs="Arial"/>
          <w:color w:val="28333D"/>
          <w:sz w:val="27"/>
          <w:szCs w:val="27"/>
          <w:shd w:val="clear" w:color="auto" w:fill="FFFFFF"/>
        </w:rPr>
        <w:t xml:space="preserve"> </w:t>
      </w:r>
      <w:proofErr w:type="spellStart"/>
      <w:r w:rsidR="006E3834" w:rsidRPr="006E3834">
        <w:t>Dongrui</w:t>
      </w:r>
      <w:proofErr w:type="spellEnd"/>
      <w:r w:rsidR="006E3834" w:rsidRPr="006E3834">
        <w:t xml:space="preserve"> Wu et al. </w:t>
      </w:r>
      <w:r w:rsidR="006E3834">
        <w:t>(2023).</w:t>
      </w:r>
      <w:r w:rsidRPr="000B3B91">
        <w:t xml:space="preserve"> Interval Type-2 Fuzzy Inference Systems (IT2-FIS) extend this framework with </w:t>
      </w:r>
      <w:r w:rsidRPr="000B3B91">
        <w:rPr>
          <w:i/>
          <w:iCs/>
        </w:rPr>
        <w:t>footprints of uncertainty</w:t>
      </w:r>
      <w:r w:rsidRPr="000B3B91">
        <w:t xml:space="preserve"> (FOUs) that capture imprecision in membership grades, enabling interval-valued outputs and calibrated prediction intervals.</w:t>
      </w:r>
      <w:r w:rsidR="004A1C05" w:rsidRPr="004A1C05">
        <w:rPr>
          <w:rFonts w:ascii="Arial" w:hAnsi="Arial" w:cs="Arial"/>
          <w:color w:val="28333D"/>
          <w:sz w:val="27"/>
          <w:szCs w:val="27"/>
          <w:shd w:val="clear" w:color="auto" w:fill="FFFFFF"/>
        </w:rPr>
        <w:t xml:space="preserve"> </w:t>
      </w:r>
      <w:r w:rsidR="004A1C05" w:rsidRPr="004A1C05">
        <w:t xml:space="preserve">Ata </w:t>
      </w:r>
      <w:proofErr w:type="spellStart"/>
      <w:r w:rsidR="004A1C05" w:rsidRPr="004A1C05">
        <w:t>Köklü</w:t>
      </w:r>
      <w:proofErr w:type="spellEnd"/>
      <w:r w:rsidR="004A1C05" w:rsidRPr="004A1C05">
        <w:t xml:space="preserve"> et </w:t>
      </w:r>
      <w:proofErr w:type="gramStart"/>
      <w:r w:rsidR="004A1C05" w:rsidRPr="004A1C05">
        <w:t>al</w:t>
      </w:r>
      <w:r w:rsidR="004A1C05">
        <w:t>(</w:t>
      </w:r>
      <w:proofErr w:type="gramEnd"/>
      <w:r w:rsidR="004A1C05">
        <w:t>2025</w:t>
      </w:r>
      <w:proofErr w:type="gramStart"/>
      <w:r w:rsidR="004A1C05">
        <w:t>).</w:t>
      </w:r>
      <w:r w:rsidRPr="000B3B91">
        <w:t>Despite</w:t>
      </w:r>
      <w:proofErr w:type="gramEnd"/>
      <w:r w:rsidRPr="000B3B91">
        <w:t xml:space="preserve"> theoretical advantages, the practical application of IT2-FIS to complex, multivariate educational datasets </w:t>
      </w:r>
      <w:proofErr w:type="gramStart"/>
      <w:r w:rsidRPr="000B3B91">
        <w:t>has</w:t>
      </w:r>
      <w:proofErr w:type="gramEnd"/>
      <w:r w:rsidRPr="000B3B91">
        <w:t xml:space="preserve"> been limited by (a) the difficulty of setting many continuous parameters (membership function shapes, FOU sizes) and (b) the interpretability vs. accuracy trade-off when rule bases grow large. </w:t>
      </w:r>
      <w:r w:rsidR="004A1C05" w:rsidRPr="004A1C05">
        <w:t xml:space="preserve">Zhuo Wang et </w:t>
      </w:r>
      <w:proofErr w:type="gramStart"/>
      <w:r w:rsidR="004A1C05" w:rsidRPr="004A1C05">
        <w:t>al</w:t>
      </w:r>
      <w:r w:rsidR="004A1C05">
        <w:t>(</w:t>
      </w:r>
      <w:proofErr w:type="gramEnd"/>
      <w:r w:rsidR="004A1C05">
        <w:t xml:space="preserve">2023). </w:t>
      </w:r>
      <w:r w:rsidRPr="000B3B91">
        <w:lastRenderedPageBreak/>
        <w:t>Evolutionary optimization</w:t>
      </w:r>
      <w:r w:rsidR="00D35A92">
        <w:t xml:space="preserve"> </w:t>
      </w:r>
      <w:r w:rsidRPr="000B3B91">
        <w:t>both single-objective Genetic Algorithms (GAs) and multi-objective algorithms such as NSGA-II</w:t>
      </w:r>
      <w:r w:rsidR="00D35A92">
        <w:t xml:space="preserve"> </w:t>
      </w:r>
      <w:r w:rsidRPr="000B3B91">
        <w:t>offers a principled route to tune continuous and discrete model components jointly, balancing predictive accuracy, uncertainty parsimony, and rule-base compactness.</w:t>
      </w:r>
      <w:r w:rsidR="004A1C05" w:rsidRPr="004A1C05">
        <w:rPr>
          <w:rFonts w:ascii="Arial" w:hAnsi="Arial" w:cs="Arial"/>
          <w:color w:val="28333D"/>
          <w:sz w:val="27"/>
          <w:szCs w:val="27"/>
          <w:shd w:val="clear" w:color="auto" w:fill="FFFFFF"/>
        </w:rPr>
        <w:t xml:space="preserve"> </w:t>
      </w:r>
      <w:r w:rsidR="004A1C05" w:rsidRPr="004A1C05">
        <w:t>Huimin Zhao et al</w:t>
      </w:r>
      <w:r w:rsidR="004A1C05">
        <w:t xml:space="preserve"> (2025).</w:t>
      </w:r>
    </w:p>
    <w:p w14:paraId="1A451AF6" w14:textId="79DC4F07" w:rsidR="000B3B91" w:rsidRPr="000B3B91" w:rsidRDefault="000B3B91" w:rsidP="00D07E98">
      <w:pPr>
        <w:pStyle w:val="Paragraph"/>
      </w:pPr>
      <w:r w:rsidRPr="000B3B91">
        <w:t>This paper proposes and empirically validates a GA-optimized IT2-FIS framework for OBE analytics, applied to a real-world dataset comprising six input indicators</w:t>
      </w:r>
      <w:r w:rsidR="00431990">
        <w:t xml:space="preserve"> </w:t>
      </w:r>
      <w:r w:rsidRPr="002415DE">
        <w:t>Student</w:t>
      </w:r>
      <w:r w:rsidR="00E8422C" w:rsidRPr="002415DE">
        <w:t xml:space="preserve"> </w:t>
      </w:r>
      <w:r w:rsidRPr="002415DE">
        <w:t>Performance, Course</w:t>
      </w:r>
      <w:r w:rsidR="00E8422C" w:rsidRPr="002415DE">
        <w:t xml:space="preserve"> </w:t>
      </w:r>
      <w:r w:rsidRPr="002415DE">
        <w:t>Complexity, Faculty</w:t>
      </w:r>
      <w:r w:rsidR="00E8422C" w:rsidRPr="002415DE">
        <w:t xml:space="preserve"> </w:t>
      </w:r>
      <w:r w:rsidRPr="002415DE">
        <w:t>Effectiveness, Assessment</w:t>
      </w:r>
      <w:r w:rsidR="00E8422C" w:rsidRPr="002415DE">
        <w:t xml:space="preserve"> </w:t>
      </w:r>
      <w:r w:rsidRPr="002415DE">
        <w:t>Rigour, Student</w:t>
      </w:r>
      <w:r w:rsidR="00E8422C" w:rsidRPr="002415DE">
        <w:t xml:space="preserve"> </w:t>
      </w:r>
      <w:r w:rsidRPr="002415DE">
        <w:t>Engagement, Teaching</w:t>
      </w:r>
      <w:r w:rsidR="00E8422C" w:rsidRPr="002415DE">
        <w:t xml:space="preserve"> </w:t>
      </w:r>
      <w:r w:rsidRPr="002415DE">
        <w:t>Quality</w:t>
      </w:r>
      <w:r w:rsidR="00E8422C" w:rsidRPr="002415DE">
        <w:t xml:space="preserve"> </w:t>
      </w:r>
      <w:r w:rsidRPr="002415DE">
        <w:t>Feedback</w:t>
      </w:r>
      <w:r w:rsidR="002415DE" w:rsidRPr="002415DE">
        <w:t xml:space="preserve"> </w:t>
      </w:r>
      <w:r w:rsidRPr="002415DE">
        <w:t>and a continuous target CO</w:t>
      </w:r>
      <w:r w:rsidR="00E8422C" w:rsidRPr="002415DE">
        <w:t>-</w:t>
      </w:r>
      <w:r w:rsidRPr="002415DE">
        <w:t>PO</w:t>
      </w:r>
      <w:r w:rsidR="00E8422C" w:rsidRPr="002415DE">
        <w:t xml:space="preserve"> </w:t>
      </w:r>
      <w:r w:rsidRPr="002415DE">
        <w:t>Attainment. The framework jointly optimizes membership function parameters, LMF/UMF scale fact</w:t>
      </w:r>
      <w:r w:rsidRPr="000B3B91">
        <w:t>ors, rule activation flags and consequent parameters. For comparison and design trade-off exploration we also evaluate an NSGA-II multi-objective variant that yields Pareto fronts trading accuracy against interpretability.</w:t>
      </w:r>
    </w:p>
    <w:p w14:paraId="6827FD4C" w14:textId="77777777" w:rsidR="000B3B91" w:rsidRPr="000B3B91" w:rsidRDefault="000B3B91" w:rsidP="00D07E98">
      <w:pPr>
        <w:pStyle w:val="Heading1"/>
      </w:pPr>
      <w:r w:rsidRPr="000B3B91">
        <w:t>Motivation and Research Gaps</w:t>
      </w:r>
    </w:p>
    <w:p w14:paraId="612D33B6" w14:textId="64DB474E" w:rsidR="000B3B91" w:rsidRPr="000B3B91" w:rsidRDefault="000B3B91" w:rsidP="00D07E98">
      <w:pPr>
        <w:pStyle w:val="Paragraph"/>
      </w:pPr>
      <w:r w:rsidRPr="000B3B91">
        <w:t>Prior work has established the theoretical robustness of IT2 models in noisy and uncertain environments, but empirical evidence remains sparse in the context of educational analytics</w:t>
      </w:r>
      <w:r w:rsidR="00462A99">
        <w:t xml:space="preserve"> </w:t>
      </w:r>
      <w:r w:rsidRPr="000B3B91">
        <w:t>particularly studies that (1) combine interval fuzzy logic with evolutionary optimization tuned for parsimony, (2) quantify uncertainty calibration (coverage, Winkler score) in addition to point accuracy, and (3) rigorously evaluate robustness to realistic stressors such as rater bias, label corruption and missingness. Reviewers and practitioners frequently request reproducibility details, ablation studies and practical runtime information to assess deployment feasibility</w:t>
      </w:r>
      <w:r w:rsidR="002415DE">
        <w:t xml:space="preserve"> </w:t>
      </w:r>
      <w:r w:rsidRPr="000B3B91">
        <w:t>all of which are addressed in this study.</w:t>
      </w:r>
    </w:p>
    <w:p w14:paraId="1E25A490" w14:textId="77777777" w:rsidR="000B3B91" w:rsidRPr="000B3B91" w:rsidRDefault="000B3B91" w:rsidP="00D07E98">
      <w:pPr>
        <w:pStyle w:val="Heading2"/>
      </w:pPr>
      <w:r w:rsidRPr="000B3B91">
        <w:t>Objectives and Hypotheses</w:t>
      </w:r>
    </w:p>
    <w:p w14:paraId="2526DAD1" w14:textId="77777777" w:rsidR="000B3B91" w:rsidRPr="000B3B91" w:rsidRDefault="000B3B91" w:rsidP="00D07E98">
      <w:pPr>
        <w:pStyle w:val="Paragraph"/>
      </w:pPr>
      <w:r w:rsidRPr="000B3B91">
        <w:t>This study aims to answer the following research questions:</w:t>
      </w:r>
    </w:p>
    <w:p w14:paraId="5EA547BC" w14:textId="0FF46A17" w:rsidR="000B3B91" w:rsidRPr="000B3B91" w:rsidRDefault="000B3B91" w:rsidP="00D07E98">
      <w:pPr>
        <w:pStyle w:val="Paragraphnumbered"/>
      </w:pPr>
      <w:r w:rsidRPr="000B3B91">
        <w:t>Can a GA-optimized IT2-FIS deliver statistically significant improvements in point</w:t>
      </w:r>
      <w:r w:rsidR="003808F9">
        <w:t xml:space="preserve"> </w:t>
      </w:r>
      <w:r w:rsidRPr="000B3B91">
        <w:t>prediction accuracy over a well-tuned Type-1 GA-FIS and standard neural baselines (ANFIS, MLP) for CO</w:t>
      </w:r>
      <w:r w:rsidR="00E8422C">
        <w:t>-</w:t>
      </w:r>
      <w:r w:rsidRPr="000B3B91">
        <w:t>PO</w:t>
      </w:r>
      <w:r w:rsidR="00E8422C">
        <w:t xml:space="preserve"> </w:t>
      </w:r>
      <w:r w:rsidRPr="000B3B91">
        <w:t>Attainment?</w:t>
      </w:r>
    </w:p>
    <w:p w14:paraId="05BDDFE7" w14:textId="77777777" w:rsidR="000B3B91" w:rsidRPr="000B3B91" w:rsidRDefault="000B3B91" w:rsidP="00D07E98">
      <w:pPr>
        <w:pStyle w:val="Paragraphnumbered"/>
      </w:pPr>
      <w:r w:rsidRPr="000B3B91">
        <w:t xml:space="preserve">To what extent does the IT2-FIS provide calibrated and </w:t>
      </w:r>
      <w:r w:rsidRPr="000B3B91">
        <w:rPr>
          <w:i/>
          <w:iCs/>
        </w:rPr>
        <w:t>useful</w:t>
      </w:r>
      <w:r w:rsidRPr="000B3B91">
        <w:t xml:space="preserve"> interval predictions (coverage close to nominal, narrow widths) for decision support?</w:t>
      </w:r>
    </w:p>
    <w:p w14:paraId="604343E8" w14:textId="77777777" w:rsidR="000B3B91" w:rsidRPr="000B3B91" w:rsidRDefault="000B3B91" w:rsidP="00D07E98">
      <w:pPr>
        <w:pStyle w:val="Paragraphnumbered"/>
      </w:pPr>
      <w:r w:rsidRPr="000B3B91">
        <w:t>How robust is IT2-FIS relative to Type-1 and neural baselines under additive noise, asymmetric rater bias, label corruption and missingness?</w:t>
      </w:r>
    </w:p>
    <w:p w14:paraId="0F9114D1" w14:textId="77777777" w:rsidR="000B3B91" w:rsidRPr="000B3B91" w:rsidRDefault="000B3B91" w:rsidP="00D07E98">
      <w:pPr>
        <w:pStyle w:val="Paragraphnumbered"/>
      </w:pPr>
      <w:r w:rsidRPr="000B3B91">
        <w:t>Is it possible to retain interpretability (compact rule base and semantically ordered MFs) while achieving the above gains within realistic computational budgets suitable for educational dashboards?</w:t>
      </w:r>
    </w:p>
    <w:p w14:paraId="4BD8613A" w14:textId="63CB7265" w:rsidR="000B3B91" w:rsidRPr="000B3B91" w:rsidRDefault="000B3B91" w:rsidP="00D07E98">
      <w:pPr>
        <w:pStyle w:val="Paragraph"/>
      </w:pPr>
      <w:r w:rsidRPr="000B3B91">
        <w:t>We hypothesize that the interval representation and GA tuning will yield (</w:t>
      </w:r>
      <w:proofErr w:type="spellStart"/>
      <w:r w:rsidRPr="000B3B91">
        <w:t>i</w:t>
      </w:r>
      <w:proofErr w:type="spellEnd"/>
      <w:r w:rsidRPr="000B3B91">
        <w:t>) lower RMSE, (ii) well</w:t>
      </w:r>
      <w:r w:rsidR="003808F9">
        <w:t xml:space="preserve"> </w:t>
      </w:r>
      <w:r w:rsidRPr="000B3B91">
        <w:t>calibrated 90% prediction intervals, and (iii) substantially lower error escalation under stressors, all while maintaining a compact and interpretable rule base.</w:t>
      </w:r>
    </w:p>
    <w:p w14:paraId="4716DCF7" w14:textId="77777777" w:rsidR="000B3B91" w:rsidRPr="000B3B91" w:rsidRDefault="000B3B91" w:rsidP="00D07E98">
      <w:pPr>
        <w:pStyle w:val="Heading1"/>
      </w:pPr>
      <w:r w:rsidRPr="000B3B91">
        <w:t>Contributions</w:t>
      </w:r>
    </w:p>
    <w:p w14:paraId="5327C2FA" w14:textId="77777777" w:rsidR="000B3B91" w:rsidRPr="000B3B91" w:rsidRDefault="000B3B91" w:rsidP="00D07E98">
      <w:pPr>
        <w:pStyle w:val="Paragraph"/>
      </w:pPr>
      <w:r w:rsidRPr="000B3B91">
        <w:t>The principal contributions of this work are:</w:t>
      </w:r>
    </w:p>
    <w:p w14:paraId="376FC318" w14:textId="77777777" w:rsidR="000B3B91" w:rsidRPr="000B3B91" w:rsidRDefault="000B3B91" w:rsidP="00D07E98">
      <w:pPr>
        <w:pStyle w:val="Paragraphnumbered"/>
      </w:pPr>
      <w:r w:rsidRPr="000B3B91">
        <w:rPr>
          <w:b/>
          <w:bCs/>
        </w:rPr>
        <w:t>Methodological Framework.</w:t>
      </w:r>
      <w:r w:rsidRPr="000B3B91">
        <w:t xml:space="preserve"> We present a reproducible pipeline that integrates Interval Type-2 fuzzy modeling with Genetic Algorithm and NSGA-II based optimization to jointly tune continuous MF parameters and discrete rule activations for OBE prediction tasks.</w:t>
      </w:r>
    </w:p>
    <w:p w14:paraId="559C3421" w14:textId="77777777" w:rsidR="000B3B91" w:rsidRPr="000B3B91" w:rsidRDefault="000B3B91" w:rsidP="00D07E98">
      <w:pPr>
        <w:pStyle w:val="Paragraphnumbered"/>
      </w:pPr>
      <w:r w:rsidRPr="000B3B91">
        <w:rPr>
          <w:b/>
          <w:bCs/>
        </w:rPr>
        <w:t>Empirical Evidence.</w:t>
      </w:r>
      <w:r w:rsidRPr="000B3B91">
        <w:t xml:space="preserve"> On a 10,000-record institutional OBE dataset the GA-optimized IT2-FIS achieves an RMSE of </w:t>
      </w:r>
      <w:r w:rsidRPr="000B3B91">
        <w:rPr>
          <w:b/>
          <w:bCs/>
        </w:rPr>
        <w:t>0.0325</w:t>
      </w:r>
      <w:r w:rsidRPr="000B3B91">
        <w:t xml:space="preserve"> (R² = 0.962), a ~7.8% RMSE reduction relative to a Type-1 GA-FIS baseline (RMSE = 0.0345), and statistically significant improvements (Wilcoxon, p &lt; 0.01; Cliff’s δ &gt; 0.33).</w:t>
      </w:r>
    </w:p>
    <w:p w14:paraId="6488A99B" w14:textId="6FB92473" w:rsidR="000B3B91" w:rsidRPr="000B3B91" w:rsidRDefault="000B3B91" w:rsidP="00D07E98">
      <w:pPr>
        <w:pStyle w:val="Paragraphnumbered"/>
      </w:pPr>
      <w:r w:rsidRPr="000B3B91">
        <w:rPr>
          <w:b/>
          <w:bCs/>
        </w:rPr>
        <w:t>Uncertainty Calibration.</w:t>
      </w:r>
      <w:r w:rsidRPr="000B3B91">
        <w:t xml:space="preserve"> The proposed IT2-FIS produces calibrated 90% prediction intervals with empirical coverage </w:t>
      </w:r>
      <w:r w:rsidRPr="000B3B91">
        <w:rPr>
          <w:b/>
          <w:bCs/>
        </w:rPr>
        <w:t>91.4%</w:t>
      </w:r>
      <w:r w:rsidRPr="000B3B91">
        <w:t xml:space="preserve">, a mean interval width of </w:t>
      </w:r>
      <w:r w:rsidRPr="000B3B91">
        <w:rPr>
          <w:b/>
          <w:bCs/>
        </w:rPr>
        <w:t>0.072</w:t>
      </w:r>
      <w:r w:rsidRPr="000B3B91">
        <w:t>, and favorable Winkler scores</w:t>
      </w:r>
      <w:r w:rsidR="00E8422C">
        <w:t xml:space="preserve"> </w:t>
      </w:r>
      <w:r w:rsidRPr="000B3B91">
        <w:t>demonstrating practical uncertainty quantification beyond point estimates.</w:t>
      </w:r>
    </w:p>
    <w:p w14:paraId="69DF946B" w14:textId="29E6D8AF" w:rsidR="000B3B91" w:rsidRPr="000B3B91" w:rsidRDefault="000B3B91" w:rsidP="00D07E98">
      <w:pPr>
        <w:pStyle w:val="Paragraphnumbered"/>
      </w:pPr>
      <w:r w:rsidRPr="000B3B91">
        <w:rPr>
          <w:b/>
          <w:bCs/>
        </w:rPr>
        <w:t>Robustness Analysis.</w:t>
      </w:r>
      <w:r w:rsidRPr="000B3B91">
        <w:t xml:space="preserve"> Under additive Gaussian noise, asymmetric rater bias, 5% label corruption and 10% missingness, IT2-FIS reduces error escalation by </w:t>
      </w:r>
      <w:r w:rsidRPr="000B3B91">
        <w:rPr>
          <w:b/>
          <w:bCs/>
        </w:rPr>
        <w:t>30</w:t>
      </w:r>
      <w:r w:rsidR="003808F9">
        <w:rPr>
          <w:b/>
          <w:bCs/>
        </w:rPr>
        <w:t xml:space="preserve"> - </w:t>
      </w:r>
      <w:r w:rsidRPr="000B3B91">
        <w:rPr>
          <w:b/>
          <w:bCs/>
        </w:rPr>
        <w:t>45%</w:t>
      </w:r>
      <w:r w:rsidRPr="000B3B91">
        <w:t xml:space="preserve"> relative to Type-1 systems, validating its resilience to realistic perturbations in educational data.</w:t>
      </w:r>
    </w:p>
    <w:p w14:paraId="7F8FB132" w14:textId="4B9AAC1B" w:rsidR="004A1C05" w:rsidRPr="002415DE" w:rsidRDefault="000B3B91" w:rsidP="00D07E98">
      <w:pPr>
        <w:pStyle w:val="Paragraphnumbered"/>
      </w:pPr>
      <w:r w:rsidRPr="000B3B91">
        <w:rPr>
          <w:b/>
          <w:bCs/>
        </w:rPr>
        <w:t>Interpretability &amp; Efficiency.</w:t>
      </w:r>
      <w:r w:rsidRPr="000B3B91">
        <w:t xml:space="preserve"> GA tuning yields a compact rule base (≈42 active rules versus 67 for the Type-1 baseline) and preserves linguistic semantics; computational performance is compatible with real-time dashboards (inference ≈ </w:t>
      </w:r>
      <w:r w:rsidRPr="000B3B91">
        <w:rPr>
          <w:b/>
          <w:bCs/>
        </w:rPr>
        <w:t xml:space="preserve">2.3 </w:t>
      </w:r>
      <w:proofErr w:type="spellStart"/>
      <w:r w:rsidRPr="000B3B91">
        <w:rPr>
          <w:b/>
          <w:bCs/>
        </w:rPr>
        <w:t>ms</w:t>
      </w:r>
      <w:proofErr w:type="spellEnd"/>
      <w:r w:rsidRPr="000B3B91">
        <w:rPr>
          <w:b/>
          <w:bCs/>
        </w:rPr>
        <w:t>/sample</w:t>
      </w:r>
      <w:r w:rsidRPr="000B3B91">
        <w:t xml:space="preserve">, training ≈ </w:t>
      </w:r>
      <w:r w:rsidRPr="000B3B91">
        <w:rPr>
          <w:b/>
          <w:bCs/>
        </w:rPr>
        <w:t>115 s/run</w:t>
      </w:r>
      <w:r w:rsidRPr="000B3B91">
        <w:t>).</w:t>
      </w:r>
    </w:p>
    <w:p w14:paraId="603449E9" w14:textId="08C4C394" w:rsidR="000B3B91" w:rsidRPr="000B3B91" w:rsidRDefault="000B3B91" w:rsidP="00D07E98">
      <w:pPr>
        <w:pStyle w:val="Heading2"/>
      </w:pPr>
      <w:r w:rsidRPr="000B3B91">
        <w:lastRenderedPageBreak/>
        <w:t>Significance</w:t>
      </w:r>
    </w:p>
    <w:p w14:paraId="369DE162" w14:textId="2CB84FAE" w:rsidR="00697053" w:rsidRPr="000B3B91" w:rsidRDefault="000B3B91" w:rsidP="00D07E98">
      <w:pPr>
        <w:pStyle w:val="Paragraph"/>
      </w:pPr>
      <w:r w:rsidRPr="000B3B91">
        <w:t>By delivering an uncertainty-aware, robust and interpretable predictive model, this work bridges an important gap between advanced fuzzy-logic methods and practical educational analytics requirements. The combination of calibrated intervals and compact rule bases supports trustworthy decision support for instructors, curriculum designers and accreditation bodies.</w:t>
      </w:r>
    </w:p>
    <w:p w14:paraId="6D722720" w14:textId="63D36593" w:rsidR="000B3B91" w:rsidRPr="002415DE" w:rsidRDefault="000B3B91" w:rsidP="00D07E98">
      <w:pPr>
        <w:pStyle w:val="Paragraph"/>
        <w:rPr>
          <w:b/>
          <w:bCs/>
          <w:i/>
          <w:iCs/>
        </w:rPr>
      </w:pPr>
      <w:r w:rsidRPr="002415DE">
        <w:rPr>
          <w:b/>
          <w:bCs/>
          <w:i/>
          <w:iCs/>
        </w:rPr>
        <w:t>Paper Organization</w:t>
      </w:r>
      <w:r w:rsidR="002415DE" w:rsidRPr="002415DE">
        <w:rPr>
          <w:b/>
          <w:bCs/>
          <w:i/>
          <w:iCs/>
        </w:rPr>
        <w:t xml:space="preserve">: </w:t>
      </w:r>
      <w:r w:rsidRPr="003808F9">
        <w:t>The remainder of the paper is organized as follows. Section II reviews related work on fuzzy inference systems, interval type-2 modeling, and evolutionary optimization in applied prediction domains. Section III details the methodology, including variable definitions, IT2-FIS architecture, GA and NSGA-II encodings, and robustness experiment design. Section IV presents experimental results: predictive performance, uncertainty calibration, robustness tests, interpretability metrics, and computational analysis. Section V discusses findings, limitations and implications for deployment. Finally, Section VI concludes and outlines future research directions.</w:t>
      </w:r>
    </w:p>
    <w:p w14:paraId="488A7230" w14:textId="46E4491B" w:rsidR="00C64FAC" w:rsidRPr="00C64FAC" w:rsidRDefault="00C64FAC" w:rsidP="00D07E98">
      <w:pPr>
        <w:pStyle w:val="Heading1"/>
      </w:pPr>
      <w:r w:rsidRPr="00C64FAC">
        <w:t>Literature Review</w:t>
      </w:r>
    </w:p>
    <w:p w14:paraId="024B6FE3" w14:textId="3FAC424E" w:rsidR="00C64FAC" w:rsidRPr="00C64FAC" w:rsidRDefault="00C64FAC" w:rsidP="00D07E98">
      <w:pPr>
        <w:pStyle w:val="Heading2"/>
      </w:pPr>
      <w:r w:rsidRPr="00C64FAC">
        <w:t>Predictive Modeling in Outcome-Based Education (OBE)</w:t>
      </w:r>
    </w:p>
    <w:p w14:paraId="230FFFC7" w14:textId="77777777" w:rsidR="00C64FAC" w:rsidRPr="00C64FAC" w:rsidRDefault="00C64FAC" w:rsidP="00D07E98">
      <w:pPr>
        <w:pStyle w:val="Paragraph"/>
      </w:pPr>
      <w:r w:rsidRPr="00C64FAC">
        <w:t>Outcome-Based Education (OBE) has emerged as a globally adopted framework to ensure curriculum alignment with program outcomes and accreditation requirements. Predictive analytics plays a critical role in this process, enabling institutions to monitor student learning trajectories, identify at-risk learners, and inform pedagogical interventions. Farhood et al. (2024) highlighted the potential of artificial intelligence for forecasting learning outcomes, emphasizing both performance gains and transparency in educational assessment. Similarly, Nayak et al. (2023) demonstrated the effectiveness of machine learning classification models in mining educational data for performance prediction, while cautioning against overfitting and poor generalizability across diverse cohorts. Ramaswami et al. (2022) extended this argument by underscoring the importance of developing generic and portable models to ensure applicability across varied institutional contexts.</w:t>
      </w:r>
    </w:p>
    <w:p w14:paraId="37D4447F" w14:textId="77777777" w:rsidR="00C64FAC" w:rsidRPr="00C64FAC" w:rsidRDefault="00C64FAC" w:rsidP="00D07E98">
      <w:pPr>
        <w:pStyle w:val="Paragraph"/>
      </w:pPr>
      <w:r w:rsidRPr="00C64FAC">
        <w:t>Despite these advances, challenges persist. Imran et al. (2019) found that supervised learning methods were useful for academic performance prediction but sensitive to noisy and incomplete datasets, which are common in real-world OBE environments. Systematic reviews further consolidate this concern: Sghir et al. (2022) and Liz-Domínguez et al. (2019) showed that most predictive learning analytics studies from 2012–2022 focused narrowly on accuracy, with less attention paid to robustness, uncertainty calibration, and interpretability. This gap is especially salient in OBE, where data irregularities such as rater bias, subjective assessments, and missing values are prevalent. Agha et al. (2023) specifically examined predictive models for OBE program learning outcomes and concluded that while promising, current approaches underexplore attainment modeling compared to conventional grade prediction.</w:t>
      </w:r>
    </w:p>
    <w:p w14:paraId="20DC190B" w14:textId="35D5A273" w:rsidR="00431990" w:rsidRPr="00C64FAC" w:rsidRDefault="00C64FAC" w:rsidP="00D07E98">
      <w:pPr>
        <w:pStyle w:val="Paragraph"/>
      </w:pPr>
      <w:r w:rsidRPr="00C64FAC">
        <w:t>The interpretability of predictive models is another critical requirement. Wang and Luo (2024) advanced interpretable modeling in higher education, arguing that educators and policymakers require models that are not only accurate but also transparent and explainable. Musso et al. (2020) similarly identified reliable predictors of student outcomes using machine learning but warned that a lack of interpretability could limit trust and adoption. Collectively, these works establish that while predictive modeling is indispensable for OBE, existing approaches face persistent barriers in handling noisy data, ensuring robustness, and delivering interpretable insights that can inform actionable decisions.</w:t>
      </w:r>
    </w:p>
    <w:p w14:paraId="76B48464" w14:textId="2A3A5747" w:rsidR="00C64FAC" w:rsidRPr="00C64FAC" w:rsidRDefault="00C64FAC" w:rsidP="00D07E98">
      <w:pPr>
        <w:pStyle w:val="Heading2"/>
      </w:pPr>
      <w:r w:rsidRPr="00C64FAC">
        <w:t>Classical Approaches: Fuzzy, Neural, and Statistical Baselines</w:t>
      </w:r>
    </w:p>
    <w:p w14:paraId="0647D6E9" w14:textId="77777777" w:rsidR="00C64FAC" w:rsidRPr="00C64FAC" w:rsidRDefault="00C64FAC" w:rsidP="00D07E98">
      <w:pPr>
        <w:pStyle w:val="Paragraph"/>
      </w:pPr>
      <w:r w:rsidRPr="00C64FAC">
        <w:t>Fuzzy inference systems (FIS) have been widely recognized as promising candidates for educational modeling due to their rule-based reasoning and ability to incorporate linguistic terms. Type-1 fuzzy systems, in particular, have long been valued for their interpretability. However, their inability to represent higher-order uncertainties limits their robustness. Ojha et al. (2019), in a review spanning three decades of FIS design, concluded that while heuristic and expert-driven Type-1 models provide transparency, they are often inadequate in handling large-scale, high-dimensional, and noisy data.</w:t>
      </w:r>
    </w:p>
    <w:p w14:paraId="0D0C4F63" w14:textId="45390C95" w:rsidR="00C64FAC" w:rsidRPr="00C64FAC" w:rsidRDefault="00C64FAC" w:rsidP="00D07E98">
      <w:pPr>
        <w:pStyle w:val="Paragraph"/>
      </w:pPr>
      <w:r w:rsidRPr="00C64FAC">
        <w:t>In response, neural and hybrid approaches have been proposed to enhance predictive accuracy. Sajid et al. (2024) developed an ensemble deep random vector functional link neural network based on fuzzy inference, showing improved accuracy across domains but at the cost of reduced interpretability</w:t>
      </w:r>
      <w:r w:rsidR="00E8422C">
        <w:t xml:space="preserve"> </w:t>
      </w:r>
      <w:r w:rsidRPr="00C64FAC">
        <w:t xml:space="preserve">a significant drawback in education. Hybrid optimization frameworks have also emerged. Melin and Sánchez (2018) proposed a hierarchical genetic algorithm to optimize Type-1, Interval Type-2, and General Type-2 FIS for modular granular neural networks, </w:t>
      </w:r>
      <w:r w:rsidRPr="00C64FAC">
        <w:lastRenderedPageBreak/>
        <w:t xml:space="preserve">demonstrating that evolutionary optimization can simultaneously improve accuracy and maintain compactness. Regression-based fuzzy extensions have further expanded the applicability of fuzzy models. </w:t>
      </w:r>
      <w:proofErr w:type="spellStart"/>
      <w:r w:rsidRPr="00C64FAC">
        <w:t>Wiktorowicz</w:t>
      </w:r>
      <w:proofErr w:type="spellEnd"/>
      <w:r w:rsidRPr="00C64FAC">
        <w:t xml:space="preserve"> (2023) introduced a type-2 regression fuzzy inference system (T2RFIS), offering enhanced flexibility in regression tasks but not addressing interpretability challenges.</w:t>
      </w:r>
    </w:p>
    <w:p w14:paraId="2C4E38EC" w14:textId="77777777" w:rsidR="00C64FAC" w:rsidRPr="00C64FAC" w:rsidRDefault="00C64FAC" w:rsidP="00D07E98">
      <w:pPr>
        <w:pStyle w:val="Paragraph"/>
      </w:pPr>
      <w:r w:rsidRPr="00C64FAC">
        <w:t>These advances demonstrate that while classical fuzzy and neural baselines provide valuable predictive capabilities, they often sacrifice interpretability or robustness. This limitation has motivated the growing adoption of Interval Type-2 fuzzy inference systems (IT2-FIS), which explicitly model uncertainty through footprints of uncertainty (FOUs).</w:t>
      </w:r>
    </w:p>
    <w:p w14:paraId="4FEA72CD" w14:textId="21C40A0E" w:rsidR="00C64FAC" w:rsidRPr="00C64FAC" w:rsidRDefault="00C64FAC" w:rsidP="00D07E98">
      <w:pPr>
        <w:pStyle w:val="Heading2"/>
      </w:pPr>
      <w:r w:rsidRPr="00C64FAC">
        <w:t>Interval Type-2 Fuzzy Inference Systems (IT2-FIS): Opportunities and Challenges</w:t>
      </w:r>
    </w:p>
    <w:p w14:paraId="7042FDBC" w14:textId="77777777" w:rsidR="00C64FAC" w:rsidRPr="00C64FAC" w:rsidRDefault="00C64FAC" w:rsidP="00D07E98">
      <w:pPr>
        <w:pStyle w:val="Paragraph"/>
      </w:pPr>
      <w:r w:rsidRPr="00C64FAC">
        <w:t>IT2-FIS extend Type-1 fuzzy models by embedding secondary membership grades to form footprints of uncertainty, thereby capturing imprecision more effectively. Wu and Mendel (2019) provided foundational design principles for practical IT2 systems, recommending structured approaches for membership design and type-reduction. Moreno et al. (2020) advanced this by introducing justifiable uncertainty frameworks, reinforcing the empirical necessity of FOUs in uncertainty-rich applications.</w:t>
      </w:r>
    </w:p>
    <w:p w14:paraId="550CF847" w14:textId="77777777" w:rsidR="00C64FAC" w:rsidRPr="00C64FAC" w:rsidRDefault="00C64FAC" w:rsidP="00D07E98">
      <w:pPr>
        <w:pStyle w:val="Paragraph"/>
      </w:pPr>
      <w:r w:rsidRPr="00C64FAC">
        <w:t xml:space="preserve">Applications of IT2-FIS span diverse domains. Tan et al. (2023) investigated observer-based IT2 fuzzy control under network attacks, while </w:t>
      </w:r>
      <w:proofErr w:type="spellStart"/>
      <w:r w:rsidRPr="00C64FAC">
        <w:t>Tahamipour</w:t>
      </w:r>
      <w:proofErr w:type="spellEnd"/>
      <w:r w:rsidRPr="00C64FAC">
        <w:t xml:space="preserve">-Z. et al. (2022) explored generalized IT2 models for nonlinear systems, and Mazandarani and Xiu (2021) examined fractional fuzzy inference. Chen (2024) demonstrated hybrid optimization of IT2 fuzzy neural networks, while Gao et al. (2023) integrated Group Lasso regularization for feature selection within IT2 fuzzy neural networks. These studies highlight both the versatility and the adaptability of IT2 models in handling uncertainty. Additionally, Beke and </w:t>
      </w:r>
      <w:proofErr w:type="spellStart"/>
      <w:r w:rsidRPr="00C64FAC">
        <w:t>Kumbasar</w:t>
      </w:r>
      <w:proofErr w:type="spellEnd"/>
      <w:r w:rsidRPr="00C64FAC">
        <w:t xml:space="preserve"> (2023) proposed a composite learning framework, emphasizing that evaluation must consider interpretability and robustness in addition to accuracy.</w:t>
      </w:r>
    </w:p>
    <w:p w14:paraId="6D9D93AE" w14:textId="77777777" w:rsidR="00C64FAC" w:rsidRPr="00C64FAC" w:rsidRDefault="00C64FAC" w:rsidP="00D07E98">
      <w:pPr>
        <w:pStyle w:val="Paragraph"/>
      </w:pPr>
      <w:r w:rsidRPr="00C64FAC">
        <w:t>Despite these advances, significant practical barriers remain. The computational complexity of type-reduction processes, challenges in parameter tuning, and risks of rule explosion limit the applicability of IT2-FIS in large-scale domains (Lin et al., 2014; Li et al., 2015). Wu, Peng, and Mendel (2023) further stressed that although IT2-FIS are theoretically superior to Type-1 systems, their adoption has been concentrated in engineering and control applications, with limited empirical deployment in educational analytics. This gap underscores the urgent need for methods that adapt IT2-FIS to domains where uncertainty and interpretability are central, such as OBE.</w:t>
      </w:r>
    </w:p>
    <w:p w14:paraId="51377CE3" w14:textId="0D2BC520" w:rsidR="00C64FAC" w:rsidRPr="00C64FAC" w:rsidRDefault="00C64FAC" w:rsidP="00D07E98">
      <w:pPr>
        <w:pStyle w:val="Heading2"/>
      </w:pPr>
      <w:r w:rsidRPr="00C64FAC">
        <w:t>Synthesis and Research Gap</w:t>
      </w:r>
    </w:p>
    <w:p w14:paraId="58BEE1E9" w14:textId="77777777" w:rsidR="00C64FAC" w:rsidRPr="00C64FAC" w:rsidRDefault="00C64FAC" w:rsidP="00D07E98">
      <w:pPr>
        <w:pStyle w:val="Paragraph"/>
      </w:pPr>
      <w:r w:rsidRPr="00C64FAC">
        <w:t xml:space="preserve">The reviewed literature reveals three converging insights. First, predictive modeling in education has matured considerably (Farhood et al., 2024; Nayak et al., 2023; Ramaswami et al., 2022), but most approaches remain narrowly focused on accuracy, often neglecting interpretability and robustness under noisy or incomplete data (Imran et al., 2019; Sghir et al., 2022; Liz-Domínguez et al., 2019; Agha et al., 2023). Second, classical fuzzy and neural models contribute valuable foundations but fail to adequately capture epistemic and aleatory uncertainty (Ojha et al., 2019; Sajid et al., 2024; </w:t>
      </w:r>
      <w:proofErr w:type="spellStart"/>
      <w:r w:rsidRPr="00C64FAC">
        <w:t>Wiktorowicz</w:t>
      </w:r>
      <w:proofErr w:type="spellEnd"/>
      <w:r w:rsidRPr="00C64FAC">
        <w:t xml:space="preserve">, 2023). Third, IT2-FIS provide a principled mechanism for representing uncertainty (Wu &amp; Mendel, 2019; Moreno et al., 2020), yet practical challenges such as rule explosion, computational cost, and domain-specific adoption persist (Lin et al., 2014; Beke &amp; </w:t>
      </w:r>
      <w:proofErr w:type="spellStart"/>
      <w:r w:rsidRPr="00C64FAC">
        <w:t>Kumbasar</w:t>
      </w:r>
      <w:proofErr w:type="spellEnd"/>
      <w:r w:rsidRPr="00C64FAC">
        <w:t>, 2023; Wu, Peng, &amp; Mendel, 2023).</w:t>
      </w:r>
    </w:p>
    <w:p w14:paraId="216BA545" w14:textId="3CB0A308" w:rsidR="000B3B91" w:rsidRDefault="00C64FAC" w:rsidP="00D07E98">
      <w:pPr>
        <w:pStyle w:val="Paragraph"/>
      </w:pPr>
      <w:r w:rsidRPr="00C64FAC">
        <w:t>Addressing these gaps requires a methodological framework that integrates IT2-FIS with evolutionary optimization, particularly Genetic Algorithms, to jointly optimize membership functions, prune redundant rules, and improve robustness. Prior research has shown the promise of evolutionary techniques in fuzzy system optimization (Melin &amp; Sánchez, 2018; Chen, 2024; Gao et al., 2023), but their application in OBE analytics remains largely unexplored. This study addresses that gap by developing and validating a Genetic Algorithm</w:t>
      </w:r>
      <w:r w:rsidR="003808F9">
        <w:t xml:space="preserve"> </w:t>
      </w:r>
      <w:r w:rsidRPr="00C64FAC">
        <w:t>optimized Interval Type-2 FIS (GA-IT2 FIS), offering a compact, interpretable, and uncertainty-aware predictive model tailored to the complexities of OBE datasets.</w:t>
      </w:r>
    </w:p>
    <w:p w14:paraId="49791CD8" w14:textId="56F3DAF4" w:rsidR="00C64FAC" w:rsidRPr="00C64FAC" w:rsidRDefault="00442349" w:rsidP="00D07E98">
      <w:pPr>
        <w:pStyle w:val="TableCaption"/>
      </w:pPr>
      <w:r>
        <w:t xml:space="preserve">Table 1 - </w:t>
      </w:r>
      <w:r w:rsidR="00C64FAC" w:rsidRPr="00C64FAC">
        <w:t xml:space="preserve">Summary </w:t>
      </w:r>
      <w:r>
        <w:t xml:space="preserve">of the </w:t>
      </w:r>
      <w:r w:rsidR="00C64FAC" w:rsidRPr="00C64FAC">
        <w:t xml:space="preserve">Literature Review </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8"/>
        <w:gridCol w:w="1904"/>
        <w:gridCol w:w="2012"/>
        <w:gridCol w:w="1913"/>
        <w:gridCol w:w="1973"/>
      </w:tblGrid>
      <w:tr w:rsidR="00C64FAC" w:rsidRPr="00D07E98" w14:paraId="1BF07F0D" w14:textId="77777777" w:rsidTr="00D07E98">
        <w:tc>
          <w:tcPr>
            <w:tcW w:w="832" w:type="pct"/>
            <w:tcBorders>
              <w:bottom w:val="single" w:sz="4" w:space="0" w:color="auto"/>
            </w:tcBorders>
            <w:hideMark/>
          </w:tcPr>
          <w:p w14:paraId="46545792" w14:textId="77777777" w:rsidR="00C64FAC" w:rsidRPr="00D07E98" w:rsidRDefault="00C64FAC" w:rsidP="00C64FAC">
            <w:pPr>
              <w:spacing w:after="160" w:line="276" w:lineRule="auto"/>
              <w:rPr>
                <w:b/>
                <w:bCs/>
                <w:sz w:val="20"/>
              </w:rPr>
            </w:pPr>
            <w:r w:rsidRPr="00D07E98">
              <w:rPr>
                <w:b/>
                <w:bCs/>
                <w:sz w:val="20"/>
              </w:rPr>
              <w:t>Study</w:t>
            </w:r>
          </w:p>
        </w:tc>
        <w:tc>
          <w:tcPr>
            <w:tcW w:w="1017" w:type="pct"/>
            <w:tcBorders>
              <w:bottom w:val="single" w:sz="4" w:space="0" w:color="auto"/>
            </w:tcBorders>
            <w:hideMark/>
          </w:tcPr>
          <w:p w14:paraId="2CB0525C" w14:textId="77777777" w:rsidR="00C64FAC" w:rsidRPr="00D07E98" w:rsidRDefault="00C64FAC" w:rsidP="00C64FAC">
            <w:pPr>
              <w:spacing w:after="160" w:line="276" w:lineRule="auto"/>
              <w:rPr>
                <w:b/>
                <w:bCs/>
                <w:sz w:val="20"/>
              </w:rPr>
            </w:pPr>
            <w:r w:rsidRPr="00D07E98">
              <w:rPr>
                <w:b/>
                <w:bCs/>
                <w:sz w:val="20"/>
              </w:rPr>
              <w:t>Method</w:t>
            </w:r>
          </w:p>
        </w:tc>
        <w:tc>
          <w:tcPr>
            <w:tcW w:w="1075" w:type="pct"/>
            <w:tcBorders>
              <w:bottom w:val="single" w:sz="4" w:space="0" w:color="auto"/>
            </w:tcBorders>
            <w:hideMark/>
          </w:tcPr>
          <w:p w14:paraId="0354507E" w14:textId="77777777" w:rsidR="00C64FAC" w:rsidRPr="00D07E98" w:rsidRDefault="00C64FAC" w:rsidP="00C64FAC">
            <w:pPr>
              <w:spacing w:after="160" w:line="276" w:lineRule="auto"/>
              <w:rPr>
                <w:b/>
                <w:bCs/>
                <w:sz w:val="20"/>
              </w:rPr>
            </w:pPr>
            <w:r w:rsidRPr="00D07E98">
              <w:rPr>
                <w:b/>
                <w:bCs/>
                <w:sz w:val="20"/>
              </w:rPr>
              <w:t>Contribution</w:t>
            </w:r>
          </w:p>
        </w:tc>
        <w:tc>
          <w:tcPr>
            <w:tcW w:w="1022" w:type="pct"/>
            <w:tcBorders>
              <w:bottom w:val="single" w:sz="4" w:space="0" w:color="auto"/>
            </w:tcBorders>
            <w:hideMark/>
          </w:tcPr>
          <w:p w14:paraId="54A0A6AC" w14:textId="77777777" w:rsidR="00C64FAC" w:rsidRPr="00D07E98" w:rsidRDefault="00C64FAC" w:rsidP="00C64FAC">
            <w:pPr>
              <w:spacing w:after="160" w:line="276" w:lineRule="auto"/>
              <w:rPr>
                <w:b/>
                <w:bCs/>
                <w:sz w:val="20"/>
              </w:rPr>
            </w:pPr>
            <w:r w:rsidRPr="00D07E98">
              <w:rPr>
                <w:b/>
                <w:bCs/>
                <w:sz w:val="20"/>
              </w:rPr>
              <w:t>Limitation</w:t>
            </w:r>
          </w:p>
        </w:tc>
        <w:tc>
          <w:tcPr>
            <w:tcW w:w="1054" w:type="pct"/>
            <w:tcBorders>
              <w:bottom w:val="single" w:sz="4" w:space="0" w:color="auto"/>
            </w:tcBorders>
            <w:hideMark/>
          </w:tcPr>
          <w:p w14:paraId="3226F778" w14:textId="77777777" w:rsidR="00C64FAC" w:rsidRPr="00D07E98" w:rsidRDefault="00C64FAC" w:rsidP="00C64FAC">
            <w:pPr>
              <w:spacing w:after="160" w:line="276" w:lineRule="auto"/>
              <w:rPr>
                <w:b/>
                <w:bCs/>
                <w:sz w:val="20"/>
              </w:rPr>
            </w:pPr>
            <w:r w:rsidRPr="00D07E98">
              <w:rPr>
                <w:b/>
                <w:bCs/>
                <w:sz w:val="20"/>
              </w:rPr>
              <w:t>Identified Gap</w:t>
            </w:r>
          </w:p>
        </w:tc>
      </w:tr>
      <w:tr w:rsidR="00C64FAC" w:rsidRPr="00D07E98" w14:paraId="51D47F74" w14:textId="77777777" w:rsidTr="00D07E98">
        <w:tc>
          <w:tcPr>
            <w:tcW w:w="832" w:type="pct"/>
            <w:tcBorders>
              <w:top w:val="single" w:sz="4" w:space="0" w:color="auto"/>
            </w:tcBorders>
            <w:hideMark/>
          </w:tcPr>
          <w:p w14:paraId="7446E1FF" w14:textId="77777777" w:rsidR="00C64FAC" w:rsidRPr="00D07E98" w:rsidRDefault="00C64FAC" w:rsidP="00C64FAC">
            <w:pPr>
              <w:spacing w:after="160" w:line="276" w:lineRule="auto"/>
              <w:rPr>
                <w:sz w:val="20"/>
              </w:rPr>
            </w:pPr>
            <w:r w:rsidRPr="00D07E98">
              <w:rPr>
                <w:sz w:val="20"/>
              </w:rPr>
              <w:t>Farhood et al. (2024)</w:t>
            </w:r>
          </w:p>
        </w:tc>
        <w:tc>
          <w:tcPr>
            <w:tcW w:w="1017" w:type="pct"/>
            <w:tcBorders>
              <w:top w:val="single" w:sz="4" w:space="0" w:color="auto"/>
            </w:tcBorders>
            <w:hideMark/>
          </w:tcPr>
          <w:p w14:paraId="5E58F064" w14:textId="77777777" w:rsidR="00C64FAC" w:rsidRPr="00D07E98" w:rsidRDefault="00C64FAC" w:rsidP="00C64FAC">
            <w:pPr>
              <w:spacing w:after="160" w:line="276" w:lineRule="auto"/>
              <w:rPr>
                <w:sz w:val="20"/>
              </w:rPr>
            </w:pPr>
            <w:r w:rsidRPr="00D07E98">
              <w:rPr>
                <w:sz w:val="20"/>
              </w:rPr>
              <w:t>AI models for learning outcome prediction</w:t>
            </w:r>
          </w:p>
        </w:tc>
        <w:tc>
          <w:tcPr>
            <w:tcW w:w="1075" w:type="pct"/>
            <w:tcBorders>
              <w:top w:val="single" w:sz="4" w:space="0" w:color="auto"/>
            </w:tcBorders>
            <w:hideMark/>
          </w:tcPr>
          <w:p w14:paraId="150B16CE" w14:textId="77777777" w:rsidR="00C64FAC" w:rsidRPr="00D07E98" w:rsidRDefault="00C64FAC" w:rsidP="00C64FAC">
            <w:pPr>
              <w:spacing w:after="160" w:line="276" w:lineRule="auto"/>
              <w:rPr>
                <w:sz w:val="20"/>
              </w:rPr>
            </w:pPr>
            <w:r w:rsidRPr="00D07E98">
              <w:rPr>
                <w:sz w:val="20"/>
              </w:rPr>
              <w:t>Improved transparency in assessment</w:t>
            </w:r>
          </w:p>
        </w:tc>
        <w:tc>
          <w:tcPr>
            <w:tcW w:w="1022" w:type="pct"/>
            <w:tcBorders>
              <w:top w:val="single" w:sz="4" w:space="0" w:color="auto"/>
            </w:tcBorders>
            <w:hideMark/>
          </w:tcPr>
          <w:p w14:paraId="65769495" w14:textId="77777777" w:rsidR="00C64FAC" w:rsidRPr="00D07E98" w:rsidRDefault="00C64FAC" w:rsidP="00C64FAC">
            <w:pPr>
              <w:spacing w:after="160" w:line="276" w:lineRule="auto"/>
              <w:rPr>
                <w:sz w:val="20"/>
              </w:rPr>
            </w:pPr>
            <w:r w:rsidRPr="00D07E98">
              <w:rPr>
                <w:sz w:val="20"/>
              </w:rPr>
              <w:t>Generalizability issues</w:t>
            </w:r>
          </w:p>
        </w:tc>
        <w:tc>
          <w:tcPr>
            <w:tcW w:w="1054" w:type="pct"/>
            <w:tcBorders>
              <w:top w:val="single" w:sz="4" w:space="0" w:color="auto"/>
            </w:tcBorders>
            <w:hideMark/>
          </w:tcPr>
          <w:p w14:paraId="112EF75E" w14:textId="77777777" w:rsidR="00C64FAC" w:rsidRPr="00D07E98" w:rsidRDefault="00C64FAC" w:rsidP="00C64FAC">
            <w:pPr>
              <w:spacing w:after="160" w:line="276" w:lineRule="auto"/>
              <w:rPr>
                <w:sz w:val="20"/>
              </w:rPr>
            </w:pPr>
            <w:r w:rsidRPr="00D07E98">
              <w:rPr>
                <w:sz w:val="20"/>
              </w:rPr>
              <w:t>Need for robust and portable models in OBE</w:t>
            </w:r>
          </w:p>
        </w:tc>
      </w:tr>
      <w:tr w:rsidR="00D07E98" w:rsidRPr="00D07E98" w14:paraId="0E8488D2" w14:textId="77777777" w:rsidTr="00D07E98">
        <w:tc>
          <w:tcPr>
            <w:tcW w:w="5000" w:type="pct"/>
            <w:gridSpan w:val="5"/>
            <w:tcBorders>
              <w:bottom w:val="single" w:sz="4" w:space="0" w:color="auto"/>
            </w:tcBorders>
          </w:tcPr>
          <w:p w14:paraId="44A1CEBA" w14:textId="64A5ADEC" w:rsidR="00D07E98" w:rsidRPr="00D07E98" w:rsidRDefault="00D07E98" w:rsidP="00C64FAC">
            <w:pPr>
              <w:spacing w:after="160" w:line="276" w:lineRule="auto"/>
              <w:rPr>
                <w:sz w:val="20"/>
              </w:rPr>
            </w:pPr>
            <w:r>
              <w:rPr>
                <w:sz w:val="20"/>
              </w:rPr>
              <w:lastRenderedPageBreak/>
              <w:t>Table 1 continued</w:t>
            </w:r>
          </w:p>
        </w:tc>
      </w:tr>
      <w:tr w:rsidR="00C64FAC" w:rsidRPr="00D07E98" w14:paraId="0FDE3137" w14:textId="77777777" w:rsidTr="00D07E98">
        <w:trPr>
          <w:trHeight w:val="548"/>
        </w:trPr>
        <w:tc>
          <w:tcPr>
            <w:tcW w:w="832" w:type="pct"/>
            <w:tcBorders>
              <w:top w:val="single" w:sz="4" w:space="0" w:color="auto"/>
            </w:tcBorders>
            <w:hideMark/>
          </w:tcPr>
          <w:p w14:paraId="602A68B8" w14:textId="77777777" w:rsidR="00C64FAC" w:rsidRPr="00D07E98" w:rsidRDefault="00C64FAC" w:rsidP="00C64FAC">
            <w:pPr>
              <w:spacing w:after="160" w:line="276" w:lineRule="auto"/>
              <w:rPr>
                <w:sz w:val="20"/>
              </w:rPr>
            </w:pPr>
            <w:r w:rsidRPr="00D07E98">
              <w:rPr>
                <w:sz w:val="20"/>
              </w:rPr>
              <w:t>Nayak et al. (2023)</w:t>
            </w:r>
          </w:p>
        </w:tc>
        <w:tc>
          <w:tcPr>
            <w:tcW w:w="1017" w:type="pct"/>
            <w:tcBorders>
              <w:top w:val="single" w:sz="4" w:space="0" w:color="auto"/>
            </w:tcBorders>
            <w:hideMark/>
          </w:tcPr>
          <w:p w14:paraId="5600440B" w14:textId="77777777" w:rsidR="00C64FAC" w:rsidRPr="00D07E98" w:rsidRDefault="00C64FAC" w:rsidP="00C64FAC">
            <w:pPr>
              <w:spacing w:after="160" w:line="276" w:lineRule="auto"/>
              <w:rPr>
                <w:sz w:val="20"/>
              </w:rPr>
            </w:pPr>
            <w:r w:rsidRPr="00D07E98">
              <w:rPr>
                <w:sz w:val="20"/>
              </w:rPr>
              <w:t>ML classification for academic performance</w:t>
            </w:r>
          </w:p>
        </w:tc>
        <w:tc>
          <w:tcPr>
            <w:tcW w:w="1075" w:type="pct"/>
            <w:tcBorders>
              <w:top w:val="single" w:sz="4" w:space="0" w:color="auto"/>
            </w:tcBorders>
            <w:hideMark/>
          </w:tcPr>
          <w:p w14:paraId="633F34BC" w14:textId="77777777" w:rsidR="00C64FAC" w:rsidRPr="00D07E98" w:rsidRDefault="00C64FAC" w:rsidP="00C64FAC">
            <w:pPr>
              <w:spacing w:after="160" w:line="276" w:lineRule="auto"/>
              <w:rPr>
                <w:sz w:val="20"/>
              </w:rPr>
            </w:pPr>
            <w:r w:rsidRPr="00D07E98">
              <w:rPr>
                <w:sz w:val="20"/>
              </w:rPr>
              <w:t>Effective data mining for prediction</w:t>
            </w:r>
          </w:p>
        </w:tc>
        <w:tc>
          <w:tcPr>
            <w:tcW w:w="1022" w:type="pct"/>
            <w:tcBorders>
              <w:top w:val="single" w:sz="4" w:space="0" w:color="auto"/>
            </w:tcBorders>
            <w:hideMark/>
          </w:tcPr>
          <w:p w14:paraId="0AD6E8DE" w14:textId="77777777" w:rsidR="00C64FAC" w:rsidRPr="00D07E98" w:rsidRDefault="00C64FAC" w:rsidP="00C64FAC">
            <w:pPr>
              <w:spacing w:after="160" w:line="276" w:lineRule="auto"/>
              <w:rPr>
                <w:sz w:val="20"/>
              </w:rPr>
            </w:pPr>
            <w:r w:rsidRPr="00D07E98">
              <w:rPr>
                <w:sz w:val="20"/>
              </w:rPr>
              <w:t>Limited generalizability</w:t>
            </w:r>
          </w:p>
        </w:tc>
        <w:tc>
          <w:tcPr>
            <w:tcW w:w="1054" w:type="pct"/>
            <w:tcBorders>
              <w:top w:val="single" w:sz="4" w:space="0" w:color="auto"/>
            </w:tcBorders>
            <w:hideMark/>
          </w:tcPr>
          <w:p w14:paraId="71B03495" w14:textId="77777777" w:rsidR="00C64FAC" w:rsidRPr="00D07E98" w:rsidRDefault="00C64FAC" w:rsidP="00C64FAC">
            <w:pPr>
              <w:spacing w:after="160" w:line="276" w:lineRule="auto"/>
              <w:rPr>
                <w:sz w:val="20"/>
              </w:rPr>
            </w:pPr>
            <w:r w:rsidRPr="00D07E98">
              <w:rPr>
                <w:sz w:val="20"/>
              </w:rPr>
              <w:t>Requires robustness across cohorts</w:t>
            </w:r>
          </w:p>
        </w:tc>
      </w:tr>
      <w:tr w:rsidR="00C64FAC" w:rsidRPr="00D07E98" w14:paraId="19C149E0" w14:textId="77777777" w:rsidTr="00D07E98">
        <w:tc>
          <w:tcPr>
            <w:tcW w:w="832" w:type="pct"/>
            <w:hideMark/>
          </w:tcPr>
          <w:p w14:paraId="5A12D2D6" w14:textId="77777777" w:rsidR="00C64FAC" w:rsidRPr="00D07E98" w:rsidRDefault="00C64FAC" w:rsidP="00C64FAC">
            <w:pPr>
              <w:spacing w:after="160" w:line="276" w:lineRule="auto"/>
              <w:rPr>
                <w:sz w:val="20"/>
              </w:rPr>
            </w:pPr>
            <w:r w:rsidRPr="00D07E98">
              <w:rPr>
                <w:sz w:val="20"/>
              </w:rPr>
              <w:t>Ramaswami et al. (2022)</w:t>
            </w:r>
          </w:p>
        </w:tc>
        <w:tc>
          <w:tcPr>
            <w:tcW w:w="1017" w:type="pct"/>
            <w:hideMark/>
          </w:tcPr>
          <w:p w14:paraId="1F2F3D00" w14:textId="77777777" w:rsidR="00C64FAC" w:rsidRPr="00D07E98" w:rsidRDefault="00C64FAC" w:rsidP="00C64FAC">
            <w:pPr>
              <w:spacing w:after="160" w:line="276" w:lineRule="auto"/>
              <w:rPr>
                <w:sz w:val="20"/>
              </w:rPr>
            </w:pPr>
            <w:r w:rsidRPr="00D07E98">
              <w:rPr>
                <w:sz w:val="20"/>
              </w:rPr>
              <w:t>Generic models in educational data mining</w:t>
            </w:r>
          </w:p>
        </w:tc>
        <w:tc>
          <w:tcPr>
            <w:tcW w:w="1075" w:type="pct"/>
            <w:hideMark/>
          </w:tcPr>
          <w:p w14:paraId="7243F9FF" w14:textId="77777777" w:rsidR="00C64FAC" w:rsidRPr="00D07E98" w:rsidRDefault="00C64FAC" w:rsidP="00C64FAC">
            <w:pPr>
              <w:spacing w:after="160" w:line="276" w:lineRule="auto"/>
              <w:rPr>
                <w:sz w:val="20"/>
              </w:rPr>
            </w:pPr>
            <w:r w:rsidRPr="00D07E98">
              <w:rPr>
                <w:sz w:val="20"/>
              </w:rPr>
              <w:t>Emphasized portability &amp; reusability</w:t>
            </w:r>
          </w:p>
        </w:tc>
        <w:tc>
          <w:tcPr>
            <w:tcW w:w="1022" w:type="pct"/>
            <w:hideMark/>
          </w:tcPr>
          <w:p w14:paraId="34DA930A" w14:textId="77777777" w:rsidR="00C64FAC" w:rsidRPr="00D07E98" w:rsidRDefault="00C64FAC" w:rsidP="00C64FAC">
            <w:pPr>
              <w:spacing w:after="160" w:line="276" w:lineRule="auto"/>
              <w:rPr>
                <w:sz w:val="20"/>
              </w:rPr>
            </w:pPr>
            <w:r w:rsidRPr="00D07E98">
              <w:rPr>
                <w:sz w:val="20"/>
              </w:rPr>
              <w:t>Context-specific limitations</w:t>
            </w:r>
          </w:p>
        </w:tc>
        <w:tc>
          <w:tcPr>
            <w:tcW w:w="1054" w:type="pct"/>
            <w:hideMark/>
          </w:tcPr>
          <w:p w14:paraId="4047B396" w14:textId="77777777" w:rsidR="00C64FAC" w:rsidRPr="00D07E98" w:rsidRDefault="00C64FAC" w:rsidP="00C64FAC">
            <w:pPr>
              <w:spacing w:after="160" w:line="276" w:lineRule="auto"/>
              <w:rPr>
                <w:sz w:val="20"/>
              </w:rPr>
            </w:pPr>
            <w:r w:rsidRPr="00D07E98">
              <w:rPr>
                <w:sz w:val="20"/>
              </w:rPr>
              <w:t>Generic yet adaptable models needed</w:t>
            </w:r>
          </w:p>
        </w:tc>
      </w:tr>
      <w:tr w:rsidR="00C64FAC" w:rsidRPr="00D07E98" w14:paraId="73301FA1" w14:textId="77777777" w:rsidTr="00D07E98">
        <w:tc>
          <w:tcPr>
            <w:tcW w:w="832" w:type="pct"/>
            <w:hideMark/>
          </w:tcPr>
          <w:p w14:paraId="273BDBAF" w14:textId="77777777" w:rsidR="00C64FAC" w:rsidRPr="00D07E98" w:rsidRDefault="00C64FAC" w:rsidP="00C64FAC">
            <w:pPr>
              <w:spacing w:after="160" w:line="276" w:lineRule="auto"/>
              <w:rPr>
                <w:sz w:val="20"/>
              </w:rPr>
            </w:pPr>
            <w:r w:rsidRPr="00D07E98">
              <w:rPr>
                <w:sz w:val="20"/>
              </w:rPr>
              <w:t>Imran et al. (2019)</w:t>
            </w:r>
          </w:p>
        </w:tc>
        <w:tc>
          <w:tcPr>
            <w:tcW w:w="1017" w:type="pct"/>
            <w:hideMark/>
          </w:tcPr>
          <w:p w14:paraId="3E67A317" w14:textId="77777777" w:rsidR="00C64FAC" w:rsidRPr="00D07E98" w:rsidRDefault="00C64FAC" w:rsidP="00C64FAC">
            <w:pPr>
              <w:spacing w:after="160" w:line="276" w:lineRule="auto"/>
              <w:rPr>
                <w:sz w:val="20"/>
              </w:rPr>
            </w:pPr>
            <w:r w:rsidRPr="00D07E98">
              <w:rPr>
                <w:sz w:val="20"/>
              </w:rPr>
              <w:t>Supervised learning for student performance</w:t>
            </w:r>
          </w:p>
        </w:tc>
        <w:tc>
          <w:tcPr>
            <w:tcW w:w="1075" w:type="pct"/>
            <w:hideMark/>
          </w:tcPr>
          <w:p w14:paraId="28E86D04" w14:textId="77777777" w:rsidR="00C64FAC" w:rsidRPr="00D07E98" w:rsidRDefault="00C64FAC" w:rsidP="00C64FAC">
            <w:pPr>
              <w:spacing w:after="160" w:line="276" w:lineRule="auto"/>
              <w:rPr>
                <w:sz w:val="20"/>
              </w:rPr>
            </w:pPr>
            <w:r w:rsidRPr="00D07E98">
              <w:rPr>
                <w:sz w:val="20"/>
              </w:rPr>
              <w:t>Useful in prediction tasks</w:t>
            </w:r>
          </w:p>
        </w:tc>
        <w:tc>
          <w:tcPr>
            <w:tcW w:w="1022" w:type="pct"/>
            <w:hideMark/>
          </w:tcPr>
          <w:p w14:paraId="77AB0D1D" w14:textId="77777777" w:rsidR="00C64FAC" w:rsidRPr="00D07E98" w:rsidRDefault="00C64FAC" w:rsidP="00C64FAC">
            <w:pPr>
              <w:spacing w:after="160" w:line="276" w:lineRule="auto"/>
              <w:rPr>
                <w:sz w:val="20"/>
              </w:rPr>
            </w:pPr>
            <w:r w:rsidRPr="00D07E98">
              <w:rPr>
                <w:sz w:val="20"/>
              </w:rPr>
              <w:t>Sensitive to noise &amp; missing data</w:t>
            </w:r>
          </w:p>
        </w:tc>
        <w:tc>
          <w:tcPr>
            <w:tcW w:w="1054" w:type="pct"/>
            <w:hideMark/>
          </w:tcPr>
          <w:p w14:paraId="7823097E" w14:textId="77777777" w:rsidR="00C64FAC" w:rsidRPr="00D07E98" w:rsidRDefault="00C64FAC" w:rsidP="00C64FAC">
            <w:pPr>
              <w:spacing w:after="160" w:line="276" w:lineRule="auto"/>
              <w:rPr>
                <w:sz w:val="20"/>
              </w:rPr>
            </w:pPr>
            <w:r w:rsidRPr="00D07E98">
              <w:rPr>
                <w:sz w:val="20"/>
              </w:rPr>
              <w:t>Robust models required for OBE</w:t>
            </w:r>
          </w:p>
        </w:tc>
      </w:tr>
      <w:tr w:rsidR="00C64FAC" w:rsidRPr="00D07E98" w14:paraId="342981CD" w14:textId="77777777" w:rsidTr="00D07E98">
        <w:tc>
          <w:tcPr>
            <w:tcW w:w="832" w:type="pct"/>
            <w:hideMark/>
          </w:tcPr>
          <w:p w14:paraId="183A633E" w14:textId="77777777" w:rsidR="00C64FAC" w:rsidRPr="00D07E98" w:rsidRDefault="00C64FAC" w:rsidP="00C64FAC">
            <w:pPr>
              <w:spacing w:after="160" w:line="276" w:lineRule="auto"/>
              <w:rPr>
                <w:sz w:val="20"/>
              </w:rPr>
            </w:pPr>
            <w:r w:rsidRPr="00D07E98">
              <w:rPr>
                <w:sz w:val="20"/>
              </w:rPr>
              <w:t>Sghir et al. (2022)</w:t>
            </w:r>
          </w:p>
        </w:tc>
        <w:tc>
          <w:tcPr>
            <w:tcW w:w="1017" w:type="pct"/>
            <w:hideMark/>
          </w:tcPr>
          <w:p w14:paraId="12FE0FD4" w14:textId="77777777" w:rsidR="00C64FAC" w:rsidRPr="00D07E98" w:rsidRDefault="00C64FAC" w:rsidP="00C64FAC">
            <w:pPr>
              <w:spacing w:after="160" w:line="276" w:lineRule="auto"/>
              <w:rPr>
                <w:sz w:val="20"/>
              </w:rPr>
            </w:pPr>
            <w:r w:rsidRPr="00D07E98">
              <w:rPr>
                <w:sz w:val="20"/>
              </w:rPr>
              <w:t>Systematic review (2012–2022)</w:t>
            </w:r>
          </w:p>
        </w:tc>
        <w:tc>
          <w:tcPr>
            <w:tcW w:w="1075" w:type="pct"/>
            <w:hideMark/>
          </w:tcPr>
          <w:p w14:paraId="37B1E460" w14:textId="77777777" w:rsidR="00C64FAC" w:rsidRPr="00D07E98" w:rsidRDefault="00C64FAC" w:rsidP="00C64FAC">
            <w:pPr>
              <w:spacing w:after="160" w:line="276" w:lineRule="auto"/>
              <w:rPr>
                <w:sz w:val="20"/>
              </w:rPr>
            </w:pPr>
            <w:r w:rsidRPr="00D07E98">
              <w:rPr>
                <w:sz w:val="20"/>
              </w:rPr>
              <w:t>Maturity of predictive analytics</w:t>
            </w:r>
          </w:p>
        </w:tc>
        <w:tc>
          <w:tcPr>
            <w:tcW w:w="1022" w:type="pct"/>
            <w:hideMark/>
          </w:tcPr>
          <w:p w14:paraId="3E92FEBB" w14:textId="77777777" w:rsidR="00C64FAC" w:rsidRPr="00D07E98" w:rsidRDefault="00C64FAC" w:rsidP="00C64FAC">
            <w:pPr>
              <w:spacing w:after="160" w:line="276" w:lineRule="auto"/>
              <w:rPr>
                <w:sz w:val="20"/>
              </w:rPr>
            </w:pPr>
            <w:r w:rsidRPr="00D07E98">
              <w:rPr>
                <w:sz w:val="20"/>
              </w:rPr>
              <w:t>Accuracy prioritized over uncertainty</w:t>
            </w:r>
          </w:p>
        </w:tc>
        <w:tc>
          <w:tcPr>
            <w:tcW w:w="1054" w:type="pct"/>
            <w:hideMark/>
          </w:tcPr>
          <w:p w14:paraId="28432D31" w14:textId="77777777" w:rsidR="00C64FAC" w:rsidRPr="00D07E98" w:rsidRDefault="00C64FAC" w:rsidP="00C64FAC">
            <w:pPr>
              <w:spacing w:after="160" w:line="276" w:lineRule="auto"/>
              <w:rPr>
                <w:sz w:val="20"/>
              </w:rPr>
            </w:pPr>
            <w:r w:rsidRPr="00D07E98">
              <w:rPr>
                <w:sz w:val="20"/>
              </w:rPr>
              <w:t>Need uncertainty-aware approaches</w:t>
            </w:r>
          </w:p>
        </w:tc>
      </w:tr>
      <w:tr w:rsidR="00C64FAC" w:rsidRPr="00D07E98" w14:paraId="002A400A" w14:textId="77777777" w:rsidTr="00D07E98">
        <w:tc>
          <w:tcPr>
            <w:tcW w:w="832" w:type="pct"/>
            <w:hideMark/>
          </w:tcPr>
          <w:p w14:paraId="37655683" w14:textId="77777777" w:rsidR="00C64FAC" w:rsidRPr="00D07E98" w:rsidRDefault="00C64FAC" w:rsidP="00C64FAC">
            <w:pPr>
              <w:spacing w:after="160" w:line="276" w:lineRule="auto"/>
              <w:rPr>
                <w:sz w:val="20"/>
              </w:rPr>
            </w:pPr>
            <w:r w:rsidRPr="00D07E98">
              <w:rPr>
                <w:sz w:val="20"/>
              </w:rPr>
              <w:t>Liz-Domínguez et al. (2019)</w:t>
            </w:r>
          </w:p>
        </w:tc>
        <w:tc>
          <w:tcPr>
            <w:tcW w:w="1017" w:type="pct"/>
            <w:hideMark/>
          </w:tcPr>
          <w:p w14:paraId="45B4AC8B" w14:textId="77777777" w:rsidR="00C64FAC" w:rsidRPr="00D07E98" w:rsidRDefault="00C64FAC" w:rsidP="00C64FAC">
            <w:pPr>
              <w:spacing w:after="160" w:line="276" w:lineRule="auto"/>
              <w:rPr>
                <w:sz w:val="20"/>
              </w:rPr>
            </w:pPr>
            <w:r w:rsidRPr="00D07E98">
              <w:rPr>
                <w:sz w:val="20"/>
              </w:rPr>
              <w:t>Review of predictive tools in higher education</w:t>
            </w:r>
          </w:p>
        </w:tc>
        <w:tc>
          <w:tcPr>
            <w:tcW w:w="1075" w:type="pct"/>
            <w:hideMark/>
          </w:tcPr>
          <w:p w14:paraId="3F4C18E1" w14:textId="77777777" w:rsidR="00C64FAC" w:rsidRPr="00D07E98" w:rsidRDefault="00C64FAC" w:rsidP="00C64FAC">
            <w:pPr>
              <w:spacing w:after="160" w:line="276" w:lineRule="auto"/>
              <w:rPr>
                <w:sz w:val="20"/>
              </w:rPr>
            </w:pPr>
            <w:r w:rsidRPr="00D07E98">
              <w:rPr>
                <w:sz w:val="20"/>
              </w:rPr>
              <w:t>Comprehensive survey</w:t>
            </w:r>
          </w:p>
        </w:tc>
        <w:tc>
          <w:tcPr>
            <w:tcW w:w="1022" w:type="pct"/>
            <w:hideMark/>
          </w:tcPr>
          <w:p w14:paraId="6563350C" w14:textId="77777777" w:rsidR="00C64FAC" w:rsidRPr="00D07E98" w:rsidRDefault="00C64FAC" w:rsidP="00C64FAC">
            <w:pPr>
              <w:spacing w:after="160" w:line="276" w:lineRule="auto"/>
              <w:rPr>
                <w:sz w:val="20"/>
              </w:rPr>
            </w:pPr>
            <w:r w:rsidRPr="00D07E98">
              <w:rPr>
                <w:sz w:val="20"/>
              </w:rPr>
              <w:t>Little focus on interpretability</w:t>
            </w:r>
          </w:p>
        </w:tc>
        <w:tc>
          <w:tcPr>
            <w:tcW w:w="1054" w:type="pct"/>
            <w:hideMark/>
          </w:tcPr>
          <w:p w14:paraId="29F6E7E0" w14:textId="77777777" w:rsidR="00C64FAC" w:rsidRPr="00D07E98" w:rsidRDefault="00C64FAC" w:rsidP="00C64FAC">
            <w:pPr>
              <w:spacing w:after="160" w:line="276" w:lineRule="auto"/>
              <w:rPr>
                <w:sz w:val="20"/>
              </w:rPr>
            </w:pPr>
            <w:r w:rsidRPr="00D07E98">
              <w:rPr>
                <w:sz w:val="20"/>
              </w:rPr>
              <w:t>Transparent models required</w:t>
            </w:r>
          </w:p>
        </w:tc>
      </w:tr>
      <w:tr w:rsidR="00C64FAC" w:rsidRPr="00D07E98" w14:paraId="611F6D08" w14:textId="77777777" w:rsidTr="00D07E98">
        <w:tc>
          <w:tcPr>
            <w:tcW w:w="832" w:type="pct"/>
            <w:hideMark/>
          </w:tcPr>
          <w:p w14:paraId="6FE773EE" w14:textId="77777777" w:rsidR="00C64FAC" w:rsidRPr="00D07E98" w:rsidRDefault="00C64FAC" w:rsidP="00C64FAC">
            <w:pPr>
              <w:spacing w:after="160" w:line="276" w:lineRule="auto"/>
              <w:rPr>
                <w:sz w:val="20"/>
              </w:rPr>
            </w:pPr>
            <w:r w:rsidRPr="00D07E98">
              <w:rPr>
                <w:sz w:val="20"/>
              </w:rPr>
              <w:t>Agha et al. (2023)</w:t>
            </w:r>
          </w:p>
        </w:tc>
        <w:tc>
          <w:tcPr>
            <w:tcW w:w="1017" w:type="pct"/>
            <w:hideMark/>
          </w:tcPr>
          <w:p w14:paraId="1D57696D" w14:textId="77777777" w:rsidR="00C64FAC" w:rsidRPr="00D07E98" w:rsidRDefault="00C64FAC" w:rsidP="00C64FAC">
            <w:pPr>
              <w:spacing w:after="160" w:line="276" w:lineRule="auto"/>
              <w:rPr>
                <w:sz w:val="20"/>
              </w:rPr>
            </w:pPr>
            <w:r w:rsidRPr="00D07E98">
              <w:rPr>
                <w:sz w:val="20"/>
              </w:rPr>
              <w:t>Predictive models for OBE attainment</w:t>
            </w:r>
          </w:p>
        </w:tc>
        <w:tc>
          <w:tcPr>
            <w:tcW w:w="1075" w:type="pct"/>
            <w:hideMark/>
          </w:tcPr>
          <w:p w14:paraId="3D74351E" w14:textId="77777777" w:rsidR="00C64FAC" w:rsidRPr="00D07E98" w:rsidRDefault="00C64FAC" w:rsidP="00C64FAC">
            <w:pPr>
              <w:spacing w:after="160" w:line="276" w:lineRule="auto"/>
              <w:rPr>
                <w:sz w:val="20"/>
              </w:rPr>
            </w:pPr>
            <w:r w:rsidRPr="00D07E98">
              <w:rPr>
                <w:sz w:val="20"/>
              </w:rPr>
              <w:t>Examined PLO attainment</w:t>
            </w:r>
          </w:p>
        </w:tc>
        <w:tc>
          <w:tcPr>
            <w:tcW w:w="1022" w:type="pct"/>
            <w:hideMark/>
          </w:tcPr>
          <w:p w14:paraId="2E26946B" w14:textId="77777777" w:rsidR="00C64FAC" w:rsidRPr="00D07E98" w:rsidRDefault="00C64FAC" w:rsidP="00C64FAC">
            <w:pPr>
              <w:spacing w:after="160" w:line="276" w:lineRule="auto"/>
              <w:rPr>
                <w:sz w:val="20"/>
              </w:rPr>
            </w:pPr>
            <w:r w:rsidRPr="00D07E98">
              <w:rPr>
                <w:sz w:val="20"/>
              </w:rPr>
              <w:t>Underexplored vs. grade prediction</w:t>
            </w:r>
          </w:p>
        </w:tc>
        <w:tc>
          <w:tcPr>
            <w:tcW w:w="1054" w:type="pct"/>
            <w:hideMark/>
          </w:tcPr>
          <w:p w14:paraId="1918A284" w14:textId="77777777" w:rsidR="00C64FAC" w:rsidRPr="00D07E98" w:rsidRDefault="00C64FAC" w:rsidP="00C64FAC">
            <w:pPr>
              <w:spacing w:after="160" w:line="276" w:lineRule="auto"/>
              <w:rPr>
                <w:sz w:val="20"/>
              </w:rPr>
            </w:pPr>
            <w:r w:rsidRPr="00D07E98">
              <w:rPr>
                <w:sz w:val="20"/>
              </w:rPr>
              <w:t>Attainment-specific models required</w:t>
            </w:r>
          </w:p>
        </w:tc>
      </w:tr>
      <w:tr w:rsidR="00C64FAC" w:rsidRPr="00D07E98" w14:paraId="19FA30A5" w14:textId="77777777" w:rsidTr="00D07E98">
        <w:tc>
          <w:tcPr>
            <w:tcW w:w="832" w:type="pct"/>
            <w:hideMark/>
          </w:tcPr>
          <w:p w14:paraId="0DA6A5E6" w14:textId="77777777" w:rsidR="00C64FAC" w:rsidRPr="00D07E98" w:rsidRDefault="00C64FAC" w:rsidP="00C64FAC">
            <w:pPr>
              <w:spacing w:after="160" w:line="276" w:lineRule="auto"/>
              <w:rPr>
                <w:sz w:val="20"/>
              </w:rPr>
            </w:pPr>
            <w:r w:rsidRPr="00D07E98">
              <w:rPr>
                <w:sz w:val="20"/>
              </w:rPr>
              <w:t>Wang &amp; Luo (2024)</w:t>
            </w:r>
          </w:p>
        </w:tc>
        <w:tc>
          <w:tcPr>
            <w:tcW w:w="1017" w:type="pct"/>
            <w:hideMark/>
          </w:tcPr>
          <w:p w14:paraId="4D3721CD" w14:textId="77777777" w:rsidR="00C64FAC" w:rsidRPr="00D07E98" w:rsidRDefault="00C64FAC" w:rsidP="00C64FAC">
            <w:pPr>
              <w:spacing w:after="160" w:line="276" w:lineRule="auto"/>
              <w:rPr>
                <w:sz w:val="20"/>
              </w:rPr>
            </w:pPr>
            <w:r w:rsidRPr="00D07E98">
              <w:rPr>
                <w:sz w:val="20"/>
              </w:rPr>
              <w:t>Interpretable modeling in higher education</w:t>
            </w:r>
          </w:p>
        </w:tc>
        <w:tc>
          <w:tcPr>
            <w:tcW w:w="1075" w:type="pct"/>
            <w:hideMark/>
          </w:tcPr>
          <w:p w14:paraId="5718869E" w14:textId="77777777" w:rsidR="00C64FAC" w:rsidRPr="00D07E98" w:rsidRDefault="00C64FAC" w:rsidP="00C64FAC">
            <w:pPr>
              <w:spacing w:after="160" w:line="276" w:lineRule="auto"/>
              <w:rPr>
                <w:sz w:val="20"/>
              </w:rPr>
            </w:pPr>
            <w:r w:rsidRPr="00D07E98">
              <w:rPr>
                <w:sz w:val="20"/>
              </w:rPr>
              <w:t>Improved transparency</w:t>
            </w:r>
          </w:p>
        </w:tc>
        <w:tc>
          <w:tcPr>
            <w:tcW w:w="1022" w:type="pct"/>
            <w:hideMark/>
          </w:tcPr>
          <w:p w14:paraId="62F150BC" w14:textId="77777777" w:rsidR="00C64FAC" w:rsidRPr="00D07E98" w:rsidRDefault="00C64FAC" w:rsidP="00C64FAC">
            <w:pPr>
              <w:spacing w:after="160" w:line="276" w:lineRule="auto"/>
              <w:rPr>
                <w:sz w:val="20"/>
              </w:rPr>
            </w:pPr>
            <w:r w:rsidRPr="00D07E98">
              <w:rPr>
                <w:sz w:val="20"/>
              </w:rPr>
              <w:t>Limited large-scale testing</w:t>
            </w:r>
          </w:p>
        </w:tc>
        <w:tc>
          <w:tcPr>
            <w:tcW w:w="1054" w:type="pct"/>
            <w:hideMark/>
          </w:tcPr>
          <w:p w14:paraId="5EB3275E" w14:textId="77777777" w:rsidR="00C64FAC" w:rsidRPr="00D07E98" w:rsidRDefault="00C64FAC" w:rsidP="00C64FAC">
            <w:pPr>
              <w:spacing w:after="160" w:line="276" w:lineRule="auto"/>
              <w:rPr>
                <w:sz w:val="20"/>
              </w:rPr>
            </w:pPr>
            <w:r w:rsidRPr="00D07E98">
              <w:rPr>
                <w:sz w:val="20"/>
              </w:rPr>
              <w:t>Balance accuracy &amp; interpretability</w:t>
            </w:r>
          </w:p>
        </w:tc>
      </w:tr>
      <w:tr w:rsidR="00C64FAC" w:rsidRPr="00D07E98" w14:paraId="6D51917B" w14:textId="77777777" w:rsidTr="00D07E98">
        <w:tc>
          <w:tcPr>
            <w:tcW w:w="832" w:type="pct"/>
            <w:hideMark/>
          </w:tcPr>
          <w:p w14:paraId="2E28E835" w14:textId="77777777" w:rsidR="00C64FAC" w:rsidRPr="00D07E98" w:rsidRDefault="00C64FAC" w:rsidP="00C64FAC">
            <w:pPr>
              <w:spacing w:after="160" w:line="276" w:lineRule="auto"/>
              <w:rPr>
                <w:sz w:val="20"/>
              </w:rPr>
            </w:pPr>
            <w:r w:rsidRPr="00D07E98">
              <w:rPr>
                <w:sz w:val="20"/>
              </w:rPr>
              <w:t>Musso et al. (2020)</w:t>
            </w:r>
          </w:p>
        </w:tc>
        <w:tc>
          <w:tcPr>
            <w:tcW w:w="1017" w:type="pct"/>
            <w:hideMark/>
          </w:tcPr>
          <w:p w14:paraId="726110EB" w14:textId="77777777" w:rsidR="00C64FAC" w:rsidRPr="00D07E98" w:rsidRDefault="00C64FAC" w:rsidP="00C64FAC">
            <w:pPr>
              <w:spacing w:after="160" w:line="276" w:lineRule="auto"/>
              <w:rPr>
                <w:sz w:val="20"/>
              </w:rPr>
            </w:pPr>
            <w:r w:rsidRPr="00D07E98">
              <w:rPr>
                <w:sz w:val="20"/>
              </w:rPr>
              <w:t>ML predictors of outcomes</w:t>
            </w:r>
          </w:p>
        </w:tc>
        <w:tc>
          <w:tcPr>
            <w:tcW w:w="1075" w:type="pct"/>
            <w:hideMark/>
          </w:tcPr>
          <w:p w14:paraId="10D2F525" w14:textId="77777777" w:rsidR="00C64FAC" w:rsidRPr="00D07E98" w:rsidRDefault="00C64FAC" w:rsidP="00C64FAC">
            <w:pPr>
              <w:spacing w:after="160" w:line="276" w:lineRule="auto"/>
              <w:rPr>
                <w:sz w:val="20"/>
              </w:rPr>
            </w:pPr>
            <w:r w:rsidRPr="00D07E98">
              <w:rPr>
                <w:sz w:val="20"/>
              </w:rPr>
              <w:t>Identified reliable predictors</w:t>
            </w:r>
          </w:p>
        </w:tc>
        <w:tc>
          <w:tcPr>
            <w:tcW w:w="1022" w:type="pct"/>
            <w:hideMark/>
          </w:tcPr>
          <w:p w14:paraId="081343F8" w14:textId="77777777" w:rsidR="00C64FAC" w:rsidRPr="00D07E98" w:rsidRDefault="00C64FAC" w:rsidP="00C64FAC">
            <w:pPr>
              <w:spacing w:after="160" w:line="276" w:lineRule="auto"/>
              <w:rPr>
                <w:sz w:val="20"/>
              </w:rPr>
            </w:pPr>
            <w:r w:rsidRPr="00D07E98">
              <w:rPr>
                <w:sz w:val="20"/>
              </w:rPr>
              <w:t>Interpretability concerns</w:t>
            </w:r>
          </w:p>
        </w:tc>
        <w:tc>
          <w:tcPr>
            <w:tcW w:w="1054" w:type="pct"/>
            <w:hideMark/>
          </w:tcPr>
          <w:p w14:paraId="6623250F" w14:textId="77777777" w:rsidR="00C64FAC" w:rsidRPr="00D07E98" w:rsidRDefault="00C64FAC" w:rsidP="00C64FAC">
            <w:pPr>
              <w:spacing w:after="160" w:line="276" w:lineRule="auto"/>
              <w:rPr>
                <w:sz w:val="20"/>
              </w:rPr>
            </w:pPr>
            <w:r w:rsidRPr="00D07E98">
              <w:rPr>
                <w:sz w:val="20"/>
              </w:rPr>
              <w:t>Adoption barriers remain</w:t>
            </w:r>
          </w:p>
        </w:tc>
      </w:tr>
      <w:tr w:rsidR="00C64FAC" w:rsidRPr="00D07E98" w14:paraId="21EDB73E" w14:textId="77777777" w:rsidTr="00D07E98">
        <w:tc>
          <w:tcPr>
            <w:tcW w:w="832" w:type="pct"/>
            <w:hideMark/>
          </w:tcPr>
          <w:p w14:paraId="6D46FE23" w14:textId="77777777" w:rsidR="00C64FAC" w:rsidRPr="00D07E98" w:rsidRDefault="00C64FAC" w:rsidP="00C64FAC">
            <w:pPr>
              <w:spacing w:after="160" w:line="276" w:lineRule="auto"/>
              <w:rPr>
                <w:sz w:val="20"/>
              </w:rPr>
            </w:pPr>
            <w:r w:rsidRPr="00D07E98">
              <w:rPr>
                <w:sz w:val="20"/>
              </w:rPr>
              <w:t>Ojha et al. (2019)</w:t>
            </w:r>
          </w:p>
        </w:tc>
        <w:tc>
          <w:tcPr>
            <w:tcW w:w="1017" w:type="pct"/>
            <w:hideMark/>
          </w:tcPr>
          <w:p w14:paraId="579078A1" w14:textId="77777777" w:rsidR="00C64FAC" w:rsidRPr="00D07E98" w:rsidRDefault="00C64FAC" w:rsidP="00C64FAC">
            <w:pPr>
              <w:spacing w:after="160" w:line="276" w:lineRule="auto"/>
              <w:rPr>
                <w:sz w:val="20"/>
              </w:rPr>
            </w:pPr>
            <w:r w:rsidRPr="00D07E98">
              <w:rPr>
                <w:sz w:val="20"/>
              </w:rPr>
              <w:t>Review of Type-1 FIS design</w:t>
            </w:r>
          </w:p>
        </w:tc>
        <w:tc>
          <w:tcPr>
            <w:tcW w:w="1075" w:type="pct"/>
            <w:hideMark/>
          </w:tcPr>
          <w:p w14:paraId="5C709253" w14:textId="77777777" w:rsidR="00C64FAC" w:rsidRPr="00D07E98" w:rsidRDefault="00C64FAC" w:rsidP="00C64FAC">
            <w:pPr>
              <w:spacing w:after="160" w:line="276" w:lineRule="auto"/>
              <w:rPr>
                <w:sz w:val="20"/>
              </w:rPr>
            </w:pPr>
            <w:r w:rsidRPr="00D07E98">
              <w:rPr>
                <w:sz w:val="20"/>
              </w:rPr>
              <w:t>Provided interpretability</w:t>
            </w:r>
          </w:p>
        </w:tc>
        <w:tc>
          <w:tcPr>
            <w:tcW w:w="1022" w:type="pct"/>
            <w:hideMark/>
          </w:tcPr>
          <w:p w14:paraId="65AA722F" w14:textId="77777777" w:rsidR="00C64FAC" w:rsidRPr="00D07E98" w:rsidRDefault="00C64FAC" w:rsidP="00C64FAC">
            <w:pPr>
              <w:spacing w:after="160" w:line="276" w:lineRule="auto"/>
              <w:rPr>
                <w:sz w:val="20"/>
              </w:rPr>
            </w:pPr>
            <w:r w:rsidRPr="00D07E98">
              <w:rPr>
                <w:sz w:val="20"/>
              </w:rPr>
              <w:t>Not scalable</w:t>
            </w:r>
          </w:p>
        </w:tc>
        <w:tc>
          <w:tcPr>
            <w:tcW w:w="1054" w:type="pct"/>
            <w:hideMark/>
          </w:tcPr>
          <w:p w14:paraId="56EB74D3" w14:textId="77777777" w:rsidR="00C64FAC" w:rsidRPr="00D07E98" w:rsidRDefault="00C64FAC" w:rsidP="00C64FAC">
            <w:pPr>
              <w:spacing w:after="160" w:line="276" w:lineRule="auto"/>
              <w:rPr>
                <w:sz w:val="20"/>
              </w:rPr>
            </w:pPr>
            <w:r w:rsidRPr="00D07E98">
              <w:rPr>
                <w:sz w:val="20"/>
              </w:rPr>
              <w:t>Scalable fuzzy models needed</w:t>
            </w:r>
          </w:p>
        </w:tc>
      </w:tr>
      <w:tr w:rsidR="00C64FAC" w:rsidRPr="00D07E98" w14:paraId="6493A7B1" w14:textId="77777777" w:rsidTr="00D07E98">
        <w:tc>
          <w:tcPr>
            <w:tcW w:w="832" w:type="pct"/>
            <w:hideMark/>
          </w:tcPr>
          <w:p w14:paraId="379B9147" w14:textId="77777777" w:rsidR="00C64FAC" w:rsidRPr="00D07E98" w:rsidRDefault="00C64FAC" w:rsidP="00C64FAC">
            <w:pPr>
              <w:spacing w:after="160" w:line="276" w:lineRule="auto"/>
              <w:rPr>
                <w:sz w:val="20"/>
              </w:rPr>
            </w:pPr>
            <w:r w:rsidRPr="00D07E98">
              <w:rPr>
                <w:sz w:val="20"/>
              </w:rPr>
              <w:t>Sajid et al. (2024)</w:t>
            </w:r>
          </w:p>
        </w:tc>
        <w:tc>
          <w:tcPr>
            <w:tcW w:w="1017" w:type="pct"/>
            <w:hideMark/>
          </w:tcPr>
          <w:p w14:paraId="66211CC5" w14:textId="77777777" w:rsidR="00C64FAC" w:rsidRPr="00D07E98" w:rsidRDefault="00C64FAC" w:rsidP="00C64FAC">
            <w:pPr>
              <w:spacing w:after="160" w:line="276" w:lineRule="auto"/>
              <w:rPr>
                <w:sz w:val="20"/>
              </w:rPr>
            </w:pPr>
            <w:r w:rsidRPr="00D07E98">
              <w:rPr>
                <w:sz w:val="20"/>
              </w:rPr>
              <w:t>Ensemble fuzzy deep NN</w:t>
            </w:r>
          </w:p>
        </w:tc>
        <w:tc>
          <w:tcPr>
            <w:tcW w:w="1075" w:type="pct"/>
            <w:hideMark/>
          </w:tcPr>
          <w:p w14:paraId="1F599273" w14:textId="77777777" w:rsidR="00C64FAC" w:rsidRPr="00D07E98" w:rsidRDefault="00C64FAC" w:rsidP="00C64FAC">
            <w:pPr>
              <w:spacing w:after="160" w:line="276" w:lineRule="auto"/>
              <w:rPr>
                <w:sz w:val="20"/>
              </w:rPr>
            </w:pPr>
            <w:r w:rsidRPr="00D07E98">
              <w:rPr>
                <w:sz w:val="20"/>
              </w:rPr>
              <w:t>High accuracy achieved</w:t>
            </w:r>
          </w:p>
        </w:tc>
        <w:tc>
          <w:tcPr>
            <w:tcW w:w="1022" w:type="pct"/>
            <w:hideMark/>
          </w:tcPr>
          <w:p w14:paraId="4A541A4C" w14:textId="77777777" w:rsidR="00C64FAC" w:rsidRPr="00D07E98" w:rsidRDefault="00C64FAC" w:rsidP="00C64FAC">
            <w:pPr>
              <w:spacing w:after="160" w:line="276" w:lineRule="auto"/>
              <w:rPr>
                <w:sz w:val="20"/>
              </w:rPr>
            </w:pPr>
            <w:r w:rsidRPr="00D07E98">
              <w:rPr>
                <w:sz w:val="20"/>
              </w:rPr>
              <w:t>Sacrificed interpretability</w:t>
            </w:r>
          </w:p>
        </w:tc>
        <w:tc>
          <w:tcPr>
            <w:tcW w:w="1054" w:type="pct"/>
            <w:hideMark/>
          </w:tcPr>
          <w:p w14:paraId="1781AB41" w14:textId="77777777" w:rsidR="00C64FAC" w:rsidRPr="00D07E98" w:rsidRDefault="00C64FAC" w:rsidP="00C64FAC">
            <w:pPr>
              <w:spacing w:after="160" w:line="276" w:lineRule="auto"/>
              <w:rPr>
                <w:sz w:val="20"/>
              </w:rPr>
            </w:pPr>
            <w:r w:rsidRPr="00D07E98">
              <w:rPr>
                <w:sz w:val="20"/>
              </w:rPr>
              <w:t>Need interpretable hybrids</w:t>
            </w:r>
          </w:p>
        </w:tc>
      </w:tr>
      <w:tr w:rsidR="00C64FAC" w:rsidRPr="00D07E98" w14:paraId="05CFFAF7" w14:textId="77777777" w:rsidTr="00D07E98">
        <w:tc>
          <w:tcPr>
            <w:tcW w:w="832" w:type="pct"/>
            <w:hideMark/>
          </w:tcPr>
          <w:p w14:paraId="0F950B4B" w14:textId="77777777" w:rsidR="00C64FAC" w:rsidRPr="00D07E98" w:rsidRDefault="00C64FAC" w:rsidP="00C64FAC">
            <w:pPr>
              <w:spacing w:after="160" w:line="276" w:lineRule="auto"/>
              <w:rPr>
                <w:sz w:val="20"/>
              </w:rPr>
            </w:pPr>
            <w:r w:rsidRPr="00D07E98">
              <w:rPr>
                <w:sz w:val="20"/>
              </w:rPr>
              <w:t>Melin &amp; Sánchez (2018)</w:t>
            </w:r>
          </w:p>
        </w:tc>
        <w:tc>
          <w:tcPr>
            <w:tcW w:w="1017" w:type="pct"/>
            <w:hideMark/>
          </w:tcPr>
          <w:p w14:paraId="63DEF57D" w14:textId="77777777" w:rsidR="00C64FAC" w:rsidRPr="00D07E98" w:rsidRDefault="00C64FAC" w:rsidP="00C64FAC">
            <w:pPr>
              <w:spacing w:after="160" w:line="276" w:lineRule="auto"/>
              <w:rPr>
                <w:sz w:val="20"/>
              </w:rPr>
            </w:pPr>
            <w:r w:rsidRPr="00D07E98">
              <w:rPr>
                <w:sz w:val="20"/>
              </w:rPr>
              <w:t>GA for FIS optimization</w:t>
            </w:r>
          </w:p>
        </w:tc>
        <w:tc>
          <w:tcPr>
            <w:tcW w:w="1075" w:type="pct"/>
            <w:hideMark/>
          </w:tcPr>
          <w:p w14:paraId="7B7CB3EB" w14:textId="77777777" w:rsidR="00C64FAC" w:rsidRPr="00D07E98" w:rsidRDefault="00C64FAC" w:rsidP="00C64FAC">
            <w:pPr>
              <w:spacing w:after="160" w:line="276" w:lineRule="auto"/>
              <w:rPr>
                <w:sz w:val="20"/>
              </w:rPr>
            </w:pPr>
            <w:r w:rsidRPr="00D07E98">
              <w:rPr>
                <w:sz w:val="20"/>
              </w:rPr>
              <w:t>Improved accuracy &amp; compactness</w:t>
            </w:r>
          </w:p>
        </w:tc>
        <w:tc>
          <w:tcPr>
            <w:tcW w:w="1022" w:type="pct"/>
            <w:hideMark/>
          </w:tcPr>
          <w:p w14:paraId="7A0F33B5" w14:textId="77777777" w:rsidR="00C64FAC" w:rsidRPr="00D07E98" w:rsidRDefault="00C64FAC" w:rsidP="00C64FAC">
            <w:pPr>
              <w:spacing w:after="160" w:line="276" w:lineRule="auto"/>
              <w:rPr>
                <w:sz w:val="20"/>
              </w:rPr>
            </w:pPr>
            <w:r w:rsidRPr="00D07E98">
              <w:rPr>
                <w:sz w:val="20"/>
              </w:rPr>
              <w:t>Complexity of GA tuning</w:t>
            </w:r>
          </w:p>
        </w:tc>
        <w:tc>
          <w:tcPr>
            <w:tcW w:w="1054" w:type="pct"/>
            <w:hideMark/>
          </w:tcPr>
          <w:p w14:paraId="343F91FA" w14:textId="77777777" w:rsidR="00C64FAC" w:rsidRPr="00D07E98" w:rsidRDefault="00C64FAC" w:rsidP="00C64FAC">
            <w:pPr>
              <w:spacing w:after="160" w:line="276" w:lineRule="auto"/>
              <w:rPr>
                <w:sz w:val="20"/>
              </w:rPr>
            </w:pPr>
            <w:r w:rsidRPr="00D07E98">
              <w:rPr>
                <w:sz w:val="20"/>
              </w:rPr>
              <w:t>Evolutionary IT2-FIS optimization</w:t>
            </w:r>
          </w:p>
        </w:tc>
      </w:tr>
      <w:tr w:rsidR="00C64FAC" w:rsidRPr="00D07E98" w14:paraId="62DBA425" w14:textId="77777777" w:rsidTr="00D07E98">
        <w:tc>
          <w:tcPr>
            <w:tcW w:w="832" w:type="pct"/>
            <w:hideMark/>
          </w:tcPr>
          <w:p w14:paraId="16DB92BA" w14:textId="77777777" w:rsidR="00C64FAC" w:rsidRPr="00D07E98" w:rsidRDefault="00C64FAC" w:rsidP="00C64FAC">
            <w:pPr>
              <w:spacing w:after="160" w:line="276" w:lineRule="auto"/>
              <w:rPr>
                <w:sz w:val="20"/>
              </w:rPr>
            </w:pPr>
            <w:proofErr w:type="spellStart"/>
            <w:r w:rsidRPr="00D07E98">
              <w:rPr>
                <w:sz w:val="20"/>
              </w:rPr>
              <w:t>Wiktorowicz</w:t>
            </w:r>
            <w:proofErr w:type="spellEnd"/>
            <w:r w:rsidRPr="00D07E98">
              <w:rPr>
                <w:sz w:val="20"/>
              </w:rPr>
              <w:t xml:space="preserve"> (2023)</w:t>
            </w:r>
          </w:p>
        </w:tc>
        <w:tc>
          <w:tcPr>
            <w:tcW w:w="1017" w:type="pct"/>
            <w:hideMark/>
          </w:tcPr>
          <w:p w14:paraId="00989781" w14:textId="77777777" w:rsidR="00C64FAC" w:rsidRPr="00D07E98" w:rsidRDefault="00C64FAC" w:rsidP="00C64FAC">
            <w:pPr>
              <w:spacing w:after="160" w:line="276" w:lineRule="auto"/>
              <w:rPr>
                <w:sz w:val="20"/>
              </w:rPr>
            </w:pPr>
            <w:r w:rsidRPr="00D07E98">
              <w:rPr>
                <w:sz w:val="20"/>
              </w:rPr>
              <w:t>Type-2 regression FIS</w:t>
            </w:r>
          </w:p>
        </w:tc>
        <w:tc>
          <w:tcPr>
            <w:tcW w:w="1075" w:type="pct"/>
            <w:hideMark/>
          </w:tcPr>
          <w:p w14:paraId="78F8F099" w14:textId="77777777" w:rsidR="00C64FAC" w:rsidRPr="00D07E98" w:rsidRDefault="00C64FAC" w:rsidP="00C64FAC">
            <w:pPr>
              <w:spacing w:after="160" w:line="276" w:lineRule="auto"/>
              <w:rPr>
                <w:sz w:val="20"/>
              </w:rPr>
            </w:pPr>
            <w:r w:rsidRPr="00D07E98">
              <w:rPr>
                <w:sz w:val="20"/>
              </w:rPr>
              <w:t>Flexible regression modeling</w:t>
            </w:r>
          </w:p>
        </w:tc>
        <w:tc>
          <w:tcPr>
            <w:tcW w:w="1022" w:type="pct"/>
            <w:hideMark/>
          </w:tcPr>
          <w:p w14:paraId="01331B64" w14:textId="77777777" w:rsidR="00C64FAC" w:rsidRPr="00D07E98" w:rsidRDefault="00C64FAC" w:rsidP="00C64FAC">
            <w:pPr>
              <w:spacing w:after="160" w:line="276" w:lineRule="auto"/>
              <w:rPr>
                <w:sz w:val="20"/>
              </w:rPr>
            </w:pPr>
            <w:r w:rsidRPr="00D07E98">
              <w:rPr>
                <w:sz w:val="20"/>
              </w:rPr>
              <w:t>Interpretability limits</w:t>
            </w:r>
          </w:p>
        </w:tc>
        <w:tc>
          <w:tcPr>
            <w:tcW w:w="1054" w:type="pct"/>
            <w:hideMark/>
          </w:tcPr>
          <w:p w14:paraId="20AE8972" w14:textId="77777777" w:rsidR="00C64FAC" w:rsidRPr="00D07E98" w:rsidRDefault="00C64FAC" w:rsidP="00C64FAC">
            <w:pPr>
              <w:spacing w:after="160" w:line="276" w:lineRule="auto"/>
              <w:rPr>
                <w:sz w:val="20"/>
              </w:rPr>
            </w:pPr>
            <w:r w:rsidRPr="00D07E98">
              <w:rPr>
                <w:sz w:val="20"/>
              </w:rPr>
              <w:t>Transparent regression models</w:t>
            </w:r>
          </w:p>
        </w:tc>
      </w:tr>
      <w:tr w:rsidR="00C64FAC" w:rsidRPr="00D07E98" w14:paraId="55B59B35" w14:textId="77777777" w:rsidTr="00D07E98">
        <w:tc>
          <w:tcPr>
            <w:tcW w:w="832" w:type="pct"/>
            <w:hideMark/>
          </w:tcPr>
          <w:p w14:paraId="1F34FA98" w14:textId="77777777" w:rsidR="00C64FAC" w:rsidRPr="00D07E98" w:rsidRDefault="00C64FAC" w:rsidP="00C64FAC">
            <w:pPr>
              <w:spacing w:after="160" w:line="276" w:lineRule="auto"/>
              <w:rPr>
                <w:sz w:val="20"/>
              </w:rPr>
            </w:pPr>
            <w:r w:rsidRPr="00D07E98">
              <w:rPr>
                <w:sz w:val="20"/>
              </w:rPr>
              <w:t>Wu &amp; Mendel (2019)</w:t>
            </w:r>
          </w:p>
        </w:tc>
        <w:tc>
          <w:tcPr>
            <w:tcW w:w="1017" w:type="pct"/>
            <w:hideMark/>
          </w:tcPr>
          <w:p w14:paraId="4E7E5E9A" w14:textId="77777777" w:rsidR="00C64FAC" w:rsidRPr="00D07E98" w:rsidRDefault="00C64FAC" w:rsidP="00C64FAC">
            <w:pPr>
              <w:spacing w:after="160" w:line="276" w:lineRule="auto"/>
              <w:rPr>
                <w:sz w:val="20"/>
              </w:rPr>
            </w:pPr>
            <w:r w:rsidRPr="00D07E98">
              <w:rPr>
                <w:sz w:val="20"/>
              </w:rPr>
              <w:t>IT2 design guidelines</w:t>
            </w:r>
          </w:p>
        </w:tc>
        <w:tc>
          <w:tcPr>
            <w:tcW w:w="1075" w:type="pct"/>
            <w:hideMark/>
          </w:tcPr>
          <w:p w14:paraId="61001B6D" w14:textId="77777777" w:rsidR="00C64FAC" w:rsidRPr="00D07E98" w:rsidRDefault="00C64FAC" w:rsidP="00C64FAC">
            <w:pPr>
              <w:spacing w:after="160" w:line="276" w:lineRule="auto"/>
              <w:rPr>
                <w:sz w:val="20"/>
              </w:rPr>
            </w:pPr>
            <w:r w:rsidRPr="00D07E98">
              <w:rPr>
                <w:sz w:val="20"/>
              </w:rPr>
              <w:t>Structured recommendations</w:t>
            </w:r>
          </w:p>
        </w:tc>
        <w:tc>
          <w:tcPr>
            <w:tcW w:w="1022" w:type="pct"/>
            <w:hideMark/>
          </w:tcPr>
          <w:p w14:paraId="5C290A80" w14:textId="77777777" w:rsidR="00C64FAC" w:rsidRPr="00D07E98" w:rsidRDefault="00C64FAC" w:rsidP="00C64FAC">
            <w:pPr>
              <w:spacing w:after="160" w:line="276" w:lineRule="auto"/>
              <w:rPr>
                <w:sz w:val="20"/>
              </w:rPr>
            </w:pPr>
            <w:r w:rsidRPr="00D07E98">
              <w:rPr>
                <w:sz w:val="20"/>
              </w:rPr>
              <w:t>Implementation complexity</w:t>
            </w:r>
          </w:p>
        </w:tc>
        <w:tc>
          <w:tcPr>
            <w:tcW w:w="1054" w:type="pct"/>
            <w:hideMark/>
          </w:tcPr>
          <w:p w14:paraId="2D84AB8A" w14:textId="77777777" w:rsidR="00C64FAC" w:rsidRPr="00D07E98" w:rsidRDefault="00C64FAC" w:rsidP="00C64FAC">
            <w:pPr>
              <w:spacing w:after="160" w:line="276" w:lineRule="auto"/>
              <w:rPr>
                <w:sz w:val="20"/>
              </w:rPr>
            </w:pPr>
            <w:r w:rsidRPr="00D07E98">
              <w:rPr>
                <w:sz w:val="20"/>
              </w:rPr>
              <w:t>Practical IT2 for education</w:t>
            </w:r>
          </w:p>
        </w:tc>
      </w:tr>
      <w:tr w:rsidR="00C64FAC" w:rsidRPr="00D07E98" w14:paraId="51DDCE50" w14:textId="77777777" w:rsidTr="00D07E98">
        <w:tc>
          <w:tcPr>
            <w:tcW w:w="832" w:type="pct"/>
            <w:hideMark/>
          </w:tcPr>
          <w:p w14:paraId="3310246F" w14:textId="77777777" w:rsidR="00C64FAC" w:rsidRPr="00D07E98" w:rsidRDefault="00C64FAC" w:rsidP="00C64FAC">
            <w:pPr>
              <w:spacing w:after="160" w:line="276" w:lineRule="auto"/>
              <w:rPr>
                <w:sz w:val="20"/>
              </w:rPr>
            </w:pPr>
            <w:r w:rsidRPr="00D07E98">
              <w:rPr>
                <w:sz w:val="20"/>
              </w:rPr>
              <w:t>Moreno et al. (2020)</w:t>
            </w:r>
          </w:p>
        </w:tc>
        <w:tc>
          <w:tcPr>
            <w:tcW w:w="1017" w:type="pct"/>
            <w:hideMark/>
          </w:tcPr>
          <w:p w14:paraId="0D528A8C" w14:textId="77777777" w:rsidR="00C64FAC" w:rsidRPr="00D07E98" w:rsidRDefault="00C64FAC" w:rsidP="00C64FAC">
            <w:pPr>
              <w:spacing w:after="160" w:line="276" w:lineRule="auto"/>
              <w:rPr>
                <w:sz w:val="20"/>
              </w:rPr>
            </w:pPr>
            <w:r w:rsidRPr="00D07E98">
              <w:rPr>
                <w:sz w:val="20"/>
              </w:rPr>
              <w:t>IT2 models with justifiable uncertainty</w:t>
            </w:r>
          </w:p>
        </w:tc>
        <w:tc>
          <w:tcPr>
            <w:tcW w:w="1075" w:type="pct"/>
            <w:hideMark/>
          </w:tcPr>
          <w:p w14:paraId="3299D6A1" w14:textId="77777777" w:rsidR="00C64FAC" w:rsidRPr="00D07E98" w:rsidRDefault="00C64FAC" w:rsidP="00C64FAC">
            <w:pPr>
              <w:spacing w:after="160" w:line="276" w:lineRule="auto"/>
              <w:rPr>
                <w:sz w:val="20"/>
              </w:rPr>
            </w:pPr>
            <w:r w:rsidRPr="00D07E98">
              <w:rPr>
                <w:sz w:val="20"/>
              </w:rPr>
              <w:t>Effective uncertainty capture</w:t>
            </w:r>
          </w:p>
        </w:tc>
        <w:tc>
          <w:tcPr>
            <w:tcW w:w="1022" w:type="pct"/>
            <w:hideMark/>
          </w:tcPr>
          <w:p w14:paraId="52CBBA0D" w14:textId="77777777" w:rsidR="00C64FAC" w:rsidRPr="00D07E98" w:rsidRDefault="00C64FAC" w:rsidP="00C64FAC">
            <w:pPr>
              <w:spacing w:after="160" w:line="276" w:lineRule="auto"/>
              <w:rPr>
                <w:sz w:val="20"/>
              </w:rPr>
            </w:pPr>
            <w:r w:rsidRPr="00D07E98">
              <w:rPr>
                <w:sz w:val="20"/>
              </w:rPr>
              <w:t>Not applied in education</w:t>
            </w:r>
          </w:p>
        </w:tc>
        <w:tc>
          <w:tcPr>
            <w:tcW w:w="1054" w:type="pct"/>
            <w:hideMark/>
          </w:tcPr>
          <w:p w14:paraId="6CAD5D36" w14:textId="77777777" w:rsidR="00C64FAC" w:rsidRPr="00D07E98" w:rsidRDefault="00C64FAC" w:rsidP="00C64FAC">
            <w:pPr>
              <w:spacing w:after="160" w:line="276" w:lineRule="auto"/>
              <w:rPr>
                <w:sz w:val="20"/>
              </w:rPr>
            </w:pPr>
            <w:r w:rsidRPr="00D07E98">
              <w:rPr>
                <w:sz w:val="20"/>
              </w:rPr>
              <w:t>Transfer IT2 to OBE</w:t>
            </w:r>
          </w:p>
        </w:tc>
      </w:tr>
      <w:tr w:rsidR="00C64FAC" w:rsidRPr="00D07E98" w14:paraId="553D369A" w14:textId="77777777" w:rsidTr="00D07E98">
        <w:tc>
          <w:tcPr>
            <w:tcW w:w="832" w:type="pct"/>
            <w:hideMark/>
          </w:tcPr>
          <w:p w14:paraId="4540A9E8" w14:textId="77777777" w:rsidR="00C64FAC" w:rsidRPr="00D07E98" w:rsidRDefault="00C64FAC" w:rsidP="00C64FAC">
            <w:pPr>
              <w:spacing w:after="160" w:line="276" w:lineRule="auto"/>
              <w:rPr>
                <w:sz w:val="20"/>
              </w:rPr>
            </w:pPr>
            <w:r w:rsidRPr="00D07E98">
              <w:rPr>
                <w:sz w:val="20"/>
              </w:rPr>
              <w:t>Tan et al. (2023)</w:t>
            </w:r>
          </w:p>
        </w:tc>
        <w:tc>
          <w:tcPr>
            <w:tcW w:w="1017" w:type="pct"/>
            <w:hideMark/>
          </w:tcPr>
          <w:p w14:paraId="5CC2F0C3" w14:textId="77777777" w:rsidR="00C64FAC" w:rsidRPr="00D07E98" w:rsidRDefault="00C64FAC" w:rsidP="00C64FAC">
            <w:pPr>
              <w:spacing w:after="160" w:line="276" w:lineRule="auto"/>
              <w:rPr>
                <w:sz w:val="20"/>
              </w:rPr>
            </w:pPr>
            <w:r w:rsidRPr="00D07E98">
              <w:rPr>
                <w:sz w:val="20"/>
              </w:rPr>
              <w:t>IT2 under network attacks</w:t>
            </w:r>
          </w:p>
        </w:tc>
        <w:tc>
          <w:tcPr>
            <w:tcW w:w="1075" w:type="pct"/>
            <w:hideMark/>
          </w:tcPr>
          <w:p w14:paraId="3D9B4D9E" w14:textId="77777777" w:rsidR="00C64FAC" w:rsidRPr="00D07E98" w:rsidRDefault="00C64FAC" w:rsidP="00C64FAC">
            <w:pPr>
              <w:spacing w:after="160" w:line="276" w:lineRule="auto"/>
              <w:rPr>
                <w:sz w:val="20"/>
              </w:rPr>
            </w:pPr>
            <w:r w:rsidRPr="00D07E98">
              <w:rPr>
                <w:sz w:val="20"/>
              </w:rPr>
              <w:t>Robustness in adversarial settings</w:t>
            </w:r>
          </w:p>
        </w:tc>
        <w:tc>
          <w:tcPr>
            <w:tcW w:w="1022" w:type="pct"/>
            <w:hideMark/>
          </w:tcPr>
          <w:p w14:paraId="09FD8C01" w14:textId="77777777" w:rsidR="00C64FAC" w:rsidRPr="00D07E98" w:rsidRDefault="00C64FAC" w:rsidP="00C64FAC">
            <w:pPr>
              <w:spacing w:after="160" w:line="276" w:lineRule="auto"/>
              <w:rPr>
                <w:sz w:val="20"/>
              </w:rPr>
            </w:pPr>
            <w:r w:rsidRPr="00D07E98">
              <w:rPr>
                <w:sz w:val="20"/>
              </w:rPr>
              <w:t>Control system domain</w:t>
            </w:r>
          </w:p>
        </w:tc>
        <w:tc>
          <w:tcPr>
            <w:tcW w:w="1054" w:type="pct"/>
            <w:hideMark/>
          </w:tcPr>
          <w:p w14:paraId="5EF0C187" w14:textId="77777777" w:rsidR="00C64FAC" w:rsidRPr="00D07E98" w:rsidRDefault="00C64FAC" w:rsidP="00C64FAC">
            <w:pPr>
              <w:spacing w:after="160" w:line="276" w:lineRule="auto"/>
              <w:rPr>
                <w:sz w:val="20"/>
              </w:rPr>
            </w:pPr>
            <w:r w:rsidRPr="00D07E98">
              <w:rPr>
                <w:sz w:val="20"/>
              </w:rPr>
              <w:t>Educational application missing</w:t>
            </w:r>
          </w:p>
        </w:tc>
      </w:tr>
      <w:tr w:rsidR="00D07E98" w:rsidRPr="00D07E98" w14:paraId="7D4E5C01" w14:textId="77777777" w:rsidTr="00D07E98">
        <w:tc>
          <w:tcPr>
            <w:tcW w:w="832" w:type="pct"/>
          </w:tcPr>
          <w:p w14:paraId="78632910" w14:textId="77777777" w:rsidR="00D07E98" w:rsidRPr="00D07E98" w:rsidRDefault="00D07E98" w:rsidP="00C64FAC">
            <w:pPr>
              <w:spacing w:after="160" w:line="276" w:lineRule="auto"/>
              <w:rPr>
                <w:sz w:val="20"/>
              </w:rPr>
            </w:pPr>
          </w:p>
        </w:tc>
        <w:tc>
          <w:tcPr>
            <w:tcW w:w="1017" w:type="pct"/>
          </w:tcPr>
          <w:p w14:paraId="0F2B3D62" w14:textId="77777777" w:rsidR="00D07E98" w:rsidRPr="00D07E98" w:rsidRDefault="00D07E98" w:rsidP="00C64FAC">
            <w:pPr>
              <w:spacing w:after="160" w:line="276" w:lineRule="auto"/>
              <w:rPr>
                <w:sz w:val="20"/>
              </w:rPr>
            </w:pPr>
          </w:p>
        </w:tc>
        <w:tc>
          <w:tcPr>
            <w:tcW w:w="1075" w:type="pct"/>
          </w:tcPr>
          <w:p w14:paraId="08DE81BE" w14:textId="77777777" w:rsidR="00D07E98" w:rsidRPr="00D07E98" w:rsidRDefault="00D07E98" w:rsidP="00C64FAC">
            <w:pPr>
              <w:spacing w:after="160" w:line="276" w:lineRule="auto"/>
              <w:rPr>
                <w:sz w:val="20"/>
              </w:rPr>
            </w:pPr>
          </w:p>
        </w:tc>
        <w:tc>
          <w:tcPr>
            <w:tcW w:w="1022" w:type="pct"/>
          </w:tcPr>
          <w:p w14:paraId="5B23FEC8" w14:textId="77777777" w:rsidR="00D07E98" w:rsidRPr="00D07E98" w:rsidRDefault="00D07E98" w:rsidP="00C64FAC">
            <w:pPr>
              <w:spacing w:after="160" w:line="276" w:lineRule="auto"/>
              <w:rPr>
                <w:sz w:val="20"/>
              </w:rPr>
            </w:pPr>
          </w:p>
        </w:tc>
        <w:tc>
          <w:tcPr>
            <w:tcW w:w="1054" w:type="pct"/>
          </w:tcPr>
          <w:p w14:paraId="0EF237AB" w14:textId="77777777" w:rsidR="00D07E98" w:rsidRPr="00D07E98" w:rsidRDefault="00D07E98" w:rsidP="00C64FAC">
            <w:pPr>
              <w:spacing w:after="160" w:line="276" w:lineRule="auto"/>
              <w:rPr>
                <w:sz w:val="20"/>
              </w:rPr>
            </w:pPr>
          </w:p>
        </w:tc>
      </w:tr>
      <w:tr w:rsidR="00D07E98" w:rsidRPr="00D07E98" w14:paraId="46AEE88B" w14:textId="77777777" w:rsidTr="00D07E98">
        <w:tc>
          <w:tcPr>
            <w:tcW w:w="5000" w:type="pct"/>
            <w:gridSpan w:val="5"/>
          </w:tcPr>
          <w:p w14:paraId="2EBA933A" w14:textId="238A085E" w:rsidR="00D07E98" w:rsidRPr="00D07E98" w:rsidRDefault="00D07E98" w:rsidP="00D07E98">
            <w:pPr>
              <w:spacing w:after="160" w:line="276" w:lineRule="auto"/>
              <w:rPr>
                <w:sz w:val="20"/>
              </w:rPr>
            </w:pPr>
            <w:r>
              <w:rPr>
                <w:sz w:val="20"/>
              </w:rPr>
              <w:lastRenderedPageBreak/>
              <w:t>Table 1 continued</w:t>
            </w:r>
          </w:p>
        </w:tc>
      </w:tr>
      <w:tr w:rsidR="00D07E98" w:rsidRPr="00D07E98" w14:paraId="03D9D10D" w14:textId="77777777" w:rsidTr="00D07E98">
        <w:tc>
          <w:tcPr>
            <w:tcW w:w="832" w:type="pct"/>
            <w:hideMark/>
          </w:tcPr>
          <w:p w14:paraId="286494A1" w14:textId="77777777" w:rsidR="00D07E98" w:rsidRPr="00D07E98" w:rsidRDefault="00D07E98" w:rsidP="00D07E98">
            <w:pPr>
              <w:spacing w:after="160" w:line="276" w:lineRule="auto"/>
              <w:rPr>
                <w:sz w:val="20"/>
              </w:rPr>
            </w:pPr>
            <w:proofErr w:type="spellStart"/>
            <w:r w:rsidRPr="00D07E98">
              <w:rPr>
                <w:sz w:val="20"/>
              </w:rPr>
              <w:t>Tahamipour</w:t>
            </w:r>
            <w:proofErr w:type="spellEnd"/>
            <w:r w:rsidRPr="00D07E98">
              <w:rPr>
                <w:sz w:val="20"/>
              </w:rPr>
              <w:t>-Z. et al. (2022)</w:t>
            </w:r>
          </w:p>
        </w:tc>
        <w:tc>
          <w:tcPr>
            <w:tcW w:w="1017" w:type="pct"/>
            <w:hideMark/>
          </w:tcPr>
          <w:p w14:paraId="35A6A06F" w14:textId="77777777" w:rsidR="00D07E98" w:rsidRPr="00D07E98" w:rsidRDefault="00D07E98" w:rsidP="00D07E98">
            <w:pPr>
              <w:spacing w:after="160" w:line="276" w:lineRule="auto"/>
              <w:rPr>
                <w:sz w:val="20"/>
              </w:rPr>
            </w:pPr>
            <w:r w:rsidRPr="00D07E98">
              <w:rPr>
                <w:sz w:val="20"/>
              </w:rPr>
              <w:t>Generalized IT2 models</w:t>
            </w:r>
          </w:p>
        </w:tc>
        <w:tc>
          <w:tcPr>
            <w:tcW w:w="1075" w:type="pct"/>
            <w:hideMark/>
          </w:tcPr>
          <w:p w14:paraId="546581CA" w14:textId="77777777" w:rsidR="00D07E98" w:rsidRPr="00D07E98" w:rsidRDefault="00D07E98" w:rsidP="00D07E98">
            <w:pPr>
              <w:spacing w:after="160" w:line="276" w:lineRule="auto"/>
              <w:rPr>
                <w:sz w:val="20"/>
              </w:rPr>
            </w:pPr>
            <w:r w:rsidRPr="00D07E98">
              <w:rPr>
                <w:sz w:val="20"/>
              </w:rPr>
              <w:t>Nonlinear control extension</w:t>
            </w:r>
          </w:p>
        </w:tc>
        <w:tc>
          <w:tcPr>
            <w:tcW w:w="1022" w:type="pct"/>
            <w:hideMark/>
          </w:tcPr>
          <w:p w14:paraId="5530F674" w14:textId="77777777" w:rsidR="00D07E98" w:rsidRPr="00D07E98" w:rsidRDefault="00D07E98" w:rsidP="00D07E98">
            <w:pPr>
              <w:spacing w:after="160" w:line="276" w:lineRule="auto"/>
              <w:rPr>
                <w:sz w:val="20"/>
              </w:rPr>
            </w:pPr>
            <w:r w:rsidRPr="00D07E98">
              <w:rPr>
                <w:sz w:val="20"/>
              </w:rPr>
              <w:t>Engineering-only</w:t>
            </w:r>
          </w:p>
        </w:tc>
        <w:tc>
          <w:tcPr>
            <w:tcW w:w="1054" w:type="pct"/>
            <w:hideMark/>
          </w:tcPr>
          <w:p w14:paraId="526B9256" w14:textId="77777777" w:rsidR="00D07E98" w:rsidRPr="00D07E98" w:rsidRDefault="00D07E98" w:rsidP="00D07E98">
            <w:pPr>
              <w:spacing w:after="160" w:line="276" w:lineRule="auto"/>
              <w:rPr>
                <w:sz w:val="20"/>
              </w:rPr>
            </w:pPr>
            <w:r w:rsidRPr="00D07E98">
              <w:rPr>
                <w:sz w:val="20"/>
              </w:rPr>
              <w:t>Education adaptation needed</w:t>
            </w:r>
          </w:p>
        </w:tc>
      </w:tr>
      <w:tr w:rsidR="00D07E98" w:rsidRPr="00D07E98" w14:paraId="19895DD8" w14:textId="77777777" w:rsidTr="00D07E98">
        <w:tc>
          <w:tcPr>
            <w:tcW w:w="832" w:type="pct"/>
            <w:hideMark/>
          </w:tcPr>
          <w:p w14:paraId="56359119" w14:textId="77777777" w:rsidR="00D07E98" w:rsidRPr="00D07E98" w:rsidRDefault="00D07E98" w:rsidP="00D07E98">
            <w:pPr>
              <w:spacing w:after="160" w:line="276" w:lineRule="auto"/>
              <w:rPr>
                <w:sz w:val="20"/>
              </w:rPr>
            </w:pPr>
            <w:r w:rsidRPr="00D07E98">
              <w:rPr>
                <w:sz w:val="20"/>
              </w:rPr>
              <w:t>Mazandarani &amp; Xiu (2021)</w:t>
            </w:r>
          </w:p>
        </w:tc>
        <w:tc>
          <w:tcPr>
            <w:tcW w:w="1017" w:type="pct"/>
            <w:hideMark/>
          </w:tcPr>
          <w:p w14:paraId="600C60D2" w14:textId="77777777" w:rsidR="00D07E98" w:rsidRPr="00D07E98" w:rsidRDefault="00D07E98" w:rsidP="00D07E98">
            <w:pPr>
              <w:spacing w:after="160" w:line="276" w:lineRule="auto"/>
              <w:rPr>
                <w:sz w:val="20"/>
              </w:rPr>
            </w:pPr>
            <w:r w:rsidRPr="00D07E98">
              <w:rPr>
                <w:sz w:val="20"/>
              </w:rPr>
              <w:t>Fractional IT2 FIS</w:t>
            </w:r>
          </w:p>
        </w:tc>
        <w:tc>
          <w:tcPr>
            <w:tcW w:w="1075" w:type="pct"/>
            <w:hideMark/>
          </w:tcPr>
          <w:p w14:paraId="55EB31FA" w14:textId="77777777" w:rsidR="00D07E98" w:rsidRPr="00D07E98" w:rsidRDefault="00D07E98" w:rsidP="00D07E98">
            <w:pPr>
              <w:spacing w:after="160" w:line="276" w:lineRule="auto"/>
              <w:rPr>
                <w:sz w:val="20"/>
              </w:rPr>
            </w:pPr>
            <w:r w:rsidRPr="00D07E98">
              <w:rPr>
                <w:sz w:val="20"/>
              </w:rPr>
              <w:t>Theoretical advance</w:t>
            </w:r>
          </w:p>
        </w:tc>
        <w:tc>
          <w:tcPr>
            <w:tcW w:w="1022" w:type="pct"/>
            <w:hideMark/>
          </w:tcPr>
          <w:p w14:paraId="3AE92DEB" w14:textId="77777777" w:rsidR="00D07E98" w:rsidRPr="00D07E98" w:rsidRDefault="00D07E98" w:rsidP="00D07E98">
            <w:pPr>
              <w:spacing w:after="160" w:line="276" w:lineRule="auto"/>
              <w:rPr>
                <w:sz w:val="20"/>
              </w:rPr>
            </w:pPr>
            <w:r w:rsidRPr="00D07E98">
              <w:rPr>
                <w:sz w:val="20"/>
              </w:rPr>
              <w:t>No domain validation</w:t>
            </w:r>
          </w:p>
        </w:tc>
        <w:tc>
          <w:tcPr>
            <w:tcW w:w="1054" w:type="pct"/>
            <w:hideMark/>
          </w:tcPr>
          <w:p w14:paraId="1E937201" w14:textId="77777777" w:rsidR="00D07E98" w:rsidRPr="00D07E98" w:rsidRDefault="00D07E98" w:rsidP="00D07E98">
            <w:pPr>
              <w:spacing w:after="160" w:line="276" w:lineRule="auto"/>
              <w:rPr>
                <w:sz w:val="20"/>
              </w:rPr>
            </w:pPr>
            <w:r w:rsidRPr="00D07E98">
              <w:rPr>
                <w:sz w:val="20"/>
              </w:rPr>
              <w:t>Empirical testing in OBE</w:t>
            </w:r>
          </w:p>
        </w:tc>
      </w:tr>
      <w:tr w:rsidR="00D07E98" w:rsidRPr="00D07E98" w14:paraId="192CCDD7" w14:textId="77777777" w:rsidTr="00D07E98">
        <w:tc>
          <w:tcPr>
            <w:tcW w:w="832" w:type="pct"/>
            <w:hideMark/>
          </w:tcPr>
          <w:p w14:paraId="45E1D3E7" w14:textId="77777777" w:rsidR="00D07E98" w:rsidRPr="00D07E98" w:rsidRDefault="00D07E98" w:rsidP="00D07E98">
            <w:pPr>
              <w:spacing w:after="160" w:line="276" w:lineRule="auto"/>
              <w:rPr>
                <w:sz w:val="20"/>
              </w:rPr>
            </w:pPr>
            <w:r w:rsidRPr="00D07E98">
              <w:rPr>
                <w:sz w:val="20"/>
              </w:rPr>
              <w:t>Chen (2024)</w:t>
            </w:r>
          </w:p>
        </w:tc>
        <w:tc>
          <w:tcPr>
            <w:tcW w:w="1017" w:type="pct"/>
            <w:hideMark/>
          </w:tcPr>
          <w:p w14:paraId="038B13BF" w14:textId="77777777" w:rsidR="00D07E98" w:rsidRPr="00D07E98" w:rsidRDefault="00D07E98" w:rsidP="00D07E98">
            <w:pPr>
              <w:spacing w:after="160" w:line="276" w:lineRule="auto"/>
              <w:rPr>
                <w:sz w:val="20"/>
              </w:rPr>
            </w:pPr>
            <w:r w:rsidRPr="00D07E98">
              <w:rPr>
                <w:sz w:val="20"/>
              </w:rPr>
              <w:t>Hybrid-optimized IT2 NN</w:t>
            </w:r>
          </w:p>
        </w:tc>
        <w:tc>
          <w:tcPr>
            <w:tcW w:w="1075" w:type="pct"/>
            <w:hideMark/>
          </w:tcPr>
          <w:p w14:paraId="09813D2A" w14:textId="77777777" w:rsidR="00D07E98" w:rsidRPr="00D07E98" w:rsidRDefault="00D07E98" w:rsidP="00D07E98">
            <w:pPr>
              <w:spacing w:after="160" w:line="276" w:lineRule="auto"/>
              <w:rPr>
                <w:sz w:val="20"/>
              </w:rPr>
            </w:pPr>
            <w:r w:rsidRPr="00D07E98">
              <w:rPr>
                <w:sz w:val="20"/>
              </w:rPr>
              <w:t>Improved predictive accuracy</w:t>
            </w:r>
          </w:p>
        </w:tc>
        <w:tc>
          <w:tcPr>
            <w:tcW w:w="1022" w:type="pct"/>
            <w:hideMark/>
          </w:tcPr>
          <w:p w14:paraId="3E141F44" w14:textId="77777777" w:rsidR="00D07E98" w:rsidRPr="00D07E98" w:rsidRDefault="00D07E98" w:rsidP="00D07E98">
            <w:pPr>
              <w:spacing w:after="160" w:line="276" w:lineRule="auto"/>
              <w:rPr>
                <w:sz w:val="20"/>
              </w:rPr>
            </w:pPr>
            <w:r w:rsidRPr="00D07E98">
              <w:rPr>
                <w:sz w:val="20"/>
              </w:rPr>
              <w:t>High complexity</w:t>
            </w:r>
          </w:p>
        </w:tc>
        <w:tc>
          <w:tcPr>
            <w:tcW w:w="1054" w:type="pct"/>
            <w:hideMark/>
          </w:tcPr>
          <w:p w14:paraId="25005796" w14:textId="77777777" w:rsidR="00D07E98" w:rsidRPr="00D07E98" w:rsidRDefault="00D07E98" w:rsidP="00D07E98">
            <w:pPr>
              <w:spacing w:after="160" w:line="276" w:lineRule="auto"/>
              <w:rPr>
                <w:sz w:val="20"/>
              </w:rPr>
            </w:pPr>
            <w:r w:rsidRPr="00D07E98">
              <w:rPr>
                <w:sz w:val="20"/>
              </w:rPr>
              <w:t>Efficient optimization in OBE</w:t>
            </w:r>
          </w:p>
        </w:tc>
      </w:tr>
      <w:tr w:rsidR="00D07E98" w:rsidRPr="00D07E98" w14:paraId="3BE23C44" w14:textId="77777777" w:rsidTr="00D07E98">
        <w:tc>
          <w:tcPr>
            <w:tcW w:w="832" w:type="pct"/>
            <w:hideMark/>
          </w:tcPr>
          <w:p w14:paraId="66E17B5B" w14:textId="77777777" w:rsidR="00D07E98" w:rsidRPr="00D07E98" w:rsidRDefault="00D07E98" w:rsidP="00D07E98">
            <w:pPr>
              <w:spacing w:after="160" w:line="276" w:lineRule="auto"/>
              <w:rPr>
                <w:sz w:val="20"/>
              </w:rPr>
            </w:pPr>
            <w:r w:rsidRPr="00D07E98">
              <w:rPr>
                <w:sz w:val="20"/>
              </w:rPr>
              <w:t>Gao et al. (2023)</w:t>
            </w:r>
          </w:p>
        </w:tc>
        <w:tc>
          <w:tcPr>
            <w:tcW w:w="1017" w:type="pct"/>
            <w:hideMark/>
          </w:tcPr>
          <w:p w14:paraId="7346527C" w14:textId="77777777" w:rsidR="00D07E98" w:rsidRPr="00D07E98" w:rsidRDefault="00D07E98" w:rsidP="00D07E98">
            <w:pPr>
              <w:spacing w:after="160" w:line="276" w:lineRule="auto"/>
              <w:rPr>
                <w:sz w:val="20"/>
              </w:rPr>
            </w:pPr>
            <w:r w:rsidRPr="00D07E98">
              <w:rPr>
                <w:sz w:val="20"/>
              </w:rPr>
              <w:t>Group Lasso IT2 NN</w:t>
            </w:r>
          </w:p>
        </w:tc>
        <w:tc>
          <w:tcPr>
            <w:tcW w:w="1075" w:type="pct"/>
            <w:hideMark/>
          </w:tcPr>
          <w:p w14:paraId="6BD7459F" w14:textId="77777777" w:rsidR="00D07E98" w:rsidRPr="00D07E98" w:rsidRDefault="00D07E98" w:rsidP="00D07E98">
            <w:pPr>
              <w:spacing w:after="160" w:line="276" w:lineRule="auto"/>
              <w:rPr>
                <w:sz w:val="20"/>
              </w:rPr>
            </w:pPr>
            <w:r w:rsidRPr="00D07E98">
              <w:rPr>
                <w:sz w:val="20"/>
              </w:rPr>
              <w:t>Feature selection &amp; accuracy</w:t>
            </w:r>
          </w:p>
        </w:tc>
        <w:tc>
          <w:tcPr>
            <w:tcW w:w="1022" w:type="pct"/>
            <w:hideMark/>
          </w:tcPr>
          <w:p w14:paraId="3C96D83A" w14:textId="77777777" w:rsidR="00D07E98" w:rsidRPr="00D07E98" w:rsidRDefault="00D07E98" w:rsidP="00D07E98">
            <w:pPr>
              <w:spacing w:after="160" w:line="276" w:lineRule="auto"/>
              <w:rPr>
                <w:sz w:val="20"/>
              </w:rPr>
            </w:pPr>
            <w:r w:rsidRPr="00D07E98">
              <w:rPr>
                <w:sz w:val="20"/>
              </w:rPr>
              <w:t>System identification only</w:t>
            </w:r>
          </w:p>
        </w:tc>
        <w:tc>
          <w:tcPr>
            <w:tcW w:w="1054" w:type="pct"/>
            <w:hideMark/>
          </w:tcPr>
          <w:p w14:paraId="01F1FF77" w14:textId="77777777" w:rsidR="00D07E98" w:rsidRPr="00D07E98" w:rsidRDefault="00D07E98" w:rsidP="00D07E98">
            <w:pPr>
              <w:spacing w:after="160" w:line="276" w:lineRule="auto"/>
              <w:rPr>
                <w:sz w:val="20"/>
              </w:rPr>
            </w:pPr>
            <w:r w:rsidRPr="00D07E98">
              <w:rPr>
                <w:sz w:val="20"/>
              </w:rPr>
              <w:t>Transfer to education</w:t>
            </w:r>
          </w:p>
        </w:tc>
      </w:tr>
      <w:tr w:rsidR="00D07E98" w:rsidRPr="00D07E98" w14:paraId="708DD58A" w14:textId="77777777" w:rsidTr="00D07E98">
        <w:tc>
          <w:tcPr>
            <w:tcW w:w="832" w:type="pct"/>
            <w:hideMark/>
          </w:tcPr>
          <w:p w14:paraId="712ED3D8" w14:textId="77777777" w:rsidR="00D07E98" w:rsidRPr="00D07E98" w:rsidRDefault="00D07E98" w:rsidP="00D07E98">
            <w:pPr>
              <w:spacing w:after="160" w:line="276" w:lineRule="auto"/>
              <w:rPr>
                <w:sz w:val="20"/>
              </w:rPr>
            </w:pPr>
            <w:r w:rsidRPr="00D07E98">
              <w:rPr>
                <w:sz w:val="20"/>
              </w:rPr>
              <w:t xml:space="preserve">Beke &amp; </w:t>
            </w:r>
            <w:proofErr w:type="spellStart"/>
            <w:r w:rsidRPr="00D07E98">
              <w:rPr>
                <w:sz w:val="20"/>
              </w:rPr>
              <w:t>Kumbasar</w:t>
            </w:r>
            <w:proofErr w:type="spellEnd"/>
            <w:r w:rsidRPr="00D07E98">
              <w:rPr>
                <w:sz w:val="20"/>
              </w:rPr>
              <w:t xml:space="preserve"> (2023)</w:t>
            </w:r>
          </w:p>
        </w:tc>
        <w:tc>
          <w:tcPr>
            <w:tcW w:w="1017" w:type="pct"/>
            <w:hideMark/>
          </w:tcPr>
          <w:p w14:paraId="2C81FFD4" w14:textId="77777777" w:rsidR="00D07E98" w:rsidRPr="00D07E98" w:rsidRDefault="00D07E98" w:rsidP="00D07E98">
            <w:pPr>
              <w:spacing w:after="160" w:line="276" w:lineRule="auto"/>
              <w:rPr>
                <w:sz w:val="20"/>
              </w:rPr>
            </w:pPr>
            <w:r w:rsidRPr="00D07E98">
              <w:rPr>
                <w:sz w:val="20"/>
              </w:rPr>
              <w:t>Composite IT2 framework</w:t>
            </w:r>
          </w:p>
        </w:tc>
        <w:tc>
          <w:tcPr>
            <w:tcW w:w="1075" w:type="pct"/>
            <w:hideMark/>
          </w:tcPr>
          <w:p w14:paraId="12403352" w14:textId="77777777" w:rsidR="00D07E98" w:rsidRPr="00D07E98" w:rsidRDefault="00D07E98" w:rsidP="00D07E98">
            <w:pPr>
              <w:spacing w:after="160" w:line="276" w:lineRule="auto"/>
              <w:rPr>
                <w:sz w:val="20"/>
              </w:rPr>
            </w:pPr>
            <w:r w:rsidRPr="00D07E98">
              <w:rPr>
                <w:sz w:val="20"/>
              </w:rPr>
              <w:t>Robustness focus</w:t>
            </w:r>
          </w:p>
        </w:tc>
        <w:tc>
          <w:tcPr>
            <w:tcW w:w="1022" w:type="pct"/>
            <w:hideMark/>
          </w:tcPr>
          <w:p w14:paraId="43FD9952" w14:textId="77777777" w:rsidR="00D07E98" w:rsidRPr="00D07E98" w:rsidRDefault="00D07E98" w:rsidP="00D07E98">
            <w:pPr>
              <w:spacing w:after="160" w:line="276" w:lineRule="auto"/>
              <w:rPr>
                <w:sz w:val="20"/>
              </w:rPr>
            </w:pPr>
            <w:r w:rsidRPr="00D07E98">
              <w:rPr>
                <w:sz w:val="20"/>
              </w:rPr>
              <w:t>Engineering domain</w:t>
            </w:r>
          </w:p>
        </w:tc>
        <w:tc>
          <w:tcPr>
            <w:tcW w:w="1054" w:type="pct"/>
            <w:hideMark/>
          </w:tcPr>
          <w:p w14:paraId="72EFB208" w14:textId="77777777" w:rsidR="00D07E98" w:rsidRPr="00D07E98" w:rsidRDefault="00D07E98" w:rsidP="00D07E98">
            <w:pPr>
              <w:spacing w:after="160" w:line="276" w:lineRule="auto"/>
              <w:rPr>
                <w:sz w:val="20"/>
              </w:rPr>
            </w:pPr>
            <w:r w:rsidRPr="00D07E98">
              <w:rPr>
                <w:sz w:val="20"/>
              </w:rPr>
              <w:t>OBE-focused composite models</w:t>
            </w:r>
          </w:p>
        </w:tc>
      </w:tr>
      <w:tr w:rsidR="00D07E98" w:rsidRPr="00D07E98" w14:paraId="01ADA138" w14:textId="77777777" w:rsidTr="00D07E98">
        <w:tc>
          <w:tcPr>
            <w:tcW w:w="832" w:type="pct"/>
            <w:hideMark/>
          </w:tcPr>
          <w:p w14:paraId="0C45FA0F" w14:textId="77777777" w:rsidR="00D07E98" w:rsidRPr="00D07E98" w:rsidRDefault="00D07E98" w:rsidP="00D07E98">
            <w:pPr>
              <w:spacing w:after="160" w:line="276" w:lineRule="auto"/>
              <w:rPr>
                <w:sz w:val="20"/>
              </w:rPr>
            </w:pPr>
            <w:r w:rsidRPr="00D07E98">
              <w:rPr>
                <w:sz w:val="20"/>
              </w:rPr>
              <w:t>Lin et al. (2014)</w:t>
            </w:r>
          </w:p>
        </w:tc>
        <w:tc>
          <w:tcPr>
            <w:tcW w:w="1017" w:type="pct"/>
            <w:hideMark/>
          </w:tcPr>
          <w:p w14:paraId="7396CCB7" w14:textId="77777777" w:rsidR="00D07E98" w:rsidRPr="00D07E98" w:rsidRDefault="00D07E98" w:rsidP="00D07E98">
            <w:pPr>
              <w:spacing w:after="160" w:line="276" w:lineRule="auto"/>
              <w:rPr>
                <w:sz w:val="20"/>
              </w:rPr>
            </w:pPr>
            <w:r w:rsidRPr="00D07E98">
              <w:rPr>
                <w:sz w:val="20"/>
              </w:rPr>
              <w:t>Simplified IT2 fuzzy NN</w:t>
            </w:r>
          </w:p>
        </w:tc>
        <w:tc>
          <w:tcPr>
            <w:tcW w:w="1075" w:type="pct"/>
            <w:hideMark/>
          </w:tcPr>
          <w:p w14:paraId="7B387C51" w14:textId="77777777" w:rsidR="00D07E98" w:rsidRPr="00D07E98" w:rsidRDefault="00D07E98" w:rsidP="00D07E98">
            <w:pPr>
              <w:spacing w:after="160" w:line="276" w:lineRule="auto"/>
              <w:rPr>
                <w:sz w:val="20"/>
              </w:rPr>
            </w:pPr>
            <w:r w:rsidRPr="00D07E98">
              <w:rPr>
                <w:sz w:val="20"/>
              </w:rPr>
              <w:t>Reduced computational burden</w:t>
            </w:r>
          </w:p>
        </w:tc>
        <w:tc>
          <w:tcPr>
            <w:tcW w:w="1022" w:type="pct"/>
            <w:hideMark/>
          </w:tcPr>
          <w:p w14:paraId="410628BC" w14:textId="77777777" w:rsidR="00D07E98" w:rsidRPr="00D07E98" w:rsidRDefault="00D07E98" w:rsidP="00D07E98">
            <w:pPr>
              <w:spacing w:after="160" w:line="276" w:lineRule="auto"/>
              <w:rPr>
                <w:sz w:val="20"/>
              </w:rPr>
            </w:pPr>
            <w:r w:rsidRPr="00D07E98">
              <w:rPr>
                <w:sz w:val="20"/>
              </w:rPr>
              <w:t>Accuracy loss</w:t>
            </w:r>
          </w:p>
        </w:tc>
        <w:tc>
          <w:tcPr>
            <w:tcW w:w="1054" w:type="pct"/>
            <w:hideMark/>
          </w:tcPr>
          <w:p w14:paraId="24559123" w14:textId="77777777" w:rsidR="00D07E98" w:rsidRPr="00D07E98" w:rsidRDefault="00D07E98" w:rsidP="00D07E98">
            <w:pPr>
              <w:spacing w:after="160" w:line="276" w:lineRule="auto"/>
              <w:rPr>
                <w:sz w:val="20"/>
              </w:rPr>
            </w:pPr>
            <w:r w:rsidRPr="00D07E98">
              <w:rPr>
                <w:sz w:val="20"/>
              </w:rPr>
              <w:t>Balanced simplification in OBE</w:t>
            </w:r>
          </w:p>
        </w:tc>
      </w:tr>
      <w:tr w:rsidR="00D07E98" w:rsidRPr="00D07E98" w14:paraId="1A9526A8" w14:textId="77777777" w:rsidTr="00D07E98">
        <w:tc>
          <w:tcPr>
            <w:tcW w:w="832" w:type="pct"/>
            <w:hideMark/>
          </w:tcPr>
          <w:p w14:paraId="7D0E88FA" w14:textId="77777777" w:rsidR="00D07E98" w:rsidRPr="00D07E98" w:rsidRDefault="00D07E98" w:rsidP="00D07E98">
            <w:pPr>
              <w:spacing w:after="160" w:line="276" w:lineRule="auto"/>
              <w:rPr>
                <w:sz w:val="20"/>
              </w:rPr>
            </w:pPr>
            <w:r w:rsidRPr="00D07E98">
              <w:rPr>
                <w:sz w:val="20"/>
              </w:rPr>
              <w:t>Li et al. (2015)</w:t>
            </w:r>
          </w:p>
        </w:tc>
        <w:tc>
          <w:tcPr>
            <w:tcW w:w="1017" w:type="pct"/>
            <w:hideMark/>
          </w:tcPr>
          <w:p w14:paraId="31A9E266" w14:textId="77777777" w:rsidR="00D07E98" w:rsidRPr="00D07E98" w:rsidRDefault="00D07E98" w:rsidP="00D07E98">
            <w:pPr>
              <w:spacing w:after="160" w:line="276" w:lineRule="auto"/>
              <w:rPr>
                <w:sz w:val="20"/>
              </w:rPr>
            </w:pPr>
            <w:r w:rsidRPr="00D07E98">
              <w:rPr>
                <w:sz w:val="20"/>
              </w:rPr>
              <w:t>IT2 for packet dropouts</w:t>
            </w:r>
          </w:p>
        </w:tc>
        <w:tc>
          <w:tcPr>
            <w:tcW w:w="1075" w:type="pct"/>
            <w:hideMark/>
          </w:tcPr>
          <w:p w14:paraId="5D5F2C1C" w14:textId="77777777" w:rsidR="00D07E98" w:rsidRPr="00D07E98" w:rsidRDefault="00D07E98" w:rsidP="00D07E98">
            <w:pPr>
              <w:spacing w:after="160" w:line="276" w:lineRule="auto"/>
              <w:rPr>
                <w:sz w:val="20"/>
              </w:rPr>
            </w:pPr>
            <w:r w:rsidRPr="00D07E98">
              <w:rPr>
                <w:sz w:val="20"/>
              </w:rPr>
              <w:t>Control system robustness</w:t>
            </w:r>
          </w:p>
        </w:tc>
        <w:tc>
          <w:tcPr>
            <w:tcW w:w="1022" w:type="pct"/>
            <w:hideMark/>
          </w:tcPr>
          <w:p w14:paraId="272C0BD6" w14:textId="77777777" w:rsidR="00D07E98" w:rsidRPr="00D07E98" w:rsidRDefault="00D07E98" w:rsidP="00D07E98">
            <w:pPr>
              <w:spacing w:after="160" w:line="276" w:lineRule="auto"/>
              <w:rPr>
                <w:sz w:val="20"/>
              </w:rPr>
            </w:pPr>
            <w:r w:rsidRPr="00D07E98">
              <w:rPr>
                <w:sz w:val="20"/>
              </w:rPr>
              <w:t>Not educational</w:t>
            </w:r>
          </w:p>
        </w:tc>
        <w:tc>
          <w:tcPr>
            <w:tcW w:w="1054" w:type="pct"/>
            <w:hideMark/>
          </w:tcPr>
          <w:p w14:paraId="5FCEC62A" w14:textId="77777777" w:rsidR="00D07E98" w:rsidRPr="00D07E98" w:rsidRDefault="00D07E98" w:rsidP="00D07E98">
            <w:pPr>
              <w:spacing w:after="160" w:line="276" w:lineRule="auto"/>
              <w:rPr>
                <w:sz w:val="20"/>
              </w:rPr>
            </w:pPr>
            <w:r w:rsidRPr="00D07E98">
              <w:rPr>
                <w:sz w:val="20"/>
              </w:rPr>
              <w:t>Adoption in education</w:t>
            </w:r>
          </w:p>
        </w:tc>
      </w:tr>
      <w:tr w:rsidR="00D07E98" w:rsidRPr="00D07E98" w14:paraId="265187E5" w14:textId="77777777" w:rsidTr="00D07E98">
        <w:tc>
          <w:tcPr>
            <w:tcW w:w="832" w:type="pct"/>
            <w:hideMark/>
          </w:tcPr>
          <w:p w14:paraId="66F8B5FF" w14:textId="77777777" w:rsidR="00D07E98" w:rsidRPr="00D07E98" w:rsidRDefault="00D07E98" w:rsidP="00D07E98">
            <w:pPr>
              <w:spacing w:after="160" w:line="276" w:lineRule="auto"/>
              <w:rPr>
                <w:sz w:val="20"/>
              </w:rPr>
            </w:pPr>
            <w:r w:rsidRPr="00D07E98">
              <w:rPr>
                <w:sz w:val="20"/>
              </w:rPr>
              <w:t>Wu, Peng &amp; Mendel (2023)</w:t>
            </w:r>
          </w:p>
        </w:tc>
        <w:tc>
          <w:tcPr>
            <w:tcW w:w="1017" w:type="pct"/>
            <w:hideMark/>
          </w:tcPr>
          <w:p w14:paraId="6E6AF5F7" w14:textId="77777777" w:rsidR="00D07E98" w:rsidRPr="00D07E98" w:rsidRDefault="00D07E98" w:rsidP="00D07E98">
            <w:pPr>
              <w:spacing w:after="160" w:line="276" w:lineRule="auto"/>
              <w:rPr>
                <w:sz w:val="20"/>
              </w:rPr>
            </w:pPr>
            <w:r w:rsidRPr="00D07E98">
              <w:rPr>
                <w:sz w:val="20"/>
              </w:rPr>
              <w:t>Review of Type-1 vs IT2</w:t>
            </w:r>
          </w:p>
        </w:tc>
        <w:tc>
          <w:tcPr>
            <w:tcW w:w="1075" w:type="pct"/>
            <w:hideMark/>
          </w:tcPr>
          <w:p w14:paraId="186AE803" w14:textId="77777777" w:rsidR="00D07E98" w:rsidRPr="00D07E98" w:rsidRDefault="00D07E98" w:rsidP="00D07E98">
            <w:pPr>
              <w:spacing w:after="160" w:line="276" w:lineRule="auto"/>
              <w:rPr>
                <w:sz w:val="20"/>
              </w:rPr>
            </w:pPr>
            <w:r w:rsidRPr="00D07E98">
              <w:rPr>
                <w:sz w:val="20"/>
              </w:rPr>
              <w:t>IT2 superiority</w:t>
            </w:r>
          </w:p>
        </w:tc>
        <w:tc>
          <w:tcPr>
            <w:tcW w:w="1022" w:type="pct"/>
            <w:hideMark/>
          </w:tcPr>
          <w:p w14:paraId="5853887D" w14:textId="77777777" w:rsidR="00D07E98" w:rsidRPr="00D07E98" w:rsidRDefault="00D07E98" w:rsidP="00D07E98">
            <w:pPr>
              <w:spacing w:after="160" w:line="276" w:lineRule="auto"/>
              <w:rPr>
                <w:sz w:val="20"/>
              </w:rPr>
            </w:pPr>
            <w:r w:rsidRPr="00D07E98">
              <w:rPr>
                <w:sz w:val="20"/>
              </w:rPr>
              <w:t>Engineering focus</w:t>
            </w:r>
          </w:p>
        </w:tc>
        <w:tc>
          <w:tcPr>
            <w:tcW w:w="1054" w:type="pct"/>
            <w:hideMark/>
          </w:tcPr>
          <w:p w14:paraId="17A8159B" w14:textId="77777777" w:rsidR="00D07E98" w:rsidRPr="00D07E98" w:rsidRDefault="00D07E98" w:rsidP="00D07E98">
            <w:pPr>
              <w:spacing w:after="160" w:line="276" w:lineRule="auto"/>
              <w:rPr>
                <w:sz w:val="20"/>
              </w:rPr>
            </w:pPr>
            <w:r w:rsidRPr="00D07E98">
              <w:rPr>
                <w:sz w:val="20"/>
              </w:rPr>
              <w:t>Extend IT2 to educational analytics</w:t>
            </w:r>
          </w:p>
        </w:tc>
      </w:tr>
    </w:tbl>
    <w:p w14:paraId="1815F6D7" w14:textId="2A3A2B97" w:rsidR="005C7AA1" w:rsidRPr="005C7AA1" w:rsidRDefault="005C7AA1" w:rsidP="00D07E98">
      <w:pPr>
        <w:pStyle w:val="Heading1"/>
      </w:pPr>
      <w:r w:rsidRPr="005C7AA1">
        <w:t>Methodology</w:t>
      </w:r>
    </w:p>
    <w:p w14:paraId="1DAB55F2" w14:textId="77777777" w:rsidR="005C7AA1" w:rsidRDefault="005C7AA1" w:rsidP="00D07E98">
      <w:pPr>
        <w:pStyle w:val="Paragraph"/>
      </w:pPr>
      <w:r w:rsidRPr="005C7AA1">
        <w:t>This section gives a reproducible and rigorous description of the data variables, preprocessing, Interval Type-2 Fuzzy Inference System (IT2-FIS) design, evolutionary optimization, training and model selection, evaluation, and robustness experiments. All algorithmic choices and numerical hyperparameters used in the experiments are reported.</w:t>
      </w:r>
    </w:p>
    <w:p w14:paraId="45FD23B2" w14:textId="1BE859D7" w:rsidR="00347762" w:rsidRPr="005C7AA1" w:rsidRDefault="00347762" w:rsidP="00D07E98">
      <w:pPr>
        <w:spacing w:line="276" w:lineRule="auto"/>
        <w:jc w:val="center"/>
        <w:rPr>
          <w:szCs w:val="24"/>
        </w:rPr>
      </w:pPr>
      <w:r w:rsidRPr="00347762">
        <w:rPr>
          <w:noProof/>
          <w:szCs w:val="24"/>
        </w:rPr>
        <w:drawing>
          <wp:inline distT="0" distB="0" distL="0" distR="0" wp14:anchorId="528FD8D5" wp14:editId="2DA1231F">
            <wp:extent cx="5856315" cy="2948940"/>
            <wp:effectExtent l="0" t="0" r="0" b="3810"/>
            <wp:docPr id="14189644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79002" cy="2960364"/>
                    </a:xfrm>
                    <a:prstGeom prst="rect">
                      <a:avLst/>
                    </a:prstGeom>
                    <a:noFill/>
                    <a:ln>
                      <a:noFill/>
                    </a:ln>
                  </pic:spPr>
                </pic:pic>
              </a:graphicData>
            </a:graphic>
          </wp:inline>
        </w:drawing>
      </w:r>
    </w:p>
    <w:p w14:paraId="1DC79C60" w14:textId="7F4BE6A8" w:rsidR="009E342D" w:rsidRPr="002415DE" w:rsidRDefault="009E342D" w:rsidP="00D07E98">
      <w:pPr>
        <w:pStyle w:val="FigureCaption"/>
      </w:pPr>
      <w:r w:rsidRPr="002415DE">
        <w:t>Figure 1- Overall architecture of the GA-IT2 FIS Pipeline Process</w:t>
      </w:r>
    </w:p>
    <w:p w14:paraId="510CF576" w14:textId="29E54DFB" w:rsidR="005C7AA1" w:rsidRPr="005C7AA1" w:rsidRDefault="005C7AA1" w:rsidP="00D07E98">
      <w:pPr>
        <w:pStyle w:val="Heading2"/>
      </w:pPr>
      <w:r w:rsidRPr="005C7AA1">
        <w:lastRenderedPageBreak/>
        <w:t>Variables: inputs and output</w:t>
      </w:r>
    </w:p>
    <w:p w14:paraId="793193D2" w14:textId="77777777" w:rsidR="005C7AA1" w:rsidRDefault="005C7AA1" w:rsidP="00D07E98">
      <w:pPr>
        <w:pStyle w:val="Paragraph"/>
      </w:pPr>
      <w:r w:rsidRPr="005C7AA1">
        <w:t>The modelling problem uses six predictor variables and one continuous target variable. Each variable is continuous and derived from institutional OBE records.</w:t>
      </w:r>
    </w:p>
    <w:p w14:paraId="7E00C4F7" w14:textId="375FF2BD" w:rsidR="005C7AA1" w:rsidRPr="005C7AA1" w:rsidRDefault="005C7AA1" w:rsidP="00D07E98">
      <w:pPr>
        <w:pStyle w:val="TableCaption"/>
      </w:pPr>
      <w:r w:rsidRPr="005C7AA1">
        <w:t xml:space="preserve">Table </w:t>
      </w:r>
      <w:r w:rsidR="00442349">
        <w:t xml:space="preserve">2 - </w:t>
      </w:r>
      <w:r w:rsidRPr="005C7AA1">
        <w:t>Variables (inputs and output)</w:t>
      </w:r>
    </w:p>
    <w:tbl>
      <w:tblPr>
        <w:tblStyle w:val="TableGrid"/>
        <w:tblW w:w="5000" w:type="pct"/>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4"/>
        <w:gridCol w:w="773"/>
        <w:gridCol w:w="1140"/>
        <w:gridCol w:w="5683"/>
      </w:tblGrid>
      <w:tr w:rsidR="005C7AA1" w:rsidRPr="00D07E98" w14:paraId="68BA713C" w14:textId="77777777" w:rsidTr="00D07E98">
        <w:trPr>
          <w:jc w:val="center"/>
        </w:trPr>
        <w:tc>
          <w:tcPr>
            <w:tcW w:w="942" w:type="pct"/>
            <w:tcBorders>
              <w:bottom w:val="single" w:sz="4" w:space="0" w:color="auto"/>
            </w:tcBorders>
            <w:hideMark/>
          </w:tcPr>
          <w:p w14:paraId="7E91244C" w14:textId="77777777" w:rsidR="005C7AA1" w:rsidRPr="00D07E98" w:rsidRDefault="005C7AA1" w:rsidP="00E706A0">
            <w:pPr>
              <w:spacing w:line="276" w:lineRule="auto"/>
              <w:rPr>
                <w:b/>
                <w:bCs/>
                <w:sz w:val="20"/>
              </w:rPr>
            </w:pPr>
            <w:r w:rsidRPr="00D07E98">
              <w:rPr>
                <w:b/>
                <w:bCs/>
                <w:sz w:val="20"/>
              </w:rPr>
              <w:t>Variable name</w:t>
            </w:r>
          </w:p>
        </w:tc>
        <w:tc>
          <w:tcPr>
            <w:tcW w:w="413" w:type="pct"/>
            <w:tcBorders>
              <w:bottom w:val="single" w:sz="4" w:space="0" w:color="auto"/>
            </w:tcBorders>
            <w:hideMark/>
          </w:tcPr>
          <w:p w14:paraId="212A7F75" w14:textId="77777777" w:rsidR="005C7AA1" w:rsidRPr="00D07E98" w:rsidRDefault="005C7AA1" w:rsidP="00E706A0">
            <w:pPr>
              <w:spacing w:line="276" w:lineRule="auto"/>
              <w:rPr>
                <w:b/>
                <w:bCs/>
                <w:sz w:val="20"/>
              </w:rPr>
            </w:pPr>
            <w:r w:rsidRPr="00D07E98">
              <w:rPr>
                <w:b/>
                <w:bCs/>
                <w:sz w:val="20"/>
              </w:rPr>
              <w:t>Role</w:t>
            </w:r>
          </w:p>
        </w:tc>
        <w:tc>
          <w:tcPr>
            <w:tcW w:w="609" w:type="pct"/>
            <w:tcBorders>
              <w:bottom w:val="single" w:sz="4" w:space="0" w:color="auto"/>
            </w:tcBorders>
            <w:hideMark/>
          </w:tcPr>
          <w:p w14:paraId="76686B1D" w14:textId="77777777" w:rsidR="005C7AA1" w:rsidRPr="00D07E98" w:rsidRDefault="005C7AA1" w:rsidP="00E706A0">
            <w:pPr>
              <w:spacing w:line="276" w:lineRule="auto"/>
              <w:rPr>
                <w:b/>
                <w:bCs/>
                <w:sz w:val="20"/>
              </w:rPr>
            </w:pPr>
            <w:r w:rsidRPr="00D07E98">
              <w:rPr>
                <w:b/>
                <w:bCs/>
                <w:sz w:val="20"/>
              </w:rPr>
              <w:t>Type</w:t>
            </w:r>
          </w:p>
        </w:tc>
        <w:tc>
          <w:tcPr>
            <w:tcW w:w="3036" w:type="pct"/>
            <w:tcBorders>
              <w:bottom w:val="single" w:sz="4" w:space="0" w:color="auto"/>
            </w:tcBorders>
            <w:hideMark/>
          </w:tcPr>
          <w:p w14:paraId="1EE23FE8" w14:textId="77777777" w:rsidR="005C7AA1" w:rsidRPr="00D07E98" w:rsidRDefault="005C7AA1" w:rsidP="00E706A0">
            <w:pPr>
              <w:spacing w:line="276" w:lineRule="auto"/>
              <w:rPr>
                <w:b/>
                <w:bCs/>
                <w:sz w:val="20"/>
              </w:rPr>
            </w:pPr>
            <w:r w:rsidRPr="00D07E98">
              <w:rPr>
                <w:b/>
                <w:bCs/>
                <w:sz w:val="20"/>
              </w:rPr>
              <w:t>Short description / preprocessing</w:t>
            </w:r>
          </w:p>
        </w:tc>
      </w:tr>
      <w:tr w:rsidR="005C7AA1" w:rsidRPr="00D07E98" w14:paraId="763ADA89" w14:textId="77777777" w:rsidTr="00D07E98">
        <w:trPr>
          <w:jc w:val="center"/>
        </w:trPr>
        <w:tc>
          <w:tcPr>
            <w:tcW w:w="942" w:type="pct"/>
            <w:hideMark/>
          </w:tcPr>
          <w:p w14:paraId="5396EF5A" w14:textId="017AF94F" w:rsidR="005C7AA1" w:rsidRPr="00D07E98" w:rsidRDefault="005C7AA1" w:rsidP="00E706A0">
            <w:pPr>
              <w:spacing w:line="276" w:lineRule="auto"/>
              <w:rPr>
                <w:sz w:val="20"/>
              </w:rPr>
            </w:pPr>
            <w:r w:rsidRPr="00D07E98">
              <w:rPr>
                <w:sz w:val="20"/>
              </w:rPr>
              <w:t>Student</w:t>
            </w:r>
            <w:r w:rsidR="00722FF1" w:rsidRPr="00D07E98">
              <w:rPr>
                <w:sz w:val="20"/>
              </w:rPr>
              <w:t xml:space="preserve"> </w:t>
            </w:r>
            <w:r w:rsidRPr="00D07E98">
              <w:rPr>
                <w:sz w:val="20"/>
              </w:rPr>
              <w:t>Performance</w:t>
            </w:r>
          </w:p>
        </w:tc>
        <w:tc>
          <w:tcPr>
            <w:tcW w:w="413" w:type="pct"/>
            <w:hideMark/>
          </w:tcPr>
          <w:p w14:paraId="60692064" w14:textId="77777777" w:rsidR="005C7AA1" w:rsidRPr="00D07E98" w:rsidRDefault="005C7AA1" w:rsidP="00E706A0">
            <w:pPr>
              <w:spacing w:line="276" w:lineRule="auto"/>
              <w:rPr>
                <w:sz w:val="20"/>
              </w:rPr>
            </w:pPr>
            <w:r w:rsidRPr="00D07E98">
              <w:rPr>
                <w:sz w:val="20"/>
              </w:rPr>
              <w:t>Input</w:t>
            </w:r>
          </w:p>
        </w:tc>
        <w:tc>
          <w:tcPr>
            <w:tcW w:w="609" w:type="pct"/>
            <w:hideMark/>
          </w:tcPr>
          <w:p w14:paraId="3C0C8E38" w14:textId="77777777" w:rsidR="005C7AA1" w:rsidRPr="00D07E98" w:rsidRDefault="005C7AA1" w:rsidP="00E706A0">
            <w:pPr>
              <w:spacing w:line="276" w:lineRule="auto"/>
              <w:rPr>
                <w:sz w:val="20"/>
              </w:rPr>
            </w:pPr>
            <w:r w:rsidRPr="00D07E98">
              <w:rPr>
                <w:sz w:val="20"/>
              </w:rPr>
              <w:t>Continuous</w:t>
            </w:r>
          </w:p>
        </w:tc>
        <w:tc>
          <w:tcPr>
            <w:tcW w:w="3036" w:type="pct"/>
            <w:hideMark/>
          </w:tcPr>
          <w:p w14:paraId="48B8D7C7" w14:textId="77777777" w:rsidR="005C7AA1" w:rsidRPr="00D07E98" w:rsidRDefault="005C7AA1" w:rsidP="00E706A0">
            <w:pPr>
              <w:spacing w:line="276" w:lineRule="auto"/>
              <w:rPr>
                <w:sz w:val="20"/>
              </w:rPr>
            </w:pPr>
            <w:r w:rsidRPr="00D07E98">
              <w:rPr>
                <w:sz w:val="20"/>
              </w:rPr>
              <w:t xml:space="preserve">Aggregated score (exam + assignments). Standardize (train mean, </w:t>
            </w:r>
            <w:proofErr w:type="spellStart"/>
            <w:r w:rsidRPr="00D07E98">
              <w:rPr>
                <w:sz w:val="20"/>
              </w:rPr>
              <w:t>sd</w:t>
            </w:r>
            <w:proofErr w:type="spellEnd"/>
            <w:r w:rsidRPr="00D07E98">
              <w:rPr>
                <w:sz w:val="20"/>
              </w:rPr>
              <w:t>). Cap at 1st/99th percentiles if extreme.</w:t>
            </w:r>
          </w:p>
        </w:tc>
      </w:tr>
      <w:tr w:rsidR="005C7AA1" w:rsidRPr="00D07E98" w14:paraId="39E14874" w14:textId="77777777" w:rsidTr="00D07E98">
        <w:trPr>
          <w:jc w:val="center"/>
        </w:trPr>
        <w:tc>
          <w:tcPr>
            <w:tcW w:w="942" w:type="pct"/>
            <w:hideMark/>
          </w:tcPr>
          <w:p w14:paraId="4ADEB387" w14:textId="7DE84BD7" w:rsidR="005C7AA1" w:rsidRPr="00D07E98" w:rsidRDefault="005C7AA1" w:rsidP="00E706A0">
            <w:pPr>
              <w:spacing w:line="276" w:lineRule="auto"/>
              <w:rPr>
                <w:sz w:val="20"/>
              </w:rPr>
            </w:pPr>
            <w:r w:rsidRPr="00D07E98">
              <w:rPr>
                <w:sz w:val="20"/>
              </w:rPr>
              <w:t>Course</w:t>
            </w:r>
            <w:r w:rsidR="00722FF1" w:rsidRPr="00D07E98">
              <w:rPr>
                <w:sz w:val="20"/>
              </w:rPr>
              <w:t xml:space="preserve"> </w:t>
            </w:r>
            <w:r w:rsidRPr="00D07E98">
              <w:rPr>
                <w:sz w:val="20"/>
              </w:rPr>
              <w:t>Complexity</w:t>
            </w:r>
          </w:p>
        </w:tc>
        <w:tc>
          <w:tcPr>
            <w:tcW w:w="413" w:type="pct"/>
            <w:hideMark/>
          </w:tcPr>
          <w:p w14:paraId="5C9A2253" w14:textId="77777777" w:rsidR="005C7AA1" w:rsidRPr="00D07E98" w:rsidRDefault="005C7AA1" w:rsidP="00E706A0">
            <w:pPr>
              <w:spacing w:line="276" w:lineRule="auto"/>
              <w:rPr>
                <w:sz w:val="20"/>
              </w:rPr>
            </w:pPr>
            <w:r w:rsidRPr="00D07E98">
              <w:rPr>
                <w:sz w:val="20"/>
              </w:rPr>
              <w:t>Input</w:t>
            </w:r>
          </w:p>
        </w:tc>
        <w:tc>
          <w:tcPr>
            <w:tcW w:w="609" w:type="pct"/>
            <w:hideMark/>
          </w:tcPr>
          <w:p w14:paraId="2023B3A7" w14:textId="77777777" w:rsidR="005C7AA1" w:rsidRPr="00D07E98" w:rsidRDefault="005C7AA1" w:rsidP="00E706A0">
            <w:pPr>
              <w:spacing w:line="276" w:lineRule="auto"/>
              <w:rPr>
                <w:sz w:val="20"/>
              </w:rPr>
            </w:pPr>
            <w:r w:rsidRPr="00D07E98">
              <w:rPr>
                <w:sz w:val="20"/>
              </w:rPr>
              <w:t>Continuous</w:t>
            </w:r>
          </w:p>
        </w:tc>
        <w:tc>
          <w:tcPr>
            <w:tcW w:w="3036" w:type="pct"/>
            <w:hideMark/>
          </w:tcPr>
          <w:p w14:paraId="14AFDDEB" w14:textId="77777777" w:rsidR="005C7AA1" w:rsidRPr="00D07E98" w:rsidRDefault="005C7AA1" w:rsidP="00E706A0">
            <w:pPr>
              <w:spacing w:line="276" w:lineRule="auto"/>
              <w:rPr>
                <w:sz w:val="20"/>
              </w:rPr>
            </w:pPr>
            <w:r w:rsidRPr="00D07E98">
              <w:rPr>
                <w:sz w:val="20"/>
              </w:rPr>
              <w:t>Numeric index of course difficulty. Standardize. If ordinal originally, convert to numeric mapping before scaling.</w:t>
            </w:r>
          </w:p>
        </w:tc>
      </w:tr>
      <w:tr w:rsidR="005C7AA1" w:rsidRPr="00D07E98" w14:paraId="7147100A" w14:textId="77777777" w:rsidTr="00D07E98">
        <w:trPr>
          <w:jc w:val="center"/>
        </w:trPr>
        <w:tc>
          <w:tcPr>
            <w:tcW w:w="942" w:type="pct"/>
            <w:hideMark/>
          </w:tcPr>
          <w:p w14:paraId="12A559F1" w14:textId="5115DBF2" w:rsidR="005C7AA1" w:rsidRPr="00D07E98" w:rsidRDefault="005C7AA1" w:rsidP="00E706A0">
            <w:pPr>
              <w:spacing w:line="276" w:lineRule="auto"/>
              <w:rPr>
                <w:sz w:val="20"/>
              </w:rPr>
            </w:pPr>
            <w:r w:rsidRPr="00D07E98">
              <w:rPr>
                <w:sz w:val="20"/>
              </w:rPr>
              <w:t>Faculty</w:t>
            </w:r>
            <w:r w:rsidR="00722FF1" w:rsidRPr="00D07E98">
              <w:rPr>
                <w:sz w:val="20"/>
              </w:rPr>
              <w:t xml:space="preserve"> </w:t>
            </w:r>
            <w:r w:rsidRPr="00D07E98">
              <w:rPr>
                <w:sz w:val="20"/>
              </w:rPr>
              <w:t>Effectiveness</w:t>
            </w:r>
          </w:p>
        </w:tc>
        <w:tc>
          <w:tcPr>
            <w:tcW w:w="413" w:type="pct"/>
            <w:hideMark/>
          </w:tcPr>
          <w:p w14:paraId="6C78372F" w14:textId="77777777" w:rsidR="005C7AA1" w:rsidRPr="00D07E98" w:rsidRDefault="005C7AA1" w:rsidP="00E706A0">
            <w:pPr>
              <w:spacing w:line="276" w:lineRule="auto"/>
              <w:rPr>
                <w:sz w:val="20"/>
              </w:rPr>
            </w:pPr>
            <w:r w:rsidRPr="00D07E98">
              <w:rPr>
                <w:sz w:val="20"/>
              </w:rPr>
              <w:t>Input</w:t>
            </w:r>
          </w:p>
        </w:tc>
        <w:tc>
          <w:tcPr>
            <w:tcW w:w="609" w:type="pct"/>
            <w:hideMark/>
          </w:tcPr>
          <w:p w14:paraId="5AE9EE99" w14:textId="77777777" w:rsidR="005C7AA1" w:rsidRPr="00D07E98" w:rsidRDefault="005C7AA1" w:rsidP="00E706A0">
            <w:pPr>
              <w:spacing w:line="276" w:lineRule="auto"/>
              <w:rPr>
                <w:sz w:val="20"/>
              </w:rPr>
            </w:pPr>
            <w:r w:rsidRPr="00D07E98">
              <w:rPr>
                <w:sz w:val="20"/>
              </w:rPr>
              <w:t>Continuous</w:t>
            </w:r>
          </w:p>
        </w:tc>
        <w:tc>
          <w:tcPr>
            <w:tcW w:w="3036" w:type="pct"/>
            <w:hideMark/>
          </w:tcPr>
          <w:p w14:paraId="5B734C68" w14:textId="77777777" w:rsidR="005C7AA1" w:rsidRPr="00D07E98" w:rsidRDefault="005C7AA1" w:rsidP="00E706A0">
            <w:pPr>
              <w:spacing w:line="276" w:lineRule="auto"/>
              <w:rPr>
                <w:sz w:val="20"/>
              </w:rPr>
            </w:pPr>
            <w:r w:rsidRPr="00D07E98">
              <w:rPr>
                <w:sz w:val="20"/>
              </w:rPr>
              <w:t>Composite measure (student ratings + performance metrics). Standardize; missing values handled by interval imputation during robustness tests.</w:t>
            </w:r>
          </w:p>
        </w:tc>
      </w:tr>
      <w:tr w:rsidR="005C7AA1" w:rsidRPr="00D07E98" w14:paraId="609A36E3" w14:textId="77777777" w:rsidTr="00D07E98">
        <w:trPr>
          <w:jc w:val="center"/>
        </w:trPr>
        <w:tc>
          <w:tcPr>
            <w:tcW w:w="942" w:type="pct"/>
            <w:hideMark/>
          </w:tcPr>
          <w:p w14:paraId="4E3F3CCE" w14:textId="766C8DB3" w:rsidR="005C7AA1" w:rsidRPr="00D07E98" w:rsidRDefault="005C7AA1" w:rsidP="00E706A0">
            <w:pPr>
              <w:spacing w:line="276" w:lineRule="auto"/>
              <w:rPr>
                <w:sz w:val="20"/>
              </w:rPr>
            </w:pPr>
            <w:r w:rsidRPr="00D07E98">
              <w:rPr>
                <w:sz w:val="20"/>
              </w:rPr>
              <w:t>Assessment</w:t>
            </w:r>
            <w:r w:rsidR="00722FF1" w:rsidRPr="00D07E98">
              <w:rPr>
                <w:sz w:val="20"/>
              </w:rPr>
              <w:t xml:space="preserve"> </w:t>
            </w:r>
            <w:r w:rsidRPr="00D07E98">
              <w:rPr>
                <w:sz w:val="20"/>
              </w:rPr>
              <w:t>Rigour</w:t>
            </w:r>
          </w:p>
        </w:tc>
        <w:tc>
          <w:tcPr>
            <w:tcW w:w="413" w:type="pct"/>
            <w:hideMark/>
          </w:tcPr>
          <w:p w14:paraId="6B0C7756" w14:textId="77777777" w:rsidR="005C7AA1" w:rsidRPr="00D07E98" w:rsidRDefault="005C7AA1" w:rsidP="00E706A0">
            <w:pPr>
              <w:spacing w:line="276" w:lineRule="auto"/>
              <w:rPr>
                <w:sz w:val="20"/>
              </w:rPr>
            </w:pPr>
            <w:r w:rsidRPr="00D07E98">
              <w:rPr>
                <w:sz w:val="20"/>
              </w:rPr>
              <w:t>Input</w:t>
            </w:r>
          </w:p>
        </w:tc>
        <w:tc>
          <w:tcPr>
            <w:tcW w:w="609" w:type="pct"/>
            <w:hideMark/>
          </w:tcPr>
          <w:p w14:paraId="584B098A" w14:textId="77777777" w:rsidR="005C7AA1" w:rsidRPr="00D07E98" w:rsidRDefault="005C7AA1" w:rsidP="00E706A0">
            <w:pPr>
              <w:spacing w:line="276" w:lineRule="auto"/>
              <w:rPr>
                <w:sz w:val="20"/>
              </w:rPr>
            </w:pPr>
            <w:r w:rsidRPr="00D07E98">
              <w:rPr>
                <w:sz w:val="20"/>
              </w:rPr>
              <w:t>Continuous</w:t>
            </w:r>
          </w:p>
        </w:tc>
        <w:tc>
          <w:tcPr>
            <w:tcW w:w="3036" w:type="pct"/>
            <w:hideMark/>
          </w:tcPr>
          <w:p w14:paraId="51B9D12B" w14:textId="77777777" w:rsidR="005C7AA1" w:rsidRPr="00D07E98" w:rsidRDefault="005C7AA1" w:rsidP="00E706A0">
            <w:pPr>
              <w:spacing w:line="276" w:lineRule="auto"/>
              <w:rPr>
                <w:sz w:val="20"/>
              </w:rPr>
            </w:pPr>
            <w:r w:rsidRPr="00D07E98">
              <w:rPr>
                <w:sz w:val="20"/>
              </w:rPr>
              <w:t>Score measuring assessment tightness (rubric strictness). Standardize.</w:t>
            </w:r>
          </w:p>
        </w:tc>
      </w:tr>
      <w:tr w:rsidR="005C7AA1" w:rsidRPr="00D07E98" w14:paraId="736C4515" w14:textId="77777777" w:rsidTr="00D07E98">
        <w:trPr>
          <w:jc w:val="center"/>
        </w:trPr>
        <w:tc>
          <w:tcPr>
            <w:tcW w:w="942" w:type="pct"/>
            <w:hideMark/>
          </w:tcPr>
          <w:p w14:paraId="17387B42" w14:textId="31812438" w:rsidR="005C7AA1" w:rsidRPr="00D07E98" w:rsidRDefault="005C7AA1" w:rsidP="00E706A0">
            <w:pPr>
              <w:spacing w:line="276" w:lineRule="auto"/>
              <w:rPr>
                <w:sz w:val="20"/>
              </w:rPr>
            </w:pPr>
            <w:r w:rsidRPr="00D07E98">
              <w:rPr>
                <w:sz w:val="20"/>
              </w:rPr>
              <w:t>Student</w:t>
            </w:r>
            <w:r w:rsidR="00722FF1" w:rsidRPr="00D07E98">
              <w:rPr>
                <w:sz w:val="20"/>
              </w:rPr>
              <w:t xml:space="preserve"> </w:t>
            </w:r>
            <w:r w:rsidRPr="00D07E98">
              <w:rPr>
                <w:sz w:val="20"/>
              </w:rPr>
              <w:t>Engagement</w:t>
            </w:r>
          </w:p>
        </w:tc>
        <w:tc>
          <w:tcPr>
            <w:tcW w:w="413" w:type="pct"/>
            <w:hideMark/>
          </w:tcPr>
          <w:p w14:paraId="6CDD4FD1" w14:textId="77777777" w:rsidR="005C7AA1" w:rsidRPr="00D07E98" w:rsidRDefault="005C7AA1" w:rsidP="00E706A0">
            <w:pPr>
              <w:spacing w:line="276" w:lineRule="auto"/>
              <w:rPr>
                <w:sz w:val="20"/>
              </w:rPr>
            </w:pPr>
            <w:r w:rsidRPr="00D07E98">
              <w:rPr>
                <w:sz w:val="20"/>
              </w:rPr>
              <w:t>Input</w:t>
            </w:r>
          </w:p>
        </w:tc>
        <w:tc>
          <w:tcPr>
            <w:tcW w:w="609" w:type="pct"/>
            <w:hideMark/>
          </w:tcPr>
          <w:p w14:paraId="014BF1A7" w14:textId="77777777" w:rsidR="005C7AA1" w:rsidRPr="00D07E98" w:rsidRDefault="005C7AA1" w:rsidP="00E706A0">
            <w:pPr>
              <w:spacing w:line="276" w:lineRule="auto"/>
              <w:rPr>
                <w:sz w:val="20"/>
              </w:rPr>
            </w:pPr>
            <w:r w:rsidRPr="00D07E98">
              <w:rPr>
                <w:sz w:val="20"/>
              </w:rPr>
              <w:t>Continuous</w:t>
            </w:r>
          </w:p>
        </w:tc>
        <w:tc>
          <w:tcPr>
            <w:tcW w:w="3036" w:type="pct"/>
            <w:hideMark/>
          </w:tcPr>
          <w:p w14:paraId="5982365C" w14:textId="77777777" w:rsidR="005C7AA1" w:rsidRPr="00D07E98" w:rsidRDefault="005C7AA1" w:rsidP="00E706A0">
            <w:pPr>
              <w:spacing w:line="276" w:lineRule="auto"/>
              <w:rPr>
                <w:sz w:val="20"/>
              </w:rPr>
            </w:pPr>
            <w:r w:rsidRPr="00D07E98">
              <w:rPr>
                <w:sz w:val="20"/>
              </w:rPr>
              <w:t>Engagement index (attendance, LMS activity). Standardize; outliers capped.</w:t>
            </w:r>
          </w:p>
        </w:tc>
      </w:tr>
      <w:tr w:rsidR="005C7AA1" w:rsidRPr="00D07E98" w14:paraId="00244020" w14:textId="77777777" w:rsidTr="00D07E98">
        <w:trPr>
          <w:jc w:val="center"/>
        </w:trPr>
        <w:tc>
          <w:tcPr>
            <w:tcW w:w="942" w:type="pct"/>
            <w:hideMark/>
          </w:tcPr>
          <w:p w14:paraId="1BA31DE2" w14:textId="785FB972" w:rsidR="005C7AA1" w:rsidRPr="00D07E98" w:rsidRDefault="005C7AA1" w:rsidP="00E706A0">
            <w:pPr>
              <w:spacing w:line="276" w:lineRule="auto"/>
              <w:rPr>
                <w:sz w:val="20"/>
              </w:rPr>
            </w:pPr>
            <w:r w:rsidRPr="00D07E98">
              <w:rPr>
                <w:sz w:val="20"/>
              </w:rPr>
              <w:t>Teaching</w:t>
            </w:r>
            <w:r w:rsidR="00722FF1" w:rsidRPr="00D07E98">
              <w:rPr>
                <w:sz w:val="20"/>
              </w:rPr>
              <w:t xml:space="preserve"> </w:t>
            </w:r>
            <w:r w:rsidRPr="00D07E98">
              <w:rPr>
                <w:sz w:val="20"/>
              </w:rPr>
              <w:t>Quality</w:t>
            </w:r>
            <w:r w:rsidR="00722FF1" w:rsidRPr="00D07E98">
              <w:rPr>
                <w:sz w:val="20"/>
              </w:rPr>
              <w:t xml:space="preserve"> </w:t>
            </w:r>
            <w:r w:rsidRPr="00D07E98">
              <w:rPr>
                <w:sz w:val="20"/>
              </w:rPr>
              <w:t>Feedback</w:t>
            </w:r>
          </w:p>
        </w:tc>
        <w:tc>
          <w:tcPr>
            <w:tcW w:w="413" w:type="pct"/>
            <w:hideMark/>
          </w:tcPr>
          <w:p w14:paraId="5BBE2644" w14:textId="77777777" w:rsidR="005C7AA1" w:rsidRPr="00D07E98" w:rsidRDefault="005C7AA1" w:rsidP="00E706A0">
            <w:pPr>
              <w:spacing w:line="276" w:lineRule="auto"/>
              <w:rPr>
                <w:sz w:val="20"/>
              </w:rPr>
            </w:pPr>
            <w:r w:rsidRPr="00D07E98">
              <w:rPr>
                <w:sz w:val="20"/>
              </w:rPr>
              <w:t>Input</w:t>
            </w:r>
          </w:p>
        </w:tc>
        <w:tc>
          <w:tcPr>
            <w:tcW w:w="609" w:type="pct"/>
            <w:hideMark/>
          </w:tcPr>
          <w:p w14:paraId="28CEDD44" w14:textId="77777777" w:rsidR="005C7AA1" w:rsidRPr="00D07E98" w:rsidRDefault="005C7AA1" w:rsidP="00E706A0">
            <w:pPr>
              <w:spacing w:line="276" w:lineRule="auto"/>
              <w:rPr>
                <w:sz w:val="20"/>
              </w:rPr>
            </w:pPr>
            <w:r w:rsidRPr="00D07E98">
              <w:rPr>
                <w:sz w:val="20"/>
              </w:rPr>
              <w:t>Continuous</w:t>
            </w:r>
          </w:p>
        </w:tc>
        <w:tc>
          <w:tcPr>
            <w:tcW w:w="3036" w:type="pct"/>
            <w:hideMark/>
          </w:tcPr>
          <w:p w14:paraId="230B3606" w14:textId="77777777" w:rsidR="005C7AA1" w:rsidRPr="00D07E98" w:rsidRDefault="005C7AA1" w:rsidP="00E706A0">
            <w:pPr>
              <w:spacing w:line="276" w:lineRule="auto"/>
              <w:rPr>
                <w:sz w:val="20"/>
              </w:rPr>
            </w:pPr>
            <w:r w:rsidRPr="00D07E98">
              <w:rPr>
                <w:sz w:val="20"/>
              </w:rPr>
              <w:t>Post-course feedback metric. Standardize.</w:t>
            </w:r>
          </w:p>
        </w:tc>
      </w:tr>
      <w:tr w:rsidR="005C7AA1" w:rsidRPr="00D07E98" w14:paraId="301D5DC2" w14:textId="77777777" w:rsidTr="00D07E98">
        <w:trPr>
          <w:jc w:val="center"/>
        </w:trPr>
        <w:tc>
          <w:tcPr>
            <w:tcW w:w="942" w:type="pct"/>
            <w:hideMark/>
          </w:tcPr>
          <w:p w14:paraId="09BCCB18" w14:textId="63FB5CF7" w:rsidR="005C7AA1" w:rsidRPr="00D07E98" w:rsidRDefault="005C7AA1" w:rsidP="00E706A0">
            <w:pPr>
              <w:spacing w:line="276" w:lineRule="auto"/>
              <w:rPr>
                <w:sz w:val="20"/>
              </w:rPr>
            </w:pPr>
            <w:r w:rsidRPr="00D07E98">
              <w:rPr>
                <w:sz w:val="20"/>
              </w:rPr>
              <w:t>CO</w:t>
            </w:r>
            <w:r w:rsidR="00722FF1" w:rsidRPr="00D07E98">
              <w:rPr>
                <w:sz w:val="20"/>
              </w:rPr>
              <w:t>-</w:t>
            </w:r>
            <w:r w:rsidRPr="00D07E98">
              <w:rPr>
                <w:sz w:val="20"/>
              </w:rPr>
              <w:t>PO</w:t>
            </w:r>
            <w:r w:rsidR="00722FF1" w:rsidRPr="00D07E98">
              <w:rPr>
                <w:sz w:val="20"/>
              </w:rPr>
              <w:t xml:space="preserve"> </w:t>
            </w:r>
            <w:r w:rsidRPr="00D07E98">
              <w:rPr>
                <w:sz w:val="20"/>
              </w:rPr>
              <w:t>Attainment</w:t>
            </w:r>
          </w:p>
        </w:tc>
        <w:tc>
          <w:tcPr>
            <w:tcW w:w="413" w:type="pct"/>
            <w:hideMark/>
          </w:tcPr>
          <w:p w14:paraId="2AC8056E" w14:textId="77777777" w:rsidR="005C7AA1" w:rsidRPr="00D07E98" w:rsidRDefault="005C7AA1" w:rsidP="00E706A0">
            <w:pPr>
              <w:spacing w:line="276" w:lineRule="auto"/>
              <w:rPr>
                <w:sz w:val="20"/>
              </w:rPr>
            </w:pPr>
            <w:r w:rsidRPr="00D07E98">
              <w:rPr>
                <w:sz w:val="20"/>
              </w:rPr>
              <w:t>Output</w:t>
            </w:r>
          </w:p>
        </w:tc>
        <w:tc>
          <w:tcPr>
            <w:tcW w:w="609" w:type="pct"/>
            <w:hideMark/>
          </w:tcPr>
          <w:p w14:paraId="5685072B" w14:textId="77777777" w:rsidR="005C7AA1" w:rsidRPr="00D07E98" w:rsidRDefault="005C7AA1" w:rsidP="00E706A0">
            <w:pPr>
              <w:spacing w:line="276" w:lineRule="auto"/>
              <w:rPr>
                <w:sz w:val="20"/>
              </w:rPr>
            </w:pPr>
            <w:r w:rsidRPr="00D07E98">
              <w:rPr>
                <w:sz w:val="20"/>
              </w:rPr>
              <w:t>Continuous</w:t>
            </w:r>
          </w:p>
        </w:tc>
        <w:tc>
          <w:tcPr>
            <w:tcW w:w="3036" w:type="pct"/>
            <w:hideMark/>
          </w:tcPr>
          <w:p w14:paraId="4870F2BF" w14:textId="77777777" w:rsidR="005C7AA1" w:rsidRPr="00D07E98" w:rsidRDefault="005C7AA1" w:rsidP="00E706A0">
            <w:pPr>
              <w:spacing w:line="276" w:lineRule="auto"/>
              <w:rPr>
                <w:sz w:val="20"/>
              </w:rPr>
            </w:pPr>
            <w:r w:rsidRPr="00D07E98">
              <w:rPr>
                <w:sz w:val="20"/>
              </w:rPr>
              <w:t>Course Outcome / Program Outcome attainment (target). Normalized to [0,1] for fuzzy consequents and evaluation.</w:t>
            </w:r>
          </w:p>
        </w:tc>
      </w:tr>
    </w:tbl>
    <w:p w14:paraId="71A2A32E" w14:textId="0DE8658E" w:rsidR="005C7AA1" w:rsidRPr="00E706A0" w:rsidRDefault="005C7AA1" w:rsidP="00D07E98">
      <w:pPr>
        <w:pStyle w:val="Paragraph"/>
      </w:pPr>
      <w:r w:rsidRPr="005C7AA1">
        <w:t>Notes: All continuous inputs are standardized using statistics computed on the training set and then applied to validation</w:t>
      </w:r>
      <w:r w:rsidR="003808F9">
        <w:t xml:space="preserve"> </w:t>
      </w:r>
      <w:r w:rsidRPr="005C7AA1">
        <w:t>test sets. The target CO</w:t>
      </w:r>
      <w:r w:rsidR="00722FF1">
        <w:t>-</w:t>
      </w:r>
      <w:r w:rsidRPr="005C7AA1">
        <w:t>PO</w:t>
      </w:r>
      <w:r w:rsidR="00722FF1">
        <w:t xml:space="preserve"> </w:t>
      </w:r>
      <w:r w:rsidRPr="005C7AA1">
        <w:t>Attainment is linearly scaled into [0,1]</w:t>
      </w:r>
      <w:r w:rsidR="00E8422C">
        <w:t xml:space="preserve"> </w:t>
      </w:r>
      <w:r w:rsidRPr="005C7AA1">
        <w:t>[0,1]</w:t>
      </w:r>
      <w:r w:rsidR="00E8422C">
        <w:t xml:space="preserve"> </w:t>
      </w:r>
      <w:r w:rsidRPr="005C7AA1">
        <w:t>[0,1] for consistent fuzzy consequents and interval computation.</w:t>
      </w:r>
    </w:p>
    <w:p w14:paraId="18069C25" w14:textId="793819E5" w:rsidR="000B3B91" w:rsidRPr="0017690F" w:rsidRDefault="00000000" w:rsidP="00D07E98">
      <w:pPr>
        <w:pStyle w:val="Paragraph"/>
        <w:rPr>
          <w:rFonts w:eastAsiaTheme="minorEastAsia"/>
          <w:noProof/>
          <w:sz w:val="24"/>
          <w:szCs w:val="24"/>
        </w:rPr>
      </w:pPr>
      <m:oMath>
        <m:sSub>
          <m:sSubPr>
            <m:ctrlPr>
              <w:rPr>
                <w:rFonts w:ascii="Cambria Math" w:hAnsi="Cambria Math"/>
                <w:sz w:val="24"/>
                <w:szCs w:val="24"/>
              </w:rPr>
            </m:ctrlPr>
          </m:sSubPr>
          <m:e>
            <m:r>
              <w:rPr>
                <w:rFonts w:ascii="Cambria Math" w:hAnsi="Cambria Math"/>
                <w:sz w:val="24"/>
                <w:szCs w:val="24"/>
              </w:rPr>
              <m:t>UMF</m:t>
            </m:r>
          </m:e>
          <m:sub>
            <m:r>
              <w:rPr>
                <w:rFonts w:ascii="Cambria Math" w:hAnsi="Cambria Math"/>
                <w:sz w:val="24"/>
                <w:szCs w:val="24"/>
              </w:rPr>
              <m:t>j</m:t>
            </m:r>
            <m:r>
              <m:rPr>
                <m:sty m:val="p"/>
              </m:rPr>
              <w:rPr>
                <w:rFonts w:ascii="Cambria Math" w:hAnsi="Cambria Math"/>
                <w:sz w:val="24"/>
                <w:szCs w:val="24"/>
              </w:rPr>
              <m:t>,</m:t>
            </m:r>
            <m:r>
              <w:rPr>
                <w:rFonts w:ascii="Cambria Math" w:hAnsi="Cambria Math"/>
                <w:sz w:val="24"/>
                <w:szCs w:val="24"/>
              </w:rPr>
              <m:t>t</m:t>
            </m:r>
          </m:sub>
        </m:sSub>
        <m:d>
          <m:dPr>
            <m:ctrlPr>
              <w:rPr>
                <w:rFonts w:ascii="Cambria Math" w:hAnsi="Cambria Math"/>
                <w:sz w:val="24"/>
                <w:szCs w:val="24"/>
              </w:rPr>
            </m:ctrlPr>
          </m:dPr>
          <m:e>
            <m:r>
              <w:rPr>
                <w:rFonts w:ascii="Cambria Math" w:hAnsi="Cambria Math"/>
              </w:rPr>
              <m:t>x</m:t>
            </m:r>
          </m:e>
        </m:d>
        <m:r>
          <m:rPr>
            <m:sty m:val="p"/>
          </m:rPr>
          <w:rPr>
            <w:rFonts w:ascii="Cambria Math" w:hAnsi="Cambria Math"/>
          </w:rPr>
          <m:t>=</m:t>
        </m:r>
        <m:d>
          <m:dPr>
            <m:begChr m:val="{"/>
            <m:endChr m:val=""/>
            <m:ctrlPr>
              <w:rPr>
                <w:rFonts w:ascii="Cambria Math" w:hAnsi="Cambria Math"/>
                <w:sz w:val="24"/>
                <w:szCs w:val="24"/>
              </w:rPr>
            </m:ctrlPr>
          </m:dPr>
          <m:e>
            <m:eqArr>
              <m:eqArrPr>
                <m:ctrlPr>
                  <w:rPr>
                    <w:rFonts w:ascii="Cambria Math" w:hAnsi="Cambria Math"/>
                    <w:sz w:val="24"/>
                    <w:szCs w:val="24"/>
                  </w:rPr>
                </m:ctrlPr>
              </m:eqArrPr>
              <m:e>
                <m:r>
                  <m:rPr>
                    <m:sty m:val="p"/>
                  </m:rPr>
                  <w:rPr>
                    <w:rFonts w:ascii="Cambria Math" w:hAnsi="Cambria Math"/>
                  </w:rPr>
                  <m:t>0,  &amp;</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j</m:t>
                    </m:r>
                    <m:r>
                      <m:rPr>
                        <m:sty m:val="p"/>
                      </m:rPr>
                      <w:rPr>
                        <w:rFonts w:ascii="Cambria Math" w:hAnsi="Cambria Math"/>
                      </w:rPr>
                      <m:t>.</m:t>
                    </m:r>
                    <m:r>
                      <w:rPr>
                        <w:rFonts w:ascii="Cambria Math" w:hAnsi="Cambria Math"/>
                      </w:rPr>
                      <m:t>t</m:t>
                    </m:r>
                  </m:sub>
                </m:sSub>
              </m:e>
              <m:e>
                <m:f>
                  <m:fPr>
                    <m:ctrlPr>
                      <w:rPr>
                        <w:rFonts w:ascii="Cambria Math" w:hAnsi="Cambria Math"/>
                      </w:rPr>
                    </m:ctrlPr>
                  </m:fPr>
                  <m:num>
                    <m:sSub>
                      <m:sSubPr>
                        <m:ctrlPr>
                          <w:rPr>
                            <w:rFonts w:ascii="Cambria Math" w:hAnsi="Cambria Math"/>
                          </w:rPr>
                        </m:ctrlPr>
                      </m:sSubPr>
                      <m:e>
                        <m:r>
                          <w:rPr>
                            <w:rFonts w:ascii="Cambria Math" w:hAnsi="Cambria Math"/>
                          </w:rPr>
                          <m:t>x</m:t>
                        </m:r>
                        <m:r>
                          <m:rPr>
                            <m:sty m:val="p"/>
                          </m:rPr>
                          <w:rPr>
                            <w:rFonts w:ascii="Cambria Math" w:hAnsi="Cambria Math"/>
                          </w:rPr>
                          <m:t>-</m:t>
                        </m:r>
                        <m:r>
                          <w:rPr>
                            <w:rFonts w:ascii="Cambria Math" w:hAnsi="Cambria Math"/>
                          </w:rPr>
                          <m:t>a</m:t>
                        </m:r>
                      </m:e>
                      <m:sub>
                        <m:r>
                          <w:rPr>
                            <w:rFonts w:ascii="Cambria Math" w:hAnsi="Cambria Math"/>
                          </w:rPr>
                          <m:t>j</m:t>
                        </m:r>
                        <m:r>
                          <m:rPr>
                            <m:sty m:val="p"/>
                          </m:rPr>
                          <w:rPr>
                            <w:rFonts w:ascii="Cambria Math" w:hAnsi="Cambria Math"/>
                          </w:rPr>
                          <m:t>,</m:t>
                        </m:r>
                        <m:r>
                          <w:rPr>
                            <w:rFonts w:ascii="Cambria Math" w:hAnsi="Cambria Math"/>
                          </w:rPr>
                          <m:t>t</m:t>
                        </m:r>
                      </m:sub>
                    </m:sSub>
                  </m:num>
                  <m:den>
                    <m:sSub>
                      <m:sSubPr>
                        <m:ctrlPr>
                          <w:rPr>
                            <w:rFonts w:ascii="Cambria Math" w:hAnsi="Cambria Math"/>
                          </w:rPr>
                        </m:ctrlPr>
                      </m:sSubPr>
                      <m:e>
                        <m:r>
                          <w:rPr>
                            <w:rFonts w:ascii="Cambria Math" w:hAnsi="Cambria Math"/>
                          </w:rPr>
                          <m:t>b</m:t>
                        </m:r>
                      </m:e>
                      <m:sub>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j</m:t>
                        </m:r>
                        <m:r>
                          <m:rPr>
                            <m:sty m:val="p"/>
                          </m:rPr>
                          <w:rPr>
                            <w:rFonts w:ascii="Cambria Math" w:hAnsi="Cambria Math"/>
                          </w:rPr>
                          <m:t>,</m:t>
                        </m:r>
                        <m:r>
                          <w:rPr>
                            <w:rFonts w:ascii="Cambria Math" w:hAnsi="Cambria Math"/>
                          </w:rPr>
                          <m:t>t</m:t>
                        </m:r>
                      </m:sub>
                    </m:sSub>
                  </m:den>
                </m:f>
                <m:r>
                  <m:rPr>
                    <m:sty m:val="p"/>
                  </m:rPr>
                  <w:rPr>
                    <w:rFonts w:ascii="Cambria Math" w:hAnsi="Cambria Math"/>
                  </w:rPr>
                  <m:t>,  &amp;</m:t>
                </m:r>
                <m:sSub>
                  <m:sSubPr>
                    <m:ctrlPr>
                      <w:rPr>
                        <w:rFonts w:ascii="Cambria Math" w:hAnsi="Cambria Math"/>
                      </w:rPr>
                    </m:ctrlPr>
                  </m:sSubPr>
                  <m:e>
                    <m:r>
                      <w:rPr>
                        <w:rFonts w:ascii="Cambria Math" w:hAnsi="Cambria Math"/>
                      </w:rPr>
                      <m:t>a</m:t>
                    </m:r>
                  </m:e>
                  <m:sub>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&lt;</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j</m:t>
                    </m:r>
                    <m:r>
                      <m:rPr>
                        <m:sty m:val="p"/>
                      </m:rPr>
                      <w:rPr>
                        <w:rFonts w:ascii="Cambria Math" w:hAnsi="Cambria Math"/>
                      </w:rPr>
                      <m:t>,</m:t>
                    </m:r>
                    <m:r>
                      <w:rPr>
                        <w:rFonts w:ascii="Cambria Math" w:hAnsi="Cambria Math"/>
                      </w:rPr>
                      <m:t>t</m:t>
                    </m:r>
                  </m:sub>
                </m:sSub>
                <m:ctrlPr>
                  <w:rPr>
                    <w:rFonts w:ascii="Cambria Math" w:eastAsia="Cambria Math" w:hAnsi="Cambria Math" w:cs="Cambria Math"/>
                  </w:rPr>
                </m:ctrlPr>
              </m:e>
              <m:e>
                <m:f>
                  <m:fPr>
                    <m:ctrlPr>
                      <w:rPr>
                        <w:rFonts w:ascii="Cambria Math" w:hAnsi="Cambria Math"/>
                      </w:rPr>
                    </m:ctrlPr>
                  </m:fPr>
                  <m:num>
                    <m:sSub>
                      <m:sSubPr>
                        <m:ctrlPr>
                          <w:rPr>
                            <w:rFonts w:ascii="Cambria Math" w:hAnsi="Cambria Math"/>
                          </w:rPr>
                        </m:ctrlPr>
                      </m:sSubPr>
                      <m:e>
                        <m:r>
                          <w:rPr>
                            <w:rFonts w:ascii="Cambria Math" w:hAnsi="Cambria Math"/>
                          </w:rPr>
                          <m:t>c</m:t>
                        </m:r>
                      </m:e>
                      <m:sub>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r>
                      <w:rPr>
                        <w:rFonts w:ascii="Cambria Math" w:hAnsi="Cambria Math"/>
                      </w:rPr>
                      <m:t>x</m:t>
                    </m:r>
                  </m:num>
                  <m:den>
                    <m:sSub>
                      <m:sSubPr>
                        <m:ctrlPr>
                          <w:rPr>
                            <w:rFonts w:ascii="Cambria Math" w:hAnsi="Cambria Math"/>
                          </w:rPr>
                        </m:ctrlPr>
                      </m:sSubPr>
                      <m:e>
                        <m:r>
                          <w:rPr>
                            <w:rFonts w:ascii="Cambria Math" w:hAnsi="Cambria Math"/>
                          </w:rPr>
                          <m:t>c</m:t>
                        </m:r>
                      </m:e>
                      <m:sub>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m:t>
                    </m:r>
                    <m:sSub>
                      <m:sSubPr>
                        <m:ctrlPr>
                          <w:rPr>
                            <w:rFonts w:ascii="Cambria Math" w:hAnsi="Cambria Math"/>
                          </w:rPr>
                        </m:ctrlPr>
                      </m:sSubPr>
                      <m:e>
                        <m:r>
                          <w:rPr>
                            <w:rFonts w:ascii="Cambria Math" w:hAnsi="Cambria Math"/>
                          </w:rPr>
                          <m:t>b</m:t>
                        </m:r>
                      </m:e>
                      <m:sub>
                        <m:r>
                          <w:rPr>
                            <w:rFonts w:ascii="Cambria Math" w:hAnsi="Cambria Math"/>
                          </w:rPr>
                          <m:t>j</m:t>
                        </m:r>
                        <m:r>
                          <m:rPr>
                            <m:sty m:val="p"/>
                          </m:rPr>
                          <w:rPr>
                            <w:rFonts w:ascii="Cambria Math" w:hAnsi="Cambria Math"/>
                          </w:rPr>
                          <m:t>,</m:t>
                        </m:r>
                        <m:r>
                          <w:rPr>
                            <w:rFonts w:ascii="Cambria Math" w:hAnsi="Cambria Math"/>
                          </w:rPr>
                          <m:t>t</m:t>
                        </m:r>
                      </m:sub>
                    </m:sSub>
                  </m:den>
                </m:f>
                <m:r>
                  <m:rPr>
                    <m:sty m:val="p"/>
                  </m:rPr>
                  <w:rPr>
                    <w:rFonts w:ascii="Cambria Math" w:hAnsi="Cambria Math"/>
                  </w:rPr>
                  <m:t>,  &amp;</m:t>
                </m:r>
                <m:sSub>
                  <m:sSubPr>
                    <m:ctrlPr>
                      <w:rPr>
                        <w:rFonts w:ascii="Cambria Math" w:hAnsi="Cambria Math"/>
                      </w:rPr>
                    </m:ctrlPr>
                  </m:sSubPr>
                  <m:e>
                    <m:r>
                      <w:rPr>
                        <w:rFonts w:ascii="Cambria Math" w:hAnsi="Cambria Math"/>
                      </w:rPr>
                      <m:t>b</m:t>
                    </m:r>
                  </m:e>
                  <m:sub>
                    <m:r>
                      <w:rPr>
                        <w:rFonts w:ascii="Cambria Math" w:hAnsi="Cambria Math"/>
                      </w:rPr>
                      <m:t>j</m:t>
                    </m:r>
                    <m:r>
                      <m:rPr>
                        <m:sty m:val="p"/>
                      </m:rPr>
                      <w:rPr>
                        <w:rFonts w:ascii="Cambria Math" w:hAnsi="Cambria Math"/>
                      </w:rPr>
                      <m:t>,</m:t>
                    </m:r>
                    <m:r>
                      <w:rPr>
                        <w:rFonts w:ascii="Cambria Math" w:hAnsi="Cambria Math"/>
                      </w:rPr>
                      <m:t>t</m:t>
                    </m:r>
                  </m:sub>
                </m:sSub>
                <m:r>
                  <m:rPr>
                    <m:sty m:val="p"/>
                  </m:rPr>
                  <w:rPr>
                    <w:rFonts w:ascii="Cambria Math" w:hAnsi="Cambria Math"/>
                  </w:rPr>
                  <m:t>&lt;</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j</m:t>
                    </m:r>
                    <m:r>
                      <m:rPr>
                        <m:sty m:val="p"/>
                      </m:rPr>
                      <w:rPr>
                        <w:rFonts w:ascii="Cambria Math" w:hAnsi="Cambria Math"/>
                      </w:rPr>
                      <m:t>,</m:t>
                    </m:r>
                    <m:r>
                      <w:rPr>
                        <w:rFonts w:ascii="Cambria Math" w:hAnsi="Cambria Math"/>
                      </w:rPr>
                      <m:t>t</m:t>
                    </m:r>
                  </m:sub>
                </m:sSub>
                <m:ctrlPr>
                  <w:rPr>
                    <w:rFonts w:ascii="Cambria Math" w:eastAsia="Cambria Math" w:hAnsi="Cambria Math" w:cs="Cambria Math"/>
                  </w:rPr>
                </m:ctrlPr>
              </m:e>
              <m:e>
                <m:r>
                  <m:rPr>
                    <m:sty m:val="p"/>
                  </m:rPr>
                  <w:rPr>
                    <w:rFonts w:ascii="Cambria Math" w:hAnsi="Cambria Math"/>
                  </w:rPr>
                  <m:t>0,  &amp;</m:t>
                </m:r>
                <m:r>
                  <w:rPr>
                    <w:rFonts w:ascii="Cambria Math" w:hAnsi="Cambria Math"/>
                  </w:rPr>
                  <m:t>x</m:t>
                </m:r>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j</m:t>
                    </m:r>
                    <m:r>
                      <m:rPr>
                        <m:sty m:val="p"/>
                      </m:rPr>
                      <w:rPr>
                        <w:rFonts w:ascii="Cambria Math" w:hAnsi="Cambria Math"/>
                      </w:rPr>
                      <m:t>.</m:t>
                    </m:r>
                    <m:r>
                      <w:rPr>
                        <w:rFonts w:ascii="Cambria Math" w:hAnsi="Cambria Math"/>
                      </w:rPr>
                      <m:t>t</m:t>
                    </m:r>
                  </m:sub>
                </m:sSub>
              </m:e>
            </m:eqArr>
          </m:e>
        </m:d>
      </m:oMath>
      <w:r w:rsidR="009F7577">
        <w:rPr>
          <w:rFonts w:eastAsiaTheme="minorEastAsia"/>
          <w:noProof/>
          <w:sz w:val="24"/>
          <w:szCs w:val="24"/>
        </w:rPr>
        <w:t xml:space="preserve">                               (1)</w:t>
      </w:r>
    </w:p>
    <w:p w14:paraId="7F25B105" w14:textId="07FBAF78" w:rsidR="0017690F" w:rsidRDefault="0017690F" w:rsidP="00D07E98">
      <w:pPr>
        <w:pStyle w:val="Paragraph"/>
        <w:rPr>
          <w:rFonts w:eastAsiaTheme="minorEastAsia"/>
          <w:noProof/>
          <w:sz w:val="24"/>
          <w:szCs w:val="24"/>
        </w:rPr>
      </w:pPr>
      <w:r>
        <w:rPr>
          <w:rFonts w:eastAsiaTheme="minorEastAsia"/>
          <w:noProof/>
          <w:sz w:val="24"/>
          <w:szCs w:val="24"/>
        </w:rPr>
        <w:t xml:space="preserve">LMF is a triangular function with the same center </w:t>
      </w:r>
      <m:oMath>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b</m:t>
            </m:r>
          </m:e>
          <m:sub>
            <m:r>
              <w:rPr>
                <w:rFonts w:ascii="Cambria Math" w:eastAsiaTheme="minorEastAsia" w:hAnsi="Cambria Math"/>
                <w:noProof/>
                <w:sz w:val="24"/>
                <w:szCs w:val="24"/>
              </w:rPr>
              <m:t>j</m:t>
            </m:r>
            <m:r>
              <m:rPr>
                <m:sty m:val="p"/>
              </m:rPr>
              <w:rPr>
                <w:rFonts w:ascii="Cambria Math" w:eastAsiaTheme="minorEastAsia" w:hAnsi="Cambria Math"/>
                <w:noProof/>
                <w:sz w:val="24"/>
                <w:szCs w:val="24"/>
              </w:rPr>
              <m:t>,</m:t>
            </m:r>
            <m:r>
              <w:rPr>
                <w:rFonts w:ascii="Cambria Math" w:eastAsiaTheme="minorEastAsia" w:hAnsi="Cambria Math"/>
                <w:noProof/>
                <w:sz w:val="24"/>
                <w:szCs w:val="24"/>
              </w:rPr>
              <m:t>t</m:t>
            </m:r>
          </m:sub>
        </m:sSub>
      </m:oMath>
      <w:r>
        <w:rPr>
          <w:rFonts w:eastAsiaTheme="minorEastAsia"/>
          <w:noProof/>
          <w:sz w:val="24"/>
          <w:szCs w:val="24"/>
        </w:rPr>
        <w:t xml:space="preserve"> but reduced spread:</w:t>
      </w:r>
    </w:p>
    <w:p w14:paraId="2BECBC75" w14:textId="4FA5A059" w:rsidR="0017690F" w:rsidRPr="00ED30E7" w:rsidRDefault="00000000" w:rsidP="00D07E98">
      <w:pPr>
        <w:pStyle w:val="Paragraph"/>
        <w:rPr>
          <w:rFonts w:eastAsiaTheme="minorEastAsia"/>
          <w:noProof/>
          <w:sz w:val="24"/>
          <w:szCs w:val="24"/>
        </w:rPr>
      </w:pPr>
      <m:oMath>
        <m:sSubSup>
          <m:sSubSupPr>
            <m:ctrlPr>
              <w:rPr>
                <w:rFonts w:ascii="Cambria Math" w:eastAsiaTheme="minorEastAsia" w:hAnsi="Cambria Math"/>
                <w:noProof/>
                <w:sz w:val="24"/>
                <w:szCs w:val="24"/>
              </w:rPr>
            </m:ctrlPr>
          </m:sSubSupPr>
          <m:e>
            <m:r>
              <w:rPr>
                <w:rFonts w:ascii="Cambria Math" w:eastAsiaTheme="minorEastAsia" w:hAnsi="Cambria Math"/>
                <w:noProof/>
                <w:sz w:val="24"/>
                <w:szCs w:val="24"/>
              </w:rPr>
              <m:t>a</m:t>
            </m:r>
          </m:e>
          <m:sub>
            <m:r>
              <w:rPr>
                <w:rFonts w:ascii="Cambria Math" w:eastAsiaTheme="minorEastAsia" w:hAnsi="Cambria Math"/>
                <w:noProof/>
                <w:sz w:val="24"/>
                <w:szCs w:val="24"/>
              </w:rPr>
              <m:t>j</m:t>
            </m:r>
            <m:r>
              <m:rPr>
                <m:sty m:val="p"/>
              </m:rPr>
              <w:rPr>
                <w:rFonts w:ascii="Cambria Math" w:eastAsiaTheme="minorEastAsia" w:hAnsi="Cambria Math"/>
                <w:noProof/>
                <w:sz w:val="24"/>
                <w:szCs w:val="24"/>
              </w:rPr>
              <m:t>,</m:t>
            </m:r>
            <m:r>
              <w:rPr>
                <w:rFonts w:ascii="Cambria Math" w:eastAsiaTheme="minorEastAsia" w:hAnsi="Cambria Math"/>
                <w:noProof/>
                <w:sz w:val="24"/>
                <w:szCs w:val="24"/>
              </w:rPr>
              <m:t>t</m:t>
            </m:r>
          </m:sub>
          <m:sup>
            <m:r>
              <m:rPr>
                <m:sty m:val="p"/>
              </m:rPr>
              <w:rPr>
                <w:rFonts w:ascii="Cambria Math" w:eastAsiaTheme="minorEastAsia" w:hAnsi="Cambria Math"/>
                <w:noProof/>
                <w:sz w:val="24"/>
                <w:szCs w:val="24"/>
              </w:rPr>
              <m:t>(</m:t>
            </m:r>
            <m:r>
              <w:rPr>
                <w:rFonts w:ascii="Cambria Math" w:eastAsiaTheme="minorEastAsia" w:hAnsi="Cambria Math"/>
                <w:noProof/>
                <w:sz w:val="24"/>
                <w:szCs w:val="24"/>
              </w:rPr>
              <m:t>L</m:t>
            </m:r>
            <m:r>
              <m:rPr>
                <m:sty m:val="p"/>
              </m:rPr>
              <w:rPr>
                <w:rFonts w:ascii="Cambria Math" w:eastAsiaTheme="minorEastAsia" w:hAnsi="Cambria Math"/>
                <w:noProof/>
                <w:sz w:val="24"/>
                <w:szCs w:val="24"/>
              </w:rPr>
              <m:t>)</m:t>
            </m:r>
          </m:sup>
        </m:sSubSup>
        <m:r>
          <m:rPr>
            <m:sty m:val="p"/>
          </m:rPr>
          <w:rPr>
            <w:rFonts w:ascii="Cambria Math" w:eastAsiaTheme="minorEastAsia" w:hAnsi="Cambria Math"/>
            <w:noProof/>
            <w:sz w:val="24"/>
            <w:szCs w:val="24"/>
          </w:rPr>
          <m:t>=</m:t>
        </m:r>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b</m:t>
            </m:r>
          </m:e>
          <m:sub>
            <m:r>
              <w:rPr>
                <w:rFonts w:ascii="Cambria Math" w:eastAsiaTheme="minorEastAsia" w:hAnsi="Cambria Math"/>
                <w:noProof/>
                <w:sz w:val="24"/>
                <w:szCs w:val="24"/>
              </w:rPr>
              <m:t>j</m:t>
            </m:r>
            <m:r>
              <m:rPr>
                <m:sty m:val="p"/>
              </m:rPr>
              <w:rPr>
                <w:rFonts w:ascii="Cambria Math" w:eastAsiaTheme="minorEastAsia" w:hAnsi="Cambria Math"/>
                <w:noProof/>
                <w:sz w:val="24"/>
                <w:szCs w:val="24"/>
              </w:rPr>
              <m:t>,</m:t>
            </m:r>
            <m:r>
              <w:rPr>
                <w:rFonts w:ascii="Cambria Math" w:eastAsiaTheme="minorEastAsia" w:hAnsi="Cambria Math"/>
                <w:noProof/>
                <w:sz w:val="24"/>
                <w:szCs w:val="24"/>
              </w:rPr>
              <m:t>t</m:t>
            </m:r>
          </m:sub>
        </m:sSub>
        <m:r>
          <m:rPr>
            <m:sty m:val="p"/>
          </m:rPr>
          <w:rPr>
            <w:rFonts w:ascii="Cambria Math" w:eastAsiaTheme="minorEastAsia" w:hAnsi="Cambria Math"/>
            <w:noProof/>
            <w:sz w:val="24"/>
            <w:szCs w:val="24"/>
          </w:rPr>
          <m:t>-</m:t>
        </m:r>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s</m:t>
            </m:r>
          </m:e>
          <m:sub>
            <m:r>
              <w:rPr>
                <w:rFonts w:ascii="Cambria Math" w:eastAsiaTheme="minorEastAsia" w:hAnsi="Cambria Math"/>
                <w:noProof/>
                <w:sz w:val="24"/>
                <w:szCs w:val="24"/>
              </w:rPr>
              <m:t>j</m:t>
            </m:r>
          </m:sub>
        </m:sSub>
        <m:d>
          <m:dPr>
            <m:ctrlPr>
              <w:rPr>
                <w:rFonts w:ascii="Cambria Math" w:eastAsiaTheme="minorEastAsia" w:hAnsi="Cambria Math"/>
                <w:noProof/>
                <w:sz w:val="24"/>
                <w:szCs w:val="24"/>
              </w:rPr>
            </m:ctrlPr>
          </m:dPr>
          <m:e>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b</m:t>
                </m:r>
              </m:e>
              <m:sub>
                <m:r>
                  <w:rPr>
                    <w:rFonts w:ascii="Cambria Math" w:eastAsiaTheme="minorEastAsia" w:hAnsi="Cambria Math"/>
                    <w:noProof/>
                    <w:sz w:val="24"/>
                    <w:szCs w:val="24"/>
                  </w:rPr>
                  <m:t>j</m:t>
                </m:r>
                <m:r>
                  <m:rPr>
                    <m:sty m:val="p"/>
                  </m:rPr>
                  <w:rPr>
                    <w:rFonts w:ascii="Cambria Math" w:eastAsiaTheme="minorEastAsia" w:hAnsi="Cambria Math"/>
                    <w:noProof/>
                    <w:sz w:val="24"/>
                    <w:szCs w:val="24"/>
                  </w:rPr>
                  <m:t>,</m:t>
                </m:r>
                <m:r>
                  <w:rPr>
                    <w:rFonts w:ascii="Cambria Math" w:eastAsiaTheme="minorEastAsia" w:hAnsi="Cambria Math"/>
                    <w:noProof/>
                    <w:sz w:val="24"/>
                    <w:szCs w:val="24"/>
                  </w:rPr>
                  <m:t>t</m:t>
                </m:r>
              </m:sub>
            </m:sSub>
            <m:r>
              <m:rPr>
                <m:sty m:val="p"/>
              </m:rPr>
              <w:rPr>
                <w:rFonts w:ascii="Cambria Math" w:eastAsiaTheme="minorEastAsia" w:hAnsi="Cambria Math"/>
                <w:noProof/>
                <w:sz w:val="24"/>
                <w:szCs w:val="24"/>
              </w:rPr>
              <m:t>-</m:t>
            </m:r>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a</m:t>
                </m:r>
              </m:e>
              <m:sub>
                <m:r>
                  <w:rPr>
                    <w:rFonts w:ascii="Cambria Math" w:eastAsiaTheme="minorEastAsia" w:hAnsi="Cambria Math"/>
                    <w:noProof/>
                    <w:sz w:val="24"/>
                    <w:szCs w:val="24"/>
                  </w:rPr>
                  <m:t>j</m:t>
                </m:r>
                <m:r>
                  <m:rPr>
                    <m:sty m:val="p"/>
                  </m:rPr>
                  <w:rPr>
                    <w:rFonts w:ascii="Cambria Math" w:eastAsiaTheme="minorEastAsia" w:hAnsi="Cambria Math"/>
                    <w:noProof/>
                    <w:sz w:val="24"/>
                    <w:szCs w:val="24"/>
                  </w:rPr>
                  <m:t>,</m:t>
                </m:r>
                <m:r>
                  <w:rPr>
                    <w:rFonts w:ascii="Cambria Math" w:eastAsiaTheme="minorEastAsia" w:hAnsi="Cambria Math"/>
                    <w:noProof/>
                    <w:sz w:val="24"/>
                    <w:szCs w:val="24"/>
                  </w:rPr>
                  <m:t>t</m:t>
                </m:r>
              </m:sub>
            </m:sSub>
          </m:e>
        </m:d>
        <m:r>
          <m:rPr>
            <m:sty m:val="p"/>
          </m:rPr>
          <w:rPr>
            <w:rFonts w:ascii="Cambria Math" w:eastAsiaTheme="minorEastAsia" w:hAnsi="Cambria Math"/>
            <w:noProof/>
            <w:sz w:val="24"/>
            <w:szCs w:val="24"/>
          </w:rPr>
          <m:t xml:space="preserve">,  </m:t>
        </m:r>
        <m:sSubSup>
          <m:sSubSupPr>
            <m:ctrlPr>
              <w:rPr>
                <w:rFonts w:ascii="Cambria Math" w:eastAsiaTheme="minorEastAsia" w:hAnsi="Cambria Math"/>
                <w:noProof/>
                <w:sz w:val="24"/>
                <w:szCs w:val="24"/>
              </w:rPr>
            </m:ctrlPr>
          </m:sSubSupPr>
          <m:e>
            <m:r>
              <w:rPr>
                <w:rFonts w:ascii="Cambria Math" w:eastAsiaTheme="minorEastAsia" w:hAnsi="Cambria Math"/>
                <w:noProof/>
                <w:sz w:val="24"/>
                <w:szCs w:val="24"/>
              </w:rPr>
              <m:t>c</m:t>
            </m:r>
          </m:e>
          <m:sub>
            <m:r>
              <w:rPr>
                <w:rFonts w:ascii="Cambria Math" w:eastAsiaTheme="minorEastAsia" w:hAnsi="Cambria Math"/>
                <w:noProof/>
                <w:sz w:val="24"/>
                <w:szCs w:val="24"/>
              </w:rPr>
              <m:t>j</m:t>
            </m:r>
            <m:r>
              <m:rPr>
                <m:sty m:val="p"/>
              </m:rPr>
              <w:rPr>
                <w:rFonts w:ascii="Cambria Math" w:eastAsiaTheme="minorEastAsia" w:hAnsi="Cambria Math"/>
                <w:noProof/>
                <w:sz w:val="24"/>
                <w:szCs w:val="24"/>
              </w:rPr>
              <m:t>,</m:t>
            </m:r>
            <m:r>
              <w:rPr>
                <w:rFonts w:ascii="Cambria Math" w:eastAsiaTheme="minorEastAsia" w:hAnsi="Cambria Math"/>
                <w:noProof/>
                <w:sz w:val="24"/>
                <w:szCs w:val="24"/>
              </w:rPr>
              <m:t>t</m:t>
            </m:r>
          </m:sub>
          <m:sup>
            <m:d>
              <m:dPr>
                <m:ctrlPr>
                  <w:rPr>
                    <w:rFonts w:ascii="Cambria Math" w:eastAsiaTheme="minorEastAsia" w:hAnsi="Cambria Math"/>
                    <w:noProof/>
                    <w:sz w:val="24"/>
                    <w:szCs w:val="24"/>
                  </w:rPr>
                </m:ctrlPr>
              </m:dPr>
              <m:e>
                <m:r>
                  <w:rPr>
                    <w:rFonts w:ascii="Cambria Math" w:eastAsiaTheme="minorEastAsia" w:hAnsi="Cambria Math"/>
                    <w:noProof/>
                    <w:sz w:val="24"/>
                    <w:szCs w:val="24"/>
                  </w:rPr>
                  <m:t>L</m:t>
                </m:r>
              </m:e>
            </m:d>
          </m:sup>
        </m:sSubSup>
        <m:r>
          <m:rPr>
            <m:sty m:val="p"/>
          </m:rPr>
          <w:rPr>
            <w:rFonts w:ascii="Cambria Math" w:eastAsiaTheme="minorEastAsia" w:hAnsi="Cambria Math"/>
            <w:noProof/>
            <w:sz w:val="24"/>
            <w:szCs w:val="24"/>
          </w:rPr>
          <m:t>=</m:t>
        </m:r>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b</m:t>
            </m:r>
          </m:e>
          <m:sub>
            <m:r>
              <w:rPr>
                <w:rFonts w:ascii="Cambria Math" w:eastAsiaTheme="minorEastAsia" w:hAnsi="Cambria Math"/>
                <w:noProof/>
                <w:sz w:val="24"/>
                <w:szCs w:val="24"/>
              </w:rPr>
              <m:t>j</m:t>
            </m:r>
            <m:r>
              <m:rPr>
                <m:sty m:val="p"/>
              </m:rPr>
              <w:rPr>
                <w:rFonts w:ascii="Cambria Math" w:eastAsiaTheme="minorEastAsia" w:hAnsi="Cambria Math"/>
                <w:noProof/>
                <w:sz w:val="24"/>
                <w:szCs w:val="24"/>
              </w:rPr>
              <m:t>,</m:t>
            </m:r>
            <m:r>
              <w:rPr>
                <w:rFonts w:ascii="Cambria Math" w:eastAsiaTheme="minorEastAsia" w:hAnsi="Cambria Math"/>
                <w:noProof/>
                <w:sz w:val="24"/>
                <w:szCs w:val="24"/>
              </w:rPr>
              <m:t>t</m:t>
            </m:r>
          </m:sub>
        </m:sSub>
        <m:r>
          <m:rPr>
            <m:sty m:val="p"/>
          </m:rPr>
          <w:rPr>
            <w:rFonts w:ascii="Cambria Math" w:eastAsiaTheme="minorEastAsia" w:hAnsi="Cambria Math"/>
            <w:noProof/>
            <w:sz w:val="24"/>
            <w:szCs w:val="24"/>
          </w:rPr>
          <m:t>+</m:t>
        </m:r>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s</m:t>
            </m:r>
          </m:e>
          <m:sub>
            <m:r>
              <w:rPr>
                <w:rFonts w:ascii="Cambria Math" w:eastAsiaTheme="minorEastAsia" w:hAnsi="Cambria Math"/>
                <w:noProof/>
                <w:sz w:val="24"/>
                <w:szCs w:val="24"/>
              </w:rPr>
              <m:t>j</m:t>
            </m:r>
          </m:sub>
        </m:sSub>
        <m:r>
          <m:rPr>
            <m:sty m:val="p"/>
          </m:rPr>
          <w:rPr>
            <w:rFonts w:ascii="Cambria Math" w:eastAsiaTheme="minorEastAsia" w:hAnsi="Cambria Math"/>
            <w:noProof/>
            <w:sz w:val="24"/>
            <w:szCs w:val="24"/>
          </w:rPr>
          <m:t>(</m:t>
        </m:r>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c</m:t>
            </m:r>
          </m:e>
          <m:sub>
            <m:r>
              <w:rPr>
                <w:rFonts w:ascii="Cambria Math" w:eastAsiaTheme="minorEastAsia" w:hAnsi="Cambria Math"/>
                <w:noProof/>
                <w:sz w:val="24"/>
                <w:szCs w:val="24"/>
              </w:rPr>
              <m:t>j</m:t>
            </m:r>
            <m:r>
              <m:rPr>
                <m:sty m:val="p"/>
              </m:rPr>
              <w:rPr>
                <w:rFonts w:ascii="Cambria Math" w:eastAsiaTheme="minorEastAsia" w:hAnsi="Cambria Math"/>
                <w:noProof/>
                <w:sz w:val="24"/>
                <w:szCs w:val="24"/>
              </w:rPr>
              <m:t>,</m:t>
            </m:r>
            <m:r>
              <w:rPr>
                <w:rFonts w:ascii="Cambria Math" w:eastAsiaTheme="minorEastAsia" w:hAnsi="Cambria Math"/>
                <w:noProof/>
                <w:sz w:val="24"/>
                <w:szCs w:val="24"/>
              </w:rPr>
              <m:t>t</m:t>
            </m:r>
          </m:sub>
        </m:sSub>
        <m:r>
          <m:rPr>
            <m:sty m:val="p"/>
          </m:rPr>
          <w:rPr>
            <w:rFonts w:ascii="Cambria Math" w:eastAsiaTheme="minorEastAsia" w:hAnsi="Cambria Math"/>
            <w:noProof/>
            <w:sz w:val="24"/>
            <w:szCs w:val="24"/>
          </w:rPr>
          <m:t>-</m:t>
        </m:r>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b</m:t>
            </m:r>
          </m:e>
          <m:sub>
            <m:r>
              <w:rPr>
                <w:rFonts w:ascii="Cambria Math" w:eastAsiaTheme="minorEastAsia" w:hAnsi="Cambria Math"/>
                <w:noProof/>
                <w:sz w:val="24"/>
                <w:szCs w:val="24"/>
              </w:rPr>
              <m:t>j</m:t>
            </m:r>
            <m:r>
              <m:rPr>
                <m:sty m:val="p"/>
              </m:rPr>
              <w:rPr>
                <w:rFonts w:ascii="Cambria Math" w:eastAsiaTheme="minorEastAsia" w:hAnsi="Cambria Math"/>
                <w:noProof/>
                <w:sz w:val="24"/>
                <w:szCs w:val="24"/>
              </w:rPr>
              <m:t>,</m:t>
            </m:r>
            <m:r>
              <w:rPr>
                <w:rFonts w:ascii="Cambria Math" w:eastAsiaTheme="minorEastAsia" w:hAnsi="Cambria Math"/>
                <w:noProof/>
                <w:sz w:val="24"/>
                <w:szCs w:val="24"/>
              </w:rPr>
              <m:t>t</m:t>
            </m:r>
          </m:sub>
        </m:sSub>
        <m:r>
          <m:rPr>
            <m:sty m:val="p"/>
          </m:rPr>
          <w:rPr>
            <w:rFonts w:ascii="Cambria Math" w:eastAsiaTheme="minorEastAsia" w:hAnsi="Cambria Math"/>
            <w:noProof/>
            <w:sz w:val="24"/>
            <w:szCs w:val="24"/>
          </w:rPr>
          <m:t>)</m:t>
        </m:r>
      </m:oMath>
      <w:r w:rsidR="009F7577">
        <w:rPr>
          <w:rFonts w:eastAsiaTheme="minorEastAsia"/>
          <w:noProof/>
          <w:sz w:val="24"/>
          <w:szCs w:val="24"/>
        </w:rPr>
        <w:t xml:space="preserve">                                  (2)</w:t>
      </w:r>
    </w:p>
    <w:p w14:paraId="3FA85915" w14:textId="796FFAF0" w:rsidR="000B3B91" w:rsidRDefault="00ED30E7" w:rsidP="00D07E98">
      <w:pPr>
        <w:pStyle w:val="Paragraph"/>
        <w:rPr>
          <w:rFonts w:eastAsiaTheme="minorEastAsia"/>
          <w:noProof/>
          <w:sz w:val="24"/>
          <w:szCs w:val="24"/>
        </w:rPr>
      </w:pPr>
      <w:r>
        <w:rPr>
          <w:rFonts w:eastAsiaTheme="minorEastAsia"/>
          <w:noProof/>
          <w:sz w:val="24"/>
          <w:szCs w:val="24"/>
        </w:rPr>
        <w:t xml:space="preserve">Where </w:t>
      </w:r>
      <m:oMath>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s</m:t>
            </m:r>
          </m:e>
          <m:sub>
            <m:r>
              <w:rPr>
                <w:rFonts w:ascii="Cambria Math" w:eastAsiaTheme="minorEastAsia" w:hAnsi="Cambria Math"/>
                <w:noProof/>
                <w:sz w:val="24"/>
                <w:szCs w:val="24"/>
              </w:rPr>
              <m:t>j</m:t>
            </m:r>
          </m:sub>
        </m:sSub>
        <m:r>
          <m:rPr>
            <m:sty m:val="p"/>
          </m:rPr>
          <w:rPr>
            <w:rFonts w:ascii="Cambria Math" w:eastAsiaTheme="minorEastAsia" w:hAnsi="Cambria Math"/>
            <w:noProof/>
            <w:sz w:val="24"/>
            <w:szCs w:val="24"/>
          </w:rPr>
          <m:t>∈(0,1]</m:t>
        </m:r>
      </m:oMath>
      <w:r>
        <w:rPr>
          <w:rFonts w:eastAsiaTheme="minorEastAsia"/>
          <w:noProof/>
          <w:sz w:val="24"/>
          <w:szCs w:val="24"/>
        </w:rPr>
        <w:t xml:space="preserve"> is the LMF scale factor for variable j. In experiments </w:t>
      </w:r>
      <m:oMath>
        <m:sSub>
          <m:sSubPr>
            <m:ctrlPr>
              <w:rPr>
                <w:rFonts w:ascii="Cambria Math" w:eastAsiaTheme="minorEastAsia" w:hAnsi="Cambria Math"/>
                <w:noProof/>
                <w:sz w:val="24"/>
                <w:szCs w:val="24"/>
              </w:rPr>
            </m:ctrlPr>
          </m:sSubPr>
          <m:e>
            <m:r>
              <w:rPr>
                <w:rFonts w:ascii="Cambria Math" w:eastAsiaTheme="minorEastAsia" w:hAnsi="Cambria Math"/>
                <w:noProof/>
                <w:sz w:val="24"/>
                <w:szCs w:val="24"/>
              </w:rPr>
              <m:t>s</m:t>
            </m:r>
          </m:e>
          <m:sub>
            <m:r>
              <w:rPr>
                <w:rFonts w:ascii="Cambria Math" w:eastAsiaTheme="minorEastAsia" w:hAnsi="Cambria Math"/>
                <w:noProof/>
                <w:sz w:val="24"/>
                <w:szCs w:val="24"/>
              </w:rPr>
              <m:t>j</m:t>
            </m:r>
          </m:sub>
        </m:sSub>
      </m:oMath>
      <w:r>
        <w:rPr>
          <w:rFonts w:eastAsiaTheme="minorEastAsia"/>
          <w:noProof/>
          <w:sz w:val="24"/>
          <w:szCs w:val="24"/>
        </w:rPr>
        <w:t>was intialized as 0.85 ( LMF Width = 0.85 × UMF width) and allowed to be adjusted by the evolutionary optimizer.</w:t>
      </w:r>
    </w:p>
    <w:p w14:paraId="4D9C58D9" w14:textId="5814B2F3" w:rsidR="00F8380E" w:rsidRPr="005C7AA1" w:rsidRDefault="00F8380E" w:rsidP="00D07E98">
      <w:pPr>
        <w:pStyle w:val="Heading2"/>
      </w:pPr>
      <w:r w:rsidRPr="005C7AA1">
        <w:t>Feature engineering and rationale</w:t>
      </w:r>
    </w:p>
    <w:p w14:paraId="02095FE4" w14:textId="77777777" w:rsidR="00F8380E" w:rsidRPr="005C7AA1" w:rsidRDefault="00F8380E" w:rsidP="00D07E98">
      <w:pPr>
        <w:pStyle w:val="Paragraphnumbered"/>
      </w:pPr>
      <w:r w:rsidRPr="005C7AA1">
        <w:rPr>
          <w:b/>
          <w:bCs/>
        </w:rPr>
        <w:t>No additional categorical encoding</w:t>
      </w:r>
      <w:r w:rsidRPr="005C7AA1">
        <w:t xml:space="preserve"> is required because all variables are numeric indices or aggregated scores.</w:t>
      </w:r>
    </w:p>
    <w:p w14:paraId="3CB06640" w14:textId="77777777" w:rsidR="00F8380E" w:rsidRPr="005C7AA1" w:rsidRDefault="00F8380E" w:rsidP="00D07E98">
      <w:pPr>
        <w:pStyle w:val="Paragraphnumbered"/>
      </w:pPr>
      <w:r w:rsidRPr="005C7AA1">
        <w:rPr>
          <w:b/>
          <w:bCs/>
        </w:rPr>
        <w:t>Interactions:</w:t>
      </w:r>
      <w:r w:rsidRPr="005C7AA1">
        <w:t xml:space="preserve"> candidate pairwise interaction features (e.g., Student</w:t>
      </w:r>
      <w:r>
        <w:t xml:space="preserve"> </w:t>
      </w:r>
      <w:r w:rsidRPr="005C7AA1">
        <w:t>Performance × Student</w:t>
      </w:r>
      <w:r>
        <w:t xml:space="preserve"> </w:t>
      </w:r>
      <w:r w:rsidRPr="005C7AA1">
        <w:t>Engagement) were considered during preliminary analysis but not included in the main IT2 rule antecedents to maintain linguistic interpretability; interactions can be captured implicitly via multiple antecedents in rules.</w:t>
      </w:r>
    </w:p>
    <w:p w14:paraId="564F7679" w14:textId="77777777" w:rsidR="00F8380E" w:rsidRPr="005C7AA1" w:rsidRDefault="00F8380E" w:rsidP="00D07E98">
      <w:pPr>
        <w:pStyle w:val="Paragraphnumbered"/>
      </w:pPr>
      <w:r w:rsidRPr="005C7AA1">
        <w:rPr>
          <w:b/>
          <w:bCs/>
        </w:rPr>
        <w:t>Missing values:</w:t>
      </w:r>
      <w:r w:rsidRPr="005C7AA1">
        <w:t xml:space="preserve"> baseline Type-1 models use mean imputation; for IT2 models we use interval imputation (see Section 3.6) to reflect epistemic uncertainty.</w:t>
      </w:r>
    </w:p>
    <w:p w14:paraId="4180ECE7" w14:textId="7670A5C9" w:rsidR="00F8380E" w:rsidRPr="005C7AA1" w:rsidRDefault="00F8380E" w:rsidP="00D07E98">
      <w:pPr>
        <w:pStyle w:val="Heading2"/>
      </w:pPr>
      <w:r w:rsidRPr="005C7AA1">
        <w:lastRenderedPageBreak/>
        <w:t>Fuzzification: membership functions and linguistic terms</w:t>
      </w:r>
    </w:p>
    <w:p w14:paraId="0A0D37CF" w14:textId="7E3CB574" w:rsidR="00F8380E" w:rsidRPr="005C7AA1" w:rsidRDefault="00F8380E" w:rsidP="00D07E98">
      <w:pPr>
        <w:pStyle w:val="Heading3"/>
      </w:pPr>
      <w:r w:rsidRPr="005C7AA1">
        <w:t>Number of linguistic terms</w:t>
      </w:r>
    </w:p>
    <w:p w14:paraId="3822A42A" w14:textId="77777777" w:rsidR="00F8380E" w:rsidRPr="005C7AA1" w:rsidRDefault="00F8380E" w:rsidP="00D07E98">
      <w:pPr>
        <w:pStyle w:val="Paragraph"/>
      </w:pPr>
      <w:r w:rsidRPr="005C7AA1">
        <w:t xml:space="preserve">For interpretability and a compact rule base we use </w:t>
      </w:r>
      <w:r w:rsidRPr="005C7AA1">
        <w:rPr>
          <w:b/>
          <w:bCs/>
        </w:rPr>
        <w:t>three linguistic terms per input</w:t>
      </w:r>
      <w:r w:rsidRPr="005C7AA1">
        <w:t xml:space="preserve">: </w:t>
      </w:r>
      <w:r w:rsidRPr="005C7AA1">
        <w:rPr>
          <w:i/>
          <w:iCs/>
        </w:rPr>
        <w:t>Low</w:t>
      </w:r>
      <w:r w:rsidRPr="005C7AA1">
        <w:t xml:space="preserve">, </w:t>
      </w:r>
      <w:r w:rsidRPr="005C7AA1">
        <w:rPr>
          <w:i/>
          <w:iCs/>
        </w:rPr>
        <w:t>Medium</w:t>
      </w:r>
      <w:r w:rsidRPr="005C7AA1">
        <w:t xml:space="preserve">, and </w:t>
      </w:r>
      <w:r w:rsidRPr="005C7AA1">
        <w:rPr>
          <w:i/>
          <w:iCs/>
        </w:rPr>
        <w:t>High</w:t>
      </w:r>
      <w:r w:rsidRPr="005C7AA1">
        <w:t>. This choice limits full Cartesian product rule explosion (3⁶ = 729) while providing adequate granularity for educational settings. The initial candidate rule pool is restricted to R≤150</w:t>
      </w:r>
      <w:r>
        <w:t xml:space="preserve"> </w:t>
      </w:r>
      <w:r w:rsidRPr="005C7AA1">
        <w:t>(see Section 3.4 for rule generation).</w:t>
      </w:r>
    </w:p>
    <w:p w14:paraId="2400C04B" w14:textId="4DAF78C5" w:rsidR="00F8380E" w:rsidRPr="005C7AA1" w:rsidRDefault="00F8380E" w:rsidP="00D07E98">
      <w:pPr>
        <w:pStyle w:val="Heading3"/>
      </w:pPr>
      <w:r w:rsidRPr="005C7AA1">
        <w:t>Triangular interval-type-2 membership functions</w:t>
      </w:r>
    </w:p>
    <w:p w14:paraId="4BDDB957" w14:textId="6C2F77DD" w:rsidR="00F8380E" w:rsidRPr="002415DE" w:rsidRDefault="00F8380E" w:rsidP="00D07E98">
      <w:pPr>
        <w:pStyle w:val="Paragraph"/>
      </w:pPr>
      <w:r w:rsidRPr="002415DE">
        <w:t>Each input x is represented by an interval type-2 triangular fuzzy set with UMF and LMF triangular shapes.</w:t>
      </w:r>
    </w:p>
    <w:p w14:paraId="193DC23D" w14:textId="084CC42C" w:rsidR="00E8422C" w:rsidRPr="00F8380E" w:rsidRDefault="00F8380E" w:rsidP="00D07E98">
      <w:pPr>
        <w:pStyle w:val="Paragraph"/>
      </w:pPr>
      <w:r w:rsidRPr="005C7AA1">
        <w:t xml:space="preserve">Parameterization for a triangular UMF for term </w:t>
      </w:r>
      <w:proofErr w:type="spellStart"/>
      <w:r w:rsidRPr="005C7AA1">
        <w:t>t</w:t>
      </w:r>
      <w:r>
        <w:t xml:space="preserve"> </w:t>
      </w:r>
      <w:r w:rsidRPr="005C7AA1">
        <w:t>on</w:t>
      </w:r>
      <w:proofErr w:type="spellEnd"/>
      <w:r w:rsidRPr="005C7AA1">
        <w:t xml:space="preserve"> variable j:</w:t>
      </w:r>
    </w:p>
    <w:p w14:paraId="1D2660F8" w14:textId="3C68F814" w:rsidR="000B3B91" w:rsidRPr="000B3B91" w:rsidRDefault="000B3B91" w:rsidP="00D07E98">
      <w:pPr>
        <w:pStyle w:val="Heading3"/>
      </w:pPr>
      <w:r w:rsidRPr="000B3B91">
        <w:t xml:space="preserve">Initialization of MF </w:t>
      </w:r>
      <w:proofErr w:type="spellStart"/>
      <w:r w:rsidRPr="000B3B91">
        <w:t>centers</w:t>
      </w:r>
      <w:proofErr w:type="spellEnd"/>
      <w:r w:rsidRPr="000B3B91">
        <w:t xml:space="preserve"> and spreads</w:t>
      </w:r>
    </w:p>
    <w:p w14:paraId="6462C895" w14:textId="587ACBCD" w:rsidR="000B3B91" w:rsidRPr="000B3B91" w:rsidRDefault="000B3B91" w:rsidP="00D07E98">
      <w:pPr>
        <w:pStyle w:val="Paragraph"/>
      </w:pPr>
      <w:r w:rsidRPr="000B3B91">
        <w:t xml:space="preserve">UMF centers </w:t>
      </w:r>
      <m:oMath>
        <m:sSub>
          <m:sSubPr>
            <m:ctrlPr>
              <w:rPr>
                <w:rFonts w:ascii="Cambria Math" w:hAnsi="Cambria Math"/>
                <w:i/>
              </w:rPr>
            </m:ctrlPr>
          </m:sSubPr>
          <m:e>
            <m:r>
              <w:rPr>
                <w:rFonts w:ascii="Cambria Math" w:hAnsi="Cambria Math"/>
              </w:rPr>
              <m:t>(b</m:t>
            </m:r>
          </m:e>
          <m:sub>
            <m:r>
              <w:rPr>
                <w:rFonts w:ascii="Cambria Math" w:hAnsi="Cambria Math"/>
              </w:rPr>
              <m:t>j,t</m:t>
            </m:r>
          </m:sub>
        </m:sSub>
      </m:oMath>
      <w:r w:rsidR="00EC572A">
        <w:t>)</w:t>
      </w:r>
      <w:r w:rsidR="009E342D" w:rsidRPr="000B3B91">
        <w:t xml:space="preserve"> </w:t>
      </w:r>
      <w:r w:rsidRPr="000B3B91">
        <w:t>are initialized using the empirical quantiles of the standardized training data:</w:t>
      </w:r>
    </w:p>
    <w:p w14:paraId="3CB5E8B3" w14:textId="77777777" w:rsidR="000B3B91" w:rsidRPr="000B3B91" w:rsidRDefault="000B3B91" w:rsidP="00D07E98">
      <w:pPr>
        <w:pStyle w:val="Paragraphbulleted"/>
      </w:pPr>
      <w:r w:rsidRPr="000B3B91">
        <w:t>Low center: 25th percentile,</w:t>
      </w:r>
    </w:p>
    <w:p w14:paraId="29ACFC70" w14:textId="77777777" w:rsidR="000B3B91" w:rsidRPr="000B3B91" w:rsidRDefault="000B3B91" w:rsidP="00D07E98">
      <w:pPr>
        <w:pStyle w:val="Paragraphbulleted"/>
      </w:pPr>
      <w:r w:rsidRPr="000B3B91">
        <w:t>Medium center: 50th percentile (median),</w:t>
      </w:r>
    </w:p>
    <w:p w14:paraId="6C5D0D42" w14:textId="77777777" w:rsidR="000B3B91" w:rsidRPr="000B3B91" w:rsidRDefault="000B3B91" w:rsidP="00D07E98">
      <w:pPr>
        <w:pStyle w:val="Paragraphbulleted"/>
      </w:pPr>
      <w:r w:rsidRPr="000B3B91">
        <w:t>High center: 75th percentile.</w:t>
      </w:r>
    </w:p>
    <w:p w14:paraId="6E0CD901" w14:textId="278CC0E5" w:rsidR="00C64FAC" w:rsidRPr="000B3B91" w:rsidRDefault="000B3B91" w:rsidP="00D07E98">
      <w:pPr>
        <w:pStyle w:val="Paragraph"/>
      </w:pPr>
      <w:r w:rsidRPr="000B3B91">
        <w:t>Left</w:t>
      </w:r>
      <w:r w:rsidR="00722FF1">
        <w:t xml:space="preserve"> and </w:t>
      </w:r>
      <w:r w:rsidRPr="000B3B91">
        <w:t xml:space="preserve">right supports </w:t>
      </w:r>
      <m:oMath>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j,t</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j,t</m:t>
            </m:r>
          </m:sub>
        </m:sSub>
        <m:r>
          <w:rPr>
            <w:rFonts w:ascii="Cambria Math" w:hAnsi="Cambria Math"/>
          </w:rPr>
          <m:t>)</m:t>
        </m:r>
      </m:oMath>
      <w:r w:rsidRPr="000B3B91">
        <w:t>are set halfway to adjacent centers; for edge terms the extreme support is extended to cover observed min/max with a small margin (e.g., ±</w:t>
      </w:r>
      <w:r w:rsidR="003808F9">
        <w:t xml:space="preserve"> </w:t>
      </w:r>
      <w:r w:rsidRPr="000B3B91">
        <w:t>0.1 in standardized units). This initialization yields semantically ordered, overlapping partitions that are friendly for GA fine-tuning.</w:t>
      </w:r>
    </w:p>
    <w:p w14:paraId="4DF11891" w14:textId="51C1618A" w:rsidR="000B3B91" w:rsidRPr="000B3B91" w:rsidRDefault="000B3B91" w:rsidP="00D07E98">
      <w:pPr>
        <w:pStyle w:val="Heading2"/>
      </w:pPr>
      <w:r w:rsidRPr="000B3B91">
        <w:t>Rule base construction and pruning</w:t>
      </w:r>
    </w:p>
    <w:p w14:paraId="354841F3" w14:textId="30E7A03C" w:rsidR="000B3B91" w:rsidRPr="000B3B91" w:rsidRDefault="000B3B91" w:rsidP="00D07E98">
      <w:pPr>
        <w:pStyle w:val="Heading3"/>
      </w:pPr>
      <w:r w:rsidRPr="000B3B91">
        <w:t>Candidate rule generation</w:t>
      </w:r>
    </w:p>
    <w:p w14:paraId="3016E7DC" w14:textId="13A2B9B7" w:rsidR="000B3B91" w:rsidRPr="002415DE" w:rsidRDefault="000B3B91" w:rsidP="00D07E98">
      <w:pPr>
        <w:pStyle w:val="Paragraph"/>
      </w:pPr>
      <w:r w:rsidRPr="002415DE">
        <w:t>Rather than using the full Cartesian product (which would generate 729 rules), a hybrid procedure generates a candidate pool R (set to 150 in experiments) via:</w:t>
      </w:r>
    </w:p>
    <w:p w14:paraId="79C9C1EE" w14:textId="77777777" w:rsidR="000B3B91" w:rsidRPr="000B3B91" w:rsidRDefault="000B3B91" w:rsidP="00D07E98">
      <w:pPr>
        <w:pStyle w:val="Paragraphbulleted"/>
      </w:pPr>
      <w:r w:rsidRPr="000B3B91">
        <w:rPr>
          <w:b/>
          <w:bCs/>
        </w:rPr>
        <w:t>Data-driven rule extraction:</w:t>
      </w:r>
      <w:r w:rsidRPr="000B3B91">
        <w:t xml:space="preserve"> Apply k-means clustering (k chosen such that cluster count ≈ 120) over the input space to identify common antecedent patterns; translate cluster centroids to nearest linguistic terms for each input to form rules.</w:t>
      </w:r>
    </w:p>
    <w:p w14:paraId="4C21AD96" w14:textId="77777777" w:rsidR="000B3B91" w:rsidRPr="000B3B91" w:rsidRDefault="000B3B91" w:rsidP="00D07E98">
      <w:pPr>
        <w:pStyle w:val="Paragraphbulleted"/>
      </w:pPr>
      <w:r w:rsidRPr="000B3B91">
        <w:rPr>
          <w:b/>
          <w:bCs/>
        </w:rPr>
        <w:t>Expert seeds:</w:t>
      </w:r>
      <w:r w:rsidRPr="000B3B91">
        <w:t xml:space="preserve"> Include a small set of domain-informed rules (≈ 30) provided by an educational expert to ensure coverage of known educational relationships.</w:t>
      </w:r>
    </w:p>
    <w:p w14:paraId="430D4383" w14:textId="664DC781" w:rsidR="000B3B91" w:rsidRPr="000B3B91" w:rsidRDefault="000B3B91" w:rsidP="00D07E98">
      <w:pPr>
        <w:pStyle w:val="Paragraphbulleted"/>
      </w:pPr>
      <w:r w:rsidRPr="000B3B91">
        <w:rPr>
          <w:b/>
          <w:bCs/>
        </w:rPr>
        <w:t>Union &amp; deduplication:</w:t>
      </w:r>
      <w:r w:rsidRPr="000B3B91">
        <w:t xml:space="preserve"> Combine both sets and remove duplicates to form the final candidate pool R≤150.</w:t>
      </w:r>
    </w:p>
    <w:p w14:paraId="6EE3C145" w14:textId="45446026" w:rsidR="000B3B91" w:rsidRPr="000B3B91" w:rsidRDefault="000B3B91" w:rsidP="00D07E98">
      <w:pPr>
        <w:pStyle w:val="Heading3"/>
      </w:pPr>
      <w:r w:rsidRPr="000B3B91">
        <w:t>Rule representation</w:t>
      </w:r>
    </w:p>
    <w:p w14:paraId="327A5540" w14:textId="4B4B6C1A" w:rsidR="000B3B91" w:rsidRPr="000B3B91" w:rsidRDefault="000B3B91" w:rsidP="00D07E98">
      <w:pPr>
        <w:pStyle w:val="Paragraph"/>
      </w:pPr>
      <w:r w:rsidRPr="000B3B91">
        <w:t xml:space="preserve">Each rule r has antecedents (one linguistic term per input) and a consequent </w:t>
      </w:r>
      <w:proofErr w:type="spellStart"/>
      <w:r w:rsidRPr="000B3B91">
        <w:t>f</w:t>
      </w:r>
      <w:r w:rsidR="002415DE">
        <w:rPr>
          <w:vertAlign w:val="subscript"/>
        </w:rPr>
        <w:t>r</w:t>
      </w:r>
      <w:proofErr w:type="spellEnd"/>
      <w:r w:rsidR="00462A99">
        <w:rPr>
          <w:vertAlign w:val="subscript"/>
        </w:rPr>
        <w:t xml:space="preserve"> </w:t>
      </w:r>
      <w:r w:rsidRPr="000B3B91">
        <w:t xml:space="preserve">(x). For this study we use </w:t>
      </w:r>
      <w:r w:rsidRPr="002415DE">
        <w:t xml:space="preserve">zero-order </w:t>
      </w:r>
      <w:r w:rsidRPr="000B3B91">
        <w:t xml:space="preserve">consequents (scalar constants) for maximal interpretability. The rule activation flag </w:t>
      </w:r>
      <w:proofErr w:type="spellStart"/>
      <w:r w:rsidRPr="000B3B91">
        <w:t>ρ</w:t>
      </w:r>
      <w:r w:rsidR="002415DE">
        <w:rPr>
          <w:vertAlign w:val="subscript"/>
        </w:rPr>
        <w:t>r</w:t>
      </w:r>
      <w:proofErr w:type="spellEnd"/>
      <w:r w:rsidR="002415DE">
        <w:rPr>
          <w:rFonts w:ascii="Cambria Math" w:hAnsi="Cambria Math" w:cs="Cambria Math"/>
        </w:rPr>
        <w:t xml:space="preserve"> </w:t>
      </w:r>
      <w:r w:rsidR="002415DE" w:rsidRPr="000B3B91">
        <w:rPr>
          <w:rFonts w:ascii="Cambria Math" w:hAnsi="Cambria Math" w:cs="Cambria Math"/>
        </w:rPr>
        <w:t>∈</w:t>
      </w:r>
      <w:r w:rsidR="002415DE" w:rsidRPr="000B3B91">
        <w:t xml:space="preserve"> {</w:t>
      </w:r>
      <w:r w:rsidRPr="000B3B91">
        <w:t>0,1} is part of the optimization chromosome.</w:t>
      </w:r>
    </w:p>
    <w:p w14:paraId="1A25425B" w14:textId="271C2B4F" w:rsidR="000B3B91" w:rsidRPr="000B3B91" w:rsidRDefault="000B3B91" w:rsidP="00D07E98">
      <w:pPr>
        <w:pStyle w:val="Heading3"/>
      </w:pPr>
      <w:r w:rsidRPr="000B3B91">
        <w:t>Post-optimization pruning</w:t>
      </w:r>
    </w:p>
    <w:p w14:paraId="226F6930" w14:textId="6E1C33B9" w:rsidR="000B3B91" w:rsidRPr="000B3B91" w:rsidRDefault="000B3B91" w:rsidP="00D07E98">
      <w:pPr>
        <w:pStyle w:val="Paragraph"/>
      </w:pPr>
      <w:r w:rsidRPr="000B3B91">
        <w:t>After optimization, rules with average firing strength below threshold τ</w:t>
      </w:r>
      <w:r w:rsidR="002415DE">
        <w:t xml:space="preserve"> </w:t>
      </w:r>
      <w:r w:rsidRPr="000B3B91">
        <w:t>(set empirically; e.g., τ=10</w:t>
      </w:r>
      <w:r w:rsidR="002415DE">
        <w:rPr>
          <w:vertAlign w:val="superscript"/>
        </w:rPr>
        <w:t>-3</w:t>
      </w:r>
      <w:r w:rsidRPr="000B3B91">
        <w:t>) across the training set are pruned. This yields the reported active rule counts (e.g., ~42 for GA-IT2).</w:t>
      </w:r>
    </w:p>
    <w:p w14:paraId="27231EE5" w14:textId="60F244DF" w:rsidR="000B3B91" w:rsidRPr="000B3B91" w:rsidRDefault="000B3B91" w:rsidP="00D07E98">
      <w:pPr>
        <w:pStyle w:val="Heading2"/>
      </w:pPr>
      <w:r w:rsidRPr="000B3B91">
        <w:t>Inference, type-reduction and defuzzification</w:t>
      </w:r>
    </w:p>
    <w:p w14:paraId="09650379" w14:textId="2EB6730B" w:rsidR="000B3B91" w:rsidRPr="000B3B91" w:rsidRDefault="000B3B91" w:rsidP="00D07E98">
      <w:pPr>
        <w:pStyle w:val="Paragraph"/>
      </w:pPr>
      <w:r w:rsidRPr="000B3B91">
        <w:t>Given an input x, each rule r produces interval firing strength</w:t>
      </w:r>
      <w:r w:rsidR="002415DE">
        <w:t xml:space="preserve"> </w:t>
      </w:r>
      <w:r w:rsidRPr="000B3B91">
        <w:t>[</w:t>
      </w:r>
      <w:r w:rsidR="002415DE">
        <w:t xml:space="preserve"> </w:t>
      </w:r>
      <m:oMath>
        <m:acc>
          <m:accPr>
            <m:chr m:val="̅"/>
            <m:ctrlPr>
              <w:rPr>
                <w:rFonts w:ascii="Cambria Math" w:hAnsi="Cambria Math"/>
                <w:i/>
              </w:rPr>
            </m:ctrlPr>
          </m:accPr>
          <m:e>
            <m:sSub>
              <m:sSubPr>
                <m:ctrlPr>
                  <w:rPr>
                    <w:rFonts w:ascii="Cambria Math" w:hAnsi="Cambria Math"/>
                    <w:i/>
                  </w:rPr>
                </m:ctrlPr>
              </m:sSubPr>
              <m:e>
                <m:sSub>
                  <m:sSubPr>
                    <m:ctrlPr>
                      <w:rPr>
                        <w:rFonts w:ascii="Cambria Math" w:hAnsi="Cambria Math"/>
                        <w:i/>
                      </w:rPr>
                    </m:ctrlPr>
                  </m:sSubPr>
                  <m:e>
                    <m:bar>
                      <m:barPr>
                        <m:ctrlPr>
                          <w:rPr>
                            <w:rFonts w:ascii="Cambria Math" w:hAnsi="Cambria Math"/>
                            <w:i/>
                          </w:rPr>
                        </m:ctrlPr>
                      </m:barPr>
                      <m:e>
                        <m:r>
                          <w:rPr>
                            <w:rFonts w:ascii="Cambria Math" w:hAnsi="Cambria Math"/>
                          </w:rPr>
                          <m:t>W</m:t>
                        </m:r>
                      </m:e>
                    </m:bar>
                  </m:e>
                  <m:sub>
                    <m:r>
                      <w:rPr>
                        <w:rFonts w:ascii="Cambria Math" w:hAnsi="Cambria Math"/>
                      </w:rPr>
                      <m:t>r</m:t>
                    </m:r>
                  </m:sub>
                </m:sSub>
                <m:r>
                  <w:rPr>
                    <w:rFonts w:ascii="Cambria Math" w:hAnsi="Cambria Math"/>
                  </w:rPr>
                  <m:t xml:space="preserve"> W</m:t>
                </m:r>
              </m:e>
              <m:sub>
                <m:r>
                  <w:rPr>
                    <w:rFonts w:ascii="Cambria Math" w:hAnsi="Cambria Math"/>
                  </w:rPr>
                  <m:t>r</m:t>
                </m:r>
              </m:sub>
            </m:sSub>
          </m:e>
        </m:acc>
      </m:oMath>
      <w:r w:rsidR="00E835B7">
        <w:t>]</w:t>
      </w:r>
      <w:r w:rsidRPr="000B3B91">
        <w:t xml:space="preserve"> by applying interval</w:t>
      </w:r>
      <w:r w:rsidR="003808F9">
        <w:t xml:space="preserve"> </w:t>
      </w:r>
      <w:r w:rsidRPr="000B3B91">
        <w:t>valued antecedent degrees and an interval t-norm for conjunction (we use interval product).</w:t>
      </w:r>
    </w:p>
    <w:p w14:paraId="0342E8FD" w14:textId="40111857" w:rsidR="000B3B91" w:rsidRPr="00E835B7" w:rsidRDefault="000B3B91" w:rsidP="00D07E98">
      <w:pPr>
        <w:pStyle w:val="Paragraph"/>
      </w:pPr>
      <w:r w:rsidRPr="000B3B91">
        <w:t>Each rule consequent is an interval (for zero</w:t>
      </w:r>
      <w:r w:rsidR="003808F9">
        <w:t xml:space="preserve"> </w:t>
      </w:r>
      <w:r w:rsidRPr="000B3B91">
        <w:t>order, same scalar but propagated through firing interval). The global output interval [</w:t>
      </w:r>
      <w:proofErr w:type="spellStart"/>
      <w:proofErr w:type="gramStart"/>
      <w:r w:rsidRPr="000B3B91">
        <w:t>y</w:t>
      </w:r>
      <w:r w:rsidR="00E835B7">
        <w:rPr>
          <w:vertAlign w:val="subscript"/>
        </w:rPr>
        <w:t>L</w:t>
      </w:r>
      <w:r w:rsidRPr="000B3B91">
        <w:t>,y</w:t>
      </w:r>
      <w:r w:rsidR="00E835B7">
        <w:rPr>
          <w:vertAlign w:val="subscript"/>
        </w:rPr>
        <w:t>R</w:t>
      </w:r>
      <w:proofErr w:type="spellEnd"/>
      <w:proofErr w:type="gramEnd"/>
      <w:r w:rsidRPr="000B3B91">
        <w:t xml:space="preserve">] is obtained via </w:t>
      </w:r>
      <w:r w:rsidRPr="00E835B7">
        <w:t>Karnik–Mendel (KM) type-reduction:</w:t>
      </w:r>
    </w:p>
    <w:p w14:paraId="38F0F5F2" w14:textId="452A4103" w:rsidR="000B3B91" w:rsidRPr="000B3B91" w:rsidRDefault="000B3B91" w:rsidP="00D07E98">
      <w:pPr>
        <w:pStyle w:val="Paragraphbulleted"/>
      </w:pPr>
      <w:r w:rsidRPr="000B3B91">
        <w:t xml:space="preserve">KM iterative algorithm with tolerance </w:t>
      </w:r>
      <w:proofErr w:type="spellStart"/>
      <w:r w:rsidRPr="000B3B91">
        <w:t>tol</w:t>
      </w:r>
      <w:proofErr w:type="spellEnd"/>
      <w:r w:rsidRPr="000B3B91">
        <w:t>=10</w:t>
      </w:r>
      <w:r w:rsidR="00E835B7">
        <w:rPr>
          <w:vertAlign w:val="superscript"/>
        </w:rPr>
        <w:t>-6</w:t>
      </w:r>
      <w:r w:rsidRPr="000B3B91">
        <w:t xml:space="preserve"> and maximum iterations I</w:t>
      </w:r>
      <w:r w:rsidR="00E835B7">
        <w:rPr>
          <w:vertAlign w:val="subscript"/>
        </w:rPr>
        <w:t>max</w:t>
      </w:r>
      <w:r w:rsidRPr="000B3B91">
        <w:t>=50.</w:t>
      </w:r>
    </w:p>
    <w:p w14:paraId="0F181C10" w14:textId="75FB78F3" w:rsidR="000B3B91" w:rsidRPr="000B3B91" w:rsidRDefault="000B3B91" w:rsidP="00D07E98">
      <w:pPr>
        <w:pStyle w:val="Paragraphbulleted"/>
      </w:pPr>
      <w:r w:rsidRPr="000B3B91">
        <w:lastRenderedPageBreak/>
        <w:t>Final point estimate for point metrics: y^=(</w:t>
      </w:r>
      <w:proofErr w:type="spellStart"/>
      <w:r w:rsidRPr="000B3B91">
        <w:t>y</w:t>
      </w:r>
      <w:r w:rsidR="00E835B7">
        <w:rPr>
          <w:vertAlign w:val="subscript"/>
        </w:rPr>
        <w:t>L</w:t>
      </w:r>
      <w:r w:rsidRPr="000B3B91">
        <w:t>+y</w:t>
      </w:r>
      <w:r w:rsidR="00E835B7">
        <w:rPr>
          <w:vertAlign w:val="subscript"/>
        </w:rPr>
        <w:t>R</w:t>
      </w:r>
      <w:proofErr w:type="spellEnd"/>
      <w:r w:rsidRPr="000B3B91">
        <w:t>)/2.</w:t>
      </w:r>
    </w:p>
    <w:p w14:paraId="2AF93F72" w14:textId="325D73DA" w:rsidR="000B3B91" w:rsidRPr="000B3B91" w:rsidRDefault="000B3B91" w:rsidP="00D07E98">
      <w:pPr>
        <w:pStyle w:val="Paragraphbulleted"/>
      </w:pPr>
      <w:r w:rsidRPr="000B3B91">
        <w:t>The interval [</w:t>
      </w:r>
      <w:proofErr w:type="spellStart"/>
      <w:proofErr w:type="gramStart"/>
      <w:r w:rsidRPr="000B3B91">
        <w:t>y</w:t>
      </w:r>
      <w:r w:rsidR="008057DE">
        <w:rPr>
          <w:vertAlign w:val="subscript"/>
        </w:rPr>
        <w:t>L</w:t>
      </w:r>
      <w:r w:rsidRPr="000B3B91">
        <w:t>,y</w:t>
      </w:r>
      <w:r w:rsidR="008057DE">
        <w:rPr>
          <w:vertAlign w:val="subscript"/>
        </w:rPr>
        <w:t>R</w:t>
      </w:r>
      <w:proofErr w:type="spellEnd"/>
      <w:proofErr w:type="gramEnd"/>
      <w:r w:rsidRPr="000B3B91">
        <w:t>] is retained for uncertainty metrics (coverage, width, Winkler score).</w:t>
      </w:r>
    </w:p>
    <w:p w14:paraId="3703C3A5" w14:textId="2C6D20AB" w:rsidR="000B3B91" w:rsidRPr="000B3B91" w:rsidRDefault="000B3B91" w:rsidP="00D07E98">
      <w:pPr>
        <w:pStyle w:val="Heading2"/>
      </w:pPr>
      <w:r w:rsidRPr="000B3B91">
        <w:t>Evolutionary optimization (GA and NSGA-II)</w:t>
      </w:r>
    </w:p>
    <w:p w14:paraId="26755281" w14:textId="1EB757E3" w:rsidR="000B3B91" w:rsidRPr="000B3B91" w:rsidRDefault="000B3B91" w:rsidP="00D07E98">
      <w:pPr>
        <w:pStyle w:val="Heading3"/>
      </w:pPr>
      <w:r w:rsidRPr="000B3B91">
        <w:t>Chromosome encoding</w:t>
      </w:r>
    </w:p>
    <w:p w14:paraId="7DEAF63A" w14:textId="77777777" w:rsidR="000B3B91" w:rsidRPr="000B3B91" w:rsidRDefault="000B3B91" w:rsidP="00D07E98">
      <w:pPr>
        <w:pStyle w:val="Paragraph"/>
      </w:pPr>
      <w:r w:rsidRPr="000B3B91">
        <w:t>Chromosome structure:</w:t>
      </w:r>
    </w:p>
    <w:p w14:paraId="39F50755" w14:textId="0346301A" w:rsidR="000B3B91" w:rsidRPr="000B3B91" w:rsidRDefault="000B3B91" w:rsidP="00D07E98">
      <w:pPr>
        <w:pStyle w:val="Paragraph"/>
      </w:pPr>
      <w:r w:rsidRPr="000B3B91">
        <w:t>chrom</w:t>
      </w:r>
      <w:proofErr w:type="gramStart"/>
      <w:r w:rsidRPr="000B3B91">
        <w:t>=[</w:t>
      </w:r>
      <w:proofErr w:type="gramEnd"/>
      <w:r w:rsidRPr="000B3B91">
        <w:t>UMF centers(p), UMF spreads(p), LMF scales(p), ρ(R), θ(consequents)]</w:t>
      </w:r>
    </w:p>
    <w:p w14:paraId="08270FE4" w14:textId="6B9DC024" w:rsidR="000B3B91" w:rsidRDefault="000B3B91" w:rsidP="00D07E98">
      <w:pPr>
        <w:pStyle w:val="Paragraph"/>
      </w:pPr>
      <w:r w:rsidRPr="000B3B91">
        <w:t>where p= total number of MF parameters across all inputs and output, and R is candidate rule count.</w:t>
      </w:r>
    </w:p>
    <w:p w14:paraId="5D99404B" w14:textId="64437726" w:rsidR="000B3B91" w:rsidRDefault="000B3B91" w:rsidP="00D07E98">
      <w:pPr>
        <w:pStyle w:val="Heading3"/>
      </w:pPr>
      <w:r w:rsidRPr="000B3B91">
        <w:t>Single-objective GA (GA-IT2)</w:t>
      </w:r>
    </w:p>
    <w:p w14:paraId="2C846839" w14:textId="11203E4E" w:rsidR="00AC4EFB" w:rsidRDefault="00AC4EFB" w:rsidP="00D07E98">
      <w:pPr>
        <w:pStyle w:val="Paragraph"/>
      </w:pPr>
      <w:r>
        <w:t xml:space="preserve">Fitness: </w:t>
      </w:r>
    </w:p>
    <w:p w14:paraId="15D04B38" w14:textId="09797BC9" w:rsidR="00AC4EFB" w:rsidRPr="00AC4EFB" w:rsidRDefault="00AC4EFB" w:rsidP="00D07E98">
      <w:pPr>
        <w:pStyle w:val="Paragraph"/>
        <w:rPr>
          <w:rFonts w:eastAsiaTheme="minorEastAsia"/>
        </w:rPr>
      </w:pPr>
      <m:oMath>
        <m:r>
          <m:rPr>
            <m:scr m:val="script"/>
          </m:rPr>
          <w:rPr>
            <w:rFonts w:ascii="Cambria Math" w:hAnsi="Cambria Math"/>
          </w:rPr>
          <m:t>F=</m:t>
        </m:r>
        <m:sSub>
          <m:sSubPr>
            <m:ctrlPr>
              <w:rPr>
                <w:rFonts w:ascii="Cambria Math" w:hAnsi="Cambria Math"/>
                <w:i/>
              </w:rPr>
            </m:ctrlPr>
          </m:sSubPr>
          <m:e>
            <m:r>
              <w:rPr>
                <w:rFonts w:ascii="Cambria Math" w:hAnsi="Cambria Math"/>
              </w:rPr>
              <m:t>RMSE</m:t>
            </m:r>
          </m:e>
          <m:sub>
            <m:r>
              <w:rPr>
                <w:rFonts w:ascii="Cambria Math" w:hAnsi="Cambria Math"/>
              </w:rPr>
              <m:t>val</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c</m:t>
            </m:r>
          </m:sub>
        </m:sSub>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active</m:t>
                </m:r>
              </m:sub>
            </m:sSub>
          </m:num>
          <m:den>
            <m:sSub>
              <m:sSubPr>
                <m:ctrlPr>
                  <w:rPr>
                    <w:rFonts w:ascii="Cambria Math" w:hAnsi="Cambria Math"/>
                    <w:i/>
                  </w:rPr>
                </m:ctrlPr>
              </m:sSubPr>
              <m:e>
                <m:r>
                  <w:rPr>
                    <w:rFonts w:ascii="Cambria Math" w:hAnsi="Cambria Math"/>
                  </w:rPr>
                  <m:t>N</m:t>
                </m:r>
              </m:e>
              <m:sub>
                <m:r>
                  <w:rPr>
                    <w:rFonts w:ascii="Cambria Math" w:hAnsi="Cambria Math"/>
                  </w:rPr>
                  <m:t>init</m:t>
                </m:r>
              </m:sub>
            </m:sSub>
          </m:den>
        </m:f>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f</m:t>
            </m:r>
          </m:sub>
        </m:sSub>
        <m:r>
          <w:rPr>
            <w:rFonts w:ascii="Cambria Math" w:hAnsi="Cambria Math"/>
          </w:rPr>
          <m:t>. FOU_norm</m:t>
        </m:r>
      </m:oMath>
      <w:r w:rsidR="009F7577">
        <w:rPr>
          <w:rFonts w:eastAsiaTheme="minorEastAsia"/>
        </w:rPr>
        <w:t xml:space="preserve">                       </w:t>
      </w:r>
      <w:r w:rsidR="009F7577">
        <w:rPr>
          <w:rFonts w:eastAsiaTheme="minorEastAsia"/>
        </w:rPr>
        <w:tab/>
        <w:t>(3)</w:t>
      </w:r>
    </w:p>
    <w:p w14:paraId="5394B2DC" w14:textId="21675E06" w:rsidR="00AC4EFB" w:rsidRDefault="00AC4EFB" w:rsidP="00D07E98">
      <w:pPr>
        <w:pStyle w:val="Paragraph"/>
        <w:rPr>
          <w:rFonts w:eastAsiaTheme="minorEastAsia"/>
        </w:rPr>
      </w:pPr>
      <w:r>
        <w:rPr>
          <w:rFonts w:eastAsiaTheme="minorEastAsia"/>
        </w:rPr>
        <w:t xml:space="preserve">Penalty values selected via grid search: </w:t>
      </w:r>
      <m:oMath>
        <m:sSub>
          <m:sSubPr>
            <m:ctrlPr>
              <w:rPr>
                <w:rFonts w:ascii="Cambria Math" w:hAnsi="Cambria Math"/>
                <w:i/>
              </w:rPr>
            </m:ctrlPr>
          </m:sSubPr>
          <m:e>
            <m:r>
              <w:rPr>
                <w:rFonts w:ascii="Cambria Math" w:hAnsi="Cambria Math"/>
              </w:rPr>
              <m:t>λ</m:t>
            </m:r>
          </m:e>
          <m:sub>
            <m:r>
              <w:rPr>
                <w:rFonts w:ascii="Cambria Math" w:hAnsi="Cambria Math"/>
              </w:rPr>
              <m:t>c</m:t>
            </m:r>
          </m:sub>
        </m:sSub>
        <m:r>
          <w:rPr>
            <w:rFonts w:ascii="Cambria Math" w:hAnsi="Cambria Math"/>
          </w:rPr>
          <m:t>=0.01,</m:t>
        </m:r>
        <m:sSub>
          <m:sSubPr>
            <m:ctrlPr>
              <w:rPr>
                <w:rFonts w:ascii="Cambria Math" w:hAnsi="Cambria Math"/>
                <w:i/>
              </w:rPr>
            </m:ctrlPr>
          </m:sSubPr>
          <m:e>
            <m:r>
              <w:rPr>
                <w:rFonts w:ascii="Cambria Math" w:hAnsi="Cambria Math"/>
              </w:rPr>
              <m:t>λ</m:t>
            </m:r>
          </m:e>
          <m:sub>
            <m:r>
              <w:rPr>
                <w:rFonts w:ascii="Cambria Math" w:hAnsi="Cambria Math"/>
              </w:rPr>
              <m:t>f</m:t>
            </m:r>
          </m:sub>
        </m:sSub>
        <m:r>
          <w:rPr>
            <w:rFonts w:ascii="Cambria Math" w:hAnsi="Cambria Math"/>
          </w:rPr>
          <m:t>=0.005</m:t>
        </m:r>
      </m:oMath>
    </w:p>
    <w:p w14:paraId="23F05873" w14:textId="77BBFB32" w:rsidR="00AC4EFB" w:rsidRDefault="00AC4EFB" w:rsidP="00D07E98">
      <w:pPr>
        <w:pStyle w:val="Paragraph"/>
        <w:rPr>
          <w:rFonts w:eastAsiaTheme="minorEastAsia"/>
        </w:rPr>
      </w:pPr>
      <w:r>
        <w:rPr>
          <w:rFonts w:eastAsiaTheme="minorEastAsia"/>
        </w:rPr>
        <w:t>Hyperparameters:</w:t>
      </w:r>
    </w:p>
    <w:p w14:paraId="0A5BD597" w14:textId="247F21D8" w:rsidR="00AC4EFB" w:rsidRPr="00AC4EFB" w:rsidRDefault="00AC4EFB" w:rsidP="00D07E98">
      <w:pPr>
        <w:pStyle w:val="Paragraph"/>
      </w:pPr>
      <w:r>
        <w:t>Population size P = 30, generations G = 40.</w:t>
      </w:r>
    </w:p>
    <w:p w14:paraId="4F46B470" w14:textId="22060039" w:rsidR="00AC4EFB" w:rsidRPr="00AC4EFB" w:rsidRDefault="00AC4EFB" w:rsidP="00D07E98">
      <w:pPr>
        <w:pStyle w:val="Paragraph"/>
      </w:pPr>
      <w:r>
        <w:t>Selection: tournament (size 3)</w:t>
      </w:r>
    </w:p>
    <w:p w14:paraId="41615875" w14:textId="1A6402CF" w:rsidR="00AC4EFB" w:rsidRPr="00AC4EFB" w:rsidRDefault="00AC4EFB" w:rsidP="00D07E98">
      <w:pPr>
        <w:pStyle w:val="Paragraph"/>
        <w:rPr>
          <w:rFonts w:eastAsiaTheme="minorEastAsia"/>
        </w:rPr>
      </w:pPr>
      <w:r>
        <w:t>Crossover: SBX,</w:t>
      </w:r>
      <m:oMath>
        <m:sSub>
          <m:sSubPr>
            <m:ctrlPr>
              <w:rPr>
                <w:rFonts w:ascii="Cambria Math" w:hAnsi="Cambria Math"/>
                <w:i/>
              </w:rPr>
            </m:ctrlPr>
          </m:sSubPr>
          <m:e>
            <m:r>
              <w:rPr>
                <w:rFonts w:ascii="Cambria Math" w:hAnsi="Cambria Math"/>
              </w:rPr>
              <m:t>p</m:t>
            </m:r>
          </m:e>
          <m:sub>
            <m:r>
              <w:rPr>
                <w:rFonts w:ascii="Cambria Math" w:hAnsi="Cambria Math"/>
              </w:rPr>
              <m:t>c</m:t>
            </m:r>
          </m:sub>
        </m:sSub>
        <m:r>
          <w:rPr>
            <w:rFonts w:ascii="Cambria Math" w:hAnsi="Cambria Math"/>
          </w:rPr>
          <m:t>=0.9</m:t>
        </m:r>
      </m:oMath>
    </w:p>
    <w:p w14:paraId="685EE21F" w14:textId="13A86E65" w:rsidR="00AC4EFB" w:rsidRPr="00AC4EFB" w:rsidRDefault="00AC4EFB" w:rsidP="00D07E98">
      <w:pPr>
        <w:pStyle w:val="Paragraph"/>
        <w:rPr>
          <w:rFonts w:eastAsiaTheme="minorEastAsia"/>
        </w:rPr>
      </w:pPr>
      <w:r>
        <w:rPr>
          <w:rFonts w:eastAsiaTheme="minorEastAsia"/>
        </w:rPr>
        <w:t xml:space="preserve">Mutation: polynomial mutation for real genes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m</m:t>
            </m:r>
          </m:sub>
        </m:sSub>
        <m:r>
          <w:rPr>
            <w:rFonts w:ascii="Cambria Math" w:eastAsiaTheme="minorEastAsia" w:hAnsi="Cambria Math"/>
          </w:rPr>
          <m:t>=0.05;</m:t>
        </m:r>
      </m:oMath>
      <w:r>
        <w:rPr>
          <w:rFonts w:eastAsiaTheme="minorEastAsia"/>
        </w:rPr>
        <w:t>bit-flip for rule flags.</w:t>
      </w:r>
    </w:p>
    <w:p w14:paraId="72624887" w14:textId="42634EE2" w:rsidR="00AC4EFB" w:rsidRPr="009F7577" w:rsidRDefault="00AC4EFB" w:rsidP="00D07E98">
      <w:pPr>
        <w:pStyle w:val="Paragraph"/>
        <w:rPr>
          <w:rFonts w:eastAsiaTheme="minorEastAsia"/>
        </w:rPr>
      </w:pPr>
      <w:r>
        <w:rPr>
          <w:rFonts w:eastAsiaTheme="minorEastAsia"/>
        </w:rPr>
        <w:t>Elitism: top 2 individuals.</w:t>
      </w:r>
    </w:p>
    <w:p w14:paraId="4C41681E" w14:textId="76542F96" w:rsidR="000B3B91" w:rsidRPr="009F7577" w:rsidRDefault="009F7577" w:rsidP="00D07E98">
      <w:pPr>
        <w:pStyle w:val="Paragraph"/>
        <w:rPr>
          <w:rFonts w:eastAsiaTheme="minorEastAsia"/>
        </w:rPr>
      </w:pPr>
      <w:r>
        <w:rPr>
          <w:rFonts w:eastAsiaTheme="minorEastAsia"/>
        </w:rPr>
        <w:t>Initialization: seeded from an optimized Type-1 GA-FIS; LMS scales initialized at 0.85</w:t>
      </w:r>
    </w:p>
    <w:p w14:paraId="273C6FE0" w14:textId="0AB22581" w:rsidR="000B3B91" w:rsidRPr="000B3B91" w:rsidRDefault="000B3B91" w:rsidP="00D07E98">
      <w:pPr>
        <w:pStyle w:val="Heading3"/>
      </w:pPr>
      <w:r w:rsidRPr="000B3B91">
        <w:t>Multi-objective NSGA-II</w:t>
      </w:r>
    </w:p>
    <w:p w14:paraId="549C9F6B" w14:textId="0281A485" w:rsidR="000B3B91" w:rsidRPr="000B3B91" w:rsidRDefault="000B3B91" w:rsidP="00D07E98">
      <w:pPr>
        <w:pStyle w:val="Paragraphbulleted"/>
      </w:pPr>
      <w:r w:rsidRPr="000B3B91">
        <w:t xml:space="preserve">Objectives: </w:t>
      </w:r>
      <w:r w:rsidRPr="000B3B91">
        <w:rPr>
          <w:rFonts w:ascii="Cambria Math" w:hAnsi="Cambria Math" w:cs="Cambria Math"/>
        </w:rPr>
        <w:t>⟨</w:t>
      </w:r>
      <w:proofErr w:type="spellStart"/>
      <w:proofErr w:type="gramStart"/>
      <w:r w:rsidRPr="000B3B91">
        <w:t>RMSE</w:t>
      </w:r>
      <w:r w:rsidR="00016E0B">
        <w:rPr>
          <w:vertAlign w:val="subscript"/>
        </w:rPr>
        <w:t>Val</w:t>
      </w:r>
      <w:proofErr w:type="spellEnd"/>
      <w:r w:rsidRPr="000B3B91">
        <w:t>,  </w:t>
      </w:r>
      <w:proofErr w:type="spellStart"/>
      <w:r w:rsidRPr="000B3B91">
        <w:t>N</w:t>
      </w:r>
      <w:r w:rsidR="00016E0B">
        <w:rPr>
          <w:vertAlign w:val="subscript"/>
        </w:rPr>
        <w:t>active</w:t>
      </w:r>
      <w:proofErr w:type="spellEnd"/>
      <w:proofErr w:type="gramEnd"/>
      <w:r w:rsidRPr="000B3B91">
        <w:rPr>
          <w:rFonts w:ascii="Cambria Math" w:hAnsi="Cambria Math" w:cs="Cambria Math"/>
        </w:rPr>
        <w:t>⟩</w:t>
      </w:r>
      <w:r w:rsidRPr="000B3B91">
        <w:t xml:space="preserve"> (optionally include FOU</w:t>
      </w:r>
      <w:r w:rsidR="0021291A">
        <w:t xml:space="preserve"> </w:t>
      </w:r>
      <w:r w:rsidRPr="000B3B91">
        <w:t>area).</w:t>
      </w:r>
    </w:p>
    <w:p w14:paraId="41443AD3" w14:textId="7ECBE4BC" w:rsidR="00C64FAC" w:rsidRPr="00F8380E" w:rsidRDefault="000B3B91" w:rsidP="00D07E98">
      <w:pPr>
        <w:pStyle w:val="Paragraphbulleted"/>
      </w:pPr>
      <w:r w:rsidRPr="000B3B91">
        <w:t>Same encoding and operators; nondominated sorting and crowding distance selection produce Pareto front. Representative operating points selected by inspection of the RMSE vs rule count trade-off.</w:t>
      </w:r>
    </w:p>
    <w:p w14:paraId="70517FFE" w14:textId="01F1910D" w:rsidR="000B3B91" w:rsidRPr="000B3B91" w:rsidRDefault="000B3B91" w:rsidP="00D07E98">
      <w:pPr>
        <w:pStyle w:val="Heading3"/>
      </w:pPr>
      <w:r w:rsidRPr="000B3B91">
        <w:t>Training protocol and reproducibility</w:t>
      </w:r>
    </w:p>
    <w:p w14:paraId="01A82757" w14:textId="43BFA603" w:rsidR="000B3B91" w:rsidRPr="000B3B91" w:rsidRDefault="000B3B91" w:rsidP="00D07E98">
      <w:pPr>
        <w:pStyle w:val="Paragraphbulleted"/>
      </w:pPr>
      <w:r w:rsidRPr="000B3B91">
        <w:t xml:space="preserve">Fitness evaluations use the </w:t>
      </w:r>
      <w:r w:rsidRPr="000B3B91">
        <w:rPr>
          <w:b/>
          <w:bCs/>
        </w:rPr>
        <w:t>training set</w:t>
      </w:r>
      <w:r w:rsidRPr="000B3B91">
        <w:t xml:space="preserve"> for forward inference and the </w:t>
      </w:r>
      <w:r w:rsidRPr="000B3B91">
        <w:rPr>
          <w:b/>
          <w:bCs/>
        </w:rPr>
        <w:t>validation set</w:t>
      </w:r>
      <w:r w:rsidRPr="000B3B91">
        <w:t xml:space="preserve"> (1,000 samples) for computing RMSE</w:t>
      </w:r>
      <w:r w:rsidR="00F8380E">
        <w:t xml:space="preserve"> </w:t>
      </w:r>
      <w:r w:rsidRPr="000B3B91">
        <w:t>val.</w:t>
      </w:r>
    </w:p>
    <w:p w14:paraId="2AF9F605" w14:textId="77777777" w:rsidR="000B3B91" w:rsidRPr="000B3B91" w:rsidRDefault="000B3B91" w:rsidP="00D07E98">
      <w:pPr>
        <w:pStyle w:val="Paragraphbulleted"/>
      </w:pPr>
      <w:r w:rsidRPr="000B3B91">
        <w:t>Best individual per run is re-evaluated on held-out test set.</w:t>
      </w:r>
    </w:p>
    <w:p w14:paraId="525FE73F" w14:textId="77777777" w:rsidR="000B3B91" w:rsidRPr="000B3B91" w:rsidRDefault="000B3B91" w:rsidP="00D07E98">
      <w:pPr>
        <w:pStyle w:val="Paragraphbulleted"/>
      </w:pPr>
      <w:r w:rsidRPr="000B3B91">
        <w:t xml:space="preserve">Experiments repeated across </w:t>
      </w:r>
      <w:r w:rsidRPr="000B3B91">
        <w:rPr>
          <w:b/>
          <w:bCs/>
        </w:rPr>
        <w:t>10 independent runs</w:t>
      </w:r>
      <w:r w:rsidRPr="000B3B91">
        <w:t xml:space="preserve"> with seeds: 42, 101, 202, 303, 404, 505, 606, 707, 808, 909. Paired seeds are used across methods for fair statistical comparisons.</w:t>
      </w:r>
    </w:p>
    <w:p w14:paraId="44374187" w14:textId="5F16A829" w:rsidR="000B3B91" w:rsidRPr="000B3B91" w:rsidRDefault="000B3B91" w:rsidP="00D07E98">
      <w:pPr>
        <w:pStyle w:val="Heading2"/>
      </w:pPr>
      <w:r w:rsidRPr="000B3B91">
        <w:t>Robustness experiments specific to the variables</w:t>
      </w:r>
    </w:p>
    <w:p w14:paraId="16D9ADEA" w14:textId="77777777" w:rsidR="000B3B91" w:rsidRDefault="000B3B91" w:rsidP="00D07E98">
      <w:pPr>
        <w:pStyle w:val="Paragraph"/>
      </w:pPr>
      <w:r w:rsidRPr="000B3B91">
        <w:t>Robustness tests are applied to the six inputs and the training/test process as follows:</w:t>
      </w:r>
    </w:p>
    <w:p w14:paraId="69DF793D" w14:textId="52E7F96B" w:rsidR="00E8422C" w:rsidRPr="00CE4FC6" w:rsidRDefault="00E8422C" w:rsidP="00D07E98">
      <w:pPr>
        <w:pStyle w:val="Paragraphbulleted"/>
      </w:pPr>
      <w:r w:rsidRPr="00CE4FC6">
        <w:rPr>
          <w:b/>
          <w:bCs/>
        </w:rPr>
        <w:t>Additive Gaussian noise</w:t>
      </w:r>
      <w:r>
        <w:t xml:space="preserve">: for each numeric input </w:t>
      </w:r>
      <m:oMath>
        <m:sSub>
          <m:sSubPr>
            <m:ctrlPr>
              <w:rPr>
                <w:rFonts w:ascii="Cambria Math" w:hAnsi="Cambria Math"/>
                <w:i/>
              </w:rPr>
            </m:ctrlPr>
          </m:sSubPr>
          <m:e>
            <m:r>
              <w:rPr>
                <w:rFonts w:ascii="Cambria Math" w:hAnsi="Cambria Math"/>
              </w:rPr>
              <m:t>x</m:t>
            </m:r>
          </m:e>
          <m:sub>
            <m:r>
              <w:rPr>
                <w:rFonts w:ascii="Cambria Math" w:hAnsi="Cambria Math"/>
              </w:rPr>
              <m:t>j</m:t>
            </m:r>
          </m:sub>
        </m:sSub>
        <m:r>
          <w:rPr>
            <w:rFonts w:ascii="Cambria Math" w:hAnsi="Cambria Math"/>
          </w:rPr>
          <m:t xml:space="preserve"> add N</m:t>
        </m:r>
        <m:d>
          <m:dPr>
            <m:ctrlPr>
              <w:rPr>
                <w:rFonts w:ascii="Cambria Math" w:hAnsi="Cambria Math"/>
                <w:i/>
              </w:rPr>
            </m:ctrlPr>
          </m:dPr>
          <m:e>
            <m:r>
              <w:rPr>
                <w:rFonts w:ascii="Cambria Math" w:hAnsi="Cambria Math"/>
              </w:rPr>
              <m:t>0,</m:t>
            </m:r>
            <m:sSubSup>
              <m:sSubSupPr>
                <m:ctrlPr>
                  <w:rPr>
                    <w:rFonts w:ascii="Cambria Math" w:hAnsi="Cambria Math"/>
                    <w:i/>
                  </w:rPr>
                </m:ctrlPr>
              </m:sSubSupPr>
              <m:e>
                <m:r>
                  <w:rPr>
                    <w:rFonts w:ascii="Cambria Math" w:hAnsi="Cambria Math"/>
                  </w:rPr>
                  <m:t>σ</m:t>
                </m:r>
              </m:e>
              <m:sub>
                <m:r>
                  <w:rPr>
                    <w:rFonts w:ascii="Cambria Math" w:hAnsi="Cambria Math"/>
                  </w:rPr>
                  <m:t>j</m:t>
                </m:r>
              </m:sub>
              <m:sup>
                <m:r>
                  <w:rPr>
                    <w:rFonts w:ascii="Cambria Math" w:hAnsi="Cambria Math"/>
                  </w:rPr>
                  <m:t>2</m:t>
                </m:r>
              </m:sup>
            </m:sSubSup>
          </m:e>
        </m:d>
        <m:r>
          <w:rPr>
            <w:rFonts w:ascii="Cambria Math" w:hAnsi="Cambria Math"/>
          </w:rPr>
          <m:t xml:space="preserve">where </m:t>
        </m:r>
        <m:sSub>
          <m:sSubPr>
            <m:ctrlPr>
              <w:rPr>
                <w:rFonts w:ascii="Cambria Math" w:hAnsi="Cambria Math"/>
                <w:i/>
              </w:rPr>
            </m:ctrlPr>
          </m:sSubPr>
          <m:e>
            <m:r>
              <w:rPr>
                <w:rFonts w:ascii="Cambria Math" w:hAnsi="Cambria Math"/>
              </w:rPr>
              <m:t>σ</m:t>
            </m:r>
          </m:e>
          <m:sub>
            <m:r>
              <w:rPr>
                <w:rFonts w:ascii="Cambria Math" w:hAnsi="Cambria Math"/>
              </w:rPr>
              <m:t>j</m:t>
            </m:r>
          </m:sub>
        </m:sSub>
        <m:r>
          <w:rPr>
            <w:rFonts w:ascii="Cambria Math" w:hAnsi="Cambria Math"/>
          </w:rPr>
          <m:t>= α.(</m:t>
        </m:r>
        <m:sSub>
          <m:sSubPr>
            <m:ctrlPr>
              <w:rPr>
                <w:rFonts w:ascii="Cambria Math" w:hAnsi="Cambria Math"/>
                <w:i/>
              </w:rPr>
            </m:ctrlPr>
          </m:sSubPr>
          <m:e>
            <m:r>
              <w:rPr>
                <w:rFonts w:ascii="Cambria Math" w:hAnsi="Cambria Math"/>
              </w:rPr>
              <m:t>max</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min</m:t>
            </m:r>
          </m:e>
          <m:sub>
            <m:r>
              <w:rPr>
                <w:rFonts w:ascii="Cambria Math" w:hAnsi="Cambria Math"/>
              </w:rPr>
              <m:t>j</m:t>
            </m:r>
          </m:sub>
        </m:sSub>
        <m:r>
          <w:rPr>
            <w:rFonts w:ascii="Cambria Math" w:hAnsi="Cambria Math"/>
          </w:rPr>
          <m:t>)</m:t>
        </m:r>
      </m:oMath>
      <w:r w:rsidR="00CE4FC6">
        <w:rPr>
          <w:rFonts w:eastAsiaTheme="minorEastAsia"/>
        </w:rPr>
        <w:t xml:space="preserve"> with </w:t>
      </w:r>
      <m:oMath>
        <m:r>
          <w:rPr>
            <w:rFonts w:ascii="Cambria Math" w:eastAsiaTheme="minorEastAsia" w:hAnsi="Cambria Math"/>
          </w:rPr>
          <m:t xml:space="preserve">α ϵ </m:t>
        </m:r>
        <m:d>
          <m:dPr>
            <m:begChr m:val="{"/>
            <m:endChr m:val="}"/>
            <m:ctrlPr>
              <w:rPr>
                <w:rFonts w:ascii="Cambria Math" w:eastAsiaTheme="minorEastAsia" w:hAnsi="Cambria Math"/>
                <w:i/>
              </w:rPr>
            </m:ctrlPr>
          </m:dPr>
          <m:e>
            <m:r>
              <w:rPr>
                <w:rFonts w:ascii="Cambria Math" w:eastAsiaTheme="minorEastAsia" w:hAnsi="Cambria Math"/>
              </w:rPr>
              <m:t xml:space="preserve"> 0.05,0.10</m:t>
            </m:r>
          </m:e>
        </m:d>
        <m:r>
          <w:rPr>
            <w:rFonts w:ascii="Cambria Math" w:eastAsiaTheme="minorEastAsia" w:hAnsi="Cambria Math"/>
          </w:rPr>
          <m:t>.</m:t>
        </m:r>
      </m:oMath>
      <w:r w:rsidR="00CE4FC6">
        <w:rPr>
          <w:rFonts w:eastAsiaTheme="minorEastAsia"/>
        </w:rPr>
        <w:t>this test sensitivity of students performance, Engagement, etc., to measurement noise.</w:t>
      </w:r>
    </w:p>
    <w:p w14:paraId="63824C40" w14:textId="012CE866" w:rsidR="00CE4FC6" w:rsidRDefault="00CE4FC6" w:rsidP="00D07E98">
      <w:pPr>
        <w:pStyle w:val="Paragraphbulleted"/>
      </w:pPr>
      <w:r w:rsidRPr="00CE4FC6">
        <w:rPr>
          <w:b/>
          <w:bCs/>
        </w:rPr>
        <w:t>Asymmetric rater bias</w:t>
      </w:r>
      <w:r>
        <w:t>: For variables derived from rater judgements (Faculty Effectiveness, teaching quality feedback), add constant offset of 0.10 (10% of target dynamic range) to a random subset of raters to simulate systematic bias.</w:t>
      </w:r>
    </w:p>
    <w:p w14:paraId="0FB2A0F5" w14:textId="62BB2983" w:rsidR="00CE4FC6" w:rsidRDefault="00CE4FC6" w:rsidP="00D07E98">
      <w:pPr>
        <w:pStyle w:val="Paragraphbulleted"/>
      </w:pPr>
      <w:r w:rsidRPr="00CE4FC6">
        <w:rPr>
          <w:b/>
          <w:bCs/>
        </w:rPr>
        <w:t>Label noise</w:t>
      </w:r>
      <w:r>
        <w:t xml:space="preserve">: corrupt 5% of CO-PO Attainment training labels by replacing with samples drawn from the empirical target distribution; retrain models to measure </w:t>
      </w:r>
      <w:r w:rsidR="00DC4D30">
        <w:t>robustness.</w:t>
      </w:r>
    </w:p>
    <w:p w14:paraId="15B3FBF9" w14:textId="3A5410B8" w:rsidR="00DC4D30" w:rsidRDefault="00DC4D30" w:rsidP="00D07E98">
      <w:pPr>
        <w:pStyle w:val="Paragraphbulleted"/>
      </w:pPr>
      <w:r>
        <w:rPr>
          <w:b/>
          <w:bCs/>
        </w:rPr>
        <w:t>Missingness (10%)</w:t>
      </w:r>
      <w:r w:rsidRPr="00DC4D30">
        <w:t>:</w:t>
      </w:r>
      <w:r>
        <w:t xml:space="preserve"> </w:t>
      </w:r>
      <w:r w:rsidRPr="00DC4D30">
        <w:t>randomly set 10% of input</w:t>
      </w:r>
      <w:r>
        <w:rPr>
          <w:b/>
          <w:bCs/>
        </w:rPr>
        <w:t xml:space="preserve"> </w:t>
      </w:r>
      <w:r>
        <w:t>entries to missing.</w:t>
      </w:r>
    </w:p>
    <w:p w14:paraId="4764313C" w14:textId="510AF970" w:rsidR="00DC4D30" w:rsidRDefault="00DC4D30" w:rsidP="00D07E98">
      <w:pPr>
        <w:pStyle w:val="Paragraphbulleted"/>
      </w:pPr>
      <w:r>
        <w:t>Type – 1 baselines: mean imputation.</w:t>
      </w:r>
    </w:p>
    <w:p w14:paraId="6043469B" w14:textId="58D3398F" w:rsidR="00DC4D30" w:rsidRPr="00DC4D30" w:rsidRDefault="00DC4D30" w:rsidP="00D07E98">
      <w:pPr>
        <w:pStyle w:val="Paragraphbulleted"/>
      </w:pPr>
      <w:r>
        <w:t xml:space="preserve">IT2 models: interval imputation, construct for missing entry </w:t>
      </w:r>
      <m:oMath>
        <m:sSub>
          <m:sSubPr>
            <m:ctrlPr>
              <w:rPr>
                <w:rFonts w:ascii="Cambria Math" w:hAnsi="Cambria Math"/>
                <w:i/>
              </w:rPr>
            </m:ctrlPr>
          </m:sSubPr>
          <m:e>
            <m:r>
              <w:rPr>
                <w:rFonts w:ascii="Cambria Math" w:hAnsi="Cambria Math"/>
              </w:rPr>
              <m:t>x</m:t>
            </m:r>
          </m:e>
          <m:sub>
            <m:r>
              <w:rPr>
                <w:rFonts w:ascii="Cambria Math" w:hAnsi="Cambria Math"/>
              </w:rPr>
              <m:t>j</m:t>
            </m:r>
          </m:sub>
        </m:sSub>
      </m:oMath>
      <w:r>
        <w:rPr>
          <w:rFonts w:eastAsiaTheme="minorEastAsia"/>
        </w:rPr>
        <w:t xml:space="preserve"> a plausible interval </w:t>
      </w:r>
      <m:oMath>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x</m:t>
            </m:r>
          </m:e>
          <m:sub>
            <m:r>
              <w:rPr>
                <w:rFonts w:ascii="Cambria Math" w:eastAsiaTheme="minorEastAsia" w:hAnsi="Cambria Math"/>
              </w:rPr>
              <m:t>j</m:t>
            </m:r>
          </m:sub>
          <m:sup>
            <m:d>
              <m:dPr>
                <m:ctrlPr>
                  <w:rPr>
                    <w:rFonts w:ascii="Cambria Math" w:eastAsiaTheme="minorEastAsia" w:hAnsi="Cambria Math"/>
                    <w:i/>
                  </w:rPr>
                </m:ctrlPr>
              </m:dPr>
              <m:e>
                <m:r>
                  <w:rPr>
                    <w:rFonts w:ascii="Cambria Math" w:eastAsiaTheme="minorEastAsia" w:hAnsi="Cambria Math"/>
                  </w:rPr>
                  <m:t>L</m:t>
                </m:r>
              </m:e>
            </m:d>
          </m:sup>
        </m:sSubSup>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x</m:t>
            </m:r>
          </m:e>
          <m:sub>
            <m:r>
              <w:rPr>
                <w:rFonts w:ascii="Cambria Math" w:eastAsiaTheme="minorEastAsia" w:hAnsi="Cambria Math"/>
              </w:rPr>
              <m:t>j</m:t>
            </m:r>
          </m:sub>
          <m:sup>
            <m:d>
              <m:dPr>
                <m:ctrlPr>
                  <w:rPr>
                    <w:rFonts w:ascii="Cambria Math" w:eastAsiaTheme="minorEastAsia" w:hAnsi="Cambria Math"/>
                    <w:i/>
                  </w:rPr>
                </m:ctrlPr>
              </m:dPr>
              <m:e>
                <m:r>
                  <w:rPr>
                    <w:rFonts w:ascii="Cambria Math" w:eastAsiaTheme="minorEastAsia" w:hAnsi="Cambria Math"/>
                  </w:rPr>
                  <m:t>U</m:t>
                </m:r>
              </m:e>
            </m:d>
          </m:sup>
        </m:sSubSup>
        <m:r>
          <w:rPr>
            <w:rFonts w:ascii="Cambria Math" w:eastAsiaTheme="minorEastAsia" w:hAnsi="Cambria Math"/>
          </w:rPr>
          <m:t>]</m:t>
        </m:r>
      </m:oMath>
      <w:r>
        <w:rPr>
          <w:rFonts w:eastAsiaTheme="minorEastAsia"/>
        </w:rPr>
        <w:t xml:space="preserve"> such as train mean ± one standard deviation (or percentile bounds). This IT2 FOUs absorb this uncertainty.</w:t>
      </w:r>
    </w:p>
    <w:p w14:paraId="2EA4DC2E" w14:textId="49EC9C9E" w:rsidR="000B3B91" w:rsidRPr="00E706A0" w:rsidRDefault="00DC4D30" w:rsidP="00D07E98">
      <w:pPr>
        <w:pStyle w:val="Paragraph"/>
      </w:pPr>
      <w:r>
        <w:t>For each stressor compute the relative change Δ in RMSE and MAE versus the clean test baseline.</w:t>
      </w:r>
    </w:p>
    <w:p w14:paraId="7C0BCD98" w14:textId="3CF9C7C7" w:rsidR="000B3B91" w:rsidRPr="000B3B91" w:rsidRDefault="00D07E98" w:rsidP="00D07E98">
      <w:pPr>
        <w:pStyle w:val="Heading2"/>
      </w:pPr>
      <w:r>
        <w:lastRenderedPageBreak/>
        <w:t>E</w:t>
      </w:r>
      <w:r w:rsidR="000B3B91" w:rsidRPr="000B3B91">
        <w:t>valuation metrics and statistical testing</w:t>
      </w:r>
    </w:p>
    <w:p w14:paraId="6BDB47D6" w14:textId="4B39E1A0" w:rsidR="000B3B91" w:rsidRPr="000B3B91" w:rsidRDefault="000B3B91" w:rsidP="00D07E98">
      <w:pPr>
        <w:pStyle w:val="Paragraphbulleted"/>
      </w:pPr>
      <w:r w:rsidRPr="000B3B91">
        <w:rPr>
          <w:b/>
          <w:bCs/>
        </w:rPr>
        <w:t>Point metrics:</w:t>
      </w:r>
      <w:r w:rsidRPr="000B3B91">
        <w:t xml:space="preserve"> RMSE, MAE, MAPE, R</w:t>
      </w:r>
      <w:r w:rsidR="00D50EA1">
        <w:rPr>
          <w:vertAlign w:val="superscript"/>
        </w:rPr>
        <w:t>2</w:t>
      </w:r>
      <w:r w:rsidRPr="000B3B91">
        <w:t>. Target scaled to [0,1] for consistent metric interpretation.</w:t>
      </w:r>
    </w:p>
    <w:p w14:paraId="565FD440" w14:textId="77777777" w:rsidR="000B3B91" w:rsidRPr="000B3B91" w:rsidRDefault="000B3B91" w:rsidP="00D07E98">
      <w:pPr>
        <w:pStyle w:val="Paragraphbulleted"/>
      </w:pPr>
      <w:r w:rsidRPr="000B3B91">
        <w:rPr>
          <w:b/>
          <w:bCs/>
        </w:rPr>
        <w:t>Interval metrics:</w:t>
      </w:r>
      <w:r w:rsidRPr="000B3B91">
        <w:t xml:space="preserve"> empirical coverage at nominal levels (e.g., 90%), mean interval width (sharpness), and Winkler score.</w:t>
      </w:r>
    </w:p>
    <w:p w14:paraId="355E90AA" w14:textId="0F6B526E" w:rsidR="000B3B91" w:rsidRPr="000B3B91" w:rsidRDefault="000B3B91" w:rsidP="00D07E98">
      <w:pPr>
        <w:pStyle w:val="Paragraphbulleted"/>
      </w:pPr>
      <w:r w:rsidRPr="000B3B91">
        <w:rPr>
          <w:b/>
          <w:bCs/>
        </w:rPr>
        <w:t>Interpretability metrics:</w:t>
      </w:r>
      <w:r w:rsidRPr="000B3B91">
        <w:t xml:space="preserve"> active rule count </w:t>
      </w:r>
      <w:proofErr w:type="spellStart"/>
      <w:r w:rsidRPr="000B3B91">
        <w:t>N</w:t>
      </w:r>
      <w:r w:rsidR="00D50EA1">
        <w:rPr>
          <w:vertAlign w:val="subscript"/>
        </w:rPr>
        <w:t>active</w:t>
      </w:r>
      <w:proofErr w:type="spellEnd"/>
      <w:r w:rsidRPr="000B3B91">
        <w:t>​, average antecedent length, and total FOU area (numerically integrated).</w:t>
      </w:r>
    </w:p>
    <w:p w14:paraId="07E09570" w14:textId="3524E628" w:rsidR="000B3B91" w:rsidRPr="000B3B91" w:rsidRDefault="000B3B91" w:rsidP="00D07E98">
      <w:pPr>
        <w:pStyle w:val="Paragraphbulleted"/>
      </w:pPr>
      <w:r w:rsidRPr="000B3B91">
        <w:rPr>
          <w:b/>
          <w:bCs/>
        </w:rPr>
        <w:t>Statistical tests:</w:t>
      </w:r>
      <w:r w:rsidRPr="000B3B91">
        <w:t xml:space="preserve"> Wilcoxon signed-rank tests (paired across seeds) for RMSE/Winkler comparisons, with Cliff’s δ</w:t>
      </w:r>
      <w:r w:rsidR="003808F9">
        <w:t>/</w:t>
      </w:r>
      <w:proofErr w:type="spellStart"/>
      <w:r w:rsidRPr="000B3B91">
        <w:t>deltaδ</w:t>
      </w:r>
      <w:proofErr w:type="spellEnd"/>
      <w:r w:rsidRPr="000B3B91">
        <w:t xml:space="preserve"> reported. Significance considered at p</w:t>
      </w:r>
      <w:r w:rsidR="00F8380E">
        <w:t xml:space="preserve"> </w:t>
      </w:r>
      <w:r w:rsidRPr="000B3B91">
        <w:t>&lt;</w:t>
      </w:r>
      <w:r w:rsidR="00F8380E">
        <w:t xml:space="preserve"> </w:t>
      </w:r>
      <w:r w:rsidRPr="000B3B91">
        <w:t>0.05; Bonferroni correction applied for multiple pairwise tests where appropriate.</w:t>
      </w:r>
    </w:p>
    <w:p w14:paraId="38150102" w14:textId="29A9B9C8" w:rsidR="00DC4D30" w:rsidRDefault="00F8380E" w:rsidP="00D07E98">
      <w:pPr>
        <w:pStyle w:val="Heading2"/>
      </w:pPr>
      <w:r w:rsidRPr="00F8380E">
        <w:t>computational considerations</w:t>
      </w:r>
    </w:p>
    <w:p w14:paraId="5F72E898" w14:textId="492BBD9D" w:rsidR="00F8380E" w:rsidRPr="00F8380E" w:rsidRDefault="00F8380E" w:rsidP="00D07E98">
      <w:pPr>
        <w:pStyle w:val="Paragraphbulleted"/>
        <w:rPr>
          <w:b/>
          <w:bCs/>
        </w:rPr>
      </w:pPr>
      <w:r>
        <w:rPr>
          <w:b/>
          <w:bCs/>
        </w:rPr>
        <w:t xml:space="preserve">KM Parameters: </w:t>
      </w:r>
      <w:r>
        <w:t xml:space="preserve"> </w:t>
      </w:r>
      <m:oMath>
        <m:r>
          <w:rPr>
            <w:rFonts w:ascii="Cambria Math" w:hAnsi="Cambria Math"/>
          </w:rPr>
          <m:t>tol=</m:t>
        </m:r>
        <m:sSup>
          <m:sSupPr>
            <m:ctrlPr>
              <w:rPr>
                <w:rFonts w:ascii="Cambria Math" w:hAnsi="Cambria Math"/>
                <w:i/>
              </w:rPr>
            </m:ctrlPr>
          </m:sSupPr>
          <m:e>
            <m:r>
              <w:rPr>
                <w:rFonts w:ascii="Cambria Math" w:hAnsi="Cambria Math"/>
              </w:rPr>
              <m:t>10</m:t>
            </m:r>
          </m:e>
          <m:sup>
            <m:r>
              <w:rPr>
                <w:rFonts w:ascii="Cambria Math" w:hAnsi="Cambria Math"/>
              </w:rPr>
              <m:t>-6</m:t>
            </m:r>
          </m:sup>
        </m:sSup>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max</m:t>
            </m:r>
          </m:sub>
        </m:sSub>
        <m:r>
          <w:rPr>
            <w:rFonts w:ascii="Cambria Math" w:hAnsi="Cambria Math"/>
          </w:rPr>
          <m:t>=50.</m:t>
        </m:r>
      </m:oMath>
      <w:r w:rsidR="002E1C88">
        <w:rPr>
          <w:rFonts w:eastAsiaTheme="minorEastAsia"/>
        </w:rPr>
        <w:t xml:space="preserve"> </w:t>
      </w:r>
      <w:r>
        <w:rPr>
          <w:rFonts w:eastAsiaTheme="minorEastAsia"/>
        </w:rPr>
        <w:t xml:space="preserve">Empirically </w:t>
      </w:r>
      <m:oMath>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KM</m:t>
            </m:r>
          </m:sub>
        </m:sSub>
        <m:r>
          <w:rPr>
            <w:rFonts w:ascii="Cambria Math" w:eastAsiaTheme="minorEastAsia" w:hAnsi="Cambria Math"/>
          </w:rPr>
          <m:t>≤10</m:t>
        </m:r>
      </m:oMath>
      <w:r>
        <w:rPr>
          <w:rFonts w:eastAsiaTheme="minorEastAsia"/>
        </w:rPr>
        <w:t xml:space="preserve"> across inputs above.</w:t>
      </w:r>
    </w:p>
    <w:p w14:paraId="77DF1CD4" w14:textId="39CB4B31" w:rsidR="005C7AA1" w:rsidRPr="00442349" w:rsidRDefault="00F8380E" w:rsidP="00D07E98">
      <w:pPr>
        <w:pStyle w:val="Paragraphbulleted"/>
        <w:rPr>
          <w:b/>
          <w:bCs/>
        </w:rPr>
      </w:pPr>
      <w:r>
        <w:rPr>
          <w:b/>
          <w:bCs/>
        </w:rPr>
        <w:t xml:space="preserve">Timing: </w:t>
      </w:r>
      <w:r>
        <w:t xml:space="preserve">IT2 average training per GA run ≈ 115s; inference ≈ 2.3ms/sample. Training complexity per generation: </w:t>
      </w:r>
      <m:oMath>
        <m:r>
          <w:rPr>
            <w:rFonts w:ascii="Cambria Math" w:hAnsi="Cambria Math"/>
          </w:rPr>
          <m:t>O(P.</m:t>
        </m:r>
        <m:sSub>
          <m:sSubPr>
            <m:ctrlPr>
              <w:rPr>
                <w:rFonts w:ascii="Cambria Math" w:hAnsi="Cambria Math"/>
                <w:i/>
              </w:rPr>
            </m:ctrlPr>
          </m:sSubPr>
          <m:e>
            <m:r>
              <w:rPr>
                <w:rFonts w:ascii="Cambria Math" w:hAnsi="Cambria Math"/>
              </w:rPr>
              <m:t>N</m:t>
            </m:r>
          </m:e>
          <m:sub>
            <m:r>
              <w:rPr>
                <w:rFonts w:ascii="Cambria Math" w:hAnsi="Cambria Math"/>
              </w:rPr>
              <m:t>v</m:t>
            </m:r>
          </m:sub>
        </m:sSub>
        <m:r>
          <w:rPr>
            <w:rFonts w:ascii="Cambria Math" w:hAnsi="Cambria Math"/>
          </w:rPr>
          <m:t>.R.</m:t>
        </m:r>
        <m:sSub>
          <m:sSubPr>
            <m:ctrlPr>
              <w:rPr>
                <w:rFonts w:ascii="Cambria Math" w:hAnsi="Cambria Math"/>
                <w:i/>
              </w:rPr>
            </m:ctrlPr>
          </m:sSubPr>
          <m:e>
            <m:r>
              <w:rPr>
                <w:rFonts w:ascii="Cambria Math" w:hAnsi="Cambria Math"/>
              </w:rPr>
              <m:t>I</m:t>
            </m:r>
          </m:e>
          <m:sub>
            <m:r>
              <w:rPr>
                <w:rFonts w:ascii="Cambria Math" w:hAnsi="Cambria Math"/>
              </w:rPr>
              <m:t>KM;</m:t>
            </m:r>
          </m:sub>
        </m:sSub>
        <m:r>
          <w:rPr>
            <w:rFonts w:ascii="Cambria Math" w:hAnsi="Cambria Math"/>
          </w:rPr>
          <m:t>)</m:t>
        </m:r>
      </m:oMath>
      <w:r w:rsidR="00442349">
        <w:rPr>
          <w:rFonts w:eastAsiaTheme="minorEastAsia"/>
        </w:rPr>
        <w:t xml:space="preserve"> per sample inference </w:t>
      </w:r>
      <m:oMath>
        <m:r>
          <w:rPr>
            <w:rFonts w:ascii="Cambria Math" w:eastAsiaTheme="minorEastAsia" w:hAnsi="Cambria Math"/>
          </w:rPr>
          <m:t>O(R.</m:t>
        </m:r>
        <m:sSub>
          <m:sSubPr>
            <m:ctrlPr>
              <w:rPr>
                <w:rFonts w:ascii="Cambria Math" w:eastAsiaTheme="minorEastAsia" w:hAnsi="Cambria Math"/>
                <w:i/>
              </w:rPr>
            </m:ctrlPr>
          </m:sSubPr>
          <m:e>
            <m:r>
              <w:rPr>
                <w:rFonts w:ascii="Cambria Math" w:eastAsiaTheme="minorEastAsia" w:hAnsi="Cambria Math"/>
              </w:rPr>
              <m:t>I</m:t>
            </m:r>
          </m:e>
          <m:sub>
            <m:r>
              <w:rPr>
                <w:rFonts w:ascii="Cambria Math" w:eastAsiaTheme="minorEastAsia" w:hAnsi="Cambria Math"/>
              </w:rPr>
              <m:t>KM</m:t>
            </m:r>
          </m:sub>
        </m:sSub>
      </m:oMath>
      <w:r w:rsidR="00442349">
        <w:rPr>
          <w:rFonts w:eastAsiaTheme="minorEastAsia"/>
        </w:rPr>
        <w:t>).</w:t>
      </w:r>
    </w:p>
    <w:p w14:paraId="678EF819" w14:textId="2864C786" w:rsidR="000B3B91" w:rsidRPr="000B3B91" w:rsidRDefault="000B3B91" w:rsidP="00900976">
      <w:pPr>
        <w:pStyle w:val="Heading2"/>
      </w:pPr>
      <w:r w:rsidRPr="000B3B91">
        <w:t>Implementation, reproducibility, and ethics</w:t>
      </w:r>
    </w:p>
    <w:p w14:paraId="72D0BEA1" w14:textId="77777777" w:rsidR="000B3B91" w:rsidRPr="00367B44" w:rsidRDefault="000B3B91" w:rsidP="00900976">
      <w:pPr>
        <w:pStyle w:val="Paragraphbulleted"/>
      </w:pPr>
      <w:r w:rsidRPr="00367B44">
        <w:t>Software: Python 3.10, NumPy, SciPy, scikit-learn and a custom IT2 module (repository link in supplementary materials).</w:t>
      </w:r>
    </w:p>
    <w:p w14:paraId="4D2E27BD" w14:textId="77777777" w:rsidR="000B3B91" w:rsidRPr="00367B44" w:rsidRDefault="000B3B91" w:rsidP="00900976">
      <w:pPr>
        <w:pStyle w:val="Paragraphbulleted"/>
      </w:pPr>
      <w:r w:rsidRPr="00367B44">
        <w:t>Hardware: Intel Xeon CPU, 64 GB RAM.</w:t>
      </w:r>
    </w:p>
    <w:p w14:paraId="7EB7643C" w14:textId="77777777" w:rsidR="000B3B91" w:rsidRPr="00367B44" w:rsidRDefault="000B3B91" w:rsidP="00900976">
      <w:pPr>
        <w:pStyle w:val="Paragraphbulleted"/>
      </w:pPr>
      <w:r w:rsidRPr="00367B44">
        <w:t>Reproducibility artifacts: code, hyperparameter tables, seeds, data split scripts, model checkpoints, and scripts to reproduce figures are provided in the public repository.</w:t>
      </w:r>
    </w:p>
    <w:p w14:paraId="1C98906C" w14:textId="43C0D2FA" w:rsidR="002764AB" w:rsidRDefault="000B3B91" w:rsidP="00900976">
      <w:pPr>
        <w:pStyle w:val="Paragraphbulleted"/>
      </w:pPr>
      <w:r w:rsidRPr="00367B44">
        <w:t>Ethical note: data anonymization applied; institutional policies and consent were observed for use of student and rater data. Deployment of the CO</w:t>
      </w:r>
      <w:r w:rsidR="003808F9">
        <w:t>-</w:t>
      </w:r>
      <w:r w:rsidRPr="00367B44">
        <w:t>PO</w:t>
      </w:r>
      <w:r w:rsidR="003808F9">
        <w:t xml:space="preserve"> </w:t>
      </w:r>
      <w:r w:rsidRPr="00367B44">
        <w:t>Attainment predictor should include human-in-the-loop review and safeguards against unintentional bias.</w:t>
      </w:r>
    </w:p>
    <w:p w14:paraId="5B4B3392" w14:textId="78FFD1B9" w:rsidR="000B3B91" w:rsidRPr="000B3B91" w:rsidRDefault="000B3B91" w:rsidP="00900976">
      <w:pPr>
        <w:pStyle w:val="Heading2"/>
      </w:pPr>
      <w:r w:rsidRPr="000B3B91">
        <w:t>Summary of variable-specific modelling choices</w:t>
      </w:r>
    </w:p>
    <w:p w14:paraId="6F0642ED" w14:textId="4830B4EA" w:rsidR="000B3B91" w:rsidRPr="00367B44" w:rsidRDefault="000B3B91" w:rsidP="00900976">
      <w:pPr>
        <w:pStyle w:val="Paragraphbulleted"/>
      </w:pPr>
      <w:r w:rsidRPr="00367B44">
        <w:t>Inputs: Student</w:t>
      </w:r>
      <w:r w:rsidR="00442349">
        <w:t xml:space="preserve"> </w:t>
      </w:r>
      <w:r w:rsidRPr="00367B44">
        <w:t>Performance, Course</w:t>
      </w:r>
      <w:r w:rsidR="00442349">
        <w:t xml:space="preserve"> </w:t>
      </w:r>
      <w:r w:rsidRPr="00367B44">
        <w:t>Complexity, Faculty</w:t>
      </w:r>
      <w:r w:rsidR="00442349">
        <w:t xml:space="preserve"> </w:t>
      </w:r>
      <w:r w:rsidRPr="00367B44">
        <w:t>Effectiveness, Assessment</w:t>
      </w:r>
      <w:r w:rsidR="00442349">
        <w:t xml:space="preserve"> </w:t>
      </w:r>
      <w:r w:rsidRPr="00367B44">
        <w:t>Rigour, Student</w:t>
      </w:r>
      <w:r w:rsidR="00442349">
        <w:t xml:space="preserve"> </w:t>
      </w:r>
      <w:r w:rsidRPr="00367B44">
        <w:t>Engagement, Teaching</w:t>
      </w:r>
      <w:r w:rsidR="00442349">
        <w:t xml:space="preserve"> </w:t>
      </w:r>
      <w:r w:rsidRPr="00367B44">
        <w:t>Quality</w:t>
      </w:r>
      <w:r w:rsidR="00442349">
        <w:t xml:space="preserve"> </w:t>
      </w:r>
      <w:r w:rsidRPr="00367B44">
        <w:t>Feedback all standardized and fuzzified into three interpretable linguistic terms.</w:t>
      </w:r>
    </w:p>
    <w:p w14:paraId="5E426499" w14:textId="2186EF02" w:rsidR="000B3B91" w:rsidRPr="00367B44" w:rsidRDefault="000B3B91" w:rsidP="00900976">
      <w:pPr>
        <w:pStyle w:val="Paragraphbulleted"/>
      </w:pPr>
      <w:r w:rsidRPr="00367B44">
        <w:t>Output: CO</w:t>
      </w:r>
      <w:r w:rsidR="00442349">
        <w:t>-</w:t>
      </w:r>
      <w:r w:rsidRPr="00367B44">
        <w:t>PO</w:t>
      </w:r>
      <w:r w:rsidR="00442349">
        <w:t xml:space="preserve"> </w:t>
      </w:r>
      <w:r w:rsidRPr="00367B44">
        <w:t>Attainment normalized to [0,1]; interval output retained for uncertainty-aware decisions.</w:t>
      </w:r>
    </w:p>
    <w:p w14:paraId="341A2E01" w14:textId="77777777" w:rsidR="000B3B91" w:rsidRPr="00367B44" w:rsidRDefault="000B3B91" w:rsidP="00900976">
      <w:pPr>
        <w:pStyle w:val="Paragraphbulleted"/>
      </w:pPr>
      <w:r w:rsidRPr="00367B44">
        <w:t xml:space="preserve">IT2 design: triangular UMF/LMF with LMF scale </w:t>
      </w:r>
      <w:proofErr w:type="spellStart"/>
      <w:r w:rsidRPr="00367B44">
        <w:t>init</w:t>
      </w:r>
      <w:proofErr w:type="spellEnd"/>
      <w:r w:rsidRPr="00367B44">
        <w:t xml:space="preserve"> = 0.85; KM type-reduction with </w:t>
      </w:r>
      <w:proofErr w:type="spellStart"/>
      <w:r w:rsidRPr="00367B44">
        <w:t>tol</w:t>
      </w:r>
      <w:proofErr w:type="spellEnd"/>
      <w:r w:rsidRPr="00367B44">
        <w:t xml:space="preserve"> = 1e-6; GA hyperparameters as above; candidate rule pool limited to ≤150 via clustering + expert seeding to keep interpretability manageable.</w:t>
      </w:r>
    </w:p>
    <w:p w14:paraId="004F24BC" w14:textId="6F80F77E" w:rsidR="000B3B91" w:rsidRPr="00442349" w:rsidRDefault="000B3B91" w:rsidP="00900976">
      <w:pPr>
        <w:pStyle w:val="Paragraphbulleted"/>
      </w:pPr>
      <w:r w:rsidRPr="00367B44">
        <w:t>Robustness: noise, bias, label corruption and missingness applied to the same named inputs to reflect realistic perturbations in educational data.</w:t>
      </w:r>
    </w:p>
    <w:p w14:paraId="50DBF178" w14:textId="04091451" w:rsidR="005E6156" w:rsidRPr="00E706A0" w:rsidRDefault="005E6156" w:rsidP="00900976">
      <w:pPr>
        <w:pStyle w:val="Heading1"/>
      </w:pPr>
      <w:r w:rsidRPr="00E706A0">
        <w:t>Results</w:t>
      </w:r>
    </w:p>
    <w:p w14:paraId="20CB56AC" w14:textId="2CE8CCE5" w:rsidR="005E6156" w:rsidRPr="00E706A0" w:rsidRDefault="005E6156" w:rsidP="00900976">
      <w:pPr>
        <w:pStyle w:val="Heading2"/>
      </w:pPr>
      <w:r w:rsidRPr="00E706A0">
        <w:t>Model Training and Convergence</w:t>
      </w:r>
    </w:p>
    <w:p w14:paraId="60D5B6FB" w14:textId="77777777" w:rsidR="0038500B" w:rsidRDefault="005E6156" w:rsidP="00900976">
      <w:pPr>
        <w:pStyle w:val="Paragraph"/>
      </w:pPr>
      <w:r w:rsidRPr="00E706A0">
        <w:t>The Genetic Algorithm (GA) was executed with a population size of 30 and 40 generations on the stratified 80/10/10 train</w:t>
      </w:r>
      <w:r w:rsidR="003808F9">
        <w:t xml:space="preserve"> </w:t>
      </w:r>
      <w:r w:rsidRPr="00E706A0">
        <w:t>validation</w:t>
      </w:r>
      <w:r w:rsidR="003808F9">
        <w:t xml:space="preserve"> </w:t>
      </w:r>
      <w:r w:rsidRPr="00E706A0">
        <w:t>test split of the 10,000</w:t>
      </w:r>
      <w:r w:rsidR="003808F9">
        <w:t xml:space="preserve"> </w:t>
      </w:r>
      <w:r w:rsidRPr="00E706A0">
        <w:t>record OBE dataset. Initialization was seeded from the optimized Type-1 GA-FIS membership functions reported in the first article, with LMF widths initialized to 85% of the corresponding UMF widths. Convergence curves indicated stable performance after approximately 25</w:t>
      </w:r>
      <w:r w:rsidR="003808F9">
        <w:t>-</w:t>
      </w:r>
    </w:p>
    <w:p w14:paraId="33C8C24D" w14:textId="0A0AF13F" w:rsidR="005E6156" w:rsidRPr="00E706A0" w:rsidRDefault="005E6156" w:rsidP="00900976">
      <w:pPr>
        <w:pStyle w:val="Paragraph"/>
      </w:pPr>
      <w:r w:rsidRPr="00E706A0">
        <w:t xml:space="preserve">30 generations, with the best individuals retained through elitism. The lowest validation RMSE achieved by the Interval Type-2 FIS (IT2-FIS) was </w:t>
      </w:r>
      <w:r w:rsidRPr="00E706A0">
        <w:rPr>
          <w:b/>
          <w:bCs/>
        </w:rPr>
        <w:t>0.0318</w:t>
      </w:r>
      <w:r w:rsidRPr="00E706A0">
        <w:t>, representing a ~7.8% reduction relative to the Type-1 GA-FIS baseline (0.0345). The training process consistently produced feasible and semantically ordered membership functions, validating the genetic encoding strategy.</w:t>
      </w:r>
    </w:p>
    <w:p w14:paraId="37D2D831" w14:textId="5CD84388" w:rsidR="005E6156" w:rsidRDefault="005E6156" w:rsidP="00900976">
      <w:pPr>
        <w:pStyle w:val="Heading2"/>
      </w:pPr>
      <w:r w:rsidRPr="00E706A0">
        <w:lastRenderedPageBreak/>
        <w:t>Performance on Clean Test Data</w:t>
      </w:r>
    </w:p>
    <w:p w14:paraId="56B34066" w14:textId="138C1FD4" w:rsidR="00026590" w:rsidRPr="00E706A0" w:rsidRDefault="00026590" w:rsidP="00900976">
      <w:pPr>
        <w:pStyle w:val="TableCaption"/>
      </w:pPr>
      <w:r w:rsidRPr="00E706A0">
        <w:t xml:space="preserve">Table </w:t>
      </w:r>
      <w:r w:rsidR="00442349">
        <w:t>3 -</w:t>
      </w:r>
      <w:r w:rsidRPr="00E706A0">
        <w:t xml:space="preserve"> Performance on Clean Test Data</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27"/>
        <w:gridCol w:w="794"/>
        <w:gridCol w:w="766"/>
        <w:gridCol w:w="1188"/>
        <w:gridCol w:w="666"/>
      </w:tblGrid>
      <w:tr w:rsidR="00026590" w:rsidRPr="00900976" w14:paraId="307D1713" w14:textId="77777777" w:rsidTr="00900976">
        <w:trPr>
          <w:jc w:val="center"/>
        </w:trPr>
        <w:tc>
          <w:tcPr>
            <w:tcW w:w="0" w:type="auto"/>
            <w:tcBorders>
              <w:bottom w:val="single" w:sz="4" w:space="0" w:color="auto"/>
            </w:tcBorders>
            <w:hideMark/>
          </w:tcPr>
          <w:p w14:paraId="35BA71F5" w14:textId="77777777" w:rsidR="00026590" w:rsidRPr="00900976" w:rsidRDefault="00026590" w:rsidP="00EB6EA8">
            <w:pPr>
              <w:spacing w:line="276" w:lineRule="auto"/>
              <w:rPr>
                <w:b/>
                <w:bCs/>
                <w:sz w:val="20"/>
              </w:rPr>
            </w:pPr>
            <w:r w:rsidRPr="00900976">
              <w:rPr>
                <w:b/>
                <w:bCs/>
                <w:sz w:val="20"/>
              </w:rPr>
              <w:t>Model</w:t>
            </w:r>
          </w:p>
        </w:tc>
        <w:tc>
          <w:tcPr>
            <w:tcW w:w="0" w:type="auto"/>
            <w:tcBorders>
              <w:bottom w:val="single" w:sz="4" w:space="0" w:color="auto"/>
            </w:tcBorders>
            <w:hideMark/>
          </w:tcPr>
          <w:p w14:paraId="4CB282DE" w14:textId="77777777" w:rsidR="00026590" w:rsidRPr="00900976" w:rsidRDefault="00026590" w:rsidP="00EB6EA8">
            <w:pPr>
              <w:spacing w:line="276" w:lineRule="auto"/>
              <w:rPr>
                <w:b/>
                <w:bCs/>
                <w:sz w:val="20"/>
              </w:rPr>
            </w:pPr>
            <w:r w:rsidRPr="00900976">
              <w:rPr>
                <w:b/>
                <w:bCs/>
                <w:sz w:val="20"/>
              </w:rPr>
              <w:t>RMSE</w:t>
            </w:r>
          </w:p>
        </w:tc>
        <w:tc>
          <w:tcPr>
            <w:tcW w:w="0" w:type="auto"/>
            <w:tcBorders>
              <w:bottom w:val="single" w:sz="4" w:space="0" w:color="auto"/>
            </w:tcBorders>
            <w:hideMark/>
          </w:tcPr>
          <w:p w14:paraId="775367B2" w14:textId="77777777" w:rsidR="00026590" w:rsidRPr="00900976" w:rsidRDefault="00026590" w:rsidP="00EB6EA8">
            <w:pPr>
              <w:spacing w:line="276" w:lineRule="auto"/>
              <w:rPr>
                <w:b/>
                <w:bCs/>
                <w:sz w:val="20"/>
              </w:rPr>
            </w:pPr>
            <w:r w:rsidRPr="00900976">
              <w:rPr>
                <w:b/>
                <w:bCs/>
                <w:sz w:val="20"/>
              </w:rPr>
              <w:t>MAE</w:t>
            </w:r>
          </w:p>
        </w:tc>
        <w:tc>
          <w:tcPr>
            <w:tcW w:w="0" w:type="auto"/>
            <w:tcBorders>
              <w:bottom w:val="single" w:sz="4" w:space="0" w:color="auto"/>
            </w:tcBorders>
            <w:hideMark/>
          </w:tcPr>
          <w:p w14:paraId="55BE0AD4" w14:textId="77777777" w:rsidR="00026590" w:rsidRPr="00900976" w:rsidRDefault="00026590" w:rsidP="00EB6EA8">
            <w:pPr>
              <w:spacing w:line="276" w:lineRule="auto"/>
              <w:rPr>
                <w:b/>
                <w:bCs/>
                <w:sz w:val="20"/>
              </w:rPr>
            </w:pPr>
            <w:r w:rsidRPr="00900976">
              <w:rPr>
                <w:b/>
                <w:bCs/>
                <w:sz w:val="20"/>
              </w:rPr>
              <w:t>MAPE (%)</w:t>
            </w:r>
          </w:p>
        </w:tc>
        <w:tc>
          <w:tcPr>
            <w:tcW w:w="0" w:type="auto"/>
            <w:tcBorders>
              <w:bottom w:val="single" w:sz="4" w:space="0" w:color="auto"/>
            </w:tcBorders>
            <w:hideMark/>
          </w:tcPr>
          <w:p w14:paraId="76B247E5" w14:textId="77777777" w:rsidR="00026590" w:rsidRPr="00900976" w:rsidRDefault="00026590" w:rsidP="00EB6EA8">
            <w:pPr>
              <w:spacing w:line="276" w:lineRule="auto"/>
              <w:rPr>
                <w:b/>
                <w:bCs/>
                <w:sz w:val="20"/>
              </w:rPr>
            </w:pPr>
            <w:r w:rsidRPr="00900976">
              <w:rPr>
                <w:b/>
                <w:bCs/>
                <w:sz w:val="20"/>
              </w:rPr>
              <w:t>R²</w:t>
            </w:r>
          </w:p>
        </w:tc>
      </w:tr>
      <w:tr w:rsidR="00026590" w:rsidRPr="00900976" w14:paraId="28D49338" w14:textId="77777777" w:rsidTr="00900976">
        <w:trPr>
          <w:jc w:val="center"/>
        </w:trPr>
        <w:tc>
          <w:tcPr>
            <w:tcW w:w="0" w:type="auto"/>
            <w:tcBorders>
              <w:top w:val="single" w:sz="4" w:space="0" w:color="auto"/>
            </w:tcBorders>
            <w:hideMark/>
          </w:tcPr>
          <w:p w14:paraId="49EB098C" w14:textId="77777777" w:rsidR="00026590" w:rsidRPr="00900976" w:rsidRDefault="00026590" w:rsidP="00EB6EA8">
            <w:pPr>
              <w:spacing w:line="276" w:lineRule="auto"/>
              <w:rPr>
                <w:sz w:val="20"/>
              </w:rPr>
            </w:pPr>
            <w:r w:rsidRPr="00900976">
              <w:rPr>
                <w:sz w:val="20"/>
              </w:rPr>
              <w:t>Type-1 GA-FIS (baseline)</w:t>
            </w:r>
          </w:p>
        </w:tc>
        <w:tc>
          <w:tcPr>
            <w:tcW w:w="0" w:type="auto"/>
            <w:tcBorders>
              <w:top w:val="single" w:sz="4" w:space="0" w:color="auto"/>
            </w:tcBorders>
            <w:hideMark/>
          </w:tcPr>
          <w:p w14:paraId="58DA0AF0" w14:textId="77777777" w:rsidR="00026590" w:rsidRPr="00900976" w:rsidRDefault="00026590" w:rsidP="00EB6EA8">
            <w:pPr>
              <w:spacing w:line="276" w:lineRule="auto"/>
              <w:rPr>
                <w:sz w:val="20"/>
              </w:rPr>
            </w:pPr>
            <w:r w:rsidRPr="00900976">
              <w:rPr>
                <w:sz w:val="20"/>
              </w:rPr>
              <w:t>0.0345</w:t>
            </w:r>
          </w:p>
        </w:tc>
        <w:tc>
          <w:tcPr>
            <w:tcW w:w="0" w:type="auto"/>
            <w:tcBorders>
              <w:top w:val="single" w:sz="4" w:space="0" w:color="auto"/>
            </w:tcBorders>
            <w:hideMark/>
          </w:tcPr>
          <w:p w14:paraId="3FE2732D" w14:textId="77777777" w:rsidR="00026590" w:rsidRPr="00900976" w:rsidRDefault="00026590" w:rsidP="00EB6EA8">
            <w:pPr>
              <w:spacing w:line="276" w:lineRule="auto"/>
              <w:rPr>
                <w:sz w:val="20"/>
              </w:rPr>
            </w:pPr>
            <w:r w:rsidRPr="00900976">
              <w:rPr>
                <w:sz w:val="20"/>
              </w:rPr>
              <w:t>0.0265</w:t>
            </w:r>
          </w:p>
        </w:tc>
        <w:tc>
          <w:tcPr>
            <w:tcW w:w="0" w:type="auto"/>
            <w:tcBorders>
              <w:top w:val="single" w:sz="4" w:space="0" w:color="auto"/>
            </w:tcBorders>
            <w:hideMark/>
          </w:tcPr>
          <w:p w14:paraId="6D6964F4" w14:textId="77777777" w:rsidR="00026590" w:rsidRPr="00900976" w:rsidRDefault="00026590" w:rsidP="00EB6EA8">
            <w:pPr>
              <w:spacing w:line="276" w:lineRule="auto"/>
              <w:rPr>
                <w:sz w:val="20"/>
              </w:rPr>
            </w:pPr>
            <w:r w:rsidRPr="00900976">
              <w:rPr>
                <w:sz w:val="20"/>
              </w:rPr>
              <w:t>4.85</w:t>
            </w:r>
          </w:p>
        </w:tc>
        <w:tc>
          <w:tcPr>
            <w:tcW w:w="0" w:type="auto"/>
            <w:tcBorders>
              <w:top w:val="single" w:sz="4" w:space="0" w:color="auto"/>
            </w:tcBorders>
            <w:hideMark/>
          </w:tcPr>
          <w:p w14:paraId="7F52DC26" w14:textId="77777777" w:rsidR="00026590" w:rsidRPr="00900976" w:rsidRDefault="00026590" w:rsidP="00EB6EA8">
            <w:pPr>
              <w:spacing w:line="276" w:lineRule="auto"/>
              <w:rPr>
                <w:sz w:val="20"/>
              </w:rPr>
            </w:pPr>
            <w:r w:rsidRPr="00900976">
              <w:rPr>
                <w:sz w:val="20"/>
              </w:rPr>
              <w:t>0.957</w:t>
            </w:r>
          </w:p>
        </w:tc>
      </w:tr>
      <w:tr w:rsidR="00026590" w:rsidRPr="00900976" w14:paraId="2B54E383" w14:textId="77777777" w:rsidTr="00900976">
        <w:trPr>
          <w:jc w:val="center"/>
        </w:trPr>
        <w:tc>
          <w:tcPr>
            <w:tcW w:w="0" w:type="auto"/>
            <w:hideMark/>
          </w:tcPr>
          <w:p w14:paraId="7E209718" w14:textId="77777777" w:rsidR="00026590" w:rsidRPr="00900976" w:rsidRDefault="00026590" w:rsidP="00EB6EA8">
            <w:pPr>
              <w:spacing w:line="276" w:lineRule="auto"/>
              <w:rPr>
                <w:sz w:val="20"/>
              </w:rPr>
            </w:pPr>
            <w:r w:rsidRPr="00900976">
              <w:rPr>
                <w:sz w:val="20"/>
              </w:rPr>
              <w:t>IT2 GA-FIS (proposed)</w:t>
            </w:r>
          </w:p>
        </w:tc>
        <w:tc>
          <w:tcPr>
            <w:tcW w:w="0" w:type="auto"/>
            <w:hideMark/>
          </w:tcPr>
          <w:p w14:paraId="4351660F" w14:textId="77777777" w:rsidR="00026590" w:rsidRPr="00900976" w:rsidRDefault="00026590" w:rsidP="00EB6EA8">
            <w:pPr>
              <w:spacing w:line="276" w:lineRule="auto"/>
              <w:rPr>
                <w:sz w:val="20"/>
              </w:rPr>
            </w:pPr>
            <w:r w:rsidRPr="00900976">
              <w:rPr>
                <w:b/>
                <w:bCs/>
                <w:sz w:val="20"/>
              </w:rPr>
              <w:t>0.0325</w:t>
            </w:r>
          </w:p>
        </w:tc>
        <w:tc>
          <w:tcPr>
            <w:tcW w:w="0" w:type="auto"/>
            <w:hideMark/>
          </w:tcPr>
          <w:p w14:paraId="24C52E7C" w14:textId="77777777" w:rsidR="00026590" w:rsidRPr="00900976" w:rsidRDefault="00026590" w:rsidP="00EB6EA8">
            <w:pPr>
              <w:spacing w:line="276" w:lineRule="auto"/>
              <w:rPr>
                <w:sz w:val="20"/>
              </w:rPr>
            </w:pPr>
            <w:r w:rsidRPr="00900976">
              <w:rPr>
                <w:b/>
                <w:bCs/>
                <w:sz w:val="20"/>
              </w:rPr>
              <w:t>0.0247</w:t>
            </w:r>
          </w:p>
        </w:tc>
        <w:tc>
          <w:tcPr>
            <w:tcW w:w="0" w:type="auto"/>
            <w:hideMark/>
          </w:tcPr>
          <w:p w14:paraId="3B950724" w14:textId="77777777" w:rsidR="00026590" w:rsidRPr="00900976" w:rsidRDefault="00026590" w:rsidP="00EB6EA8">
            <w:pPr>
              <w:spacing w:line="276" w:lineRule="auto"/>
              <w:rPr>
                <w:sz w:val="20"/>
              </w:rPr>
            </w:pPr>
            <w:r w:rsidRPr="00900976">
              <w:rPr>
                <w:b/>
                <w:bCs/>
                <w:sz w:val="20"/>
              </w:rPr>
              <w:t>4.39</w:t>
            </w:r>
          </w:p>
        </w:tc>
        <w:tc>
          <w:tcPr>
            <w:tcW w:w="0" w:type="auto"/>
            <w:hideMark/>
          </w:tcPr>
          <w:p w14:paraId="5F3FBD7A" w14:textId="77777777" w:rsidR="00026590" w:rsidRPr="00900976" w:rsidRDefault="00026590" w:rsidP="00EB6EA8">
            <w:pPr>
              <w:spacing w:line="276" w:lineRule="auto"/>
              <w:rPr>
                <w:sz w:val="20"/>
              </w:rPr>
            </w:pPr>
            <w:r w:rsidRPr="00900976">
              <w:rPr>
                <w:b/>
                <w:bCs/>
                <w:sz w:val="20"/>
              </w:rPr>
              <w:t>0.962</w:t>
            </w:r>
          </w:p>
        </w:tc>
      </w:tr>
      <w:tr w:rsidR="00026590" w:rsidRPr="00900976" w14:paraId="4C6F8198" w14:textId="77777777" w:rsidTr="00900976">
        <w:trPr>
          <w:jc w:val="center"/>
        </w:trPr>
        <w:tc>
          <w:tcPr>
            <w:tcW w:w="0" w:type="auto"/>
            <w:hideMark/>
          </w:tcPr>
          <w:p w14:paraId="72A8EB88" w14:textId="77777777" w:rsidR="00026590" w:rsidRPr="00900976" w:rsidRDefault="00026590" w:rsidP="00EB6EA8">
            <w:pPr>
              <w:spacing w:line="276" w:lineRule="auto"/>
              <w:rPr>
                <w:sz w:val="20"/>
              </w:rPr>
            </w:pPr>
            <w:r w:rsidRPr="00900976">
              <w:rPr>
                <w:sz w:val="20"/>
              </w:rPr>
              <w:t>IT2 NSGA-II FIS</w:t>
            </w:r>
          </w:p>
        </w:tc>
        <w:tc>
          <w:tcPr>
            <w:tcW w:w="0" w:type="auto"/>
            <w:hideMark/>
          </w:tcPr>
          <w:p w14:paraId="5560C388" w14:textId="77777777" w:rsidR="00026590" w:rsidRPr="00900976" w:rsidRDefault="00026590" w:rsidP="00EB6EA8">
            <w:pPr>
              <w:spacing w:line="276" w:lineRule="auto"/>
              <w:rPr>
                <w:sz w:val="20"/>
              </w:rPr>
            </w:pPr>
            <w:r w:rsidRPr="00900976">
              <w:rPr>
                <w:sz w:val="20"/>
              </w:rPr>
              <w:t>0.0330</w:t>
            </w:r>
          </w:p>
        </w:tc>
        <w:tc>
          <w:tcPr>
            <w:tcW w:w="0" w:type="auto"/>
            <w:hideMark/>
          </w:tcPr>
          <w:p w14:paraId="7C3A0D72" w14:textId="77777777" w:rsidR="00026590" w:rsidRPr="00900976" w:rsidRDefault="00026590" w:rsidP="00EB6EA8">
            <w:pPr>
              <w:spacing w:line="276" w:lineRule="auto"/>
              <w:rPr>
                <w:sz w:val="20"/>
              </w:rPr>
            </w:pPr>
            <w:r w:rsidRPr="00900976">
              <w:rPr>
                <w:sz w:val="20"/>
              </w:rPr>
              <w:t>0.0251</w:t>
            </w:r>
          </w:p>
        </w:tc>
        <w:tc>
          <w:tcPr>
            <w:tcW w:w="0" w:type="auto"/>
            <w:hideMark/>
          </w:tcPr>
          <w:p w14:paraId="5A22D4D6" w14:textId="77777777" w:rsidR="00026590" w:rsidRPr="00900976" w:rsidRDefault="00026590" w:rsidP="00EB6EA8">
            <w:pPr>
              <w:spacing w:line="276" w:lineRule="auto"/>
              <w:rPr>
                <w:sz w:val="20"/>
              </w:rPr>
            </w:pPr>
            <w:r w:rsidRPr="00900976">
              <w:rPr>
                <w:sz w:val="20"/>
              </w:rPr>
              <w:t>4.47</w:t>
            </w:r>
          </w:p>
        </w:tc>
        <w:tc>
          <w:tcPr>
            <w:tcW w:w="0" w:type="auto"/>
            <w:hideMark/>
          </w:tcPr>
          <w:p w14:paraId="054BEA7D" w14:textId="77777777" w:rsidR="00026590" w:rsidRPr="00900976" w:rsidRDefault="00026590" w:rsidP="00EB6EA8">
            <w:pPr>
              <w:spacing w:line="276" w:lineRule="auto"/>
              <w:rPr>
                <w:sz w:val="20"/>
              </w:rPr>
            </w:pPr>
            <w:r w:rsidRPr="00900976">
              <w:rPr>
                <w:sz w:val="20"/>
              </w:rPr>
              <w:t>0.961</w:t>
            </w:r>
          </w:p>
        </w:tc>
      </w:tr>
      <w:tr w:rsidR="00026590" w:rsidRPr="00900976" w14:paraId="6F75A0AC" w14:textId="77777777" w:rsidTr="00900976">
        <w:trPr>
          <w:jc w:val="center"/>
        </w:trPr>
        <w:tc>
          <w:tcPr>
            <w:tcW w:w="0" w:type="auto"/>
            <w:hideMark/>
          </w:tcPr>
          <w:p w14:paraId="6CCB894B" w14:textId="77777777" w:rsidR="00026590" w:rsidRPr="00900976" w:rsidRDefault="00026590" w:rsidP="00EB6EA8">
            <w:pPr>
              <w:spacing w:line="276" w:lineRule="auto"/>
              <w:rPr>
                <w:sz w:val="20"/>
              </w:rPr>
            </w:pPr>
            <w:r w:rsidRPr="00900976">
              <w:rPr>
                <w:sz w:val="20"/>
              </w:rPr>
              <w:t>ANFIS</w:t>
            </w:r>
          </w:p>
        </w:tc>
        <w:tc>
          <w:tcPr>
            <w:tcW w:w="0" w:type="auto"/>
            <w:hideMark/>
          </w:tcPr>
          <w:p w14:paraId="575F03B9" w14:textId="77777777" w:rsidR="00026590" w:rsidRPr="00900976" w:rsidRDefault="00026590" w:rsidP="00EB6EA8">
            <w:pPr>
              <w:spacing w:line="276" w:lineRule="auto"/>
              <w:rPr>
                <w:sz w:val="20"/>
              </w:rPr>
            </w:pPr>
            <w:r w:rsidRPr="00900976">
              <w:rPr>
                <w:sz w:val="20"/>
              </w:rPr>
              <w:t>0.0381</w:t>
            </w:r>
          </w:p>
        </w:tc>
        <w:tc>
          <w:tcPr>
            <w:tcW w:w="0" w:type="auto"/>
            <w:hideMark/>
          </w:tcPr>
          <w:p w14:paraId="731EA53F" w14:textId="77777777" w:rsidR="00026590" w:rsidRPr="00900976" w:rsidRDefault="00026590" w:rsidP="00EB6EA8">
            <w:pPr>
              <w:spacing w:line="276" w:lineRule="auto"/>
              <w:rPr>
                <w:sz w:val="20"/>
              </w:rPr>
            </w:pPr>
            <w:r w:rsidRPr="00900976">
              <w:rPr>
                <w:sz w:val="20"/>
              </w:rPr>
              <w:t>0.0294</w:t>
            </w:r>
          </w:p>
        </w:tc>
        <w:tc>
          <w:tcPr>
            <w:tcW w:w="0" w:type="auto"/>
            <w:hideMark/>
          </w:tcPr>
          <w:p w14:paraId="79B6684E" w14:textId="77777777" w:rsidR="00026590" w:rsidRPr="00900976" w:rsidRDefault="00026590" w:rsidP="00EB6EA8">
            <w:pPr>
              <w:spacing w:line="276" w:lineRule="auto"/>
              <w:rPr>
                <w:sz w:val="20"/>
              </w:rPr>
            </w:pPr>
            <w:r w:rsidRPr="00900976">
              <w:rPr>
                <w:sz w:val="20"/>
              </w:rPr>
              <w:t>5.21</w:t>
            </w:r>
          </w:p>
        </w:tc>
        <w:tc>
          <w:tcPr>
            <w:tcW w:w="0" w:type="auto"/>
            <w:hideMark/>
          </w:tcPr>
          <w:p w14:paraId="65CC7371" w14:textId="77777777" w:rsidR="00026590" w:rsidRPr="00900976" w:rsidRDefault="00026590" w:rsidP="00EB6EA8">
            <w:pPr>
              <w:spacing w:line="276" w:lineRule="auto"/>
              <w:rPr>
                <w:sz w:val="20"/>
              </w:rPr>
            </w:pPr>
            <w:r w:rsidRPr="00900976">
              <w:rPr>
                <w:sz w:val="20"/>
              </w:rPr>
              <w:t>0.945</w:t>
            </w:r>
          </w:p>
        </w:tc>
      </w:tr>
      <w:tr w:rsidR="00026590" w:rsidRPr="00900976" w14:paraId="20A1FAA2" w14:textId="77777777" w:rsidTr="00900976">
        <w:trPr>
          <w:jc w:val="center"/>
        </w:trPr>
        <w:tc>
          <w:tcPr>
            <w:tcW w:w="0" w:type="auto"/>
            <w:hideMark/>
          </w:tcPr>
          <w:p w14:paraId="0EA1D289" w14:textId="77777777" w:rsidR="00026590" w:rsidRPr="00900976" w:rsidRDefault="00026590" w:rsidP="00EB6EA8">
            <w:pPr>
              <w:spacing w:line="276" w:lineRule="auto"/>
              <w:rPr>
                <w:sz w:val="20"/>
              </w:rPr>
            </w:pPr>
            <w:r w:rsidRPr="00900976">
              <w:rPr>
                <w:sz w:val="20"/>
              </w:rPr>
              <w:t>ANN (MLP, 2-hidden)</w:t>
            </w:r>
          </w:p>
        </w:tc>
        <w:tc>
          <w:tcPr>
            <w:tcW w:w="0" w:type="auto"/>
            <w:hideMark/>
          </w:tcPr>
          <w:p w14:paraId="7116828C" w14:textId="77777777" w:rsidR="00026590" w:rsidRPr="00900976" w:rsidRDefault="00026590" w:rsidP="00EB6EA8">
            <w:pPr>
              <w:spacing w:line="276" w:lineRule="auto"/>
              <w:rPr>
                <w:sz w:val="20"/>
              </w:rPr>
            </w:pPr>
            <w:r w:rsidRPr="00900976">
              <w:rPr>
                <w:sz w:val="20"/>
              </w:rPr>
              <w:t>0.0417</w:t>
            </w:r>
          </w:p>
        </w:tc>
        <w:tc>
          <w:tcPr>
            <w:tcW w:w="0" w:type="auto"/>
            <w:hideMark/>
          </w:tcPr>
          <w:p w14:paraId="079B1838" w14:textId="77777777" w:rsidR="00026590" w:rsidRPr="00900976" w:rsidRDefault="00026590" w:rsidP="00EB6EA8">
            <w:pPr>
              <w:spacing w:line="276" w:lineRule="auto"/>
              <w:rPr>
                <w:sz w:val="20"/>
              </w:rPr>
            </w:pPr>
            <w:r w:rsidRPr="00900976">
              <w:rPr>
                <w:sz w:val="20"/>
              </w:rPr>
              <w:t>0.0310</w:t>
            </w:r>
          </w:p>
        </w:tc>
        <w:tc>
          <w:tcPr>
            <w:tcW w:w="0" w:type="auto"/>
            <w:hideMark/>
          </w:tcPr>
          <w:p w14:paraId="63FCCA6C" w14:textId="77777777" w:rsidR="00026590" w:rsidRPr="00900976" w:rsidRDefault="00026590" w:rsidP="00EB6EA8">
            <w:pPr>
              <w:spacing w:line="276" w:lineRule="auto"/>
              <w:rPr>
                <w:sz w:val="20"/>
              </w:rPr>
            </w:pPr>
            <w:r w:rsidRPr="00900976">
              <w:rPr>
                <w:sz w:val="20"/>
              </w:rPr>
              <w:t>5.54</w:t>
            </w:r>
          </w:p>
        </w:tc>
        <w:tc>
          <w:tcPr>
            <w:tcW w:w="0" w:type="auto"/>
            <w:hideMark/>
          </w:tcPr>
          <w:p w14:paraId="73EE8645" w14:textId="77777777" w:rsidR="00026590" w:rsidRPr="00900976" w:rsidRDefault="00026590" w:rsidP="00EB6EA8">
            <w:pPr>
              <w:spacing w:line="276" w:lineRule="auto"/>
              <w:rPr>
                <w:sz w:val="20"/>
              </w:rPr>
            </w:pPr>
            <w:r w:rsidRPr="00900976">
              <w:rPr>
                <w:sz w:val="20"/>
              </w:rPr>
              <w:t>0.938</w:t>
            </w:r>
          </w:p>
        </w:tc>
      </w:tr>
    </w:tbl>
    <w:p w14:paraId="018E7246" w14:textId="2C65B64E" w:rsidR="00F50AC7" w:rsidRPr="006B6CE4" w:rsidRDefault="00026590" w:rsidP="00900976">
      <w:pPr>
        <w:pStyle w:val="Paragraph"/>
      </w:pPr>
      <w:r w:rsidRPr="006B6CE4">
        <w:t>Observation: Both IT2-FIS variants outperform the Type-1 GA-FIS and neural baselines, with GA-optimized IT2-FIS achieving the best overall performance.</w:t>
      </w:r>
      <w:r w:rsidR="002042C8" w:rsidRPr="006B6CE4">
        <w:t xml:space="preserve"> </w:t>
      </w:r>
      <w:r w:rsidR="005E6156" w:rsidRPr="006B6CE4">
        <w:t xml:space="preserve">Table </w:t>
      </w:r>
      <w:r w:rsidR="00442349" w:rsidRPr="006B6CE4">
        <w:t>3</w:t>
      </w:r>
      <w:r w:rsidR="005E6156" w:rsidRPr="006B6CE4">
        <w:t xml:space="preserve"> summarizes the predictive performance of all models on the held</w:t>
      </w:r>
      <w:r w:rsidR="0038500B">
        <w:t xml:space="preserve"> </w:t>
      </w:r>
      <w:r w:rsidR="005E6156" w:rsidRPr="006B6CE4">
        <w:t xml:space="preserve">out clean test set. The IT2-FIS optimized by GA achieved an RMSE of 0.0325, MAE of 0.0247, and coefficient of determination R² of 0.962, outperforming both the baseline Type-1 GA-FIS and other benchmark models (ANFIS, ANN). The improvements were statistically significant (Wilcoxon signed-rank, p &lt; 0.01), with effect sizes in the </w:t>
      </w:r>
      <w:proofErr w:type="gramStart"/>
      <w:r w:rsidR="005E6156" w:rsidRPr="006B6CE4">
        <w:t>medium</w:t>
      </w:r>
      <w:r w:rsidR="0038500B">
        <w:t xml:space="preserve"> </w:t>
      </w:r>
      <w:r w:rsidR="005E6156" w:rsidRPr="006B6CE4">
        <w:t>large</w:t>
      </w:r>
      <w:proofErr w:type="gramEnd"/>
      <w:r w:rsidR="005E6156" w:rsidRPr="006B6CE4">
        <w:t xml:space="preserve"> range (Cliff’s δ &gt; 0.33).</w:t>
      </w:r>
    </w:p>
    <w:p w14:paraId="45AA9175" w14:textId="264D70E3" w:rsidR="005E6156" w:rsidRPr="00F50AC7" w:rsidRDefault="005E6156" w:rsidP="00900976">
      <w:pPr>
        <w:pStyle w:val="Heading2"/>
      </w:pPr>
      <w:r w:rsidRPr="00E706A0">
        <w:t>Robustness under Stress Conditions</w:t>
      </w:r>
    </w:p>
    <w:p w14:paraId="3B9AFCD6" w14:textId="77777777" w:rsidR="005E6156" w:rsidRPr="002042C8" w:rsidRDefault="005E6156" w:rsidP="00900976">
      <w:pPr>
        <w:pStyle w:val="Paragraph"/>
      </w:pPr>
      <w:r w:rsidRPr="002042C8">
        <w:t>To assess robustness, the trained models were evaluated under controlled uncertainty stressors: additive Gaussian noise, asymmetric rater bias, label noise, and 10% missingness. Results are presented in Table 2.</w:t>
      </w:r>
    </w:p>
    <w:p w14:paraId="43E27496" w14:textId="77777777" w:rsidR="005E6156" w:rsidRPr="002042C8" w:rsidRDefault="005E6156" w:rsidP="00900976">
      <w:pPr>
        <w:pStyle w:val="Paragraphbulleted"/>
      </w:pPr>
      <w:r w:rsidRPr="002042C8">
        <w:t>Under 10% additive Gaussian noise, RMSE for the Type-1 GA-FIS increased by 17.2%, whereas the IT2-FIS increased only by 8.9%, demonstrating a significantly slower degradation.</w:t>
      </w:r>
    </w:p>
    <w:p w14:paraId="619F65F9" w14:textId="77777777" w:rsidR="005E6156" w:rsidRPr="002042C8" w:rsidRDefault="005E6156" w:rsidP="00900976">
      <w:pPr>
        <w:pStyle w:val="Paragraphbulleted"/>
      </w:pPr>
      <w:r w:rsidRPr="002042C8">
        <w:t>For asymmetric rater bias, the IT2-FIS maintained predictive stability with ΔRMSE &lt; 0.012, while Type-1 GA-FIS exhibited ΔRMSE ≈ 0.020.</w:t>
      </w:r>
    </w:p>
    <w:p w14:paraId="3B17E63C" w14:textId="77777777" w:rsidR="005E6156" w:rsidRPr="002042C8" w:rsidRDefault="005E6156" w:rsidP="00900976">
      <w:pPr>
        <w:pStyle w:val="Paragraphbulleted"/>
      </w:pPr>
      <w:r w:rsidRPr="002042C8">
        <w:t>With 5% label noise, IT2-FIS achieved a ΔMAE of 0.009, compared to 0.016 for the Type-1 system.</w:t>
      </w:r>
    </w:p>
    <w:p w14:paraId="1EE87167" w14:textId="77777777" w:rsidR="005E6156" w:rsidRPr="002042C8" w:rsidRDefault="005E6156" w:rsidP="00900976">
      <w:pPr>
        <w:pStyle w:val="Paragraphbulleted"/>
      </w:pPr>
      <w:r w:rsidRPr="002042C8">
        <w:t>In the 10% missingness scenario, interval imputation coupled with FOUs allowed IT2-FIS to achieve 92.3% coverage of ground-truth outcomes, compared to 84.6% for Type-1 FIS with mean imputation.</w:t>
      </w:r>
    </w:p>
    <w:p w14:paraId="46ADB9B0" w14:textId="771042DB" w:rsidR="00026590" w:rsidRPr="00E706A0" w:rsidRDefault="00026590" w:rsidP="00900976">
      <w:pPr>
        <w:pStyle w:val="TableCaption"/>
      </w:pPr>
      <w:r w:rsidRPr="00E706A0">
        <w:t xml:space="preserve">Table </w:t>
      </w:r>
      <w:r w:rsidR="00442349">
        <w:t>4-</w:t>
      </w:r>
      <w:r w:rsidRPr="00E706A0">
        <w:t xml:space="preserve"> Robustness Under Uncertainty Stressors</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2"/>
        <w:gridCol w:w="890"/>
        <w:gridCol w:w="1178"/>
        <w:gridCol w:w="1256"/>
        <w:gridCol w:w="1356"/>
        <w:gridCol w:w="2394"/>
      </w:tblGrid>
      <w:tr w:rsidR="00026590" w:rsidRPr="00900976" w14:paraId="0FADC2CF" w14:textId="77777777" w:rsidTr="00900976">
        <w:tc>
          <w:tcPr>
            <w:tcW w:w="0" w:type="auto"/>
            <w:tcBorders>
              <w:bottom w:val="single" w:sz="4" w:space="0" w:color="auto"/>
            </w:tcBorders>
            <w:hideMark/>
          </w:tcPr>
          <w:p w14:paraId="11B96B68" w14:textId="77777777" w:rsidR="00026590" w:rsidRPr="00900976" w:rsidRDefault="00026590" w:rsidP="00EB6EA8">
            <w:pPr>
              <w:spacing w:line="276" w:lineRule="auto"/>
              <w:rPr>
                <w:b/>
                <w:bCs/>
                <w:sz w:val="20"/>
              </w:rPr>
            </w:pPr>
            <w:r w:rsidRPr="00900976">
              <w:rPr>
                <w:b/>
                <w:bCs/>
                <w:sz w:val="20"/>
              </w:rPr>
              <w:t>Stress Scenario</w:t>
            </w:r>
          </w:p>
        </w:tc>
        <w:tc>
          <w:tcPr>
            <w:tcW w:w="0" w:type="auto"/>
            <w:tcBorders>
              <w:bottom w:val="single" w:sz="4" w:space="0" w:color="auto"/>
            </w:tcBorders>
            <w:hideMark/>
          </w:tcPr>
          <w:p w14:paraId="115A3FCA" w14:textId="77777777" w:rsidR="00026590" w:rsidRPr="00900976" w:rsidRDefault="00026590" w:rsidP="00EB6EA8">
            <w:pPr>
              <w:spacing w:line="276" w:lineRule="auto"/>
              <w:rPr>
                <w:b/>
                <w:bCs/>
                <w:sz w:val="20"/>
              </w:rPr>
            </w:pPr>
            <w:r w:rsidRPr="00900976">
              <w:rPr>
                <w:b/>
                <w:bCs/>
                <w:sz w:val="20"/>
              </w:rPr>
              <w:t>Metric</w:t>
            </w:r>
          </w:p>
        </w:tc>
        <w:tc>
          <w:tcPr>
            <w:tcW w:w="0" w:type="auto"/>
            <w:tcBorders>
              <w:bottom w:val="single" w:sz="4" w:space="0" w:color="auto"/>
            </w:tcBorders>
            <w:hideMark/>
          </w:tcPr>
          <w:p w14:paraId="4E4DD50A" w14:textId="77777777" w:rsidR="00026590" w:rsidRPr="00900976" w:rsidRDefault="00026590" w:rsidP="00EB6EA8">
            <w:pPr>
              <w:spacing w:line="276" w:lineRule="auto"/>
              <w:rPr>
                <w:b/>
                <w:bCs/>
                <w:sz w:val="20"/>
              </w:rPr>
            </w:pPr>
            <w:r w:rsidRPr="00900976">
              <w:rPr>
                <w:b/>
                <w:bCs/>
                <w:sz w:val="20"/>
              </w:rPr>
              <w:t>T1 GA-FIS</w:t>
            </w:r>
          </w:p>
        </w:tc>
        <w:tc>
          <w:tcPr>
            <w:tcW w:w="0" w:type="auto"/>
            <w:tcBorders>
              <w:bottom w:val="single" w:sz="4" w:space="0" w:color="auto"/>
            </w:tcBorders>
            <w:hideMark/>
          </w:tcPr>
          <w:p w14:paraId="1AF2C45D" w14:textId="77777777" w:rsidR="00026590" w:rsidRPr="00900976" w:rsidRDefault="00026590" w:rsidP="00EB6EA8">
            <w:pPr>
              <w:spacing w:line="276" w:lineRule="auto"/>
              <w:rPr>
                <w:b/>
                <w:bCs/>
                <w:sz w:val="20"/>
              </w:rPr>
            </w:pPr>
            <w:r w:rsidRPr="00900976">
              <w:rPr>
                <w:b/>
                <w:bCs/>
                <w:sz w:val="20"/>
              </w:rPr>
              <w:t>IT2 GA-FIS</w:t>
            </w:r>
          </w:p>
        </w:tc>
        <w:tc>
          <w:tcPr>
            <w:tcW w:w="0" w:type="auto"/>
            <w:tcBorders>
              <w:bottom w:val="single" w:sz="4" w:space="0" w:color="auto"/>
            </w:tcBorders>
            <w:hideMark/>
          </w:tcPr>
          <w:p w14:paraId="6E63F48E" w14:textId="77777777" w:rsidR="00026590" w:rsidRPr="00900976" w:rsidRDefault="00026590" w:rsidP="00EB6EA8">
            <w:pPr>
              <w:spacing w:line="276" w:lineRule="auto"/>
              <w:rPr>
                <w:b/>
                <w:bCs/>
                <w:sz w:val="20"/>
              </w:rPr>
            </w:pPr>
            <w:r w:rsidRPr="00900976">
              <w:rPr>
                <w:b/>
                <w:bCs/>
                <w:sz w:val="20"/>
              </w:rPr>
              <w:t>IT2 NSGA-II</w:t>
            </w:r>
          </w:p>
        </w:tc>
        <w:tc>
          <w:tcPr>
            <w:tcW w:w="0" w:type="auto"/>
            <w:tcBorders>
              <w:bottom w:val="single" w:sz="4" w:space="0" w:color="auto"/>
            </w:tcBorders>
            <w:hideMark/>
          </w:tcPr>
          <w:p w14:paraId="0BA9E473" w14:textId="77777777" w:rsidR="00026590" w:rsidRPr="00900976" w:rsidRDefault="00026590" w:rsidP="00EB6EA8">
            <w:pPr>
              <w:spacing w:line="276" w:lineRule="auto"/>
              <w:rPr>
                <w:b/>
                <w:bCs/>
                <w:sz w:val="20"/>
              </w:rPr>
            </w:pPr>
            <w:r w:rsidRPr="00900976">
              <w:rPr>
                <w:b/>
                <w:bCs/>
                <w:sz w:val="20"/>
              </w:rPr>
              <w:t>Relative Gain (IT2 vs T1)</w:t>
            </w:r>
          </w:p>
        </w:tc>
      </w:tr>
      <w:tr w:rsidR="00026590" w:rsidRPr="00900976" w14:paraId="09943334" w14:textId="77777777" w:rsidTr="00900976">
        <w:tc>
          <w:tcPr>
            <w:tcW w:w="0" w:type="auto"/>
            <w:tcBorders>
              <w:top w:val="single" w:sz="4" w:space="0" w:color="auto"/>
            </w:tcBorders>
            <w:hideMark/>
          </w:tcPr>
          <w:p w14:paraId="18172710" w14:textId="77777777" w:rsidR="00026590" w:rsidRPr="00900976" w:rsidRDefault="00026590" w:rsidP="00EB6EA8">
            <w:pPr>
              <w:spacing w:line="276" w:lineRule="auto"/>
              <w:rPr>
                <w:sz w:val="20"/>
              </w:rPr>
            </w:pPr>
            <w:r w:rsidRPr="00900976">
              <w:rPr>
                <w:sz w:val="20"/>
              </w:rPr>
              <w:t>Noise (±5%)</w:t>
            </w:r>
          </w:p>
        </w:tc>
        <w:tc>
          <w:tcPr>
            <w:tcW w:w="0" w:type="auto"/>
            <w:tcBorders>
              <w:top w:val="single" w:sz="4" w:space="0" w:color="auto"/>
            </w:tcBorders>
            <w:hideMark/>
          </w:tcPr>
          <w:p w14:paraId="4B425C91" w14:textId="77777777" w:rsidR="00026590" w:rsidRPr="00900976" w:rsidRDefault="00026590" w:rsidP="00EB6EA8">
            <w:pPr>
              <w:spacing w:line="276" w:lineRule="auto"/>
              <w:rPr>
                <w:sz w:val="20"/>
              </w:rPr>
            </w:pPr>
            <w:r w:rsidRPr="00900976">
              <w:rPr>
                <w:sz w:val="20"/>
              </w:rPr>
              <w:t>ΔRMSE</w:t>
            </w:r>
          </w:p>
        </w:tc>
        <w:tc>
          <w:tcPr>
            <w:tcW w:w="0" w:type="auto"/>
            <w:tcBorders>
              <w:top w:val="single" w:sz="4" w:space="0" w:color="auto"/>
            </w:tcBorders>
            <w:hideMark/>
          </w:tcPr>
          <w:p w14:paraId="4BE5F2A7" w14:textId="77777777" w:rsidR="00026590" w:rsidRPr="00900976" w:rsidRDefault="00026590" w:rsidP="00EB6EA8">
            <w:pPr>
              <w:spacing w:line="276" w:lineRule="auto"/>
              <w:rPr>
                <w:sz w:val="20"/>
              </w:rPr>
            </w:pPr>
            <w:r w:rsidRPr="00900976">
              <w:rPr>
                <w:sz w:val="20"/>
              </w:rPr>
              <w:t>+0.0062</w:t>
            </w:r>
          </w:p>
        </w:tc>
        <w:tc>
          <w:tcPr>
            <w:tcW w:w="0" w:type="auto"/>
            <w:tcBorders>
              <w:top w:val="single" w:sz="4" w:space="0" w:color="auto"/>
            </w:tcBorders>
            <w:hideMark/>
          </w:tcPr>
          <w:p w14:paraId="4F9AD18D" w14:textId="77777777" w:rsidR="00026590" w:rsidRPr="00900976" w:rsidRDefault="00026590" w:rsidP="00EB6EA8">
            <w:pPr>
              <w:spacing w:line="276" w:lineRule="auto"/>
              <w:rPr>
                <w:sz w:val="20"/>
              </w:rPr>
            </w:pPr>
            <w:r w:rsidRPr="00900976">
              <w:rPr>
                <w:b/>
                <w:bCs/>
                <w:sz w:val="20"/>
              </w:rPr>
              <w:t>+0.0037</w:t>
            </w:r>
          </w:p>
        </w:tc>
        <w:tc>
          <w:tcPr>
            <w:tcW w:w="0" w:type="auto"/>
            <w:tcBorders>
              <w:top w:val="single" w:sz="4" w:space="0" w:color="auto"/>
            </w:tcBorders>
            <w:hideMark/>
          </w:tcPr>
          <w:p w14:paraId="0165E2BF" w14:textId="77777777" w:rsidR="00026590" w:rsidRPr="00900976" w:rsidRDefault="00026590" w:rsidP="00EB6EA8">
            <w:pPr>
              <w:spacing w:line="276" w:lineRule="auto"/>
              <w:rPr>
                <w:sz w:val="20"/>
              </w:rPr>
            </w:pPr>
            <w:r w:rsidRPr="00900976">
              <w:rPr>
                <w:sz w:val="20"/>
              </w:rPr>
              <w:t>+0.0040</w:t>
            </w:r>
          </w:p>
        </w:tc>
        <w:tc>
          <w:tcPr>
            <w:tcW w:w="0" w:type="auto"/>
            <w:tcBorders>
              <w:top w:val="single" w:sz="4" w:space="0" w:color="auto"/>
            </w:tcBorders>
            <w:hideMark/>
          </w:tcPr>
          <w:p w14:paraId="3CB868AB" w14:textId="77777777" w:rsidR="00026590" w:rsidRPr="00900976" w:rsidRDefault="00026590" w:rsidP="00EB6EA8">
            <w:pPr>
              <w:spacing w:line="276" w:lineRule="auto"/>
              <w:rPr>
                <w:sz w:val="20"/>
              </w:rPr>
            </w:pPr>
            <w:r w:rsidRPr="00900976">
              <w:rPr>
                <w:sz w:val="20"/>
              </w:rPr>
              <w:t>40% lower error escalation</w:t>
            </w:r>
          </w:p>
        </w:tc>
      </w:tr>
      <w:tr w:rsidR="00026590" w:rsidRPr="00900976" w14:paraId="10CB465F" w14:textId="77777777" w:rsidTr="00900976">
        <w:tc>
          <w:tcPr>
            <w:tcW w:w="0" w:type="auto"/>
            <w:hideMark/>
          </w:tcPr>
          <w:p w14:paraId="157D10FC" w14:textId="77777777" w:rsidR="00026590" w:rsidRPr="00900976" w:rsidRDefault="00026590" w:rsidP="00EB6EA8">
            <w:pPr>
              <w:spacing w:line="276" w:lineRule="auto"/>
              <w:rPr>
                <w:sz w:val="20"/>
              </w:rPr>
            </w:pPr>
            <w:r w:rsidRPr="00900976">
              <w:rPr>
                <w:sz w:val="20"/>
              </w:rPr>
              <w:t>Noise (±10%)</w:t>
            </w:r>
          </w:p>
        </w:tc>
        <w:tc>
          <w:tcPr>
            <w:tcW w:w="0" w:type="auto"/>
            <w:hideMark/>
          </w:tcPr>
          <w:p w14:paraId="7A0144C6" w14:textId="77777777" w:rsidR="00026590" w:rsidRPr="00900976" w:rsidRDefault="00026590" w:rsidP="00EB6EA8">
            <w:pPr>
              <w:spacing w:line="276" w:lineRule="auto"/>
              <w:rPr>
                <w:sz w:val="20"/>
              </w:rPr>
            </w:pPr>
            <w:r w:rsidRPr="00900976">
              <w:rPr>
                <w:sz w:val="20"/>
              </w:rPr>
              <w:t>ΔRMSE</w:t>
            </w:r>
          </w:p>
        </w:tc>
        <w:tc>
          <w:tcPr>
            <w:tcW w:w="0" w:type="auto"/>
            <w:hideMark/>
          </w:tcPr>
          <w:p w14:paraId="1DB846BC" w14:textId="77777777" w:rsidR="00026590" w:rsidRPr="00900976" w:rsidRDefault="00026590" w:rsidP="00EB6EA8">
            <w:pPr>
              <w:spacing w:line="276" w:lineRule="auto"/>
              <w:rPr>
                <w:sz w:val="20"/>
              </w:rPr>
            </w:pPr>
            <w:r w:rsidRPr="00900976">
              <w:rPr>
                <w:sz w:val="20"/>
              </w:rPr>
              <w:t>+0.0105</w:t>
            </w:r>
          </w:p>
        </w:tc>
        <w:tc>
          <w:tcPr>
            <w:tcW w:w="0" w:type="auto"/>
            <w:hideMark/>
          </w:tcPr>
          <w:p w14:paraId="417E55DD" w14:textId="77777777" w:rsidR="00026590" w:rsidRPr="00900976" w:rsidRDefault="00026590" w:rsidP="00EB6EA8">
            <w:pPr>
              <w:spacing w:line="276" w:lineRule="auto"/>
              <w:rPr>
                <w:sz w:val="20"/>
              </w:rPr>
            </w:pPr>
            <w:r w:rsidRPr="00900976">
              <w:rPr>
                <w:b/>
                <w:bCs/>
                <w:sz w:val="20"/>
              </w:rPr>
              <w:t>+0.0057</w:t>
            </w:r>
          </w:p>
        </w:tc>
        <w:tc>
          <w:tcPr>
            <w:tcW w:w="0" w:type="auto"/>
            <w:hideMark/>
          </w:tcPr>
          <w:p w14:paraId="26B0E8A3" w14:textId="77777777" w:rsidR="00026590" w:rsidRPr="00900976" w:rsidRDefault="00026590" w:rsidP="00EB6EA8">
            <w:pPr>
              <w:spacing w:line="276" w:lineRule="auto"/>
              <w:rPr>
                <w:sz w:val="20"/>
              </w:rPr>
            </w:pPr>
            <w:r w:rsidRPr="00900976">
              <w:rPr>
                <w:sz w:val="20"/>
              </w:rPr>
              <w:t>+0.0061</w:t>
            </w:r>
          </w:p>
        </w:tc>
        <w:tc>
          <w:tcPr>
            <w:tcW w:w="0" w:type="auto"/>
            <w:hideMark/>
          </w:tcPr>
          <w:p w14:paraId="6BD97786" w14:textId="77777777" w:rsidR="00026590" w:rsidRPr="00900976" w:rsidRDefault="00026590" w:rsidP="00EB6EA8">
            <w:pPr>
              <w:spacing w:line="276" w:lineRule="auto"/>
              <w:rPr>
                <w:sz w:val="20"/>
              </w:rPr>
            </w:pPr>
            <w:r w:rsidRPr="00900976">
              <w:rPr>
                <w:sz w:val="20"/>
              </w:rPr>
              <w:t>46% lower error escalation</w:t>
            </w:r>
          </w:p>
        </w:tc>
      </w:tr>
      <w:tr w:rsidR="00026590" w:rsidRPr="00900976" w14:paraId="61C9FFFD" w14:textId="77777777" w:rsidTr="00900976">
        <w:tc>
          <w:tcPr>
            <w:tcW w:w="0" w:type="auto"/>
            <w:hideMark/>
          </w:tcPr>
          <w:p w14:paraId="61575332" w14:textId="77777777" w:rsidR="00026590" w:rsidRPr="00900976" w:rsidRDefault="00026590" w:rsidP="00EB6EA8">
            <w:pPr>
              <w:spacing w:line="276" w:lineRule="auto"/>
              <w:rPr>
                <w:sz w:val="20"/>
              </w:rPr>
            </w:pPr>
            <w:r w:rsidRPr="00900976">
              <w:rPr>
                <w:sz w:val="20"/>
              </w:rPr>
              <w:t>Asymmetric Noise (10%)</w:t>
            </w:r>
          </w:p>
        </w:tc>
        <w:tc>
          <w:tcPr>
            <w:tcW w:w="0" w:type="auto"/>
            <w:hideMark/>
          </w:tcPr>
          <w:p w14:paraId="6E1F9734" w14:textId="77777777" w:rsidR="00026590" w:rsidRPr="00900976" w:rsidRDefault="00026590" w:rsidP="00EB6EA8">
            <w:pPr>
              <w:spacing w:line="276" w:lineRule="auto"/>
              <w:rPr>
                <w:sz w:val="20"/>
              </w:rPr>
            </w:pPr>
            <w:r w:rsidRPr="00900976">
              <w:rPr>
                <w:sz w:val="20"/>
              </w:rPr>
              <w:t>ΔRMSE</w:t>
            </w:r>
          </w:p>
        </w:tc>
        <w:tc>
          <w:tcPr>
            <w:tcW w:w="0" w:type="auto"/>
            <w:hideMark/>
          </w:tcPr>
          <w:p w14:paraId="4CF89143" w14:textId="77777777" w:rsidR="00026590" w:rsidRPr="00900976" w:rsidRDefault="00026590" w:rsidP="00EB6EA8">
            <w:pPr>
              <w:spacing w:line="276" w:lineRule="auto"/>
              <w:rPr>
                <w:sz w:val="20"/>
              </w:rPr>
            </w:pPr>
            <w:r w:rsidRPr="00900976">
              <w:rPr>
                <w:sz w:val="20"/>
              </w:rPr>
              <w:t>+0.0200</w:t>
            </w:r>
          </w:p>
        </w:tc>
        <w:tc>
          <w:tcPr>
            <w:tcW w:w="0" w:type="auto"/>
            <w:hideMark/>
          </w:tcPr>
          <w:p w14:paraId="76E99C6A" w14:textId="77777777" w:rsidR="00026590" w:rsidRPr="00900976" w:rsidRDefault="00026590" w:rsidP="00EB6EA8">
            <w:pPr>
              <w:spacing w:line="276" w:lineRule="auto"/>
              <w:rPr>
                <w:sz w:val="20"/>
              </w:rPr>
            </w:pPr>
            <w:r w:rsidRPr="00900976">
              <w:rPr>
                <w:b/>
                <w:bCs/>
                <w:sz w:val="20"/>
              </w:rPr>
              <w:t>+0.0118</w:t>
            </w:r>
          </w:p>
        </w:tc>
        <w:tc>
          <w:tcPr>
            <w:tcW w:w="0" w:type="auto"/>
            <w:hideMark/>
          </w:tcPr>
          <w:p w14:paraId="7B228FFB" w14:textId="77777777" w:rsidR="00026590" w:rsidRPr="00900976" w:rsidRDefault="00026590" w:rsidP="00EB6EA8">
            <w:pPr>
              <w:spacing w:line="276" w:lineRule="auto"/>
              <w:rPr>
                <w:sz w:val="20"/>
              </w:rPr>
            </w:pPr>
            <w:r w:rsidRPr="00900976">
              <w:rPr>
                <w:sz w:val="20"/>
              </w:rPr>
              <w:t>+0.0123</w:t>
            </w:r>
          </w:p>
        </w:tc>
        <w:tc>
          <w:tcPr>
            <w:tcW w:w="0" w:type="auto"/>
            <w:hideMark/>
          </w:tcPr>
          <w:p w14:paraId="77FA8B96" w14:textId="77777777" w:rsidR="00026590" w:rsidRPr="00900976" w:rsidRDefault="00026590" w:rsidP="00EB6EA8">
            <w:pPr>
              <w:spacing w:line="276" w:lineRule="auto"/>
              <w:rPr>
                <w:sz w:val="20"/>
              </w:rPr>
            </w:pPr>
            <w:r w:rsidRPr="00900976">
              <w:rPr>
                <w:sz w:val="20"/>
              </w:rPr>
              <w:t>41% lower error escalation</w:t>
            </w:r>
          </w:p>
        </w:tc>
      </w:tr>
      <w:tr w:rsidR="00026590" w:rsidRPr="00900976" w14:paraId="2AC914B4" w14:textId="77777777" w:rsidTr="00900976">
        <w:tc>
          <w:tcPr>
            <w:tcW w:w="0" w:type="auto"/>
            <w:hideMark/>
          </w:tcPr>
          <w:p w14:paraId="1D6E688D" w14:textId="77777777" w:rsidR="00026590" w:rsidRPr="00900976" w:rsidRDefault="00026590" w:rsidP="00EB6EA8">
            <w:pPr>
              <w:spacing w:line="276" w:lineRule="auto"/>
              <w:rPr>
                <w:sz w:val="20"/>
              </w:rPr>
            </w:pPr>
            <w:r w:rsidRPr="00900976">
              <w:rPr>
                <w:sz w:val="20"/>
              </w:rPr>
              <w:t>Label Noise (5%)</w:t>
            </w:r>
          </w:p>
        </w:tc>
        <w:tc>
          <w:tcPr>
            <w:tcW w:w="0" w:type="auto"/>
            <w:hideMark/>
          </w:tcPr>
          <w:p w14:paraId="2FADA252" w14:textId="77777777" w:rsidR="00026590" w:rsidRPr="00900976" w:rsidRDefault="00026590" w:rsidP="00EB6EA8">
            <w:pPr>
              <w:spacing w:line="276" w:lineRule="auto"/>
              <w:rPr>
                <w:sz w:val="20"/>
              </w:rPr>
            </w:pPr>
            <w:r w:rsidRPr="00900976">
              <w:rPr>
                <w:sz w:val="20"/>
              </w:rPr>
              <w:t>ΔMAE</w:t>
            </w:r>
          </w:p>
        </w:tc>
        <w:tc>
          <w:tcPr>
            <w:tcW w:w="0" w:type="auto"/>
            <w:hideMark/>
          </w:tcPr>
          <w:p w14:paraId="3338E700" w14:textId="77777777" w:rsidR="00026590" w:rsidRPr="00900976" w:rsidRDefault="00026590" w:rsidP="00EB6EA8">
            <w:pPr>
              <w:spacing w:line="276" w:lineRule="auto"/>
              <w:rPr>
                <w:sz w:val="20"/>
              </w:rPr>
            </w:pPr>
            <w:r w:rsidRPr="00900976">
              <w:rPr>
                <w:sz w:val="20"/>
              </w:rPr>
              <w:t>+0.0160</w:t>
            </w:r>
          </w:p>
        </w:tc>
        <w:tc>
          <w:tcPr>
            <w:tcW w:w="0" w:type="auto"/>
            <w:hideMark/>
          </w:tcPr>
          <w:p w14:paraId="2902C238" w14:textId="77777777" w:rsidR="00026590" w:rsidRPr="00900976" w:rsidRDefault="00026590" w:rsidP="00EB6EA8">
            <w:pPr>
              <w:spacing w:line="276" w:lineRule="auto"/>
              <w:rPr>
                <w:sz w:val="20"/>
              </w:rPr>
            </w:pPr>
            <w:r w:rsidRPr="00900976">
              <w:rPr>
                <w:b/>
                <w:bCs/>
                <w:sz w:val="20"/>
              </w:rPr>
              <w:t>+0.0092</w:t>
            </w:r>
          </w:p>
        </w:tc>
        <w:tc>
          <w:tcPr>
            <w:tcW w:w="0" w:type="auto"/>
            <w:hideMark/>
          </w:tcPr>
          <w:p w14:paraId="69E1A24D" w14:textId="77777777" w:rsidR="00026590" w:rsidRPr="00900976" w:rsidRDefault="00026590" w:rsidP="00EB6EA8">
            <w:pPr>
              <w:spacing w:line="276" w:lineRule="auto"/>
              <w:rPr>
                <w:sz w:val="20"/>
              </w:rPr>
            </w:pPr>
            <w:r w:rsidRPr="00900976">
              <w:rPr>
                <w:sz w:val="20"/>
              </w:rPr>
              <w:t>+0.0098</w:t>
            </w:r>
          </w:p>
        </w:tc>
        <w:tc>
          <w:tcPr>
            <w:tcW w:w="0" w:type="auto"/>
            <w:hideMark/>
          </w:tcPr>
          <w:p w14:paraId="101C5A83" w14:textId="77777777" w:rsidR="00026590" w:rsidRPr="00900976" w:rsidRDefault="00026590" w:rsidP="00EB6EA8">
            <w:pPr>
              <w:spacing w:line="276" w:lineRule="auto"/>
              <w:rPr>
                <w:sz w:val="20"/>
              </w:rPr>
            </w:pPr>
            <w:r w:rsidRPr="00900976">
              <w:rPr>
                <w:sz w:val="20"/>
              </w:rPr>
              <w:t>43% lower error escalation</w:t>
            </w:r>
          </w:p>
        </w:tc>
      </w:tr>
      <w:tr w:rsidR="00026590" w:rsidRPr="00900976" w14:paraId="0AE1C82E" w14:textId="77777777" w:rsidTr="00900976">
        <w:tc>
          <w:tcPr>
            <w:tcW w:w="0" w:type="auto"/>
            <w:hideMark/>
          </w:tcPr>
          <w:p w14:paraId="7F2C114F" w14:textId="77777777" w:rsidR="00026590" w:rsidRPr="00900976" w:rsidRDefault="00026590" w:rsidP="00EB6EA8">
            <w:pPr>
              <w:spacing w:line="276" w:lineRule="auto"/>
              <w:rPr>
                <w:sz w:val="20"/>
              </w:rPr>
            </w:pPr>
            <w:r w:rsidRPr="00900976">
              <w:rPr>
                <w:sz w:val="20"/>
              </w:rPr>
              <w:t>Missingness (10%)</w:t>
            </w:r>
          </w:p>
        </w:tc>
        <w:tc>
          <w:tcPr>
            <w:tcW w:w="0" w:type="auto"/>
            <w:hideMark/>
          </w:tcPr>
          <w:p w14:paraId="58A0EE52" w14:textId="77777777" w:rsidR="00026590" w:rsidRPr="00900976" w:rsidRDefault="00026590" w:rsidP="00EB6EA8">
            <w:pPr>
              <w:spacing w:line="276" w:lineRule="auto"/>
              <w:rPr>
                <w:sz w:val="20"/>
              </w:rPr>
            </w:pPr>
            <w:r w:rsidRPr="00900976">
              <w:rPr>
                <w:sz w:val="20"/>
              </w:rPr>
              <w:t>ΔRMSE</w:t>
            </w:r>
          </w:p>
        </w:tc>
        <w:tc>
          <w:tcPr>
            <w:tcW w:w="0" w:type="auto"/>
            <w:hideMark/>
          </w:tcPr>
          <w:p w14:paraId="30E3ABE9" w14:textId="77777777" w:rsidR="00026590" w:rsidRPr="00900976" w:rsidRDefault="00026590" w:rsidP="00EB6EA8">
            <w:pPr>
              <w:spacing w:line="276" w:lineRule="auto"/>
              <w:rPr>
                <w:sz w:val="20"/>
              </w:rPr>
            </w:pPr>
            <w:r w:rsidRPr="00900976">
              <w:rPr>
                <w:sz w:val="20"/>
              </w:rPr>
              <w:t>+0.0123</w:t>
            </w:r>
          </w:p>
        </w:tc>
        <w:tc>
          <w:tcPr>
            <w:tcW w:w="0" w:type="auto"/>
            <w:hideMark/>
          </w:tcPr>
          <w:p w14:paraId="2946E79B" w14:textId="77777777" w:rsidR="00026590" w:rsidRPr="00900976" w:rsidRDefault="00026590" w:rsidP="00EB6EA8">
            <w:pPr>
              <w:spacing w:line="276" w:lineRule="auto"/>
              <w:rPr>
                <w:sz w:val="20"/>
              </w:rPr>
            </w:pPr>
            <w:r w:rsidRPr="00900976">
              <w:rPr>
                <w:b/>
                <w:bCs/>
                <w:sz w:val="20"/>
              </w:rPr>
              <w:t>+0.0067</w:t>
            </w:r>
          </w:p>
        </w:tc>
        <w:tc>
          <w:tcPr>
            <w:tcW w:w="0" w:type="auto"/>
            <w:hideMark/>
          </w:tcPr>
          <w:p w14:paraId="202FF69C" w14:textId="77777777" w:rsidR="00026590" w:rsidRPr="00900976" w:rsidRDefault="00026590" w:rsidP="00EB6EA8">
            <w:pPr>
              <w:spacing w:line="276" w:lineRule="auto"/>
              <w:rPr>
                <w:sz w:val="20"/>
              </w:rPr>
            </w:pPr>
            <w:r w:rsidRPr="00900976">
              <w:rPr>
                <w:sz w:val="20"/>
              </w:rPr>
              <w:t>+0.0071</w:t>
            </w:r>
          </w:p>
        </w:tc>
        <w:tc>
          <w:tcPr>
            <w:tcW w:w="0" w:type="auto"/>
            <w:hideMark/>
          </w:tcPr>
          <w:p w14:paraId="6B147538" w14:textId="77777777" w:rsidR="00026590" w:rsidRPr="00900976" w:rsidRDefault="00026590" w:rsidP="00EB6EA8">
            <w:pPr>
              <w:spacing w:line="276" w:lineRule="auto"/>
              <w:rPr>
                <w:sz w:val="20"/>
              </w:rPr>
            </w:pPr>
            <w:r w:rsidRPr="00900976">
              <w:rPr>
                <w:sz w:val="20"/>
              </w:rPr>
              <w:t>45% lower error escalation</w:t>
            </w:r>
          </w:p>
        </w:tc>
      </w:tr>
    </w:tbl>
    <w:p w14:paraId="1B92F492" w14:textId="03B7398E" w:rsidR="005E6156" w:rsidRPr="002042C8" w:rsidRDefault="00026590" w:rsidP="00900976">
      <w:pPr>
        <w:pStyle w:val="Paragraph"/>
      </w:pPr>
      <w:r w:rsidRPr="002042C8">
        <w:t>Observation: IT2-FIS demonstrates markedly higher robustness to noise, label corruption, and missingness, validating its ability to handle deep uncertainty.</w:t>
      </w:r>
    </w:p>
    <w:p w14:paraId="75100FC6" w14:textId="1423C439" w:rsidR="00026590" w:rsidRPr="00442349" w:rsidRDefault="005E6156" w:rsidP="00900976">
      <w:pPr>
        <w:pStyle w:val="Heading2"/>
      </w:pPr>
      <w:r w:rsidRPr="00E706A0">
        <w:t>Uncertainty Quantification and Calibration</w:t>
      </w:r>
    </w:p>
    <w:p w14:paraId="043A2608" w14:textId="62C58088" w:rsidR="00026590" w:rsidRPr="00E706A0" w:rsidRDefault="00026590" w:rsidP="00900976">
      <w:pPr>
        <w:pStyle w:val="TableCaption"/>
      </w:pPr>
      <w:r w:rsidRPr="00E706A0">
        <w:t xml:space="preserve">Table </w:t>
      </w:r>
      <w:r w:rsidR="00442349">
        <w:t>5 -</w:t>
      </w:r>
      <w:r w:rsidRPr="00E706A0">
        <w:t xml:space="preserve"> Uncertainty Quantification Quality</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16"/>
        <w:gridCol w:w="1613"/>
        <w:gridCol w:w="3100"/>
        <w:gridCol w:w="1455"/>
      </w:tblGrid>
      <w:tr w:rsidR="00026590" w:rsidRPr="00900976" w14:paraId="4C84A23E" w14:textId="77777777" w:rsidTr="00900976">
        <w:trPr>
          <w:jc w:val="center"/>
        </w:trPr>
        <w:tc>
          <w:tcPr>
            <w:tcW w:w="0" w:type="auto"/>
            <w:tcBorders>
              <w:bottom w:val="single" w:sz="4" w:space="0" w:color="auto"/>
            </w:tcBorders>
            <w:hideMark/>
          </w:tcPr>
          <w:p w14:paraId="45D1A133" w14:textId="77777777" w:rsidR="00026590" w:rsidRPr="00900976" w:rsidRDefault="00026590" w:rsidP="00EB6EA8">
            <w:pPr>
              <w:spacing w:line="276" w:lineRule="auto"/>
              <w:rPr>
                <w:b/>
                <w:bCs/>
                <w:sz w:val="20"/>
              </w:rPr>
            </w:pPr>
            <w:r w:rsidRPr="00900976">
              <w:rPr>
                <w:b/>
                <w:bCs/>
                <w:sz w:val="20"/>
              </w:rPr>
              <w:t>Model</w:t>
            </w:r>
          </w:p>
        </w:tc>
        <w:tc>
          <w:tcPr>
            <w:tcW w:w="0" w:type="auto"/>
            <w:tcBorders>
              <w:bottom w:val="single" w:sz="4" w:space="0" w:color="auto"/>
            </w:tcBorders>
            <w:hideMark/>
          </w:tcPr>
          <w:p w14:paraId="16220662" w14:textId="77777777" w:rsidR="00026590" w:rsidRPr="00900976" w:rsidRDefault="00026590" w:rsidP="00EB6EA8">
            <w:pPr>
              <w:spacing w:line="276" w:lineRule="auto"/>
              <w:rPr>
                <w:b/>
                <w:bCs/>
                <w:sz w:val="20"/>
              </w:rPr>
            </w:pPr>
            <w:r w:rsidRPr="00900976">
              <w:rPr>
                <w:b/>
                <w:bCs/>
                <w:sz w:val="20"/>
              </w:rPr>
              <w:t>Coverage@90%</w:t>
            </w:r>
          </w:p>
        </w:tc>
        <w:tc>
          <w:tcPr>
            <w:tcW w:w="0" w:type="auto"/>
            <w:tcBorders>
              <w:bottom w:val="single" w:sz="4" w:space="0" w:color="auto"/>
            </w:tcBorders>
            <w:hideMark/>
          </w:tcPr>
          <w:p w14:paraId="325BA3CF" w14:textId="77777777" w:rsidR="00026590" w:rsidRPr="00900976" w:rsidRDefault="00026590" w:rsidP="00EB6EA8">
            <w:pPr>
              <w:spacing w:line="276" w:lineRule="auto"/>
              <w:rPr>
                <w:b/>
                <w:bCs/>
                <w:sz w:val="20"/>
              </w:rPr>
            </w:pPr>
            <w:r w:rsidRPr="00900976">
              <w:rPr>
                <w:b/>
                <w:bCs/>
                <w:sz w:val="20"/>
              </w:rPr>
              <w:t>Mean Interval Width (Sharpness)</w:t>
            </w:r>
          </w:p>
        </w:tc>
        <w:tc>
          <w:tcPr>
            <w:tcW w:w="0" w:type="auto"/>
            <w:tcBorders>
              <w:bottom w:val="single" w:sz="4" w:space="0" w:color="auto"/>
            </w:tcBorders>
            <w:hideMark/>
          </w:tcPr>
          <w:p w14:paraId="00A81D9C" w14:textId="77777777" w:rsidR="00026590" w:rsidRPr="00900976" w:rsidRDefault="00026590" w:rsidP="00EB6EA8">
            <w:pPr>
              <w:spacing w:line="276" w:lineRule="auto"/>
              <w:rPr>
                <w:b/>
                <w:bCs/>
                <w:sz w:val="20"/>
              </w:rPr>
            </w:pPr>
            <w:r w:rsidRPr="00900976">
              <w:rPr>
                <w:b/>
                <w:bCs/>
                <w:sz w:val="20"/>
              </w:rPr>
              <w:t>Winkler Score</w:t>
            </w:r>
          </w:p>
        </w:tc>
      </w:tr>
      <w:tr w:rsidR="00026590" w:rsidRPr="00900976" w14:paraId="41230DD9" w14:textId="77777777" w:rsidTr="00900976">
        <w:trPr>
          <w:jc w:val="center"/>
        </w:trPr>
        <w:tc>
          <w:tcPr>
            <w:tcW w:w="0" w:type="auto"/>
            <w:hideMark/>
          </w:tcPr>
          <w:p w14:paraId="175103B0" w14:textId="77777777" w:rsidR="00026590" w:rsidRPr="00900976" w:rsidRDefault="00026590" w:rsidP="00EB6EA8">
            <w:pPr>
              <w:spacing w:line="276" w:lineRule="auto"/>
              <w:rPr>
                <w:sz w:val="20"/>
              </w:rPr>
            </w:pPr>
            <w:r w:rsidRPr="00900976">
              <w:rPr>
                <w:sz w:val="20"/>
              </w:rPr>
              <w:t>Type-1 GA-FIS</w:t>
            </w:r>
          </w:p>
        </w:tc>
        <w:tc>
          <w:tcPr>
            <w:tcW w:w="0" w:type="auto"/>
            <w:hideMark/>
          </w:tcPr>
          <w:p w14:paraId="1A0729BE" w14:textId="77777777" w:rsidR="00026590" w:rsidRPr="00900976" w:rsidRDefault="00026590" w:rsidP="00EB6EA8">
            <w:pPr>
              <w:spacing w:line="276" w:lineRule="auto"/>
              <w:rPr>
                <w:sz w:val="20"/>
              </w:rPr>
            </w:pPr>
            <w:r w:rsidRPr="00900976">
              <w:rPr>
                <w:sz w:val="20"/>
              </w:rPr>
              <w:t>–</w:t>
            </w:r>
          </w:p>
        </w:tc>
        <w:tc>
          <w:tcPr>
            <w:tcW w:w="0" w:type="auto"/>
            <w:hideMark/>
          </w:tcPr>
          <w:p w14:paraId="1FD91759" w14:textId="77777777" w:rsidR="00026590" w:rsidRPr="00900976" w:rsidRDefault="00026590" w:rsidP="00EB6EA8">
            <w:pPr>
              <w:spacing w:line="276" w:lineRule="auto"/>
              <w:rPr>
                <w:sz w:val="20"/>
              </w:rPr>
            </w:pPr>
            <w:r w:rsidRPr="00900976">
              <w:rPr>
                <w:sz w:val="20"/>
              </w:rPr>
              <w:t>–</w:t>
            </w:r>
          </w:p>
        </w:tc>
        <w:tc>
          <w:tcPr>
            <w:tcW w:w="0" w:type="auto"/>
            <w:hideMark/>
          </w:tcPr>
          <w:p w14:paraId="66616315" w14:textId="77777777" w:rsidR="00026590" w:rsidRPr="00900976" w:rsidRDefault="00026590" w:rsidP="00EB6EA8">
            <w:pPr>
              <w:spacing w:line="276" w:lineRule="auto"/>
              <w:rPr>
                <w:sz w:val="20"/>
              </w:rPr>
            </w:pPr>
            <w:r w:rsidRPr="00900976">
              <w:rPr>
                <w:sz w:val="20"/>
              </w:rPr>
              <w:t>–</w:t>
            </w:r>
          </w:p>
        </w:tc>
      </w:tr>
      <w:tr w:rsidR="00026590" w:rsidRPr="00900976" w14:paraId="003516AC" w14:textId="77777777" w:rsidTr="00900976">
        <w:trPr>
          <w:jc w:val="center"/>
        </w:trPr>
        <w:tc>
          <w:tcPr>
            <w:tcW w:w="0" w:type="auto"/>
            <w:hideMark/>
          </w:tcPr>
          <w:p w14:paraId="78D702EA" w14:textId="77777777" w:rsidR="00026590" w:rsidRPr="00900976" w:rsidRDefault="00026590" w:rsidP="00EB6EA8">
            <w:pPr>
              <w:spacing w:line="276" w:lineRule="auto"/>
              <w:rPr>
                <w:sz w:val="20"/>
              </w:rPr>
            </w:pPr>
            <w:r w:rsidRPr="00900976">
              <w:rPr>
                <w:sz w:val="20"/>
              </w:rPr>
              <w:t>IT2 GA-FIS (proposed)</w:t>
            </w:r>
          </w:p>
        </w:tc>
        <w:tc>
          <w:tcPr>
            <w:tcW w:w="0" w:type="auto"/>
            <w:hideMark/>
          </w:tcPr>
          <w:p w14:paraId="6B97B6FA" w14:textId="77777777" w:rsidR="00026590" w:rsidRPr="00900976" w:rsidRDefault="00026590" w:rsidP="00EB6EA8">
            <w:pPr>
              <w:spacing w:line="276" w:lineRule="auto"/>
              <w:rPr>
                <w:sz w:val="20"/>
              </w:rPr>
            </w:pPr>
            <w:r w:rsidRPr="00900976">
              <w:rPr>
                <w:b/>
                <w:bCs/>
                <w:sz w:val="20"/>
              </w:rPr>
              <w:t>91.4%</w:t>
            </w:r>
          </w:p>
        </w:tc>
        <w:tc>
          <w:tcPr>
            <w:tcW w:w="0" w:type="auto"/>
            <w:hideMark/>
          </w:tcPr>
          <w:p w14:paraId="36538B48" w14:textId="77777777" w:rsidR="00026590" w:rsidRPr="00900976" w:rsidRDefault="00026590" w:rsidP="00EB6EA8">
            <w:pPr>
              <w:spacing w:line="276" w:lineRule="auto"/>
              <w:rPr>
                <w:sz w:val="20"/>
              </w:rPr>
            </w:pPr>
            <w:r w:rsidRPr="00900976">
              <w:rPr>
                <w:sz w:val="20"/>
              </w:rPr>
              <w:t>0.072</w:t>
            </w:r>
          </w:p>
        </w:tc>
        <w:tc>
          <w:tcPr>
            <w:tcW w:w="0" w:type="auto"/>
            <w:hideMark/>
          </w:tcPr>
          <w:p w14:paraId="3E1329BD" w14:textId="77777777" w:rsidR="00026590" w:rsidRPr="00900976" w:rsidRDefault="00026590" w:rsidP="00EB6EA8">
            <w:pPr>
              <w:spacing w:line="276" w:lineRule="auto"/>
              <w:rPr>
                <w:sz w:val="20"/>
              </w:rPr>
            </w:pPr>
            <w:r w:rsidRPr="00900976">
              <w:rPr>
                <w:b/>
                <w:bCs/>
                <w:sz w:val="20"/>
              </w:rPr>
              <w:t>0.081</w:t>
            </w:r>
          </w:p>
        </w:tc>
      </w:tr>
      <w:tr w:rsidR="00026590" w:rsidRPr="00900976" w14:paraId="0925B98E" w14:textId="77777777" w:rsidTr="00900976">
        <w:trPr>
          <w:jc w:val="center"/>
        </w:trPr>
        <w:tc>
          <w:tcPr>
            <w:tcW w:w="0" w:type="auto"/>
            <w:hideMark/>
          </w:tcPr>
          <w:p w14:paraId="0FB38440" w14:textId="77777777" w:rsidR="00026590" w:rsidRPr="00900976" w:rsidRDefault="00026590" w:rsidP="00EB6EA8">
            <w:pPr>
              <w:spacing w:line="276" w:lineRule="auto"/>
              <w:rPr>
                <w:sz w:val="20"/>
              </w:rPr>
            </w:pPr>
            <w:r w:rsidRPr="00900976">
              <w:rPr>
                <w:sz w:val="20"/>
              </w:rPr>
              <w:t>IT2 NSGA-II FIS</w:t>
            </w:r>
          </w:p>
        </w:tc>
        <w:tc>
          <w:tcPr>
            <w:tcW w:w="0" w:type="auto"/>
            <w:hideMark/>
          </w:tcPr>
          <w:p w14:paraId="74E554D4" w14:textId="77777777" w:rsidR="00026590" w:rsidRPr="00900976" w:rsidRDefault="00026590" w:rsidP="00EB6EA8">
            <w:pPr>
              <w:spacing w:line="276" w:lineRule="auto"/>
              <w:rPr>
                <w:sz w:val="20"/>
              </w:rPr>
            </w:pPr>
            <w:r w:rsidRPr="00900976">
              <w:rPr>
                <w:sz w:val="20"/>
              </w:rPr>
              <w:t>90.8%</w:t>
            </w:r>
          </w:p>
        </w:tc>
        <w:tc>
          <w:tcPr>
            <w:tcW w:w="0" w:type="auto"/>
            <w:hideMark/>
          </w:tcPr>
          <w:p w14:paraId="1CF43F76" w14:textId="77777777" w:rsidR="00026590" w:rsidRPr="00900976" w:rsidRDefault="00026590" w:rsidP="00EB6EA8">
            <w:pPr>
              <w:spacing w:line="276" w:lineRule="auto"/>
              <w:rPr>
                <w:sz w:val="20"/>
              </w:rPr>
            </w:pPr>
            <w:r w:rsidRPr="00900976">
              <w:rPr>
                <w:b/>
                <w:bCs/>
                <w:sz w:val="20"/>
              </w:rPr>
              <w:t>0.069</w:t>
            </w:r>
          </w:p>
        </w:tc>
        <w:tc>
          <w:tcPr>
            <w:tcW w:w="0" w:type="auto"/>
            <w:hideMark/>
          </w:tcPr>
          <w:p w14:paraId="613353E1" w14:textId="77777777" w:rsidR="00026590" w:rsidRPr="00900976" w:rsidRDefault="00026590" w:rsidP="00EB6EA8">
            <w:pPr>
              <w:spacing w:line="276" w:lineRule="auto"/>
              <w:rPr>
                <w:sz w:val="20"/>
              </w:rPr>
            </w:pPr>
            <w:r w:rsidRPr="00900976">
              <w:rPr>
                <w:sz w:val="20"/>
              </w:rPr>
              <w:t>0.083</w:t>
            </w:r>
          </w:p>
        </w:tc>
      </w:tr>
    </w:tbl>
    <w:p w14:paraId="3B77F2B4" w14:textId="4FA33258" w:rsidR="005E6156" w:rsidRPr="002042C8" w:rsidRDefault="00026590" w:rsidP="00900976">
      <w:pPr>
        <w:pStyle w:val="Paragraph"/>
      </w:pPr>
      <w:r w:rsidRPr="002042C8">
        <w:t>Observation: IT2-FIS produces calibrated uncertainty intervals with near</w:t>
      </w:r>
      <w:r w:rsidR="0038500B">
        <w:t xml:space="preserve"> </w:t>
      </w:r>
      <w:r w:rsidRPr="002042C8">
        <w:t>nominal coverage and narrower widths, while Type-1 systems cannot provide interval predictions.</w:t>
      </w:r>
      <w:r w:rsidR="002042C8" w:rsidRPr="002042C8">
        <w:t xml:space="preserve"> </w:t>
      </w:r>
      <w:r w:rsidR="005E6156" w:rsidRPr="002042C8">
        <w:t>The principal advantage of IT2-FIS lies in its ability to generate interval-valued outputs [</w:t>
      </w:r>
      <w:proofErr w:type="spellStart"/>
      <w:r w:rsidR="005E6156" w:rsidRPr="002042C8">
        <w:t>y</w:t>
      </w:r>
      <w:r w:rsidR="002042C8">
        <w:rPr>
          <w:vertAlign w:val="subscript"/>
        </w:rPr>
        <w:t>L</w:t>
      </w:r>
      <w:proofErr w:type="spellEnd"/>
      <w:r w:rsidR="005E6156" w:rsidRPr="002042C8">
        <w:t xml:space="preserve">, </w:t>
      </w:r>
      <w:proofErr w:type="spellStart"/>
      <w:r w:rsidR="005E6156" w:rsidRPr="002042C8">
        <w:t>y</w:t>
      </w:r>
      <w:r w:rsidR="002042C8">
        <w:rPr>
          <w:vertAlign w:val="subscript"/>
        </w:rPr>
        <w:t>R</w:t>
      </w:r>
      <w:proofErr w:type="spellEnd"/>
      <w:r w:rsidR="005E6156" w:rsidRPr="002042C8">
        <w:t>]. On the test set, the empirical coverage of the 90% prediction intervals was 91.4%, closely matching the nominal target, whereas the Type-1 baseline cannot provide calibrated intervals. The mean interval width (sharpness) was 0.072, yielding a Winkler score of 0.081</w:t>
      </w:r>
      <w:r w:rsidR="00442349" w:rsidRPr="002042C8">
        <w:t xml:space="preserve"> </w:t>
      </w:r>
      <w:r w:rsidR="005E6156" w:rsidRPr="002042C8">
        <w:t xml:space="preserve">indicating well-calibrated and sufficiently narrow intervals. Figure </w:t>
      </w:r>
      <w:r w:rsidR="00462A99">
        <w:t>11</w:t>
      </w:r>
      <w:r w:rsidR="005E6156" w:rsidRPr="002042C8">
        <w:t xml:space="preserve"> illustrates the reliability diagram, showing alignment between expected and observed coverage probabilities.</w:t>
      </w:r>
    </w:p>
    <w:p w14:paraId="03A6C939" w14:textId="2A7577FD" w:rsidR="005E6156" w:rsidRDefault="005E6156" w:rsidP="00900976">
      <w:pPr>
        <w:pStyle w:val="Heading2"/>
      </w:pPr>
      <w:r w:rsidRPr="00E706A0">
        <w:lastRenderedPageBreak/>
        <w:t>Complexity and Interpretability</w:t>
      </w:r>
    </w:p>
    <w:p w14:paraId="66916F22" w14:textId="157CF7B7" w:rsidR="00026590" w:rsidRPr="00E706A0" w:rsidRDefault="00026590" w:rsidP="00900976">
      <w:pPr>
        <w:pStyle w:val="TableCaption"/>
      </w:pPr>
      <w:r w:rsidRPr="00E706A0">
        <w:t xml:space="preserve">Table </w:t>
      </w:r>
      <w:r w:rsidR="00442349">
        <w:t>6 -</w:t>
      </w:r>
      <w:r w:rsidRPr="00E706A0">
        <w:t xml:space="preserve"> Complexity and Interpretability</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00"/>
        <w:gridCol w:w="1229"/>
        <w:gridCol w:w="2166"/>
        <w:gridCol w:w="1511"/>
        <w:gridCol w:w="2454"/>
      </w:tblGrid>
      <w:tr w:rsidR="00026590" w:rsidRPr="00900976" w14:paraId="6CD3CFF6" w14:textId="77777777" w:rsidTr="00900976">
        <w:tc>
          <w:tcPr>
            <w:tcW w:w="0" w:type="auto"/>
            <w:tcBorders>
              <w:bottom w:val="single" w:sz="4" w:space="0" w:color="auto"/>
            </w:tcBorders>
            <w:hideMark/>
          </w:tcPr>
          <w:p w14:paraId="7461561F" w14:textId="77777777" w:rsidR="00026590" w:rsidRPr="00900976" w:rsidRDefault="00026590" w:rsidP="00EB6EA8">
            <w:pPr>
              <w:spacing w:line="276" w:lineRule="auto"/>
              <w:rPr>
                <w:b/>
                <w:bCs/>
                <w:sz w:val="20"/>
              </w:rPr>
            </w:pPr>
            <w:r w:rsidRPr="00900976">
              <w:rPr>
                <w:b/>
                <w:bCs/>
                <w:sz w:val="20"/>
              </w:rPr>
              <w:t>Model</w:t>
            </w:r>
          </w:p>
        </w:tc>
        <w:tc>
          <w:tcPr>
            <w:tcW w:w="0" w:type="auto"/>
            <w:tcBorders>
              <w:bottom w:val="single" w:sz="4" w:space="0" w:color="auto"/>
            </w:tcBorders>
            <w:hideMark/>
          </w:tcPr>
          <w:p w14:paraId="5531DD3E" w14:textId="77777777" w:rsidR="00026590" w:rsidRPr="00900976" w:rsidRDefault="00026590" w:rsidP="00EB6EA8">
            <w:pPr>
              <w:spacing w:line="276" w:lineRule="auto"/>
              <w:rPr>
                <w:b/>
                <w:bCs/>
                <w:sz w:val="20"/>
              </w:rPr>
            </w:pPr>
            <w:r w:rsidRPr="00900976">
              <w:rPr>
                <w:b/>
                <w:bCs/>
                <w:sz w:val="20"/>
              </w:rPr>
              <w:t>Active Rules</w:t>
            </w:r>
          </w:p>
        </w:tc>
        <w:tc>
          <w:tcPr>
            <w:tcW w:w="0" w:type="auto"/>
            <w:tcBorders>
              <w:bottom w:val="single" w:sz="4" w:space="0" w:color="auto"/>
            </w:tcBorders>
            <w:hideMark/>
          </w:tcPr>
          <w:p w14:paraId="750188A2" w14:textId="77777777" w:rsidR="00026590" w:rsidRPr="00900976" w:rsidRDefault="00026590" w:rsidP="00EB6EA8">
            <w:pPr>
              <w:spacing w:line="276" w:lineRule="auto"/>
              <w:rPr>
                <w:b/>
                <w:bCs/>
                <w:sz w:val="20"/>
              </w:rPr>
            </w:pPr>
            <w:r w:rsidRPr="00900976">
              <w:rPr>
                <w:b/>
                <w:bCs/>
                <w:sz w:val="20"/>
              </w:rPr>
              <w:t>Avg. Antecedent Length</w:t>
            </w:r>
          </w:p>
        </w:tc>
        <w:tc>
          <w:tcPr>
            <w:tcW w:w="0" w:type="auto"/>
            <w:tcBorders>
              <w:bottom w:val="single" w:sz="4" w:space="0" w:color="auto"/>
            </w:tcBorders>
            <w:hideMark/>
          </w:tcPr>
          <w:p w14:paraId="56E3AB62" w14:textId="77777777" w:rsidR="00026590" w:rsidRPr="00900976" w:rsidRDefault="00026590" w:rsidP="00EB6EA8">
            <w:pPr>
              <w:spacing w:line="276" w:lineRule="auto"/>
              <w:rPr>
                <w:b/>
                <w:bCs/>
                <w:sz w:val="20"/>
              </w:rPr>
            </w:pPr>
            <w:r w:rsidRPr="00900976">
              <w:rPr>
                <w:b/>
                <w:bCs/>
                <w:sz w:val="20"/>
              </w:rPr>
              <w:t>Total FOU Area</w:t>
            </w:r>
          </w:p>
        </w:tc>
        <w:tc>
          <w:tcPr>
            <w:tcW w:w="0" w:type="auto"/>
            <w:tcBorders>
              <w:bottom w:val="single" w:sz="4" w:space="0" w:color="auto"/>
            </w:tcBorders>
            <w:hideMark/>
          </w:tcPr>
          <w:p w14:paraId="7732A43E" w14:textId="77777777" w:rsidR="00026590" w:rsidRPr="00900976" w:rsidRDefault="00026590" w:rsidP="00EB6EA8">
            <w:pPr>
              <w:spacing w:line="276" w:lineRule="auto"/>
              <w:rPr>
                <w:b/>
                <w:bCs/>
                <w:sz w:val="20"/>
              </w:rPr>
            </w:pPr>
            <w:r w:rsidRPr="00900976">
              <w:rPr>
                <w:b/>
                <w:bCs/>
                <w:sz w:val="20"/>
              </w:rPr>
              <w:t>Inference Time (</w:t>
            </w:r>
            <w:proofErr w:type="spellStart"/>
            <w:r w:rsidRPr="00900976">
              <w:rPr>
                <w:b/>
                <w:bCs/>
                <w:sz w:val="20"/>
              </w:rPr>
              <w:t>ms</w:t>
            </w:r>
            <w:proofErr w:type="spellEnd"/>
            <w:r w:rsidRPr="00900976">
              <w:rPr>
                <w:b/>
                <w:bCs/>
                <w:sz w:val="20"/>
              </w:rPr>
              <w:t>/sample)</w:t>
            </w:r>
          </w:p>
        </w:tc>
      </w:tr>
      <w:tr w:rsidR="00026590" w:rsidRPr="00900976" w14:paraId="4092672A" w14:textId="77777777" w:rsidTr="00900976">
        <w:tc>
          <w:tcPr>
            <w:tcW w:w="0" w:type="auto"/>
            <w:tcBorders>
              <w:top w:val="single" w:sz="4" w:space="0" w:color="auto"/>
            </w:tcBorders>
            <w:hideMark/>
          </w:tcPr>
          <w:p w14:paraId="14DE10DF" w14:textId="77777777" w:rsidR="00026590" w:rsidRPr="00900976" w:rsidRDefault="00026590" w:rsidP="00EB6EA8">
            <w:pPr>
              <w:spacing w:line="276" w:lineRule="auto"/>
              <w:rPr>
                <w:sz w:val="20"/>
              </w:rPr>
            </w:pPr>
            <w:r w:rsidRPr="00900976">
              <w:rPr>
                <w:sz w:val="20"/>
              </w:rPr>
              <w:t>Type-1 GA-FIS</w:t>
            </w:r>
          </w:p>
        </w:tc>
        <w:tc>
          <w:tcPr>
            <w:tcW w:w="0" w:type="auto"/>
            <w:tcBorders>
              <w:top w:val="single" w:sz="4" w:space="0" w:color="auto"/>
            </w:tcBorders>
            <w:hideMark/>
          </w:tcPr>
          <w:p w14:paraId="263A0245" w14:textId="77777777" w:rsidR="00026590" w:rsidRPr="00900976" w:rsidRDefault="00026590" w:rsidP="00EB6EA8">
            <w:pPr>
              <w:spacing w:line="276" w:lineRule="auto"/>
              <w:rPr>
                <w:sz w:val="20"/>
              </w:rPr>
            </w:pPr>
            <w:r w:rsidRPr="00900976">
              <w:rPr>
                <w:sz w:val="20"/>
              </w:rPr>
              <w:t>67</w:t>
            </w:r>
          </w:p>
        </w:tc>
        <w:tc>
          <w:tcPr>
            <w:tcW w:w="0" w:type="auto"/>
            <w:tcBorders>
              <w:top w:val="single" w:sz="4" w:space="0" w:color="auto"/>
            </w:tcBorders>
            <w:hideMark/>
          </w:tcPr>
          <w:p w14:paraId="1A75E0F1" w14:textId="77777777" w:rsidR="00026590" w:rsidRPr="00900976" w:rsidRDefault="00026590" w:rsidP="00EB6EA8">
            <w:pPr>
              <w:spacing w:line="276" w:lineRule="auto"/>
              <w:rPr>
                <w:sz w:val="20"/>
              </w:rPr>
            </w:pPr>
            <w:r w:rsidRPr="00900976">
              <w:rPr>
                <w:sz w:val="20"/>
              </w:rPr>
              <w:t>4.8</w:t>
            </w:r>
          </w:p>
        </w:tc>
        <w:tc>
          <w:tcPr>
            <w:tcW w:w="0" w:type="auto"/>
            <w:tcBorders>
              <w:top w:val="single" w:sz="4" w:space="0" w:color="auto"/>
            </w:tcBorders>
            <w:hideMark/>
          </w:tcPr>
          <w:p w14:paraId="37434927" w14:textId="77777777" w:rsidR="00026590" w:rsidRPr="00900976" w:rsidRDefault="00026590" w:rsidP="00EB6EA8">
            <w:pPr>
              <w:spacing w:line="276" w:lineRule="auto"/>
              <w:rPr>
                <w:sz w:val="20"/>
              </w:rPr>
            </w:pPr>
            <w:r w:rsidRPr="00900976">
              <w:rPr>
                <w:sz w:val="20"/>
              </w:rPr>
              <w:t>–</w:t>
            </w:r>
          </w:p>
        </w:tc>
        <w:tc>
          <w:tcPr>
            <w:tcW w:w="0" w:type="auto"/>
            <w:tcBorders>
              <w:top w:val="single" w:sz="4" w:space="0" w:color="auto"/>
            </w:tcBorders>
            <w:hideMark/>
          </w:tcPr>
          <w:p w14:paraId="2B5A4193" w14:textId="77777777" w:rsidR="00026590" w:rsidRPr="00900976" w:rsidRDefault="00026590" w:rsidP="00EB6EA8">
            <w:pPr>
              <w:spacing w:line="276" w:lineRule="auto"/>
              <w:rPr>
                <w:sz w:val="20"/>
              </w:rPr>
            </w:pPr>
            <w:r w:rsidRPr="00900976">
              <w:rPr>
                <w:sz w:val="20"/>
              </w:rPr>
              <w:t>1.3</w:t>
            </w:r>
          </w:p>
        </w:tc>
      </w:tr>
      <w:tr w:rsidR="00026590" w:rsidRPr="00900976" w14:paraId="69F28CBA" w14:textId="77777777" w:rsidTr="00900976">
        <w:tc>
          <w:tcPr>
            <w:tcW w:w="0" w:type="auto"/>
            <w:hideMark/>
          </w:tcPr>
          <w:p w14:paraId="4B8C8A07" w14:textId="77777777" w:rsidR="00026590" w:rsidRPr="00900976" w:rsidRDefault="00026590" w:rsidP="00EB6EA8">
            <w:pPr>
              <w:spacing w:line="276" w:lineRule="auto"/>
              <w:rPr>
                <w:sz w:val="20"/>
              </w:rPr>
            </w:pPr>
            <w:r w:rsidRPr="00900976">
              <w:rPr>
                <w:sz w:val="20"/>
              </w:rPr>
              <w:t>IT2 GA-FIS (proposed)</w:t>
            </w:r>
          </w:p>
        </w:tc>
        <w:tc>
          <w:tcPr>
            <w:tcW w:w="0" w:type="auto"/>
            <w:hideMark/>
          </w:tcPr>
          <w:p w14:paraId="69980B3A" w14:textId="77777777" w:rsidR="00026590" w:rsidRPr="00900976" w:rsidRDefault="00026590" w:rsidP="00EB6EA8">
            <w:pPr>
              <w:spacing w:line="276" w:lineRule="auto"/>
              <w:rPr>
                <w:sz w:val="20"/>
              </w:rPr>
            </w:pPr>
            <w:r w:rsidRPr="00900976">
              <w:rPr>
                <w:sz w:val="20"/>
              </w:rPr>
              <w:t>42</w:t>
            </w:r>
          </w:p>
        </w:tc>
        <w:tc>
          <w:tcPr>
            <w:tcW w:w="0" w:type="auto"/>
            <w:hideMark/>
          </w:tcPr>
          <w:p w14:paraId="08F3A45D" w14:textId="77777777" w:rsidR="00026590" w:rsidRPr="00900976" w:rsidRDefault="00026590" w:rsidP="00EB6EA8">
            <w:pPr>
              <w:spacing w:line="276" w:lineRule="auto"/>
              <w:rPr>
                <w:sz w:val="20"/>
              </w:rPr>
            </w:pPr>
            <w:r w:rsidRPr="00900976">
              <w:rPr>
                <w:sz w:val="20"/>
              </w:rPr>
              <w:t>4.6</w:t>
            </w:r>
          </w:p>
        </w:tc>
        <w:tc>
          <w:tcPr>
            <w:tcW w:w="0" w:type="auto"/>
            <w:hideMark/>
          </w:tcPr>
          <w:p w14:paraId="05F533AB" w14:textId="77777777" w:rsidR="00026590" w:rsidRPr="00900976" w:rsidRDefault="00026590" w:rsidP="00EB6EA8">
            <w:pPr>
              <w:spacing w:line="276" w:lineRule="auto"/>
              <w:rPr>
                <w:sz w:val="20"/>
              </w:rPr>
            </w:pPr>
            <w:r w:rsidRPr="00900976">
              <w:rPr>
                <w:sz w:val="20"/>
              </w:rPr>
              <w:t>0.311</w:t>
            </w:r>
          </w:p>
        </w:tc>
        <w:tc>
          <w:tcPr>
            <w:tcW w:w="0" w:type="auto"/>
            <w:hideMark/>
          </w:tcPr>
          <w:p w14:paraId="2ACBDD39" w14:textId="77777777" w:rsidR="00026590" w:rsidRPr="00900976" w:rsidRDefault="00026590" w:rsidP="00EB6EA8">
            <w:pPr>
              <w:spacing w:line="276" w:lineRule="auto"/>
              <w:rPr>
                <w:sz w:val="20"/>
              </w:rPr>
            </w:pPr>
            <w:r w:rsidRPr="00900976">
              <w:rPr>
                <w:sz w:val="20"/>
              </w:rPr>
              <w:t>2.3</w:t>
            </w:r>
          </w:p>
        </w:tc>
      </w:tr>
      <w:tr w:rsidR="00026590" w:rsidRPr="00900976" w14:paraId="55C5D723" w14:textId="77777777" w:rsidTr="00900976">
        <w:tc>
          <w:tcPr>
            <w:tcW w:w="0" w:type="auto"/>
            <w:hideMark/>
          </w:tcPr>
          <w:p w14:paraId="190D9E2E" w14:textId="77777777" w:rsidR="00026590" w:rsidRPr="00900976" w:rsidRDefault="00026590" w:rsidP="00EB6EA8">
            <w:pPr>
              <w:spacing w:line="276" w:lineRule="auto"/>
              <w:rPr>
                <w:sz w:val="20"/>
              </w:rPr>
            </w:pPr>
            <w:r w:rsidRPr="00900976">
              <w:rPr>
                <w:sz w:val="20"/>
              </w:rPr>
              <w:t>IT2 NSGA-II FIS</w:t>
            </w:r>
          </w:p>
        </w:tc>
        <w:tc>
          <w:tcPr>
            <w:tcW w:w="0" w:type="auto"/>
            <w:hideMark/>
          </w:tcPr>
          <w:p w14:paraId="3A79FFB0" w14:textId="77777777" w:rsidR="00026590" w:rsidRPr="00900976" w:rsidRDefault="00026590" w:rsidP="00EB6EA8">
            <w:pPr>
              <w:spacing w:line="276" w:lineRule="auto"/>
              <w:rPr>
                <w:sz w:val="20"/>
              </w:rPr>
            </w:pPr>
            <w:r w:rsidRPr="00900976">
              <w:rPr>
                <w:b/>
                <w:bCs/>
                <w:sz w:val="20"/>
              </w:rPr>
              <w:t>38</w:t>
            </w:r>
          </w:p>
        </w:tc>
        <w:tc>
          <w:tcPr>
            <w:tcW w:w="0" w:type="auto"/>
            <w:hideMark/>
          </w:tcPr>
          <w:p w14:paraId="7552C685" w14:textId="77777777" w:rsidR="00026590" w:rsidRPr="00900976" w:rsidRDefault="00026590" w:rsidP="00EB6EA8">
            <w:pPr>
              <w:spacing w:line="276" w:lineRule="auto"/>
              <w:rPr>
                <w:sz w:val="20"/>
              </w:rPr>
            </w:pPr>
            <w:r w:rsidRPr="00900976">
              <w:rPr>
                <w:b/>
                <w:bCs/>
                <w:sz w:val="20"/>
              </w:rPr>
              <w:t>4.3</w:t>
            </w:r>
          </w:p>
        </w:tc>
        <w:tc>
          <w:tcPr>
            <w:tcW w:w="0" w:type="auto"/>
            <w:hideMark/>
          </w:tcPr>
          <w:p w14:paraId="0396D661" w14:textId="77777777" w:rsidR="00026590" w:rsidRPr="00900976" w:rsidRDefault="00026590" w:rsidP="00EB6EA8">
            <w:pPr>
              <w:spacing w:line="276" w:lineRule="auto"/>
              <w:rPr>
                <w:sz w:val="20"/>
              </w:rPr>
            </w:pPr>
            <w:r w:rsidRPr="00900976">
              <w:rPr>
                <w:b/>
                <w:bCs/>
                <w:sz w:val="20"/>
              </w:rPr>
              <w:t>0.276</w:t>
            </w:r>
          </w:p>
        </w:tc>
        <w:tc>
          <w:tcPr>
            <w:tcW w:w="0" w:type="auto"/>
            <w:hideMark/>
          </w:tcPr>
          <w:p w14:paraId="4CAAF6AB" w14:textId="77777777" w:rsidR="00026590" w:rsidRPr="00900976" w:rsidRDefault="00026590" w:rsidP="00EB6EA8">
            <w:pPr>
              <w:spacing w:line="276" w:lineRule="auto"/>
              <w:rPr>
                <w:sz w:val="20"/>
              </w:rPr>
            </w:pPr>
            <w:r w:rsidRPr="00900976">
              <w:rPr>
                <w:sz w:val="20"/>
              </w:rPr>
              <w:t>2.5</w:t>
            </w:r>
          </w:p>
        </w:tc>
      </w:tr>
    </w:tbl>
    <w:p w14:paraId="5FF7F0CF" w14:textId="2545FE86" w:rsidR="00164F2D" w:rsidRPr="00E706A0" w:rsidRDefault="00026590" w:rsidP="00900976">
      <w:pPr>
        <w:pStyle w:val="Paragraph"/>
      </w:pPr>
      <w:r w:rsidRPr="004E4938">
        <w:t>Observation: NSGA-II optimization provides the most compact and interpretable rule base, while IT2-FIS adds only modest inference overhead compared to Type-1.</w:t>
      </w:r>
      <w:r w:rsidR="004E4938" w:rsidRPr="004E4938">
        <w:t xml:space="preserve"> </w:t>
      </w:r>
      <w:r w:rsidR="005E6156" w:rsidRPr="004E4938">
        <w:t xml:space="preserve">Rule base compactness was evaluated through active rule count, average antecedent length, and FOU area. The IT2-FIS retained a compact rule base of 42 active rules (from an initial pool of 150), compared to 67 active rules in the Type-1 GA-FIS. This was achieved without sacrificing accuracy, highlighting the parsimony introduced by the GA optimization. Figure </w:t>
      </w:r>
      <w:r w:rsidR="00462A99">
        <w:t>4</w:t>
      </w:r>
      <w:r w:rsidR="005E6156" w:rsidRPr="004E4938">
        <w:t xml:space="preserve"> visualizes the learned UMF/LMF pairs, which preserved linguistic interpretability while flexibly accommodating subjective uncertainty.</w:t>
      </w:r>
    </w:p>
    <w:p w14:paraId="0F7ADDB5" w14:textId="57868159" w:rsidR="005E6156" w:rsidRPr="00E706A0" w:rsidRDefault="005E6156" w:rsidP="00900976">
      <w:pPr>
        <w:pStyle w:val="Heading2"/>
      </w:pPr>
      <w:r w:rsidRPr="00E706A0">
        <w:t>Computational Efficiency</w:t>
      </w:r>
    </w:p>
    <w:p w14:paraId="77982631" w14:textId="3713F03D" w:rsidR="005E6156" w:rsidRDefault="005E6156" w:rsidP="00900976">
      <w:pPr>
        <w:pStyle w:val="Paragraph"/>
      </w:pPr>
      <w:r w:rsidRPr="00E706A0">
        <w:t>Training times for the IT2-FIS averaged 115 seconds, approximately 1.7× slower than the Type-1 GA-FIS due to the Karnik</w:t>
      </w:r>
      <w:r w:rsidR="0038500B">
        <w:t xml:space="preserve"> </w:t>
      </w:r>
      <w:r w:rsidRPr="00E706A0">
        <w:t>Mendel type</w:t>
      </w:r>
      <w:r w:rsidR="0038500B">
        <w:t xml:space="preserve"> </w:t>
      </w:r>
      <w:r w:rsidRPr="00E706A0">
        <w:t xml:space="preserve">reduction. However, inference latency remained efficient at 2.3 </w:t>
      </w:r>
      <w:proofErr w:type="spellStart"/>
      <w:r w:rsidRPr="00E706A0">
        <w:t>ms</w:t>
      </w:r>
      <w:proofErr w:type="spellEnd"/>
      <w:r w:rsidRPr="00E706A0">
        <w:t xml:space="preserve"> per sample, well within the thresholds for real</w:t>
      </w:r>
      <w:r w:rsidR="0038500B">
        <w:t xml:space="preserve"> </w:t>
      </w:r>
      <w:r w:rsidRPr="00E706A0">
        <w:t>time educational dashboards. These results confirm the feasibility of deploying IT2-FIS in practical decision</w:t>
      </w:r>
      <w:r w:rsidR="0038500B">
        <w:t xml:space="preserve"> </w:t>
      </w:r>
      <w:r w:rsidRPr="00E706A0">
        <w:t>support applications.</w:t>
      </w:r>
    </w:p>
    <w:p w14:paraId="2B4A21BC" w14:textId="1C35A761" w:rsidR="00026590" w:rsidRPr="00E706A0" w:rsidRDefault="00026590" w:rsidP="00CA4B69">
      <w:pPr>
        <w:pStyle w:val="TableCaption"/>
      </w:pPr>
      <w:r w:rsidRPr="00E706A0">
        <w:t xml:space="preserve">Table </w:t>
      </w:r>
      <w:r w:rsidR="00442349">
        <w:t>7 -</w:t>
      </w:r>
      <w:r w:rsidRPr="00E706A0">
        <w:t xml:space="preserve"> Statistical Significance Tests (RMSE and Winkler Score)</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11"/>
        <w:gridCol w:w="1577"/>
        <w:gridCol w:w="850"/>
        <w:gridCol w:w="1992"/>
        <w:gridCol w:w="1250"/>
      </w:tblGrid>
      <w:tr w:rsidR="00026590" w:rsidRPr="00CA4B69" w14:paraId="30A7114D" w14:textId="77777777" w:rsidTr="00CA4B69">
        <w:trPr>
          <w:jc w:val="center"/>
        </w:trPr>
        <w:tc>
          <w:tcPr>
            <w:tcW w:w="0" w:type="auto"/>
            <w:tcBorders>
              <w:bottom w:val="single" w:sz="4" w:space="0" w:color="auto"/>
            </w:tcBorders>
            <w:hideMark/>
          </w:tcPr>
          <w:p w14:paraId="55FCEC0F" w14:textId="77777777" w:rsidR="00026590" w:rsidRPr="00CA4B69" w:rsidRDefault="00026590" w:rsidP="00EB6EA8">
            <w:pPr>
              <w:spacing w:line="276" w:lineRule="auto"/>
              <w:rPr>
                <w:b/>
                <w:bCs/>
                <w:sz w:val="20"/>
              </w:rPr>
            </w:pPr>
            <w:r w:rsidRPr="00CA4B69">
              <w:rPr>
                <w:b/>
                <w:bCs/>
                <w:sz w:val="20"/>
              </w:rPr>
              <w:t>Comparison (Pairwise)</w:t>
            </w:r>
          </w:p>
        </w:tc>
        <w:tc>
          <w:tcPr>
            <w:tcW w:w="0" w:type="auto"/>
            <w:tcBorders>
              <w:bottom w:val="single" w:sz="4" w:space="0" w:color="auto"/>
            </w:tcBorders>
            <w:hideMark/>
          </w:tcPr>
          <w:p w14:paraId="62F8CF38" w14:textId="77777777" w:rsidR="00026590" w:rsidRPr="00CA4B69" w:rsidRDefault="00026590" w:rsidP="00EB6EA8">
            <w:pPr>
              <w:spacing w:line="276" w:lineRule="auto"/>
              <w:rPr>
                <w:b/>
                <w:bCs/>
                <w:sz w:val="20"/>
              </w:rPr>
            </w:pPr>
            <w:r w:rsidRPr="00CA4B69">
              <w:rPr>
                <w:b/>
                <w:bCs/>
                <w:sz w:val="20"/>
              </w:rPr>
              <w:t>Test (Wilcoxon)</w:t>
            </w:r>
          </w:p>
        </w:tc>
        <w:tc>
          <w:tcPr>
            <w:tcW w:w="0" w:type="auto"/>
            <w:tcBorders>
              <w:bottom w:val="single" w:sz="4" w:space="0" w:color="auto"/>
            </w:tcBorders>
            <w:hideMark/>
          </w:tcPr>
          <w:p w14:paraId="7E327407" w14:textId="77777777" w:rsidR="00026590" w:rsidRPr="00CA4B69" w:rsidRDefault="00026590" w:rsidP="00EB6EA8">
            <w:pPr>
              <w:spacing w:line="276" w:lineRule="auto"/>
              <w:rPr>
                <w:b/>
                <w:bCs/>
                <w:sz w:val="20"/>
              </w:rPr>
            </w:pPr>
            <w:r w:rsidRPr="00CA4B69">
              <w:rPr>
                <w:b/>
                <w:bCs/>
                <w:sz w:val="20"/>
              </w:rPr>
              <w:t>p-value</w:t>
            </w:r>
          </w:p>
        </w:tc>
        <w:tc>
          <w:tcPr>
            <w:tcW w:w="0" w:type="auto"/>
            <w:tcBorders>
              <w:bottom w:val="single" w:sz="4" w:space="0" w:color="auto"/>
            </w:tcBorders>
            <w:hideMark/>
          </w:tcPr>
          <w:p w14:paraId="709A24D4" w14:textId="77777777" w:rsidR="00026590" w:rsidRPr="00CA4B69" w:rsidRDefault="00026590" w:rsidP="00EB6EA8">
            <w:pPr>
              <w:spacing w:line="276" w:lineRule="auto"/>
              <w:rPr>
                <w:b/>
                <w:bCs/>
                <w:sz w:val="20"/>
              </w:rPr>
            </w:pPr>
            <w:r w:rsidRPr="00CA4B69">
              <w:rPr>
                <w:b/>
                <w:bCs/>
                <w:sz w:val="20"/>
              </w:rPr>
              <w:t>Effect Size (Cliff’s δ)</w:t>
            </w:r>
          </w:p>
        </w:tc>
        <w:tc>
          <w:tcPr>
            <w:tcW w:w="0" w:type="auto"/>
            <w:tcBorders>
              <w:bottom w:val="single" w:sz="4" w:space="0" w:color="auto"/>
            </w:tcBorders>
            <w:hideMark/>
          </w:tcPr>
          <w:p w14:paraId="6483D59F" w14:textId="77777777" w:rsidR="00026590" w:rsidRPr="00CA4B69" w:rsidRDefault="00026590" w:rsidP="00EB6EA8">
            <w:pPr>
              <w:spacing w:line="276" w:lineRule="auto"/>
              <w:rPr>
                <w:b/>
                <w:bCs/>
                <w:sz w:val="20"/>
              </w:rPr>
            </w:pPr>
            <w:r w:rsidRPr="00CA4B69">
              <w:rPr>
                <w:b/>
                <w:bCs/>
                <w:sz w:val="20"/>
              </w:rPr>
              <w:t>Significance</w:t>
            </w:r>
          </w:p>
        </w:tc>
      </w:tr>
      <w:tr w:rsidR="00026590" w:rsidRPr="00CA4B69" w14:paraId="44ED9AD8" w14:textId="77777777" w:rsidTr="00CA4B69">
        <w:trPr>
          <w:jc w:val="center"/>
        </w:trPr>
        <w:tc>
          <w:tcPr>
            <w:tcW w:w="0" w:type="auto"/>
            <w:tcBorders>
              <w:top w:val="single" w:sz="4" w:space="0" w:color="auto"/>
            </w:tcBorders>
            <w:hideMark/>
          </w:tcPr>
          <w:p w14:paraId="144F76F7" w14:textId="77777777" w:rsidR="00026590" w:rsidRPr="00CA4B69" w:rsidRDefault="00026590" w:rsidP="00EB6EA8">
            <w:pPr>
              <w:spacing w:line="276" w:lineRule="auto"/>
              <w:rPr>
                <w:sz w:val="20"/>
              </w:rPr>
            </w:pPr>
            <w:r w:rsidRPr="00CA4B69">
              <w:rPr>
                <w:sz w:val="20"/>
              </w:rPr>
              <w:t>IT2 GA-FIS vs. T1 GA-FIS</w:t>
            </w:r>
          </w:p>
        </w:tc>
        <w:tc>
          <w:tcPr>
            <w:tcW w:w="0" w:type="auto"/>
            <w:tcBorders>
              <w:top w:val="single" w:sz="4" w:space="0" w:color="auto"/>
            </w:tcBorders>
            <w:hideMark/>
          </w:tcPr>
          <w:p w14:paraId="479399DA" w14:textId="77777777" w:rsidR="00026590" w:rsidRPr="00CA4B69" w:rsidRDefault="00026590" w:rsidP="00EB6EA8">
            <w:pPr>
              <w:spacing w:line="276" w:lineRule="auto"/>
              <w:rPr>
                <w:sz w:val="20"/>
              </w:rPr>
            </w:pPr>
            <w:r w:rsidRPr="00CA4B69">
              <w:rPr>
                <w:sz w:val="20"/>
              </w:rPr>
              <w:t>RMSE</w:t>
            </w:r>
          </w:p>
        </w:tc>
        <w:tc>
          <w:tcPr>
            <w:tcW w:w="0" w:type="auto"/>
            <w:tcBorders>
              <w:top w:val="single" w:sz="4" w:space="0" w:color="auto"/>
            </w:tcBorders>
            <w:hideMark/>
          </w:tcPr>
          <w:p w14:paraId="04821BE9" w14:textId="77777777" w:rsidR="00026590" w:rsidRPr="00CA4B69" w:rsidRDefault="00026590" w:rsidP="00EB6EA8">
            <w:pPr>
              <w:spacing w:line="276" w:lineRule="auto"/>
              <w:rPr>
                <w:sz w:val="20"/>
              </w:rPr>
            </w:pPr>
            <w:r w:rsidRPr="00CA4B69">
              <w:rPr>
                <w:sz w:val="20"/>
              </w:rPr>
              <w:t>0.004</w:t>
            </w:r>
          </w:p>
        </w:tc>
        <w:tc>
          <w:tcPr>
            <w:tcW w:w="0" w:type="auto"/>
            <w:tcBorders>
              <w:top w:val="single" w:sz="4" w:space="0" w:color="auto"/>
            </w:tcBorders>
            <w:hideMark/>
          </w:tcPr>
          <w:p w14:paraId="0E7579B6" w14:textId="77777777" w:rsidR="00026590" w:rsidRPr="00CA4B69" w:rsidRDefault="00026590" w:rsidP="00EB6EA8">
            <w:pPr>
              <w:spacing w:line="276" w:lineRule="auto"/>
              <w:rPr>
                <w:sz w:val="20"/>
              </w:rPr>
            </w:pPr>
            <w:r w:rsidRPr="00CA4B69">
              <w:rPr>
                <w:sz w:val="20"/>
              </w:rPr>
              <w:t>0.38 (medium)</w:t>
            </w:r>
          </w:p>
        </w:tc>
        <w:tc>
          <w:tcPr>
            <w:tcW w:w="0" w:type="auto"/>
            <w:tcBorders>
              <w:top w:val="single" w:sz="4" w:space="0" w:color="auto"/>
            </w:tcBorders>
            <w:hideMark/>
          </w:tcPr>
          <w:p w14:paraId="4BCAFA35" w14:textId="77777777" w:rsidR="00026590" w:rsidRPr="00CA4B69" w:rsidRDefault="00026590" w:rsidP="00EB6EA8">
            <w:pPr>
              <w:spacing w:line="276" w:lineRule="auto"/>
              <w:rPr>
                <w:sz w:val="20"/>
              </w:rPr>
            </w:pPr>
            <w:r w:rsidRPr="00CA4B69">
              <w:rPr>
                <w:sz w:val="20"/>
              </w:rPr>
              <w:t>Significant</w:t>
            </w:r>
          </w:p>
        </w:tc>
      </w:tr>
      <w:tr w:rsidR="00026590" w:rsidRPr="00CA4B69" w14:paraId="47B45AF5" w14:textId="77777777" w:rsidTr="00CA4B69">
        <w:trPr>
          <w:jc w:val="center"/>
        </w:trPr>
        <w:tc>
          <w:tcPr>
            <w:tcW w:w="0" w:type="auto"/>
            <w:hideMark/>
          </w:tcPr>
          <w:p w14:paraId="6A5A3745" w14:textId="77777777" w:rsidR="00026590" w:rsidRPr="00CA4B69" w:rsidRDefault="00026590" w:rsidP="00EB6EA8">
            <w:pPr>
              <w:spacing w:line="276" w:lineRule="auto"/>
              <w:rPr>
                <w:sz w:val="20"/>
              </w:rPr>
            </w:pPr>
            <w:r w:rsidRPr="00CA4B69">
              <w:rPr>
                <w:sz w:val="20"/>
              </w:rPr>
              <w:t>IT2 NSGA-II vs. T1 GA-FIS</w:t>
            </w:r>
          </w:p>
        </w:tc>
        <w:tc>
          <w:tcPr>
            <w:tcW w:w="0" w:type="auto"/>
            <w:hideMark/>
          </w:tcPr>
          <w:p w14:paraId="22073400" w14:textId="77777777" w:rsidR="00026590" w:rsidRPr="00CA4B69" w:rsidRDefault="00026590" w:rsidP="00EB6EA8">
            <w:pPr>
              <w:spacing w:line="276" w:lineRule="auto"/>
              <w:rPr>
                <w:sz w:val="20"/>
              </w:rPr>
            </w:pPr>
            <w:r w:rsidRPr="00CA4B69">
              <w:rPr>
                <w:sz w:val="20"/>
              </w:rPr>
              <w:t>RMSE</w:t>
            </w:r>
          </w:p>
        </w:tc>
        <w:tc>
          <w:tcPr>
            <w:tcW w:w="0" w:type="auto"/>
            <w:hideMark/>
          </w:tcPr>
          <w:p w14:paraId="0962A6FD" w14:textId="77777777" w:rsidR="00026590" w:rsidRPr="00CA4B69" w:rsidRDefault="00026590" w:rsidP="00EB6EA8">
            <w:pPr>
              <w:spacing w:line="276" w:lineRule="auto"/>
              <w:rPr>
                <w:sz w:val="20"/>
              </w:rPr>
            </w:pPr>
            <w:r w:rsidRPr="00CA4B69">
              <w:rPr>
                <w:sz w:val="20"/>
              </w:rPr>
              <w:t>0.007</w:t>
            </w:r>
          </w:p>
        </w:tc>
        <w:tc>
          <w:tcPr>
            <w:tcW w:w="0" w:type="auto"/>
            <w:hideMark/>
          </w:tcPr>
          <w:p w14:paraId="28ACFA39" w14:textId="77777777" w:rsidR="00026590" w:rsidRPr="00CA4B69" w:rsidRDefault="00026590" w:rsidP="00EB6EA8">
            <w:pPr>
              <w:spacing w:line="276" w:lineRule="auto"/>
              <w:rPr>
                <w:sz w:val="20"/>
              </w:rPr>
            </w:pPr>
            <w:r w:rsidRPr="00CA4B69">
              <w:rPr>
                <w:sz w:val="20"/>
              </w:rPr>
              <w:t>0.34 (medium)</w:t>
            </w:r>
          </w:p>
        </w:tc>
        <w:tc>
          <w:tcPr>
            <w:tcW w:w="0" w:type="auto"/>
            <w:hideMark/>
          </w:tcPr>
          <w:p w14:paraId="0F082D09" w14:textId="77777777" w:rsidR="00026590" w:rsidRPr="00CA4B69" w:rsidRDefault="00026590" w:rsidP="00EB6EA8">
            <w:pPr>
              <w:spacing w:line="276" w:lineRule="auto"/>
              <w:rPr>
                <w:sz w:val="20"/>
              </w:rPr>
            </w:pPr>
            <w:r w:rsidRPr="00CA4B69">
              <w:rPr>
                <w:sz w:val="20"/>
              </w:rPr>
              <w:t>Significant</w:t>
            </w:r>
          </w:p>
        </w:tc>
      </w:tr>
      <w:tr w:rsidR="00026590" w:rsidRPr="00CA4B69" w14:paraId="053DCBC1" w14:textId="77777777" w:rsidTr="00CA4B69">
        <w:trPr>
          <w:jc w:val="center"/>
        </w:trPr>
        <w:tc>
          <w:tcPr>
            <w:tcW w:w="0" w:type="auto"/>
            <w:hideMark/>
          </w:tcPr>
          <w:p w14:paraId="6D1234AE" w14:textId="77777777" w:rsidR="00026590" w:rsidRPr="00CA4B69" w:rsidRDefault="00026590" w:rsidP="00EB6EA8">
            <w:pPr>
              <w:spacing w:line="276" w:lineRule="auto"/>
              <w:rPr>
                <w:sz w:val="20"/>
              </w:rPr>
            </w:pPr>
            <w:r w:rsidRPr="00CA4B69">
              <w:rPr>
                <w:sz w:val="20"/>
              </w:rPr>
              <w:t>IT2 GA-FIS vs. IT2 NSGA-II</w:t>
            </w:r>
          </w:p>
        </w:tc>
        <w:tc>
          <w:tcPr>
            <w:tcW w:w="0" w:type="auto"/>
            <w:hideMark/>
          </w:tcPr>
          <w:p w14:paraId="6E7BE295" w14:textId="77777777" w:rsidR="00026590" w:rsidRPr="00CA4B69" w:rsidRDefault="00026590" w:rsidP="00EB6EA8">
            <w:pPr>
              <w:spacing w:line="276" w:lineRule="auto"/>
              <w:rPr>
                <w:sz w:val="20"/>
              </w:rPr>
            </w:pPr>
            <w:r w:rsidRPr="00CA4B69">
              <w:rPr>
                <w:sz w:val="20"/>
              </w:rPr>
              <w:t>Winkler Score</w:t>
            </w:r>
          </w:p>
        </w:tc>
        <w:tc>
          <w:tcPr>
            <w:tcW w:w="0" w:type="auto"/>
            <w:hideMark/>
          </w:tcPr>
          <w:p w14:paraId="21B05336" w14:textId="77777777" w:rsidR="00026590" w:rsidRPr="00CA4B69" w:rsidRDefault="00026590" w:rsidP="00EB6EA8">
            <w:pPr>
              <w:spacing w:line="276" w:lineRule="auto"/>
              <w:rPr>
                <w:sz w:val="20"/>
              </w:rPr>
            </w:pPr>
            <w:r w:rsidRPr="00CA4B69">
              <w:rPr>
                <w:sz w:val="20"/>
              </w:rPr>
              <w:t>0.031</w:t>
            </w:r>
          </w:p>
        </w:tc>
        <w:tc>
          <w:tcPr>
            <w:tcW w:w="0" w:type="auto"/>
            <w:hideMark/>
          </w:tcPr>
          <w:p w14:paraId="0474F372" w14:textId="77777777" w:rsidR="00026590" w:rsidRPr="00CA4B69" w:rsidRDefault="00026590" w:rsidP="00EB6EA8">
            <w:pPr>
              <w:spacing w:line="276" w:lineRule="auto"/>
              <w:rPr>
                <w:sz w:val="20"/>
              </w:rPr>
            </w:pPr>
            <w:r w:rsidRPr="00CA4B69">
              <w:rPr>
                <w:sz w:val="20"/>
              </w:rPr>
              <w:t>0.22 (small)</w:t>
            </w:r>
          </w:p>
        </w:tc>
        <w:tc>
          <w:tcPr>
            <w:tcW w:w="0" w:type="auto"/>
            <w:hideMark/>
          </w:tcPr>
          <w:p w14:paraId="15AC1211" w14:textId="77777777" w:rsidR="00026590" w:rsidRPr="00CA4B69" w:rsidRDefault="00026590" w:rsidP="00EB6EA8">
            <w:pPr>
              <w:spacing w:line="276" w:lineRule="auto"/>
              <w:rPr>
                <w:sz w:val="20"/>
              </w:rPr>
            </w:pPr>
            <w:r w:rsidRPr="00CA4B69">
              <w:rPr>
                <w:sz w:val="20"/>
              </w:rPr>
              <w:t>Significant</w:t>
            </w:r>
          </w:p>
        </w:tc>
      </w:tr>
    </w:tbl>
    <w:p w14:paraId="64C80060" w14:textId="41EB2782" w:rsidR="005E6156" w:rsidRPr="004E4938" w:rsidRDefault="00026590" w:rsidP="00CA4B69">
      <w:pPr>
        <w:pStyle w:val="Paragraph"/>
      </w:pPr>
      <w:r w:rsidRPr="004E4938">
        <w:t>Observation: Improvements of IT2-FIS over Type-1 baseline are statistically significant, with medium effect sizes. Differences between IT2 GA and IT2 NSGA-II are smaller but still significant in terms of uncertainty calibration.</w:t>
      </w:r>
    </w:p>
    <w:p w14:paraId="62943E62" w14:textId="2233C06E" w:rsidR="005E6156" w:rsidRPr="00E706A0" w:rsidRDefault="005E6156" w:rsidP="00CA4B69">
      <w:pPr>
        <w:pStyle w:val="Heading2"/>
      </w:pPr>
      <w:r w:rsidRPr="00E706A0">
        <w:t xml:space="preserve">Summary of Findings </w:t>
      </w:r>
    </w:p>
    <w:p w14:paraId="71733C8A" w14:textId="66312341" w:rsidR="002D6283" w:rsidRDefault="005E6156" w:rsidP="00E706A0">
      <w:pPr>
        <w:spacing w:line="276" w:lineRule="auto"/>
        <w:jc w:val="center"/>
        <w:rPr>
          <w:szCs w:val="24"/>
        </w:rPr>
      </w:pPr>
      <w:r w:rsidRPr="00E706A0">
        <w:rPr>
          <w:noProof/>
          <w:szCs w:val="24"/>
        </w:rPr>
        <w:drawing>
          <wp:inline distT="0" distB="0" distL="0" distR="0" wp14:anchorId="28997551" wp14:editId="29B9DDD9">
            <wp:extent cx="3536490" cy="2515065"/>
            <wp:effectExtent l="0" t="0" r="6985" b="0"/>
            <wp:docPr id="53489320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40629" cy="2518009"/>
                    </a:xfrm>
                    <a:prstGeom prst="rect">
                      <a:avLst/>
                    </a:prstGeom>
                    <a:noFill/>
                  </pic:spPr>
                </pic:pic>
              </a:graphicData>
            </a:graphic>
          </wp:inline>
        </w:drawing>
      </w:r>
    </w:p>
    <w:p w14:paraId="022A4427" w14:textId="6608831E" w:rsidR="002D6283" w:rsidRDefault="002D6283" w:rsidP="00CA4B69">
      <w:pPr>
        <w:pStyle w:val="FigureCaption"/>
        <w:rPr>
          <w:noProof/>
        </w:rPr>
      </w:pPr>
      <w:r>
        <w:rPr>
          <w:noProof/>
        </w:rPr>
        <w:t>Figure – 2 Parento Front : RMSE Vs Rule count</w:t>
      </w:r>
    </w:p>
    <w:p w14:paraId="4D5C5686" w14:textId="77777777" w:rsidR="00CA4B69" w:rsidRPr="004E4938" w:rsidRDefault="00CA4B69" w:rsidP="00CA4B69">
      <w:pPr>
        <w:pStyle w:val="Paragraph"/>
      </w:pPr>
      <w:r w:rsidRPr="004E4938">
        <w:lastRenderedPageBreak/>
        <w:t>The proposed GA-optimized Interval Type-2 Fuzzy Inference System achieves higher predictive accuracy, superior robustness under uncertainty, calibrated uncertainty intervals, and more compact rule bases compared to the Type-1 GA-FIS and benchmark models, thereby demonstrating its value for real-world OBE analytics.</w:t>
      </w:r>
    </w:p>
    <w:p w14:paraId="6A7042FF" w14:textId="77777777" w:rsidR="00CA4B69" w:rsidRPr="00E706A0" w:rsidRDefault="00CA4B69" w:rsidP="00CA4B69">
      <w:pPr>
        <w:spacing w:line="276" w:lineRule="auto"/>
        <w:rPr>
          <w:szCs w:val="24"/>
        </w:rPr>
      </w:pPr>
    </w:p>
    <w:p w14:paraId="52467B76" w14:textId="4D604B01" w:rsidR="005E6156" w:rsidRDefault="005E6156" w:rsidP="00E706A0">
      <w:pPr>
        <w:spacing w:line="276" w:lineRule="auto"/>
        <w:jc w:val="center"/>
        <w:rPr>
          <w:szCs w:val="24"/>
        </w:rPr>
      </w:pPr>
      <w:r w:rsidRPr="00E706A0">
        <w:rPr>
          <w:noProof/>
          <w:szCs w:val="24"/>
        </w:rPr>
        <w:drawing>
          <wp:inline distT="0" distB="0" distL="0" distR="0" wp14:anchorId="3EE9D1AF" wp14:editId="3FDA7229">
            <wp:extent cx="3486577" cy="2477770"/>
            <wp:effectExtent l="0" t="0" r="0" b="0"/>
            <wp:docPr id="28864124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02672" cy="2489208"/>
                    </a:xfrm>
                    <a:prstGeom prst="rect">
                      <a:avLst/>
                    </a:prstGeom>
                    <a:noFill/>
                  </pic:spPr>
                </pic:pic>
              </a:graphicData>
            </a:graphic>
          </wp:inline>
        </w:drawing>
      </w:r>
    </w:p>
    <w:p w14:paraId="609257A4" w14:textId="3653C95A" w:rsidR="002D6283" w:rsidRDefault="002D6283" w:rsidP="00CA4B69">
      <w:pPr>
        <w:pStyle w:val="FigureCaption"/>
        <w:rPr>
          <w:noProof/>
        </w:rPr>
      </w:pPr>
      <w:r>
        <w:rPr>
          <w:noProof/>
        </w:rPr>
        <w:t>Figure – 3 Parento Front : RMSE Vs FOU Area</w:t>
      </w:r>
    </w:p>
    <w:p w14:paraId="306CFF7E" w14:textId="77777777" w:rsidR="002D6283" w:rsidRPr="00E706A0" w:rsidRDefault="002D6283" w:rsidP="00E706A0">
      <w:pPr>
        <w:spacing w:line="276" w:lineRule="auto"/>
        <w:jc w:val="center"/>
        <w:rPr>
          <w:szCs w:val="24"/>
        </w:rPr>
      </w:pPr>
    </w:p>
    <w:p w14:paraId="4D2A31ED" w14:textId="1AA28776" w:rsidR="005E6156" w:rsidRPr="00E706A0" w:rsidRDefault="005E6156" w:rsidP="00E706A0">
      <w:pPr>
        <w:spacing w:line="276" w:lineRule="auto"/>
        <w:jc w:val="center"/>
        <w:rPr>
          <w:szCs w:val="24"/>
        </w:rPr>
      </w:pPr>
      <w:r w:rsidRPr="00E706A0">
        <w:rPr>
          <w:noProof/>
          <w:szCs w:val="24"/>
        </w:rPr>
        <w:drawing>
          <wp:inline distT="0" distB="0" distL="0" distR="0" wp14:anchorId="303BAF97" wp14:editId="4A638571">
            <wp:extent cx="2441301" cy="1653508"/>
            <wp:effectExtent l="0" t="0" r="0" b="4445"/>
            <wp:docPr id="196050324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91195" cy="1687301"/>
                    </a:xfrm>
                    <a:prstGeom prst="rect">
                      <a:avLst/>
                    </a:prstGeom>
                    <a:noFill/>
                  </pic:spPr>
                </pic:pic>
              </a:graphicData>
            </a:graphic>
          </wp:inline>
        </w:drawing>
      </w:r>
    </w:p>
    <w:p w14:paraId="4F658181" w14:textId="77777777" w:rsidR="009B0910" w:rsidRDefault="002D6283" w:rsidP="00CA4B69">
      <w:pPr>
        <w:pStyle w:val="FigureCaption"/>
        <w:rPr>
          <w:noProof/>
        </w:rPr>
      </w:pPr>
      <w:r>
        <w:tab/>
      </w:r>
      <w:r w:rsidRPr="009B0910">
        <w:rPr>
          <w:noProof/>
        </w:rPr>
        <w:t>Figure – 4 3D Parento Front : RMSE Vs Rule count Vs FOU Area</w:t>
      </w:r>
    </w:p>
    <w:p w14:paraId="67BEBCE3" w14:textId="07CE337C" w:rsidR="005E6156" w:rsidRPr="009B0910" w:rsidRDefault="009B0910" w:rsidP="00CA4B69">
      <w:pPr>
        <w:pStyle w:val="Paragraph"/>
        <w:rPr>
          <w:noProof/>
        </w:rPr>
      </w:pPr>
      <w:r w:rsidRPr="009B0910">
        <w:t xml:space="preserve"> </w:t>
      </w:r>
      <w:r w:rsidR="005E6156" w:rsidRPr="009B0910">
        <w:t>2D Pareto Front (RMSE vs. Rule Count) shows trade</w:t>
      </w:r>
      <w:r w:rsidR="00F81687">
        <w:t>-</w:t>
      </w:r>
      <w:r w:rsidR="005E6156" w:rsidRPr="009B0910">
        <w:t>off between predictive accuracy and interpretability.</w:t>
      </w:r>
      <w:r w:rsidRPr="009B0910">
        <w:t xml:space="preserve"> </w:t>
      </w:r>
      <w:r w:rsidR="005E6156" w:rsidRPr="009B0910">
        <w:t>2D Pareto Front (RMSE vs. FOU Area) highlights the balance between accuracy and uncertainty parsimony.</w:t>
      </w:r>
      <w:r w:rsidRPr="009B0910">
        <w:t xml:space="preserve"> </w:t>
      </w:r>
      <w:r w:rsidR="005E6156" w:rsidRPr="009B0910">
        <w:t xml:space="preserve">3D Pareto Front (RMSE vs. Rule Count vs. FOU </w:t>
      </w:r>
      <w:proofErr w:type="gramStart"/>
      <w:r w:rsidR="005E6156" w:rsidRPr="009B0910">
        <w:t xml:space="preserve">Area) </w:t>
      </w:r>
      <w:r w:rsidR="00F81687">
        <w:t xml:space="preserve"> </w:t>
      </w:r>
      <w:r w:rsidR="005E6156" w:rsidRPr="009B0910">
        <w:t>complete</w:t>
      </w:r>
      <w:proofErr w:type="gramEnd"/>
      <w:r w:rsidR="005E6156" w:rsidRPr="009B0910">
        <w:t xml:space="preserve"> view of multi-objective optimization.</w:t>
      </w:r>
    </w:p>
    <w:p w14:paraId="1CC44A33" w14:textId="738E5E2C" w:rsidR="005E6156" w:rsidRDefault="005E6156" w:rsidP="00E706A0">
      <w:pPr>
        <w:spacing w:line="276" w:lineRule="auto"/>
        <w:jc w:val="center"/>
        <w:rPr>
          <w:szCs w:val="24"/>
        </w:rPr>
      </w:pPr>
      <w:r w:rsidRPr="00E706A0">
        <w:rPr>
          <w:noProof/>
          <w:szCs w:val="24"/>
        </w:rPr>
        <w:drawing>
          <wp:inline distT="0" distB="0" distL="0" distR="0" wp14:anchorId="1CCB57D7" wp14:editId="0058F6CB">
            <wp:extent cx="3558540" cy="2104415"/>
            <wp:effectExtent l="0" t="0" r="3810" b="0"/>
            <wp:docPr id="60100996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82491" cy="2118579"/>
                    </a:xfrm>
                    <a:prstGeom prst="rect">
                      <a:avLst/>
                    </a:prstGeom>
                    <a:noFill/>
                  </pic:spPr>
                </pic:pic>
              </a:graphicData>
            </a:graphic>
          </wp:inline>
        </w:drawing>
      </w:r>
    </w:p>
    <w:p w14:paraId="60080E08" w14:textId="21926AE6" w:rsidR="002D6283" w:rsidRPr="002D6283" w:rsidRDefault="002D6283" w:rsidP="00CA4B69">
      <w:pPr>
        <w:pStyle w:val="FigureCaption"/>
        <w:rPr>
          <w:noProof/>
        </w:rPr>
      </w:pPr>
      <w:r w:rsidRPr="002D6283">
        <w:rPr>
          <w:noProof/>
        </w:rPr>
        <w:t>Figure – 5  Membership Function Bands ( UMF &amp; LMF of students performance)</w:t>
      </w:r>
    </w:p>
    <w:p w14:paraId="2A3D4EF3" w14:textId="129CDC1C" w:rsidR="005E6156" w:rsidRDefault="005E6156" w:rsidP="00E706A0">
      <w:pPr>
        <w:spacing w:line="276" w:lineRule="auto"/>
        <w:jc w:val="center"/>
        <w:rPr>
          <w:szCs w:val="24"/>
        </w:rPr>
      </w:pPr>
      <w:r w:rsidRPr="00E706A0">
        <w:rPr>
          <w:noProof/>
          <w:szCs w:val="24"/>
        </w:rPr>
        <w:lastRenderedPageBreak/>
        <w:drawing>
          <wp:inline distT="0" distB="0" distL="0" distR="0" wp14:anchorId="2F5DC508" wp14:editId="36925EC7">
            <wp:extent cx="3718560" cy="2202774"/>
            <wp:effectExtent l="0" t="0" r="0" b="7620"/>
            <wp:docPr id="77535592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45859" cy="2218945"/>
                    </a:xfrm>
                    <a:prstGeom prst="rect">
                      <a:avLst/>
                    </a:prstGeom>
                    <a:noFill/>
                  </pic:spPr>
                </pic:pic>
              </a:graphicData>
            </a:graphic>
          </wp:inline>
        </w:drawing>
      </w:r>
    </w:p>
    <w:p w14:paraId="3D8371D6" w14:textId="3F562AC0" w:rsidR="002D6283" w:rsidRPr="002D6283" w:rsidRDefault="002D6283" w:rsidP="00CA4B69">
      <w:pPr>
        <w:pStyle w:val="FigureCaption"/>
        <w:rPr>
          <w:noProof/>
        </w:rPr>
      </w:pPr>
      <w:r w:rsidRPr="002D6283">
        <w:rPr>
          <w:noProof/>
        </w:rPr>
        <w:t xml:space="preserve">Figure – 6  Membership Function Bands ( UMF &amp; LMF of course complexity) </w:t>
      </w:r>
    </w:p>
    <w:p w14:paraId="08B25C16" w14:textId="77777777" w:rsidR="002D6283" w:rsidRPr="00E706A0" w:rsidRDefault="002D6283" w:rsidP="00E706A0">
      <w:pPr>
        <w:spacing w:line="276" w:lineRule="auto"/>
        <w:jc w:val="center"/>
        <w:rPr>
          <w:szCs w:val="24"/>
        </w:rPr>
      </w:pPr>
    </w:p>
    <w:p w14:paraId="548605A4" w14:textId="6E5667F9" w:rsidR="005E6156" w:rsidRDefault="005E6156" w:rsidP="00E706A0">
      <w:pPr>
        <w:spacing w:line="276" w:lineRule="auto"/>
        <w:jc w:val="center"/>
        <w:rPr>
          <w:szCs w:val="24"/>
        </w:rPr>
      </w:pPr>
      <w:r w:rsidRPr="00E706A0">
        <w:rPr>
          <w:noProof/>
          <w:szCs w:val="24"/>
        </w:rPr>
        <w:drawing>
          <wp:inline distT="0" distB="0" distL="0" distR="0" wp14:anchorId="0E214E09" wp14:editId="56B9F254">
            <wp:extent cx="3568065" cy="2111835"/>
            <wp:effectExtent l="0" t="0" r="0" b="3175"/>
            <wp:docPr id="186815893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587083" cy="2123091"/>
                    </a:xfrm>
                    <a:prstGeom prst="rect">
                      <a:avLst/>
                    </a:prstGeom>
                    <a:noFill/>
                  </pic:spPr>
                </pic:pic>
              </a:graphicData>
            </a:graphic>
          </wp:inline>
        </w:drawing>
      </w:r>
    </w:p>
    <w:p w14:paraId="15393B21" w14:textId="01D77264" w:rsidR="002D6283" w:rsidRPr="002D6283" w:rsidRDefault="002D6283" w:rsidP="00CA4B69">
      <w:pPr>
        <w:pStyle w:val="FigureCaption"/>
        <w:rPr>
          <w:noProof/>
        </w:rPr>
      </w:pPr>
      <w:r w:rsidRPr="002D6283">
        <w:rPr>
          <w:noProof/>
        </w:rPr>
        <w:t xml:space="preserve">Figure – </w:t>
      </w:r>
      <w:r>
        <w:rPr>
          <w:noProof/>
        </w:rPr>
        <w:t>7</w:t>
      </w:r>
      <w:r w:rsidRPr="002D6283">
        <w:rPr>
          <w:noProof/>
        </w:rPr>
        <w:t xml:space="preserve">  Membership Function Bands ( UMF &amp; LMF of </w:t>
      </w:r>
      <w:r>
        <w:rPr>
          <w:noProof/>
        </w:rPr>
        <w:t>Faculty Effectiveness</w:t>
      </w:r>
      <w:r w:rsidRPr="002D6283">
        <w:rPr>
          <w:noProof/>
        </w:rPr>
        <w:t xml:space="preserve">) </w:t>
      </w:r>
    </w:p>
    <w:p w14:paraId="3035A64A" w14:textId="77777777" w:rsidR="002D6283" w:rsidRPr="00E706A0" w:rsidRDefault="002D6283" w:rsidP="00E706A0">
      <w:pPr>
        <w:spacing w:line="276" w:lineRule="auto"/>
        <w:jc w:val="center"/>
        <w:rPr>
          <w:szCs w:val="24"/>
        </w:rPr>
      </w:pPr>
    </w:p>
    <w:p w14:paraId="13F92F5C" w14:textId="6436FEA5" w:rsidR="005E6156" w:rsidRDefault="005E6156" w:rsidP="00E706A0">
      <w:pPr>
        <w:spacing w:line="276" w:lineRule="auto"/>
        <w:jc w:val="center"/>
        <w:rPr>
          <w:szCs w:val="24"/>
        </w:rPr>
      </w:pPr>
      <w:r w:rsidRPr="00E706A0">
        <w:rPr>
          <w:noProof/>
          <w:szCs w:val="24"/>
        </w:rPr>
        <w:drawing>
          <wp:inline distT="0" distB="0" distL="0" distR="0" wp14:anchorId="3E85EFE3" wp14:editId="2B2F7576">
            <wp:extent cx="3448496" cy="2042795"/>
            <wp:effectExtent l="0" t="0" r="0" b="0"/>
            <wp:docPr id="118242280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80906" cy="2061994"/>
                    </a:xfrm>
                    <a:prstGeom prst="rect">
                      <a:avLst/>
                    </a:prstGeom>
                    <a:noFill/>
                  </pic:spPr>
                </pic:pic>
              </a:graphicData>
            </a:graphic>
          </wp:inline>
        </w:drawing>
      </w:r>
    </w:p>
    <w:p w14:paraId="1646E307" w14:textId="22989AD3" w:rsidR="002D6283" w:rsidRPr="002D6283" w:rsidRDefault="002D6283" w:rsidP="00CA4B69">
      <w:pPr>
        <w:pStyle w:val="FigureCaption"/>
        <w:rPr>
          <w:noProof/>
        </w:rPr>
      </w:pPr>
      <w:r w:rsidRPr="002D6283">
        <w:rPr>
          <w:noProof/>
        </w:rPr>
        <w:t xml:space="preserve">Figure – </w:t>
      </w:r>
      <w:r>
        <w:rPr>
          <w:noProof/>
        </w:rPr>
        <w:t>8</w:t>
      </w:r>
      <w:r w:rsidRPr="002D6283">
        <w:rPr>
          <w:noProof/>
        </w:rPr>
        <w:t xml:space="preserve">  Membership Function Bands ( UMF &amp; LMF of </w:t>
      </w:r>
      <w:r>
        <w:rPr>
          <w:noProof/>
        </w:rPr>
        <w:t>Assessment Rigor</w:t>
      </w:r>
      <w:r w:rsidRPr="002D6283">
        <w:rPr>
          <w:noProof/>
        </w:rPr>
        <w:t xml:space="preserve">) </w:t>
      </w:r>
    </w:p>
    <w:p w14:paraId="1F47885C" w14:textId="77777777" w:rsidR="002D6283" w:rsidRPr="00E706A0" w:rsidRDefault="002D6283" w:rsidP="00E706A0">
      <w:pPr>
        <w:spacing w:line="276" w:lineRule="auto"/>
        <w:jc w:val="center"/>
        <w:rPr>
          <w:szCs w:val="24"/>
        </w:rPr>
      </w:pPr>
    </w:p>
    <w:p w14:paraId="5AE1D752" w14:textId="6312A7BF" w:rsidR="005E6156" w:rsidRPr="00C84882" w:rsidRDefault="005E6156" w:rsidP="00E706A0">
      <w:pPr>
        <w:spacing w:line="276" w:lineRule="auto"/>
        <w:jc w:val="center"/>
        <w:rPr>
          <w:color w:val="EE0000"/>
          <w:szCs w:val="24"/>
        </w:rPr>
      </w:pPr>
      <w:r w:rsidRPr="00C84882">
        <w:rPr>
          <w:noProof/>
          <w:color w:val="EE0000"/>
          <w:szCs w:val="24"/>
        </w:rPr>
        <w:lastRenderedPageBreak/>
        <w:drawing>
          <wp:inline distT="0" distB="0" distL="0" distR="0" wp14:anchorId="77D73F33" wp14:editId="42F424AA">
            <wp:extent cx="3638550" cy="2149912"/>
            <wp:effectExtent l="0" t="0" r="0" b="3175"/>
            <wp:docPr id="13450813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61096" cy="2163234"/>
                    </a:xfrm>
                    <a:prstGeom prst="rect">
                      <a:avLst/>
                    </a:prstGeom>
                    <a:noFill/>
                  </pic:spPr>
                </pic:pic>
              </a:graphicData>
            </a:graphic>
          </wp:inline>
        </w:drawing>
      </w:r>
    </w:p>
    <w:p w14:paraId="5BAB7DD0" w14:textId="7C1A0956" w:rsidR="002D6283" w:rsidRPr="004E4938" w:rsidRDefault="002D6283" w:rsidP="00CA4B69">
      <w:pPr>
        <w:pStyle w:val="FigureCaption"/>
        <w:rPr>
          <w:noProof/>
        </w:rPr>
      </w:pPr>
      <w:r w:rsidRPr="004E4938">
        <w:rPr>
          <w:noProof/>
        </w:rPr>
        <w:t xml:space="preserve">Figure – 9  Membership Function Bands ( UMF &amp; LMF of Student Engagement) </w:t>
      </w:r>
    </w:p>
    <w:p w14:paraId="4B8C2D1D" w14:textId="77777777" w:rsidR="002D6283" w:rsidRPr="00C84882" w:rsidRDefault="002D6283" w:rsidP="00E706A0">
      <w:pPr>
        <w:spacing w:line="276" w:lineRule="auto"/>
        <w:jc w:val="center"/>
        <w:rPr>
          <w:color w:val="EE0000"/>
          <w:szCs w:val="24"/>
        </w:rPr>
      </w:pPr>
    </w:p>
    <w:p w14:paraId="42275747" w14:textId="5AD3CF35" w:rsidR="005E6156" w:rsidRPr="00C84882" w:rsidRDefault="004E4938" w:rsidP="00E706A0">
      <w:pPr>
        <w:spacing w:line="276" w:lineRule="auto"/>
        <w:jc w:val="center"/>
        <w:rPr>
          <w:color w:val="EE0000"/>
          <w:szCs w:val="24"/>
        </w:rPr>
      </w:pPr>
      <w:r>
        <w:rPr>
          <w:noProof/>
          <w:color w:val="EE0000"/>
          <w:szCs w:val="24"/>
        </w:rPr>
        <w:drawing>
          <wp:inline distT="0" distB="0" distL="0" distR="0" wp14:anchorId="2B0E676E" wp14:editId="70D7CBF8">
            <wp:extent cx="3583544" cy="2007129"/>
            <wp:effectExtent l="0" t="0" r="0" b="0"/>
            <wp:docPr id="150460488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21719" cy="2028511"/>
                    </a:xfrm>
                    <a:prstGeom prst="rect">
                      <a:avLst/>
                    </a:prstGeom>
                    <a:noFill/>
                  </pic:spPr>
                </pic:pic>
              </a:graphicData>
            </a:graphic>
          </wp:inline>
        </w:drawing>
      </w:r>
    </w:p>
    <w:p w14:paraId="2BE8A82E" w14:textId="05217D7D" w:rsidR="002D6283" w:rsidRPr="004E4938" w:rsidRDefault="002D6283" w:rsidP="00CA4B69">
      <w:pPr>
        <w:pStyle w:val="FigureCaption"/>
        <w:rPr>
          <w:noProof/>
        </w:rPr>
      </w:pPr>
      <w:r w:rsidRPr="004E4938">
        <w:rPr>
          <w:noProof/>
        </w:rPr>
        <w:t xml:space="preserve">Figure – </w:t>
      </w:r>
      <w:r w:rsidR="00C84882" w:rsidRPr="004E4938">
        <w:rPr>
          <w:noProof/>
        </w:rPr>
        <w:t>10</w:t>
      </w:r>
      <w:r w:rsidRPr="004E4938">
        <w:rPr>
          <w:noProof/>
        </w:rPr>
        <w:t xml:space="preserve">  Membership Function Bands ( UMF &amp; LMF of </w:t>
      </w:r>
      <w:r w:rsidR="004E4938">
        <w:rPr>
          <w:noProof/>
        </w:rPr>
        <w:t>Teaching Quality Feedback</w:t>
      </w:r>
      <w:r w:rsidRPr="004E4938">
        <w:rPr>
          <w:noProof/>
        </w:rPr>
        <w:t xml:space="preserve">) </w:t>
      </w:r>
    </w:p>
    <w:p w14:paraId="5EED5B44" w14:textId="6A14744A" w:rsidR="005E6156" w:rsidRDefault="005E6156" w:rsidP="00E706A0">
      <w:pPr>
        <w:spacing w:line="276" w:lineRule="auto"/>
        <w:jc w:val="center"/>
        <w:rPr>
          <w:szCs w:val="24"/>
        </w:rPr>
      </w:pPr>
      <w:r w:rsidRPr="00E706A0">
        <w:rPr>
          <w:noProof/>
          <w:szCs w:val="24"/>
        </w:rPr>
        <w:drawing>
          <wp:inline distT="0" distB="0" distL="0" distR="0" wp14:anchorId="6F9432E6" wp14:editId="1E10AA10">
            <wp:extent cx="3801182" cy="2956475"/>
            <wp:effectExtent l="0" t="0" r="0" b="0"/>
            <wp:docPr id="70394946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820309" cy="2971352"/>
                    </a:xfrm>
                    <a:prstGeom prst="rect">
                      <a:avLst/>
                    </a:prstGeom>
                    <a:noFill/>
                  </pic:spPr>
                </pic:pic>
              </a:graphicData>
            </a:graphic>
          </wp:inline>
        </w:drawing>
      </w:r>
    </w:p>
    <w:p w14:paraId="0B28EA2F" w14:textId="77777777" w:rsidR="006D683D" w:rsidRDefault="00C84882" w:rsidP="00CA4B69">
      <w:pPr>
        <w:pStyle w:val="FigureCaption"/>
        <w:rPr>
          <w:noProof/>
        </w:rPr>
      </w:pPr>
      <w:r w:rsidRPr="002D6283">
        <w:rPr>
          <w:noProof/>
        </w:rPr>
        <w:t xml:space="preserve">Figure – </w:t>
      </w:r>
      <w:r>
        <w:rPr>
          <w:noProof/>
        </w:rPr>
        <w:t>11</w:t>
      </w:r>
      <w:r w:rsidRPr="002D6283">
        <w:rPr>
          <w:noProof/>
        </w:rPr>
        <w:t xml:space="preserve">  </w:t>
      </w:r>
      <w:r>
        <w:rPr>
          <w:noProof/>
        </w:rPr>
        <w:t>Reliablity diagram</w:t>
      </w:r>
    </w:p>
    <w:p w14:paraId="43DF9CE2" w14:textId="71B1E667" w:rsidR="00503729" w:rsidRPr="006D683D" w:rsidRDefault="005E6156" w:rsidP="00CA4B69">
      <w:pPr>
        <w:pStyle w:val="Paragraph"/>
        <w:rPr>
          <w:noProof/>
        </w:rPr>
      </w:pPr>
      <w:r w:rsidRPr="006D683D">
        <w:lastRenderedPageBreak/>
        <w:t>The dashed diagonal line represents perfect calibration (nominal = observed).</w:t>
      </w:r>
      <w:r w:rsidR="006D683D" w:rsidRPr="006D683D">
        <w:rPr>
          <w:noProof/>
        </w:rPr>
        <w:t xml:space="preserve"> </w:t>
      </w:r>
      <w:r w:rsidRPr="006D683D">
        <w:t>The proposed IT2 GA-FIS lies very close to this ideal line, with observed coverage matching nominal levels (e.g., 90% intervals achieve ~91.4% coverage).</w:t>
      </w:r>
      <w:r w:rsidR="006D683D" w:rsidRPr="006D683D">
        <w:rPr>
          <w:noProof/>
        </w:rPr>
        <w:t xml:space="preserve"> </w:t>
      </w:r>
      <w:r w:rsidRPr="006D683D">
        <w:t xml:space="preserve">The baseline T1 GA-FIS shows </w:t>
      </w:r>
      <w:proofErr w:type="spellStart"/>
      <w:r w:rsidRPr="006D683D">
        <w:t>undercoverage</w:t>
      </w:r>
      <w:proofErr w:type="spellEnd"/>
      <w:r w:rsidRPr="006D683D">
        <w:t>, confirming its inability to represent uncertainty properly.</w:t>
      </w:r>
    </w:p>
    <w:p w14:paraId="71B1DFC3" w14:textId="7CECE7A5" w:rsidR="00503729" w:rsidRPr="00E706A0" w:rsidRDefault="00503729" w:rsidP="00CA4B69">
      <w:pPr>
        <w:pStyle w:val="Heading2"/>
      </w:pPr>
      <w:r w:rsidRPr="00E706A0">
        <w:t>Robustness Curves</w:t>
      </w:r>
    </w:p>
    <w:p w14:paraId="078835FC" w14:textId="6BC6D621" w:rsidR="005E6156" w:rsidRDefault="005E6156" w:rsidP="00E706A0">
      <w:pPr>
        <w:spacing w:line="276" w:lineRule="auto"/>
        <w:jc w:val="center"/>
        <w:rPr>
          <w:szCs w:val="24"/>
        </w:rPr>
      </w:pPr>
      <w:r w:rsidRPr="00E706A0">
        <w:rPr>
          <w:noProof/>
          <w:szCs w:val="24"/>
        </w:rPr>
        <w:drawing>
          <wp:inline distT="0" distB="0" distL="0" distR="0" wp14:anchorId="75041C56" wp14:editId="7F24D956">
            <wp:extent cx="3908281" cy="2914650"/>
            <wp:effectExtent l="0" t="0" r="0" b="0"/>
            <wp:docPr id="7929042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913931" cy="2918863"/>
                    </a:xfrm>
                    <a:prstGeom prst="rect">
                      <a:avLst/>
                    </a:prstGeom>
                    <a:noFill/>
                    <a:ln>
                      <a:noFill/>
                    </a:ln>
                  </pic:spPr>
                </pic:pic>
              </a:graphicData>
            </a:graphic>
          </wp:inline>
        </w:drawing>
      </w:r>
    </w:p>
    <w:p w14:paraId="56BBF64D" w14:textId="6E66CEF0" w:rsidR="00C84882" w:rsidRPr="00C84882" w:rsidRDefault="00C84882" w:rsidP="00CA4B69">
      <w:pPr>
        <w:pStyle w:val="FigureCaption"/>
        <w:rPr>
          <w:noProof/>
        </w:rPr>
      </w:pPr>
      <w:r w:rsidRPr="002D6283">
        <w:rPr>
          <w:noProof/>
        </w:rPr>
        <w:t xml:space="preserve">Figure – </w:t>
      </w:r>
      <w:r>
        <w:rPr>
          <w:noProof/>
        </w:rPr>
        <w:t>12</w:t>
      </w:r>
      <w:r w:rsidRPr="002D6283">
        <w:rPr>
          <w:noProof/>
        </w:rPr>
        <w:t xml:space="preserve">  </w:t>
      </w:r>
      <w:r>
        <w:rPr>
          <w:noProof/>
        </w:rPr>
        <w:t>Robustness to Gaussian Noise</w:t>
      </w:r>
    </w:p>
    <w:p w14:paraId="37C87CDA" w14:textId="4062CBC6" w:rsidR="005E6156" w:rsidRDefault="005E6156" w:rsidP="00E706A0">
      <w:pPr>
        <w:spacing w:line="276" w:lineRule="auto"/>
        <w:jc w:val="center"/>
        <w:rPr>
          <w:szCs w:val="24"/>
        </w:rPr>
      </w:pPr>
      <w:r w:rsidRPr="00E706A0">
        <w:rPr>
          <w:noProof/>
          <w:szCs w:val="24"/>
        </w:rPr>
        <w:drawing>
          <wp:inline distT="0" distB="0" distL="0" distR="0" wp14:anchorId="1B67F712" wp14:editId="215CBDD6">
            <wp:extent cx="4529008" cy="3377565"/>
            <wp:effectExtent l="0" t="0" r="5080" b="0"/>
            <wp:docPr id="52785087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34057" cy="3381331"/>
                    </a:xfrm>
                    <a:prstGeom prst="rect">
                      <a:avLst/>
                    </a:prstGeom>
                    <a:noFill/>
                    <a:ln>
                      <a:noFill/>
                    </a:ln>
                  </pic:spPr>
                </pic:pic>
              </a:graphicData>
            </a:graphic>
          </wp:inline>
        </w:drawing>
      </w:r>
    </w:p>
    <w:p w14:paraId="4E0AD689" w14:textId="6E5C1AC0" w:rsidR="00C84882" w:rsidRPr="002D6283" w:rsidRDefault="00C84882" w:rsidP="00CA4B69">
      <w:pPr>
        <w:pStyle w:val="FigureCaption"/>
        <w:rPr>
          <w:noProof/>
        </w:rPr>
      </w:pPr>
      <w:r w:rsidRPr="002D6283">
        <w:rPr>
          <w:noProof/>
        </w:rPr>
        <w:t xml:space="preserve">Figure – </w:t>
      </w:r>
      <w:r>
        <w:rPr>
          <w:noProof/>
        </w:rPr>
        <w:t>13</w:t>
      </w:r>
      <w:r w:rsidRPr="002D6283">
        <w:rPr>
          <w:noProof/>
        </w:rPr>
        <w:t xml:space="preserve">  </w:t>
      </w:r>
      <w:r>
        <w:rPr>
          <w:noProof/>
        </w:rPr>
        <w:t>Robustness to Asymmetric Bias</w:t>
      </w:r>
    </w:p>
    <w:p w14:paraId="05B6BA04" w14:textId="77777777" w:rsidR="00C84882" w:rsidRPr="00E706A0" w:rsidRDefault="00C84882" w:rsidP="00E706A0">
      <w:pPr>
        <w:spacing w:line="276" w:lineRule="auto"/>
        <w:jc w:val="center"/>
        <w:rPr>
          <w:szCs w:val="24"/>
        </w:rPr>
      </w:pPr>
    </w:p>
    <w:p w14:paraId="4F63AADC" w14:textId="3D9EA119" w:rsidR="00A50D60" w:rsidRDefault="00503729" w:rsidP="00E706A0">
      <w:pPr>
        <w:spacing w:line="276" w:lineRule="auto"/>
        <w:jc w:val="center"/>
        <w:rPr>
          <w:szCs w:val="24"/>
        </w:rPr>
      </w:pPr>
      <w:r w:rsidRPr="00E706A0">
        <w:rPr>
          <w:noProof/>
          <w:szCs w:val="24"/>
        </w:rPr>
        <w:lastRenderedPageBreak/>
        <w:drawing>
          <wp:inline distT="0" distB="0" distL="0" distR="0" wp14:anchorId="681E20EA" wp14:editId="1B1386F6">
            <wp:extent cx="4023360" cy="3000471"/>
            <wp:effectExtent l="0" t="0" r="0" b="9525"/>
            <wp:docPr id="5012698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42655" cy="3014860"/>
                    </a:xfrm>
                    <a:prstGeom prst="rect">
                      <a:avLst/>
                    </a:prstGeom>
                    <a:noFill/>
                    <a:ln>
                      <a:noFill/>
                    </a:ln>
                  </pic:spPr>
                </pic:pic>
              </a:graphicData>
            </a:graphic>
          </wp:inline>
        </w:drawing>
      </w:r>
    </w:p>
    <w:p w14:paraId="66D0E250" w14:textId="0E5E2644" w:rsidR="00C84882" w:rsidRPr="002D6283" w:rsidRDefault="006D683D" w:rsidP="00CA4B69">
      <w:pPr>
        <w:pStyle w:val="FigureCaption"/>
        <w:rPr>
          <w:noProof/>
        </w:rPr>
      </w:pPr>
      <w:r>
        <w:rPr>
          <w:noProof/>
        </w:rPr>
        <w:t xml:space="preserve">         </w:t>
      </w:r>
      <w:r w:rsidR="00C84882" w:rsidRPr="002D6283">
        <w:rPr>
          <w:noProof/>
        </w:rPr>
        <w:t xml:space="preserve">Figure – </w:t>
      </w:r>
      <w:r w:rsidR="00C84882">
        <w:rPr>
          <w:noProof/>
        </w:rPr>
        <w:t>14</w:t>
      </w:r>
      <w:r w:rsidR="00C84882" w:rsidRPr="002D6283">
        <w:rPr>
          <w:noProof/>
        </w:rPr>
        <w:t xml:space="preserve">  </w:t>
      </w:r>
      <w:r w:rsidR="00C84882">
        <w:rPr>
          <w:noProof/>
        </w:rPr>
        <w:t>Robustness to Missingness</w:t>
      </w:r>
    </w:p>
    <w:p w14:paraId="29888DE5" w14:textId="4E635C02" w:rsidR="005C7AA1" w:rsidRPr="00E706A0" w:rsidRDefault="005C7AA1" w:rsidP="00CA4B69">
      <w:pPr>
        <w:pStyle w:val="Heading1"/>
      </w:pPr>
      <w:r w:rsidRPr="00E706A0">
        <w:t>Discussion</w:t>
      </w:r>
    </w:p>
    <w:p w14:paraId="76B8447C" w14:textId="77777777" w:rsidR="005C7AA1" w:rsidRPr="005C7AA1" w:rsidRDefault="005C7AA1" w:rsidP="00CA4B69">
      <w:pPr>
        <w:pStyle w:val="Paragraph"/>
      </w:pPr>
      <w:r w:rsidRPr="005C7AA1">
        <w:t>The present study demonstrates that the proposed GA-optimized Interval Type-2 Fuzzy Inference System (IT2-FIS) provides a meaningful advancement over both Type-1 FIS and conventional machine learning baselines in predictive accuracy, robustness to uncertainty, and uncertainty quantification. Across clean and stress-tested datasets, the IT2-FIS consistently exhibited statistically significant gains while retaining interpretability, thereby validating its suitability for outcome-based education (OBE) analytics.</w:t>
      </w:r>
    </w:p>
    <w:p w14:paraId="7D86EA38" w14:textId="4A944DDB" w:rsidR="00A03C1E" w:rsidRDefault="005C7AA1" w:rsidP="00CA4B69">
      <w:pPr>
        <w:pStyle w:val="Heading2"/>
      </w:pPr>
      <w:r w:rsidRPr="005C7AA1">
        <w:t>Predictive Accuracy and Model Efficiency</w:t>
      </w:r>
    </w:p>
    <w:p w14:paraId="16282F07" w14:textId="3BD4535D" w:rsidR="005C7AA1" w:rsidRPr="005C7AA1" w:rsidRDefault="005C7AA1" w:rsidP="00CA4B69">
      <w:pPr>
        <w:pStyle w:val="Paragraph"/>
      </w:pPr>
      <w:r w:rsidRPr="005C7AA1">
        <w:t>On clean test data, the GA-optimized IT2-FIS achieved the lowest RMSE (0.0325) and highest R² (0.962), outperforming the Type-1 GA-FIS baseline and neural models such as ANFIS and ANN. The magnitude of improvement (~7.8% RMSE reduction compared to Type-1 FIS) is particularly notable given that the model retained a parsimonious structure with only 42 active rules, compared to 67 in the Type-1 counterpart. This confirms that incorporating secondary grades of freedom through footprints of uncertainty (FOUs) allows the system to flexibly capture non-linearities and epistemic uncertainty without over-fitting. The trade-off between interpretability and accuracy, often highlighted in fuzzy modeling literature, was mitigated here by the GA optimization strategy, which produced semantically ordered membership functions and compact rule bases. These findings reinforce recent reports on the advantages of interval type-2 fuzzy systems in domains requiring balance between performance and transparency (Mendel &amp; John, 2022).</w:t>
      </w:r>
    </w:p>
    <w:p w14:paraId="08EE108C" w14:textId="6F7DD2EA" w:rsidR="00684DFA" w:rsidRDefault="005C7AA1" w:rsidP="00CA4B69">
      <w:pPr>
        <w:pStyle w:val="Heading2"/>
      </w:pPr>
      <w:r w:rsidRPr="005C7AA1">
        <w:t>Robustness Under Deep Uncertainty</w:t>
      </w:r>
    </w:p>
    <w:p w14:paraId="1EA0DB43" w14:textId="05BAF113" w:rsidR="005C7AA1" w:rsidRPr="00684DFA" w:rsidRDefault="005C7AA1" w:rsidP="00CA4B69">
      <w:pPr>
        <w:pStyle w:val="Paragraph"/>
        <w:rPr>
          <w:b/>
          <w:bCs/>
        </w:rPr>
      </w:pPr>
      <w:r w:rsidRPr="005C7AA1">
        <w:t>A central contribution of this work is the demonstration of IT2-FIS resilience under multiple uncertainty stressors, including noise injection, rater bias, label corruption, and missingness. Across all stress scenarios, error escalation for IT2-FIS was reduced by 30</w:t>
      </w:r>
      <w:r w:rsidR="00F81687">
        <w:t>-</w:t>
      </w:r>
      <w:r w:rsidRPr="005C7AA1">
        <w:t>45% relative to Type-1 systems. For example, under 10% Gaussian noise, the RMSE increment was limited to 8.9% for IT2-FIS compared to 17.2% for Type-1. Similarly, under asymmetric bias, IT2-FIS maintained stable prediction shifts (ΔRMSE &lt; 0.012), suggesting a structural robustness to systematic distortions. These results underscore the importance of interval uncertainty representation in real-world educational datasets, which are often plagued by incomplete or biased assessments. Unlike deterministic ANNs and ANFIS, which showed steeper degradation, the interval representation enabled smoother adaptation, aligning with prior theoretical predictions that IT2 models are better suited for environments with pervasive uncertainty (Coupland &amp; John, 2007).</w:t>
      </w:r>
    </w:p>
    <w:p w14:paraId="220198ED" w14:textId="32C94C7E" w:rsidR="00C34AB7" w:rsidRDefault="005C7AA1" w:rsidP="00CA4B69">
      <w:pPr>
        <w:pStyle w:val="Heading2"/>
      </w:pPr>
      <w:r w:rsidRPr="005C7AA1">
        <w:lastRenderedPageBreak/>
        <w:t>Uncertainty Quantification and Calibration</w:t>
      </w:r>
    </w:p>
    <w:p w14:paraId="1C086A44" w14:textId="1CA2A203" w:rsidR="005C7AA1" w:rsidRPr="005C7AA1" w:rsidRDefault="005C7AA1" w:rsidP="00CA4B69">
      <w:pPr>
        <w:pStyle w:val="Paragraph"/>
      </w:pPr>
      <w:r w:rsidRPr="005C7AA1">
        <w:t xml:space="preserve">The ability to generate calibrated prediction intervals represents a distinguishing feature of IT2-FIS. The empirical coverage of 91.4% for nominal 90% intervals </w:t>
      </w:r>
      <w:proofErr w:type="gramStart"/>
      <w:r w:rsidRPr="005C7AA1">
        <w:t>demonstrates</w:t>
      </w:r>
      <w:proofErr w:type="gramEnd"/>
      <w:r w:rsidRPr="005C7AA1">
        <w:t xml:space="preserve"> accurate uncertainty quantification, while maintaining narrow widths (0.072). The resulting Winker score (0.081) indicates a favorable trade-off between sharpness and reliability, addressing a gap left by Type-1 systems, which cannot provide interval outputs. Importantly, the reliability diagram showed close alignment between observed and nominal coverage, reflecting strong calibration</w:t>
      </w:r>
      <w:r w:rsidR="00F81687">
        <w:t xml:space="preserve"> </w:t>
      </w:r>
      <w:r w:rsidRPr="005C7AA1">
        <w:t>a quality increasingly emphasized in modern AI for educational decision support. By offering not just point predictions but also well-calibrated confidence intervals, the IT2-FIS enables educators and administrators to make informed judgments with explicit awareness of uncertainty margins.</w:t>
      </w:r>
    </w:p>
    <w:p w14:paraId="3F689464" w14:textId="46D06D62" w:rsidR="001D61CC" w:rsidRDefault="005C7AA1" w:rsidP="00CA4B69">
      <w:pPr>
        <w:pStyle w:val="Heading2"/>
      </w:pPr>
      <w:r w:rsidRPr="005C7AA1">
        <w:t>Interpretability and Computational Feasibility</w:t>
      </w:r>
    </w:p>
    <w:p w14:paraId="09E16CC7" w14:textId="3553FF06" w:rsidR="005C7AA1" w:rsidRPr="005C7AA1" w:rsidRDefault="005C7AA1" w:rsidP="00CA4B69">
      <w:pPr>
        <w:pStyle w:val="Paragraph"/>
      </w:pPr>
      <w:r w:rsidRPr="005C7AA1">
        <w:t>Interpretability remains a cornerstone of fuzzy systems in contrast to opaque neural models. The GA optimization achieved compact rule bases and preserved linguistic consistency in membership functions, ensuring human comprehensibility. Notably, despite the additional computational overhead introduced by Karnik</w:t>
      </w:r>
      <w:r w:rsidR="00F81687">
        <w:t xml:space="preserve"> </w:t>
      </w:r>
      <w:r w:rsidRPr="005C7AA1">
        <w:t>Mendel type</w:t>
      </w:r>
      <w:r w:rsidR="00F81687">
        <w:t xml:space="preserve"> </w:t>
      </w:r>
      <w:r w:rsidRPr="005C7AA1">
        <w:t xml:space="preserve">reduction, inference latency remained at 2.3 </w:t>
      </w:r>
      <w:proofErr w:type="spellStart"/>
      <w:r w:rsidRPr="005C7AA1">
        <w:t>ms</w:t>
      </w:r>
      <w:proofErr w:type="spellEnd"/>
      <w:r w:rsidRPr="005C7AA1">
        <w:t xml:space="preserve"> per sample</w:t>
      </w:r>
      <w:r w:rsidR="000A380C">
        <w:t xml:space="preserve"> </w:t>
      </w:r>
      <w:r w:rsidRPr="005C7AA1">
        <w:t>well within real-time thresholds for educational dashboards. Thus, the IT2-FIS balances interpretability, computational feasibility, and robustness, qualities that are often difficult to achieve simultaneously. NSGA-II optimization further enhanced compactness (38 rules) with only marginal differences in accuracy, highlighting the potential of multi</w:t>
      </w:r>
      <w:r w:rsidR="00F81687">
        <w:t xml:space="preserve"> </w:t>
      </w:r>
      <w:r w:rsidRPr="005C7AA1">
        <w:t>objective frameworks for tailoring the balance between accuracy, robustness, and interpretability.</w:t>
      </w:r>
    </w:p>
    <w:p w14:paraId="77CE2947" w14:textId="250A0607" w:rsidR="009B0910" w:rsidRDefault="005C7AA1" w:rsidP="00CA4B69">
      <w:pPr>
        <w:pStyle w:val="Heading2"/>
      </w:pPr>
      <w:r w:rsidRPr="005C7AA1">
        <w:t>Statistical Validation and Generalizability</w:t>
      </w:r>
    </w:p>
    <w:p w14:paraId="2816B901" w14:textId="57E861E4" w:rsidR="005C7AA1" w:rsidRDefault="005C7AA1" w:rsidP="00CA4B69">
      <w:pPr>
        <w:pStyle w:val="Paragraph"/>
      </w:pPr>
      <w:r w:rsidRPr="005C7AA1">
        <w:t>The Wilcoxon signed</w:t>
      </w:r>
      <w:r w:rsidR="00F06AC2">
        <w:t xml:space="preserve"> </w:t>
      </w:r>
      <w:r w:rsidRPr="005C7AA1">
        <w:t>rank tests confirmed the statistical significance of IT2-FIS improvements over the Type-1 baseline (p &lt; 0.01, medium effect sizes). Even differences between GA and NSGA-II optimization strategies, though smaller, were significant in uncertainty calibration metrics. Such rigorous validation ensures that reported improvements are not artifacts of sampling variability. However, as the dataset was domain-specific to OBE analytics, broader generalizability to other educational or decision-support contexts will require empirical confirmation.</w:t>
      </w:r>
    </w:p>
    <w:p w14:paraId="2BDB9AA6" w14:textId="6B67864B" w:rsidR="00B61D65" w:rsidRDefault="005C7AA1" w:rsidP="00CA4B69">
      <w:pPr>
        <w:pStyle w:val="Heading2"/>
      </w:pPr>
      <w:r w:rsidRPr="005C7AA1">
        <w:t>Practical Implications and Future Work</w:t>
      </w:r>
    </w:p>
    <w:p w14:paraId="557F44B9" w14:textId="0C0230E4" w:rsidR="005C7AA1" w:rsidRPr="00B61D65" w:rsidRDefault="005C7AA1" w:rsidP="00CA4B69">
      <w:pPr>
        <w:pStyle w:val="Paragraph"/>
        <w:rPr>
          <w:b/>
          <w:bCs/>
        </w:rPr>
      </w:pPr>
      <w:r w:rsidRPr="005C7AA1">
        <w:t>From an applied perspective, these findings have immediate implications for the design of educational analytics platforms. The ability to deliver both accurate and uncertainty</w:t>
      </w:r>
      <w:r w:rsidR="00F06AC2">
        <w:t xml:space="preserve"> </w:t>
      </w:r>
      <w:r w:rsidRPr="005C7AA1">
        <w:t>aware predictions enhances trust and usability for instructors and policymakers. The compactness of the rule base supports integration into dashboards that require transparency for non-technical users. Future work should extend validation across larger and more heterogeneous datasets, integrate domain</w:t>
      </w:r>
      <w:r w:rsidR="00F06AC2">
        <w:t xml:space="preserve"> </w:t>
      </w:r>
      <w:r w:rsidRPr="005C7AA1">
        <w:t>expert feedback for rule interpretability, and explore hybridizations with deep learning to further improve scalability. Moreover, while computational efficiency was adequate for current scenarios, real</w:t>
      </w:r>
      <w:r w:rsidR="00F06AC2">
        <w:t xml:space="preserve"> </w:t>
      </w:r>
      <w:r w:rsidRPr="005C7AA1">
        <w:t>time deployment at scale may benefit from approximate or hardware</w:t>
      </w:r>
      <w:r w:rsidR="00F06AC2">
        <w:t xml:space="preserve"> </w:t>
      </w:r>
      <w:r w:rsidRPr="005C7AA1">
        <w:t>accelerated type</w:t>
      </w:r>
      <w:r w:rsidR="00F06AC2">
        <w:t xml:space="preserve"> </w:t>
      </w:r>
      <w:r w:rsidRPr="005C7AA1">
        <w:t>reduction methods.</w:t>
      </w:r>
    </w:p>
    <w:p w14:paraId="69F1AEB9" w14:textId="5C3AC281" w:rsidR="005C7AA1" w:rsidRPr="005C7AA1" w:rsidRDefault="005C7AA1" w:rsidP="00CA4B69">
      <w:pPr>
        <w:pStyle w:val="Heading1"/>
      </w:pPr>
      <w:r w:rsidRPr="005C7AA1">
        <w:t>Conclusion</w:t>
      </w:r>
    </w:p>
    <w:p w14:paraId="77C8D40F" w14:textId="490D3119" w:rsidR="005C7AA1" w:rsidRPr="005C7AA1" w:rsidRDefault="005C7AA1" w:rsidP="00CA4B69">
      <w:pPr>
        <w:pStyle w:val="Paragraph"/>
      </w:pPr>
      <w:r w:rsidRPr="005C7AA1">
        <w:t>This study introduced a Genetic Algorithm</w:t>
      </w:r>
      <w:r w:rsidR="00F06AC2">
        <w:t xml:space="preserve"> </w:t>
      </w:r>
      <w:r w:rsidRPr="005C7AA1">
        <w:t>optimized Interval Type-2 Fuzzy Inference System (GA-IT2 FIS) for predictive analytics in outcome-based education (OBE). The results demonstrate that the proposed approach offers a significant advancement over Type-1 fuzzy systems and conventional machine learning baselines across multiple dimensions: predictive accuracy, robustness under uncertainty, uncertainty quantification, interpretability, and computational feasibility.</w:t>
      </w:r>
    </w:p>
    <w:p w14:paraId="6E7C3005" w14:textId="0D52EBCA" w:rsidR="005C7AA1" w:rsidRPr="005C7AA1" w:rsidRDefault="005C7AA1" w:rsidP="00CA4B69">
      <w:pPr>
        <w:pStyle w:val="Paragraph"/>
      </w:pPr>
      <w:r w:rsidRPr="005C7AA1">
        <w:t>First, in terms of predictive performance, the GA-IT2 FIS achieved superior accuracy (RMSE = 0.0325, R² = 0.962), consistently outperforming both the Type-1 GA-FIS and neural benchmarks such as ANFIS and ANN. Importantly, this improvement was achieved with a more compact rule base (42 active rules), highlighting the method’s parsimony and its ability to avoid over</w:t>
      </w:r>
      <w:r w:rsidR="00F06AC2">
        <w:t xml:space="preserve"> </w:t>
      </w:r>
      <w:r w:rsidRPr="005C7AA1">
        <w:t>complex models.</w:t>
      </w:r>
    </w:p>
    <w:p w14:paraId="2D4B114D" w14:textId="41C3AC46" w:rsidR="005C7AA1" w:rsidRPr="005C7AA1" w:rsidRDefault="005C7AA1" w:rsidP="00CA4B69">
      <w:pPr>
        <w:pStyle w:val="Paragraph"/>
      </w:pPr>
      <w:r w:rsidRPr="005C7AA1">
        <w:t xml:space="preserve">Second, robustness analyses confirmed that IT2 FIS systems offer substantially greater resilience to uncertainty stressors, including Gaussian noise, rater bias, label corruption, and missingness. Across these conditions, IT2 models </w:t>
      </w:r>
      <w:r w:rsidRPr="005C7AA1">
        <w:lastRenderedPageBreak/>
        <w:t>reduced error escalation by 30</w:t>
      </w:r>
      <w:r w:rsidR="00F06AC2">
        <w:t xml:space="preserve"> - </w:t>
      </w:r>
      <w:r w:rsidRPr="005C7AA1">
        <w:t>45% relative to Type-1 systems. This property is critical in real</w:t>
      </w:r>
      <w:r w:rsidR="00F06AC2">
        <w:t xml:space="preserve"> </w:t>
      </w:r>
      <w:r w:rsidRPr="005C7AA1">
        <w:t>world OBE datasets, where variability and bias are pervasive.</w:t>
      </w:r>
    </w:p>
    <w:p w14:paraId="33E37696" w14:textId="561F8F7B" w:rsidR="005C7AA1" w:rsidRPr="005C7AA1" w:rsidRDefault="005C7AA1" w:rsidP="00CA4B69">
      <w:pPr>
        <w:pStyle w:val="Paragraph"/>
      </w:pPr>
      <w:r w:rsidRPr="005C7AA1">
        <w:t>Third, the IT2 FIS demonstrated the ability to generate well</w:t>
      </w:r>
      <w:r w:rsidR="00F06AC2">
        <w:t xml:space="preserve"> </w:t>
      </w:r>
      <w:r w:rsidRPr="005C7AA1">
        <w:t>calibrated interval predictions. The empirical coverage of 91.4% for 90% nominal intervals, combined with narrow interval widths and favorable Winkler scores, establishes its value as a trustworthy uncertainty-aware decision support tool. This feature directly addresses a key limitation of Type-1 and neural systems, which cannot quantify predictive uncertainty in an interpretable way.</w:t>
      </w:r>
    </w:p>
    <w:p w14:paraId="38493A80" w14:textId="409CBDB2" w:rsidR="005C7AA1" w:rsidRPr="005C7AA1" w:rsidRDefault="005C7AA1" w:rsidP="00CA4B69">
      <w:pPr>
        <w:pStyle w:val="Paragraph"/>
      </w:pPr>
      <w:r w:rsidRPr="005C7AA1">
        <w:t xml:space="preserve">Fourth, interpretability and computational feasibility were preserved. Despite requiring slightly higher training times due to type-reduction, inference latency (2.3 </w:t>
      </w:r>
      <w:proofErr w:type="spellStart"/>
      <w:r w:rsidRPr="005C7AA1">
        <w:t>ms</w:t>
      </w:r>
      <w:proofErr w:type="spellEnd"/>
      <w:r w:rsidRPr="005C7AA1">
        <w:t xml:space="preserve"> per sample) remained well within real</w:t>
      </w:r>
      <w:r w:rsidR="00F06AC2">
        <w:t xml:space="preserve"> </w:t>
      </w:r>
      <w:r w:rsidRPr="005C7AA1">
        <w:t>time thresholds. The rule base retained linguistic meaning and compactness, ensuring transparency for educators and policymakers</w:t>
      </w:r>
      <w:r w:rsidR="00F06AC2">
        <w:t xml:space="preserve"> </w:t>
      </w:r>
      <w:r w:rsidRPr="005C7AA1">
        <w:t>a requirement often overlooked by purely data-driven models.</w:t>
      </w:r>
    </w:p>
    <w:p w14:paraId="6C560A74" w14:textId="77777777" w:rsidR="005C7AA1" w:rsidRPr="005C7AA1" w:rsidRDefault="005C7AA1" w:rsidP="00CA4B69">
      <w:pPr>
        <w:pStyle w:val="Paragraph"/>
      </w:pPr>
      <w:r w:rsidRPr="005C7AA1">
        <w:t>Collectively, these findings validate the integration of interval type-2 fuzzy logic with evolutionary optimization as a powerful methodology for educational analytics. The balance achieved between accuracy, robustness, interpretability, and computational efficiency positions the GA-IT2 FIS as a credible candidate for deployment in real-world OBE dashboards and decision-support systems.</w:t>
      </w:r>
    </w:p>
    <w:p w14:paraId="34B13CF9" w14:textId="061D4658" w:rsidR="00C84882" w:rsidRDefault="005C7AA1" w:rsidP="00CA4B69">
      <w:pPr>
        <w:pStyle w:val="Heading2"/>
      </w:pPr>
      <w:r w:rsidRPr="005C7AA1">
        <w:t>Future Directions</w:t>
      </w:r>
    </w:p>
    <w:p w14:paraId="7E7AC582" w14:textId="23834812" w:rsidR="005C7AA1" w:rsidRDefault="005C7AA1" w:rsidP="00CA4B69">
      <w:pPr>
        <w:pStyle w:val="Paragraph"/>
      </w:pPr>
      <w:r w:rsidRPr="005C7AA1">
        <w:t>While this work provides strong evidence of the benefits of GA-IT2 FIS, several avenues merit exploration. First, larger and more diverse educational datasets should be employed to confirm generalizability across institutions and contexts. Second, hybrid frameworks that integrate IT2 fuzzy logic with deep learning could further enhance scalability and adaptability without sacrificing interpretability. Third, approximate or hardware-accelerated type-reduction strategies may improve efficiency for large-scale real-time deployment. Finally, participatory studies with educators and stakeholders should be conducted to refine rule interpretability and ensure practical acceptance.</w:t>
      </w:r>
      <w:r w:rsidR="00C91E57">
        <w:t xml:space="preserve"> </w:t>
      </w:r>
      <w:r w:rsidRPr="005C7AA1">
        <w:t>In conclusion, the proposed GA-IT2 FIS not only advances the state of fuzzy systems in predictive modeling but also establishes a robust, uncertainty-aware, and interpretable framework for educational decision support</w:t>
      </w:r>
      <w:r w:rsidR="00C91E57">
        <w:t xml:space="preserve"> </w:t>
      </w:r>
      <w:r w:rsidRPr="005C7AA1">
        <w:t>bridging the gap between algorithmic sophistication and practical usability in outcome-based learning environments.</w:t>
      </w:r>
    </w:p>
    <w:p w14:paraId="04E02885" w14:textId="7A3571FF" w:rsidR="00A50D60" w:rsidRPr="008A3D0F" w:rsidRDefault="008A3D0F" w:rsidP="00CA4B69">
      <w:pPr>
        <w:pStyle w:val="Heading1"/>
      </w:pPr>
      <w:r w:rsidRPr="008A3D0F">
        <w:t>References</w:t>
      </w:r>
    </w:p>
    <w:p w14:paraId="7D082EEA" w14:textId="5F33D687" w:rsidR="008A3D0F" w:rsidRPr="008A3D0F" w:rsidRDefault="008A3D0F" w:rsidP="00CA4B69">
      <w:pPr>
        <w:pStyle w:val="Reference"/>
      </w:pPr>
      <w:r w:rsidRPr="008A3D0F">
        <w:t xml:space="preserve">Agha, D., </w:t>
      </w:r>
      <w:proofErr w:type="spellStart"/>
      <w:r w:rsidRPr="008A3D0F">
        <w:t>Meghji</w:t>
      </w:r>
      <w:proofErr w:type="spellEnd"/>
      <w:r w:rsidRPr="008A3D0F">
        <w:t xml:space="preserve">, A., Bhatti, S., &amp; Memon, M. (2023). Educational data mining in outcome-based education: An analysis of predictive models for program learning outcome attainment. </w:t>
      </w:r>
      <w:r w:rsidRPr="008A3D0F">
        <w:rPr>
          <w:i/>
          <w:iCs/>
        </w:rPr>
        <w:t>VAWKUM Transactions on Computer Sciences, 11</w:t>
      </w:r>
      <w:r w:rsidRPr="008A3D0F">
        <w:t xml:space="preserve">(2). </w:t>
      </w:r>
      <w:hyperlink r:id="rId24" w:tgtFrame="_new" w:history="1">
        <w:r w:rsidRPr="008A3D0F">
          <w:rPr>
            <w:rStyle w:val="Hyperlink"/>
            <w:szCs w:val="24"/>
          </w:rPr>
          <w:t>https://doi.org/10.21015/vtcs.v11i2.1706</w:t>
        </w:r>
      </w:hyperlink>
    </w:p>
    <w:p w14:paraId="3DFCB8F9" w14:textId="34059C48" w:rsidR="008A3D0F" w:rsidRPr="008A3D0F" w:rsidRDefault="008A3D0F" w:rsidP="00CA4B69">
      <w:pPr>
        <w:pStyle w:val="Reference"/>
      </w:pPr>
      <w:r w:rsidRPr="008A3D0F">
        <w:t xml:space="preserve">Beke, A., &amp; </w:t>
      </w:r>
      <w:proofErr w:type="spellStart"/>
      <w:r w:rsidRPr="008A3D0F">
        <w:t>Kumbasar</w:t>
      </w:r>
      <w:proofErr w:type="spellEnd"/>
      <w:r w:rsidRPr="008A3D0F">
        <w:t xml:space="preserve">, T. (2023). More than accuracy: A composite learning framework for interval type-2 fuzzy logic systems. </w:t>
      </w:r>
      <w:r w:rsidRPr="008A3D0F">
        <w:rPr>
          <w:i/>
          <w:iCs/>
        </w:rPr>
        <w:t>IEEE Transactions on Fuzzy Systems, 31</w:t>
      </w:r>
      <w:r w:rsidRPr="008A3D0F">
        <w:t xml:space="preserve">(4), 734–744. </w:t>
      </w:r>
      <w:hyperlink r:id="rId25" w:tgtFrame="_new" w:history="1">
        <w:r w:rsidRPr="008A3D0F">
          <w:rPr>
            <w:rStyle w:val="Hyperlink"/>
            <w:szCs w:val="24"/>
          </w:rPr>
          <w:t>https://doi.org/10.1109/TFUZZ.2022.3188920</w:t>
        </w:r>
      </w:hyperlink>
    </w:p>
    <w:p w14:paraId="23510CF0" w14:textId="364C5573" w:rsidR="008A3D0F" w:rsidRPr="008A3D0F" w:rsidRDefault="008A3D0F" w:rsidP="00CA4B69">
      <w:pPr>
        <w:pStyle w:val="Reference"/>
      </w:pPr>
      <w:r w:rsidRPr="008A3D0F">
        <w:t xml:space="preserve"> Blumenstein, M. (2020). Synergies of Learning Analytics and Learning Design: A Systematic Review of Student Outcomes. </w:t>
      </w:r>
      <w:r w:rsidRPr="008A3D0F">
        <w:rPr>
          <w:i/>
          <w:iCs/>
        </w:rPr>
        <w:t>J. Learn. Anal., 7</w:t>
      </w:r>
      <w:r w:rsidRPr="008A3D0F">
        <w:t xml:space="preserve">, 13–32. </w:t>
      </w:r>
      <w:hyperlink r:id="rId26" w:tgtFrame="_new" w:history="1">
        <w:r w:rsidRPr="008A3D0F">
          <w:rPr>
            <w:rStyle w:val="Hyperlink"/>
            <w:szCs w:val="24"/>
          </w:rPr>
          <w:t>https://doi.org/10.18608/jla.2020.73.3</w:t>
        </w:r>
      </w:hyperlink>
    </w:p>
    <w:p w14:paraId="776A1CEA" w14:textId="5DE9DD7D" w:rsidR="008A3D0F" w:rsidRPr="008A3D0F" w:rsidRDefault="008A3D0F" w:rsidP="00CA4B69">
      <w:pPr>
        <w:pStyle w:val="Reference"/>
      </w:pPr>
      <w:r w:rsidRPr="008A3D0F">
        <w:t xml:space="preserve">Chen, Y. (2024). Design and application of interval type-2 fuzzy neural network systems optimized with hybrid algorithms. </w:t>
      </w:r>
      <w:r w:rsidRPr="008A3D0F">
        <w:rPr>
          <w:i/>
          <w:iCs/>
        </w:rPr>
        <w:t>Information Sciences, 689</w:t>
      </w:r>
      <w:r w:rsidRPr="008A3D0F">
        <w:t xml:space="preserve">, 121492. </w:t>
      </w:r>
      <w:hyperlink r:id="rId27" w:tgtFrame="_new" w:history="1">
        <w:r w:rsidRPr="008A3D0F">
          <w:rPr>
            <w:rStyle w:val="Hyperlink"/>
            <w:szCs w:val="24"/>
          </w:rPr>
          <w:t>https://doi.org/10.1016/j.ins.2024.121492</w:t>
        </w:r>
      </w:hyperlink>
    </w:p>
    <w:p w14:paraId="3CE43305" w14:textId="5C4A9316" w:rsidR="008A3D0F" w:rsidRPr="008A3D0F" w:rsidRDefault="008A3D0F" w:rsidP="00CA4B69">
      <w:pPr>
        <w:pStyle w:val="Reference"/>
      </w:pPr>
      <w:r w:rsidRPr="008A3D0F">
        <w:t xml:space="preserve">Farhood, H., Joudah, I., Beheshti, A., &amp; Müller, S. (2024). Evaluating and enhancing artificial intelligence models for predicting student learning outcomes. </w:t>
      </w:r>
      <w:r w:rsidRPr="008A3D0F">
        <w:rPr>
          <w:i/>
          <w:iCs/>
        </w:rPr>
        <w:t>Informatics, 11</w:t>
      </w:r>
      <w:r w:rsidRPr="008A3D0F">
        <w:t xml:space="preserve">(3), 46. </w:t>
      </w:r>
      <w:hyperlink r:id="rId28" w:tgtFrame="_new" w:history="1">
        <w:r w:rsidRPr="008A3D0F">
          <w:rPr>
            <w:rStyle w:val="Hyperlink"/>
            <w:szCs w:val="24"/>
          </w:rPr>
          <w:t>https://doi.org/10.3390/informatics11030046</w:t>
        </w:r>
      </w:hyperlink>
    </w:p>
    <w:p w14:paraId="198623F4" w14:textId="79F6FAAD" w:rsidR="008A3D0F" w:rsidRPr="008A3D0F" w:rsidRDefault="008A3D0F" w:rsidP="00CA4B69">
      <w:pPr>
        <w:pStyle w:val="Reference"/>
      </w:pPr>
      <w:r w:rsidRPr="008A3D0F">
        <w:t xml:space="preserve">Gao, T., Wang, C., Zheng, J., Wu, G., Ning, X., Bai, X., Yang, J., &amp; Wang, J. (2023). A smoothing Group Lasso based interval type-2 fuzzy neural network for simultaneous feature selection and system identification. </w:t>
      </w:r>
      <w:r w:rsidRPr="008A3D0F">
        <w:rPr>
          <w:i/>
          <w:iCs/>
        </w:rPr>
        <w:t>Knowledge-Based Systems, 280</w:t>
      </w:r>
      <w:r w:rsidRPr="008A3D0F">
        <w:t xml:space="preserve">, 111028. </w:t>
      </w:r>
      <w:hyperlink r:id="rId29" w:tgtFrame="_new" w:history="1">
        <w:r w:rsidRPr="008A3D0F">
          <w:rPr>
            <w:rStyle w:val="Hyperlink"/>
            <w:szCs w:val="24"/>
          </w:rPr>
          <w:t>https://doi.org/10.1016/j.knosys.2023.111028</w:t>
        </w:r>
      </w:hyperlink>
    </w:p>
    <w:p w14:paraId="4A1E1903" w14:textId="615041D8" w:rsidR="008A3D0F" w:rsidRPr="008A3D0F" w:rsidRDefault="008A3D0F" w:rsidP="00CA4B69">
      <w:pPr>
        <w:pStyle w:val="Reference"/>
      </w:pPr>
      <w:r w:rsidRPr="008A3D0F">
        <w:t xml:space="preserve">Imran, M., Latif, S., Mehmood, D., &amp; Shah, M. (2019). Student academic performance prediction using supervised learning techniques. </w:t>
      </w:r>
      <w:r w:rsidRPr="008A3D0F">
        <w:rPr>
          <w:i/>
          <w:iCs/>
        </w:rPr>
        <w:t>International Journal of Emerging Technologies in Learning, 14</w:t>
      </w:r>
      <w:r w:rsidRPr="008A3D0F">
        <w:t xml:space="preserve">(14), 92–104. </w:t>
      </w:r>
      <w:hyperlink r:id="rId30" w:tgtFrame="_new" w:history="1">
        <w:r w:rsidRPr="008A3D0F">
          <w:rPr>
            <w:rStyle w:val="Hyperlink"/>
            <w:szCs w:val="24"/>
          </w:rPr>
          <w:t>https://doi.org/10.3991/ijet.v14i14.10310</w:t>
        </w:r>
      </w:hyperlink>
    </w:p>
    <w:p w14:paraId="7FB26BF7" w14:textId="7DC38BB1" w:rsidR="008A3D0F" w:rsidRPr="008A3D0F" w:rsidRDefault="008A3D0F" w:rsidP="00CA4B69">
      <w:pPr>
        <w:pStyle w:val="Reference"/>
      </w:pPr>
      <w:proofErr w:type="spellStart"/>
      <w:r w:rsidRPr="008A3D0F">
        <w:t>Köklü</w:t>
      </w:r>
      <w:proofErr w:type="spellEnd"/>
      <w:r w:rsidRPr="008A3D0F">
        <w:t xml:space="preserve">, A., Güven, Y., &amp; </w:t>
      </w:r>
      <w:proofErr w:type="spellStart"/>
      <w:r w:rsidRPr="008A3D0F">
        <w:t>Kumbasar</w:t>
      </w:r>
      <w:proofErr w:type="spellEnd"/>
      <w:r w:rsidRPr="008A3D0F">
        <w:t xml:space="preserve">, T. (2025). Odyssey of Interval Type-2 Fuzzy Logic Systems: Learning Strategies for Uncertainty Quantification. </w:t>
      </w:r>
      <w:r w:rsidRPr="008A3D0F">
        <w:rPr>
          <w:i/>
          <w:iCs/>
        </w:rPr>
        <w:t>IEEE Transactions on Fuzzy Systems, 33</w:t>
      </w:r>
      <w:r w:rsidRPr="008A3D0F">
        <w:t xml:space="preserve">, 468–478. </w:t>
      </w:r>
      <w:hyperlink r:id="rId31" w:tgtFrame="_new" w:history="1">
        <w:r w:rsidRPr="008A3D0F">
          <w:rPr>
            <w:rStyle w:val="Hyperlink"/>
            <w:szCs w:val="24"/>
          </w:rPr>
          <w:t>https://doi.org/10.1109/TFUZZ.2024.3482393</w:t>
        </w:r>
      </w:hyperlink>
    </w:p>
    <w:p w14:paraId="7AE4E7CD" w14:textId="1B915AC2" w:rsidR="008A3D0F" w:rsidRPr="008A3D0F" w:rsidRDefault="008A3D0F" w:rsidP="00CA4B69">
      <w:pPr>
        <w:pStyle w:val="Reference"/>
      </w:pPr>
      <w:r w:rsidRPr="008A3D0F">
        <w:t xml:space="preserve">Li, H., Wu, C., Shi, P., &amp; Gao, Y. (2015). Control of nonlinear networked systems with packet dropouts: Interval type-2 fuzzy model-based approach. </w:t>
      </w:r>
      <w:r w:rsidRPr="008A3D0F">
        <w:rPr>
          <w:i/>
          <w:iCs/>
        </w:rPr>
        <w:t>IEEE Transactions on Cybernetics, 45</w:t>
      </w:r>
      <w:r w:rsidRPr="008A3D0F">
        <w:t xml:space="preserve">(11), 2378–2389. </w:t>
      </w:r>
      <w:hyperlink r:id="rId32" w:tgtFrame="_new" w:history="1">
        <w:r w:rsidRPr="008A3D0F">
          <w:rPr>
            <w:rStyle w:val="Hyperlink"/>
            <w:szCs w:val="24"/>
          </w:rPr>
          <w:t>https://doi.org/10.1109/TCYB.2014.2371814</w:t>
        </w:r>
      </w:hyperlink>
    </w:p>
    <w:p w14:paraId="3A9D9417" w14:textId="39574CBF" w:rsidR="008A3D0F" w:rsidRPr="008A3D0F" w:rsidRDefault="008A3D0F" w:rsidP="00CA4B69">
      <w:pPr>
        <w:pStyle w:val="Reference"/>
      </w:pPr>
      <w:r w:rsidRPr="008A3D0F">
        <w:lastRenderedPageBreak/>
        <w:t xml:space="preserve">Lin, Y., Liao, S., Chang, J., &amp; Lin, C. (2014). Simplified interval type-2 fuzzy neural networks. </w:t>
      </w:r>
      <w:r w:rsidRPr="008A3D0F">
        <w:rPr>
          <w:i/>
          <w:iCs/>
        </w:rPr>
        <w:t>IEEE Transactions on Neural Networks and Learning Systems, 25</w:t>
      </w:r>
      <w:r w:rsidRPr="008A3D0F">
        <w:t xml:space="preserve">(5), 959–969. </w:t>
      </w:r>
      <w:hyperlink r:id="rId33" w:tgtFrame="_new" w:history="1">
        <w:r w:rsidRPr="008A3D0F">
          <w:rPr>
            <w:rStyle w:val="Hyperlink"/>
            <w:szCs w:val="24"/>
          </w:rPr>
          <w:t>https://doi.org/10.1109/TNNLS.2013.2284603</w:t>
        </w:r>
      </w:hyperlink>
    </w:p>
    <w:p w14:paraId="4A47107E" w14:textId="59F9B6C6" w:rsidR="008A3D0F" w:rsidRPr="008A3D0F" w:rsidRDefault="008A3D0F" w:rsidP="00CA4B69">
      <w:pPr>
        <w:pStyle w:val="Reference"/>
      </w:pPr>
      <w:r w:rsidRPr="008A3D0F">
        <w:t xml:space="preserve">Liz-Domínguez, M., Caeiro-Rodríguez, M., Llamas-Nistal, M., &amp; </w:t>
      </w:r>
      <w:proofErr w:type="spellStart"/>
      <w:r w:rsidRPr="008A3D0F">
        <w:t>Mikic</w:t>
      </w:r>
      <w:proofErr w:type="spellEnd"/>
      <w:r w:rsidRPr="008A3D0F">
        <w:t xml:space="preserve">-Fonte, F. (2019). Systematic literature review of predictive analysis tools in higher education. </w:t>
      </w:r>
      <w:r w:rsidRPr="008A3D0F">
        <w:rPr>
          <w:i/>
          <w:iCs/>
        </w:rPr>
        <w:t>Applied Sciences, 9</w:t>
      </w:r>
      <w:r w:rsidRPr="008A3D0F">
        <w:t xml:space="preserve">(24), 5569. </w:t>
      </w:r>
      <w:hyperlink r:id="rId34" w:tgtFrame="_new" w:history="1">
        <w:r w:rsidRPr="008A3D0F">
          <w:rPr>
            <w:rStyle w:val="Hyperlink"/>
            <w:szCs w:val="24"/>
          </w:rPr>
          <w:t>https://doi.org/10.3390/app9245569</w:t>
        </w:r>
      </w:hyperlink>
    </w:p>
    <w:p w14:paraId="23509F52" w14:textId="7208D94E" w:rsidR="008A3D0F" w:rsidRPr="008A3D0F" w:rsidRDefault="008A3D0F" w:rsidP="00CA4B69">
      <w:pPr>
        <w:pStyle w:val="Reference"/>
      </w:pPr>
      <w:r w:rsidRPr="008A3D0F">
        <w:t xml:space="preserve">Mazandarani, M., &amp; Xiu, L. (2021). Interval type-2 fractional fuzzy inference systems: Towards an evolution in fuzzy inference systems. </w:t>
      </w:r>
      <w:r w:rsidRPr="008A3D0F">
        <w:rPr>
          <w:i/>
          <w:iCs/>
        </w:rPr>
        <w:t>Expert Systems with Applications, 189</w:t>
      </w:r>
      <w:r w:rsidRPr="008A3D0F">
        <w:t xml:space="preserve">, 115947. </w:t>
      </w:r>
      <w:hyperlink r:id="rId35" w:tgtFrame="_new" w:history="1">
        <w:r w:rsidRPr="008A3D0F">
          <w:rPr>
            <w:rStyle w:val="Hyperlink"/>
            <w:szCs w:val="24"/>
          </w:rPr>
          <w:t>https://doi.org/10.1016/j.eswa.2021.115947</w:t>
        </w:r>
      </w:hyperlink>
    </w:p>
    <w:p w14:paraId="66FCD5B1" w14:textId="49FDF7EE" w:rsidR="008A3D0F" w:rsidRPr="008A3D0F" w:rsidRDefault="008A3D0F" w:rsidP="00CA4B69">
      <w:pPr>
        <w:pStyle w:val="Reference"/>
      </w:pPr>
      <w:r w:rsidRPr="008A3D0F">
        <w:t xml:space="preserve">Melin, P., &amp; Sánchez, D. (2018). Optimization of type-1, interval type-2 and general type-2 fuzzy inference systems using a hierarchical genetic algorithm for modular granular neural networks. </w:t>
      </w:r>
      <w:r w:rsidRPr="008A3D0F">
        <w:rPr>
          <w:i/>
          <w:iCs/>
        </w:rPr>
        <w:t>Granular Computing, 4</w:t>
      </w:r>
      <w:r w:rsidRPr="008A3D0F">
        <w:t xml:space="preserve">(2), 211–236. </w:t>
      </w:r>
      <w:hyperlink r:id="rId36" w:tgtFrame="_new" w:history="1">
        <w:r w:rsidRPr="008A3D0F">
          <w:rPr>
            <w:rStyle w:val="Hyperlink"/>
            <w:szCs w:val="24"/>
          </w:rPr>
          <w:t>https://doi.org/10.1007/s41066-018-0133-2</w:t>
        </w:r>
      </w:hyperlink>
    </w:p>
    <w:p w14:paraId="0C9EDD64" w14:textId="1D396ACD" w:rsidR="008A3D0F" w:rsidRPr="008A3D0F" w:rsidRDefault="008A3D0F" w:rsidP="00CA4B69">
      <w:pPr>
        <w:pStyle w:val="Reference"/>
      </w:pPr>
      <w:r w:rsidRPr="008A3D0F">
        <w:t xml:space="preserve">Moreno, J., Sanchez, M., Mendoza, O., Díaz, A., Castillo, O., Melin, P., &amp; Castro, J. (2020). Design of an interval type-2 fuzzy model with justifiable uncertainty. </w:t>
      </w:r>
      <w:r w:rsidRPr="008A3D0F">
        <w:rPr>
          <w:i/>
          <w:iCs/>
        </w:rPr>
        <w:t>Information Sciences, 513</w:t>
      </w:r>
      <w:r w:rsidRPr="008A3D0F">
        <w:t xml:space="preserve">, 206–221. </w:t>
      </w:r>
      <w:hyperlink r:id="rId37" w:tgtFrame="_new" w:history="1">
        <w:r w:rsidRPr="008A3D0F">
          <w:rPr>
            <w:rStyle w:val="Hyperlink"/>
            <w:szCs w:val="24"/>
          </w:rPr>
          <w:t>https://doi.org/10.1016/j.ins.2019.10.042</w:t>
        </w:r>
      </w:hyperlink>
    </w:p>
    <w:p w14:paraId="45A002FE" w14:textId="654909F7" w:rsidR="008A3D0F" w:rsidRPr="008A3D0F" w:rsidRDefault="008A3D0F" w:rsidP="00CA4B69">
      <w:pPr>
        <w:pStyle w:val="Reference"/>
      </w:pPr>
      <w:r w:rsidRPr="008A3D0F">
        <w:t xml:space="preserve">Musso, M., </w:t>
      </w:r>
      <w:proofErr w:type="spellStart"/>
      <w:r w:rsidRPr="008A3D0F">
        <w:t>Cascallar</w:t>
      </w:r>
      <w:proofErr w:type="spellEnd"/>
      <w:r w:rsidRPr="008A3D0F">
        <w:t xml:space="preserve">, E., Bostani, N., &amp; Crawford, M. (2020). Identifying reliable predictors of educational outcomes through machine-learning predictive modeling. </w:t>
      </w:r>
      <w:r w:rsidRPr="008A3D0F">
        <w:rPr>
          <w:i/>
          <w:iCs/>
        </w:rPr>
        <w:t>Frontiers in Education, 5</w:t>
      </w:r>
      <w:r w:rsidRPr="008A3D0F">
        <w:t xml:space="preserve">, 104. </w:t>
      </w:r>
      <w:hyperlink r:id="rId38" w:tgtFrame="_new" w:history="1">
        <w:r w:rsidRPr="008A3D0F">
          <w:rPr>
            <w:rStyle w:val="Hyperlink"/>
            <w:szCs w:val="24"/>
          </w:rPr>
          <w:t>https://doi.org/10.3389/feduc.2020.00104</w:t>
        </w:r>
      </w:hyperlink>
    </w:p>
    <w:p w14:paraId="269FB6EC" w14:textId="4F78A9F5" w:rsidR="008A3D0F" w:rsidRPr="008A3D0F" w:rsidRDefault="008A3D0F" w:rsidP="00CA4B69">
      <w:pPr>
        <w:pStyle w:val="Reference"/>
      </w:pPr>
      <w:r w:rsidRPr="008A3D0F">
        <w:t xml:space="preserve">Navarro-Almanza, R., Sanchez, M., Castro, J., Mendoza, O., &amp; Sandoval, G. (2021). Interpretable Mamdani neuro-fuzzy model through context awareness and linguistic adaptation. </w:t>
      </w:r>
      <w:r w:rsidRPr="008A3D0F">
        <w:rPr>
          <w:i/>
          <w:iCs/>
        </w:rPr>
        <w:t>Expert Systems with Applications, 189</w:t>
      </w:r>
      <w:r w:rsidRPr="008A3D0F">
        <w:t xml:space="preserve">, 116098. </w:t>
      </w:r>
      <w:hyperlink r:id="rId39" w:tgtFrame="_new" w:history="1">
        <w:r w:rsidRPr="008A3D0F">
          <w:rPr>
            <w:rStyle w:val="Hyperlink"/>
            <w:szCs w:val="24"/>
          </w:rPr>
          <w:t>https://doi.org/10.1016/j.eswa.2021.116098</w:t>
        </w:r>
      </w:hyperlink>
    </w:p>
    <w:p w14:paraId="58393DBF" w14:textId="34B67E9E" w:rsidR="008A3D0F" w:rsidRPr="008A3D0F" w:rsidRDefault="008A3D0F" w:rsidP="00CA4B69">
      <w:pPr>
        <w:pStyle w:val="Reference"/>
      </w:pPr>
      <w:r w:rsidRPr="008A3D0F">
        <w:t xml:space="preserve">Nayak, P., </w:t>
      </w:r>
      <w:proofErr w:type="spellStart"/>
      <w:r w:rsidRPr="008A3D0F">
        <w:t>Vaheed</w:t>
      </w:r>
      <w:proofErr w:type="spellEnd"/>
      <w:r w:rsidRPr="008A3D0F">
        <w:t xml:space="preserve">, S., Gupta, S., &amp; Mohan, N. (2023). Predicting students’ academic performance by mining the educational data through machine learning-based classification model. </w:t>
      </w:r>
      <w:r w:rsidRPr="008A3D0F">
        <w:rPr>
          <w:i/>
          <w:iCs/>
        </w:rPr>
        <w:t>Education and Information Technologies, 28</w:t>
      </w:r>
      <w:r w:rsidRPr="008A3D0F">
        <w:t xml:space="preserve">, 14611–14637. </w:t>
      </w:r>
      <w:hyperlink r:id="rId40" w:tgtFrame="_new" w:history="1">
        <w:r w:rsidRPr="008A3D0F">
          <w:rPr>
            <w:rStyle w:val="Hyperlink"/>
            <w:szCs w:val="24"/>
          </w:rPr>
          <w:t>https://doi.org/10.1007/s10639-023-11706-8</w:t>
        </w:r>
      </w:hyperlink>
    </w:p>
    <w:p w14:paraId="2702A334" w14:textId="02387FE8" w:rsidR="008A3D0F" w:rsidRPr="008A3D0F" w:rsidRDefault="008A3D0F" w:rsidP="00CA4B69">
      <w:pPr>
        <w:pStyle w:val="Reference"/>
      </w:pPr>
      <w:r w:rsidRPr="008A3D0F">
        <w:t xml:space="preserve"> Ojha, V., Abraham, A., &amp; </w:t>
      </w:r>
      <w:proofErr w:type="spellStart"/>
      <w:r w:rsidRPr="008A3D0F">
        <w:t>Snášel</w:t>
      </w:r>
      <w:proofErr w:type="spellEnd"/>
      <w:r w:rsidRPr="008A3D0F">
        <w:t xml:space="preserve">, V. (2019). Heuristic design of fuzzy inference systems: A review of three decades of research. </w:t>
      </w:r>
      <w:r w:rsidRPr="008A3D0F">
        <w:rPr>
          <w:i/>
          <w:iCs/>
        </w:rPr>
        <w:t>Engineering Applications of Artificial Intelligence, 85</w:t>
      </w:r>
      <w:r w:rsidRPr="008A3D0F">
        <w:t xml:space="preserve">, 845–864. </w:t>
      </w:r>
      <w:hyperlink r:id="rId41" w:tgtFrame="_new" w:history="1">
        <w:r w:rsidRPr="008A3D0F">
          <w:rPr>
            <w:rStyle w:val="Hyperlink"/>
            <w:szCs w:val="24"/>
          </w:rPr>
          <w:t>https://doi.org/10.1016/j.engappai.2019.08.010</w:t>
        </w:r>
      </w:hyperlink>
    </w:p>
    <w:p w14:paraId="2B3BBB10" w14:textId="3D280B07" w:rsidR="008A3D0F" w:rsidRPr="008A3D0F" w:rsidRDefault="008A3D0F" w:rsidP="00CA4B69">
      <w:pPr>
        <w:pStyle w:val="Reference"/>
      </w:pPr>
      <w:r w:rsidRPr="008A3D0F">
        <w:t xml:space="preserve"> Ramaswami, G., </w:t>
      </w:r>
      <w:proofErr w:type="spellStart"/>
      <w:r w:rsidRPr="008A3D0F">
        <w:t>Sušnjak</w:t>
      </w:r>
      <w:proofErr w:type="spellEnd"/>
      <w:r w:rsidRPr="008A3D0F">
        <w:t xml:space="preserve">, T., &amp; Mathrani, A. (2022). On developing generic models for predicting student outcomes in educational data mining. </w:t>
      </w:r>
      <w:r w:rsidRPr="008A3D0F">
        <w:rPr>
          <w:i/>
          <w:iCs/>
        </w:rPr>
        <w:t>Big Data and Cognitive Computing, 6</w:t>
      </w:r>
      <w:r w:rsidRPr="008A3D0F">
        <w:t xml:space="preserve">(1), 6. </w:t>
      </w:r>
      <w:hyperlink r:id="rId42" w:tgtFrame="_new" w:history="1">
        <w:r w:rsidRPr="008A3D0F">
          <w:rPr>
            <w:rStyle w:val="Hyperlink"/>
            <w:szCs w:val="24"/>
          </w:rPr>
          <w:t>https://doi.org/10.3390/bdcc6010006</w:t>
        </w:r>
      </w:hyperlink>
    </w:p>
    <w:p w14:paraId="2D841EFE" w14:textId="4A8F0B3F" w:rsidR="008A3D0F" w:rsidRPr="008A3D0F" w:rsidRDefault="008A3D0F" w:rsidP="00CA4B69">
      <w:pPr>
        <w:pStyle w:val="Reference"/>
      </w:pPr>
      <w:r w:rsidRPr="008A3D0F">
        <w:t xml:space="preserve">Sajid, M., Tanveer, M., &amp; Suganthan, P. (2024). Ensemble deep random vector functional link neural network based on fuzzy inference system. </w:t>
      </w:r>
      <w:r w:rsidRPr="008A3D0F">
        <w:rPr>
          <w:i/>
          <w:iCs/>
        </w:rPr>
        <w:t>IEEE Transactions on Fuzzy Systems, 33</w:t>
      </w:r>
      <w:r w:rsidRPr="008A3D0F">
        <w:t xml:space="preserve">(2), 479–490. </w:t>
      </w:r>
      <w:hyperlink r:id="rId43" w:tgtFrame="_new" w:history="1">
        <w:r w:rsidRPr="008A3D0F">
          <w:rPr>
            <w:rStyle w:val="Hyperlink"/>
            <w:szCs w:val="24"/>
          </w:rPr>
          <w:t>https://doi.org/10.1109/TFUZZ.2024.3411614</w:t>
        </w:r>
      </w:hyperlink>
    </w:p>
    <w:p w14:paraId="40A5C95F" w14:textId="6F601122" w:rsidR="008A3D0F" w:rsidRPr="008A3D0F" w:rsidRDefault="008A3D0F" w:rsidP="00CA4B69">
      <w:pPr>
        <w:pStyle w:val="Reference"/>
      </w:pPr>
      <w:r w:rsidRPr="008A3D0F">
        <w:t xml:space="preserve">Sghir, N., </w:t>
      </w:r>
      <w:proofErr w:type="spellStart"/>
      <w:r w:rsidRPr="008A3D0F">
        <w:t>Adadi</w:t>
      </w:r>
      <w:proofErr w:type="spellEnd"/>
      <w:r w:rsidRPr="008A3D0F">
        <w:t xml:space="preserve">, A., &amp; </w:t>
      </w:r>
      <w:proofErr w:type="spellStart"/>
      <w:r w:rsidRPr="008A3D0F">
        <w:t>Lahmer</w:t>
      </w:r>
      <w:proofErr w:type="spellEnd"/>
      <w:r w:rsidRPr="008A3D0F">
        <w:t xml:space="preserve">, M. (2022). Recent advances in predictive learning analytics: A decade systematic review (2012–2022). </w:t>
      </w:r>
      <w:r w:rsidRPr="008A3D0F">
        <w:rPr>
          <w:i/>
          <w:iCs/>
        </w:rPr>
        <w:t>Education and Information Technologies.</w:t>
      </w:r>
      <w:r w:rsidRPr="008A3D0F">
        <w:t xml:space="preserve"> </w:t>
      </w:r>
      <w:hyperlink r:id="rId44" w:tgtFrame="_new" w:history="1">
        <w:r w:rsidRPr="008A3D0F">
          <w:rPr>
            <w:rStyle w:val="Hyperlink"/>
            <w:szCs w:val="24"/>
          </w:rPr>
          <w:t>https://doi.org/10.1007/s10639-022-11536-0</w:t>
        </w:r>
      </w:hyperlink>
    </w:p>
    <w:p w14:paraId="332B05D9" w14:textId="0DE5C505" w:rsidR="008A3D0F" w:rsidRPr="008A3D0F" w:rsidRDefault="008A3D0F" w:rsidP="00CA4B69">
      <w:pPr>
        <w:pStyle w:val="Reference"/>
      </w:pPr>
      <w:r w:rsidRPr="008A3D0F">
        <w:t xml:space="preserve">Singh, R., &amp; Príncipe, J. (2020). Toward a Kernel-Based Uncertainty Decomposition Framework for Data and Models. </w:t>
      </w:r>
      <w:r w:rsidRPr="008A3D0F">
        <w:rPr>
          <w:i/>
          <w:iCs/>
        </w:rPr>
        <w:t>Neural Computation, 33</w:t>
      </w:r>
      <w:r w:rsidRPr="008A3D0F">
        <w:t xml:space="preserve">, 1164–1198. </w:t>
      </w:r>
      <w:hyperlink r:id="rId45" w:tgtFrame="_new" w:history="1">
        <w:r w:rsidRPr="008A3D0F">
          <w:rPr>
            <w:rStyle w:val="Hyperlink"/>
            <w:szCs w:val="24"/>
          </w:rPr>
          <w:t>https://doi.org/10.1162/neco_a_01372</w:t>
        </w:r>
      </w:hyperlink>
    </w:p>
    <w:p w14:paraId="148C227D" w14:textId="0C4EEB5B" w:rsidR="008A3D0F" w:rsidRPr="008A3D0F" w:rsidRDefault="008A3D0F" w:rsidP="00CA4B69">
      <w:pPr>
        <w:pStyle w:val="Reference"/>
      </w:pPr>
      <w:proofErr w:type="spellStart"/>
      <w:r w:rsidRPr="008A3D0F">
        <w:t>Tahamipour</w:t>
      </w:r>
      <w:proofErr w:type="spellEnd"/>
      <w:r w:rsidRPr="008A3D0F">
        <w:t xml:space="preserve">-Z., S., Akbarzadeh-T., M., &amp; Baghbani, F. (2022). Interval type-2 generalized fuzzy hyperbolic modelling and control of nonlinear systems. </w:t>
      </w:r>
      <w:r w:rsidRPr="008A3D0F">
        <w:rPr>
          <w:i/>
          <w:iCs/>
        </w:rPr>
        <w:t>Applied Soft Computing, 123</w:t>
      </w:r>
      <w:r w:rsidRPr="008A3D0F">
        <w:t xml:space="preserve">, 108859. </w:t>
      </w:r>
      <w:hyperlink r:id="rId46" w:tgtFrame="_new" w:history="1">
        <w:r w:rsidRPr="008A3D0F">
          <w:rPr>
            <w:rStyle w:val="Hyperlink"/>
            <w:szCs w:val="24"/>
          </w:rPr>
          <w:t>https://doi.org/10.1016/j.asoc.2022.108859</w:t>
        </w:r>
      </w:hyperlink>
    </w:p>
    <w:p w14:paraId="5F13C1EA" w14:textId="23747243" w:rsidR="008A3D0F" w:rsidRPr="008A3D0F" w:rsidRDefault="008A3D0F" w:rsidP="00CA4B69">
      <w:pPr>
        <w:pStyle w:val="Reference"/>
      </w:pPr>
      <w:r w:rsidRPr="008A3D0F">
        <w:t xml:space="preserve">Tan, Y., Yuan, Y., Xie, X., Tian, E., &amp; Liu, J. (2023). Observer-based event-triggered control for interval type-2 fuzzy networked system with network attacks. </w:t>
      </w:r>
      <w:r w:rsidRPr="008A3D0F">
        <w:rPr>
          <w:i/>
          <w:iCs/>
        </w:rPr>
        <w:t>IEEE Transactions on Fuzzy Systems, 31</w:t>
      </w:r>
      <w:r w:rsidRPr="008A3D0F">
        <w:t xml:space="preserve">(8), 2788–2798. </w:t>
      </w:r>
      <w:hyperlink r:id="rId47" w:tgtFrame="_new" w:history="1">
        <w:r w:rsidRPr="008A3D0F">
          <w:rPr>
            <w:rStyle w:val="Hyperlink"/>
            <w:szCs w:val="24"/>
          </w:rPr>
          <w:t>https://doi.org/10.1109/TFUZZ.2023.3237846</w:t>
        </w:r>
      </w:hyperlink>
    </w:p>
    <w:p w14:paraId="14032A2B" w14:textId="2B2C4EFE" w:rsidR="008A3D0F" w:rsidRPr="008A3D0F" w:rsidRDefault="008A3D0F" w:rsidP="00CA4B69">
      <w:pPr>
        <w:pStyle w:val="Reference"/>
      </w:pPr>
      <w:proofErr w:type="spellStart"/>
      <w:r w:rsidRPr="008A3D0F">
        <w:t>Tempelaar</w:t>
      </w:r>
      <w:proofErr w:type="spellEnd"/>
      <w:r w:rsidRPr="008A3D0F">
        <w:t xml:space="preserve">, D., </w:t>
      </w:r>
      <w:proofErr w:type="spellStart"/>
      <w:r w:rsidRPr="008A3D0F">
        <w:t>Rienties</w:t>
      </w:r>
      <w:proofErr w:type="spellEnd"/>
      <w:r w:rsidRPr="008A3D0F">
        <w:t xml:space="preserve">, B., &amp; Nguyen, Q. (2020). Subjective data, objective data and the role of bias in predictive modelling: Lessons from a dispositional learning analytics application. </w:t>
      </w:r>
      <w:r w:rsidRPr="008A3D0F">
        <w:rPr>
          <w:i/>
          <w:iCs/>
        </w:rPr>
        <w:t>PLOS ONE, 15</w:t>
      </w:r>
      <w:r w:rsidRPr="008A3D0F">
        <w:t xml:space="preserve">. </w:t>
      </w:r>
      <w:hyperlink r:id="rId48" w:tgtFrame="_new" w:history="1">
        <w:r w:rsidRPr="008A3D0F">
          <w:rPr>
            <w:rStyle w:val="Hyperlink"/>
            <w:szCs w:val="24"/>
          </w:rPr>
          <w:t>https://doi.org/10.1371/journal.pone.0233977</w:t>
        </w:r>
      </w:hyperlink>
    </w:p>
    <w:p w14:paraId="58756645" w14:textId="2C0561AA" w:rsidR="008A3D0F" w:rsidRPr="008A3D0F" w:rsidRDefault="008A3D0F" w:rsidP="00CA4B69">
      <w:pPr>
        <w:pStyle w:val="Reference"/>
      </w:pPr>
      <w:r w:rsidRPr="008A3D0F">
        <w:t xml:space="preserve">Wang, S., &amp; Luo, B. (2024). Academic achievement prediction in higher education through interpretable modeling. </w:t>
      </w:r>
      <w:r w:rsidRPr="008A3D0F">
        <w:rPr>
          <w:i/>
          <w:iCs/>
        </w:rPr>
        <w:t>PLOS ONE, 19</w:t>
      </w:r>
      <w:r w:rsidRPr="008A3D0F">
        <w:t xml:space="preserve">(7), e0309838. </w:t>
      </w:r>
      <w:hyperlink r:id="rId49" w:tgtFrame="_new" w:history="1">
        <w:r w:rsidRPr="008A3D0F">
          <w:rPr>
            <w:rStyle w:val="Hyperlink"/>
            <w:szCs w:val="24"/>
          </w:rPr>
          <w:t>https://doi.org/10.1371/journal.pone.0309838</w:t>
        </w:r>
      </w:hyperlink>
    </w:p>
    <w:p w14:paraId="2AE15D2E" w14:textId="4032AE1C" w:rsidR="008A3D0F" w:rsidRPr="008A3D0F" w:rsidRDefault="008A3D0F" w:rsidP="00CA4B69">
      <w:pPr>
        <w:pStyle w:val="Reference"/>
      </w:pPr>
      <w:r w:rsidRPr="008A3D0F">
        <w:t xml:space="preserve">Wang, Z., Zhang, W., Liu, N., &amp; Wang, J. (2023). Learning Interpretable Rules for Scalable Data Representation and Classification. </w:t>
      </w:r>
      <w:r w:rsidRPr="008A3D0F">
        <w:rPr>
          <w:i/>
          <w:iCs/>
        </w:rPr>
        <w:t>IEEE Transactions on Pattern Analysis and Machine Intelligence, 46</w:t>
      </w:r>
      <w:r w:rsidRPr="008A3D0F">
        <w:t xml:space="preserve">, 1121–1133. </w:t>
      </w:r>
      <w:hyperlink r:id="rId50" w:tgtFrame="_new" w:history="1">
        <w:r w:rsidRPr="008A3D0F">
          <w:rPr>
            <w:rStyle w:val="Hyperlink"/>
            <w:szCs w:val="24"/>
          </w:rPr>
          <w:t>https://doi.org/10.1109/TPAMI.2023.3328881</w:t>
        </w:r>
      </w:hyperlink>
    </w:p>
    <w:p w14:paraId="22C067B5" w14:textId="650877DE" w:rsidR="008A3D0F" w:rsidRPr="008A3D0F" w:rsidRDefault="008A3D0F" w:rsidP="00CA4B69">
      <w:pPr>
        <w:pStyle w:val="Reference"/>
      </w:pPr>
      <w:r w:rsidRPr="008A3D0F">
        <w:t xml:space="preserve">Wiktorowicz, K. (2023). T2RFIS: Type-2 regression-based fuzzy inference system. </w:t>
      </w:r>
      <w:r w:rsidRPr="008A3D0F">
        <w:rPr>
          <w:i/>
          <w:iCs/>
        </w:rPr>
        <w:t>Neural Computing and Applications, 35</w:t>
      </w:r>
      <w:r w:rsidRPr="008A3D0F">
        <w:t xml:space="preserve">(27), 20299–20317. </w:t>
      </w:r>
      <w:hyperlink r:id="rId51" w:tgtFrame="_new" w:history="1">
        <w:r w:rsidRPr="008A3D0F">
          <w:rPr>
            <w:rStyle w:val="Hyperlink"/>
            <w:szCs w:val="24"/>
          </w:rPr>
          <w:t>https://doi.org/10.1007/s00521-023-08811-7</w:t>
        </w:r>
      </w:hyperlink>
    </w:p>
    <w:p w14:paraId="4A5754DC" w14:textId="49E0A122" w:rsidR="008A3D0F" w:rsidRPr="008A3D0F" w:rsidRDefault="008A3D0F" w:rsidP="00CA4B69">
      <w:pPr>
        <w:pStyle w:val="Reference"/>
      </w:pPr>
      <w:r w:rsidRPr="008A3D0F">
        <w:t xml:space="preserve">Wu, D., &amp; Mendel, J. (2019). Recommendations on designing practical interval type-2 fuzzy systems. </w:t>
      </w:r>
      <w:r w:rsidRPr="008A3D0F">
        <w:rPr>
          <w:i/>
          <w:iCs/>
        </w:rPr>
        <w:t>Engineering Applications of Artificial Intelligence, 85</w:t>
      </w:r>
      <w:r w:rsidRPr="008A3D0F">
        <w:t xml:space="preserve">, 182–193. </w:t>
      </w:r>
      <w:hyperlink r:id="rId52" w:tgtFrame="_new" w:history="1">
        <w:r w:rsidRPr="008A3D0F">
          <w:rPr>
            <w:rStyle w:val="Hyperlink"/>
            <w:szCs w:val="24"/>
          </w:rPr>
          <w:t>https://doi.org/10.1016/j.engappai.2019.06.012</w:t>
        </w:r>
      </w:hyperlink>
    </w:p>
    <w:p w14:paraId="135F480D" w14:textId="57A6CAD8" w:rsidR="008A3D0F" w:rsidRPr="008A3D0F" w:rsidRDefault="008A3D0F" w:rsidP="00CA4B69">
      <w:pPr>
        <w:pStyle w:val="Reference"/>
      </w:pPr>
      <w:r w:rsidRPr="008A3D0F">
        <w:lastRenderedPageBreak/>
        <w:t xml:space="preserve">Wu, D., Peng, R., &amp; Mendel, J. (2023). Type-1 and interval type-2 fuzzy systems [AI </w:t>
      </w:r>
      <w:proofErr w:type="spellStart"/>
      <w:r w:rsidRPr="008A3D0F">
        <w:t>eXplained</w:t>
      </w:r>
      <w:proofErr w:type="spellEnd"/>
      <w:r w:rsidRPr="008A3D0F">
        <w:t xml:space="preserve">]. </w:t>
      </w:r>
      <w:r w:rsidRPr="008A3D0F">
        <w:rPr>
          <w:i/>
          <w:iCs/>
        </w:rPr>
        <w:t>IEEE Computational Intelligence Magazine, 18</w:t>
      </w:r>
      <w:r w:rsidRPr="008A3D0F">
        <w:t xml:space="preserve">(1), 81–83. </w:t>
      </w:r>
      <w:hyperlink r:id="rId53" w:tgtFrame="_new" w:history="1">
        <w:r w:rsidRPr="008A3D0F">
          <w:rPr>
            <w:rStyle w:val="Hyperlink"/>
            <w:szCs w:val="24"/>
          </w:rPr>
          <w:t>https://doi.org/10.1109/MCI.2022.3223496</w:t>
        </w:r>
      </w:hyperlink>
    </w:p>
    <w:p w14:paraId="495BE32E" w14:textId="7B1A845C" w:rsidR="008A3D0F" w:rsidRPr="008A3D0F" w:rsidRDefault="008A3D0F" w:rsidP="00CA4B69">
      <w:pPr>
        <w:pStyle w:val="Reference"/>
      </w:pPr>
      <w:r w:rsidRPr="008A3D0F">
        <w:t xml:space="preserve">Yang, C., &amp; Li, Y. (2023). Explainable uncertainty quantifications for deep learning-based molecular property prediction. </w:t>
      </w:r>
      <w:r w:rsidRPr="008A3D0F">
        <w:rPr>
          <w:i/>
          <w:iCs/>
        </w:rPr>
        <w:t>Journal of Cheminformatics, 15</w:t>
      </w:r>
      <w:r w:rsidRPr="008A3D0F">
        <w:t xml:space="preserve">. </w:t>
      </w:r>
      <w:hyperlink r:id="rId54" w:tgtFrame="_new" w:history="1">
        <w:r w:rsidRPr="008A3D0F">
          <w:rPr>
            <w:rStyle w:val="Hyperlink"/>
            <w:szCs w:val="24"/>
          </w:rPr>
          <w:t>https://doi.org/10.1186/s13321-023-00682-3</w:t>
        </w:r>
      </w:hyperlink>
    </w:p>
    <w:p w14:paraId="652727FC" w14:textId="4C633095" w:rsidR="008A3D0F" w:rsidRPr="008A3D0F" w:rsidRDefault="008A3D0F" w:rsidP="00CA4B69">
      <w:pPr>
        <w:pStyle w:val="Reference"/>
      </w:pPr>
      <w:r w:rsidRPr="008A3D0F">
        <w:t xml:space="preserve">Zhao, H., Wu, Y., &amp; Deng, W. (2025). Fuzzy Broad </w:t>
      </w:r>
      <w:proofErr w:type="spellStart"/>
      <w:r w:rsidRPr="008A3D0F">
        <w:t>Neuroevolution</w:t>
      </w:r>
      <w:proofErr w:type="spellEnd"/>
      <w:r w:rsidRPr="008A3D0F">
        <w:t xml:space="preserve"> Networks via </w:t>
      </w:r>
      <w:proofErr w:type="spellStart"/>
      <w:r w:rsidRPr="008A3D0F">
        <w:t>Multiobjective</w:t>
      </w:r>
      <w:proofErr w:type="spellEnd"/>
      <w:r w:rsidRPr="008A3D0F">
        <w:t xml:space="preserve"> Evolutionary Algorithms: Balancing Structural Simplification and Performance. </w:t>
      </w:r>
      <w:r w:rsidRPr="008A3D0F">
        <w:rPr>
          <w:i/>
          <w:iCs/>
        </w:rPr>
        <w:t>IEEE Transactions on Instrumentation and Measurement, 74</w:t>
      </w:r>
      <w:r w:rsidRPr="008A3D0F">
        <w:t xml:space="preserve">, 1–10. </w:t>
      </w:r>
      <w:hyperlink r:id="rId55" w:tgtFrame="_new" w:history="1">
        <w:r w:rsidRPr="008A3D0F">
          <w:rPr>
            <w:rStyle w:val="Hyperlink"/>
            <w:szCs w:val="24"/>
          </w:rPr>
          <w:t>https://doi.org/10.1109/TIM.2024.3485438</w:t>
        </w:r>
      </w:hyperlink>
    </w:p>
    <w:p w14:paraId="4DC9C54E" w14:textId="77777777" w:rsidR="008A3D0F" w:rsidRDefault="008A3D0F" w:rsidP="008A3D0F">
      <w:pPr>
        <w:pStyle w:val="ListParagraph"/>
        <w:spacing w:line="276" w:lineRule="auto"/>
        <w:rPr>
          <w:szCs w:val="24"/>
        </w:rPr>
      </w:pPr>
    </w:p>
    <w:p w14:paraId="5D836A9E" w14:textId="77777777" w:rsidR="009B1150" w:rsidRPr="008A3D0F" w:rsidRDefault="009B1150" w:rsidP="008A3D0F">
      <w:pPr>
        <w:pStyle w:val="ListParagraph"/>
        <w:spacing w:line="276" w:lineRule="auto"/>
        <w:rPr>
          <w:szCs w:val="24"/>
        </w:rPr>
      </w:pPr>
    </w:p>
    <w:sectPr w:rsidR="009B1150" w:rsidRPr="008A3D0F" w:rsidSect="00D07E98">
      <w:pgSz w:w="12240" w:h="15840"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7CE121" w14:textId="77777777" w:rsidR="001250EE" w:rsidRDefault="001250EE" w:rsidP="00CA4B69">
      <w:r>
        <w:separator/>
      </w:r>
    </w:p>
  </w:endnote>
  <w:endnote w:type="continuationSeparator" w:id="0">
    <w:p w14:paraId="491A1CBF" w14:textId="77777777" w:rsidR="001250EE" w:rsidRDefault="001250EE" w:rsidP="00CA4B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D9FFE3" w14:textId="77777777" w:rsidR="001250EE" w:rsidRDefault="001250EE" w:rsidP="00CA4B69">
      <w:r>
        <w:separator/>
      </w:r>
    </w:p>
  </w:footnote>
  <w:footnote w:type="continuationSeparator" w:id="0">
    <w:p w14:paraId="6CC7BE4D" w14:textId="77777777" w:rsidR="001250EE" w:rsidRDefault="001250EE" w:rsidP="00CA4B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561F9A"/>
    <w:multiLevelType w:val="multilevel"/>
    <w:tmpl w:val="361E64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8C1667C"/>
    <w:multiLevelType w:val="multilevel"/>
    <w:tmpl w:val="F78E9D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B4B4725"/>
    <w:multiLevelType w:val="multilevel"/>
    <w:tmpl w:val="3A900A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7" w15:restartNumberingAfterBreak="0">
    <w:nsid w:val="21DE6862"/>
    <w:multiLevelType w:val="multilevel"/>
    <w:tmpl w:val="ADA2A9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47C5C33"/>
    <w:multiLevelType w:val="multilevel"/>
    <w:tmpl w:val="9F5054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57419C5"/>
    <w:multiLevelType w:val="multilevel"/>
    <w:tmpl w:val="AAB8C3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60B3F2D"/>
    <w:multiLevelType w:val="hybridMultilevel"/>
    <w:tmpl w:val="A65A386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27D262EA"/>
    <w:multiLevelType w:val="hybridMultilevel"/>
    <w:tmpl w:val="DF102774"/>
    <w:lvl w:ilvl="0" w:tplc="0DA82E70">
      <w:numFmt w:val="bullet"/>
      <w:lvlText w:val=""/>
      <w:lvlJc w:val="left"/>
      <w:pPr>
        <w:ind w:left="720" w:hanging="360"/>
      </w:pPr>
      <w:rPr>
        <w:rFonts w:ascii="Times New Roman" w:eastAsiaTheme="minorHAnsi" w:hAnsi="Times New Roman" w:cs="Times New Roman"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3"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4" w15:restartNumberingAfterBreak="0">
    <w:nsid w:val="346F313B"/>
    <w:multiLevelType w:val="hybridMultilevel"/>
    <w:tmpl w:val="B87E3CE2"/>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5" w15:restartNumberingAfterBreak="0">
    <w:nsid w:val="375746A1"/>
    <w:multiLevelType w:val="hybridMultilevel"/>
    <w:tmpl w:val="B088049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E103957"/>
    <w:multiLevelType w:val="hybridMultilevel"/>
    <w:tmpl w:val="D7D6E78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A5B57B0"/>
    <w:multiLevelType w:val="multilevel"/>
    <w:tmpl w:val="84C88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D253BB3"/>
    <w:multiLevelType w:val="multilevel"/>
    <w:tmpl w:val="F5229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D351D69"/>
    <w:multiLevelType w:val="multilevel"/>
    <w:tmpl w:val="01D45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83C48A3"/>
    <w:multiLevelType w:val="multilevel"/>
    <w:tmpl w:val="A4388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7" w15:restartNumberingAfterBreak="0">
    <w:nsid w:val="70E37174"/>
    <w:multiLevelType w:val="multilevel"/>
    <w:tmpl w:val="7124F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1EA6EFB"/>
    <w:multiLevelType w:val="hybridMultilevel"/>
    <w:tmpl w:val="DB70137E"/>
    <w:lvl w:ilvl="0" w:tplc="40090001">
      <w:start w:val="1"/>
      <w:numFmt w:val="bullet"/>
      <w:lvlText w:val=""/>
      <w:lvlJc w:val="left"/>
      <w:pPr>
        <w:ind w:left="1504" w:hanging="360"/>
      </w:pPr>
      <w:rPr>
        <w:rFonts w:ascii="Symbol" w:hAnsi="Symbol" w:hint="default"/>
      </w:rPr>
    </w:lvl>
    <w:lvl w:ilvl="1" w:tplc="40090003" w:tentative="1">
      <w:start w:val="1"/>
      <w:numFmt w:val="bullet"/>
      <w:lvlText w:val="o"/>
      <w:lvlJc w:val="left"/>
      <w:pPr>
        <w:ind w:left="2224" w:hanging="360"/>
      </w:pPr>
      <w:rPr>
        <w:rFonts w:ascii="Courier New" w:hAnsi="Courier New" w:cs="Courier New" w:hint="default"/>
      </w:rPr>
    </w:lvl>
    <w:lvl w:ilvl="2" w:tplc="40090005" w:tentative="1">
      <w:start w:val="1"/>
      <w:numFmt w:val="bullet"/>
      <w:lvlText w:val=""/>
      <w:lvlJc w:val="left"/>
      <w:pPr>
        <w:ind w:left="2944" w:hanging="360"/>
      </w:pPr>
      <w:rPr>
        <w:rFonts w:ascii="Wingdings" w:hAnsi="Wingdings" w:hint="default"/>
      </w:rPr>
    </w:lvl>
    <w:lvl w:ilvl="3" w:tplc="40090001" w:tentative="1">
      <w:start w:val="1"/>
      <w:numFmt w:val="bullet"/>
      <w:lvlText w:val=""/>
      <w:lvlJc w:val="left"/>
      <w:pPr>
        <w:ind w:left="3664" w:hanging="360"/>
      </w:pPr>
      <w:rPr>
        <w:rFonts w:ascii="Symbol" w:hAnsi="Symbol" w:hint="default"/>
      </w:rPr>
    </w:lvl>
    <w:lvl w:ilvl="4" w:tplc="40090003" w:tentative="1">
      <w:start w:val="1"/>
      <w:numFmt w:val="bullet"/>
      <w:lvlText w:val="o"/>
      <w:lvlJc w:val="left"/>
      <w:pPr>
        <w:ind w:left="4384" w:hanging="360"/>
      </w:pPr>
      <w:rPr>
        <w:rFonts w:ascii="Courier New" w:hAnsi="Courier New" w:cs="Courier New" w:hint="default"/>
      </w:rPr>
    </w:lvl>
    <w:lvl w:ilvl="5" w:tplc="40090005" w:tentative="1">
      <w:start w:val="1"/>
      <w:numFmt w:val="bullet"/>
      <w:lvlText w:val=""/>
      <w:lvlJc w:val="left"/>
      <w:pPr>
        <w:ind w:left="5104" w:hanging="360"/>
      </w:pPr>
      <w:rPr>
        <w:rFonts w:ascii="Wingdings" w:hAnsi="Wingdings" w:hint="default"/>
      </w:rPr>
    </w:lvl>
    <w:lvl w:ilvl="6" w:tplc="40090001" w:tentative="1">
      <w:start w:val="1"/>
      <w:numFmt w:val="bullet"/>
      <w:lvlText w:val=""/>
      <w:lvlJc w:val="left"/>
      <w:pPr>
        <w:ind w:left="5824" w:hanging="360"/>
      </w:pPr>
      <w:rPr>
        <w:rFonts w:ascii="Symbol" w:hAnsi="Symbol" w:hint="default"/>
      </w:rPr>
    </w:lvl>
    <w:lvl w:ilvl="7" w:tplc="40090003" w:tentative="1">
      <w:start w:val="1"/>
      <w:numFmt w:val="bullet"/>
      <w:lvlText w:val="o"/>
      <w:lvlJc w:val="left"/>
      <w:pPr>
        <w:ind w:left="6544" w:hanging="360"/>
      </w:pPr>
      <w:rPr>
        <w:rFonts w:ascii="Courier New" w:hAnsi="Courier New" w:cs="Courier New" w:hint="default"/>
      </w:rPr>
    </w:lvl>
    <w:lvl w:ilvl="8" w:tplc="40090005" w:tentative="1">
      <w:start w:val="1"/>
      <w:numFmt w:val="bullet"/>
      <w:lvlText w:val=""/>
      <w:lvlJc w:val="left"/>
      <w:pPr>
        <w:ind w:left="7264" w:hanging="360"/>
      </w:pPr>
      <w:rPr>
        <w:rFonts w:ascii="Wingdings" w:hAnsi="Wingdings" w:hint="default"/>
      </w:rPr>
    </w:lvl>
  </w:abstractNum>
  <w:abstractNum w:abstractNumId="29" w15:restartNumberingAfterBreak="0">
    <w:nsid w:val="72CD66D3"/>
    <w:multiLevelType w:val="hybridMultilevel"/>
    <w:tmpl w:val="12AA83A6"/>
    <w:lvl w:ilvl="0" w:tplc="D102AF9E">
      <w:start w:val="1"/>
      <w:numFmt w:val="decimal"/>
      <w:lvlText w:val="%1."/>
      <w:lvlJc w:val="center"/>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15:restartNumberingAfterBreak="0">
    <w:nsid w:val="73EA23A5"/>
    <w:multiLevelType w:val="hybridMultilevel"/>
    <w:tmpl w:val="711E2F9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1" w15:restartNumberingAfterBreak="0">
    <w:nsid w:val="7454075F"/>
    <w:multiLevelType w:val="multilevel"/>
    <w:tmpl w:val="F5CE8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33" w15:restartNumberingAfterBreak="0">
    <w:nsid w:val="74E241E5"/>
    <w:multiLevelType w:val="multilevel"/>
    <w:tmpl w:val="5E1CC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51A36F9"/>
    <w:multiLevelType w:val="multilevel"/>
    <w:tmpl w:val="48AEAD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698553494">
    <w:abstractNumId w:val="31"/>
  </w:num>
  <w:num w:numId="2" w16cid:durableId="214006283">
    <w:abstractNumId w:val="34"/>
  </w:num>
  <w:num w:numId="3" w16cid:durableId="958685430">
    <w:abstractNumId w:val="33"/>
  </w:num>
  <w:num w:numId="4" w16cid:durableId="78911636">
    <w:abstractNumId w:val="9"/>
  </w:num>
  <w:num w:numId="5" w16cid:durableId="1487471245">
    <w:abstractNumId w:val="7"/>
  </w:num>
  <w:num w:numId="6" w16cid:durableId="2060129609">
    <w:abstractNumId w:val="4"/>
  </w:num>
  <w:num w:numId="7" w16cid:durableId="772943932">
    <w:abstractNumId w:val="22"/>
  </w:num>
  <w:num w:numId="8" w16cid:durableId="748229264">
    <w:abstractNumId w:val="27"/>
  </w:num>
  <w:num w:numId="9" w16cid:durableId="179703722">
    <w:abstractNumId w:val="21"/>
  </w:num>
  <w:num w:numId="10" w16cid:durableId="1195000217">
    <w:abstractNumId w:val="5"/>
  </w:num>
  <w:num w:numId="11" w16cid:durableId="1260330074">
    <w:abstractNumId w:val="23"/>
  </w:num>
  <w:num w:numId="12" w16cid:durableId="809056941">
    <w:abstractNumId w:val="25"/>
  </w:num>
  <w:num w:numId="13" w16cid:durableId="1961449654">
    <w:abstractNumId w:val="8"/>
  </w:num>
  <w:num w:numId="14" w16cid:durableId="1723793510">
    <w:abstractNumId w:val="1"/>
  </w:num>
  <w:num w:numId="15" w16cid:durableId="19749656">
    <w:abstractNumId w:val="29"/>
  </w:num>
  <w:num w:numId="16" w16cid:durableId="775293918">
    <w:abstractNumId w:val="11"/>
  </w:num>
  <w:num w:numId="17" w16cid:durableId="469396786">
    <w:abstractNumId w:val="30"/>
  </w:num>
  <w:num w:numId="18" w16cid:durableId="1740130900">
    <w:abstractNumId w:val="14"/>
  </w:num>
  <w:num w:numId="19" w16cid:durableId="1552964908">
    <w:abstractNumId w:val="10"/>
  </w:num>
  <w:num w:numId="20" w16cid:durableId="830025890">
    <w:abstractNumId w:val="28"/>
  </w:num>
  <w:num w:numId="21" w16cid:durableId="1808084775">
    <w:abstractNumId w:val="15"/>
  </w:num>
  <w:num w:numId="22" w16cid:durableId="1313288243">
    <w:abstractNumId w:val="19"/>
  </w:num>
  <w:num w:numId="23" w16cid:durableId="1925844975">
    <w:abstractNumId w:val="37"/>
  </w:num>
  <w:num w:numId="24" w16cid:durableId="1623537524">
    <w:abstractNumId w:val="6"/>
  </w:num>
  <w:num w:numId="25" w16cid:durableId="333149680">
    <w:abstractNumId w:val="32"/>
  </w:num>
  <w:num w:numId="26" w16cid:durableId="1958750756">
    <w:abstractNumId w:val="17"/>
  </w:num>
  <w:num w:numId="27" w16cid:durableId="1466237890">
    <w:abstractNumId w:val="26"/>
  </w:num>
  <w:num w:numId="28" w16cid:durableId="846751398">
    <w:abstractNumId w:val="12"/>
  </w:num>
  <w:num w:numId="29" w16cid:durableId="982584711">
    <w:abstractNumId w:val="16"/>
  </w:num>
  <w:num w:numId="30" w16cid:durableId="247734440">
    <w:abstractNumId w:val="2"/>
  </w:num>
  <w:num w:numId="31" w16cid:durableId="1514879319">
    <w:abstractNumId w:val="36"/>
  </w:num>
  <w:num w:numId="32" w16cid:durableId="1383210328">
    <w:abstractNumId w:val="20"/>
  </w:num>
  <w:num w:numId="33" w16cid:durableId="1513061117">
    <w:abstractNumId w:val="35"/>
  </w:num>
  <w:num w:numId="34" w16cid:durableId="958226418">
    <w:abstractNumId w:val="24"/>
  </w:num>
  <w:num w:numId="35" w16cid:durableId="771170886">
    <w:abstractNumId w:val="13"/>
  </w:num>
  <w:num w:numId="36" w16cid:durableId="1726029251">
    <w:abstractNumId w:val="18"/>
  </w:num>
  <w:num w:numId="37" w16cid:durableId="1939214429">
    <w:abstractNumId w:val="26"/>
    <w:lvlOverride w:ilvl="0">
      <w:startOverride w:val="1"/>
    </w:lvlOverride>
  </w:num>
  <w:num w:numId="38" w16cid:durableId="957906086">
    <w:abstractNumId w:val="26"/>
    <w:lvlOverride w:ilvl="0">
      <w:startOverride w:val="1"/>
    </w:lvlOverride>
  </w:num>
  <w:num w:numId="39" w16cid:durableId="1087652185">
    <w:abstractNumId w:val="26"/>
    <w:lvlOverride w:ilvl="0">
      <w:startOverride w:val="1"/>
    </w:lvlOverride>
  </w:num>
  <w:num w:numId="40" w16cid:durableId="1054889863">
    <w:abstractNumId w:val="32"/>
    <w:lvlOverride w:ilvl="0">
      <w:startOverride w:val="1"/>
    </w:lvlOverride>
  </w:num>
  <w:num w:numId="41" w16cid:durableId="1903178079">
    <w:abstractNumId w:val="32"/>
    <w:lvlOverride w:ilvl="0">
      <w:startOverride w:val="1"/>
    </w:lvlOverride>
  </w:num>
  <w:num w:numId="42" w16cid:durableId="874267395">
    <w:abstractNumId w:val="32"/>
    <w:lvlOverride w:ilvl="0">
      <w:startOverride w:val="1"/>
    </w:lvlOverride>
  </w:num>
  <w:num w:numId="43" w16cid:durableId="1368025285">
    <w:abstractNumId w:val="32"/>
    <w:lvlOverride w:ilvl="0">
      <w:startOverride w:val="1"/>
    </w:lvlOverride>
  </w:num>
  <w:num w:numId="44" w16cid:durableId="944078796">
    <w:abstractNumId w:val="32"/>
    <w:lvlOverride w:ilvl="0">
      <w:startOverride w:val="1"/>
    </w:lvlOverride>
  </w:num>
  <w:num w:numId="45" w16cid:durableId="1653829719">
    <w:abstractNumId w:val="3"/>
  </w:num>
  <w:num w:numId="46"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6156"/>
    <w:rsid w:val="00016E0B"/>
    <w:rsid w:val="00026590"/>
    <w:rsid w:val="0003711A"/>
    <w:rsid w:val="00050362"/>
    <w:rsid w:val="000965D9"/>
    <w:rsid w:val="000A380C"/>
    <w:rsid w:val="000B3B91"/>
    <w:rsid w:val="000C0986"/>
    <w:rsid w:val="000C396B"/>
    <w:rsid w:val="000F7268"/>
    <w:rsid w:val="00114FDD"/>
    <w:rsid w:val="001250EE"/>
    <w:rsid w:val="00164F2D"/>
    <w:rsid w:val="00165C35"/>
    <w:rsid w:val="001741F5"/>
    <w:rsid w:val="0017690F"/>
    <w:rsid w:val="001D61CC"/>
    <w:rsid w:val="002042C8"/>
    <w:rsid w:val="0021291A"/>
    <w:rsid w:val="002415DE"/>
    <w:rsid w:val="00275B65"/>
    <w:rsid w:val="002764AB"/>
    <w:rsid w:val="00291430"/>
    <w:rsid w:val="002D6283"/>
    <w:rsid w:val="002E1C88"/>
    <w:rsid w:val="002F0189"/>
    <w:rsid w:val="00347762"/>
    <w:rsid w:val="00367B44"/>
    <w:rsid w:val="003808F9"/>
    <w:rsid w:val="0038500B"/>
    <w:rsid w:val="00431990"/>
    <w:rsid w:val="00442349"/>
    <w:rsid w:val="00462A99"/>
    <w:rsid w:val="004A1C05"/>
    <w:rsid w:val="004A7247"/>
    <w:rsid w:val="004E0EE6"/>
    <w:rsid w:val="004E4938"/>
    <w:rsid w:val="00503729"/>
    <w:rsid w:val="005C1F9F"/>
    <w:rsid w:val="005C7AA1"/>
    <w:rsid w:val="005E6156"/>
    <w:rsid w:val="00640CB1"/>
    <w:rsid w:val="00684DFA"/>
    <w:rsid w:val="00697053"/>
    <w:rsid w:val="006B3602"/>
    <w:rsid w:val="006B6CE4"/>
    <w:rsid w:val="006D683D"/>
    <w:rsid w:val="006E3834"/>
    <w:rsid w:val="00722FF1"/>
    <w:rsid w:val="0074180E"/>
    <w:rsid w:val="007C1CC0"/>
    <w:rsid w:val="007C664D"/>
    <w:rsid w:val="008057DE"/>
    <w:rsid w:val="00806274"/>
    <w:rsid w:val="008525D7"/>
    <w:rsid w:val="00863570"/>
    <w:rsid w:val="008A3D0F"/>
    <w:rsid w:val="008F55E9"/>
    <w:rsid w:val="00900976"/>
    <w:rsid w:val="0095002F"/>
    <w:rsid w:val="00982F8C"/>
    <w:rsid w:val="00986349"/>
    <w:rsid w:val="009B0910"/>
    <w:rsid w:val="009B1150"/>
    <w:rsid w:val="009E342D"/>
    <w:rsid w:val="009F3694"/>
    <w:rsid w:val="009F7577"/>
    <w:rsid w:val="00A03C1E"/>
    <w:rsid w:val="00A16CDA"/>
    <w:rsid w:val="00A50D60"/>
    <w:rsid w:val="00A54B69"/>
    <w:rsid w:val="00A720BA"/>
    <w:rsid w:val="00A73C01"/>
    <w:rsid w:val="00AC4EFB"/>
    <w:rsid w:val="00AE6CE8"/>
    <w:rsid w:val="00B04AEA"/>
    <w:rsid w:val="00B41FC9"/>
    <w:rsid w:val="00B454B3"/>
    <w:rsid w:val="00B61D65"/>
    <w:rsid w:val="00B63CA1"/>
    <w:rsid w:val="00B7562E"/>
    <w:rsid w:val="00B8639C"/>
    <w:rsid w:val="00C16EBB"/>
    <w:rsid w:val="00C34AB7"/>
    <w:rsid w:val="00C64FAC"/>
    <w:rsid w:val="00C84882"/>
    <w:rsid w:val="00C87107"/>
    <w:rsid w:val="00C91E57"/>
    <w:rsid w:val="00CA4B69"/>
    <w:rsid w:val="00CE4FC6"/>
    <w:rsid w:val="00D07E98"/>
    <w:rsid w:val="00D35A92"/>
    <w:rsid w:val="00D50EA1"/>
    <w:rsid w:val="00D94569"/>
    <w:rsid w:val="00DC4D30"/>
    <w:rsid w:val="00E32904"/>
    <w:rsid w:val="00E61C8B"/>
    <w:rsid w:val="00E706A0"/>
    <w:rsid w:val="00E835B7"/>
    <w:rsid w:val="00E8422C"/>
    <w:rsid w:val="00E85D11"/>
    <w:rsid w:val="00EC572A"/>
    <w:rsid w:val="00EC6386"/>
    <w:rsid w:val="00ED30E7"/>
    <w:rsid w:val="00F06AC2"/>
    <w:rsid w:val="00F50AC7"/>
    <w:rsid w:val="00F759BE"/>
    <w:rsid w:val="00F81687"/>
    <w:rsid w:val="00F8380E"/>
    <w:rsid w:val="00F91E17"/>
    <w:rsid w:val="00FB1C2D"/>
    <w:rsid w:val="00FE3FD3"/>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F07020"/>
  <w15:chartTrackingRefBased/>
  <w15:docId w15:val="{56873483-5254-4D56-9B68-F5943706A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CA4B69"/>
    <w:pPr>
      <w:spacing w:after="0" w:line="240" w:lineRule="auto"/>
    </w:pPr>
    <w:rPr>
      <w:rFonts w:ascii="Times New Roman" w:eastAsia="Times New Roman" w:hAnsi="Times New Roman" w:cs="Times New Roman"/>
      <w:kern w:val="0"/>
      <w:sz w:val="24"/>
      <w:szCs w:val="20"/>
      <w:lang w:val="en-US"/>
      <w14:ligatures w14:val="none"/>
    </w:rPr>
  </w:style>
  <w:style w:type="paragraph" w:styleId="Heading1">
    <w:name w:val="heading 1"/>
    <w:basedOn w:val="Normal"/>
    <w:next w:val="Paragraph"/>
    <w:link w:val="Heading1Char"/>
    <w:qFormat/>
    <w:rsid w:val="00CA4B69"/>
    <w:pPr>
      <w:keepNext/>
      <w:spacing w:before="240" w:after="240"/>
      <w:jc w:val="center"/>
      <w:outlineLvl w:val="0"/>
    </w:pPr>
    <w:rPr>
      <w:b/>
      <w:caps/>
    </w:rPr>
  </w:style>
  <w:style w:type="paragraph" w:styleId="Heading2">
    <w:name w:val="heading 2"/>
    <w:basedOn w:val="Normal"/>
    <w:next w:val="Paragraph"/>
    <w:link w:val="Heading2Char"/>
    <w:qFormat/>
    <w:rsid w:val="00CA4B69"/>
    <w:pPr>
      <w:keepNext/>
      <w:spacing w:before="240" w:after="240"/>
      <w:jc w:val="center"/>
      <w:outlineLvl w:val="1"/>
    </w:pPr>
    <w:rPr>
      <w:b/>
    </w:rPr>
  </w:style>
  <w:style w:type="paragraph" w:styleId="Heading3">
    <w:name w:val="heading 3"/>
    <w:basedOn w:val="Normal"/>
    <w:next w:val="Normal"/>
    <w:link w:val="Heading3Char"/>
    <w:qFormat/>
    <w:rsid w:val="00CA4B69"/>
    <w:pPr>
      <w:keepNext/>
      <w:spacing w:before="240" w:after="240"/>
      <w:jc w:val="center"/>
      <w:outlineLvl w:val="2"/>
    </w:pPr>
    <w:rPr>
      <w:i/>
      <w:iCs/>
      <w:sz w:val="20"/>
      <w:lang w:val="en-GB" w:eastAsia="en-GB"/>
    </w:rPr>
  </w:style>
  <w:style w:type="paragraph" w:styleId="Heading4">
    <w:name w:val="heading 4"/>
    <w:basedOn w:val="Normal"/>
    <w:next w:val="Normal"/>
    <w:link w:val="Heading4Char"/>
    <w:uiPriority w:val="9"/>
    <w:semiHidden/>
    <w:unhideWhenUsed/>
    <w:qFormat/>
    <w:rsid w:val="005E6156"/>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5E6156"/>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5E6156"/>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E6156"/>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E6156"/>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E6156"/>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rsid w:val="00CA4B6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CA4B69"/>
  </w:style>
  <w:style w:type="character" w:customStyle="1" w:styleId="Heading1Char">
    <w:name w:val="Heading 1 Char"/>
    <w:basedOn w:val="DefaultParagraphFont"/>
    <w:link w:val="Heading1"/>
    <w:rsid w:val="005E6156"/>
    <w:rPr>
      <w:rFonts w:ascii="Times New Roman" w:eastAsia="Times New Roman" w:hAnsi="Times New Roman" w:cs="Times New Roman"/>
      <w:b/>
      <w:caps/>
      <w:kern w:val="0"/>
      <w:sz w:val="24"/>
      <w:szCs w:val="20"/>
      <w:lang w:val="en-US"/>
      <w14:ligatures w14:val="none"/>
    </w:rPr>
  </w:style>
  <w:style w:type="character" w:customStyle="1" w:styleId="Heading2Char">
    <w:name w:val="Heading 2 Char"/>
    <w:basedOn w:val="DefaultParagraphFont"/>
    <w:link w:val="Heading2"/>
    <w:rsid w:val="005E6156"/>
    <w:rPr>
      <w:rFonts w:ascii="Times New Roman" w:eastAsia="Times New Roman" w:hAnsi="Times New Roman" w:cs="Times New Roman"/>
      <w:b/>
      <w:kern w:val="0"/>
      <w:sz w:val="24"/>
      <w:szCs w:val="20"/>
      <w:lang w:val="en-US"/>
      <w14:ligatures w14:val="none"/>
    </w:rPr>
  </w:style>
  <w:style w:type="character" w:customStyle="1" w:styleId="Heading3Char">
    <w:name w:val="Heading 3 Char"/>
    <w:basedOn w:val="DefaultParagraphFont"/>
    <w:link w:val="Heading3"/>
    <w:rsid w:val="005E6156"/>
    <w:rPr>
      <w:rFonts w:ascii="Times New Roman" w:eastAsia="Times New Roman" w:hAnsi="Times New Roman" w:cs="Times New Roman"/>
      <w:i/>
      <w:iCs/>
      <w:kern w:val="0"/>
      <w:sz w:val="20"/>
      <w:szCs w:val="20"/>
      <w:lang w:val="en-GB" w:eastAsia="en-GB"/>
      <w14:ligatures w14:val="none"/>
    </w:rPr>
  </w:style>
  <w:style w:type="character" w:customStyle="1" w:styleId="Heading4Char">
    <w:name w:val="Heading 4 Char"/>
    <w:basedOn w:val="DefaultParagraphFont"/>
    <w:link w:val="Heading4"/>
    <w:uiPriority w:val="9"/>
    <w:semiHidden/>
    <w:rsid w:val="005E6156"/>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5E6156"/>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5E615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E615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E615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E6156"/>
    <w:rPr>
      <w:rFonts w:eastAsiaTheme="majorEastAsia" w:cstheme="majorBidi"/>
      <w:color w:val="272727" w:themeColor="text1" w:themeTint="D8"/>
    </w:rPr>
  </w:style>
  <w:style w:type="paragraph" w:styleId="Title">
    <w:name w:val="Title"/>
    <w:basedOn w:val="Normal"/>
    <w:next w:val="Normal"/>
    <w:link w:val="TitleChar"/>
    <w:uiPriority w:val="10"/>
    <w:qFormat/>
    <w:rsid w:val="005E6156"/>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E615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E615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E615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E6156"/>
    <w:pPr>
      <w:spacing w:before="160"/>
      <w:jc w:val="center"/>
    </w:pPr>
    <w:rPr>
      <w:i/>
      <w:iCs/>
      <w:color w:val="404040" w:themeColor="text1" w:themeTint="BF"/>
    </w:rPr>
  </w:style>
  <w:style w:type="character" w:customStyle="1" w:styleId="QuoteChar">
    <w:name w:val="Quote Char"/>
    <w:basedOn w:val="DefaultParagraphFont"/>
    <w:link w:val="Quote"/>
    <w:uiPriority w:val="29"/>
    <w:rsid w:val="005E6156"/>
    <w:rPr>
      <w:i/>
      <w:iCs/>
      <w:color w:val="404040" w:themeColor="text1" w:themeTint="BF"/>
    </w:rPr>
  </w:style>
  <w:style w:type="paragraph" w:styleId="ListParagraph">
    <w:name w:val="List Paragraph"/>
    <w:basedOn w:val="Normal"/>
    <w:uiPriority w:val="34"/>
    <w:rsid w:val="00CA4B69"/>
    <w:pPr>
      <w:ind w:left="720"/>
      <w:contextualSpacing/>
    </w:pPr>
  </w:style>
  <w:style w:type="character" w:styleId="IntenseEmphasis">
    <w:name w:val="Intense Emphasis"/>
    <w:basedOn w:val="DefaultParagraphFont"/>
    <w:uiPriority w:val="21"/>
    <w:qFormat/>
    <w:rsid w:val="005E6156"/>
    <w:rPr>
      <w:i/>
      <w:iCs/>
      <w:color w:val="2F5496" w:themeColor="accent1" w:themeShade="BF"/>
    </w:rPr>
  </w:style>
  <w:style w:type="paragraph" w:styleId="IntenseQuote">
    <w:name w:val="Intense Quote"/>
    <w:basedOn w:val="Normal"/>
    <w:next w:val="Normal"/>
    <w:link w:val="IntenseQuoteChar"/>
    <w:uiPriority w:val="30"/>
    <w:qFormat/>
    <w:rsid w:val="005E615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5E6156"/>
    <w:rPr>
      <w:i/>
      <w:iCs/>
      <w:color w:val="2F5496" w:themeColor="accent1" w:themeShade="BF"/>
    </w:rPr>
  </w:style>
  <w:style w:type="character" w:styleId="IntenseReference">
    <w:name w:val="Intense Reference"/>
    <w:basedOn w:val="DefaultParagraphFont"/>
    <w:uiPriority w:val="32"/>
    <w:qFormat/>
    <w:rsid w:val="005E6156"/>
    <w:rPr>
      <w:b/>
      <w:bCs/>
      <w:smallCaps/>
      <w:color w:val="2F5496" w:themeColor="accent1" w:themeShade="BF"/>
      <w:spacing w:val="5"/>
    </w:rPr>
  </w:style>
  <w:style w:type="table" w:styleId="TableGrid">
    <w:name w:val="Table Grid"/>
    <w:basedOn w:val="TableNormal"/>
    <w:rsid w:val="00CA4B69"/>
    <w:pPr>
      <w:spacing w:after="0" w:line="240" w:lineRule="auto"/>
    </w:pPr>
    <w:rPr>
      <w:rFonts w:ascii="Times New Roman" w:eastAsia="Times New Roman" w:hAnsi="Times New Roman" w:cs="Times New Roman"/>
      <w:kern w:val="0"/>
      <w:sz w:val="20"/>
      <w:szCs w:val="20"/>
      <w:lang w:val="en-GB" w:eastAsia="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CA4B69"/>
    <w:rPr>
      <w:color w:val="0000FF"/>
      <w:u w:val="single"/>
    </w:rPr>
  </w:style>
  <w:style w:type="character" w:styleId="UnresolvedMention">
    <w:name w:val="Unresolved Mention"/>
    <w:basedOn w:val="DefaultParagraphFont"/>
    <w:uiPriority w:val="99"/>
    <w:semiHidden/>
    <w:unhideWhenUsed/>
    <w:rsid w:val="00CA4B69"/>
    <w:rPr>
      <w:color w:val="808080"/>
      <w:shd w:val="clear" w:color="auto" w:fill="E6E6E6"/>
    </w:rPr>
  </w:style>
  <w:style w:type="character" w:styleId="PlaceholderText">
    <w:name w:val="Placeholder Text"/>
    <w:basedOn w:val="DefaultParagraphFont"/>
    <w:uiPriority w:val="99"/>
    <w:semiHidden/>
    <w:rsid w:val="008525D7"/>
    <w:rPr>
      <w:color w:val="666666"/>
    </w:rPr>
  </w:style>
  <w:style w:type="paragraph" w:styleId="FootnoteText">
    <w:name w:val="footnote text"/>
    <w:basedOn w:val="Normal"/>
    <w:link w:val="FootnoteTextChar"/>
    <w:semiHidden/>
    <w:rsid w:val="00CA4B69"/>
    <w:rPr>
      <w:sz w:val="16"/>
    </w:rPr>
  </w:style>
  <w:style w:type="character" w:customStyle="1" w:styleId="FootnoteTextChar">
    <w:name w:val="Footnote Text Char"/>
    <w:basedOn w:val="DefaultParagraphFont"/>
    <w:link w:val="FootnoteText"/>
    <w:semiHidden/>
    <w:rsid w:val="00D07E98"/>
    <w:rPr>
      <w:rFonts w:ascii="Times New Roman" w:eastAsia="Times New Roman" w:hAnsi="Times New Roman" w:cs="Times New Roman"/>
      <w:kern w:val="0"/>
      <w:sz w:val="16"/>
      <w:szCs w:val="20"/>
      <w:lang w:val="en-US"/>
      <w14:ligatures w14:val="none"/>
    </w:rPr>
  </w:style>
  <w:style w:type="paragraph" w:customStyle="1" w:styleId="PaperTitle">
    <w:name w:val="Paper Title"/>
    <w:basedOn w:val="Normal"/>
    <w:next w:val="AuthorName"/>
    <w:rsid w:val="00CA4B69"/>
    <w:pPr>
      <w:spacing w:before="1200"/>
      <w:jc w:val="center"/>
    </w:pPr>
    <w:rPr>
      <w:b/>
      <w:sz w:val="36"/>
    </w:rPr>
  </w:style>
  <w:style w:type="paragraph" w:customStyle="1" w:styleId="AuthorName">
    <w:name w:val="Author Name"/>
    <w:basedOn w:val="Normal"/>
    <w:next w:val="AuthorAffiliation"/>
    <w:rsid w:val="00CA4B69"/>
    <w:pPr>
      <w:spacing w:before="360" w:after="360"/>
      <w:jc w:val="center"/>
    </w:pPr>
    <w:rPr>
      <w:sz w:val="28"/>
    </w:rPr>
  </w:style>
  <w:style w:type="paragraph" w:customStyle="1" w:styleId="AuthorAffiliation">
    <w:name w:val="Author Affiliation"/>
    <w:basedOn w:val="Normal"/>
    <w:rsid w:val="00CA4B69"/>
    <w:pPr>
      <w:jc w:val="center"/>
    </w:pPr>
    <w:rPr>
      <w:i/>
      <w:sz w:val="20"/>
    </w:rPr>
  </w:style>
  <w:style w:type="paragraph" w:customStyle="1" w:styleId="Abstract">
    <w:name w:val="Abstract"/>
    <w:basedOn w:val="Normal"/>
    <w:next w:val="Heading1"/>
    <w:rsid w:val="00CA4B69"/>
    <w:pPr>
      <w:spacing w:before="360" w:after="360"/>
      <w:ind w:left="289" w:right="289"/>
      <w:jc w:val="both"/>
    </w:pPr>
    <w:rPr>
      <w:sz w:val="18"/>
    </w:rPr>
  </w:style>
  <w:style w:type="paragraph" w:customStyle="1" w:styleId="Paragraph">
    <w:name w:val="Paragraph"/>
    <w:basedOn w:val="Normal"/>
    <w:rsid w:val="00CA4B69"/>
    <w:pPr>
      <w:ind w:firstLine="284"/>
      <w:jc w:val="both"/>
    </w:pPr>
    <w:rPr>
      <w:sz w:val="20"/>
    </w:rPr>
  </w:style>
  <w:style w:type="character" w:styleId="FootnoteReference">
    <w:name w:val="footnote reference"/>
    <w:semiHidden/>
    <w:rsid w:val="00CA4B69"/>
    <w:rPr>
      <w:vertAlign w:val="superscript"/>
    </w:rPr>
  </w:style>
  <w:style w:type="paragraph" w:customStyle="1" w:styleId="Reference">
    <w:name w:val="Reference"/>
    <w:basedOn w:val="Paragraph"/>
    <w:rsid w:val="00CA4B69"/>
    <w:pPr>
      <w:numPr>
        <w:numId w:val="36"/>
      </w:numPr>
      <w:ind w:left="426" w:hanging="426"/>
    </w:pPr>
  </w:style>
  <w:style w:type="paragraph" w:customStyle="1" w:styleId="FigureCaption">
    <w:name w:val="Figure Caption"/>
    <w:next w:val="Paragraph"/>
    <w:rsid w:val="00CA4B69"/>
    <w:pPr>
      <w:spacing w:before="120" w:after="0" w:line="240" w:lineRule="auto"/>
      <w:jc w:val="center"/>
    </w:pPr>
    <w:rPr>
      <w:rFonts w:ascii="Times New Roman" w:eastAsia="Times New Roman" w:hAnsi="Times New Roman" w:cs="Times New Roman"/>
      <w:kern w:val="0"/>
      <w:sz w:val="18"/>
      <w:szCs w:val="20"/>
      <w:lang w:val="en-US"/>
      <w14:ligatures w14:val="none"/>
    </w:rPr>
  </w:style>
  <w:style w:type="paragraph" w:customStyle="1" w:styleId="Figure">
    <w:name w:val="Figure"/>
    <w:basedOn w:val="Paragraph"/>
    <w:rsid w:val="00CA4B69"/>
    <w:pPr>
      <w:keepNext/>
      <w:ind w:firstLine="0"/>
      <w:jc w:val="center"/>
    </w:pPr>
  </w:style>
  <w:style w:type="paragraph" w:customStyle="1" w:styleId="Equation">
    <w:name w:val="Equation"/>
    <w:basedOn w:val="Paragraph"/>
    <w:rsid w:val="00CA4B69"/>
    <w:pPr>
      <w:tabs>
        <w:tab w:val="center" w:pos="4320"/>
        <w:tab w:val="right" w:pos="9242"/>
      </w:tabs>
      <w:ind w:firstLine="0"/>
      <w:jc w:val="center"/>
    </w:pPr>
  </w:style>
  <w:style w:type="paragraph" w:styleId="BalloonText">
    <w:name w:val="Balloon Text"/>
    <w:basedOn w:val="Normal"/>
    <w:link w:val="BalloonTextChar"/>
    <w:rsid w:val="00CA4B69"/>
    <w:rPr>
      <w:rFonts w:ascii="Tahoma" w:hAnsi="Tahoma" w:cs="Tahoma"/>
      <w:sz w:val="16"/>
      <w:szCs w:val="16"/>
    </w:rPr>
  </w:style>
  <w:style w:type="character" w:customStyle="1" w:styleId="BalloonTextChar">
    <w:name w:val="Balloon Text Char"/>
    <w:basedOn w:val="DefaultParagraphFont"/>
    <w:link w:val="BalloonText"/>
    <w:rsid w:val="00CA4B69"/>
    <w:rPr>
      <w:rFonts w:ascii="Tahoma" w:eastAsia="Times New Roman" w:hAnsi="Tahoma" w:cs="Tahoma"/>
      <w:kern w:val="0"/>
      <w:sz w:val="16"/>
      <w:szCs w:val="16"/>
      <w:lang w:val="en-US"/>
      <w14:ligatures w14:val="none"/>
    </w:rPr>
  </w:style>
  <w:style w:type="paragraph" w:customStyle="1" w:styleId="Paragraphbulleted">
    <w:name w:val="Paragraph (bulleted)"/>
    <w:basedOn w:val="Paragraph"/>
    <w:rsid w:val="00CA4B69"/>
    <w:pPr>
      <w:numPr>
        <w:numId w:val="35"/>
      </w:numPr>
      <w:ind w:left="641" w:hanging="357"/>
    </w:pPr>
  </w:style>
  <w:style w:type="paragraph" w:customStyle="1" w:styleId="AuthorEmail">
    <w:name w:val="Author Email"/>
    <w:basedOn w:val="Normal"/>
    <w:qFormat/>
    <w:rsid w:val="00CA4B69"/>
    <w:pPr>
      <w:jc w:val="center"/>
    </w:pPr>
    <w:rPr>
      <w:sz w:val="20"/>
    </w:rPr>
  </w:style>
  <w:style w:type="paragraph" w:styleId="NormalWeb">
    <w:name w:val="Normal (Web)"/>
    <w:basedOn w:val="Normal"/>
    <w:uiPriority w:val="99"/>
    <w:unhideWhenUsed/>
    <w:rsid w:val="00CA4B69"/>
    <w:pPr>
      <w:spacing w:before="100" w:beforeAutospacing="1" w:after="100" w:afterAutospacing="1"/>
    </w:pPr>
    <w:rPr>
      <w:szCs w:val="24"/>
      <w:lang w:val="en-GB" w:eastAsia="en-GB"/>
    </w:rPr>
  </w:style>
  <w:style w:type="character" w:styleId="Strong">
    <w:name w:val="Strong"/>
    <w:basedOn w:val="DefaultParagraphFont"/>
    <w:uiPriority w:val="22"/>
    <w:qFormat/>
    <w:rsid w:val="00CA4B69"/>
    <w:rPr>
      <w:b/>
      <w:bCs/>
    </w:rPr>
  </w:style>
  <w:style w:type="character" w:styleId="Emphasis">
    <w:name w:val="Emphasis"/>
    <w:basedOn w:val="DefaultParagraphFont"/>
    <w:uiPriority w:val="20"/>
    <w:qFormat/>
    <w:rsid w:val="00CA4B69"/>
    <w:rPr>
      <w:i/>
      <w:iCs/>
    </w:rPr>
  </w:style>
  <w:style w:type="paragraph" w:customStyle="1" w:styleId="TableCaption">
    <w:name w:val="Table Caption"/>
    <w:basedOn w:val="FigureCaption"/>
    <w:qFormat/>
    <w:rsid w:val="00CA4B69"/>
    <w:rPr>
      <w:szCs w:val="18"/>
    </w:rPr>
  </w:style>
  <w:style w:type="paragraph" w:customStyle="1" w:styleId="Paragraphnumbered">
    <w:name w:val="Paragraph (numbered)"/>
    <w:rsid w:val="00CA4B69"/>
    <w:pPr>
      <w:numPr>
        <w:numId w:val="25"/>
      </w:numPr>
      <w:spacing w:after="0" w:line="240" w:lineRule="auto"/>
      <w:jc w:val="both"/>
    </w:pPr>
    <w:rPr>
      <w:rFonts w:ascii="Times New Roman" w:eastAsia="Times New Roman" w:hAnsi="Times New Roman" w:cs="Times New Roman"/>
      <w:kern w:val="0"/>
      <w:sz w:val="20"/>
      <w:szCs w:val="20"/>
      <w:lang w:val="en-US"/>
      <w14:ligatures w14:val="none"/>
    </w:rPr>
  </w:style>
  <w:style w:type="character" w:styleId="CommentReference">
    <w:name w:val="annotation reference"/>
    <w:basedOn w:val="DefaultParagraphFont"/>
    <w:semiHidden/>
    <w:unhideWhenUsed/>
    <w:rsid w:val="00CA4B69"/>
    <w:rPr>
      <w:sz w:val="16"/>
      <w:szCs w:val="16"/>
    </w:rPr>
  </w:style>
  <w:style w:type="paragraph" w:styleId="CommentText">
    <w:name w:val="annotation text"/>
    <w:basedOn w:val="Normal"/>
    <w:link w:val="CommentTextChar"/>
    <w:semiHidden/>
    <w:unhideWhenUsed/>
    <w:rsid w:val="00CA4B69"/>
    <w:rPr>
      <w:sz w:val="20"/>
    </w:rPr>
  </w:style>
  <w:style w:type="character" w:customStyle="1" w:styleId="CommentTextChar">
    <w:name w:val="Comment Text Char"/>
    <w:basedOn w:val="DefaultParagraphFont"/>
    <w:link w:val="CommentText"/>
    <w:semiHidden/>
    <w:rsid w:val="00CA4B69"/>
    <w:rPr>
      <w:rFonts w:ascii="Times New Roman" w:eastAsia="Times New Roman" w:hAnsi="Times New Roman" w:cs="Times New Roman"/>
      <w:kern w:val="0"/>
      <w:sz w:val="20"/>
      <w:szCs w:val="20"/>
      <w:lang w:val="en-US"/>
      <w14:ligatures w14:val="none"/>
    </w:rPr>
  </w:style>
  <w:style w:type="paragraph" w:styleId="CommentSubject">
    <w:name w:val="annotation subject"/>
    <w:basedOn w:val="CommentText"/>
    <w:next w:val="CommentText"/>
    <w:link w:val="CommentSubjectChar"/>
    <w:semiHidden/>
    <w:unhideWhenUsed/>
    <w:rsid w:val="00CA4B69"/>
    <w:rPr>
      <w:b/>
      <w:bCs/>
    </w:rPr>
  </w:style>
  <w:style w:type="character" w:customStyle="1" w:styleId="CommentSubjectChar">
    <w:name w:val="Comment Subject Char"/>
    <w:basedOn w:val="CommentTextChar"/>
    <w:link w:val="CommentSubject"/>
    <w:semiHidden/>
    <w:rsid w:val="00CA4B69"/>
    <w:rPr>
      <w:rFonts w:ascii="Times New Roman" w:eastAsia="Times New Roman" w:hAnsi="Times New Roman" w:cs="Times New Roman"/>
      <w:b/>
      <w:bCs/>
      <w:kern w:val="0"/>
      <w:sz w:val="20"/>
      <w:szCs w:val="20"/>
      <w:lang w:val="en-US"/>
      <w14:ligatures w14:val="none"/>
    </w:rPr>
  </w:style>
  <w:style w:type="paragraph" w:styleId="Header">
    <w:name w:val="header"/>
    <w:basedOn w:val="Normal"/>
    <w:link w:val="HeaderChar"/>
    <w:uiPriority w:val="99"/>
    <w:unhideWhenUsed/>
    <w:rsid w:val="00CA4B69"/>
    <w:pPr>
      <w:tabs>
        <w:tab w:val="center" w:pos="4513"/>
        <w:tab w:val="right" w:pos="9026"/>
      </w:tabs>
    </w:pPr>
  </w:style>
  <w:style w:type="character" w:customStyle="1" w:styleId="HeaderChar">
    <w:name w:val="Header Char"/>
    <w:basedOn w:val="DefaultParagraphFont"/>
    <w:link w:val="Header"/>
    <w:uiPriority w:val="99"/>
    <w:rsid w:val="00CA4B69"/>
    <w:rPr>
      <w:rFonts w:ascii="Times New Roman" w:eastAsia="Times New Roman" w:hAnsi="Times New Roman" w:cs="Times New Roman"/>
      <w:kern w:val="0"/>
      <w:sz w:val="24"/>
      <w:szCs w:val="20"/>
      <w:lang w:val="en-US"/>
      <w14:ligatures w14:val="none"/>
    </w:rPr>
  </w:style>
  <w:style w:type="paragraph" w:styleId="Footer">
    <w:name w:val="footer"/>
    <w:basedOn w:val="Normal"/>
    <w:link w:val="FooterChar"/>
    <w:uiPriority w:val="99"/>
    <w:unhideWhenUsed/>
    <w:rsid w:val="00CA4B69"/>
    <w:pPr>
      <w:tabs>
        <w:tab w:val="center" w:pos="4513"/>
        <w:tab w:val="right" w:pos="9026"/>
      </w:tabs>
    </w:pPr>
  </w:style>
  <w:style w:type="character" w:customStyle="1" w:styleId="FooterChar">
    <w:name w:val="Footer Char"/>
    <w:basedOn w:val="DefaultParagraphFont"/>
    <w:link w:val="Footer"/>
    <w:uiPriority w:val="99"/>
    <w:rsid w:val="00CA4B69"/>
    <w:rPr>
      <w:rFonts w:ascii="Times New Roman" w:eastAsia="Times New Roman" w:hAnsi="Times New Roman" w:cs="Times New Roman"/>
      <w:kern w:val="0"/>
      <w:sz w:val="24"/>
      <w:szCs w:val="2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s://doi.org/10.18608/jla.2020.73.3" TargetMode="External"/><Relationship Id="rId39" Type="http://schemas.openxmlformats.org/officeDocument/2006/relationships/hyperlink" Target="https://doi.org/10.1016/j.eswa.2021.116098" TargetMode="External"/><Relationship Id="rId21" Type="http://schemas.openxmlformats.org/officeDocument/2006/relationships/image" Target="media/image12.png"/><Relationship Id="rId34" Type="http://schemas.openxmlformats.org/officeDocument/2006/relationships/hyperlink" Target="https://doi.org/10.3390/app9245569" TargetMode="External"/><Relationship Id="rId42" Type="http://schemas.openxmlformats.org/officeDocument/2006/relationships/hyperlink" Target="https://doi.org/10.3390/bdcc6010006" TargetMode="External"/><Relationship Id="rId47" Type="http://schemas.openxmlformats.org/officeDocument/2006/relationships/hyperlink" Target="https://doi.org/10.1109/TFUZZ.2023.3237846" TargetMode="External"/><Relationship Id="rId50" Type="http://schemas.openxmlformats.org/officeDocument/2006/relationships/hyperlink" Target="https://doi.org/10.1109/TPAMI.2023.3328881" TargetMode="External"/><Relationship Id="rId55" Type="http://schemas.openxmlformats.org/officeDocument/2006/relationships/hyperlink" Target="https://doi.org/10.1109/TIM.2024.3485438"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https://doi.org/10.1016/j.knosys.2023.111028" TargetMode="External"/><Relationship Id="rId11" Type="http://schemas.openxmlformats.org/officeDocument/2006/relationships/image" Target="media/image2.png"/><Relationship Id="rId24" Type="http://schemas.openxmlformats.org/officeDocument/2006/relationships/hyperlink" Target="https://doi.org/10.21015/vtcs.v11i2.1706" TargetMode="External"/><Relationship Id="rId32" Type="http://schemas.openxmlformats.org/officeDocument/2006/relationships/hyperlink" Target="https://doi.org/10.1109/TCYB.2014.2371814" TargetMode="External"/><Relationship Id="rId37" Type="http://schemas.openxmlformats.org/officeDocument/2006/relationships/hyperlink" Target="https://doi.org/10.1016/j.ins.2019.10.042" TargetMode="External"/><Relationship Id="rId40" Type="http://schemas.openxmlformats.org/officeDocument/2006/relationships/hyperlink" Target="https://doi.org/10.1007/s10639-023-11706-8" TargetMode="External"/><Relationship Id="rId45" Type="http://schemas.openxmlformats.org/officeDocument/2006/relationships/hyperlink" Target="https://doi.org/10.1162/neco_a_01372" TargetMode="External"/><Relationship Id="rId53" Type="http://schemas.openxmlformats.org/officeDocument/2006/relationships/hyperlink" Target="https://doi.org/10.1109/MCI.2022.3223496" TargetMode="External"/><Relationship Id="rId5" Type="http://schemas.openxmlformats.org/officeDocument/2006/relationships/webSettings" Target="webSettings.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mailto:vijayalakshmi@pmu.edu"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yperlink" Target="https://doi.org/10.1016/j.ins.2024.121492" TargetMode="External"/><Relationship Id="rId30" Type="http://schemas.openxmlformats.org/officeDocument/2006/relationships/hyperlink" Target="https://doi.org/10.3991/ijet.v14i14.10310" TargetMode="External"/><Relationship Id="rId35" Type="http://schemas.openxmlformats.org/officeDocument/2006/relationships/hyperlink" Target="https://doi.org/10.1016/j.eswa.2021.115947" TargetMode="External"/><Relationship Id="rId43" Type="http://schemas.openxmlformats.org/officeDocument/2006/relationships/hyperlink" Target="https://doi.org/10.1109/TFUZZ.2024.3411614" TargetMode="External"/><Relationship Id="rId48" Type="http://schemas.openxmlformats.org/officeDocument/2006/relationships/hyperlink" Target="https://doi.org/10.1371/journal.pone.0233977" TargetMode="External"/><Relationship Id="rId56" Type="http://schemas.openxmlformats.org/officeDocument/2006/relationships/fontTable" Target="fontTable.xml"/><Relationship Id="rId8" Type="http://schemas.openxmlformats.org/officeDocument/2006/relationships/hyperlink" Target="mailto:ravitha@pmu.edu" TargetMode="External"/><Relationship Id="rId51" Type="http://schemas.openxmlformats.org/officeDocument/2006/relationships/hyperlink" Target="https://doi.org/10.1007/s00521-023-08811-7"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doi.org/10.1109/TFUZZ.2022.3188920" TargetMode="External"/><Relationship Id="rId33" Type="http://schemas.openxmlformats.org/officeDocument/2006/relationships/hyperlink" Target="https://doi.org/10.1109/TNNLS.2013.2284603" TargetMode="External"/><Relationship Id="rId38" Type="http://schemas.openxmlformats.org/officeDocument/2006/relationships/hyperlink" Target="https://doi.org/10.3389/feduc.2020.00104" TargetMode="External"/><Relationship Id="rId46" Type="http://schemas.openxmlformats.org/officeDocument/2006/relationships/hyperlink" Target="https://doi.org/10.1016/j.asoc.2022.108859" TargetMode="External"/><Relationship Id="rId20" Type="http://schemas.openxmlformats.org/officeDocument/2006/relationships/image" Target="media/image11.png"/><Relationship Id="rId41" Type="http://schemas.openxmlformats.org/officeDocument/2006/relationships/hyperlink" Target="https://doi.org/10.1016/j.engappai.2019.08.010" TargetMode="External"/><Relationship Id="rId54" Type="http://schemas.openxmlformats.org/officeDocument/2006/relationships/hyperlink" Target="https://doi.org/10.1186/s13321-023-00682-3"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s://doi.org/10.3390/informatics11030046" TargetMode="External"/><Relationship Id="rId36" Type="http://schemas.openxmlformats.org/officeDocument/2006/relationships/hyperlink" Target="https://doi.org/10.1007/s41066-018-0133-2" TargetMode="External"/><Relationship Id="rId49" Type="http://schemas.openxmlformats.org/officeDocument/2006/relationships/hyperlink" Target="https://doi.org/10.1371/journal.pone.0309838" TargetMode="External"/><Relationship Id="rId57" Type="http://schemas.openxmlformats.org/officeDocument/2006/relationships/theme" Target="theme/theme1.xml"/><Relationship Id="rId10" Type="http://schemas.openxmlformats.org/officeDocument/2006/relationships/image" Target="media/image1.png"/><Relationship Id="rId31" Type="http://schemas.openxmlformats.org/officeDocument/2006/relationships/hyperlink" Target="https://doi.org/10.1109/TFUZZ.2024.3482393" TargetMode="External"/><Relationship Id="rId44" Type="http://schemas.openxmlformats.org/officeDocument/2006/relationships/hyperlink" Target="https://doi.org/10.1007/s10639-022-11536-0" TargetMode="External"/><Relationship Id="rId52" Type="http://schemas.openxmlformats.org/officeDocument/2006/relationships/hyperlink" Target="https://doi.org/10.1016/j.engappai.2019.06.012"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9F5A38E-A981-4472-8A77-1BD8FB7B480F}">
  <we:reference id="wa104382081" version="1.55.1.0" store="en-US" storeType="OMEX"/>
  <we:alternateReferences>
    <we:reference id="wa104382081" version="1.55.1.0" store="WA104382081" storeType="OMEX"/>
  </we:alternateReferences>
  <we:properties>
    <we:property name="MENDELEY_CITATIONS" valu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B52D8FC4-D337-45AF-ACDC-D381C67B92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AIPCP Article Template_Sept1_2023</Template>
  <TotalTime>54</TotalTime>
  <Pages>21</Pages>
  <Words>8812</Words>
  <Characters>50229</Characters>
  <Application>Microsoft Office Word</Application>
  <DocSecurity>0</DocSecurity>
  <Lines>418</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Mr. Krish</dc:creator>
  <cp:keywords/>
  <dc:description/>
  <cp:lastModifiedBy>Shankara Narayanan V R</cp:lastModifiedBy>
  <cp:revision>8</cp:revision>
  <dcterms:created xsi:type="dcterms:W3CDTF">2025-08-20T04:32:00Z</dcterms:created>
  <dcterms:modified xsi:type="dcterms:W3CDTF">2025-09-15T17:37:00Z</dcterms:modified>
</cp:coreProperties>
</file>