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66EE9D1A" w:rsidR="0016385D" w:rsidRPr="00075EA6" w:rsidRDefault="00E80D70" w:rsidP="00090674">
      <w:pPr>
        <w:pStyle w:val="PaperTitle"/>
        <w:rPr>
          <w:b w:val="0"/>
          <w:bCs/>
          <w:sz w:val="24"/>
          <w:szCs w:val="24"/>
        </w:rPr>
      </w:pPr>
      <w:r w:rsidRPr="00E80D70">
        <w:t xml:space="preserve">Addition of Non-Toxic Organic Pigments </w:t>
      </w:r>
      <w:proofErr w:type="gramStart"/>
      <w:r w:rsidRPr="00E80D70">
        <w:t>As</w:t>
      </w:r>
      <w:proofErr w:type="gramEnd"/>
      <w:r w:rsidRPr="00E80D70">
        <w:t xml:space="preserve"> Inorganic Cadmium Pigments Replacement </w:t>
      </w:r>
      <w:proofErr w:type="gramStart"/>
      <w:r w:rsidRPr="00E80D70">
        <w:t>In</w:t>
      </w:r>
      <w:proofErr w:type="gramEnd"/>
      <w:r w:rsidRPr="00E80D70">
        <w:t xml:space="preserve"> </w:t>
      </w:r>
      <w:proofErr w:type="gramStart"/>
      <w:r w:rsidRPr="00E80D70">
        <w:t>The</w:t>
      </w:r>
      <w:proofErr w:type="gramEnd"/>
      <w:r w:rsidRPr="00E80D70">
        <w:t xml:space="preserve"> Denture Base Production from an Aesthetic Perspective</w:t>
      </w:r>
    </w:p>
    <w:p w14:paraId="54B91F82" w14:textId="7CC42926" w:rsidR="00027428" w:rsidRPr="00E80D70" w:rsidRDefault="00E80D70" w:rsidP="00E80D70">
      <w:pPr>
        <w:pStyle w:val="AuthorName"/>
        <w:rPr>
          <w:sz w:val="20"/>
          <w:lang w:val="en-GB" w:eastAsia="en-GB"/>
        </w:rPr>
      </w:pPr>
      <w:proofErr w:type="spellStart"/>
      <w:r w:rsidRPr="00E80D70">
        <w:t>Elsabella</w:t>
      </w:r>
      <w:proofErr w:type="spellEnd"/>
      <w:r w:rsidRPr="00E80D70">
        <w:t xml:space="preserve"> </w:t>
      </w:r>
      <w:proofErr w:type="spellStart"/>
      <w:r w:rsidRPr="00E80D70">
        <w:t>Adiguna</w:t>
      </w:r>
      <w:proofErr w:type="spellEnd"/>
      <w:r w:rsidRPr="00E80D70">
        <w:t xml:space="preserve"> </w:t>
      </w:r>
      <w:r w:rsidR="00EF6940" w:rsidRPr="2F830975">
        <w:rPr>
          <w:vertAlign w:val="superscript"/>
        </w:rPr>
        <w:t>1</w:t>
      </w:r>
      <w:r>
        <w:t xml:space="preserve">, </w:t>
      </w:r>
      <w:proofErr w:type="spellStart"/>
      <w:r w:rsidRPr="00E80D70">
        <w:t>Bramantyo</w:t>
      </w:r>
      <w:proofErr w:type="spellEnd"/>
      <w:r w:rsidRPr="00E80D70">
        <w:t xml:space="preserve"> Airlangga </w:t>
      </w:r>
      <w:r w:rsidRPr="2F830975">
        <w:rPr>
          <w:vertAlign w:val="superscript"/>
        </w:rPr>
        <w:t>1</w:t>
      </w:r>
      <w:r>
        <w:t>,</w:t>
      </w:r>
      <w:r w:rsidRPr="00E80D70">
        <w:t xml:space="preserve"> Yusuf </w:t>
      </w:r>
      <w:proofErr w:type="spellStart"/>
      <w:r w:rsidRPr="00E80D70">
        <w:t>Pradesar</w:t>
      </w:r>
      <w:proofErr w:type="spellEnd"/>
      <w:r w:rsidRPr="00E80D70">
        <w:t xml:space="preserve"> </w:t>
      </w:r>
      <w:r w:rsidRPr="2F830975">
        <w:rPr>
          <w:vertAlign w:val="superscript"/>
        </w:rPr>
        <w:t>1</w:t>
      </w:r>
      <w:r>
        <w:t xml:space="preserve">, and </w:t>
      </w:r>
      <w:r w:rsidRPr="00E80D70">
        <w:t>Sumarno</w:t>
      </w:r>
      <w:r w:rsidRPr="2F830975">
        <w:rPr>
          <w:vertAlign w:val="superscript"/>
        </w:rPr>
        <w:t>1, a)</w:t>
      </w:r>
    </w:p>
    <w:p w14:paraId="5CFA9C09" w14:textId="6AEE1168" w:rsidR="00C14B14" w:rsidRDefault="00027428" w:rsidP="00C14B14">
      <w:pPr>
        <w:pStyle w:val="AuthorAffiliation"/>
      </w:pPr>
      <w:r w:rsidRPr="00075EA6">
        <w:rPr>
          <w:i w:val="0"/>
          <w:iCs/>
          <w:vertAlign w:val="superscript"/>
        </w:rPr>
        <w:t>1</w:t>
      </w:r>
      <w:r w:rsidR="00E80D70" w:rsidRPr="00E80D70">
        <w:t xml:space="preserve">Chemical Engineering Department, Faculty of Technology and Systems Engineering, </w:t>
      </w:r>
      <w:proofErr w:type="spellStart"/>
      <w:r w:rsidR="00E80D70" w:rsidRPr="00E80D70">
        <w:t>Institut</w:t>
      </w:r>
      <w:proofErr w:type="spellEnd"/>
      <w:r w:rsidR="00E80D70" w:rsidRPr="00E80D70">
        <w:t xml:space="preserve"> </w:t>
      </w:r>
      <w:proofErr w:type="spellStart"/>
      <w:r w:rsidR="00E80D70" w:rsidRPr="00E80D70">
        <w:t>Teknologi</w:t>
      </w:r>
      <w:proofErr w:type="spellEnd"/>
      <w:r w:rsidR="00E80D70" w:rsidRPr="00E80D70">
        <w:t xml:space="preserve"> Sepuluh Nopember, Surabaya</w:t>
      </w:r>
    </w:p>
    <w:p w14:paraId="5E05E235" w14:textId="386F054C" w:rsidR="003A5C85" w:rsidRPr="00075EA6" w:rsidRDefault="00ED4A2C" w:rsidP="00E80D70">
      <w:pPr>
        <w:pStyle w:val="AuthorAffiliation"/>
      </w:pPr>
      <w:r w:rsidRPr="00075EA6">
        <w:br/>
      </w:r>
      <w:r w:rsidR="00003D7C" w:rsidRPr="00075EA6">
        <w:rPr>
          <w:szCs w:val="28"/>
          <w:vertAlign w:val="superscript"/>
        </w:rPr>
        <w:t>a)</w:t>
      </w:r>
      <w:r w:rsidR="00003D7C" w:rsidRPr="00075EA6">
        <w:t xml:space="preserve"> Corresponding</w:t>
      </w:r>
      <w:r w:rsidR="004E3CB2" w:rsidRPr="00075EA6">
        <w:t xml:space="preserve"> author:</w:t>
      </w:r>
      <w:r w:rsidR="00E80D70" w:rsidRPr="00E80D70">
        <w:t xml:space="preserve"> onramus@chem-eng.its.ac.id</w:t>
      </w:r>
      <w:r w:rsidR="004E3CB2" w:rsidRPr="00075EA6">
        <w:t xml:space="preserve"> </w:t>
      </w:r>
    </w:p>
    <w:p w14:paraId="22C3F2A8" w14:textId="2A462FB3" w:rsidR="0016385D" w:rsidRPr="00075EA6" w:rsidRDefault="0016385D" w:rsidP="00C14B14">
      <w:pPr>
        <w:pStyle w:val="Abstract"/>
      </w:pPr>
      <w:r w:rsidRPr="00075EA6">
        <w:rPr>
          <w:b/>
          <w:bCs/>
        </w:rPr>
        <w:t>Abstract.</w:t>
      </w:r>
      <w:r w:rsidRPr="00075EA6">
        <w:t xml:space="preserve"> </w:t>
      </w:r>
      <w:r w:rsidR="00E80D70" w:rsidRPr="00E80D70">
        <w:t xml:space="preserve">The denture base is defined as the base tissue to which the teeth are attached. Materials for denture base must fulfill certain properties </w:t>
      </w:r>
      <w:proofErr w:type="gramStart"/>
      <w:r w:rsidR="00E80D70" w:rsidRPr="00E80D70">
        <w:t>such as:</w:t>
      </w:r>
      <w:proofErr w:type="gramEnd"/>
      <w:r w:rsidR="00E80D70" w:rsidRPr="00E80D70">
        <w:t xml:space="preserve"> good mechanical and aesthetic qualities. For aesthetic quality, the denture base must be able to match the natural color of the gingiva and mucosa. This color adjustment can be done by adding pigment to the denture base resin composition, usually the inorganic pigment cadmium </w:t>
      </w:r>
      <w:proofErr w:type="spellStart"/>
      <w:r w:rsidR="00E80D70" w:rsidRPr="00E80D70">
        <w:t>sulfoselenide</w:t>
      </w:r>
      <w:proofErr w:type="spellEnd"/>
      <w:r w:rsidR="00E80D70" w:rsidRPr="00E80D70">
        <w:t xml:space="preserve"> is used. However, the use of cadmium-based pigments is currently highly restricted due to their potential toxicity. To avoid this effect, most manufacturers are starting to switch to an organic pigment system </w:t>
      </w:r>
      <w:proofErr w:type="spellStart"/>
      <w:r w:rsidR="00E80D70" w:rsidRPr="00E80D70">
        <w:t>Cromophtal</w:t>
      </w:r>
      <w:proofErr w:type="spellEnd"/>
      <w:r w:rsidR="00E80D70" w:rsidRPr="00E80D70">
        <w:t xml:space="preserve"> Red BRN. One of the most influential factors is </w:t>
      </w:r>
      <w:proofErr w:type="gramStart"/>
      <w:r w:rsidR="00E80D70" w:rsidRPr="00E80D70">
        <w:t>the pigment</w:t>
      </w:r>
      <w:proofErr w:type="gramEnd"/>
      <w:r w:rsidR="00E80D70" w:rsidRPr="00E80D70">
        <w:t xml:space="preserve"> concentration, which if too high can reduce the degree of polymerization of the composite and result in poor mechanical properties. However, when the concentration is too low, satisfactory aesthetic results are difficult to achieve. Therefore, the aim of this research is to apply non-toxic organic pigment, </w:t>
      </w:r>
      <w:proofErr w:type="spellStart"/>
      <w:r w:rsidR="00E80D70" w:rsidRPr="00E80D70">
        <w:t>Cromophtal</w:t>
      </w:r>
      <w:proofErr w:type="spellEnd"/>
      <w:r w:rsidR="00E80D70" w:rsidRPr="00E80D70">
        <w:t xml:space="preserve"> Red BRN, in the denture base composition and determine the effect of its concentration on the aesthetic quality of the denture base product through optical analysis. The stages carried out are (1) Making Polymethyl Methacrylate polymer (2) Making denture base specimens (3) Optical Analysis. The result of this research shows that using the organic pigment </w:t>
      </w:r>
      <w:proofErr w:type="spellStart"/>
      <w:r w:rsidR="00E80D70" w:rsidRPr="00E80D70">
        <w:t>Cromophtal</w:t>
      </w:r>
      <w:proofErr w:type="spellEnd"/>
      <w:r w:rsidR="00E80D70" w:rsidRPr="00E80D70">
        <w:t xml:space="preserve"> Red BRN with a minimum concentration of 0.01% in denture base composition can imitate the color of natural </w:t>
      </w:r>
      <w:proofErr w:type="spellStart"/>
      <w:r w:rsidR="00E80D70" w:rsidRPr="00E80D70">
        <w:t>aveolar</w:t>
      </w:r>
      <w:proofErr w:type="spellEnd"/>
      <w:r w:rsidR="00E80D70" w:rsidRPr="00E80D70">
        <w:t xml:space="preserve"> mucosa, so that it can fulfill aesthetic qualities without </w:t>
      </w:r>
      <w:proofErr w:type="gramStart"/>
      <w:r w:rsidR="00E80D70" w:rsidRPr="00E80D70">
        <w:t>jeopardize</w:t>
      </w:r>
      <w:proofErr w:type="gramEnd"/>
      <w:r w:rsidR="00E80D70" w:rsidRPr="00E80D70">
        <w:t xml:space="preserve"> its mechanical properties</w:t>
      </w:r>
      <w:r w:rsidR="00E80D70">
        <w:t>.</w:t>
      </w:r>
    </w:p>
    <w:p w14:paraId="1C84507C" w14:textId="1B1069AF" w:rsidR="00CF4D81" w:rsidRPr="00CF4D81" w:rsidRDefault="004E3C57" w:rsidP="00CF4D81">
      <w:pPr>
        <w:pStyle w:val="Heading1"/>
      </w:pPr>
      <w:r w:rsidRPr="00075EA6">
        <w:t>i</w:t>
      </w:r>
      <w:r w:rsidR="00CF4D81">
        <w:t>NTRODUCTION</w:t>
      </w:r>
    </w:p>
    <w:p w14:paraId="1E7702EE" w14:textId="0DEBB8E0" w:rsidR="00B1000D" w:rsidRDefault="0052785D" w:rsidP="00827050">
      <w:pPr>
        <w:pStyle w:val="Paragraph"/>
      </w:pPr>
      <w:r w:rsidRPr="0052785D">
        <w:t xml:space="preserve">Edentulous is a condition where the patient has no teeth, lacks teeth, or experiences tooth loss. </w:t>
      </w:r>
      <w:r w:rsidR="006507F5">
        <w:t>Removable d</w:t>
      </w:r>
      <w:r w:rsidRPr="0052785D">
        <w:t>entures have been used for decades to replace function and aesthetics in edentulous patients</w:t>
      </w:r>
      <w:r w:rsidR="00702A06">
        <w:rPr>
          <w:vertAlign w:val="superscript"/>
        </w:rPr>
        <w:t xml:space="preserve"> </w:t>
      </w:r>
      <w:r w:rsidR="00702A06">
        <w:t>[1]</w:t>
      </w:r>
      <w:r w:rsidRPr="0052785D">
        <w:t xml:space="preserve">. Based on data from </w:t>
      </w:r>
      <w:r w:rsidR="006507F5" w:rsidRPr="006507F5">
        <w:t xml:space="preserve">Badan </w:t>
      </w:r>
      <w:proofErr w:type="spellStart"/>
      <w:r w:rsidR="006507F5" w:rsidRPr="006507F5">
        <w:t>Pengkajian</w:t>
      </w:r>
      <w:proofErr w:type="spellEnd"/>
      <w:r w:rsidR="006507F5" w:rsidRPr="006507F5">
        <w:t xml:space="preserve"> dan </w:t>
      </w:r>
      <w:proofErr w:type="spellStart"/>
      <w:r w:rsidR="006507F5" w:rsidRPr="006507F5">
        <w:t>Penerapan</w:t>
      </w:r>
      <w:proofErr w:type="spellEnd"/>
      <w:r w:rsidR="006507F5" w:rsidRPr="006507F5">
        <w:t xml:space="preserve"> </w:t>
      </w:r>
      <w:proofErr w:type="spellStart"/>
      <w:r w:rsidR="006507F5" w:rsidRPr="006507F5">
        <w:t>Teknologi</w:t>
      </w:r>
      <w:proofErr w:type="spellEnd"/>
      <w:r w:rsidRPr="0052785D">
        <w:t xml:space="preserve"> (BPPT), in Indonesia the need for </w:t>
      </w:r>
      <w:r w:rsidR="006507F5">
        <w:t xml:space="preserve">removable </w:t>
      </w:r>
      <w:r w:rsidRPr="0052785D">
        <w:t>dentures reaches 2,500 pieces per month and fulfillment of this need is still carried out by import activities</w:t>
      </w:r>
      <w:r w:rsidR="00702A06">
        <w:rPr>
          <w:vertAlign w:val="superscript"/>
        </w:rPr>
        <w:t xml:space="preserve"> </w:t>
      </w:r>
      <w:r w:rsidR="00702A06">
        <w:t>[2].</w:t>
      </w:r>
    </w:p>
    <w:p w14:paraId="026525C5" w14:textId="3758679F" w:rsidR="006507F5" w:rsidRDefault="006507F5" w:rsidP="00827050">
      <w:pPr>
        <w:pStyle w:val="Paragraph"/>
      </w:pPr>
      <w:r>
        <w:t>D</w:t>
      </w:r>
      <w:r w:rsidRPr="006507F5">
        <w:t>enture base is part of a removable denture which is defined as the base tissue to which the teeth are attached</w:t>
      </w:r>
      <w:r w:rsidR="00702A06">
        <w:rPr>
          <w:vertAlign w:val="superscript"/>
        </w:rPr>
        <w:t xml:space="preserve"> </w:t>
      </w:r>
      <w:r w:rsidR="00702A06">
        <w:t xml:space="preserve">[3]. </w:t>
      </w:r>
      <w:r w:rsidRPr="006507F5">
        <w:t>The material for commercial denture bases is based on acrylic resin with a polymer base of Polymethyl Methacrylate (PMMA) which is available in the form of a powder liquid system which is heat cured</w:t>
      </w:r>
      <w:r w:rsidR="00702A06">
        <w:rPr>
          <w:vertAlign w:val="superscript"/>
        </w:rPr>
        <w:t xml:space="preserve"> </w:t>
      </w:r>
      <w:r w:rsidR="00702A06">
        <w:t xml:space="preserve">[4]. </w:t>
      </w:r>
      <w:r w:rsidRPr="006507F5">
        <w:t>One of the most important factors in materials for denture bases to support the success of restorative treatment in edentulous patients is the aesthetic factor. The base gingival color and pigmentation color must be adjusted to the denture base to make it look more natural</w:t>
      </w:r>
      <w:r w:rsidR="00702A06">
        <w:rPr>
          <w:vertAlign w:val="superscript"/>
        </w:rPr>
        <w:t xml:space="preserve"> </w:t>
      </w:r>
      <w:r w:rsidR="00702A06">
        <w:t>[5].</w:t>
      </w:r>
      <w:r w:rsidRPr="006507F5">
        <w:t xml:space="preserve"> Adjusting the color of the denture base can be done by adding pigment to the resin composition of the denture base to help match the color of the patient's denture base</w:t>
      </w:r>
      <w:r w:rsidR="00702A06">
        <w:rPr>
          <w:vertAlign w:val="superscript"/>
        </w:rPr>
        <w:t xml:space="preserve"> </w:t>
      </w:r>
      <w:r w:rsidR="00702A06">
        <w:t>[6].</w:t>
      </w:r>
    </w:p>
    <w:p w14:paraId="20CA363C" w14:textId="5954D01D" w:rsidR="006507F5" w:rsidRDefault="006507F5" w:rsidP="00827050">
      <w:pPr>
        <w:pStyle w:val="Paragraph"/>
      </w:pPr>
      <w:r w:rsidRPr="006507F5">
        <w:t xml:space="preserve">Inorganic pigments such as cadmium sulfide and </w:t>
      </w:r>
      <w:proofErr w:type="spellStart"/>
      <w:r w:rsidRPr="006507F5">
        <w:t>sulfoselenide</w:t>
      </w:r>
      <w:proofErr w:type="spellEnd"/>
      <w:r w:rsidRPr="006507F5">
        <w:t xml:space="preserve"> have been used for many years to color denture base resins due to their technical advantages</w:t>
      </w:r>
      <w:r w:rsidR="00702A06">
        <w:rPr>
          <w:vertAlign w:val="superscript"/>
        </w:rPr>
        <w:t xml:space="preserve"> </w:t>
      </w:r>
      <w:r w:rsidR="00702A06">
        <w:t xml:space="preserve">[7]. </w:t>
      </w:r>
      <w:r w:rsidRPr="006507F5">
        <w:t>However, the use of cadmium-based pigments is strictly limited due to their potential toxicity</w:t>
      </w:r>
      <w:r w:rsidR="00702A06">
        <w:rPr>
          <w:vertAlign w:val="superscript"/>
        </w:rPr>
        <w:t xml:space="preserve"> </w:t>
      </w:r>
      <w:r w:rsidR="00702A06">
        <w:t xml:space="preserve">[8]. </w:t>
      </w:r>
      <w:r w:rsidRPr="006507F5">
        <w:t xml:space="preserve">Therefore, today many prosthodontists are looking for new and better colors </w:t>
      </w:r>
      <w:proofErr w:type="gramStart"/>
      <w:r w:rsidRPr="006507F5">
        <w:t>to color</w:t>
      </w:r>
      <w:proofErr w:type="gramEnd"/>
      <w:r w:rsidRPr="006507F5">
        <w:t xml:space="preserve"> denture base resin. There are </w:t>
      </w:r>
      <w:proofErr w:type="gramStart"/>
      <w:r w:rsidRPr="006507F5">
        <w:t>a number of</w:t>
      </w:r>
      <w:proofErr w:type="gramEnd"/>
      <w:r w:rsidRPr="006507F5">
        <w:t xml:space="preserve"> factors that must be considered in choosing pigments such as being easy to mix with acrylic resin, non-toxic, non-irritating, and non-carcinogenic. Because of the considerations above, most manufacturers are starting to switch to organic pigment systems which are considered to have high color strength compared to inorganic pigments, namely, </w:t>
      </w:r>
      <w:proofErr w:type="spellStart"/>
      <w:r w:rsidRPr="006507F5">
        <w:t>Cromophtal</w:t>
      </w:r>
      <w:proofErr w:type="spellEnd"/>
      <w:r w:rsidRPr="006507F5">
        <w:t xml:space="preserve"> Red BRN (Pigment Red 144)</w:t>
      </w:r>
      <w:r w:rsidR="004C65B5" w:rsidRPr="004C65B5">
        <w:rPr>
          <w:vertAlign w:val="superscript"/>
        </w:rPr>
        <w:t>6</w:t>
      </w:r>
      <w:r w:rsidRPr="006507F5">
        <w:t>.</w:t>
      </w:r>
    </w:p>
    <w:p w14:paraId="73EDF91D" w14:textId="01A6533A" w:rsidR="006507F5" w:rsidRDefault="006507F5" w:rsidP="006507F5">
      <w:pPr>
        <w:pStyle w:val="Paragraph"/>
      </w:pPr>
      <w:r>
        <w:lastRenderedPageBreak/>
        <w:t xml:space="preserve">In denture base composites, this pigment is locked in the denture base polymer network and is used in very small concentrations. It is necessary to pay attention to the concentration of pigment in the denture base resin because in some cases when the proportion of color powder is too large, the acrylic resin will not absorb all the color </w:t>
      </w:r>
      <w:proofErr w:type="gramStart"/>
      <w:r>
        <w:t>material</w:t>
      </w:r>
      <w:proofErr w:type="gramEnd"/>
      <w:r>
        <w:t xml:space="preserve"> and this excess powder will interfere with resin polymerization</w:t>
      </w:r>
      <w:r w:rsidR="00702A06">
        <w:rPr>
          <w:vertAlign w:val="superscript"/>
        </w:rPr>
        <w:t xml:space="preserve"> </w:t>
      </w:r>
      <w:r w:rsidR="00702A06">
        <w:t xml:space="preserve">[9]. </w:t>
      </w:r>
      <w:r>
        <w:t>In Saikaew's</w:t>
      </w:r>
      <w:r w:rsidR="00702A06">
        <w:rPr>
          <w:vertAlign w:val="superscript"/>
        </w:rPr>
        <w:t xml:space="preserve"> </w:t>
      </w:r>
      <w:r w:rsidR="00702A06">
        <w:t xml:space="preserve">[9]. </w:t>
      </w:r>
      <w:r>
        <w:t>research, increasing the dye concentration significantly reduces the degree of conversion of the composite which causes high residual monomer and produces poor mechanical properties. This means that the pigmentation color of the denture base is limited to a certain range of shades and the best aesthetic restoration results are difficult to achieve. However, if pigments with high color strength are used, such as organic pigments, then just a small amount of pigment added can provide a bright color so that it can better satisfy the aesthetic aspect of the denture base, especially Indonesian denture bases which tend to be darker.</w:t>
      </w:r>
    </w:p>
    <w:p w14:paraId="56B829C5" w14:textId="54A2A82C" w:rsidR="003F31C6" w:rsidRDefault="006507F5" w:rsidP="00B1000D">
      <w:pPr>
        <w:pStyle w:val="Paragraph"/>
      </w:pPr>
      <w:r w:rsidRPr="006507F5">
        <w:t xml:space="preserve">From previous studies, pigment concentration is an important factor that greatly influences the optical, mechanical and resin polymerization properties of denture base specimens. Apart from that, the type of pigment used also produces different optical properties due to differences in color strength. Where in the studies above only used inorganic pigments. </w:t>
      </w:r>
      <w:proofErr w:type="gramStart"/>
      <w:r w:rsidRPr="006507F5">
        <w:t>So</w:t>
      </w:r>
      <w:proofErr w:type="gramEnd"/>
      <w:r w:rsidRPr="006507F5">
        <w:t xml:space="preserve"> research on adding the organic pigment BRN Red </w:t>
      </w:r>
      <w:proofErr w:type="spellStart"/>
      <w:r w:rsidRPr="006507F5">
        <w:t>Cromophtal</w:t>
      </w:r>
      <w:proofErr w:type="spellEnd"/>
      <w:r w:rsidRPr="006507F5">
        <w:t xml:space="preserve"> needs to be carried out because of the lack of studies and literature regarding the effect of adding organic pigments.</w:t>
      </w:r>
    </w:p>
    <w:p w14:paraId="545D64A6" w14:textId="77777777" w:rsidR="00CF4D81" w:rsidRDefault="00CF4D81" w:rsidP="00CF4D81">
      <w:pPr>
        <w:pStyle w:val="Paragraph"/>
        <w:ind w:firstLine="0"/>
      </w:pPr>
    </w:p>
    <w:p w14:paraId="65CCDA97" w14:textId="47F7075E" w:rsidR="00CF4D81" w:rsidRDefault="00D74C45" w:rsidP="00CF4D81">
      <w:pPr>
        <w:pStyle w:val="Heading1"/>
      </w:pPr>
      <w:r>
        <w:t>MATERIALS AND METHOD</w:t>
      </w:r>
    </w:p>
    <w:p w14:paraId="0DCE8B00" w14:textId="16C5EBF2" w:rsidR="00D74C45" w:rsidRDefault="00D74C45" w:rsidP="00D74C45">
      <w:pPr>
        <w:pStyle w:val="Heading2"/>
      </w:pPr>
      <w:r>
        <w:t>Materials</w:t>
      </w:r>
    </w:p>
    <w:p w14:paraId="17541668" w14:textId="2E4DF2C9" w:rsidR="00D74C45" w:rsidRPr="00D74C45" w:rsidRDefault="00D74C45" w:rsidP="00D74C45">
      <w:pPr>
        <w:pStyle w:val="Paragraph"/>
      </w:pPr>
      <w:r w:rsidRPr="00D74C45">
        <w:t>Methyl Methacrylate (MMA)</w:t>
      </w:r>
      <w:r w:rsidR="00A21024">
        <w:t xml:space="preserve"> (sigma-Aldrich </w:t>
      </w:r>
      <w:proofErr w:type="spellStart"/>
      <w:r w:rsidR="00A21024">
        <w:t>p.a</w:t>
      </w:r>
      <w:proofErr w:type="spellEnd"/>
      <w:r w:rsidR="00A21024">
        <w:t>)</w:t>
      </w:r>
      <w:r>
        <w:t xml:space="preserve">, </w:t>
      </w:r>
      <w:r w:rsidRPr="00D74C45">
        <w:t>Hidroksiapatit (</w:t>
      </w:r>
      <w:proofErr w:type="spellStart"/>
      <w:r w:rsidRPr="00D74C45">
        <w:t>HAp</w:t>
      </w:r>
      <w:proofErr w:type="spellEnd"/>
      <w:r w:rsidRPr="00D74C45">
        <w:t>)</w:t>
      </w:r>
      <w:r w:rsidR="00A21024">
        <w:t xml:space="preserve"> (sigma-Aldrich)</w:t>
      </w:r>
      <w:r>
        <w:t xml:space="preserve">, </w:t>
      </w:r>
      <w:r w:rsidRPr="00D74C45">
        <w:t>3-(</w:t>
      </w:r>
      <w:proofErr w:type="spellStart"/>
      <w:r w:rsidRPr="00D74C45">
        <w:t>methacryloxy</w:t>
      </w:r>
      <w:proofErr w:type="spellEnd"/>
      <w:r w:rsidRPr="00D74C45">
        <w:t xml:space="preserve">) propyl </w:t>
      </w:r>
      <w:proofErr w:type="spellStart"/>
      <w:r w:rsidRPr="00D74C45">
        <w:t>trimethoxysilane</w:t>
      </w:r>
      <w:proofErr w:type="spellEnd"/>
      <w:r>
        <w:t xml:space="preserve"> (</w:t>
      </w:r>
      <w:r w:rsidRPr="00D74C45">
        <w:rPr>
          <w:rFonts w:ascii="Cambria Math" w:hAnsi="Cambria Math" w:cs="Cambria Math"/>
        </w:rPr>
        <w:t>𝛾</w:t>
      </w:r>
      <w:r w:rsidRPr="00D74C45">
        <w:t>−MPS)</w:t>
      </w:r>
      <w:r w:rsidR="00A21024">
        <w:t xml:space="preserve"> (sigma-Aldrich </w:t>
      </w:r>
      <w:proofErr w:type="spellStart"/>
      <w:r w:rsidR="00A21024">
        <w:t>p.a</w:t>
      </w:r>
      <w:proofErr w:type="spellEnd"/>
      <w:r w:rsidR="00A21024">
        <w:t>)</w:t>
      </w:r>
      <w:r>
        <w:t xml:space="preserve">, and </w:t>
      </w:r>
      <w:r w:rsidRPr="00D74C45">
        <w:t xml:space="preserve">Ethylene glycol </w:t>
      </w:r>
      <w:proofErr w:type="spellStart"/>
      <w:r w:rsidRPr="00D74C45">
        <w:t>dimethacrylate</w:t>
      </w:r>
      <w:proofErr w:type="spellEnd"/>
      <w:r w:rsidRPr="00D74C45">
        <w:t xml:space="preserve"> (EGDMA)</w:t>
      </w:r>
      <w:r>
        <w:t xml:space="preserve"> </w:t>
      </w:r>
      <w:r w:rsidR="00A21024">
        <w:t xml:space="preserve">(sigma-Aldrich </w:t>
      </w:r>
      <w:proofErr w:type="spellStart"/>
      <w:r w:rsidR="00A21024">
        <w:t>p.a</w:t>
      </w:r>
      <w:proofErr w:type="spellEnd"/>
      <w:proofErr w:type="gramStart"/>
      <w:r w:rsidR="00A21024">
        <w:t xml:space="preserve">)  </w:t>
      </w:r>
      <w:r>
        <w:t>was</w:t>
      </w:r>
      <w:proofErr w:type="gramEnd"/>
      <w:r>
        <w:t xml:space="preserve"> purchased from PT. </w:t>
      </w:r>
      <w:proofErr w:type="spellStart"/>
      <w:r>
        <w:t>Indofa</w:t>
      </w:r>
      <w:proofErr w:type="spellEnd"/>
      <w:r>
        <w:t xml:space="preserve"> Utama Multicore. </w:t>
      </w:r>
      <w:r w:rsidR="00A21024">
        <w:t xml:space="preserve">Organic pigment BRN Red </w:t>
      </w:r>
      <w:proofErr w:type="spellStart"/>
      <w:r w:rsidR="00A21024">
        <w:t>Cromophtal</w:t>
      </w:r>
      <w:proofErr w:type="spellEnd"/>
      <w:r w:rsidR="00A21024">
        <w:t xml:space="preserve"> and </w:t>
      </w:r>
      <w:proofErr w:type="spellStart"/>
      <w:r w:rsidR="00A21024">
        <w:t>Anorganic</w:t>
      </w:r>
      <w:proofErr w:type="spellEnd"/>
      <w:r w:rsidR="00A21024">
        <w:t xml:space="preserve"> pigment Cadmium </w:t>
      </w:r>
      <w:proofErr w:type="spellStart"/>
      <w:r w:rsidR="00A21024">
        <w:t>Sulfoselenida</w:t>
      </w:r>
      <w:proofErr w:type="spellEnd"/>
      <w:r w:rsidR="00A21024">
        <w:t xml:space="preserve"> </w:t>
      </w:r>
      <w:proofErr w:type="gramStart"/>
      <w:r w:rsidR="00A21024">
        <w:t>was</w:t>
      </w:r>
      <w:proofErr w:type="gramEnd"/>
      <w:r w:rsidR="00A21024">
        <w:t xml:space="preserve"> purchased from </w:t>
      </w:r>
      <w:r w:rsidRPr="00D74C45">
        <w:t xml:space="preserve">Hubei </w:t>
      </w:r>
      <w:proofErr w:type="spellStart"/>
      <w:r w:rsidRPr="00D74C45">
        <w:t>Clf</w:t>
      </w:r>
      <w:proofErr w:type="spellEnd"/>
      <w:r w:rsidRPr="00D74C45">
        <w:t xml:space="preserve"> </w:t>
      </w:r>
      <w:proofErr w:type="spellStart"/>
      <w:r w:rsidRPr="00D74C45">
        <w:t>Sci&amp;Tec</w:t>
      </w:r>
      <w:proofErr w:type="spellEnd"/>
      <w:r w:rsidRPr="00D74C45">
        <w:t xml:space="preserve"> Co., Ltd</w:t>
      </w:r>
      <w:r w:rsidR="00A21024">
        <w:t>.</w:t>
      </w:r>
    </w:p>
    <w:p w14:paraId="38145855" w14:textId="77777777" w:rsidR="00CF4D81" w:rsidRDefault="00CF4D81" w:rsidP="00A21024">
      <w:pPr>
        <w:pStyle w:val="Paragraph"/>
        <w:ind w:firstLine="0"/>
      </w:pPr>
    </w:p>
    <w:p w14:paraId="03A60C85" w14:textId="49ECFDDC" w:rsidR="00971E3B" w:rsidRDefault="00971E3B" w:rsidP="00971E3B">
      <w:pPr>
        <w:pStyle w:val="Heading2"/>
      </w:pPr>
      <w:r>
        <w:t>Procedure</w:t>
      </w:r>
    </w:p>
    <w:p w14:paraId="0B82CA18" w14:textId="25C2AC5A" w:rsidR="00971E3B" w:rsidRPr="00971E3B" w:rsidRDefault="00971E3B" w:rsidP="00971E3B">
      <w:pPr>
        <w:pStyle w:val="Paragraph"/>
      </w:pPr>
      <w:r w:rsidRPr="00971E3B">
        <w:t>Firs</w:t>
      </w:r>
      <w:r w:rsidR="00AF57ED">
        <w:t>t</w:t>
      </w:r>
      <w:r w:rsidRPr="00971E3B">
        <w:t xml:space="preserve">, PMMA polymer was produced using a suspension polymerization process. </w:t>
      </w:r>
      <w:r w:rsidR="00AF57ED">
        <w:t>T</w:t>
      </w:r>
      <w:r w:rsidRPr="00971E3B">
        <w:t xml:space="preserve">hen the hydroxyapatite was </w:t>
      </w:r>
      <w:proofErr w:type="spellStart"/>
      <w:r w:rsidRPr="00971E3B">
        <w:t>silanized</w:t>
      </w:r>
      <w:proofErr w:type="spellEnd"/>
      <w:r w:rsidRPr="00971E3B">
        <w:t xml:space="preserve"> with gamma MPS of 8%wt γ-MPS against hydroxyapatite in methanol-</w:t>
      </w:r>
      <w:proofErr w:type="spellStart"/>
      <w:r w:rsidRPr="00971E3B">
        <w:t>aquadest</w:t>
      </w:r>
      <w:proofErr w:type="spellEnd"/>
      <w:r w:rsidRPr="00971E3B">
        <w:t xml:space="preserve"> solvent with a ratio of 90:10. </w:t>
      </w:r>
      <w:proofErr w:type="spellStart"/>
      <w:r w:rsidR="00CB75B1">
        <w:t>Ddenture</w:t>
      </w:r>
      <w:proofErr w:type="spellEnd"/>
      <w:r w:rsidR="00CB75B1">
        <w:t xml:space="preserve"> base specimens were made by m</w:t>
      </w:r>
      <w:r w:rsidRPr="00971E3B">
        <w:t xml:space="preserve">ix the </w:t>
      </w:r>
      <w:r w:rsidR="00AF57ED">
        <w:t>powder</w:t>
      </w:r>
      <w:r w:rsidRPr="00971E3B">
        <w:t xml:space="preserve"> ingredients (PMMA powder, BPO, pigment, and treated </w:t>
      </w:r>
      <w:proofErr w:type="spellStart"/>
      <w:r w:rsidRPr="00971E3B">
        <w:t>HAp</w:t>
      </w:r>
      <w:proofErr w:type="spellEnd"/>
      <w:r w:rsidRPr="00971E3B">
        <w:t xml:space="preserve">) with a V-Blender at 60 rpm for 30 minutes. There are 2 different types of pigment used in each </w:t>
      </w:r>
      <w:r w:rsidR="00CB75B1">
        <w:t xml:space="preserve">denture base </w:t>
      </w:r>
      <w:r w:rsidRPr="00971E3B">
        <w:t xml:space="preserve">specimen, namely the organic pigment BRN Red </w:t>
      </w:r>
      <w:proofErr w:type="spellStart"/>
      <w:r w:rsidRPr="00971E3B">
        <w:t>Cromophtal</w:t>
      </w:r>
      <w:proofErr w:type="spellEnd"/>
      <w:r w:rsidRPr="00971E3B">
        <w:t xml:space="preserve"> and the inorganic pigment Cadmium </w:t>
      </w:r>
      <w:proofErr w:type="spellStart"/>
      <w:r w:rsidRPr="00971E3B">
        <w:t>Suslfoselenide</w:t>
      </w:r>
      <w:proofErr w:type="spellEnd"/>
      <w:r w:rsidRPr="00971E3B">
        <w:t xml:space="preserve"> with a concentration of 0%; 0.01%; 0.02%; 0.04%; 0.06%; 0.08%; 0.1%; and 0.12%wt. </w:t>
      </w:r>
      <w:r w:rsidR="00CB75B1">
        <w:t>Then</w:t>
      </w:r>
      <w:r w:rsidRPr="00971E3B">
        <w:t xml:space="preserve"> the </w:t>
      </w:r>
      <w:r w:rsidR="00AF57ED">
        <w:t>powder</w:t>
      </w:r>
      <w:r w:rsidRPr="00971E3B">
        <w:t xml:space="preserve"> and liquid (MMA and EGDMA) </w:t>
      </w:r>
      <w:r w:rsidR="00CB75B1">
        <w:t xml:space="preserve">were mixed </w:t>
      </w:r>
      <w:r w:rsidRPr="00971E3B">
        <w:t xml:space="preserve">in a mixing bowl using the </w:t>
      </w:r>
      <w:proofErr w:type="spellStart"/>
      <w:r w:rsidRPr="00971E3B">
        <w:t>handmixed</w:t>
      </w:r>
      <w:proofErr w:type="spellEnd"/>
      <w:r w:rsidRPr="00971E3B">
        <w:t xml:space="preserve"> method until it reaches the dough stage. The dough is molded using standard molds, then the heat cured polymerization process is carried out in a water bath temperature of 78</w:t>
      </w:r>
      <w:r w:rsidRPr="00CB75B1">
        <w:rPr>
          <w:vertAlign w:val="superscript"/>
        </w:rPr>
        <w:t>o</w:t>
      </w:r>
      <w:r w:rsidRPr="00971E3B">
        <w:t>C for 90 minutes, then the temperature is increased to 100</w:t>
      </w:r>
      <w:r w:rsidRPr="00CB75B1">
        <w:rPr>
          <w:vertAlign w:val="superscript"/>
        </w:rPr>
        <w:t>o</w:t>
      </w:r>
      <w:r w:rsidRPr="00971E3B">
        <w:t>C for 30 minutes.</w:t>
      </w:r>
    </w:p>
    <w:p w14:paraId="61110A81" w14:textId="77777777" w:rsidR="00CF4D81" w:rsidRDefault="00CF4D81" w:rsidP="00CF4D81">
      <w:pPr>
        <w:pStyle w:val="Paragraph"/>
        <w:ind w:firstLine="0"/>
      </w:pPr>
    </w:p>
    <w:p w14:paraId="351F6C91" w14:textId="26D0DE9C" w:rsidR="006507F5" w:rsidRDefault="00971E3B" w:rsidP="00971E3B">
      <w:pPr>
        <w:pStyle w:val="Heading2"/>
      </w:pPr>
      <w:r>
        <w:t>Characterization</w:t>
      </w:r>
    </w:p>
    <w:p w14:paraId="7EF86116" w14:textId="3C920D74" w:rsidR="00AF57ED" w:rsidRDefault="00AF57ED" w:rsidP="00B94B86">
      <w:pPr>
        <w:pStyle w:val="Paragraph"/>
      </w:pPr>
      <w:proofErr w:type="spellStart"/>
      <w:r>
        <w:t>Silanized</w:t>
      </w:r>
      <w:proofErr w:type="spellEnd"/>
      <w:r>
        <w:t xml:space="preserve"> hydroxyapatite was characterized using </w:t>
      </w:r>
      <w:r w:rsidRPr="00AF57ED">
        <w:t>Fourier Transform Infrared (FTIR)</w:t>
      </w:r>
      <w:r>
        <w:t xml:space="preserve"> analysis </w:t>
      </w:r>
      <w:r w:rsidR="00CB75B1" w:rsidRPr="00CB75B1">
        <w:t>to detect silanol</w:t>
      </w:r>
      <w:r w:rsidR="00CB75B1">
        <w:t xml:space="preserve"> (Si)</w:t>
      </w:r>
      <w:r w:rsidR="00CB75B1" w:rsidRPr="00CB75B1">
        <w:t xml:space="preserve"> groups that appeared after the </w:t>
      </w:r>
      <w:proofErr w:type="spellStart"/>
      <w:r w:rsidR="00CB75B1" w:rsidRPr="00CB75B1">
        <w:t>silanization</w:t>
      </w:r>
      <w:proofErr w:type="spellEnd"/>
      <w:r w:rsidR="00CB75B1" w:rsidRPr="00CB75B1">
        <w:t xml:space="preserve"> process</w:t>
      </w:r>
      <w:r w:rsidR="00CB75B1">
        <w:t xml:space="preserve">. </w:t>
      </w:r>
      <w:r w:rsidR="00B94B86">
        <w:t xml:space="preserve">Then to get aesthetic perspective from each denture base specimens, optical analysis using digital photography was carried out by </w:t>
      </w:r>
      <w:r w:rsidR="00B94B86" w:rsidRPr="00B94B86">
        <w:t>measuring the color of each specimen as in the Vafaee</w:t>
      </w:r>
      <w:r w:rsidR="004C65B5" w:rsidRPr="004C65B5">
        <w:rPr>
          <w:vertAlign w:val="superscript"/>
        </w:rPr>
        <w:t>10</w:t>
      </w:r>
      <w:r w:rsidR="00B94B86" w:rsidRPr="00B94B86">
        <w:t xml:space="preserve"> journal with a digital camera instrument in a series of tools as in </w:t>
      </w:r>
      <w:r w:rsidR="00B94B86" w:rsidRPr="00827712">
        <w:rPr>
          <w:b/>
          <w:bCs/>
        </w:rPr>
        <w:t>Figure</w:t>
      </w:r>
      <w:r w:rsidR="00827712" w:rsidRPr="00827712">
        <w:rPr>
          <w:b/>
          <w:bCs/>
        </w:rPr>
        <w:t xml:space="preserve"> 1</w:t>
      </w:r>
      <w:r w:rsidR="00B94B86" w:rsidRPr="00B94B86">
        <w:t xml:space="preserve"> and then measuring it quantitatively using the CIE L*a*b* system with the Photoshop application.</w:t>
      </w:r>
    </w:p>
    <w:p w14:paraId="449B4B0D" w14:textId="77777777" w:rsidR="00F84FA9" w:rsidRDefault="00F84FA9" w:rsidP="00F84FA9">
      <w:pPr>
        <w:pStyle w:val="Paragraph"/>
        <w:keepNext/>
        <w:ind w:firstLine="0"/>
        <w:jc w:val="center"/>
      </w:pPr>
      <w:r w:rsidRPr="00F84FA9">
        <w:rPr>
          <w:noProof/>
        </w:rPr>
        <w:lastRenderedPageBreak/>
        <w:drawing>
          <wp:inline distT="0" distB="0" distL="0" distR="0" wp14:anchorId="16C2D843" wp14:editId="1A200DB6">
            <wp:extent cx="3192780" cy="1435727"/>
            <wp:effectExtent l="0" t="0" r="7620" b="0"/>
            <wp:docPr id="9694840" name="Picture 1" descr="A black and white image of a rectangular object with a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4840" name="Picture 1" descr="A black and white image of a rectangular object with a number&#10;&#10;Description automatically generated"/>
                    <pic:cNvPicPr/>
                  </pic:nvPicPr>
                  <pic:blipFill>
                    <a:blip r:embed="rId9"/>
                    <a:stretch>
                      <a:fillRect/>
                    </a:stretch>
                  </pic:blipFill>
                  <pic:spPr>
                    <a:xfrm>
                      <a:off x="0" y="0"/>
                      <a:ext cx="3219346" cy="1447673"/>
                    </a:xfrm>
                    <a:prstGeom prst="rect">
                      <a:avLst/>
                    </a:prstGeom>
                  </pic:spPr>
                </pic:pic>
              </a:graphicData>
            </a:graphic>
          </wp:inline>
        </w:drawing>
      </w:r>
    </w:p>
    <w:p w14:paraId="4AF0C881" w14:textId="32AC0B95" w:rsidR="00F84FA9" w:rsidRPr="00F84FA9" w:rsidRDefault="00F84FA9" w:rsidP="00F84FA9">
      <w:pPr>
        <w:pStyle w:val="TableCaption"/>
      </w:pPr>
      <w:r w:rsidRPr="00F84FA9">
        <w:rPr>
          <w:b/>
          <w:bCs/>
        </w:rPr>
        <w:t xml:space="preserve">Figure </w:t>
      </w:r>
      <w:r w:rsidRPr="00F84FA9">
        <w:rPr>
          <w:b/>
          <w:bCs/>
        </w:rPr>
        <w:fldChar w:fldCharType="begin"/>
      </w:r>
      <w:r w:rsidRPr="00F84FA9">
        <w:rPr>
          <w:b/>
          <w:bCs/>
        </w:rPr>
        <w:instrText xml:space="preserve"> SEQ Figure \* ARABIC </w:instrText>
      </w:r>
      <w:r w:rsidRPr="00F84FA9">
        <w:rPr>
          <w:b/>
          <w:bCs/>
        </w:rPr>
        <w:fldChar w:fldCharType="separate"/>
      </w:r>
      <w:r w:rsidR="00727F0D">
        <w:rPr>
          <w:b/>
          <w:bCs/>
          <w:noProof/>
        </w:rPr>
        <w:t>1</w:t>
      </w:r>
      <w:r w:rsidRPr="00F84FA9">
        <w:rPr>
          <w:b/>
          <w:bCs/>
        </w:rPr>
        <w:fldChar w:fldCharType="end"/>
      </w:r>
      <w:r w:rsidRPr="00F84FA9">
        <w:t>. Optical Analysis Equipment</w:t>
      </w:r>
    </w:p>
    <w:p w14:paraId="3432DAD5" w14:textId="77777777" w:rsidR="00827712" w:rsidRDefault="00827712" w:rsidP="00827712">
      <w:pPr>
        <w:pStyle w:val="Paragraph"/>
      </w:pPr>
      <w:proofErr w:type="gramStart"/>
      <w:r>
        <w:t>Information :</w:t>
      </w:r>
      <w:proofErr w:type="gramEnd"/>
    </w:p>
    <w:p w14:paraId="1E01F80B" w14:textId="77777777" w:rsidR="00827712" w:rsidRDefault="00827712" w:rsidP="00827712">
      <w:pPr>
        <w:pStyle w:val="Paragraph"/>
      </w:pPr>
      <w:r>
        <w:t>1. Dark box</w:t>
      </w:r>
    </w:p>
    <w:p w14:paraId="4C958F98" w14:textId="77777777" w:rsidR="00827712" w:rsidRDefault="00827712" w:rsidP="00827712">
      <w:pPr>
        <w:pStyle w:val="Paragraph"/>
      </w:pPr>
      <w:r>
        <w:t xml:space="preserve">2. </w:t>
      </w:r>
      <w:proofErr w:type="gramStart"/>
      <w:r>
        <w:t>60 watt</w:t>
      </w:r>
      <w:proofErr w:type="gramEnd"/>
      <w:r>
        <w:t xml:space="preserve"> halogen flashlight</w:t>
      </w:r>
    </w:p>
    <w:p w14:paraId="2427CB40" w14:textId="20B28CA4" w:rsidR="00AF57ED" w:rsidRDefault="00827712" w:rsidP="00827712">
      <w:pPr>
        <w:pStyle w:val="Paragraph"/>
      </w:pPr>
      <w:r>
        <w:t>3. Digital cameras</w:t>
      </w:r>
    </w:p>
    <w:p w14:paraId="764FEC79" w14:textId="77777777" w:rsidR="00827712" w:rsidRDefault="00827712" w:rsidP="00827712">
      <w:pPr>
        <w:pStyle w:val="Paragraph"/>
      </w:pPr>
    </w:p>
    <w:p w14:paraId="5C8A6DEF" w14:textId="446D0526" w:rsidR="00827712" w:rsidRDefault="00827712" w:rsidP="00827712">
      <w:pPr>
        <w:pStyle w:val="Heading1"/>
      </w:pPr>
      <w:r>
        <w:t>RESULT AND DISCUSSION</w:t>
      </w:r>
    </w:p>
    <w:p w14:paraId="7AA61B3A" w14:textId="31E16DD5" w:rsidR="0056694B" w:rsidRPr="0056694B" w:rsidRDefault="0056694B" w:rsidP="0056694B">
      <w:pPr>
        <w:pStyle w:val="Heading2"/>
      </w:pPr>
      <w:proofErr w:type="spellStart"/>
      <w:r>
        <w:t>Silanized</w:t>
      </w:r>
      <w:proofErr w:type="spellEnd"/>
      <w:r>
        <w:t xml:space="preserve"> Hydroxyapatite Characterization</w:t>
      </w:r>
    </w:p>
    <w:p w14:paraId="7854A447" w14:textId="3655058A" w:rsidR="00683EE5" w:rsidRDefault="00576D34" w:rsidP="00683EE5">
      <w:pPr>
        <w:pStyle w:val="Paragraph"/>
      </w:pPr>
      <w:r w:rsidRPr="00576D34">
        <w:t xml:space="preserve">The </w:t>
      </w:r>
      <w:proofErr w:type="spellStart"/>
      <w:r w:rsidRPr="00576D34">
        <w:t>silanization</w:t>
      </w:r>
      <w:proofErr w:type="spellEnd"/>
      <w:r w:rsidRPr="00576D34">
        <w:t xml:space="preserve"> process using 3-methacryloyloxy propyl </w:t>
      </w:r>
      <w:proofErr w:type="spellStart"/>
      <w:r w:rsidRPr="00576D34">
        <w:t>trimethoxysilane</w:t>
      </w:r>
      <w:proofErr w:type="spellEnd"/>
      <w:r w:rsidRPr="00576D34">
        <w:t xml:space="preserve"> (γ-MPS) aims to increase the compatibility between PMMA and </w:t>
      </w:r>
      <w:proofErr w:type="spellStart"/>
      <w:r w:rsidRPr="00576D34">
        <w:t>HAp</w:t>
      </w:r>
      <w:proofErr w:type="spellEnd"/>
      <w:r w:rsidRPr="00576D34">
        <w:t xml:space="preserve">. When silane is activated in an alcohol-water medium, hydrolysis and condensation reactions occur. Activated silane turns into silanol (Si-OH). Later, the bond on the filler surface will occur through a reaction between the silanol groups on the filler surface and the hydrolyzed silane molecules. During the </w:t>
      </w:r>
      <w:proofErr w:type="spellStart"/>
      <w:r w:rsidRPr="00576D34">
        <w:t>silanization</w:t>
      </w:r>
      <w:proofErr w:type="spellEnd"/>
      <w:r w:rsidRPr="00576D34">
        <w:t xml:space="preserve"> process, several layers of silane molecules form a thin layer around the filler particles, which are chemically or physically attached to the filler particles</w:t>
      </w:r>
      <w:r w:rsidR="009B495F">
        <w:rPr>
          <w:vertAlign w:val="superscript"/>
        </w:rPr>
        <w:t xml:space="preserve"> </w:t>
      </w:r>
      <w:r w:rsidR="009B495F">
        <w:t>[11].</w:t>
      </w:r>
    </w:p>
    <w:p w14:paraId="2EDEA644" w14:textId="4D93BCAF" w:rsidR="00491DF0" w:rsidRDefault="00491DF0" w:rsidP="00491DF0">
      <w:pPr>
        <w:pStyle w:val="Paragraph"/>
        <w:keepNext/>
        <w:ind w:firstLine="0"/>
        <w:jc w:val="center"/>
      </w:pPr>
      <w:r w:rsidRPr="00491DF0">
        <w:rPr>
          <w:noProof/>
        </w:rPr>
        <w:drawing>
          <wp:inline distT="0" distB="0" distL="0" distR="0" wp14:anchorId="37BA6974" wp14:editId="27E17715">
            <wp:extent cx="3832860" cy="2690951"/>
            <wp:effectExtent l="0" t="0" r="0" b="0"/>
            <wp:docPr id="1738598593" name="Picture 1" descr="A graph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598593" name="Picture 1" descr="A graph of a graph&#10;&#10;Description automatically generated"/>
                    <pic:cNvPicPr/>
                  </pic:nvPicPr>
                  <pic:blipFill rotWithShape="1">
                    <a:blip r:embed="rId10"/>
                    <a:srcRect l="1847"/>
                    <a:stretch/>
                  </pic:blipFill>
                  <pic:spPr bwMode="auto">
                    <a:xfrm>
                      <a:off x="0" y="0"/>
                      <a:ext cx="3841822" cy="2697243"/>
                    </a:xfrm>
                    <a:prstGeom prst="rect">
                      <a:avLst/>
                    </a:prstGeom>
                    <a:ln>
                      <a:noFill/>
                    </a:ln>
                    <a:extLst>
                      <a:ext uri="{53640926-AAD7-44D8-BBD7-CCE9431645EC}">
                        <a14:shadowObscured xmlns:a14="http://schemas.microsoft.com/office/drawing/2010/main"/>
                      </a:ext>
                    </a:extLst>
                  </pic:spPr>
                </pic:pic>
              </a:graphicData>
            </a:graphic>
          </wp:inline>
        </w:drawing>
      </w:r>
    </w:p>
    <w:p w14:paraId="26471F25" w14:textId="36B87BF2" w:rsidR="00491DF0" w:rsidRDefault="00491DF0" w:rsidP="00491DF0">
      <w:pPr>
        <w:pStyle w:val="TableCaption"/>
      </w:pPr>
      <w:r w:rsidRPr="00491DF0">
        <w:rPr>
          <w:b/>
          <w:bCs/>
        </w:rPr>
        <w:t xml:space="preserve">Figure </w:t>
      </w:r>
      <w:r w:rsidRPr="00491DF0">
        <w:rPr>
          <w:b/>
          <w:bCs/>
        </w:rPr>
        <w:fldChar w:fldCharType="begin"/>
      </w:r>
      <w:r w:rsidRPr="00491DF0">
        <w:rPr>
          <w:b/>
          <w:bCs/>
        </w:rPr>
        <w:instrText xml:space="preserve"> SEQ Figure \* ARABIC </w:instrText>
      </w:r>
      <w:r w:rsidRPr="00491DF0">
        <w:rPr>
          <w:b/>
          <w:bCs/>
        </w:rPr>
        <w:fldChar w:fldCharType="separate"/>
      </w:r>
      <w:r w:rsidR="00727F0D">
        <w:rPr>
          <w:b/>
          <w:bCs/>
          <w:noProof/>
        </w:rPr>
        <w:t>2</w:t>
      </w:r>
      <w:r w:rsidRPr="00491DF0">
        <w:rPr>
          <w:b/>
          <w:bCs/>
        </w:rPr>
        <w:fldChar w:fldCharType="end"/>
      </w:r>
      <w:r w:rsidRPr="00491DF0">
        <w:rPr>
          <w:b/>
          <w:bCs/>
        </w:rPr>
        <w:t>. FT-IR</w:t>
      </w:r>
      <w:r w:rsidRPr="00165623">
        <w:t xml:space="preserve"> spectrum of</w:t>
      </w:r>
      <w:r>
        <w:t xml:space="preserve"> Commercial </w:t>
      </w:r>
      <w:proofErr w:type="spellStart"/>
      <w:r>
        <w:t>HAp</w:t>
      </w:r>
      <w:proofErr w:type="spellEnd"/>
      <w:r>
        <w:t xml:space="preserve"> and </w:t>
      </w:r>
      <w:proofErr w:type="spellStart"/>
      <w:r>
        <w:t>Silanized</w:t>
      </w:r>
      <w:proofErr w:type="spellEnd"/>
      <w:r>
        <w:t xml:space="preserve"> </w:t>
      </w:r>
      <w:proofErr w:type="spellStart"/>
      <w:r>
        <w:t>HAp</w:t>
      </w:r>
      <w:proofErr w:type="spellEnd"/>
    </w:p>
    <w:p w14:paraId="79014B27" w14:textId="77777777" w:rsidR="00491DF0" w:rsidRDefault="00491DF0" w:rsidP="00491DF0">
      <w:pPr>
        <w:pStyle w:val="TableCaption"/>
        <w:jc w:val="left"/>
      </w:pPr>
    </w:p>
    <w:p w14:paraId="425171CC" w14:textId="19ADE229" w:rsidR="00576D34" w:rsidRDefault="00491DF0" w:rsidP="00683EE5">
      <w:pPr>
        <w:pStyle w:val="Paragraph"/>
      </w:pPr>
      <w:r w:rsidRPr="00491DF0">
        <w:rPr>
          <w:b/>
          <w:bCs/>
        </w:rPr>
        <w:t>Figure 2</w:t>
      </w:r>
      <w:r w:rsidRPr="00491DF0">
        <w:t xml:space="preserve"> above shows a comparison of the FTIR graph of commercial </w:t>
      </w:r>
      <w:proofErr w:type="spellStart"/>
      <w:r w:rsidRPr="00491DF0">
        <w:t>HAp</w:t>
      </w:r>
      <w:proofErr w:type="spellEnd"/>
      <w:r w:rsidRPr="00491DF0">
        <w:t xml:space="preserve"> with </w:t>
      </w:r>
      <w:proofErr w:type="spellStart"/>
      <w:r w:rsidRPr="00491DF0">
        <w:t>HAp</w:t>
      </w:r>
      <w:proofErr w:type="spellEnd"/>
      <w:r w:rsidRPr="00491DF0">
        <w:t xml:space="preserve"> after </w:t>
      </w:r>
      <w:proofErr w:type="spellStart"/>
      <w:r w:rsidRPr="00491DF0">
        <w:t>silanization</w:t>
      </w:r>
      <w:proofErr w:type="spellEnd"/>
      <w:r w:rsidRPr="00491DF0">
        <w:t xml:space="preserve">. Where in commercial </w:t>
      </w:r>
      <w:proofErr w:type="spellStart"/>
      <w:r w:rsidRPr="00491DF0">
        <w:t>HAp</w:t>
      </w:r>
      <w:proofErr w:type="spellEnd"/>
      <w:r w:rsidRPr="00491DF0">
        <w:t>, the peak of the phosphate group in hydroxyapatite is seen at a wave number of 1028 cm</w:t>
      </w:r>
      <w:r w:rsidRPr="00491DF0">
        <w:rPr>
          <w:vertAlign w:val="superscript"/>
        </w:rPr>
        <w:t>-1</w:t>
      </w:r>
      <w:r w:rsidRPr="00491DF0">
        <w:t xml:space="preserve"> and the peak of the hydroxyl group is at a wave number of 3570 cm</w:t>
      </w:r>
      <w:r w:rsidRPr="00491DF0">
        <w:rPr>
          <w:vertAlign w:val="superscript"/>
        </w:rPr>
        <w:t>-1</w:t>
      </w:r>
      <w:r w:rsidRPr="00491DF0">
        <w:t>. This phosphate group bond (PO4</w:t>
      </w:r>
      <w:r w:rsidRPr="00255052">
        <w:rPr>
          <w:vertAlign w:val="superscript"/>
        </w:rPr>
        <w:t>3-</w:t>
      </w:r>
      <w:r w:rsidRPr="00491DF0">
        <w:t>) appears at the wave interval number 1000–1150 cm</w:t>
      </w:r>
      <w:r w:rsidRPr="00491DF0">
        <w:rPr>
          <w:vertAlign w:val="superscript"/>
        </w:rPr>
        <w:t>-1</w:t>
      </w:r>
      <w:r w:rsidRPr="00491DF0">
        <w:t>. Meanwhile, the OH- group waves will appear at 3200-3600 cm</w:t>
      </w:r>
      <w:r w:rsidRPr="00491DF0">
        <w:rPr>
          <w:vertAlign w:val="superscript"/>
        </w:rPr>
        <w:t>-1</w:t>
      </w:r>
      <w:r w:rsidR="004C65B5">
        <w:rPr>
          <w:vertAlign w:val="superscript"/>
        </w:rPr>
        <w:t xml:space="preserve"> </w:t>
      </w:r>
      <w:r w:rsidR="004C65B5" w:rsidRPr="00491DF0">
        <w:t>waves</w:t>
      </w:r>
      <w:r w:rsidR="00702A06">
        <w:rPr>
          <w:vertAlign w:val="superscript"/>
        </w:rPr>
        <w:t xml:space="preserve"> </w:t>
      </w:r>
      <w:r w:rsidR="00702A06">
        <w:t xml:space="preserve">[12]. </w:t>
      </w:r>
      <w:r w:rsidRPr="00491DF0">
        <w:t xml:space="preserve">Meanwhile, in </w:t>
      </w:r>
      <w:proofErr w:type="spellStart"/>
      <w:r w:rsidRPr="00491DF0">
        <w:t>silanized</w:t>
      </w:r>
      <w:proofErr w:type="spellEnd"/>
      <w:r w:rsidRPr="00491DF0">
        <w:t xml:space="preserve"> hydroxyapatite, a peak forms at a wave magnification of 1310-1710</w:t>
      </w:r>
      <w:r w:rsidR="00255052">
        <w:t xml:space="preserve"> </w:t>
      </w:r>
      <w:r w:rsidRPr="00491DF0">
        <w:t>cm</w:t>
      </w:r>
      <w:r w:rsidRPr="00491DF0">
        <w:rPr>
          <w:vertAlign w:val="superscript"/>
        </w:rPr>
        <w:t>-1</w:t>
      </w:r>
      <w:r w:rsidRPr="00491DF0">
        <w:t xml:space="preserve">. In the spectrum of </w:t>
      </w:r>
      <w:proofErr w:type="spellStart"/>
      <w:r w:rsidRPr="00491DF0">
        <w:t>silanized</w:t>
      </w:r>
      <w:proofErr w:type="spellEnd"/>
      <w:r w:rsidRPr="00491DF0">
        <w:t xml:space="preserve"> hydroxyapatite, a peak appears at wave number 1310 cm</w:t>
      </w:r>
      <w:r w:rsidRPr="00491DF0">
        <w:rPr>
          <w:vertAlign w:val="superscript"/>
        </w:rPr>
        <w:t>-1</w:t>
      </w:r>
      <w:r w:rsidRPr="00491DF0">
        <w:t xml:space="preserve"> which indicates </w:t>
      </w:r>
      <w:proofErr w:type="spellStart"/>
      <w:r w:rsidRPr="00491DF0">
        <w:t>SiO</w:t>
      </w:r>
      <w:proofErr w:type="spellEnd"/>
      <w:r w:rsidRPr="00491DF0">
        <w:t xml:space="preserve"> groups and previously did </w:t>
      </w:r>
      <w:r w:rsidRPr="00491DF0">
        <w:lastRenderedPageBreak/>
        <w:t xml:space="preserve">not appear in commercial hydroxyapatite before </w:t>
      </w:r>
      <w:proofErr w:type="spellStart"/>
      <w:r w:rsidRPr="00491DF0">
        <w:t>silanization</w:t>
      </w:r>
      <w:proofErr w:type="spellEnd"/>
      <w:r w:rsidRPr="00491DF0">
        <w:t xml:space="preserve"> which indicates the presence of a silane coupling agent. The peak at 1710 cm</w:t>
      </w:r>
      <w:r w:rsidRPr="00491DF0">
        <w:rPr>
          <w:vertAlign w:val="superscript"/>
        </w:rPr>
        <w:t>-</w:t>
      </w:r>
      <w:proofErr w:type="gramStart"/>
      <w:r w:rsidRPr="00491DF0">
        <w:rPr>
          <w:vertAlign w:val="superscript"/>
        </w:rPr>
        <w:t>1</w:t>
      </w:r>
      <w:r w:rsidRPr="00491DF0">
        <w:t xml:space="preserve">  shows</w:t>
      </w:r>
      <w:proofErr w:type="gramEnd"/>
      <w:r w:rsidRPr="00491DF0">
        <w:t xml:space="preserve"> a carbonyl group (C=O), and at the peak at 2996 cm</w:t>
      </w:r>
      <w:r w:rsidRPr="00491DF0">
        <w:rPr>
          <w:vertAlign w:val="superscript"/>
        </w:rPr>
        <w:t>-</w:t>
      </w:r>
      <w:proofErr w:type="gramStart"/>
      <w:r w:rsidRPr="00491DF0">
        <w:rPr>
          <w:vertAlign w:val="superscript"/>
        </w:rPr>
        <w:t>1</w:t>
      </w:r>
      <w:r w:rsidRPr="00491DF0">
        <w:t xml:space="preserve">  shows</w:t>
      </w:r>
      <w:proofErr w:type="gramEnd"/>
      <w:r w:rsidRPr="00491DF0">
        <w:t xml:space="preserve"> a C-C bond. This proves that the </w:t>
      </w:r>
      <w:proofErr w:type="spellStart"/>
      <w:r w:rsidRPr="00491DF0">
        <w:t>silanization</w:t>
      </w:r>
      <w:proofErr w:type="spellEnd"/>
      <w:r w:rsidRPr="00491DF0">
        <w:t xml:space="preserve"> process on hydroxyapatite was successful.</w:t>
      </w:r>
    </w:p>
    <w:p w14:paraId="082A01D0" w14:textId="77777777" w:rsidR="0056694B" w:rsidRDefault="0056694B" w:rsidP="0056694B">
      <w:pPr>
        <w:pStyle w:val="Paragraph"/>
        <w:ind w:firstLine="0"/>
      </w:pPr>
    </w:p>
    <w:p w14:paraId="25730888" w14:textId="3A0682D5" w:rsidR="0056694B" w:rsidRDefault="0056694B" w:rsidP="0056694B">
      <w:pPr>
        <w:pStyle w:val="Heading2"/>
      </w:pPr>
      <w:r>
        <w:t>A</w:t>
      </w:r>
      <w:r w:rsidRPr="0056694B">
        <w:t xml:space="preserve">esthetic </w:t>
      </w:r>
      <w:r>
        <w:t>P</w:t>
      </w:r>
      <w:r w:rsidRPr="0056694B">
        <w:t>erspective</w:t>
      </w:r>
      <w:r>
        <w:t xml:space="preserve"> of Denture Base Specimens</w:t>
      </w:r>
    </w:p>
    <w:p w14:paraId="4D23EB94" w14:textId="5C824EE3" w:rsidR="00A6730A" w:rsidRDefault="00A6730A" w:rsidP="00A6730A">
      <w:pPr>
        <w:pStyle w:val="Paragraph"/>
      </w:pPr>
      <w:r w:rsidRPr="00A6730A">
        <w:t xml:space="preserve">The photo was taken using a Canon 5D Mark III digital camera with a 24-70 mm macro lens with a speed setting of 60, f = 2.8, ISO = 1000 in a dark box with dimensions (80 x 40 x 40 cm). Lighting is obtained by using two </w:t>
      </w:r>
      <w:proofErr w:type="gramStart"/>
      <w:r w:rsidRPr="00A6730A">
        <w:t>60 watt</w:t>
      </w:r>
      <w:proofErr w:type="gramEnd"/>
      <w:r w:rsidRPr="00A6730A">
        <w:t xml:space="preserve"> halogen lamps on the right and left sides of the box which are angled at 45o with the camera to avoid light reflection. The top box is closed and has holes only for lights and cameras to avoid the influence of light from outside.</w:t>
      </w:r>
    </w:p>
    <w:p w14:paraId="1600DA1A" w14:textId="1601D25B" w:rsidR="00A6730A" w:rsidRDefault="00A6730A" w:rsidP="00A6730A">
      <w:pPr>
        <w:pStyle w:val="Paragraph"/>
      </w:pPr>
      <w:r>
        <w:t>T</w:t>
      </w:r>
      <w:r w:rsidRPr="00A6730A">
        <w:t>hen the color of each specimen was measured using the CIE L*a*b* system which is a 3D color space with 3 axes: L, a, and b with the Photoshop application. The advantage of the CIE L*a* b* system is that color differences can be expressed in units that can be related to visual perception and clinical significance</w:t>
      </w:r>
      <w:r w:rsidR="00702A06">
        <w:rPr>
          <w:vertAlign w:val="superscript"/>
        </w:rPr>
        <w:t xml:space="preserve"> </w:t>
      </w:r>
      <w:r w:rsidR="00702A06">
        <w:t xml:space="preserve">[10]. </w:t>
      </w:r>
      <w:r w:rsidRPr="00A6730A">
        <w:t>Where L* represents (light-dark), a* represents (</w:t>
      </w:r>
      <w:proofErr w:type="gramStart"/>
      <w:r w:rsidRPr="00A6730A">
        <w:t>red-green</w:t>
      </w:r>
      <w:proofErr w:type="gramEnd"/>
      <w:r w:rsidRPr="00A6730A">
        <w:t>), and b* represents (</w:t>
      </w:r>
      <w:proofErr w:type="gramStart"/>
      <w:r w:rsidRPr="00A6730A">
        <w:t>yellow-blue</w:t>
      </w:r>
      <w:proofErr w:type="gramEnd"/>
      <w:r w:rsidRPr="00A6730A">
        <w:t>)</w:t>
      </w:r>
      <w:r w:rsidR="00702A06">
        <w:rPr>
          <w:vertAlign w:val="superscript"/>
        </w:rPr>
        <w:t xml:space="preserve"> </w:t>
      </w:r>
      <w:r w:rsidR="00702A06">
        <w:t>[13].</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1"/>
        <w:gridCol w:w="3832"/>
      </w:tblGrid>
      <w:tr w:rsidR="00A6730A" w14:paraId="02563A3A" w14:textId="77777777" w:rsidTr="00A6730A">
        <w:trPr>
          <w:jc w:val="center"/>
        </w:trPr>
        <w:tc>
          <w:tcPr>
            <w:tcW w:w="4321" w:type="dxa"/>
          </w:tcPr>
          <w:p w14:paraId="1877632B" w14:textId="77777777" w:rsidR="00A6730A" w:rsidRDefault="00A6730A" w:rsidP="00A6730A">
            <w:pPr>
              <w:pStyle w:val="paragraf"/>
              <w:spacing w:after="0" w:line="240" w:lineRule="auto"/>
              <w:ind w:firstLine="0"/>
              <w:jc w:val="right"/>
            </w:pPr>
            <w:r>
              <w:rPr>
                <w:noProof/>
              </w:rPr>
              <w:drawing>
                <wp:inline distT="0" distB="0" distL="0" distR="0" wp14:anchorId="66849477" wp14:editId="6DAC5620">
                  <wp:extent cx="1645920" cy="1866844"/>
                  <wp:effectExtent l="0" t="0" r="0" b="635"/>
                  <wp:docPr id="8" name="Picture 7" descr="A close up of a red object&#10;&#10;Description automatically generated">
                    <a:extLst xmlns:a="http://schemas.openxmlformats.org/drawingml/2006/main">
                      <a:ext uri="{FF2B5EF4-FFF2-40B4-BE49-F238E27FC236}">
                        <a16:creationId xmlns:a16="http://schemas.microsoft.com/office/drawing/2014/main" id="{F813ECFF-F0FE-475F-B9CA-B77C4121E9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close up of a red object&#10;&#10;Description automatically generated">
                            <a:extLst>
                              <a:ext uri="{FF2B5EF4-FFF2-40B4-BE49-F238E27FC236}">
                                <a16:creationId xmlns:a16="http://schemas.microsoft.com/office/drawing/2014/main" id="{F813ECFF-F0FE-475F-B9CA-B77C4121E9A1}"/>
                              </a:ext>
                            </a:extLst>
                          </pic:cNvPr>
                          <pic:cNvPicPr>
                            <a:picLocks noChangeAspect="1"/>
                          </pic:cNvPicPr>
                        </pic:nvPicPr>
                        <pic:blipFill rotWithShape="1">
                          <a:blip r:embed="rId11"/>
                          <a:srcRect l="35473"/>
                          <a:stretch/>
                        </pic:blipFill>
                        <pic:spPr bwMode="auto">
                          <a:xfrm>
                            <a:off x="0" y="0"/>
                            <a:ext cx="1665963" cy="1889577"/>
                          </a:xfrm>
                          <a:prstGeom prst="rect">
                            <a:avLst/>
                          </a:prstGeom>
                          <a:ln>
                            <a:noFill/>
                          </a:ln>
                          <a:extLst>
                            <a:ext uri="{53640926-AAD7-44D8-BBD7-CCE9431645EC}">
                              <a14:shadowObscured xmlns:a14="http://schemas.microsoft.com/office/drawing/2010/main"/>
                            </a:ext>
                          </a:extLst>
                        </pic:spPr>
                      </pic:pic>
                    </a:graphicData>
                  </a:graphic>
                </wp:inline>
              </w:drawing>
            </w:r>
          </w:p>
        </w:tc>
        <w:tc>
          <w:tcPr>
            <w:tcW w:w="3832" w:type="dxa"/>
          </w:tcPr>
          <w:p w14:paraId="3724301B" w14:textId="77777777" w:rsidR="00A6730A" w:rsidRDefault="00A6730A" w:rsidP="00A6730A">
            <w:pPr>
              <w:pStyle w:val="paragraf"/>
              <w:spacing w:after="0" w:line="240" w:lineRule="auto"/>
              <w:ind w:firstLine="0"/>
              <w:jc w:val="left"/>
            </w:pPr>
            <w:r>
              <w:rPr>
                <w:noProof/>
              </w:rPr>
              <w:drawing>
                <wp:inline distT="0" distB="0" distL="0" distR="0" wp14:anchorId="4FEFBB2D" wp14:editId="39961220">
                  <wp:extent cx="1516380" cy="1889995"/>
                  <wp:effectExtent l="0" t="0" r="7620" b="0"/>
                  <wp:docPr id="18" name="Picture 17">
                    <a:extLst xmlns:a="http://schemas.openxmlformats.org/drawingml/2006/main">
                      <a:ext uri="{FF2B5EF4-FFF2-40B4-BE49-F238E27FC236}">
                        <a16:creationId xmlns:a16="http://schemas.microsoft.com/office/drawing/2014/main" id="{B8AFA6D4-30D8-979E-BEA0-766A649C7C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a:extLst>
                              <a:ext uri="{FF2B5EF4-FFF2-40B4-BE49-F238E27FC236}">
                                <a16:creationId xmlns:a16="http://schemas.microsoft.com/office/drawing/2014/main" id="{B8AFA6D4-30D8-979E-BEA0-766A649C7C26}"/>
                              </a:ext>
                            </a:extLst>
                          </pic:cNvPr>
                          <pic:cNvPicPr>
                            <a:picLocks noChangeAspect="1"/>
                          </pic:cNvPicPr>
                        </pic:nvPicPr>
                        <pic:blipFill rotWithShape="1">
                          <a:blip r:embed="rId12"/>
                          <a:srcRect l="31333" t="2750" r="-1"/>
                          <a:stretch/>
                        </pic:blipFill>
                        <pic:spPr bwMode="auto">
                          <a:xfrm>
                            <a:off x="0" y="0"/>
                            <a:ext cx="1538802" cy="1917941"/>
                          </a:xfrm>
                          <a:prstGeom prst="rect">
                            <a:avLst/>
                          </a:prstGeom>
                          <a:ln>
                            <a:noFill/>
                          </a:ln>
                          <a:extLst>
                            <a:ext uri="{53640926-AAD7-44D8-BBD7-CCE9431645EC}">
                              <a14:shadowObscured xmlns:a14="http://schemas.microsoft.com/office/drawing/2010/main"/>
                            </a:ext>
                          </a:extLst>
                        </pic:spPr>
                      </pic:pic>
                    </a:graphicData>
                  </a:graphic>
                </wp:inline>
              </w:drawing>
            </w:r>
          </w:p>
        </w:tc>
      </w:tr>
      <w:tr w:rsidR="00A6730A" w14:paraId="7D7E04A1" w14:textId="77777777" w:rsidTr="00A6730A">
        <w:trPr>
          <w:jc w:val="center"/>
        </w:trPr>
        <w:tc>
          <w:tcPr>
            <w:tcW w:w="4321" w:type="dxa"/>
          </w:tcPr>
          <w:p w14:paraId="4104824F" w14:textId="77777777" w:rsidR="00A6730A" w:rsidRPr="00C12A37" w:rsidRDefault="00A6730A" w:rsidP="00EA6D6B">
            <w:pPr>
              <w:pStyle w:val="paragraf"/>
              <w:spacing w:after="0" w:line="240" w:lineRule="auto"/>
              <w:ind w:firstLine="0"/>
              <w:jc w:val="center"/>
              <w:rPr>
                <w:szCs w:val="24"/>
              </w:rPr>
            </w:pPr>
            <w:r w:rsidRPr="00C12A37">
              <w:rPr>
                <w:szCs w:val="24"/>
              </w:rPr>
              <w:t>(a)</w:t>
            </w:r>
          </w:p>
        </w:tc>
        <w:tc>
          <w:tcPr>
            <w:tcW w:w="3832" w:type="dxa"/>
          </w:tcPr>
          <w:p w14:paraId="6507F63A" w14:textId="77777777" w:rsidR="00A6730A" w:rsidRPr="00C12A37" w:rsidRDefault="00A6730A" w:rsidP="00085FE6">
            <w:pPr>
              <w:pStyle w:val="paragraf"/>
              <w:keepNext/>
              <w:spacing w:after="0" w:line="240" w:lineRule="auto"/>
              <w:ind w:firstLine="0"/>
              <w:jc w:val="center"/>
              <w:rPr>
                <w:szCs w:val="24"/>
              </w:rPr>
            </w:pPr>
            <w:r w:rsidRPr="00C12A37">
              <w:rPr>
                <w:szCs w:val="24"/>
              </w:rPr>
              <w:t>(b)</w:t>
            </w:r>
          </w:p>
        </w:tc>
      </w:tr>
    </w:tbl>
    <w:p w14:paraId="6FEFE788" w14:textId="162E3B48" w:rsidR="00A6730A" w:rsidRDefault="00085FE6" w:rsidP="00085FE6">
      <w:pPr>
        <w:pStyle w:val="Caption"/>
        <w:jc w:val="center"/>
        <w:rPr>
          <w:i w:val="0"/>
          <w:iCs w:val="0"/>
          <w:color w:val="auto"/>
        </w:rPr>
      </w:pPr>
      <w:r w:rsidRPr="00085FE6">
        <w:rPr>
          <w:b/>
          <w:bCs/>
          <w:i w:val="0"/>
          <w:iCs w:val="0"/>
          <w:color w:val="auto"/>
        </w:rPr>
        <w:t xml:space="preserve">Figure </w:t>
      </w:r>
      <w:r w:rsidRPr="00085FE6">
        <w:rPr>
          <w:b/>
          <w:bCs/>
          <w:i w:val="0"/>
          <w:iCs w:val="0"/>
          <w:color w:val="auto"/>
        </w:rPr>
        <w:fldChar w:fldCharType="begin"/>
      </w:r>
      <w:r w:rsidRPr="00085FE6">
        <w:rPr>
          <w:b/>
          <w:bCs/>
          <w:i w:val="0"/>
          <w:iCs w:val="0"/>
          <w:color w:val="auto"/>
        </w:rPr>
        <w:instrText xml:space="preserve"> SEQ Figure \* ARABIC </w:instrText>
      </w:r>
      <w:r w:rsidRPr="00085FE6">
        <w:rPr>
          <w:b/>
          <w:bCs/>
          <w:i w:val="0"/>
          <w:iCs w:val="0"/>
          <w:color w:val="auto"/>
        </w:rPr>
        <w:fldChar w:fldCharType="separate"/>
      </w:r>
      <w:r w:rsidR="00727F0D">
        <w:rPr>
          <w:b/>
          <w:bCs/>
          <w:i w:val="0"/>
          <w:iCs w:val="0"/>
          <w:noProof/>
          <w:color w:val="auto"/>
        </w:rPr>
        <w:t>3</w:t>
      </w:r>
      <w:r w:rsidRPr="00085FE6">
        <w:rPr>
          <w:b/>
          <w:bCs/>
          <w:i w:val="0"/>
          <w:iCs w:val="0"/>
          <w:color w:val="auto"/>
        </w:rPr>
        <w:fldChar w:fldCharType="end"/>
      </w:r>
      <w:r w:rsidRPr="00085FE6">
        <w:rPr>
          <w:b/>
          <w:bCs/>
          <w:i w:val="0"/>
          <w:iCs w:val="0"/>
          <w:color w:val="auto"/>
        </w:rPr>
        <w:t>.</w:t>
      </w:r>
      <w:r w:rsidRPr="00085FE6">
        <w:rPr>
          <w:i w:val="0"/>
          <w:iCs w:val="0"/>
          <w:color w:val="auto"/>
        </w:rPr>
        <w:t xml:space="preserve"> Optical Analysis Using Photoshop Software (a) Denture Base Specimen with BRN Red </w:t>
      </w:r>
      <w:proofErr w:type="spellStart"/>
      <w:r w:rsidRPr="00085FE6">
        <w:rPr>
          <w:i w:val="0"/>
          <w:iCs w:val="0"/>
          <w:color w:val="auto"/>
        </w:rPr>
        <w:t>Cromophtal</w:t>
      </w:r>
      <w:proofErr w:type="spellEnd"/>
      <w:r w:rsidRPr="00085FE6">
        <w:rPr>
          <w:i w:val="0"/>
          <w:iCs w:val="0"/>
          <w:color w:val="auto"/>
        </w:rPr>
        <w:t xml:space="preserve"> 0.02% Organic Dye (b) Denture Base Specimen with 0.02% Cadmium </w:t>
      </w:r>
      <w:proofErr w:type="spellStart"/>
      <w:r w:rsidRPr="00085FE6">
        <w:rPr>
          <w:i w:val="0"/>
          <w:iCs w:val="0"/>
          <w:color w:val="auto"/>
        </w:rPr>
        <w:t>Sulfoselenide</w:t>
      </w:r>
      <w:proofErr w:type="spellEnd"/>
      <w:r w:rsidRPr="00085FE6">
        <w:rPr>
          <w:i w:val="0"/>
          <w:iCs w:val="0"/>
          <w:color w:val="auto"/>
        </w:rPr>
        <w:t xml:space="preserve"> Inorganic Dye</w:t>
      </w:r>
    </w:p>
    <w:p w14:paraId="1E0C1C50" w14:textId="1F6EF60C" w:rsidR="00085FE6" w:rsidRDefault="003C5854" w:rsidP="00085FE6">
      <w:pPr>
        <w:ind w:firstLine="284"/>
        <w:rPr>
          <w:sz w:val="20"/>
          <w:szCs w:val="16"/>
        </w:rPr>
      </w:pPr>
      <w:r>
        <w:rPr>
          <w:sz w:val="20"/>
          <w:szCs w:val="16"/>
        </w:rPr>
        <w:t>From photoshop software we get t</w:t>
      </w:r>
      <w:r w:rsidR="00085FE6" w:rsidRPr="00085FE6">
        <w:rPr>
          <w:sz w:val="20"/>
          <w:szCs w:val="16"/>
        </w:rPr>
        <w:t xml:space="preserve">he average value of L*a*b* for each variable in the denture base specimen </w:t>
      </w:r>
      <w:r>
        <w:rPr>
          <w:sz w:val="20"/>
          <w:szCs w:val="16"/>
        </w:rPr>
        <w:t xml:space="preserve">as </w:t>
      </w:r>
      <w:r w:rsidR="00085FE6" w:rsidRPr="00085FE6">
        <w:rPr>
          <w:sz w:val="20"/>
          <w:szCs w:val="16"/>
        </w:rPr>
        <w:t>in Table 1</w:t>
      </w:r>
      <w:r w:rsidR="00085FE6">
        <w:rPr>
          <w:sz w:val="20"/>
          <w:szCs w:val="16"/>
        </w:rPr>
        <w:t xml:space="preserve"> below.</w:t>
      </w:r>
    </w:p>
    <w:p w14:paraId="322C30E1" w14:textId="4AD6E03D" w:rsidR="003C5854" w:rsidRPr="00255052" w:rsidRDefault="003C5854" w:rsidP="003C5854">
      <w:pPr>
        <w:pStyle w:val="Caption"/>
        <w:keepNext/>
        <w:spacing w:after="120"/>
        <w:jc w:val="center"/>
        <w:rPr>
          <w:i w:val="0"/>
          <w:iCs w:val="0"/>
          <w:color w:val="auto"/>
        </w:rPr>
      </w:pPr>
      <w:r w:rsidRPr="00255052">
        <w:rPr>
          <w:b/>
          <w:bCs/>
          <w:i w:val="0"/>
          <w:iCs w:val="0"/>
          <w:color w:val="auto"/>
        </w:rPr>
        <w:t xml:space="preserve">Table </w:t>
      </w:r>
      <w:r w:rsidRPr="00255052">
        <w:rPr>
          <w:b/>
          <w:bCs/>
          <w:i w:val="0"/>
          <w:iCs w:val="0"/>
          <w:color w:val="auto"/>
        </w:rPr>
        <w:fldChar w:fldCharType="begin"/>
      </w:r>
      <w:r w:rsidRPr="00255052">
        <w:rPr>
          <w:b/>
          <w:bCs/>
          <w:i w:val="0"/>
          <w:iCs w:val="0"/>
          <w:color w:val="auto"/>
        </w:rPr>
        <w:instrText xml:space="preserve"> SEQ Table \* ARABIC </w:instrText>
      </w:r>
      <w:r w:rsidRPr="00255052">
        <w:rPr>
          <w:b/>
          <w:bCs/>
          <w:i w:val="0"/>
          <w:iCs w:val="0"/>
          <w:color w:val="auto"/>
        </w:rPr>
        <w:fldChar w:fldCharType="separate"/>
      </w:r>
      <w:r w:rsidR="00727F0D">
        <w:rPr>
          <w:b/>
          <w:bCs/>
          <w:i w:val="0"/>
          <w:iCs w:val="0"/>
          <w:noProof/>
          <w:color w:val="auto"/>
        </w:rPr>
        <w:t>1</w:t>
      </w:r>
      <w:r w:rsidRPr="00255052">
        <w:rPr>
          <w:b/>
          <w:bCs/>
          <w:i w:val="0"/>
          <w:iCs w:val="0"/>
          <w:color w:val="auto"/>
        </w:rPr>
        <w:fldChar w:fldCharType="end"/>
      </w:r>
      <w:r w:rsidRPr="00255052">
        <w:rPr>
          <w:b/>
          <w:bCs/>
          <w:i w:val="0"/>
          <w:iCs w:val="0"/>
          <w:color w:val="auto"/>
        </w:rPr>
        <w:t>.</w:t>
      </w:r>
      <w:r w:rsidRPr="00255052">
        <w:rPr>
          <w:i w:val="0"/>
          <w:iCs w:val="0"/>
          <w:color w:val="auto"/>
        </w:rPr>
        <w:t xml:space="preserve"> Average Value of L*a*b* for All Denture Base Specimen variables</w:t>
      </w:r>
    </w:p>
    <w:tbl>
      <w:tblPr>
        <w:tblW w:w="5280" w:type="dxa"/>
        <w:jc w:val="center"/>
        <w:tblLook w:val="04A0" w:firstRow="1" w:lastRow="0" w:firstColumn="1" w:lastColumn="0" w:noHBand="0" w:noVBand="1"/>
      </w:tblPr>
      <w:tblGrid>
        <w:gridCol w:w="1460"/>
        <w:gridCol w:w="940"/>
        <w:gridCol w:w="960"/>
        <w:gridCol w:w="960"/>
        <w:gridCol w:w="960"/>
      </w:tblGrid>
      <w:tr w:rsidR="003C5854" w:rsidRPr="003C5854" w14:paraId="7716F0D3" w14:textId="77777777" w:rsidTr="003C5854">
        <w:trPr>
          <w:trHeight w:val="288"/>
          <w:jc w:val="center"/>
        </w:trPr>
        <w:tc>
          <w:tcPr>
            <w:tcW w:w="1460" w:type="dxa"/>
            <w:tcBorders>
              <w:top w:val="single" w:sz="4" w:space="0" w:color="auto"/>
              <w:left w:val="nil"/>
              <w:bottom w:val="nil"/>
              <w:right w:val="nil"/>
            </w:tcBorders>
            <w:vAlign w:val="center"/>
            <w:hideMark/>
          </w:tcPr>
          <w:p w14:paraId="76A8CB6F" w14:textId="6A9F9688" w:rsidR="003C5854" w:rsidRPr="003C5854" w:rsidRDefault="003C5854" w:rsidP="003C5854">
            <w:pPr>
              <w:jc w:val="center"/>
              <w:rPr>
                <w:b/>
                <w:bCs/>
                <w:color w:val="000000"/>
                <w:sz w:val="20"/>
                <w:lang w:val="en-ID" w:eastAsia="en-ID"/>
              </w:rPr>
            </w:pPr>
            <w:r w:rsidRPr="003C5854">
              <w:rPr>
                <w:b/>
                <w:bCs/>
                <w:color w:val="000000"/>
                <w:sz w:val="20"/>
                <w:lang w:val="en-ID" w:eastAsia="en-ID"/>
              </w:rPr>
              <w:t>Pigment</w:t>
            </w:r>
          </w:p>
        </w:tc>
        <w:tc>
          <w:tcPr>
            <w:tcW w:w="940" w:type="dxa"/>
            <w:tcBorders>
              <w:top w:val="single" w:sz="4" w:space="0" w:color="auto"/>
              <w:left w:val="nil"/>
              <w:bottom w:val="nil"/>
              <w:right w:val="nil"/>
            </w:tcBorders>
            <w:noWrap/>
            <w:vAlign w:val="center"/>
            <w:hideMark/>
          </w:tcPr>
          <w:p w14:paraId="44916520" w14:textId="77777777" w:rsidR="003C5854" w:rsidRPr="003C5854" w:rsidRDefault="003C5854" w:rsidP="003C5854">
            <w:pPr>
              <w:jc w:val="center"/>
              <w:rPr>
                <w:b/>
                <w:bCs/>
                <w:color w:val="000000"/>
                <w:sz w:val="20"/>
                <w:lang w:val="en-ID" w:eastAsia="en-ID"/>
              </w:rPr>
            </w:pPr>
            <w:r w:rsidRPr="003C5854">
              <w:rPr>
                <w:b/>
                <w:bCs/>
                <w:color w:val="000000"/>
                <w:sz w:val="20"/>
                <w:lang w:val="en-ID" w:eastAsia="en-ID"/>
              </w:rPr>
              <w:t>C (%)</w:t>
            </w:r>
          </w:p>
        </w:tc>
        <w:tc>
          <w:tcPr>
            <w:tcW w:w="960" w:type="dxa"/>
            <w:tcBorders>
              <w:top w:val="single" w:sz="4" w:space="0" w:color="auto"/>
              <w:left w:val="nil"/>
              <w:bottom w:val="nil"/>
              <w:right w:val="nil"/>
            </w:tcBorders>
            <w:noWrap/>
            <w:vAlign w:val="bottom"/>
            <w:hideMark/>
          </w:tcPr>
          <w:p w14:paraId="18E14396" w14:textId="77777777" w:rsidR="003C5854" w:rsidRPr="003C5854" w:rsidRDefault="003C5854" w:rsidP="003C5854">
            <w:pPr>
              <w:jc w:val="center"/>
              <w:rPr>
                <w:b/>
                <w:bCs/>
                <w:color w:val="000000"/>
                <w:sz w:val="20"/>
                <w:lang w:val="en-ID" w:eastAsia="en-ID"/>
              </w:rPr>
            </w:pPr>
            <w:r w:rsidRPr="003C5854">
              <w:rPr>
                <w:b/>
                <w:bCs/>
                <w:color w:val="000000"/>
                <w:sz w:val="20"/>
                <w:lang w:val="en-ID" w:eastAsia="en-ID"/>
              </w:rPr>
              <w:t>L</w:t>
            </w:r>
          </w:p>
        </w:tc>
        <w:tc>
          <w:tcPr>
            <w:tcW w:w="960" w:type="dxa"/>
            <w:tcBorders>
              <w:top w:val="single" w:sz="4" w:space="0" w:color="auto"/>
              <w:left w:val="nil"/>
              <w:bottom w:val="nil"/>
              <w:right w:val="nil"/>
            </w:tcBorders>
            <w:noWrap/>
            <w:vAlign w:val="bottom"/>
            <w:hideMark/>
          </w:tcPr>
          <w:p w14:paraId="14EA857F" w14:textId="77777777" w:rsidR="003C5854" w:rsidRPr="003C5854" w:rsidRDefault="003C5854" w:rsidP="003C5854">
            <w:pPr>
              <w:jc w:val="center"/>
              <w:rPr>
                <w:b/>
                <w:bCs/>
                <w:color w:val="000000"/>
                <w:sz w:val="20"/>
                <w:lang w:val="en-ID" w:eastAsia="en-ID"/>
              </w:rPr>
            </w:pPr>
            <w:r w:rsidRPr="003C5854">
              <w:rPr>
                <w:b/>
                <w:bCs/>
                <w:color w:val="000000"/>
                <w:sz w:val="20"/>
                <w:lang w:val="en-ID" w:eastAsia="en-ID"/>
              </w:rPr>
              <w:t>a*</w:t>
            </w:r>
          </w:p>
        </w:tc>
        <w:tc>
          <w:tcPr>
            <w:tcW w:w="960" w:type="dxa"/>
            <w:tcBorders>
              <w:top w:val="single" w:sz="4" w:space="0" w:color="auto"/>
              <w:left w:val="nil"/>
              <w:bottom w:val="nil"/>
              <w:right w:val="nil"/>
            </w:tcBorders>
            <w:noWrap/>
            <w:vAlign w:val="bottom"/>
            <w:hideMark/>
          </w:tcPr>
          <w:p w14:paraId="04100EDD" w14:textId="77777777" w:rsidR="003C5854" w:rsidRPr="003C5854" w:rsidRDefault="003C5854" w:rsidP="003C5854">
            <w:pPr>
              <w:jc w:val="center"/>
              <w:rPr>
                <w:b/>
                <w:bCs/>
                <w:color w:val="000000"/>
                <w:sz w:val="20"/>
                <w:lang w:val="en-ID" w:eastAsia="en-ID"/>
              </w:rPr>
            </w:pPr>
            <w:r w:rsidRPr="003C5854">
              <w:rPr>
                <w:b/>
                <w:bCs/>
                <w:color w:val="000000"/>
                <w:sz w:val="20"/>
                <w:lang w:val="en-ID" w:eastAsia="en-ID"/>
              </w:rPr>
              <w:t>b*</w:t>
            </w:r>
          </w:p>
        </w:tc>
      </w:tr>
      <w:tr w:rsidR="003C5854" w:rsidRPr="003C5854" w14:paraId="691CC458" w14:textId="77777777" w:rsidTr="003C5854">
        <w:trPr>
          <w:trHeight w:val="288"/>
          <w:jc w:val="center"/>
        </w:trPr>
        <w:tc>
          <w:tcPr>
            <w:tcW w:w="1460" w:type="dxa"/>
            <w:vMerge w:val="restart"/>
            <w:tcBorders>
              <w:top w:val="single" w:sz="4" w:space="0" w:color="auto"/>
              <w:left w:val="nil"/>
              <w:bottom w:val="nil"/>
              <w:right w:val="nil"/>
            </w:tcBorders>
            <w:vAlign w:val="center"/>
            <w:hideMark/>
          </w:tcPr>
          <w:p w14:paraId="4621C5DD" w14:textId="77777777" w:rsidR="003C5854" w:rsidRPr="003C5854" w:rsidRDefault="003C5854" w:rsidP="003C5854">
            <w:pPr>
              <w:jc w:val="center"/>
              <w:rPr>
                <w:color w:val="000000"/>
                <w:sz w:val="20"/>
                <w:lang w:val="en-ID" w:eastAsia="en-ID"/>
              </w:rPr>
            </w:pPr>
            <w:proofErr w:type="spellStart"/>
            <w:r w:rsidRPr="003C5854">
              <w:rPr>
                <w:color w:val="000000"/>
                <w:sz w:val="20"/>
                <w:lang w:val="en-ID" w:eastAsia="en-ID"/>
              </w:rPr>
              <w:t>Cromophtal</w:t>
            </w:r>
            <w:proofErr w:type="spellEnd"/>
            <w:r w:rsidRPr="003C5854">
              <w:rPr>
                <w:color w:val="000000"/>
                <w:sz w:val="20"/>
                <w:lang w:val="en-ID" w:eastAsia="en-ID"/>
              </w:rPr>
              <w:t xml:space="preserve"> Red BRN</w:t>
            </w:r>
          </w:p>
        </w:tc>
        <w:tc>
          <w:tcPr>
            <w:tcW w:w="940" w:type="dxa"/>
            <w:tcBorders>
              <w:top w:val="single" w:sz="4" w:space="0" w:color="auto"/>
              <w:left w:val="nil"/>
              <w:bottom w:val="nil"/>
              <w:right w:val="nil"/>
            </w:tcBorders>
            <w:noWrap/>
            <w:vAlign w:val="center"/>
            <w:hideMark/>
          </w:tcPr>
          <w:p w14:paraId="18B088D4" w14:textId="77777777" w:rsidR="003C5854" w:rsidRPr="003C5854" w:rsidRDefault="003C5854" w:rsidP="003C5854">
            <w:pPr>
              <w:jc w:val="center"/>
              <w:rPr>
                <w:color w:val="000000"/>
                <w:sz w:val="20"/>
                <w:lang w:val="en-ID" w:eastAsia="en-ID"/>
              </w:rPr>
            </w:pPr>
            <w:r w:rsidRPr="003C5854">
              <w:rPr>
                <w:color w:val="000000"/>
                <w:sz w:val="20"/>
                <w:lang w:val="en-ID" w:eastAsia="en-ID"/>
              </w:rPr>
              <w:t>0,01</w:t>
            </w:r>
          </w:p>
        </w:tc>
        <w:tc>
          <w:tcPr>
            <w:tcW w:w="960" w:type="dxa"/>
            <w:tcBorders>
              <w:top w:val="single" w:sz="4" w:space="0" w:color="auto"/>
              <w:left w:val="nil"/>
              <w:bottom w:val="nil"/>
              <w:right w:val="nil"/>
            </w:tcBorders>
            <w:noWrap/>
            <w:vAlign w:val="bottom"/>
            <w:hideMark/>
          </w:tcPr>
          <w:p w14:paraId="477DE2D0" w14:textId="77777777" w:rsidR="003C5854" w:rsidRPr="003C5854" w:rsidRDefault="003C5854" w:rsidP="003C5854">
            <w:pPr>
              <w:jc w:val="center"/>
              <w:rPr>
                <w:color w:val="000000"/>
                <w:sz w:val="20"/>
                <w:lang w:val="en-ID" w:eastAsia="en-ID"/>
              </w:rPr>
            </w:pPr>
            <w:r w:rsidRPr="003C5854">
              <w:rPr>
                <w:color w:val="000000"/>
                <w:sz w:val="20"/>
                <w:lang w:val="en-ID" w:eastAsia="en-ID"/>
              </w:rPr>
              <w:t>37,67</w:t>
            </w:r>
          </w:p>
        </w:tc>
        <w:tc>
          <w:tcPr>
            <w:tcW w:w="960" w:type="dxa"/>
            <w:tcBorders>
              <w:top w:val="single" w:sz="4" w:space="0" w:color="auto"/>
              <w:left w:val="nil"/>
              <w:bottom w:val="nil"/>
              <w:right w:val="nil"/>
            </w:tcBorders>
            <w:noWrap/>
            <w:vAlign w:val="bottom"/>
            <w:hideMark/>
          </w:tcPr>
          <w:p w14:paraId="43732F70" w14:textId="77777777" w:rsidR="003C5854" w:rsidRPr="003C5854" w:rsidRDefault="003C5854" w:rsidP="003C5854">
            <w:pPr>
              <w:jc w:val="center"/>
              <w:rPr>
                <w:color w:val="000000"/>
                <w:sz w:val="20"/>
                <w:lang w:val="en-ID" w:eastAsia="en-ID"/>
              </w:rPr>
            </w:pPr>
            <w:r w:rsidRPr="003C5854">
              <w:rPr>
                <w:color w:val="000000"/>
                <w:sz w:val="20"/>
                <w:lang w:val="en-ID" w:eastAsia="en-ID"/>
              </w:rPr>
              <w:t>47,00</w:t>
            </w:r>
          </w:p>
        </w:tc>
        <w:tc>
          <w:tcPr>
            <w:tcW w:w="960" w:type="dxa"/>
            <w:tcBorders>
              <w:top w:val="single" w:sz="4" w:space="0" w:color="auto"/>
              <w:left w:val="nil"/>
              <w:bottom w:val="nil"/>
              <w:right w:val="nil"/>
            </w:tcBorders>
            <w:noWrap/>
            <w:vAlign w:val="bottom"/>
            <w:hideMark/>
          </w:tcPr>
          <w:p w14:paraId="34EFA86A" w14:textId="77777777" w:rsidR="003C5854" w:rsidRPr="003C5854" w:rsidRDefault="003C5854" w:rsidP="003C5854">
            <w:pPr>
              <w:jc w:val="center"/>
              <w:rPr>
                <w:color w:val="000000"/>
                <w:sz w:val="20"/>
                <w:lang w:val="en-ID" w:eastAsia="en-ID"/>
              </w:rPr>
            </w:pPr>
            <w:r w:rsidRPr="003C5854">
              <w:rPr>
                <w:color w:val="000000"/>
                <w:sz w:val="20"/>
                <w:lang w:val="en-ID" w:eastAsia="en-ID"/>
              </w:rPr>
              <w:t>16,00</w:t>
            </w:r>
          </w:p>
        </w:tc>
      </w:tr>
      <w:tr w:rsidR="003C5854" w:rsidRPr="003C5854" w14:paraId="3D6784F0" w14:textId="77777777" w:rsidTr="003C5854">
        <w:trPr>
          <w:trHeight w:val="288"/>
          <w:jc w:val="center"/>
        </w:trPr>
        <w:tc>
          <w:tcPr>
            <w:tcW w:w="1460" w:type="dxa"/>
            <w:vMerge/>
            <w:tcBorders>
              <w:top w:val="single" w:sz="4" w:space="0" w:color="auto"/>
              <w:left w:val="nil"/>
              <w:bottom w:val="nil"/>
              <w:right w:val="nil"/>
            </w:tcBorders>
            <w:vAlign w:val="center"/>
            <w:hideMark/>
          </w:tcPr>
          <w:p w14:paraId="0FA55C02" w14:textId="77777777" w:rsidR="003C5854" w:rsidRPr="003C5854" w:rsidRDefault="003C5854" w:rsidP="003C5854">
            <w:pPr>
              <w:rPr>
                <w:color w:val="000000"/>
                <w:sz w:val="20"/>
                <w:lang w:val="en-ID" w:eastAsia="en-ID"/>
              </w:rPr>
            </w:pPr>
          </w:p>
        </w:tc>
        <w:tc>
          <w:tcPr>
            <w:tcW w:w="940" w:type="dxa"/>
            <w:tcBorders>
              <w:top w:val="nil"/>
              <w:left w:val="nil"/>
              <w:bottom w:val="nil"/>
              <w:right w:val="nil"/>
            </w:tcBorders>
            <w:noWrap/>
            <w:vAlign w:val="center"/>
            <w:hideMark/>
          </w:tcPr>
          <w:p w14:paraId="55C76BC0" w14:textId="77777777" w:rsidR="003C5854" w:rsidRPr="003C5854" w:rsidRDefault="003C5854" w:rsidP="003C5854">
            <w:pPr>
              <w:jc w:val="center"/>
              <w:rPr>
                <w:color w:val="000000"/>
                <w:sz w:val="20"/>
                <w:lang w:val="en-ID" w:eastAsia="en-ID"/>
              </w:rPr>
            </w:pPr>
            <w:r w:rsidRPr="003C5854">
              <w:rPr>
                <w:color w:val="000000"/>
                <w:sz w:val="20"/>
                <w:lang w:val="en-ID" w:eastAsia="en-ID"/>
              </w:rPr>
              <w:t>0,02</w:t>
            </w:r>
          </w:p>
        </w:tc>
        <w:tc>
          <w:tcPr>
            <w:tcW w:w="960" w:type="dxa"/>
            <w:tcBorders>
              <w:top w:val="nil"/>
              <w:left w:val="nil"/>
              <w:bottom w:val="nil"/>
              <w:right w:val="nil"/>
            </w:tcBorders>
            <w:noWrap/>
            <w:vAlign w:val="bottom"/>
            <w:hideMark/>
          </w:tcPr>
          <w:p w14:paraId="5E7D9956" w14:textId="77777777" w:rsidR="003C5854" w:rsidRPr="003C5854" w:rsidRDefault="003C5854" w:rsidP="003C5854">
            <w:pPr>
              <w:jc w:val="center"/>
              <w:rPr>
                <w:color w:val="000000"/>
                <w:sz w:val="20"/>
                <w:lang w:val="en-ID" w:eastAsia="en-ID"/>
              </w:rPr>
            </w:pPr>
            <w:r w:rsidRPr="003C5854">
              <w:rPr>
                <w:color w:val="000000"/>
                <w:sz w:val="20"/>
                <w:lang w:val="en-ID" w:eastAsia="en-ID"/>
              </w:rPr>
              <w:t>36,67</w:t>
            </w:r>
          </w:p>
        </w:tc>
        <w:tc>
          <w:tcPr>
            <w:tcW w:w="960" w:type="dxa"/>
            <w:tcBorders>
              <w:top w:val="nil"/>
              <w:left w:val="nil"/>
              <w:bottom w:val="nil"/>
              <w:right w:val="nil"/>
            </w:tcBorders>
            <w:noWrap/>
            <w:vAlign w:val="bottom"/>
            <w:hideMark/>
          </w:tcPr>
          <w:p w14:paraId="13706A5C" w14:textId="77777777" w:rsidR="003C5854" w:rsidRPr="003C5854" w:rsidRDefault="003C5854" w:rsidP="003C5854">
            <w:pPr>
              <w:jc w:val="center"/>
              <w:rPr>
                <w:color w:val="000000"/>
                <w:sz w:val="20"/>
                <w:lang w:val="en-ID" w:eastAsia="en-ID"/>
              </w:rPr>
            </w:pPr>
            <w:r w:rsidRPr="003C5854">
              <w:rPr>
                <w:color w:val="000000"/>
                <w:sz w:val="20"/>
                <w:lang w:val="en-ID" w:eastAsia="en-ID"/>
              </w:rPr>
              <w:t>46,67</w:t>
            </w:r>
          </w:p>
        </w:tc>
        <w:tc>
          <w:tcPr>
            <w:tcW w:w="960" w:type="dxa"/>
            <w:tcBorders>
              <w:top w:val="nil"/>
              <w:left w:val="nil"/>
              <w:bottom w:val="nil"/>
              <w:right w:val="nil"/>
            </w:tcBorders>
            <w:noWrap/>
            <w:vAlign w:val="bottom"/>
            <w:hideMark/>
          </w:tcPr>
          <w:p w14:paraId="5AAD1766" w14:textId="77777777" w:rsidR="003C5854" w:rsidRPr="003C5854" w:rsidRDefault="003C5854" w:rsidP="003C5854">
            <w:pPr>
              <w:jc w:val="center"/>
              <w:rPr>
                <w:color w:val="000000"/>
                <w:sz w:val="20"/>
                <w:lang w:val="en-ID" w:eastAsia="en-ID"/>
              </w:rPr>
            </w:pPr>
            <w:r w:rsidRPr="003C5854">
              <w:rPr>
                <w:color w:val="000000"/>
                <w:sz w:val="20"/>
                <w:lang w:val="en-ID" w:eastAsia="en-ID"/>
              </w:rPr>
              <w:t>16,33</w:t>
            </w:r>
          </w:p>
        </w:tc>
      </w:tr>
      <w:tr w:rsidR="003C5854" w:rsidRPr="003C5854" w14:paraId="56CFF220" w14:textId="77777777" w:rsidTr="003C5854">
        <w:trPr>
          <w:trHeight w:val="288"/>
          <w:jc w:val="center"/>
        </w:trPr>
        <w:tc>
          <w:tcPr>
            <w:tcW w:w="1460" w:type="dxa"/>
            <w:vMerge/>
            <w:tcBorders>
              <w:top w:val="single" w:sz="4" w:space="0" w:color="auto"/>
              <w:left w:val="nil"/>
              <w:bottom w:val="nil"/>
              <w:right w:val="nil"/>
            </w:tcBorders>
            <w:vAlign w:val="center"/>
            <w:hideMark/>
          </w:tcPr>
          <w:p w14:paraId="4763BFB5" w14:textId="77777777" w:rsidR="003C5854" w:rsidRPr="003C5854" w:rsidRDefault="003C5854" w:rsidP="003C5854">
            <w:pPr>
              <w:rPr>
                <w:color w:val="000000"/>
                <w:sz w:val="20"/>
                <w:lang w:val="en-ID" w:eastAsia="en-ID"/>
              </w:rPr>
            </w:pPr>
          </w:p>
        </w:tc>
        <w:tc>
          <w:tcPr>
            <w:tcW w:w="940" w:type="dxa"/>
            <w:tcBorders>
              <w:top w:val="nil"/>
              <w:left w:val="nil"/>
              <w:bottom w:val="nil"/>
              <w:right w:val="nil"/>
            </w:tcBorders>
            <w:noWrap/>
            <w:vAlign w:val="center"/>
            <w:hideMark/>
          </w:tcPr>
          <w:p w14:paraId="58BE5865" w14:textId="77777777" w:rsidR="003C5854" w:rsidRPr="003C5854" w:rsidRDefault="003C5854" w:rsidP="003C5854">
            <w:pPr>
              <w:jc w:val="center"/>
              <w:rPr>
                <w:color w:val="000000"/>
                <w:sz w:val="20"/>
                <w:lang w:val="en-ID" w:eastAsia="en-ID"/>
              </w:rPr>
            </w:pPr>
            <w:r w:rsidRPr="003C5854">
              <w:rPr>
                <w:color w:val="000000"/>
                <w:sz w:val="20"/>
                <w:lang w:val="en-ID" w:eastAsia="en-ID"/>
              </w:rPr>
              <w:t>0,04</w:t>
            </w:r>
          </w:p>
        </w:tc>
        <w:tc>
          <w:tcPr>
            <w:tcW w:w="960" w:type="dxa"/>
            <w:tcBorders>
              <w:top w:val="nil"/>
              <w:left w:val="nil"/>
              <w:bottom w:val="nil"/>
              <w:right w:val="nil"/>
            </w:tcBorders>
            <w:noWrap/>
            <w:vAlign w:val="bottom"/>
            <w:hideMark/>
          </w:tcPr>
          <w:p w14:paraId="19520C23" w14:textId="77777777" w:rsidR="003C5854" w:rsidRPr="003C5854" w:rsidRDefault="003C5854" w:rsidP="003C5854">
            <w:pPr>
              <w:jc w:val="center"/>
              <w:rPr>
                <w:color w:val="000000"/>
                <w:sz w:val="20"/>
                <w:lang w:val="en-ID" w:eastAsia="en-ID"/>
              </w:rPr>
            </w:pPr>
            <w:r w:rsidRPr="003C5854">
              <w:rPr>
                <w:color w:val="000000"/>
                <w:sz w:val="20"/>
                <w:lang w:val="en-ID" w:eastAsia="en-ID"/>
              </w:rPr>
              <w:t>30,33</w:t>
            </w:r>
          </w:p>
        </w:tc>
        <w:tc>
          <w:tcPr>
            <w:tcW w:w="960" w:type="dxa"/>
            <w:tcBorders>
              <w:top w:val="nil"/>
              <w:left w:val="nil"/>
              <w:bottom w:val="nil"/>
              <w:right w:val="nil"/>
            </w:tcBorders>
            <w:noWrap/>
            <w:vAlign w:val="bottom"/>
            <w:hideMark/>
          </w:tcPr>
          <w:p w14:paraId="7BA84E56" w14:textId="77777777" w:rsidR="003C5854" w:rsidRPr="003C5854" w:rsidRDefault="003C5854" w:rsidP="003C5854">
            <w:pPr>
              <w:jc w:val="center"/>
              <w:rPr>
                <w:color w:val="000000"/>
                <w:sz w:val="20"/>
                <w:lang w:val="en-ID" w:eastAsia="en-ID"/>
              </w:rPr>
            </w:pPr>
            <w:r w:rsidRPr="003C5854">
              <w:rPr>
                <w:color w:val="000000"/>
                <w:sz w:val="20"/>
                <w:lang w:val="en-ID" w:eastAsia="en-ID"/>
              </w:rPr>
              <w:t>46,67</w:t>
            </w:r>
          </w:p>
        </w:tc>
        <w:tc>
          <w:tcPr>
            <w:tcW w:w="960" w:type="dxa"/>
            <w:tcBorders>
              <w:top w:val="nil"/>
              <w:left w:val="nil"/>
              <w:bottom w:val="nil"/>
              <w:right w:val="nil"/>
            </w:tcBorders>
            <w:noWrap/>
            <w:vAlign w:val="bottom"/>
            <w:hideMark/>
          </w:tcPr>
          <w:p w14:paraId="02D23F38" w14:textId="77777777" w:rsidR="003C5854" w:rsidRPr="003C5854" w:rsidRDefault="003C5854" w:rsidP="003C5854">
            <w:pPr>
              <w:jc w:val="center"/>
              <w:rPr>
                <w:color w:val="000000"/>
                <w:sz w:val="20"/>
                <w:lang w:val="en-ID" w:eastAsia="en-ID"/>
              </w:rPr>
            </w:pPr>
            <w:r w:rsidRPr="003C5854">
              <w:rPr>
                <w:color w:val="000000"/>
                <w:sz w:val="20"/>
                <w:lang w:val="en-ID" w:eastAsia="en-ID"/>
              </w:rPr>
              <w:t>27,67</w:t>
            </w:r>
          </w:p>
        </w:tc>
      </w:tr>
      <w:tr w:rsidR="003C5854" w:rsidRPr="003C5854" w14:paraId="34F3578D" w14:textId="77777777" w:rsidTr="003C5854">
        <w:trPr>
          <w:trHeight w:val="288"/>
          <w:jc w:val="center"/>
        </w:trPr>
        <w:tc>
          <w:tcPr>
            <w:tcW w:w="1460" w:type="dxa"/>
            <w:vMerge/>
            <w:tcBorders>
              <w:top w:val="single" w:sz="4" w:space="0" w:color="auto"/>
              <w:left w:val="nil"/>
              <w:bottom w:val="nil"/>
              <w:right w:val="nil"/>
            </w:tcBorders>
            <w:vAlign w:val="center"/>
            <w:hideMark/>
          </w:tcPr>
          <w:p w14:paraId="0288AAF8" w14:textId="77777777" w:rsidR="003C5854" w:rsidRPr="003C5854" w:rsidRDefault="003C5854" w:rsidP="003C5854">
            <w:pPr>
              <w:rPr>
                <w:color w:val="000000"/>
                <w:sz w:val="20"/>
                <w:lang w:val="en-ID" w:eastAsia="en-ID"/>
              </w:rPr>
            </w:pPr>
          </w:p>
        </w:tc>
        <w:tc>
          <w:tcPr>
            <w:tcW w:w="940" w:type="dxa"/>
            <w:tcBorders>
              <w:top w:val="nil"/>
              <w:left w:val="nil"/>
              <w:bottom w:val="nil"/>
              <w:right w:val="nil"/>
            </w:tcBorders>
            <w:noWrap/>
            <w:vAlign w:val="center"/>
            <w:hideMark/>
          </w:tcPr>
          <w:p w14:paraId="5013A171" w14:textId="77777777" w:rsidR="003C5854" w:rsidRPr="003C5854" w:rsidRDefault="003C5854" w:rsidP="003C5854">
            <w:pPr>
              <w:jc w:val="center"/>
              <w:rPr>
                <w:color w:val="000000"/>
                <w:sz w:val="20"/>
                <w:lang w:val="en-ID" w:eastAsia="en-ID"/>
              </w:rPr>
            </w:pPr>
            <w:r w:rsidRPr="003C5854">
              <w:rPr>
                <w:color w:val="000000"/>
                <w:sz w:val="20"/>
                <w:lang w:val="en-ID" w:eastAsia="en-ID"/>
              </w:rPr>
              <w:t>0,06</w:t>
            </w:r>
          </w:p>
        </w:tc>
        <w:tc>
          <w:tcPr>
            <w:tcW w:w="960" w:type="dxa"/>
            <w:tcBorders>
              <w:top w:val="nil"/>
              <w:left w:val="nil"/>
              <w:bottom w:val="nil"/>
              <w:right w:val="nil"/>
            </w:tcBorders>
            <w:noWrap/>
            <w:vAlign w:val="bottom"/>
            <w:hideMark/>
          </w:tcPr>
          <w:p w14:paraId="1C25527C" w14:textId="77777777" w:rsidR="003C5854" w:rsidRPr="003C5854" w:rsidRDefault="003C5854" w:rsidP="003C5854">
            <w:pPr>
              <w:jc w:val="center"/>
              <w:rPr>
                <w:color w:val="000000"/>
                <w:sz w:val="20"/>
                <w:lang w:val="en-ID" w:eastAsia="en-ID"/>
              </w:rPr>
            </w:pPr>
            <w:r w:rsidRPr="003C5854">
              <w:rPr>
                <w:color w:val="000000"/>
                <w:sz w:val="20"/>
                <w:lang w:val="en-ID" w:eastAsia="en-ID"/>
              </w:rPr>
              <w:t>29,67</w:t>
            </w:r>
          </w:p>
        </w:tc>
        <w:tc>
          <w:tcPr>
            <w:tcW w:w="960" w:type="dxa"/>
            <w:tcBorders>
              <w:top w:val="nil"/>
              <w:left w:val="nil"/>
              <w:bottom w:val="nil"/>
              <w:right w:val="nil"/>
            </w:tcBorders>
            <w:noWrap/>
            <w:vAlign w:val="bottom"/>
            <w:hideMark/>
          </w:tcPr>
          <w:p w14:paraId="5EDA0EC6" w14:textId="77777777" w:rsidR="003C5854" w:rsidRPr="003C5854" w:rsidRDefault="003C5854" w:rsidP="003C5854">
            <w:pPr>
              <w:jc w:val="center"/>
              <w:rPr>
                <w:color w:val="000000"/>
                <w:sz w:val="20"/>
                <w:lang w:val="en-ID" w:eastAsia="en-ID"/>
              </w:rPr>
            </w:pPr>
            <w:r w:rsidRPr="003C5854">
              <w:rPr>
                <w:color w:val="000000"/>
                <w:sz w:val="20"/>
                <w:lang w:val="en-ID" w:eastAsia="en-ID"/>
              </w:rPr>
              <w:t>46,00</w:t>
            </w:r>
          </w:p>
        </w:tc>
        <w:tc>
          <w:tcPr>
            <w:tcW w:w="960" w:type="dxa"/>
            <w:tcBorders>
              <w:top w:val="nil"/>
              <w:left w:val="nil"/>
              <w:bottom w:val="nil"/>
              <w:right w:val="nil"/>
            </w:tcBorders>
            <w:noWrap/>
            <w:vAlign w:val="bottom"/>
            <w:hideMark/>
          </w:tcPr>
          <w:p w14:paraId="6E75B6D1" w14:textId="77777777" w:rsidR="003C5854" w:rsidRPr="003C5854" w:rsidRDefault="003C5854" w:rsidP="003C5854">
            <w:pPr>
              <w:jc w:val="center"/>
              <w:rPr>
                <w:color w:val="000000"/>
                <w:sz w:val="20"/>
                <w:lang w:val="en-ID" w:eastAsia="en-ID"/>
              </w:rPr>
            </w:pPr>
            <w:r w:rsidRPr="003C5854">
              <w:rPr>
                <w:color w:val="000000"/>
                <w:sz w:val="20"/>
                <w:lang w:val="en-ID" w:eastAsia="en-ID"/>
              </w:rPr>
              <w:t>30,00</w:t>
            </w:r>
          </w:p>
        </w:tc>
      </w:tr>
      <w:tr w:rsidR="003C5854" w:rsidRPr="003C5854" w14:paraId="4C417C31" w14:textId="77777777" w:rsidTr="003C5854">
        <w:trPr>
          <w:trHeight w:val="288"/>
          <w:jc w:val="center"/>
        </w:trPr>
        <w:tc>
          <w:tcPr>
            <w:tcW w:w="1460" w:type="dxa"/>
            <w:vMerge/>
            <w:tcBorders>
              <w:top w:val="single" w:sz="4" w:space="0" w:color="auto"/>
              <w:left w:val="nil"/>
              <w:bottom w:val="nil"/>
              <w:right w:val="nil"/>
            </w:tcBorders>
            <w:vAlign w:val="center"/>
            <w:hideMark/>
          </w:tcPr>
          <w:p w14:paraId="76729E27" w14:textId="77777777" w:rsidR="003C5854" w:rsidRPr="003C5854" w:rsidRDefault="003C5854" w:rsidP="003C5854">
            <w:pPr>
              <w:rPr>
                <w:color w:val="000000"/>
                <w:sz w:val="20"/>
                <w:lang w:val="en-ID" w:eastAsia="en-ID"/>
              </w:rPr>
            </w:pPr>
          </w:p>
        </w:tc>
        <w:tc>
          <w:tcPr>
            <w:tcW w:w="940" w:type="dxa"/>
            <w:tcBorders>
              <w:top w:val="nil"/>
              <w:left w:val="nil"/>
              <w:bottom w:val="nil"/>
              <w:right w:val="nil"/>
            </w:tcBorders>
            <w:noWrap/>
            <w:vAlign w:val="center"/>
            <w:hideMark/>
          </w:tcPr>
          <w:p w14:paraId="262A2785" w14:textId="77777777" w:rsidR="003C5854" w:rsidRPr="003C5854" w:rsidRDefault="003C5854" w:rsidP="003C5854">
            <w:pPr>
              <w:jc w:val="center"/>
              <w:rPr>
                <w:color w:val="000000"/>
                <w:sz w:val="20"/>
                <w:lang w:val="en-ID" w:eastAsia="en-ID"/>
              </w:rPr>
            </w:pPr>
            <w:r w:rsidRPr="003C5854">
              <w:rPr>
                <w:color w:val="000000"/>
                <w:sz w:val="20"/>
                <w:lang w:val="en-ID" w:eastAsia="en-ID"/>
              </w:rPr>
              <w:t>0,08</w:t>
            </w:r>
          </w:p>
        </w:tc>
        <w:tc>
          <w:tcPr>
            <w:tcW w:w="960" w:type="dxa"/>
            <w:tcBorders>
              <w:top w:val="nil"/>
              <w:left w:val="nil"/>
              <w:bottom w:val="nil"/>
              <w:right w:val="nil"/>
            </w:tcBorders>
            <w:noWrap/>
            <w:vAlign w:val="bottom"/>
            <w:hideMark/>
          </w:tcPr>
          <w:p w14:paraId="3A3ADBC7" w14:textId="77777777" w:rsidR="003C5854" w:rsidRPr="003C5854" w:rsidRDefault="003C5854" w:rsidP="003C5854">
            <w:pPr>
              <w:jc w:val="center"/>
              <w:rPr>
                <w:color w:val="000000"/>
                <w:sz w:val="20"/>
                <w:lang w:val="en-ID" w:eastAsia="en-ID"/>
              </w:rPr>
            </w:pPr>
            <w:r w:rsidRPr="003C5854">
              <w:rPr>
                <w:color w:val="000000"/>
                <w:sz w:val="20"/>
                <w:lang w:val="en-ID" w:eastAsia="en-ID"/>
              </w:rPr>
              <w:t>26,33</w:t>
            </w:r>
          </w:p>
        </w:tc>
        <w:tc>
          <w:tcPr>
            <w:tcW w:w="960" w:type="dxa"/>
            <w:tcBorders>
              <w:top w:val="nil"/>
              <w:left w:val="nil"/>
              <w:bottom w:val="nil"/>
              <w:right w:val="nil"/>
            </w:tcBorders>
            <w:noWrap/>
            <w:vAlign w:val="bottom"/>
            <w:hideMark/>
          </w:tcPr>
          <w:p w14:paraId="7F0E3F8D" w14:textId="77777777" w:rsidR="003C5854" w:rsidRPr="003C5854" w:rsidRDefault="003C5854" w:rsidP="003C5854">
            <w:pPr>
              <w:jc w:val="center"/>
              <w:rPr>
                <w:color w:val="000000"/>
                <w:sz w:val="20"/>
                <w:lang w:val="en-ID" w:eastAsia="en-ID"/>
              </w:rPr>
            </w:pPr>
            <w:r w:rsidRPr="003C5854">
              <w:rPr>
                <w:color w:val="000000"/>
                <w:sz w:val="20"/>
                <w:lang w:val="en-ID" w:eastAsia="en-ID"/>
              </w:rPr>
              <w:t>44,67</w:t>
            </w:r>
          </w:p>
        </w:tc>
        <w:tc>
          <w:tcPr>
            <w:tcW w:w="960" w:type="dxa"/>
            <w:tcBorders>
              <w:top w:val="nil"/>
              <w:left w:val="nil"/>
              <w:bottom w:val="nil"/>
              <w:right w:val="nil"/>
            </w:tcBorders>
            <w:noWrap/>
            <w:vAlign w:val="bottom"/>
            <w:hideMark/>
          </w:tcPr>
          <w:p w14:paraId="60A8F164" w14:textId="77777777" w:rsidR="003C5854" w:rsidRPr="003C5854" w:rsidRDefault="003C5854" w:rsidP="003C5854">
            <w:pPr>
              <w:jc w:val="center"/>
              <w:rPr>
                <w:color w:val="000000"/>
                <w:sz w:val="20"/>
                <w:lang w:val="en-ID" w:eastAsia="en-ID"/>
              </w:rPr>
            </w:pPr>
            <w:r w:rsidRPr="003C5854">
              <w:rPr>
                <w:color w:val="000000"/>
                <w:sz w:val="20"/>
                <w:lang w:val="en-ID" w:eastAsia="en-ID"/>
              </w:rPr>
              <w:t>30,00</w:t>
            </w:r>
          </w:p>
        </w:tc>
      </w:tr>
      <w:tr w:rsidR="003C5854" w:rsidRPr="003C5854" w14:paraId="1D353AE8" w14:textId="77777777" w:rsidTr="003C5854">
        <w:trPr>
          <w:trHeight w:val="288"/>
          <w:jc w:val="center"/>
        </w:trPr>
        <w:tc>
          <w:tcPr>
            <w:tcW w:w="1460" w:type="dxa"/>
            <w:vMerge/>
            <w:tcBorders>
              <w:top w:val="single" w:sz="4" w:space="0" w:color="auto"/>
              <w:left w:val="nil"/>
              <w:bottom w:val="nil"/>
              <w:right w:val="nil"/>
            </w:tcBorders>
            <w:vAlign w:val="center"/>
            <w:hideMark/>
          </w:tcPr>
          <w:p w14:paraId="07464F1A" w14:textId="77777777" w:rsidR="003C5854" w:rsidRPr="003C5854" w:rsidRDefault="003C5854" w:rsidP="003C5854">
            <w:pPr>
              <w:rPr>
                <w:color w:val="000000"/>
                <w:sz w:val="20"/>
                <w:lang w:val="en-ID" w:eastAsia="en-ID"/>
              </w:rPr>
            </w:pPr>
          </w:p>
        </w:tc>
        <w:tc>
          <w:tcPr>
            <w:tcW w:w="940" w:type="dxa"/>
            <w:tcBorders>
              <w:top w:val="nil"/>
              <w:left w:val="nil"/>
              <w:bottom w:val="nil"/>
              <w:right w:val="nil"/>
            </w:tcBorders>
            <w:noWrap/>
            <w:vAlign w:val="center"/>
            <w:hideMark/>
          </w:tcPr>
          <w:p w14:paraId="2F55501E" w14:textId="77777777" w:rsidR="003C5854" w:rsidRPr="003C5854" w:rsidRDefault="003C5854" w:rsidP="003C5854">
            <w:pPr>
              <w:jc w:val="center"/>
              <w:rPr>
                <w:color w:val="000000"/>
                <w:sz w:val="20"/>
                <w:lang w:val="en-ID" w:eastAsia="en-ID"/>
              </w:rPr>
            </w:pPr>
            <w:r w:rsidRPr="003C5854">
              <w:rPr>
                <w:color w:val="000000"/>
                <w:sz w:val="20"/>
                <w:lang w:val="en-ID" w:eastAsia="en-ID"/>
              </w:rPr>
              <w:t>0,10</w:t>
            </w:r>
          </w:p>
        </w:tc>
        <w:tc>
          <w:tcPr>
            <w:tcW w:w="960" w:type="dxa"/>
            <w:tcBorders>
              <w:top w:val="nil"/>
              <w:left w:val="nil"/>
              <w:bottom w:val="nil"/>
              <w:right w:val="nil"/>
            </w:tcBorders>
            <w:noWrap/>
            <w:vAlign w:val="bottom"/>
            <w:hideMark/>
          </w:tcPr>
          <w:p w14:paraId="76EF6729" w14:textId="77777777" w:rsidR="003C5854" w:rsidRPr="003C5854" w:rsidRDefault="003C5854" w:rsidP="003C5854">
            <w:pPr>
              <w:jc w:val="center"/>
              <w:rPr>
                <w:color w:val="000000"/>
                <w:sz w:val="20"/>
                <w:lang w:val="en-ID" w:eastAsia="en-ID"/>
              </w:rPr>
            </w:pPr>
            <w:r w:rsidRPr="003C5854">
              <w:rPr>
                <w:color w:val="000000"/>
                <w:sz w:val="20"/>
                <w:lang w:val="en-ID" w:eastAsia="en-ID"/>
              </w:rPr>
              <w:t>26,67</w:t>
            </w:r>
          </w:p>
        </w:tc>
        <w:tc>
          <w:tcPr>
            <w:tcW w:w="960" w:type="dxa"/>
            <w:tcBorders>
              <w:top w:val="nil"/>
              <w:left w:val="nil"/>
              <w:bottom w:val="nil"/>
              <w:right w:val="nil"/>
            </w:tcBorders>
            <w:noWrap/>
            <w:vAlign w:val="bottom"/>
            <w:hideMark/>
          </w:tcPr>
          <w:p w14:paraId="59558F0C" w14:textId="77777777" w:rsidR="003C5854" w:rsidRPr="003C5854" w:rsidRDefault="003C5854" w:rsidP="003C5854">
            <w:pPr>
              <w:jc w:val="center"/>
              <w:rPr>
                <w:color w:val="000000"/>
                <w:sz w:val="20"/>
                <w:lang w:val="en-ID" w:eastAsia="en-ID"/>
              </w:rPr>
            </w:pPr>
            <w:r w:rsidRPr="003C5854">
              <w:rPr>
                <w:color w:val="000000"/>
                <w:sz w:val="20"/>
                <w:lang w:val="en-ID" w:eastAsia="en-ID"/>
              </w:rPr>
              <w:t>44,00</w:t>
            </w:r>
          </w:p>
        </w:tc>
        <w:tc>
          <w:tcPr>
            <w:tcW w:w="960" w:type="dxa"/>
            <w:tcBorders>
              <w:top w:val="nil"/>
              <w:left w:val="nil"/>
              <w:bottom w:val="nil"/>
              <w:right w:val="nil"/>
            </w:tcBorders>
            <w:noWrap/>
            <w:vAlign w:val="bottom"/>
            <w:hideMark/>
          </w:tcPr>
          <w:p w14:paraId="425DA2A4" w14:textId="77777777" w:rsidR="003C5854" w:rsidRPr="003C5854" w:rsidRDefault="003C5854" w:rsidP="003C5854">
            <w:pPr>
              <w:jc w:val="center"/>
              <w:rPr>
                <w:color w:val="000000"/>
                <w:sz w:val="20"/>
                <w:lang w:val="en-ID" w:eastAsia="en-ID"/>
              </w:rPr>
            </w:pPr>
            <w:r w:rsidRPr="003C5854">
              <w:rPr>
                <w:color w:val="000000"/>
                <w:sz w:val="20"/>
                <w:lang w:val="en-ID" w:eastAsia="en-ID"/>
              </w:rPr>
              <w:t>29,67</w:t>
            </w:r>
          </w:p>
        </w:tc>
      </w:tr>
      <w:tr w:rsidR="003C5854" w:rsidRPr="003C5854" w14:paraId="641B97E6" w14:textId="77777777" w:rsidTr="003C5854">
        <w:trPr>
          <w:trHeight w:val="288"/>
          <w:jc w:val="center"/>
        </w:trPr>
        <w:tc>
          <w:tcPr>
            <w:tcW w:w="1460" w:type="dxa"/>
            <w:vMerge/>
            <w:tcBorders>
              <w:top w:val="single" w:sz="4" w:space="0" w:color="auto"/>
              <w:left w:val="nil"/>
              <w:bottom w:val="single" w:sz="4" w:space="0" w:color="auto"/>
              <w:right w:val="nil"/>
            </w:tcBorders>
            <w:vAlign w:val="center"/>
            <w:hideMark/>
          </w:tcPr>
          <w:p w14:paraId="1E219B25" w14:textId="77777777" w:rsidR="003C5854" w:rsidRPr="003C5854" w:rsidRDefault="003C5854" w:rsidP="003C5854">
            <w:pPr>
              <w:rPr>
                <w:color w:val="000000"/>
                <w:sz w:val="20"/>
                <w:lang w:val="en-ID" w:eastAsia="en-ID"/>
              </w:rPr>
            </w:pPr>
          </w:p>
        </w:tc>
        <w:tc>
          <w:tcPr>
            <w:tcW w:w="940" w:type="dxa"/>
            <w:tcBorders>
              <w:top w:val="nil"/>
              <w:left w:val="nil"/>
              <w:bottom w:val="single" w:sz="4" w:space="0" w:color="auto"/>
              <w:right w:val="nil"/>
            </w:tcBorders>
            <w:noWrap/>
            <w:vAlign w:val="center"/>
            <w:hideMark/>
          </w:tcPr>
          <w:p w14:paraId="0A498B26" w14:textId="77777777" w:rsidR="003C5854" w:rsidRPr="003C5854" w:rsidRDefault="003C5854" w:rsidP="003C5854">
            <w:pPr>
              <w:jc w:val="center"/>
              <w:rPr>
                <w:color w:val="000000"/>
                <w:sz w:val="20"/>
                <w:lang w:val="en-ID" w:eastAsia="en-ID"/>
              </w:rPr>
            </w:pPr>
            <w:r w:rsidRPr="003C5854">
              <w:rPr>
                <w:color w:val="000000"/>
                <w:sz w:val="20"/>
                <w:lang w:val="en-ID" w:eastAsia="en-ID"/>
              </w:rPr>
              <w:t>0,12</w:t>
            </w:r>
          </w:p>
        </w:tc>
        <w:tc>
          <w:tcPr>
            <w:tcW w:w="960" w:type="dxa"/>
            <w:tcBorders>
              <w:top w:val="nil"/>
              <w:left w:val="nil"/>
              <w:bottom w:val="single" w:sz="4" w:space="0" w:color="auto"/>
              <w:right w:val="nil"/>
            </w:tcBorders>
            <w:noWrap/>
            <w:vAlign w:val="bottom"/>
            <w:hideMark/>
          </w:tcPr>
          <w:p w14:paraId="426BE6D4" w14:textId="77777777" w:rsidR="003C5854" w:rsidRPr="003C5854" w:rsidRDefault="003C5854" w:rsidP="003C5854">
            <w:pPr>
              <w:jc w:val="center"/>
              <w:rPr>
                <w:color w:val="000000"/>
                <w:sz w:val="20"/>
                <w:lang w:val="en-ID" w:eastAsia="en-ID"/>
              </w:rPr>
            </w:pPr>
            <w:r w:rsidRPr="003C5854">
              <w:rPr>
                <w:color w:val="000000"/>
                <w:sz w:val="20"/>
                <w:lang w:val="en-ID" w:eastAsia="en-ID"/>
              </w:rPr>
              <w:t>26,33</w:t>
            </w:r>
          </w:p>
        </w:tc>
        <w:tc>
          <w:tcPr>
            <w:tcW w:w="960" w:type="dxa"/>
            <w:tcBorders>
              <w:top w:val="nil"/>
              <w:left w:val="nil"/>
              <w:bottom w:val="single" w:sz="4" w:space="0" w:color="auto"/>
              <w:right w:val="nil"/>
            </w:tcBorders>
            <w:noWrap/>
            <w:vAlign w:val="bottom"/>
            <w:hideMark/>
          </w:tcPr>
          <w:p w14:paraId="40832B6E" w14:textId="77777777" w:rsidR="003C5854" w:rsidRPr="003C5854" w:rsidRDefault="003C5854" w:rsidP="003C5854">
            <w:pPr>
              <w:jc w:val="center"/>
              <w:rPr>
                <w:color w:val="000000"/>
                <w:sz w:val="20"/>
                <w:lang w:val="en-ID" w:eastAsia="en-ID"/>
              </w:rPr>
            </w:pPr>
            <w:r w:rsidRPr="003C5854">
              <w:rPr>
                <w:color w:val="000000"/>
                <w:sz w:val="20"/>
                <w:lang w:val="en-ID" w:eastAsia="en-ID"/>
              </w:rPr>
              <w:t>44,00</w:t>
            </w:r>
          </w:p>
        </w:tc>
        <w:tc>
          <w:tcPr>
            <w:tcW w:w="960" w:type="dxa"/>
            <w:tcBorders>
              <w:top w:val="nil"/>
              <w:left w:val="nil"/>
              <w:bottom w:val="single" w:sz="4" w:space="0" w:color="auto"/>
              <w:right w:val="nil"/>
            </w:tcBorders>
            <w:noWrap/>
            <w:vAlign w:val="bottom"/>
            <w:hideMark/>
          </w:tcPr>
          <w:p w14:paraId="032601B1" w14:textId="77777777" w:rsidR="003C5854" w:rsidRPr="003C5854" w:rsidRDefault="003C5854" w:rsidP="003C5854">
            <w:pPr>
              <w:jc w:val="center"/>
              <w:rPr>
                <w:color w:val="000000"/>
                <w:sz w:val="20"/>
                <w:lang w:val="en-ID" w:eastAsia="en-ID"/>
              </w:rPr>
            </w:pPr>
            <w:r w:rsidRPr="003C5854">
              <w:rPr>
                <w:color w:val="000000"/>
                <w:sz w:val="20"/>
                <w:lang w:val="en-ID" w:eastAsia="en-ID"/>
              </w:rPr>
              <w:t>31,00</w:t>
            </w:r>
          </w:p>
        </w:tc>
      </w:tr>
      <w:tr w:rsidR="003C5854" w:rsidRPr="003C5854" w14:paraId="6F82FA46" w14:textId="77777777" w:rsidTr="003C5854">
        <w:trPr>
          <w:trHeight w:val="288"/>
          <w:jc w:val="center"/>
        </w:trPr>
        <w:tc>
          <w:tcPr>
            <w:tcW w:w="1460" w:type="dxa"/>
            <w:vMerge w:val="restart"/>
            <w:tcBorders>
              <w:top w:val="single" w:sz="4" w:space="0" w:color="auto"/>
              <w:left w:val="nil"/>
              <w:bottom w:val="nil"/>
              <w:right w:val="nil"/>
            </w:tcBorders>
            <w:vAlign w:val="center"/>
            <w:hideMark/>
          </w:tcPr>
          <w:p w14:paraId="119F4008" w14:textId="77777777" w:rsidR="003C5854" w:rsidRPr="003C5854" w:rsidRDefault="003C5854" w:rsidP="003C5854">
            <w:pPr>
              <w:jc w:val="center"/>
              <w:rPr>
                <w:color w:val="000000"/>
                <w:sz w:val="20"/>
                <w:lang w:val="en-ID" w:eastAsia="en-ID"/>
              </w:rPr>
            </w:pPr>
            <w:r w:rsidRPr="003C5854">
              <w:rPr>
                <w:color w:val="000000"/>
                <w:sz w:val="20"/>
                <w:lang w:val="en-ID" w:eastAsia="en-ID"/>
              </w:rPr>
              <w:t xml:space="preserve">Cadmium </w:t>
            </w:r>
            <w:proofErr w:type="spellStart"/>
            <w:r w:rsidRPr="003C5854">
              <w:rPr>
                <w:color w:val="000000"/>
                <w:sz w:val="20"/>
                <w:lang w:val="en-ID" w:eastAsia="en-ID"/>
              </w:rPr>
              <w:t>sulfoselenida</w:t>
            </w:r>
            <w:proofErr w:type="spellEnd"/>
          </w:p>
        </w:tc>
        <w:tc>
          <w:tcPr>
            <w:tcW w:w="940" w:type="dxa"/>
            <w:tcBorders>
              <w:top w:val="single" w:sz="4" w:space="0" w:color="auto"/>
              <w:left w:val="nil"/>
              <w:bottom w:val="nil"/>
              <w:right w:val="nil"/>
            </w:tcBorders>
            <w:noWrap/>
            <w:vAlign w:val="center"/>
            <w:hideMark/>
          </w:tcPr>
          <w:p w14:paraId="2568257C" w14:textId="77777777" w:rsidR="003C5854" w:rsidRPr="003C5854" w:rsidRDefault="003C5854" w:rsidP="003C5854">
            <w:pPr>
              <w:jc w:val="center"/>
              <w:rPr>
                <w:color w:val="000000"/>
                <w:sz w:val="20"/>
                <w:lang w:val="en-ID" w:eastAsia="en-ID"/>
              </w:rPr>
            </w:pPr>
            <w:r w:rsidRPr="003C5854">
              <w:rPr>
                <w:color w:val="000000"/>
                <w:sz w:val="20"/>
                <w:lang w:val="en-ID" w:eastAsia="en-ID"/>
              </w:rPr>
              <w:t>0,01</w:t>
            </w:r>
          </w:p>
        </w:tc>
        <w:tc>
          <w:tcPr>
            <w:tcW w:w="960" w:type="dxa"/>
            <w:tcBorders>
              <w:top w:val="single" w:sz="4" w:space="0" w:color="auto"/>
              <w:left w:val="nil"/>
              <w:bottom w:val="nil"/>
              <w:right w:val="nil"/>
            </w:tcBorders>
            <w:noWrap/>
            <w:vAlign w:val="bottom"/>
            <w:hideMark/>
          </w:tcPr>
          <w:p w14:paraId="2772D0D4" w14:textId="77777777" w:rsidR="003C5854" w:rsidRPr="003C5854" w:rsidRDefault="003C5854" w:rsidP="003C5854">
            <w:pPr>
              <w:jc w:val="center"/>
              <w:rPr>
                <w:color w:val="000000"/>
                <w:sz w:val="20"/>
                <w:lang w:val="en-ID" w:eastAsia="en-ID"/>
              </w:rPr>
            </w:pPr>
            <w:r w:rsidRPr="003C5854">
              <w:rPr>
                <w:color w:val="000000"/>
                <w:sz w:val="20"/>
                <w:lang w:val="en-ID" w:eastAsia="en-ID"/>
              </w:rPr>
              <w:t>65,00</w:t>
            </w:r>
          </w:p>
        </w:tc>
        <w:tc>
          <w:tcPr>
            <w:tcW w:w="960" w:type="dxa"/>
            <w:tcBorders>
              <w:top w:val="single" w:sz="4" w:space="0" w:color="auto"/>
              <w:left w:val="nil"/>
              <w:bottom w:val="nil"/>
              <w:right w:val="nil"/>
            </w:tcBorders>
            <w:noWrap/>
            <w:vAlign w:val="bottom"/>
            <w:hideMark/>
          </w:tcPr>
          <w:p w14:paraId="7AC21321" w14:textId="77777777" w:rsidR="003C5854" w:rsidRPr="003C5854" w:rsidRDefault="003C5854" w:rsidP="003C5854">
            <w:pPr>
              <w:jc w:val="center"/>
              <w:rPr>
                <w:color w:val="000000"/>
                <w:sz w:val="20"/>
                <w:lang w:val="en-ID" w:eastAsia="en-ID"/>
              </w:rPr>
            </w:pPr>
            <w:r w:rsidRPr="003C5854">
              <w:rPr>
                <w:color w:val="000000"/>
                <w:sz w:val="20"/>
                <w:lang w:val="en-ID" w:eastAsia="en-ID"/>
              </w:rPr>
              <w:t>7,67</w:t>
            </w:r>
          </w:p>
        </w:tc>
        <w:tc>
          <w:tcPr>
            <w:tcW w:w="960" w:type="dxa"/>
            <w:tcBorders>
              <w:top w:val="single" w:sz="4" w:space="0" w:color="auto"/>
              <w:left w:val="nil"/>
              <w:bottom w:val="nil"/>
              <w:right w:val="nil"/>
            </w:tcBorders>
            <w:noWrap/>
            <w:vAlign w:val="bottom"/>
            <w:hideMark/>
          </w:tcPr>
          <w:p w14:paraId="0264C916" w14:textId="77777777" w:rsidR="003C5854" w:rsidRPr="003C5854" w:rsidRDefault="003C5854" w:rsidP="003C5854">
            <w:pPr>
              <w:jc w:val="center"/>
              <w:rPr>
                <w:color w:val="000000"/>
                <w:sz w:val="20"/>
                <w:lang w:val="en-ID" w:eastAsia="en-ID"/>
              </w:rPr>
            </w:pPr>
            <w:r w:rsidRPr="003C5854">
              <w:rPr>
                <w:color w:val="000000"/>
                <w:sz w:val="20"/>
                <w:lang w:val="en-ID" w:eastAsia="en-ID"/>
              </w:rPr>
              <w:t>-2,67</w:t>
            </w:r>
          </w:p>
        </w:tc>
      </w:tr>
      <w:tr w:rsidR="003C5854" w:rsidRPr="003C5854" w14:paraId="0C17E07C" w14:textId="77777777" w:rsidTr="003C5854">
        <w:trPr>
          <w:trHeight w:val="288"/>
          <w:jc w:val="center"/>
        </w:trPr>
        <w:tc>
          <w:tcPr>
            <w:tcW w:w="1460" w:type="dxa"/>
            <w:vMerge/>
            <w:tcBorders>
              <w:top w:val="single" w:sz="4" w:space="0" w:color="auto"/>
              <w:left w:val="nil"/>
              <w:bottom w:val="nil"/>
              <w:right w:val="nil"/>
            </w:tcBorders>
            <w:vAlign w:val="center"/>
            <w:hideMark/>
          </w:tcPr>
          <w:p w14:paraId="0EC852DC" w14:textId="77777777" w:rsidR="003C5854" w:rsidRPr="003C5854" w:rsidRDefault="003C5854" w:rsidP="003C5854">
            <w:pPr>
              <w:rPr>
                <w:color w:val="000000"/>
                <w:sz w:val="20"/>
                <w:lang w:val="en-ID" w:eastAsia="en-ID"/>
              </w:rPr>
            </w:pPr>
          </w:p>
        </w:tc>
        <w:tc>
          <w:tcPr>
            <w:tcW w:w="940" w:type="dxa"/>
            <w:tcBorders>
              <w:top w:val="nil"/>
              <w:left w:val="nil"/>
              <w:bottom w:val="nil"/>
              <w:right w:val="nil"/>
            </w:tcBorders>
            <w:noWrap/>
            <w:vAlign w:val="center"/>
            <w:hideMark/>
          </w:tcPr>
          <w:p w14:paraId="361F7D0B" w14:textId="77777777" w:rsidR="003C5854" w:rsidRPr="003C5854" w:rsidRDefault="003C5854" w:rsidP="003C5854">
            <w:pPr>
              <w:jc w:val="center"/>
              <w:rPr>
                <w:color w:val="000000"/>
                <w:sz w:val="20"/>
                <w:lang w:val="en-ID" w:eastAsia="en-ID"/>
              </w:rPr>
            </w:pPr>
            <w:r w:rsidRPr="003C5854">
              <w:rPr>
                <w:color w:val="000000"/>
                <w:sz w:val="20"/>
                <w:lang w:val="en-ID" w:eastAsia="en-ID"/>
              </w:rPr>
              <w:t>0,02</w:t>
            </w:r>
          </w:p>
        </w:tc>
        <w:tc>
          <w:tcPr>
            <w:tcW w:w="960" w:type="dxa"/>
            <w:tcBorders>
              <w:top w:val="nil"/>
              <w:left w:val="nil"/>
              <w:bottom w:val="nil"/>
              <w:right w:val="nil"/>
            </w:tcBorders>
            <w:noWrap/>
            <w:vAlign w:val="bottom"/>
            <w:hideMark/>
          </w:tcPr>
          <w:p w14:paraId="710CCE88" w14:textId="77777777" w:rsidR="003C5854" w:rsidRPr="003C5854" w:rsidRDefault="003C5854" w:rsidP="003C5854">
            <w:pPr>
              <w:jc w:val="center"/>
              <w:rPr>
                <w:color w:val="000000"/>
                <w:sz w:val="20"/>
                <w:lang w:val="en-ID" w:eastAsia="en-ID"/>
              </w:rPr>
            </w:pPr>
            <w:r w:rsidRPr="003C5854">
              <w:rPr>
                <w:color w:val="000000"/>
                <w:sz w:val="20"/>
                <w:lang w:val="en-ID" w:eastAsia="en-ID"/>
              </w:rPr>
              <w:t>50,33</w:t>
            </w:r>
          </w:p>
        </w:tc>
        <w:tc>
          <w:tcPr>
            <w:tcW w:w="960" w:type="dxa"/>
            <w:tcBorders>
              <w:top w:val="nil"/>
              <w:left w:val="nil"/>
              <w:bottom w:val="nil"/>
              <w:right w:val="nil"/>
            </w:tcBorders>
            <w:noWrap/>
            <w:vAlign w:val="bottom"/>
            <w:hideMark/>
          </w:tcPr>
          <w:p w14:paraId="135C38CF" w14:textId="77777777" w:rsidR="003C5854" w:rsidRPr="003C5854" w:rsidRDefault="003C5854" w:rsidP="003C5854">
            <w:pPr>
              <w:jc w:val="center"/>
              <w:rPr>
                <w:color w:val="000000"/>
                <w:sz w:val="20"/>
                <w:lang w:val="en-ID" w:eastAsia="en-ID"/>
              </w:rPr>
            </w:pPr>
            <w:r w:rsidRPr="003C5854">
              <w:rPr>
                <w:color w:val="000000"/>
                <w:sz w:val="20"/>
                <w:lang w:val="en-ID" w:eastAsia="en-ID"/>
              </w:rPr>
              <w:t>25,33</w:t>
            </w:r>
          </w:p>
        </w:tc>
        <w:tc>
          <w:tcPr>
            <w:tcW w:w="960" w:type="dxa"/>
            <w:tcBorders>
              <w:top w:val="nil"/>
              <w:left w:val="nil"/>
              <w:bottom w:val="nil"/>
              <w:right w:val="nil"/>
            </w:tcBorders>
            <w:noWrap/>
            <w:vAlign w:val="bottom"/>
            <w:hideMark/>
          </w:tcPr>
          <w:p w14:paraId="53FC2B59" w14:textId="77777777" w:rsidR="003C5854" w:rsidRPr="003C5854" w:rsidRDefault="003C5854" w:rsidP="003C5854">
            <w:pPr>
              <w:jc w:val="center"/>
              <w:rPr>
                <w:color w:val="000000"/>
                <w:sz w:val="20"/>
                <w:lang w:val="en-ID" w:eastAsia="en-ID"/>
              </w:rPr>
            </w:pPr>
            <w:r w:rsidRPr="003C5854">
              <w:rPr>
                <w:color w:val="000000"/>
                <w:sz w:val="20"/>
                <w:lang w:val="en-ID" w:eastAsia="en-ID"/>
              </w:rPr>
              <w:t>4,33</w:t>
            </w:r>
          </w:p>
        </w:tc>
      </w:tr>
      <w:tr w:rsidR="003C5854" w:rsidRPr="003C5854" w14:paraId="741526F6" w14:textId="77777777" w:rsidTr="003C5854">
        <w:trPr>
          <w:trHeight w:val="288"/>
          <w:jc w:val="center"/>
        </w:trPr>
        <w:tc>
          <w:tcPr>
            <w:tcW w:w="1460" w:type="dxa"/>
            <w:vMerge/>
            <w:tcBorders>
              <w:top w:val="single" w:sz="4" w:space="0" w:color="auto"/>
              <w:left w:val="nil"/>
              <w:bottom w:val="nil"/>
              <w:right w:val="nil"/>
            </w:tcBorders>
            <w:vAlign w:val="center"/>
            <w:hideMark/>
          </w:tcPr>
          <w:p w14:paraId="0B0B9EC9" w14:textId="77777777" w:rsidR="003C5854" w:rsidRPr="003C5854" w:rsidRDefault="003C5854" w:rsidP="003C5854">
            <w:pPr>
              <w:rPr>
                <w:color w:val="000000"/>
                <w:sz w:val="20"/>
                <w:lang w:val="en-ID" w:eastAsia="en-ID"/>
              </w:rPr>
            </w:pPr>
          </w:p>
        </w:tc>
        <w:tc>
          <w:tcPr>
            <w:tcW w:w="940" w:type="dxa"/>
            <w:tcBorders>
              <w:top w:val="nil"/>
              <w:left w:val="nil"/>
              <w:bottom w:val="nil"/>
              <w:right w:val="nil"/>
            </w:tcBorders>
            <w:noWrap/>
            <w:vAlign w:val="center"/>
            <w:hideMark/>
          </w:tcPr>
          <w:p w14:paraId="57D73F2A" w14:textId="77777777" w:rsidR="003C5854" w:rsidRPr="003C5854" w:rsidRDefault="003C5854" w:rsidP="003C5854">
            <w:pPr>
              <w:jc w:val="center"/>
              <w:rPr>
                <w:color w:val="000000"/>
                <w:sz w:val="20"/>
                <w:lang w:val="en-ID" w:eastAsia="en-ID"/>
              </w:rPr>
            </w:pPr>
            <w:r w:rsidRPr="003C5854">
              <w:rPr>
                <w:color w:val="000000"/>
                <w:sz w:val="20"/>
                <w:lang w:val="en-ID" w:eastAsia="en-ID"/>
              </w:rPr>
              <w:t>0,04</w:t>
            </w:r>
          </w:p>
        </w:tc>
        <w:tc>
          <w:tcPr>
            <w:tcW w:w="960" w:type="dxa"/>
            <w:tcBorders>
              <w:top w:val="nil"/>
              <w:left w:val="nil"/>
              <w:bottom w:val="nil"/>
              <w:right w:val="nil"/>
            </w:tcBorders>
            <w:noWrap/>
            <w:vAlign w:val="bottom"/>
            <w:hideMark/>
          </w:tcPr>
          <w:p w14:paraId="779F064C" w14:textId="77777777" w:rsidR="003C5854" w:rsidRPr="003C5854" w:rsidRDefault="003C5854" w:rsidP="003C5854">
            <w:pPr>
              <w:jc w:val="center"/>
              <w:rPr>
                <w:color w:val="000000"/>
                <w:sz w:val="20"/>
                <w:lang w:val="en-ID" w:eastAsia="en-ID"/>
              </w:rPr>
            </w:pPr>
            <w:r w:rsidRPr="003C5854">
              <w:rPr>
                <w:color w:val="000000"/>
                <w:sz w:val="20"/>
                <w:lang w:val="en-ID" w:eastAsia="en-ID"/>
              </w:rPr>
              <w:t>44,00</w:t>
            </w:r>
          </w:p>
        </w:tc>
        <w:tc>
          <w:tcPr>
            <w:tcW w:w="960" w:type="dxa"/>
            <w:tcBorders>
              <w:top w:val="nil"/>
              <w:left w:val="nil"/>
              <w:bottom w:val="nil"/>
              <w:right w:val="nil"/>
            </w:tcBorders>
            <w:noWrap/>
            <w:vAlign w:val="bottom"/>
            <w:hideMark/>
          </w:tcPr>
          <w:p w14:paraId="2AC17BDC" w14:textId="77777777" w:rsidR="003C5854" w:rsidRPr="003C5854" w:rsidRDefault="003C5854" w:rsidP="003C5854">
            <w:pPr>
              <w:jc w:val="center"/>
              <w:rPr>
                <w:color w:val="000000"/>
                <w:sz w:val="20"/>
                <w:lang w:val="en-ID" w:eastAsia="en-ID"/>
              </w:rPr>
            </w:pPr>
            <w:r w:rsidRPr="003C5854">
              <w:rPr>
                <w:color w:val="000000"/>
                <w:sz w:val="20"/>
                <w:lang w:val="en-ID" w:eastAsia="en-ID"/>
              </w:rPr>
              <w:t>36,67</w:t>
            </w:r>
          </w:p>
        </w:tc>
        <w:tc>
          <w:tcPr>
            <w:tcW w:w="960" w:type="dxa"/>
            <w:tcBorders>
              <w:top w:val="nil"/>
              <w:left w:val="nil"/>
              <w:bottom w:val="nil"/>
              <w:right w:val="nil"/>
            </w:tcBorders>
            <w:noWrap/>
            <w:vAlign w:val="bottom"/>
            <w:hideMark/>
          </w:tcPr>
          <w:p w14:paraId="5BB97046" w14:textId="77777777" w:rsidR="003C5854" w:rsidRPr="003C5854" w:rsidRDefault="003C5854" w:rsidP="003C5854">
            <w:pPr>
              <w:jc w:val="center"/>
              <w:rPr>
                <w:color w:val="000000"/>
                <w:sz w:val="20"/>
                <w:lang w:val="en-ID" w:eastAsia="en-ID"/>
              </w:rPr>
            </w:pPr>
            <w:r w:rsidRPr="003C5854">
              <w:rPr>
                <w:color w:val="000000"/>
                <w:sz w:val="20"/>
                <w:lang w:val="en-ID" w:eastAsia="en-ID"/>
              </w:rPr>
              <w:t>11,67</w:t>
            </w:r>
          </w:p>
        </w:tc>
      </w:tr>
      <w:tr w:rsidR="003C5854" w:rsidRPr="003C5854" w14:paraId="408C26B0" w14:textId="77777777" w:rsidTr="003C5854">
        <w:trPr>
          <w:trHeight w:val="288"/>
          <w:jc w:val="center"/>
        </w:trPr>
        <w:tc>
          <w:tcPr>
            <w:tcW w:w="1460" w:type="dxa"/>
            <w:vMerge/>
            <w:tcBorders>
              <w:top w:val="single" w:sz="4" w:space="0" w:color="auto"/>
              <w:left w:val="nil"/>
              <w:bottom w:val="nil"/>
              <w:right w:val="nil"/>
            </w:tcBorders>
            <w:vAlign w:val="center"/>
            <w:hideMark/>
          </w:tcPr>
          <w:p w14:paraId="6A849D08" w14:textId="77777777" w:rsidR="003C5854" w:rsidRPr="003C5854" w:rsidRDefault="003C5854" w:rsidP="003C5854">
            <w:pPr>
              <w:rPr>
                <w:color w:val="000000"/>
                <w:sz w:val="20"/>
                <w:lang w:val="en-ID" w:eastAsia="en-ID"/>
              </w:rPr>
            </w:pPr>
          </w:p>
        </w:tc>
        <w:tc>
          <w:tcPr>
            <w:tcW w:w="940" w:type="dxa"/>
            <w:tcBorders>
              <w:top w:val="nil"/>
              <w:left w:val="nil"/>
              <w:bottom w:val="nil"/>
              <w:right w:val="nil"/>
            </w:tcBorders>
            <w:noWrap/>
            <w:vAlign w:val="center"/>
            <w:hideMark/>
          </w:tcPr>
          <w:p w14:paraId="7C892ADF" w14:textId="77777777" w:rsidR="003C5854" w:rsidRPr="003C5854" w:rsidRDefault="003C5854" w:rsidP="003C5854">
            <w:pPr>
              <w:jc w:val="center"/>
              <w:rPr>
                <w:color w:val="000000"/>
                <w:sz w:val="20"/>
                <w:lang w:val="en-ID" w:eastAsia="en-ID"/>
              </w:rPr>
            </w:pPr>
            <w:r w:rsidRPr="003C5854">
              <w:rPr>
                <w:color w:val="000000"/>
                <w:sz w:val="20"/>
                <w:lang w:val="en-ID" w:eastAsia="en-ID"/>
              </w:rPr>
              <w:t>0,06</w:t>
            </w:r>
          </w:p>
        </w:tc>
        <w:tc>
          <w:tcPr>
            <w:tcW w:w="960" w:type="dxa"/>
            <w:tcBorders>
              <w:top w:val="nil"/>
              <w:left w:val="nil"/>
              <w:bottom w:val="nil"/>
              <w:right w:val="nil"/>
            </w:tcBorders>
            <w:noWrap/>
            <w:vAlign w:val="bottom"/>
            <w:hideMark/>
          </w:tcPr>
          <w:p w14:paraId="353EAD97" w14:textId="77777777" w:rsidR="003C5854" w:rsidRPr="003C5854" w:rsidRDefault="003C5854" w:rsidP="003C5854">
            <w:pPr>
              <w:jc w:val="center"/>
              <w:rPr>
                <w:color w:val="000000"/>
                <w:sz w:val="20"/>
                <w:lang w:val="en-ID" w:eastAsia="en-ID"/>
              </w:rPr>
            </w:pPr>
            <w:r w:rsidRPr="003C5854">
              <w:rPr>
                <w:color w:val="000000"/>
                <w:sz w:val="20"/>
                <w:lang w:val="en-ID" w:eastAsia="en-ID"/>
              </w:rPr>
              <w:t>41,67</w:t>
            </w:r>
          </w:p>
        </w:tc>
        <w:tc>
          <w:tcPr>
            <w:tcW w:w="960" w:type="dxa"/>
            <w:tcBorders>
              <w:top w:val="nil"/>
              <w:left w:val="nil"/>
              <w:bottom w:val="nil"/>
              <w:right w:val="nil"/>
            </w:tcBorders>
            <w:noWrap/>
            <w:vAlign w:val="bottom"/>
            <w:hideMark/>
          </w:tcPr>
          <w:p w14:paraId="40964802" w14:textId="77777777" w:rsidR="003C5854" w:rsidRPr="003C5854" w:rsidRDefault="003C5854" w:rsidP="003C5854">
            <w:pPr>
              <w:jc w:val="center"/>
              <w:rPr>
                <w:color w:val="000000"/>
                <w:sz w:val="20"/>
                <w:lang w:val="en-ID" w:eastAsia="en-ID"/>
              </w:rPr>
            </w:pPr>
            <w:r w:rsidRPr="003C5854">
              <w:rPr>
                <w:color w:val="000000"/>
                <w:sz w:val="20"/>
                <w:lang w:val="en-ID" w:eastAsia="en-ID"/>
              </w:rPr>
              <w:t>39,33</w:t>
            </w:r>
          </w:p>
        </w:tc>
        <w:tc>
          <w:tcPr>
            <w:tcW w:w="960" w:type="dxa"/>
            <w:tcBorders>
              <w:top w:val="nil"/>
              <w:left w:val="nil"/>
              <w:bottom w:val="nil"/>
              <w:right w:val="nil"/>
            </w:tcBorders>
            <w:noWrap/>
            <w:vAlign w:val="bottom"/>
            <w:hideMark/>
          </w:tcPr>
          <w:p w14:paraId="60553982" w14:textId="77777777" w:rsidR="003C5854" w:rsidRPr="003C5854" w:rsidRDefault="003C5854" w:rsidP="003C5854">
            <w:pPr>
              <w:jc w:val="center"/>
              <w:rPr>
                <w:color w:val="000000"/>
                <w:sz w:val="20"/>
                <w:lang w:val="en-ID" w:eastAsia="en-ID"/>
              </w:rPr>
            </w:pPr>
            <w:r w:rsidRPr="003C5854">
              <w:rPr>
                <w:color w:val="000000"/>
                <w:sz w:val="20"/>
                <w:lang w:val="en-ID" w:eastAsia="en-ID"/>
              </w:rPr>
              <w:t>13,33</w:t>
            </w:r>
          </w:p>
        </w:tc>
      </w:tr>
      <w:tr w:rsidR="003C5854" w:rsidRPr="003C5854" w14:paraId="31798EE9" w14:textId="77777777" w:rsidTr="003C5854">
        <w:trPr>
          <w:trHeight w:val="288"/>
          <w:jc w:val="center"/>
        </w:trPr>
        <w:tc>
          <w:tcPr>
            <w:tcW w:w="1460" w:type="dxa"/>
            <w:vMerge/>
            <w:tcBorders>
              <w:top w:val="single" w:sz="4" w:space="0" w:color="auto"/>
              <w:left w:val="nil"/>
              <w:bottom w:val="nil"/>
              <w:right w:val="nil"/>
            </w:tcBorders>
            <w:vAlign w:val="center"/>
            <w:hideMark/>
          </w:tcPr>
          <w:p w14:paraId="5BB50E72" w14:textId="77777777" w:rsidR="003C5854" w:rsidRPr="003C5854" w:rsidRDefault="003C5854" w:rsidP="003C5854">
            <w:pPr>
              <w:rPr>
                <w:color w:val="000000"/>
                <w:sz w:val="20"/>
                <w:lang w:val="en-ID" w:eastAsia="en-ID"/>
              </w:rPr>
            </w:pPr>
          </w:p>
        </w:tc>
        <w:tc>
          <w:tcPr>
            <w:tcW w:w="940" w:type="dxa"/>
            <w:tcBorders>
              <w:top w:val="nil"/>
              <w:left w:val="nil"/>
              <w:bottom w:val="nil"/>
              <w:right w:val="nil"/>
            </w:tcBorders>
            <w:noWrap/>
            <w:vAlign w:val="center"/>
            <w:hideMark/>
          </w:tcPr>
          <w:p w14:paraId="4BF80374" w14:textId="77777777" w:rsidR="003C5854" w:rsidRPr="003C5854" w:rsidRDefault="003C5854" w:rsidP="003C5854">
            <w:pPr>
              <w:jc w:val="center"/>
              <w:rPr>
                <w:color w:val="000000"/>
                <w:sz w:val="20"/>
                <w:lang w:val="en-ID" w:eastAsia="en-ID"/>
              </w:rPr>
            </w:pPr>
            <w:r w:rsidRPr="003C5854">
              <w:rPr>
                <w:color w:val="000000"/>
                <w:sz w:val="20"/>
                <w:lang w:val="en-ID" w:eastAsia="en-ID"/>
              </w:rPr>
              <w:t>0,08</w:t>
            </w:r>
          </w:p>
        </w:tc>
        <w:tc>
          <w:tcPr>
            <w:tcW w:w="960" w:type="dxa"/>
            <w:tcBorders>
              <w:top w:val="nil"/>
              <w:left w:val="nil"/>
              <w:bottom w:val="nil"/>
              <w:right w:val="nil"/>
            </w:tcBorders>
            <w:noWrap/>
            <w:vAlign w:val="bottom"/>
            <w:hideMark/>
          </w:tcPr>
          <w:p w14:paraId="04A96365" w14:textId="77777777" w:rsidR="003C5854" w:rsidRPr="003C5854" w:rsidRDefault="003C5854" w:rsidP="003C5854">
            <w:pPr>
              <w:jc w:val="center"/>
              <w:rPr>
                <w:color w:val="000000"/>
                <w:sz w:val="20"/>
                <w:lang w:val="en-ID" w:eastAsia="en-ID"/>
              </w:rPr>
            </w:pPr>
            <w:r w:rsidRPr="003C5854">
              <w:rPr>
                <w:color w:val="000000"/>
                <w:sz w:val="20"/>
                <w:lang w:val="en-ID" w:eastAsia="en-ID"/>
              </w:rPr>
              <w:t>39,33</w:t>
            </w:r>
          </w:p>
        </w:tc>
        <w:tc>
          <w:tcPr>
            <w:tcW w:w="960" w:type="dxa"/>
            <w:tcBorders>
              <w:top w:val="nil"/>
              <w:left w:val="nil"/>
              <w:bottom w:val="nil"/>
              <w:right w:val="nil"/>
            </w:tcBorders>
            <w:noWrap/>
            <w:vAlign w:val="bottom"/>
            <w:hideMark/>
          </w:tcPr>
          <w:p w14:paraId="7156BC88" w14:textId="77777777" w:rsidR="003C5854" w:rsidRPr="003C5854" w:rsidRDefault="003C5854" w:rsidP="003C5854">
            <w:pPr>
              <w:jc w:val="center"/>
              <w:rPr>
                <w:color w:val="000000"/>
                <w:sz w:val="20"/>
                <w:lang w:val="en-ID" w:eastAsia="en-ID"/>
              </w:rPr>
            </w:pPr>
            <w:r w:rsidRPr="003C5854">
              <w:rPr>
                <w:color w:val="000000"/>
                <w:sz w:val="20"/>
                <w:lang w:val="en-ID" w:eastAsia="en-ID"/>
              </w:rPr>
              <w:t>43,33</w:t>
            </w:r>
          </w:p>
        </w:tc>
        <w:tc>
          <w:tcPr>
            <w:tcW w:w="960" w:type="dxa"/>
            <w:tcBorders>
              <w:top w:val="nil"/>
              <w:left w:val="nil"/>
              <w:bottom w:val="nil"/>
              <w:right w:val="nil"/>
            </w:tcBorders>
            <w:noWrap/>
            <w:vAlign w:val="bottom"/>
            <w:hideMark/>
          </w:tcPr>
          <w:p w14:paraId="278B9901" w14:textId="77777777" w:rsidR="003C5854" w:rsidRPr="003C5854" w:rsidRDefault="003C5854" w:rsidP="003C5854">
            <w:pPr>
              <w:jc w:val="center"/>
              <w:rPr>
                <w:color w:val="000000"/>
                <w:sz w:val="20"/>
                <w:lang w:val="en-ID" w:eastAsia="en-ID"/>
              </w:rPr>
            </w:pPr>
            <w:r w:rsidRPr="003C5854">
              <w:rPr>
                <w:color w:val="000000"/>
                <w:sz w:val="20"/>
                <w:lang w:val="en-ID" w:eastAsia="en-ID"/>
              </w:rPr>
              <w:t>17,67</w:t>
            </w:r>
          </w:p>
        </w:tc>
      </w:tr>
      <w:tr w:rsidR="003C5854" w:rsidRPr="003C5854" w14:paraId="5B21CD59" w14:textId="77777777" w:rsidTr="003C5854">
        <w:trPr>
          <w:trHeight w:val="288"/>
          <w:jc w:val="center"/>
        </w:trPr>
        <w:tc>
          <w:tcPr>
            <w:tcW w:w="1460" w:type="dxa"/>
            <w:vMerge/>
            <w:tcBorders>
              <w:top w:val="single" w:sz="4" w:space="0" w:color="auto"/>
              <w:left w:val="nil"/>
              <w:bottom w:val="nil"/>
              <w:right w:val="nil"/>
            </w:tcBorders>
            <w:vAlign w:val="center"/>
            <w:hideMark/>
          </w:tcPr>
          <w:p w14:paraId="1F6C486E" w14:textId="77777777" w:rsidR="003C5854" w:rsidRPr="003C5854" w:rsidRDefault="003C5854" w:rsidP="003C5854">
            <w:pPr>
              <w:rPr>
                <w:color w:val="000000"/>
                <w:sz w:val="20"/>
                <w:lang w:val="en-ID" w:eastAsia="en-ID"/>
              </w:rPr>
            </w:pPr>
          </w:p>
        </w:tc>
        <w:tc>
          <w:tcPr>
            <w:tcW w:w="940" w:type="dxa"/>
            <w:tcBorders>
              <w:top w:val="nil"/>
              <w:left w:val="nil"/>
              <w:bottom w:val="nil"/>
              <w:right w:val="nil"/>
            </w:tcBorders>
            <w:noWrap/>
            <w:vAlign w:val="center"/>
            <w:hideMark/>
          </w:tcPr>
          <w:p w14:paraId="182357E4" w14:textId="77777777" w:rsidR="003C5854" w:rsidRPr="003C5854" w:rsidRDefault="003C5854" w:rsidP="003C5854">
            <w:pPr>
              <w:jc w:val="center"/>
              <w:rPr>
                <w:color w:val="000000"/>
                <w:sz w:val="20"/>
                <w:lang w:val="en-ID" w:eastAsia="en-ID"/>
              </w:rPr>
            </w:pPr>
            <w:r w:rsidRPr="003C5854">
              <w:rPr>
                <w:color w:val="000000"/>
                <w:sz w:val="20"/>
                <w:lang w:val="en-ID" w:eastAsia="en-ID"/>
              </w:rPr>
              <w:t>0,10</w:t>
            </w:r>
          </w:p>
        </w:tc>
        <w:tc>
          <w:tcPr>
            <w:tcW w:w="960" w:type="dxa"/>
            <w:tcBorders>
              <w:top w:val="nil"/>
              <w:left w:val="nil"/>
              <w:bottom w:val="nil"/>
              <w:right w:val="nil"/>
            </w:tcBorders>
            <w:noWrap/>
            <w:vAlign w:val="bottom"/>
            <w:hideMark/>
          </w:tcPr>
          <w:p w14:paraId="1EEF7496" w14:textId="77777777" w:rsidR="003C5854" w:rsidRPr="003C5854" w:rsidRDefault="003C5854" w:rsidP="003C5854">
            <w:pPr>
              <w:jc w:val="center"/>
              <w:rPr>
                <w:color w:val="000000"/>
                <w:sz w:val="20"/>
                <w:lang w:val="en-ID" w:eastAsia="en-ID"/>
              </w:rPr>
            </w:pPr>
            <w:r w:rsidRPr="003C5854">
              <w:rPr>
                <w:color w:val="000000"/>
                <w:sz w:val="20"/>
                <w:lang w:val="en-ID" w:eastAsia="en-ID"/>
              </w:rPr>
              <w:t>38,33</w:t>
            </w:r>
          </w:p>
        </w:tc>
        <w:tc>
          <w:tcPr>
            <w:tcW w:w="960" w:type="dxa"/>
            <w:tcBorders>
              <w:top w:val="nil"/>
              <w:left w:val="nil"/>
              <w:bottom w:val="nil"/>
              <w:right w:val="nil"/>
            </w:tcBorders>
            <w:noWrap/>
            <w:vAlign w:val="bottom"/>
            <w:hideMark/>
          </w:tcPr>
          <w:p w14:paraId="63585F27" w14:textId="77777777" w:rsidR="003C5854" w:rsidRPr="003C5854" w:rsidRDefault="003C5854" w:rsidP="003C5854">
            <w:pPr>
              <w:jc w:val="center"/>
              <w:rPr>
                <w:color w:val="000000"/>
                <w:sz w:val="20"/>
                <w:lang w:val="en-ID" w:eastAsia="en-ID"/>
              </w:rPr>
            </w:pPr>
            <w:r w:rsidRPr="003C5854">
              <w:rPr>
                <w:color w:val="000000"/>
                <w:sz w:val="20"/>
                <w:lang w:val="en-ID" w:eastAsia="en-ID"/>
              </w:rPr>
              <w:t>45,67</w:t>
            </w:r>
          </w:p>
        </w:tc>
        <w:tc>
          <w:tcPr>
            <w:tcW w:w="960" w:type="dxa"/>
            <w:tcBorders>
              <w:top w:val="nil"/>
              <w:left w:val="nil"/>
              <w:bottom w:val="nil"/>
              <w:right w:val="nil"/>
            </w:tcBorders>
            <w:noWrap/>
            <w:vAlign w:val="bottom"/>
            <w:hideMark/>
          </w:tcPr>
          <w:p w14:paraId="50475201" w14:textId="77777777" w:rsidR="003C5854" w:rsidRPr="003C5854" w:rsidRDefault="003C5854" w:rsidP="003C5854">
            <w:pPr>
              <w:jc w:val="center"/>
              <w:rPr>
                <w:color w:val="000000"/>
                <w:sz w:val="20"/>
                <w:lang w:val="en-ID" w:eastAsia="en-ID"/>
              </w:rPr>
            </w:pPr>
            <w:r w:rsidRPr="003C5854">
              <w:rPr>
                <w:color w:val="000000"/>
                <w:sz w:val="20"/>
                <w:lang w:val="en-ID" w:eastAsia="en-ID"/>
              </w:rPr>
              <w:t>20,33</w:t>
            </w:r>
          </w:p>
        </w:tc>
      </w:tr>
      <w:tr w:rsidR="003C5854" w:rsidRPr="003C5854" w14:paraId="34D58DD0" w14:textId="77777777" w:rsidTr="003C5854">
        <w:trPr>
          <w:trHeight w:val="288"/>
          <w:jc w:val="center"/>
        </w:trPr>
        <w:tc>
          <w:tcPr>
            <w:tcW w:w="1460" w:type="dxa"/>
            <w:vMerge/>
            <w:tcBorders>
              <w:top w:val="single" w:sz="4" w:space="0" w:color="auto"/>
              <w:left w:val="nil"/>
              <w:bottom w:val="single" w:sz="4" w:space="0" w:color="auto"/>
              <w:right w:val="nil"/>
            </w:tcBorders>
            <w:vAlign w:val="center"/>
            <w:hideMark/>
          </w:tcPr>
          <w:p w14:paraId="3ACFB922" w14:textId="77777777" w:rsidR="003C5854" w:rsidRPr="003C5854" w:rsidRDefault="003C5854" w:rsidP="003C5854">
            <w:pPr>
              <w:rPr>
                <w:color w:val="000000"/>
                <w:sz w:val="20"/>
                <w:lang w:val="en-ID" w:eastAsia="en-ID"/>
              </w:rPr>
            </w:pPr>
          </w:p>
        </w:tc>
        <w:tc>
          <w:tcPr>
            <w:tcW w:w="940" w:type="dxa"/>
            <w:tcBorders>
              <w:top w:val="nil"/>
              <w:left w:val="nil"/>
              <w:bottom w:val="single" w:sz="4" w:space="0" w:color="auto"/>
              <w:right w:val="nil"/>
            </w:tcBorders>
            <w:noWrap/>
            <w:vAlign w:val="center"/>
            <w:hideMark/>
          </w:tcPr>
          <w:p w14:paraId="4DFE131C" w14:textId="77777777" w:rsidR="003C5854" w:rsidRPr="003C5854" w:rsidRDefault="003C5854" w:rsidP="003C5854">
            <w:pPr>
              <w:jc w:val="center"/>
              <w:rPr>
                <w:color w:val="000000"/>
                <w:sz w:val="20"/>
                <w:lang w:val="en-ID" w:eastAsia="en-ID"/>
              </w:rPr>
            </w:pPr>
            <w:r w:rsidRPr="003C5854">
              <w:rPr>
                <w:color w:val="000000"/>
                <w:sz w:val="20"/>
                <w:lang w:val="en-ID" w:eastAsia="en-ID"/>
              </w:rPr>
              <w:t>0,12</w:t>
            </w:r>
          </w:p>
        </w:tc>
        <w:tc>
          <w:tcPr>
            <w:tcW w:w="960" w:type="dxa"/>
            <w:tcBorders>
              <w:top w:val="nil"/>
              <w:left w:val="nil"/>
              <w:bottom w:val="single" w:sz="4" w:space="0" w:color="auto"/>
              <w:right w:val="nil"/>
            </w:tcBorders>
            <w:noWrap/>
            <w:vAlign w:val="bottom"/>
            <w:hideMark/>
          </w:tcPr>
          <w:p w14:paraId="272FF722" w14:textId="77777777" w:rsidR="003C5854" w:rsidRPr="003C5854" w:rsidRDefault="003C5854" w:rsidP="003C5854">
            <w:pPr>
              <w:jc w:val="center"/>
              <w:rPr>
                <w:color w:val="000000"/>
                <w:sz w:val="20"/>
                <w:lang w:val="en-ID" w:eastAsia="en-ID"/>
              </w:rPr>
            </w:pPr>
            <w:r w:rsidRPr="003C5854">
              <w:rPr>
                <w:color w:val="000000"/>
                <w:sz w:val="20"/>
                <w:lang w:val="en-ID" w:eastAsia="en-ID"/>
              </w:rPr>
              <w:t>37,00</w:t>
            </w:r>
          </w:p>
        </w:tc>
        <w:tc>
          <w:tcPr>
            <w:tcW w:w="960" w:type="dxa"/>
            <w:tcBorders>
              <w:top w:val="nil"/>
              <w:left w:val="nil"/>
              <w:bottom w:val="single" w:sz="4" w:space="0" w:color="auto"/>
              <w:right w:val="nil"/>
            </w:tcBorders>
            <w:noWrap/>
            <w:vAlign w:val="bottom"/>
            <w:hideMark/>
          </w:tcPr>
          <w:p w14:paraId="7628A4A5" w14:textId="77777777" w:rsidR="003C5854" w:rsidRPr="003C5854" w:rsidRDefault="003C5854" w:rsidP="003C5854">
            <w:pPr>
              <w:jc w:val="center"/>
              <w:rPr>
                <w:color w:val="000000"/>
                <w:sz w:val="20"/>
                <w:lang w:val="en-ID" w:eastAsia="en-ID"/>
              </w:rPr>
            </w:pPr>
            <w:r w:rsidRPr="003C5854">
              <w:rPr>
                <w:color w:val="000000"/>
                <w:sz w:val="20"/>
                <w:lang w:val="en-ID" w:eastAsia="en-ID"/>
              </w:rPr>
              <w:t>48,67</w:t>
            </w:r>
          </w:p>
        </w:tc>
        <w:tc>
          <w:tcPr>
            <w:tcW w:w="960" w:type="dxa"/>
            <w:tcBorders>
              <w:top w:val="nil"/>
              <w:left w:val="nil"/>
              <w:bottom w:val="single" w:sz="4" w:space="0" w:color="auto"/>
              <w:right w:val="nil"/>
            </w:tcBorders>
            <w:noWrap/>
            <w:vAlign w:val="bottom"/>
            <w:hideMark/>
          </w:tcPr>
          <w:p w14:paraId="10415138" w14:textId="77777777" w:rsidR="003C5854" w:rsidRPr="003C5854" w:rsidRDefault="003C5854" w:rsidP="003C5854">
            <w:pPr>
              <w:jc w:val="center"/>
              <w:rPr>
                <w:color w:val="000000"/>
                <w:sz w:val="20"/>
                <w:lang w:val="en-ID" w:eastAsia="en-ID"/>
              </w:rPr>
            </w:pPr>
            <w:r w:rsidRPr="003C5854">
              <w:rPr>
                <w:color w:val="000000"/>
                <w:sz w:val="20"/>
                <w:lang w:val="en-ID" w:eastAsia="en-ID"/>
              </w:rPr>
              <w:t>25,00</w:t>
            </w:r>
          </w:p>
        </w:tc>
      </w:tr>
    </w:tbl>
    <w:p w14:paraId="1DB0E45C" w14:textId="611274C1" w:rsidR="003C5854" w:rsidRDefault="00B95AF1" w:rsidP="009B3D80">
      <w:pPr>
        <w:ind w:firstLine="284"/>
        <w:jc w:val="both"/>
        <w:rPr>
          <w:sz w:val="20"/>
          <w:szCs w:val="16"/>
        </w:rPr>
      </w:pPr>
      <w:r w:rsidRPr="00B95AF1">
        <w:rPr>
          <w:sz w:val="20"/>
          <w:szCs w:val="16"/>
        </w:rPr>
        <w:lastRenderedPageBreak/>
        <w:t xml:space="preserve">The higher the concentration of BRN Red </w:t>
      </w:r>
      <w:proofErr w:type="spellStart"/>
      <w:r w:rsidRPr="00B95AF1">
        <w:rPr>
          <w:sz w:val="20"/>
          <w:szCs w:val="16"/>
        </w:rPr>
        <w:t>Cromophtal</w:t>
      </w:r>
      <w:proofErr w:type="spellEnd"/>
      <w:r w:rsidRPr="00B95AF1">
        <w:rPr>
          <w:sz w:val="20"/>
          <w:szCs w:val="16"/>
        </w:rPr>
        <w:t xml:space="preserve"> pigment added, the lower the L* value, this is because L* is an indication of lightness. Where the higher the L* value, the higher the brightness</w:t>
      </w:r>
      <w:r w:rsidR="00702A06">
        <w:rPr>
          <w:sz w:val="20"/>
          <w:szCs w:val="16"/>
          <w:vertAlign w:val="superscript"/>
        </w:rPr>
        <w:t xml:space="preserve"> </w:t>
      </w:r>
      <w:r w:rsidR="00702A06">
        <w:rPr>
          <w:sz w:val="20"/>
          <w:szCs w:val="16"/>
        </w:rPr>
        <w:t>[13].</w:t>
      </w:r>
      <w:r w:rsidRPr="00B95AF1">
        <w:rPr>
          <w:sz w:val="20"/>
          <w:szCs w:val="16"/>
        </w:rPr>
        <w:t xml:space="preserve"> </w:t>
      </w:r>
      <w:proofErr w:type="gramStart"/>
      <w:r w:rsidRPr="00B95AF1">
        <w:rPr>
          <w:sz w:val="20"/>
          <w:szCs w:val="16"/>
        </w:rPr>
        <w:t>The a*</w:t>
      </w:r>
      <w:proofErr w:type="gramEnd"/>
      <w:r w:rsidRPr="00B95AF1">
        <w:rPr>
          <w:sz w:val="20"/>
          <w:szCs w:val="16"/>
        </w:rPr>
        <w:t xml:space="preserve"> value also decreases but is not significant and starts to remain unchanged at a value of 44.00 when pigment is added with a concentration of 0.10%. This a* value indicates </w:t>
      </w:r>
      <w:proofErr w:type="gramStart"/>
      <w:r w:rsidRPr="00B95AF1">
        <w:rPr>
          <w:sz w:val="20"/>
          <w:szCs w:val="16"/>
        </w:rPr>
        <w:t>red-green</w:t>
      </w:r>
      <w:proofErr w:type="gramEnd"/>
      <w:r w:rsidRPr="00B95AF1">
        <w:rPr>
          <w:sz w:val="20"/>
          <w:szCs w:val="16"/>
        </w:rPr>
        <w:t>. Where a positive a* value indicates red and a negative a* value indicates green. Meanwhile, the b* value is increasing, where the increase is quite large from 0.02% to 0.04%, after which there is only a slight increase, this is an indication of yellow-blue, where a positive b* value indicates yellow and a negative b* value indicates blue</w:t>
      </w:r>
      <w:r w:rsidR="00702A06">
        <w:rPr>
          <w:sz w:val="20"/>
          <w:szCs w:val="16"/>
          <w:vertAlign w:val="superscript"/>
        </w:rPr>
        <w:t xml:space="preserve"> </w:t>
      </w:r>
      <w:r w:rsidR="00702A06">
        <w:rPr>
          <w:sz w:val="20"/>
          <w:szCs w:val="16"/>
        </w:rPr>
        <w:t xml:space="preserve">[14]. </w:t>
      </w:r>
    </w:p>
    <w:p w14:paraId="375FDF4E" w14:textId="77777777" w:rsidR="009B3D80" w:rsidRDefault="009B3D80" w:rsidP="009B3D80">
      <w:pPr>
        <w:keepNext/>
        <w:jc w:val="center"/>
      </w:pPr>
      <w:r w:rsidRPr="0049215A">
        <w:rPr>
          <w:noProof/>
        </w:rPr>
        <w:drawing>
          <wp:inline distT="0" distB="0" distL="0" distR="0" wp14:anchorId="18A17B5E" wp14:editId="55832210">
            <wp:extent cx="3898132" cy="2806995"/>
            <wp:effectExtent l="0" t="0" r="7620" b="0"/>
            <wp:docPr id="60485364" name="Chart 1">
              <a:extLst xmlns:a="http://schemas.openxmlformats.org/drawingml/2006/main">
                <a:ext uri="{FF2B5EF4-FFF2-40B4-BE49-F238E27FC236}">
                  <a16:creationId xmlns:a16="http://schemas.microsoft.com/office/drawing/2014/main" id="{1326AEA6-5D2F-91E4-930F-D4E83C4292D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F8A5FBC" w14:textId="7160F88C" w:rsidR="009B3D80" w:rsidRDefault="009B3D80" w:rsidP="009B3D80">
      <w:pPr>
        <w:pStyle w:val="Caption"/>
        <w:spacing w:after="120"/>
        <w:jc w:val="center"/>
        <w:rPr>
          <w:i w:val="0"/>
          <w:iCs w:val="0"/>
          <w:color w:val="auto"/>
        </w:rPr>
      </w:pPr>
      <w:r w:rsidRPr="009B3D80">
        <w:rPr>
          <w:b/>
          <w:bCs/>
          <w:i w:val="0"/>
          <w:iCs w:val="0"/>
          <w:color w:val="auto"/>
        </w:rPr>
        <w:t xml:space="preserve">Figure </w:t>
      </w:r>
      <w:r w:rsidRPr="009B3D80">
        <w:rPr>
          <w:b/>
          <w:bCs/>
          <w:i w:val="0"/>
          <w:iCs w:val="0"/>
          <w:color w:val="auto"/>
        </w:rPr>
        <w:fldChar w:fldCharType="begin"/>
      </w:r>
      <w:r w:rsidRPr="009B3D80">
        <w:rPr>
          <w:b/>
          <w:bCs/>
          <w:i w:val="0"/>
          <w:iCs w:val="0"/>
          <w:color w:val="auto"/>
        </w:rPr>
        <w:instrText xml:space="preserve"> SEQ Figure \* ARABIC </w:instrText>
      </w:r>
      <w:r w:rsidRPr="009B3D80">
        <w:rPr>
          <w:b/>
          <w:bCs/>
          <w:i w:val="0"/>
          <w:iCs w:val="0"/>
          <w:color w:val="auto"/>
        </w:rPr>
        <w:fldChar w:fldCharType="separate"/>
      </w:r>
      <w:r w:rsidR="00727F0D">
        <w:rPr>
          <w:b/>
          <w:bCs/>
          <w:i w:val="0"/>
          <w:iCs w:val="0"/>
          <w:noProof/>
          <w:color w:val="auto"/>
        </w:rPr>
        <w:t>4</w:t>
      </w:r>
      <w:r w:rsidRPr="009B3D80">
        <w:rPr>
          <w:b/>
          <w:bCs/>
          <w:i w:val="0"/>
          <w:iCs w:val="0"/>
          <w:color w:val="auto"/>
        </w:rPr>
        <w:fldChar w:fldCharType="end"/>
      </w:r>
      <w:r w:rsidRPr="009B3D80">
        <w:rPr>
          <w:b/>
          <w:bCs/>
          <w:i w:val="0"/>
          <w:iCs w:val="0"/>
          <w:color w:val="auto"/>
        </w:rPr>
        <w:t>.</w:t>
      </w:r>
      <w:r w:rsidRPr="009B3D80">
        <w:rPr>
          <w:i w:val="0"/>
          <w:iCs w:val="0"/>
          <w:color w:val="auto"/>
        </w:rPr>
        <w:t xml:space="preserve"> Graph of the average L*a*b* value for the addition of BRN Red </w:t>
      </w:r>
      <w:proofErr w:type="spellStart"/>
      <w:r w:rsidRPr="009B3D80">
        <w:rPr>
          <w:i w:val="0"/>
          <w:iCs w:val="0"/>
          <w:color w:val="auto"/>
        </w:rPr>
        <w:t>Cromophtal</w:t>
      </w:r>
      <w:proofErr w:type="spellEnd"/>
      <w:r w:rsidRPr="009B3D80">
        <w:rPr>
          <w:i w:val="0"/>
          <w:iCs w:val="0"/>
          <w:color w:val="auto"/>
        </w:rPr>
        <w:t xml:space="preserve"> pigment</w:t>
      </w:r>
    </w:p>
    <w:p w14:paraId="2AB39285" w14:textId="7681B1F7" w:rsidR="009B3D80" w:rsidRDefault="00046FC6" w:rsidP="00046FC6">
      <w:pPr>
        <w:ind w:firstLine="284"/>
        <w:rPr>
          <w:sz w:val="20"/>
          <w:szCs w:val="16"/>
        </w:rPr>
      </w:pPr>
      <w:r>
        <w:rPr>
          <w:sz w:val="20"/>
          <w:szCs w:val="16"/>
        </w:rPr>
        <w:t>F</w:t>
      </w:r>
      <w:r w:rsidRPr="00046FC6">
        <w:rPr>
          <w:sz w:val="20"/>
          <w:szCs w:val="16"/>
        </w:rPr>
        <w:t xml:space="preserve">or the cadmium </w:t>
      </w:r>
      <w:proofErr w:type="spellStart"/>
      <w:r w:rsidRPr="00046FC6">
        <w:rPr>
          <w:sz w:val="20"/>
          <w:szCs w:val="16"/>
        </w:rPr>
        <w:t>sulfoselenide</w:t>
      </w:r>
      <w:proofErr w:type="spellEnd"/>
      <w:r>
        <w:rPr>
          <w:sz w:val="20"/>
          <w:szCs w:val="16"/>
        </w:rPr>
        <w:t xml:space="preserve"> </w:t>
      </w:r>
      <w:r w:rsidRPr="00046FC6">
        <w:rPr>
          <w:sz w:val="20"/>
          <w:szCs w:val="16"/>
        </w:rPr>
        <w:t xml:space="preserve">variable pigment, the higher the concentration of cadmium </w:t>
      </w:r>
      <w:proofErr w:type="spellStart"/>
      <w:r w:rsidRPr="00046FC6">
        <w:rPr>
          <w:sz w:val="20"/>
          <w:szCs w:val="16"/>
        </w:rPr>
        <w:t>sulfoselenide</w:t>
      </w:r>
      <w:proofErr w:type="spellEnd"/>
      <w:r w:rsidRPr="00046FC6">
        <w:rPr>
          <w:sz w:val="20"/>
          <w:szCs w:val="16"/>
        </w:rPr>
        <w:t xml:space="preserve"> pigment added, the lower the L* value, the a* value increases very significantly, and the b* value also increases significantly in each variable.</w:t>
      </w:r>
    </w:p>
    <w:p w14:paraId="61D452C7" w14:textId="77777777" w:rsidR="00D1013F" w:rsidRDefault="00046FC6" w:rsidP="00D1013F">
      <w:pPr>
        <w:keepNext/>
        <w:jc w:val="center"/>
      </w:pPr>
      <w:r w:rsidRPr="00DC23CD">
        <w:rPr>
          <w:noProof/>
        </w:rPr>
        <w:drawing>
          <wp:inline distT="0" distB="0" distL="0" distR="0" wp14:anchorId="1D0E6CD6" wp14:editId="09A175D5">
            <wp:extent cx="4369273" cy="2785730"/>
            <wp:effectExtent l="0" t="0" r="0" b="0"/>
            <wp:docPr id="1521010127" name="Chart 1">
              <a:extLst xmlns:a="http://schemas.openxmlformats.org/drawingml/2006/main">
                <a:ext uri="{FF2B5EF4-FFF2-40B4-BE49-F238E27FC236}">
                  <a16:creationId xmlns:a16="http://schemas.microsoft.com/office/drawing/2014/main" id="{03AA6C67-C9CE-4B0A-8B0A-494909C3A4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DA0CF28" w14:textId="6C67C559" w:rsidR="00725861" w:rsidRDefault="00D1013F" w:rsidP="00D1013F">
      <w:pPr>
        <w:pStyle w:val="Caption"/>
        <w:spacing w:after="120"/>
        <w:jc w:val="center"/>
        <w:rPr>
          <w:i w:val="0"/>
          <w:iCs w:val="0"/>
          <w:color w:val="auto"/>
        </w:rPr>
      </w:pPr>
      <w:r w:rsidRPr="00D1013F">
        <w:rPr>
          <w:i w:val="0"/>
          <w:iCs w:val="0"/>
          <w:color w:val="auto"/>
        </w:rPr>
        <w:t xml:space="preserve">Figure </w:t>
      </w:r>
      <w:r w:rsidRPr="00D1013F">
        <w:rPr>
          <w:i w:val="0"/>
          <w:iCs w:val="0"/>
          <w:color w:val="auto"/>
        </w:rPr>
        <w:fldChar w:fldCharType="begin"/>
      </w:r>
      <w:r w:rsidRPr="00D1013F">
        <w:rPr>
          <w:i w:val="0"/>
          <w:iCs w:val="0"/>
          <w:color w:val="auto"/>
        </w:rPr>
        <w:instrText xml:space="preserve"> SEQ Figure \* ARABIC </w:instrText>
      </w:r>
      <w:r w:rsidRPr="00D1013F">
        <w:rPr>
          <w:i w:val="0"/>
          <w:iCs w:val="0"/>
          <w:color w:val="auto"/>
        </w:rPr>
        <w:fldChar w:fldCharType="separate"/>
      </w:r>
      <w:r w:rsidR="00727F0D">
        <w:rPr>
          <w:i w:val="0"/>
          <w:iCs w:val="0"/>
          <w:noProof/>
          <w:color w:val="auto"/>
        </w:rPr>
        <w:t>5</w:t>
      </w:r>
      <w:r w:rsidRPr="00D1013F">
        <w:rPr>
          <w:i w:val="0"/>
          <w:iCs w:val="0"/>
          <w:color w:val="auto"/>
        </w:rPr>
        <w:fldChar w:fldCharType="end"/>
      </w:r>
      <w:r w:rsidRPr="00D1013F">
        <w:rPr>
          <w:i w:val="0"/>
          <w:iCs w:val="0"/>
          <w:color w:val="auto"/>
        </w:rPr>
        <w:t xml:space="preserve">. Graph of the average L*a*b* value for the addition of Cadmium </w:t>
      </w:r>
      <w:proofErr w:type="spellStart"/>
      <w:r w:rsidRPr="00D1013F">
        <w:rPr>
          <w:i w:val="0"/>
          <w:iCs w:val="0"/>
          <w:color w:val="auto"/>
        </w:rPr>
        <w:t>Sulfoselenide</w:t>
      </w:r>
      <w:proofErr w:type="spellEnd"/>
    </w:p>
    <w:p w14:paraId="5DAD621D" w14:textId="2DAA9F74" w:rsidR="00D1013F" w:rsidRDefault="00D1013F" w:rsidP="00D1013F">
      <w:pPr>
        <w:ind w:firstLine="284"/>
        <w:jc w:val="both"/>
        <w:rPr>
          <w:sz w:val="20"/>
        </w:rPr>
      </w:pPr>
      <w:r w:rsidRPr="00D1013F">
        <w:rPr>
          <w:sz w:val="20"/>
        </w:rPr>
        <w:t xml:space="preserve">From the results of adding pigments, both the organic BRN Red </w:t>
      </w:r>
      <w:proofErr w:type="spellStart"/>
      <w:r w:rsidRPr="00D1013F">
        <w:rPr>
          <w:sz w:val="20"/>
        </w:rPr>
        <w:t>Cromophtal</w:t>
      </w:r>
      <w:proofErr w:type="spellEnd"/>
      <w:r w:rsidRPr="00D1013F">
        <w:rPr>
          <w:sz w:val="20"/>
        </w:rPr>
        <w:t xml:space="preserve"> pigment and the inorganic cadmium </w:t>
      </w:r>
      <w:proofErr w:type="spellStart"/>
      <w:r w:rsidRPr="00D1013F">
        <w:rPr>
          <w:sz w:val="20"/>
        </w:rPr>
        <w:t>sulfoselenide</w:t>
      </w:r>
      <w:proofErr w:type="spellEnd"/>
      <w:r w:rsidRPr="00D1013F">
        <w:rPr>
          <w:sz w:val="20"/>
        </w:rPr>
        <w:t xml:space="preserve"> pigment, it can be seen that the L* value decreases as the pigment concentration increases, this is in accordance with research by Azhar</w:t>
      </w:r>
      <w:r w:rsidR="006964EE" w:rsidRPr="006964EE">
        <w:rPr>
          <w:sz w:val="20"/>
          <w:vertAlign w:val="superscript"/>
        </w:rPr>
        <w:t>15</w:t>
      </w:r>
      <w:r w:rsidR="006964EE">
        <w:rPr>
          <w:sz w:val="20"/>
        </w:rPr>
        <w:t xml:space="preserve"> </w:t>
      </w:r>
      <w:r w:rsidRPr="00D1013F">
        <w:rPr>
          <w:sz w:val="20"/>
        </w:rPr>
        <w:t xml:space="preserve">which states that with the addition of red pigment to dental composite materials, the brightness which is indicated by the L* value decreasing with increasing pigment concentration while the b* value </w:t>
      </w:r>
      <w:r w:rsidRPr="00D1013F">
        <w:rPr>
          <w:sz w:val="20"/>
        </w:rPr>
        <w:lastRenderedPageBreak/>
        <w:t xml:space="preserve">as an indication of sample yellowness increases. When red pigment is added a red and yellow shift occurs. This shows that with the addition of red pigment, the yellow color indicated by the b* value of the sample also increases. Meanwhile, the a* value increases along with increasing red pigment concentration. However, for the BRN Red </w:t>
      </w:r>
      <w:proofErr w:type="spellStart"/>
      <w:r w:rsidRPr="00D1013F">
        <w:rPr>
          <w:sz w:val="20"/>
        </w:rPr>
        <w:t>Cromophtal</w:t>
      </w:r>
      <w:proofErr w:type="spellEnd"/>
      <w:r w:rsidRPr="00D1013F">
        <w:rPr>
          <w:sz w:val="20"/>
        </w:rPr>
        <w:t xml:space="preserve"> pigment type variable, the a* value </w:t>
      </w:r>
      <w:proofErr w:type="gramStart"/>
      <w:r w:rsidRPr="00D1013F">
        <w:rPr>
          <w:sz w:val="20"/>
        </w:rPr>
        <w:t>actually decreased</w:t>
      </w:r>
      <w:proofErr w:type="gramEnd"/>
      <w:r w:rsidRPr="00D1013F">
        <w:rPr>
          <w:sz w:val="20"/>
        </w:rPr>
        <w:t xml:space="preserve"> slightly and then did not change in certain variables. This is because the BRN Red </w:t>
      </w:r>
      <w:proofErr w:type="spellStart"/>
      <w:r w:rsidRPr="00D1013F">
        <w:rPr>
          <w:sz w:val="20"/>
        </w:rPr>
        <w:t>Cromophtal</w:t>
      </w:r>
      <w:proofErr w:type="spellEnd"/>
      <w:r w:rsidRPr="00D1013F">
        <w:rPr>
          <w:sz w:val="20"/>
        </w:rPr>
        <w:t xml:space="preserve"> pigment has a strong color strength</w:t>
      </w:r>
      <w:r w:rsidR="00702A06">
        <w:rPr>
          <w:sz w:val="20"/>
          <w:vertAlign w:val="superscript"/>
        </w:rPr>
        <w:t xml:space="preserve"> </w:t>
      </w:r>
      <w:r w:rsidR="00702A06">
        <w:rPr>
          <w:sz w:val="20"/>
        </w:rPr>
        <w:t xml:space="preserve">[16] </w:t>
      </w:r>
      <w:r w:rsidRPr="00D1013F">
        <w:rPr>
          <w:sz w:val="20"/>
        </w:rPr>
        <w:t>therefore by increasing the minimum pigment concentration only the a* value which is an indication of red is already high, and as the concentration increases the change in the a* value decreases slightly and does not change any more</w:t>
      </w:r>
      <w:r>
        <w:rPr>
          <w:sz w:val="20"/>
        </w:rPr>
        <w:t>.</w:t>
      </w:r>
    </w:p>
    <w:p w14:paraId="39A78ED8" w14:textId="1A7CE96E" w:rsidR="000E5EDC" w:rsidRDefault="00D1013F" w:rsidP="000E5EDC">
      <w:pPr>
        <w:ind w:firstLine="284"/>
        <w:jc w:val="both"/>
        <w:rPr>
          <w:sz w:val="20"/>
        </w:rPr>
      </w:pPr>
      <w:r w:rsidRPr="00D1013F">
        <w:rPr>
          <w:sz w:val="20"/>
        </w:rPr>
        <w:t>The color range of healthy gingiva and alveolar mucosa has a different color range from pale pink, coral pink, red, to deep bluish purple. Where the color of the alveolar mucosa is usually darker and redder than the color of the gingiva</w:t>
      </w:r>
      <w:r w:rsidR="00702A06">
        <w:rPr>
          <w:sz w:val="20"/>
          <w:vertAlign w:val="superscript"/>
        </w:rPr>
        <w:t xml:space="preserve"> </w:t>
      </w:r>
      <w:r w:rsidR="00702A06">
        <w:rPr>
          <w:sz w:val="20"/>
        </w:rPr>
        <w:t>[17]</w:t>
      </w:r>
      <w:r w:rsidRPr="00D1013F">
        <w:rPr>
          <w:sz w:val="20"/>
        </w:rPr>
        <w:t xml:space="preserve"> In Huang's</w:t>
      </w:r>
      <w:r w:rsidR="00702A06">
        <w:rPr>
          <w:sz w:val="20"/>
          <w:vertAlign w:val="superscript"/>
        </w:rPr>
        <w:t xml:space="preserve"> </w:t>
      </w:r>
      <w:r w:rsidR="00702A06">
        <w:rPr>
          <w:sz w:val="20"/>
        </w:rPr>
        <w:t xml:space="preserve">[18] </w:t>
      </w:r>
      <w:r w:rsidRPr="00D1013F">
        <w:rPr>
          <w:sz w:val="20"/>
        </w:rPr>
        <w:t>research, in Taiwan, 101 human subjects had a healthy gingival L* value range of 30.15 - 62.69. Meanwhile, in Ho's</w:t>
      </w:r>
      <w:r w:rsidR="006964EE" w:rsidRPr="006964EE">
        <w:rPr>
          <w:sz w:val="20"/>
          <w:vertAlign w:val="superscript"/>
        </w:rPr>
        <w:t>14</w:t>
      </w:r>
      <w:r w:rsidRPr="00D1013F">
        <w:rPr>
          <w:sz w:val="20"/>
        </w:rPr>
        <w:t xml:space="preserve"> research, in Asia, 120 human subjects with healthy gingiva had an a* value range of 13.14 - 36.7. Meanwhile, the b* value is 9.2 – 22.2. Meanwhile, for the darker alveolar mucosa, the highest a* value is up to 47 and the highest b* value is up to 30.</w:t>
      </w:r>
    </w:p>
    <w:p w14:paraId="2A883910" w14:textId="17588308" w:rsidR="00D1013F" w:rsidRDefault="00D1013F" w:rsidP="000E5EDC">
      <w:pPr>
        <w:ind w:firstLine="284"/>
        <w:jc w:val="both"/>
        <w:rPr>
          <w:sz w:val="20"/>
        </w:rPr>
      </w:pPr>
      <w:r w:rsidRPr="00D1013F">
        <w:rPr>
          <w:sz w:val="20"/>
        </w:rPr>
        <w:t xml:space="preserve">By adding pigment with the organic pigment BRN Red </w:t>
      </w:r>
      <w:proofErr w:type="spellStart"/>
      <w:r w:rsidRPr="00D1013F">
        <w:rPr>
          <w:sz w:val="20"/>
        </w:rPr>
        <w:t>Cromophtal</w:t>
      </w:r>
      <w:proofErr w:type="spellEnd"/>
      <w:r w:rsidRPr="00D1013F">
        <w:rPr>
          <w:sz w:val="20"/>
        </w:rPr>
        <w:t xml:space="preserve"> with a minimum concentration of 0.01%, it can imitate the color of healthy human </w:t>
      </w:r>
      <w:proofErr w:type="spellStart"/>
      <w:r w:rsidRPr="00D1013F">
        <w:rPr>
          <w:sz w:val="20"/>
        </w:rPr>
        <w:t>aveolar</w:t>
      </w:r>
      <w:proofErr w:type="spellEnd"/>
      <w:r w:rsidRPr="00D1013F">
        <w:rPr>
          <w:sz w:val="20"/>
        </w:rPr>
        <w:t xml:space="preserve"> mucosa and less than 0.01% to imitate the color of gingiva. Meanwhile, the addition of the inorganic pigment cadmium </w:t>
      </w:r>
      <w:proofErr w:type="spellStart"/>
      <w:r w:rsidRPr="00D1013F">
        <w:rPr>
          <w:sz w:val="20"/>
        </w:rPr>
        <w:t>sulfoselenide</w:t>
      </w:r>
      <w:proofErr w:type="spellEnd"/>
      <w:r w:rsidRPr="00D1013F">
        <w:rPr>
          <w:sz w:val="20"/>
        </w:rPr>
        <w:t xml:space="preserve"> requires a minimum pigment concentration of 0.04% to imitate the color of healthy gingiva and a greater concentration to imitate the color of </w:t>
      </w:r>
      <w:proofErr w:type="spellStart"/>
      <w:r w:rsidRPr="00D1013F">
        <w:rPr>
          <w:sz w:val="20"/>
        </w:rPr>
        <w:t>aveolar</w:t>
      </w:r>
      <w:proofErr w:type="spellEnd"/>
      <w:r w:rsidRPr="00D1013F">
        <w:rPr>
          <w:sz w:val="20"/>
        </w:rPr>
        <w:t xml:space="preserve"> mucosa.</w:t>
      </w:r>
    </w:p>
    <w:p w14:paraId="4B2F8E49" w14:textId="77777777" w:rsidR="000E5EDC" w:rsidRDefault="000E5EDC" w:rsidP="00D1013F">
      <w:pPr>
        <w:jc w:val="both"/>
        <w:rPr>
          <w:sz w:val="20"/>
        </w:rPr>
      </w:pPr>
    </w:p>
    <w:p w14:paraId="5C0983F2" w14:textId="0C65C820" w:rsidR="000E5EDC" w:rsidRDefault="000E5EDC" w:rsidP="000E5EDC">
      <w:pPr>
        <w:pStyle w:val="Heading1"/>
        <w:rPr>
          <w:b w:val="0"/>
          <w:caps w:val="0"/>
          <w:sz w:val="20"/>
        </w:rPr>
      </w:pPr>
      <w:r>
        <w:rPr>
          <w:rFonts w:asciiTheme="majorBidi" w:hAnsiTheme="majorBidi" w:cstheme="majorBidi"/>
        </w:rPr>
        <w:t>CONCLUSION</w:t>
      </w:r>
    </w:p>
    <w:p w14:paraId="5751A93F" w14:textId="293FB740" w:rsidR="000E5EDC" w:rsidRPr="000E5EDC" w:rsidRDefault="000E5EDC" w:rsidP="000E5EDC">
      <w:pPr>
        <w:pStyle w:val="Paragraph"/>
      </w:pPr>
      <w:r w:rsidRPr="000E5EDC">
        <w:t xml:space="preserve">The results of FTIR analysis of </w:t>
      </w:r>
      <w:proofErr w:type="spellStart"/>
      <w:r w:rsidRPr="000E5EDC">
        <w:t>silanized</w:t>
      </w:r>
      <w:proofErr w:type="spellEnd"/>
      <w:r w:rsidRPr="000E5EDC">
        <w:t xml:space="preserve"> hydroxyapatite show the presence of </w:t>
      </w:r>
      <w:proofErr w:type="spellStart"/>
      <w:r w:rsidRPr="000E5EDC">
        <w:t>SiO</w:t>
      </w:r>
      <w:proofErr w:type="spellEnd"/>
      <w:r w:rsidRPr="000E5EDC">
        <w:t xml:space="preserve"> groups at a wavelength of 1310 cm</w:t>
      </w:r>
      <w:r w:rsidRPr="000E5EDC">
        <w:rPr>
          <w:vertAlign w:val="superscript"/>
        </w:rPr>
        <w:t>-1</w:t>
      </w:r>
      <w:r w:rsidRPr="000E5EDC">
        <w:t xml:space="preserve">, which indicates that the hydroxyapatite </w:t>
      </w:r>
      <w:proofErr w:type="spellStart"/>
      <w:r w:rsidRPr="000E5EDC">
        <w:t>silanization</w:t>
      </w:r>
      <w:proofErr w:type="spellEnd"/>
      <w:r w:rsidRPr="000E5EDC">
        <w:t xml:space="preserve"> process was successful. The results of optical analysis of denture base specimens show that the addition of the organic pigment BRN Red </w:t>
      </w:r>
      <w:proofErr w:type="spellStart"/>
      <w:r w:rsidRPr="000E5EDC">
        <w:t>Cromophtal</w:t>
      </w:r>
      <w:proofErr w:type="spellEnd"/>
      <w:r w:rsidRPr="000E5EDC">
        <w:t xml:space="preserve"> at a minimum concentration of 0.01% alone can imitate the darker color of </w:t>
      </w:r>
      <w:proofErr w:type="spellStart"/>
      <w:r w:rsidRPr="000E5EDC">
        <w:t>aveolar</w:t>
      </w:r>
      <w:proofErr w:type="spellEnd"/>
      <w:r w:rsidRPr="000E5EDC">
        <w:t xml:space="preserve"> mucosa. so that the use of the organic pigment </w:t>
      </w:r>
      <w:proofErr w:type="spellStart"/>
      <w:r w:rsidRPr="000E5EDC">
        <w:t>Cromophtal</w:t>
      </w:r>
      <w:proofErr w:type="spellEnd"/>
      <w:r w:rsidRPr="000E5EDC">
        <w:t xml:space="preserve"> Red BRN can prevent disturbances in mechanical properties caused by disruption of composite polymerization.</w:t>
      </w:r>
    </w:p>
    <w:p w14:paraId="4ECB6746" w14:textId="61B52377" w:rsidR="000E5EDC" w:rsidRPr="00075EA6" w:rsidRDefault="000E5EDC" w:rsidP="000E5EDC">
      <w:pPr>
        <w:pStyle w:val="Heading1"/>
      </w:pPr>
      <w:r w:rsidRPr="00075EA6">
        <w:rPr>
          <w:rFonts w:asciiTheme="majorBidi" w:hAnsiTheme="majorBidi" w:cstheme="majorBidi"/>
        </w:rPr>
        <w:t>Acknowledgments</w:t>
      </w:r>
    </w:p>
    <w:p w14:paraId="1D6B8A4A" w14:textId="542E7664" w:rsidR="0084048C" w:rsidRDefault="0084048C" w:rsidP="0084048C">
      <w:pPr>
        <w:pStyle w:val="Paragraph"/>
        <w:ind w:firstLine="0"/>
        <w:rPr>
          <w:rFonts w:asciiTheme="majorBidi" w:hAnsiTheme="majorBidi" w:cstheme="majorBidi"/>
        </w:rPr>
      </w:pPr>
      <w:r w:rsidRPr="0084048C">
        <w:rPr>
          <w:rFonts w:asciiTheme="majorBidi" w:hAnsiTheme="majorBidi" w:cstheme="majorBidi"/>
        </w:rPr>
        <w:t xml:space="preserve">The authors would like to appreciate the research funding </w:t>
      </w:r>
      <w:r>
        <w:rPr>
          <w:rFonts w:asciiTheme="majorBidi" w:hAnsiTheme="majorBidi" w:cstheme="majorBidi"/>
        </w:rPr>
        <w:t xml:space="preserve">in </w:t>
      </w:r>
      <w:proofErr w:type="spellStart"/>
      <w:r w:rsidRPr="0084048C">
        <w:rPr>
          <w:rFonts w:asciiTheme="majorBidi" w:hAnsiTheme="majorBidi" w:cstheme="majorBidi"/>
        </w:rPr>
        <w:t>Penelitian</w:t>
      </w:r>
      <w:proofErr w:type="spellEnd"/>
      <w:r w:rsidRPr="0084048C">
        <w:rPr>
          <w:rFonts w:asciiTheme="majorBidi" w:hAnsiTheme="majorBidi" w:cstheme="majorBidi"/>
        </w:rPr>
        <w:t xml:space="preserve"> </w:t>
      </w:r>
      <w:proofErr w:type="spellStart"/>
      <w:r>
        <w:rPr>
          <w:rFonts w:asciiTheme="majorBidi" w:hAnsiTheme="majorBidi" w:cstheme="majorBidi"/>
        </w:rPr>
        <w:t>Keilmuan</w:t>
      </w:r>
      <w:proofErr w:type="spellEnd"/>
      <w:r>
        <w:rPr>
          <w:rFonts w:asciiTheme="majorBidi" w:hAnsiTheme="majorBidi" w:cstheme="majorBidi"/>
        </w:rPr>
        <w:t xml:space="preserve"> provided by</w:t>
      </w:r>
      <w:r w:rsidRPr="0084048C">
        <w:rPr>
          <w:rFonts w:asciiTheme="majorBidi" w:hAnsiTheme="majorBidi" w:cstheme="majorBidi"/>
        </w:rPr>
        <w:t xml:space="preserve"> </w:t>
      </w:r>
      <w:proofErr w:type="spellStart"/>
      <w:r w:rsidRPr="0084048C">
        <w:rPr>
          <w:rFonts w:asciiTheme="majorBidi" w:hAnsiTheme="majorBidi" w:cstheme="majorBidi"/>
        </w:rPr>
        <w:t>Institut</w:t>
      </w:r>
      <w:proofErr w:type="spellEnd"/>
      <w:r w:rsidRPr="0084048C">
        <w:rPr>
          <w:rFonts w:asciiTheme="majorBidi" w:hAnsiTheme="majorBidi" w:cstheme="majorBidi"/>
        </w:rPr>
        <w:t xml:space="preserve"> </w:t>
      </w:r>
      <w:proofErr w:type="spellStart"/>
      <w:r w:rsidRPr="0084048C">
        <w:rPr>
          <w:rFonts w:asciiTheme="majorBidi" w:hAnsiTheme="majorBidi" w:cstheme="majorBidi"/>
        </w:rPr>
        <w:t>Teknologi</w:t>
      </w:r>
      <w:proofErr w:type="spellEnd"/>
      <w:r w:rsidRPr="0084048C">
        <w:rPr>
          <w:rFonts w:asciiTheme="majorBidi" w:hAnsiTheme="majorBidi" w:cstheme="majorBidi"/>
        </w:rPr>
        <w:t xml:space="preserve"> Sepuluh Nopember, contract no: [</w:t>
      </w:r>
      <w:r>
        <w:rPr>
          <w:rFonts w:asciiTheme="majorBidi" w:hAnsiTheme="majorBidi" w:cstheme="majorBidi"/>
        </w:rPr>
        <w:t>1145</w:t>
      </w:r>
      <w:r w:rsidRPr="0084048C">
        <w:rPr>
          <w:rFonts w:asciiTheme="majorBidi" w:hAnsiTheme="majorBidi" w:cstheme="majorBidi"/>
        </w:rPr>
        <w:t>/PKS/ITS/202</w:t>
      </w:r>
      <w:r>
        <w:rPr>
          <w:rFonts w:asciiTheme="majorBidi" w:hAnsiTheme="majorBidi" w:cstheme="majorBidi"/>
        </w:rPr>
        <w:t>4</w:t>
      </w:r>
      <w:r w:rsidRPr="0084048C">
        <w:rPr>
          <w:rFonts w:asciiTheme="majorBidi" w:hAnsiTheme="majorBidi" w:cstheme="majorBidi"/>
        </w:rPr>
        <w:t xml:space="preserve">]. The authors also would like to appreciate </w:t>
      </w:r>
      <w:r>
        <w:rPr>
          <w:rFonts w:asciiTheme="majorBidi" w:hAnsiTheme="majorBidi" w:cstheme="majorBidi"/>
        </w:rPr>
        <w:t>Kurnia Dental Laboratory for sharing knowledge and method in denture base production</w:t>
      </w:r>
      <w:r w:rsidR="001D354C">
        <w:rPr>
          <w:rFonts w:asciiTheme="majorBidi" w:hAnsiTheme="majorBidi" w:cstheme="majorBidi"/>
        </w:rPr>
        <w:t>.</w:t>
      </w:r>
    </w:p>
    <w:p w14:paraId="4B0CA4CF" w14:textId="74D8957B" w:rsidR="000E5EDC" w:rsidRDefault="000E5EDC" w:rsidP="000E5EDC">
      <w:pPr>
        <w:pStyle w:val="Heading1"/>
        <w:rPr>
          <w:rFonts w:asciiTheme="majorBidi" w:hAnsiTheme="majorBidi" w:cstheme="majorBidi"/>
        </w:rPr>
      </w:pPr>
      <w:r w:rsidRPr="00075EA6">
        <w:rPr>
          <w:rFonts w:asciiTheme="majorBidi" w:hAnsiTheme="majorBidi" w:cstheme="majorBidi"/>
        </w:rPr>
        <w:t>References</w:t>
      </w:r>
    </w:p>
    <w:p w14:paraId="23C57560"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[1]</w:t>
      </w:r>
      <w:r w:rsidRPr="009B495F">
        <w:rPr>
          <w:rFonts w:eastAsia="Aptos"/>
          <w:kern w:val="2"/>
          <w:sz w:val="20"/>
          <w:lang w:val="en-ID"/>
          <w14:ligatures w14:val="standardContextual"/>
        </w:rPr>
        <w:tab/>
        <w:t xml:space="preserve"> G. E. Carlsson and R. Omar, J. Oral </w:t>
      </w:r>
      <w:proofErr w:type="spellStart"/>
      <w:r w:rsidRPr="009B495F">
        <w:rPr>
          <w:rFonts w:eastAsia="Aptos"/>
          <w:kern w:val="2"/>
          <w:sz w:val="20"/>
          <w:lang w:val="en-ID"/>
          <w14:ligatures w14:val="standardContextual"/>
        </w:rPr>
        <w:t>Rehabil</w:t>
      </w:r>
      <w:proofErr w:type="spellEnd"/>
      <w:r w:rsidRPr="009B495F">
        <w:rPr>
          <w:rFonts w:eastAsia="Aptos"/>
          <w:kern w:val="2"/>
          <w:sz w:val="20"/>
          <w:lang w:val="en-ID"/>
          <w14:ligatures w14:val="standardContextual"/>
        </w:rPr>
        <w:t>. 37, 143 (2010).</w:t>
      </w:r>
    </w:p>
    <w:p w14:paraId="6934A4D6"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[2]</w:t>
      </w:r>
      <w:r w:rsidRPr="009B495F">
        <w:rPr>
          <w:rFonts w:eastAsia="Aptos"/>
          <w:kern w:val="2"/>
          <w:sz w:val="20"/>
          <w:lang w:val="en-ID"/>
          <w14:ligatures w14:val="standardContextual"/>
        </w:rPr>
        <w:tab/>
        <w:t xml:space="preserve"> F. Nua, "</w:t>
      </w:r>
      <w:proofErr w:type="spellStart"/>
      <w:r w:rsidRPr="009B495F">
        <w:rPr>
          <w:rFonts w:eastAsia="Aptos"/>
          <w:kern w:val="2"/>
          <w:sz w:val="20"/>
          <w:lang w:val="en-ID"/>
          <w14:ligatures w14:val="standardContextual"/>
        </w:rPr>
        <w:t>Kebutuhan</w:t>
      </w:r>
      <w:proofErr w:type="spellEnd"/>
      <w:r w:rsidRPr="009B495F">
        <w:rPr>
          <w:rFonts w:eastAsia="Aptos"/>
          <w:kern w:val="2"/>
          <w:sz w:val="20"/>
          <w:lang w:val="en-ID"/>
          <w14:ligatures w14:val="standardContextual"/>
        </w:rPr>
        <w:t xml:space="preserve"> </w:t>
      </w:r>
      <w:proofErr w:type="spellStart"/>
      <w:r w:rsidRPr="009B495F">
        <w:rPr>
          <w:rFonts w:eastAsia="Aptos"/>
          <w:kern w:val="2"/>
          <w:sz w:val="20"/>
          <w:lang w:val="en-ID"/>
          <w14:ligatures w14:val="standardContextual"/>
        </w:rPr>
        <w:t>Implan</w:t>
      </w:r>
      <w:proofErr w:type="spellEnd"/>
      <w:r w:rsidRPr="009B495F">
        <w:rPr>
          <w:rFonts w:eastAsia="Aptos"/>
          <w:kern w:val="2"/>
          <w:sz w:val="20"/>
          <w:lang w:val="en-ID"/>
          <w14:ligatures w14:val="standardContextual"/>
        </w:rPr>
        <w:t xml:space="preserve"> </w:t>
      </w:r>
      <w:proofErr w:type="spellStart"/>
      <w:r w:rsidRPr="009B495F">
        <w:rPr>
          <w:rFonts w:eastAsia="Aptos"/>
          <w:kern w:val="2"/>
          <w:sz w:val="20"/>
          <w:lang w:val="en-ID"/>
          <w14:ligatures w14:val="standardContextual"/>
        </w:rPr>
        <w:t>Tulang</w:t>
      </w:r>
      <w:proofErr w:type="spellEnd"/>
      <w:r w:rsidRPr="009B495F">
        <w:rPr>
          <w:rFonts w:eastAsia="Aptos"/>
          <w:kern w:val="2"/>
          <w:sz w:val="20"/>
          <w:lang w:val="en-ID"/>
          <w14:ligatures w14:val="standardContextual"/>
        </w:rPr>
        <w:t xml:space="preserve"> </w:t>
      </w:r>
      <w:proofErr w:type="spellStart"/>
      <w:r w:rsidRPr="009B495F">
        <w:rPr>
          <w:rFonts w:eastAsia="Aptos"/>
          <w:kern w:val="2"/>
          <w:sz w:val="20"/>
          <w:lang w:val="en-ID"/>
          <w14:ligatures w14:val="standardContextual"/>
        </w:rPr>
        <w:t>Meningkat</w:t>
      </w:r>
      <w:proofErr w:type="spellEnd"/>
      <w:r w:rsidRPr="009B495F">
        <w:rPr>
          <w:rFonts w:eastAsia="Aptos"/>
          <w:kern w:val="2"/>
          <w:sz w:val="20"/>
          <w:lang w:val="en-ID"/>
          <w14:ligatures w14:val="standardContextual"/>
        </w:rPr>
        <w:t xml:space="preserve">, BPPT </w:t>
      </w:r>
      <w:proofErr w:type="spellStart"/>
      <w:r w:rsidRPr="009B495F">
        <w:rPr>
          <w:rFonts w:eastAsia="Aptos"/>
          <w:kern w:val="2"/>
          <w:sz w:val="20"/>
          <w:lang w:val="en-ID"/>
          <w14:ligatures w14:val="standardContextual"/>
        </w:rPr>
        <w:t>Kembangkan</w:t>
      </w:r>
      <w:proofErr w:type="spellEnd"/>
      <w:r w:rsidRPr="009B495F">
        <w:rPr>
          <w:rFonts w:eastAsia="Aptos"/>
          <w:kern w:val="2"/>
          <w:sz w:val="20"/>
          <w:lang w:val="en-ID"/>
          <w14:ligatures w14:val="standardContextual"/>
        </w:rPr>
        <w:t xml:space="preserve"> </w:t>
      </w:r>
      <w:proofErr w:type="spellStart"/>
      <w:r w:rsidRPr="009B495F">
        <w:rPr>
          <w:rFonts w:eastAsia="Aptos"/>
          <w:kern w:val="2"/>
          <w:sz w:val="20"/>
          <w:lang w:val="en-ID"/>
          <w14:ligatures w14:val="standardContextual"/>
        </w:rPr>
        <w:t>Produk</w:t>
      </w:r>
      <w:proofErr w:type="spellEnd"/>
      <w:r w:rsidRPr="009B495F">
        <w:rPr>
          <w:rFonts w:eastAsia="Aptos"/>
          <w:kern w:val="2"/>
          <w:sz w:val="20"/>
          <w:lang w:val="en-ID"/>
          <w14:ligatures w14:val="standardContextual"/>
        </w:rPr>
        <w:t xml:space="preserve"> </w:t>
      </w:r>
      <w:proofErr w:type="spellStart"/>
      <w:r w:rsidRPr="009B495F">
        <w:rPr>
          <w:rFonts w:eastAsia="Aptos"/>
          <w:kern w:val="2"/>
          <w:sz w:val="20"/>
          <w:lang w:val="en-ID"/>
          <w14:ligatures w14:val="standardContextual"/>
        </w:rPr>
        <w:t>Lokal</w:t>
      </w:r>
      <w:proofErr w:type="spellEnd"/>
      <w:r w:rsidRPr="009B495F">
        <w:rPr>
          <w:rFonts w:eastAsia="Aptos"/>
          <w:kern w:val="2"/>
          <w:sz w:val="20"/>
          <w:lang w:val="en-ID"/>
          <w14:ligatures w14:val="standardContextual"/>
        </w:rPr>
        <w:t xml:space="preserve">," </w:t>
      </w:r>
      <w:proofErr w:type="spellStart"/>
      <w:r w:rsidRPr="009B495F">
        <w:rPr>
          <w:rFonts w:eastAsia="Aptos"/>
          <w:kern w:val="2"/>
          <w:sz w:val="20"/>
          <w:lang w:val="en-ID"/>
          <w14:ligatures w14:val="standardContextual"/>
        </w:rPr>
        <w:t>Humaniora</w:t>
      </w:r>
      <w:proofErr w:type="spellEnd"/>
      <w:r w:rsidRPr="009B495F">
        <w:rPr>
          <w:rFonts w:eastAsia="Aptos"/>
          <w:kern w:val="2"/>
          <w:sz w:val="20"/>
          <w:lang w:val="en-ID"/>
          <w14:ligatures w14:val="standardContextual"/>
        </w:rPr>
        <w:t>, retrieved 2021, available at: https://mediaindonesia.com/humaniora/388645/kebutuhan-implan-tulang-meningkat-bppt-kembangkan-produk-lokal.</w:t>
      </w:r>
    </w:p>
    <w:p w14:paraId="23A49217"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 xml:space="preserve">[3] </w:t>
      </w:r>
      <w:r w:rsidRPr="009B495F">
        <w:rPr>
          <w:rFonts w:eastAsia="Aptos"/>
          <w:kern w:val="2"/>
          <w:sz w:val="20"/>
          <w:lang w:val="en-ID"/>
          <w14:ligatures w14:val="standardContextual"/>
        </w:rPr>
        <w:tab/>
        <w:t xml:space="preserve">J. Sheng, M. Shafee, A. Ariffin, and Jaafar, J. </w:t>
      </w:r>
      <w:proofErr w:type="spellStart"/>
      <w:r w:rsidRPr="009B495F">
        <w:rPr>
          <w:rFonts w:eastAsia="Aptos"/>
          <w:kern w:val="2"/>
          <w:sz w:val="20"/>
          <w:lang w:val="en-ID"/>
          <w14:ligatures w14:val="standardContextual"/>
        </w:rPr>
        <w:t>Microsc</w:t>
      </w:r>
      <w:proofErr w:type="spellEnd"/>
      <w:r w:rsidRPr="009B495F">
        <w:rPr>
          <w:rFonts w:eastAsia="Aptos"/>
          <w:kern w:val="2"/>
          <w:sz w:val="20"/>
          <w:lang w:val="en-ID"/>
          <w14:ligatures w14:val="standardContextual"/>
        </w:rPr>
        <w:t>. 14, 1-16 (2018).</w:t>
      </w:r>
    </w:p>
    <w:p w14:paraId="7B8548DB"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[4]</w:t>
      </w:r>
      <w:r w:rsidRPr="009B495F">
        <w:rPr>
          <w:rFonts w:eastAsia="Aptos"/>
          <w:kern w:val="2"/>
          <w:sz w:val="20"/>
          <w:lang w:val="en-ID"/>
          <w14:ligatures w14:val="standardContextual"/>
        </w:rPr>
        <w:tab/>
        <w:t xml:space="preserve"> M. S. Zafar, Polymers 12, 2299 (2020).</w:t>
      </w:r>
    </w:p>
    <w:p w14:paraId="4348E4DB"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 xml:space="preserve">[5] </w:t>
      </w:r>
      <w:r w:rsidRPr="009B495F">
        <w:rPr>
          <w:rFonts w:eastAsia="Aptos"/>
          <w:kern w:val="2"/>
          <w:sz w:val="20"/>
          <w:lang w:val="en-ID"/>
          <w14:ligatures w14:val="standardContextual"/>
        </w:rPr>
        <w:tab/>
        <w:t xml:space="preserve">M. T. R. Cruzeiro, A. M. Fernando, R. K. Marina, et al., J. </w:t>
      </w:r>
      <w:proofErr w:type="spellStart"/>
      <w:r w:rsidRPr="009B495F">
        <w:rPr>
          <w:rFonts w:eastAsia="Aptos"/>
          <w:kern w:val="2"/>
          <w:sz w:val="20"/>
          <w:lang w:val="en-ID"/>
          <w14:ligatures w14:val="standardContextual"/>
        </w:rPr>
        <w:t>Prosthet</w:t>
      </w:r>
      <w:proofErr w:type="spellEnd"/>
      <w:r w:rsidRPr="009B495F">
        <w:rPr>
          <w:rFonts w:eastAsia="Aptos"/>
          <w:kern w:val="2"/>
          <w:sz w:val="20"/>
          <w:lang w:val="en-ID"/>
          <w14:ligatures w14:val="standardContextual"/>
        </w:rPr>
        <w:t>. Dent. 118, 1-7 (2017).</w:t>
      </w:r>
    </w:p>
    <w:p w14:paraId="5E808398"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[6]</w:t>
      </w:r>
      <w:r w:rsidRPr="009B495F">
        <w:rPr>
          <w:rFonts w:eastAsia="Aptos"/>
          <w:kern w:val="2"/>
          <w:sz w:val="20"/>
          <w:lang w:val="en-ID"/>
          <w14:ligatures w14:val="standardContextual"/>
        </w:rPr>
        <w:tab/>
        <w:t xml:space="preserve"> R. W. Phillips and E. W. Skinner, Phillips’ Science of Dental Materials, 12th ed. (Elsevier Inc Saunders, United States of America, 2013).</w:t>
      </w:r>
    </w:p>
    <w:p w14:paraId="0345367D"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[7]</w:t>
      </w:r>
      <w:r w:rsidRPr="009B495F">
        <w:rPr>
          <w:rFonts w:eastAsia="Aptos"/>
          <w:kern w:val="2"/>
          <w:sz w:val="20"/>
          <w:lang w:val="en-ID"/>
          <w14:ligatures w14:val="standardContextual"/>
        </w:rPr>
        <w:tab/>
        <w:t xml:space="preserve"> J. Saurabh, M. Sayyed, W. M. A., et al., Coatings 11, 1-14 (2021).</w:t>
      </w:r>
    </w:p>
    <w:p w14:paraId="11480BD7"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 xml:space="preserve">[8] </w:t>
      </w:r>
      <w:r w:rsidRPr="009B495F">
        <w:rPr>
          <w:rFonts w:eastAsia="Aptos"/>
          <w:kern w:val="2"/>
          <w:sz w:val="20"/>
          <w:lang w:val="en-ID"/>
          <w14:ligatures w14:val="standardContextual"/>
        </w:rPr>
        <w:tab/>
        <w:t xml:space="preserve">G. Genchi, S. S. Maria, L. </w:t>
      </w:r>
      <w:proofErr w:type="spellStart"/>
      <w:r w:rsidRPr="009B495F">
        <w:rPr>
          <w:rFonts w:eastAsia="Aptos"/>
          <w:kern w:val="2"/>
          <w:sz w:val="20"/>
          <w:lang w:val="en-ID"/>
          <w14:ligatures w14:val="standardContextual"/>
        </w:rPr>
        <w:t>Graziantonio</w:t>
      </w:r>
      <w:proofErr w:type="spellEnd"/>
      <w:r w:rsidRPr="009B495F">
        <w:rPr>
          <w:rFonts w:eastAsia="Aptos"/>
          <w:kern w:val="2"/>
          <w:sz w:val="20"/>
          <w:lang w:val="en-ID"/>
          <w14:ligatures w14:val="standardContextual"/>
        </w:rPr>
        <w:t>, et al., Int. J. Environ. Res. Public Health 17, 1-24 (2020).</w:t>
      </w:r>
    </w:p>
    <w:p w14:paraId="13FAF3F4"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lastRenderedPageBreak/>
        <w:t xml:space="preserve">[9] </w:t>
      </w:r>
      <w:r w:rsidRPr="009B495F">
        <w:rPr>
          <w:rFonts w:eastAsia="Aptos"/>
          <w:kern w:val="2"/>
          <w:sz w:val="20"/>
          <w:lang w:val="en-ID"/>
          <w14:ligatures w14:val="standardContextual"/>
        </w:rPr>
        <w:tab/>
        <w:t xml:space="preserve">P. Saikaew, P. Patchara, P. </w:t>
      </w:r>
      <w:proofErr w:type="spellStart"/>
      <w:r w:rsidRPr="009B495F">
        <w:rPr>
          <w:rFonts w:eastAsia="Aptos"/>
          <w:kern w:val="2"/>
          <w:sz w:val="20"/>
          <w:lang w:val="en-ID"/>
          <w14:ligatures w14:val="standardContextual"/>
        </w:rPr>
        <w:t>Pheeratas</w:t>
      </w:r>
      <w:proofErr w:type="spellEnd"/>
      <w:r w:rsidRPr="009B495F">
        <w:rPr>
          <w:rFonts w:eastAsia="Aptos"/>
          <w:kern w:val="2"/>
          <w:sz w:val="20"/>
          <w:lang w:val="en-ID"/>
          <w14:ligatures w14:val="standardContextual"/>
        </w:rPr>
        <w:t>, et al., Polymers 13, 3902 (2021).</w:t>
      </w:r>
    </w:p>
    <w:p w14:paraId="1D6D8EA4"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 xml:space="preserve">[10] </w:t>
      </w:r>
      <w:r w:rsidRPr="009B495F">
        <w:rPr>
          <w:rFonts w:eastAsia="Aptos"/>
          <w:kern w:val="2"/>
          <w:sz w:val="20"/>
          <w:lang w:val="en-ID"/>
          <w14:ligatures w14:val="standardContextual"/>
        </w:rPr>
        <w:tab/>
        <w:t>F. Vafaee, M. Abolghasem, K. Masoumeh, et al., Avicenna J. Dent. Res. 8, 1-5 (2016).</w:t>
      </w:r>
    </w:p>
    <w:p w14:paraId="0F05E97F"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 xml:space="preserve">[11] </w:t>
      </w:r>
      <w:r w:rsidRPr="009B495F">
        <w:rPr>
          <w:rFonts w:eastAsia="Aptos"/>
          <w:kern w:val="2"/>
          <w:sz w:val="20"/>
          <w:lang w:val="en-ID"/>
          <w14:ligatures w14:val="standardContextual"/>
        </w:rPr>
        <w:tab/>
        <w:t xml:space="preserve">W. L. Tham, W. S. Chow, Z. A. Mohd Ishak, J. Appl. </w:t>
      </w:r>
      <w:proofErr w:type="spellStart"/>
      <w:r w:rsidRPr="009B495F">
        <w:rPr>
          <w:rFonts w:eastAsia="Aptos"/>
          <w:kern w:val="2"/>
          <w:sz w:val="20"/>
          <w:lang w:val="en-ID"/>
          <w14:ligatures w14:val="standardContextual"/>
        </w:rPr>
        <w:t>Polym</w:t>
      </w:r>
      <w:proofErr w:type="spellEnd"/>
      <w:r w:rsidRPr="009B495F">
        <w:rPr>
          <w:rFonts w:eastAsia="Aptos"/>
          <w:kern w:val="2"/>
          <w:sz w:val="20"/>
          <w:lang w:val="en-ID"/>
          <w14:ligatures w14:val="standardContextual"/>
        </w:rPr>
        <w:t>. Sci. 118, 218-228 (2010).</w:t>
      </w:r>
    </w:p>
    <w:p w14:paraId="70DB5E49"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 xml:space="preserve">[12] </w:t>
      </w:r>
      <w:r w:rsidRPr="009B495F">
        <w:rPr>
          <w:rFonts w:eastAsia="Aptos"/>
          <w:kern w:val="2"/>
          <w:sz w:val="20"/>
          <w:lang w:val="en-ID"/>
          <w14:ligatures w14:val="standardContextual"/>
        </w:rPr>
        <w:tab/>
        <w:t xml:space="preserve">D. K. </w:t>
      </w:r>
      <w:proofErr w:type="spellStart"/>
      <w:r w:rsidRPr="009B495F">
        <w:rPr>
          <w:rFonts w:eastAsia="Aptos"/>
          <w:kern w:val="2"/>
          <w:sz w:val="20"/>
          <w:lang w:val="en-ID"/>
          <w14:ligatures w14:val="standardContextual"/>
        </w:rPr>
        <w:t>Pattanayak</w:t>
      </w:r>
      <w:proofErr w:type="spellEnd"/>
      <w:r w:rsidRPr="009B495F">
        <w:rPr>
          <w:rFonts w:eastAsia="Aptos"/>
          <w:kern w:val="2"/>
          <w:sz w:val="20"/>
          <w:lang w:val="en-ID"/>
          <w14:ligatures w14:val="standardContextual"/>
        </w:rPr>
        <w:t xml:space="preserve">, P. Divya, S. Upadhyay, R. C. Prasad, B. T. Rao, and T. R. R. Mohan, Trends </w:t>
      </w:r>
      <w:proofErr w:type="spellStart"/>
      <w:r w:rsidRPr="009B495F">
        <w:rPr>
          <w:rFonts w:eastAsia="Aptos"/>
          <w:kern w:val="2"/>
          <w:sz w:val="20"/>
          <w:lang w:val="en-ID"/>
          <w14:ligatures w14:val="standardContextual"/>
        </w:rPr>
        <w:t>Biomater</w:t>
      </w:r>
      <w:proofErr w:type="spellEnd"/>
      <w:r w:rsidRPr="009B495F">
        <w:rPr>
          <w:rFonts w:eastAsia="Aptos"/>
          <w:kern w:val="2"/>
          <w:sz w:val="20"/>
          <w:lang w:val="en-ID"/>
          <w14:ligatures w14:val="standardContextual"/>
        </w:rPr>
        <w:t xml:space="preserve">. </w:t>
      </w:r>
      <w:proofErr w:type="spellStart"/>
      <w:r w:rsidRPr="009B495F">
        <w:rPr>
          <w:rFonts w:eastAsia="Aptos"/>
          <w:kern w:val="2"/>
          <w:sz w:val="20"/>
          <w:lang w:val="en-ID"/>
          <w14:ligatures w14:val="standardContextual"/>
        </w:rPr>
        <w:t>Artif</w:t>
      </w:r>
      <w:proofErr w:type="spellEnd"/>
      <w:r w:rsidRPr="009B495F">
        <w:rPr>
          <w:rFonts w:eastAsia="Aptos"/>
          <w:kern w:val="2"/>
          <w:sz w:val="20"/>
          <w:lang w:val="en-ID"/>
          <w14:ligatures w14:val="standardContextual"/>
        </w:rPr>
        <w:t>. Organs 18, 2 (2005).</w:t>
      </w:r>
    </w:p>
    <w:p w14:paraId="2ABD1CB8"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[13]</w:t>
      </w:r>
      <w:r w:rsidRPr="009B495F">
        <w:rPr>
          <w:rFonts w:eastAsia="Aptos"/>
          <w:kern w:val="2"/>
          <w:sz w:val="20"/>
          <w:lang w:val="en-ID"/>
          <w14:ligatures w14:val="standardContextual"/>
        </w:rPr>
        <w:tab/>
        <w:t xml:space="preserve"> J. Ren, et al., J. </w:t>
      </w:r>
      <w:proofErr w:type="spellStart"/>
      <w:r w:rsidRPr="009B495F">
        <w:rPr>
          <w:rFonts w:eastAsia="Aptos"/>
          <w:kern w:val="2"/>
          <w:sz w:val="20"/>
          <w:lang w:val="en-ID"/>
          <w14:ligatures w14:val="standardContextual"/>
        </w:rPr>
        <w:t>Prosthet</w:t>
      </w:r>
      <w:proofErr w:type="spellEnd"/>
      <w:r w:rsidRPr="009B495F">
        <w:rPr>
          <w:rFonts w:eastAsia="Aptos"/>
          <w:kern w:val="2"/>
          <w:sz w:val="20"/>
          <w:lang w:val="en-ID"/>
          <w14:ligatures w14:val="standardContextual"/>
        </w:rPr>
        <w:t xml:space="preserve">. Dent. 4, 115, 437-477 (2015), </w:t>
      </w:r>
      <w:proofErr w:type="spellStart"/>
      <w:r w:rsidRPr="009B495F">
        <w:rPr>
          <w:rFonts w:eastAsia="Aptos"/>
          <w:kern w:val="2"/>
          <w:sz w:val="20"/>
          <w:lang w:val="en-ID"/>
          <w14:ligatures w14:val="standardContextual"/>
        </w:rPr>
        <w:t>doi</w:t>
      </w:r>
      <w:proofErr w:type="spellEnd"/>
      <w:r w:rsidRPr="009B495F">
        <w:rPr>
          <w:rFonts w:eastAsia="Aptos"/>
          <w:kern w:val="2"/>
          <w:sz w:val="20"/>
          <w:lang w:val="en-ID"/>
          <w14:ligatures w14:val="standardContextual"/>
        </w:rPr>
        <w:t>: 10.1016/j.prosdent.2015.08.018.</w:t>
      </w:r>
    </w:p>
    <w:p w14:paraId="34037E9C"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fi-FI"/>
          <w14:ligatures w14:val="standardContextual"/>
        </w:rPr>
        <w:t xml:space="preserve">[14] </w:t>
      </w:r>
      <w:r w:rsidRPr="009B495F">
        <w:rPr>
          <w:rFonts w:eastAsia="Aptos"/>
          <w:kern w:val="2"/>
          <w:sz w:val="20"/>
          <w:lang w:val="fi-FI"/>
          <w14:ligatures w14:val="standardContextual"/>
        </w:rPr>
        <w:tab/>
        <w:t xml:space="preserve">D. K. Ho, G. Razvan, J. H. Luis, A. Nikola, D. P. Rade, Sci. </w:t>
      </w:r>
      <w:r w:rsidRPr="009B495F">
        <w:rPr>
          <w:rFonts w:eastAsia="Aptos"/>
          <w:kern w:val="2"/>
          <w:sz w:val="20"/>
          <w:lang w:val="en-ID"/>
          <w14:ligatures w14:val="standardContextual"/>
        </w:rPr>
        <w:t>Rep. 5, 18498 (2015).</w:t>
      </w:r>
    </w:p>
    <w:p w14:paraId="051CF041"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 xml:space="preserve">[15] </w:t>
      </w:r>
      <w:r w:rsidRPr="009B495F">
        <w:rPr>
          <w:rFonts w:eastAsia="Aptos"/>
          <w:kern w:val="2"/>
          <w:sz w:val="20"/>
          <w:lang w:val="en-ID"/>
          <w14:ligatures w14:val="standardContextual"/>
        </w:rPr>
        <w:tab/>
        <w:t xml:space="preserve">G. Azhar, H. Karine, J. W. Duncan, et al., Eur. J. </w:t>
      </w:r>
      <w:proofErr w:type="spellStart"/>
      <w:r w:rsidRPr="009B495F">
        <w:rPr>
          <w:rFonts w:eastAsia="Aptos"/>
          <w:kern w:val="2"/>
          <w:sz w:val="20"/>
          <w:lang w:val="en-ID"/>
          <w14:ligatures w14:val="standardContextual"/>
        </w:rPr>
        <w:t>Prosthodont</w:t>
      </w:r>
      <w:proofErr w:type="spellEnd"/>
      <w:r w:rsidRPr="009B495F">
        <w:rPr>
          <w:rFonts w:eastAsia="Aptos"/>
          <w:kern w:val="2"/>
          <w:sz w:val="20"/>
          <w:lang w:val="en-ID"/>
          <w14:ligatures w14:val="standardContextual"/>
        </w:rPr>
        <w:t xml:space="preserve">. </w:t>
      </w:r>
      <w:proofErr w:type="spellStart"/>
      <w:r w:rsidRPr="009B495F">
        <w:rPr>
          <w:rFonts w:eastAsia="Aptos"/>
          <w:kern w:val="2"/>
          <w:sz w:val="20"/>
          <w:lang w:val="en-ID"/>
          <w14:ligatures w14:val="standardContextual"/>
        </w:rPr>
        <w:t>Restor</w:t>
      </w:r>
      <w:proofErr w:type="spellEnd"/>
      <w:r w:rsidRPr="009B495F">
        <w:rPr>
          <w:rFonts w:eastAsia="Aptos"/>
          <w:kern w:val="2"/>
          <w:sz w:val="20"/>
          <w:lang w:val="en-ID"/>
          <w14:ligatures w14:val="standardContextual"/>
        </w:rPr>
        <w:t>. Dent. 27, 3-9 (2019).</w:t>
      </w:r>
    </w:p>
    <w:p w14:paraId="4239AF53"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 xml:space="preserve">[16] </w:t>
      </w:r>
      <w:r w:rsidRPr="009B495F">
        <w:rPr>
          <w:rFonts w:eastAsia="Aptos"/>
          <w:kern w:val="2"/>
          <w:sz w:val="20"/>
          <w:lang w:val="en-ID"/>
          <w14:ligatures w14:val="standardContextual"/>
        </w:rPr>
        <w:tab/>
        <w:t>K. Hunger and M. U. Schmidt, Industrial Organic Pigments: Production, Crystal Structures, Properties, Applications, 4th ed. (Wiley-VCH, Weinheim, Germany, 2018).</w:t>
      </w:r>
    </w:p>
    <w:p w14:paraId="3A07E875"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 xml:space="preserve">[17] </w:t>
      </w:r>
      <w:r w:rsidRPr="009B495F">
        <w:rPr>
          <w:rFonts w:eastAsia="Aptos"/>
          <w:kern w:val="2"/>
          <w:sz w:val="20"/>
          <w:lang w:val="en-ID"/>
          <w14:ligatures w14:val="standardContextual"/>
        </w:rPr>
        <w:tab/>
        <w:t xml:space="preserve">S. Schnitzer, J. C. </w:t>
      </w:r>
      <w:proofErr w:type="spellStart"/>
      <w:r w:rsidRPr="009B495F">
        <w:rPr>
          <w:rFonts w:eastAsia="Aptos"/>
          <w:kern w:val="2"/>
          <w:sz w:val="20"/>
          <w:lang w:val="en-ID"/>
          <w14:ligatures w14:val="standardContextual"/>
        </w:rPr>
        <w:t>Türp</w:t>
      </w:r>
      <w:proofErr w:type="spellEnd"/>
      <w:r w:rsidRPr="009B495F">
        <w:rPr>
          <w:rFonts w:eastAsia="Aptos"/>
          <w:kern w:val="2"/>
          <w:sz w:val="20"/>
          <w:lang w:val="en-ID"/>
          <w14:ligatures w14:val="standardContextual"/>
        </w:rPr>
        <w:t xml:space="preserve">, and G. Heydecke, Int. J. </w:t>
      </w:r>
      <w:proofErr w:type="spellStart"/>
      <w:r w:rsidRPr="009B495F">
        <w:rPr>
          <w:rFonts w:eastAsia="Aptos"/>
          <w:kern w:val="2"/>
          <w:sz w:val="20"/>
          <w:lang w:val="en-ID"/>
          <w14:ligatures w14:val="standardContextual"/>
        </w:rPr>
        <w:t>Prosthodont</w:t>
      </w:r>
      <w:proofErr w:type="spellEnd"/>
      <w:r w:rsidRPr="009B495F">
        <w:rPr>
          <w:rFonts w:eastAsia="Aptos"/>
          <w:kern w:val="2"/>
          <w:sz w:val="20"/>
          <w:lang w:val="en-ID"/>
          <w14:ligatures w14:val="standardContextual"/>
        </w:rPr>
        <w:t>. 17, 327-332 (2004).</w:t>
      </w:r>
    </w:p>
    <w:p w14:paraId="5C6D9A28" w14:textId="77777777" w:rsidR="009B495F" w:rsidRPr="009B495F" w:rsidRDefault="009B495F" w:rsidP="009B495F">
      <w:pPr>
        <w:spacing w:after="160" w:line="259" w:lineRule="auto"/>
        <w:ind w:left="567" w:hanging="567"/>
        <w:rPr>
          <w:rFonts w:eastAsia="Aptos"/>
          <w:kern w:val="2"/>
          <w:sz w:val="20"/>
          <w:lang w:val="en-ID"/>
          <w14:ligatures w14:val="standardContextual"/>
        </w:rPr>
      </w:pPr>
      <w:r w:rsidRPr="009B495F">
        <w:rPr>
          <w:rFonts w:eastAsia="Aptos"/>
          <w:kern w:val="2"/>
          <w:sz w:val="20"/>
          <w:lang w:val="en-ID"/>
          <w14:ligatures w14:val="standardContextual"/>
        </w:rPr>
        <w:t xml:space="preserve">[18] </w:t>
      </w:r>
      <w:r w:rsidRPr="009B495F">
        <w:rPr>
          <w:rFonts w:eastAsia="Aptos"/>
          <w:kern w:val="2"/>
          <w:sz w:val="20"/>
          <w:lang w:val="en-ID"/>
          <w14:ligatures w14:val="standardContextual"/>
        </w:rPr>
        <w:tab/>
        <w:t>J.-W. Huang, C. Wen-Cheng, H. Ta-Ko, et al., J. Dent. E11-E16 (2011).</w:t>
      </w:r>
    </w:p>
    <w:p w14:paraId="13F7C234" w14:textId="77777777" w:rsidR="009B495F" w:rsidRPr="009B495F" w:rsidRDefault="009B495F" w:rsidP="009B495F">
      <w:pPr>
        <w:pStyle w:val="Paragraph"/>
      </w:pPr>
    </w:p>
    <w:sectPr w:rsidR="009B495F" w:rsidRPr="009B495F" w:rsidSect="00402DA2">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85A4804"/>
    <w:multiLevelType w:val="hybridMultilevel"/>
    <w:tmpl w:val="0842367E"/>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201673871">
    <w:abstractNumId w:val="16"/>
  </w:num>
  <w:num w:numId="2" w16cid:durableId="137385140">
    <w:abstractNumId w:val="3"/>
  </w:num>
  <w:num w:numId="3" w16cid:durableId="781340323">
    <w:abstractNumId w:val="13"/>
  </w:num>
  <w:num w:numId="4" w16cid:durableId="553154869">
    <w:abstractNumId w:val="8"/>
  </w:num>
  <w:num w:numId="5" w16cid:durableId="610552306">
    <w:abstractNumId w:val="12"/>
  </w:num>
  <w:num w:numId="6" w16cid:durableId="1963221891">
    <w:abstractNumId w:val="5"/>
  </w:num>
  <w:num w:numId="7" w16cid:durableId="285475832">
    <w:abstractNumId w:val="7"/>
  </w:num>
  <w:num w:numId="8" w16cid:durableId="1123110410">
    <w:abstractNumId w:val="1"/>
  </w:num>
  <w:num w:numId="9" w16cid:durableId="1094132323">
    <w:abstractNumId w:val="15"/>
  </w:num>
  <w:num w:numId="10" w16cid:durableId="1738749290">
    <w:abstractNumId w:val="10"/>
  </w:num>
  <w:num w:numId="11" w16cid:durableId="1581057363">
    <w:abstractNumId w:val="14"/>
  </w:num>
  <w:num w:numId="12" w16cid:durableId="1744134178">
    <w:abstractNumId w:val="11"/>
  </w:num>
  <w:num w:numId="13" w16cid:durableId="2062821444">
    <w:abstractNumId w:val="6"/>
  </w:num>
  <w:num w:numId="14" w16cid:durableId="1474982455">
    <w:abstractNumId w:val="15"/>
  </w:num>
  <w:num w:numId="15" w16cid:durableId="124131117">
    <w:abstractNumId w:val="9"/>
  </w:num>
  <w:num w:numId="16" w16cid:durableId="1586380933">
    <w:abstractNumId w:val="6"/>
  </w:num>
  <w:num w:numId="17" w16cid:durableId="1786077556">
    <w:abstractNumId w:val="6"/>
  </w:num>
  <w:num w:numId="18" w16cid:durableId="1898125053">
    <w:abstractNumId w:val="6"/>
  </w:num>
  <w:num w:numId="19" w16cid:durableId="916010997">
    <w:abstractNumId w:val="6"/>
  </w:num>
  <w:num w:numId="20" w16cid:durableId="1248273974">
    <w:abstractNumId w:val="6"/>
  </w:num>
  <w:num w:numId="21" w16cid:durableId="690881933">
    <w:abstractNumId w:val="6"/>
  </w:num>
  <w:num w:numId="22" w16cid:durableId="1251113567">
    <w:abstractNumId w:val="6"/>
  </w:num>
  <w:num w:numId="23" w16cid:durableId="1207913257">
    <w:abstractNumId w:val="6"/>
  </w:num>
  <w:num w:numId="24" w16cid:durableId="1249004815">
    <w:abstractNumId w:val="6"/>
  </w:num>
  <w:num w:numId="25" w16cid:durableId="585571727">
    <w:abstractNumId w:val="6"/>
  </w:num>
  <w:num w:numId="26" w16cid:durableId="843209419">
    <w:abstractNumId w:val="6"/>
  </w:num>
  <w:num w:numId="27" w16cid:durableId="1596740792">
    <w:abstractNumId w:val="6"/>
  </w:num>
  <w:num w:numId="28" w16cid:durableId="379482036">
    <w:abstractNumId w:val="6"/>
  </w:num>
  <w:num w:numId="29" w16cid:durableId="118453003">
    <w:abstractNumId w:val="12"/>
  </w:num>
  <w:num w:numId="30" w16cid:durableId="352609633">
    <w:abstractNumId w:val="12"/>
  </w:num>
  <w:num w:numId="31" w16cid:durableId="1420440559">
    <w:abstractNumId w:val="12"/>
    <w:lvlOverride w:ilvl="0">
      <w:startOverride w:val="1"/>
    </w:lvlOverride>
  </w:num>
  <w:num w:numId="32" w16cid:durableId="1136097045">
    <w:abstractNumId w:val="12"/>
  </w:num>
  <w:num w:numId="33" w16cid:durableId="521822947">
    <w:abstractNumId w:val="12"/>
    <w:lvlOverride w:ilvl="0">
      <w:startOverride w:val="1"/>
    </w:lvlOverride>
  </w:num>
  <w:num w:numId="34" w16cid:durableId="521090144">
    <w:abstractNumId w:val="12"/>
    <w:lvlOverride w:ilvl="0">
      <w:startOverride w:val="1"/>
    </w:lvlOverride>
  </w:num>
  <w:num w:numId="35" w16cid:durableId="1768035717">
    <w:abstractNumId w:val="13"/>
    <w:lvlOverride w:ilvl="0">
      <w:startOverride w:val="1"/>
    </w:lvlOverride>
  </w:num>
  <w:num w:numId="36" w16cid:durableId="346911815">
    <w:abstractNumId w:val="13"/>
  </w:num>
  <w:num w:numId="37" w16cid:durableId="1289775531">
    <w:abstractNumId w:val="13"/>
    <w:lvlOverride w:ilvl="0">
      <w:startOverride w:val="1"/>
    </w:lvlOverride>
  </w:num>
  <w:num w:numId="38" w16cid:durableId="2093432019">
    <w:abstractNumId w:val="13"/>
  </w:num>
  <w:num w:numId="39" w16cid:durableId="353725920">
    <w:abstractNumId w:val="13"/>
    <w:lvlOverride w:ilvl="0">
      <w:startOverride w:val="1"/>
    </w:lvlOverride>
  </w:num>
  <w:num w:numId="40" w16cid:durableId="1245147834">
    <w:abstractNumId w:val="13"/>
    <w:lvlOverride w:ilvl="0">
      <w:startOverride w:val="1"/>
    </w:lvlOverride>
  </w:num>
  <w:num w:numId="41" w16cid:durableId="923076095">
    <w:abstractNumId w:val="13"/>
    <w:lvlOverride w:ilvl="0">
      <w:startOverride w:val="1"/>
    </w:lvlOverride>
  </w:num>
  <w:num w:numId="42" w16cid:durableId="1775638089">
    <w:abstractNumId w:val="13"/>
  </w:num>
  <w:num w:numId="43" w16cid:durableId="799614616">
    <w:abstractNumId w:val="13"/>
  </w:num>
  <w:num w:numId="44" w16cid:durableId="1244871413">
    <w:abstractNumId w:val="2"/>
  </w:num>
  <w:num w:numId="45" w16cid:durableId="1902213117">
    <w:abstractNumId w:val="0"/>
  </w:num>
  <w:num w:numId="46" w16cid:durableId="12258094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46FC6"/>
    <w:rsid w:val="00066FED"/>
    <w:rsid w:val="00075EA6"/>
    <w:rsid w:val="0007709F"/>
    <w:rsid w:val="00085FE6"/>
    <w:rsid w:val="00086F62"/>
    <w:rsid w:val="00090674"/>
    <w:rsid w:val="0009320B"/>
    <w:rsid w:val="00096AE0"/>
    <w:rsid w:val="000B1B74"/>
    <w:rsid w:val="000B3A2D"/>
    <w:rsid w:val="000B49C0"/>
    <w:rsid w:val="000E382F"/>
    <w:rsid w:val="000E3892"/>
    <w:rsid w:val="000E5EDC"/>
    <w:rsid w:val="000E75CD"/>
    <w:rsid w:val="000F005D"/>
    <w:rsid w:val="001036BA"/>
    <w:rsid w:val="001146DC"/>
    <w:rsid w:val="00114AB1"/>
    <w:rsid w:val="001230FF"/>
    <w:rsid w:val="00130BD7"/>
    <w:rsid w:val="00155B67"/>
    <w:rsid w:val="001562AF"/>
    <w:rsid w:val="00161A5B"/>
    <w:rsid w:val="0016385D"/>
    <w:rsid w:val="0016782F"/>
    <w:rsid w:val="001937E9"/>
    <w:rsid w:val="001964E5"/>
    <w:rsid w:val="001A326C"/>
    <w:rsid w:val="001B263B"/>
    <w:rsid w:val="001B476A"/>
    <w:rsid w:val="001C764F"/>
    <w:rsid w:val="001C7BB3"/>
    <w:rsid w:val="001D354C"/>
    <w:rsid w:val="001D469C"/>
    <w:rsid w:val="0021619E"/>
    <w:rsid w:val="002246A0"/>
    <w:rsid w:val="0023171B"/>
    <w:rsid w:val="00236BFC"/>
    <w:rsid w:val="00237437"/>
    <w:rsid w:val="0024332E"/>
    <w:rsid w:val="00246BDB"/>
    <w:rsid w:val="002502FD"/>
    <w:rsid w:val="00255052"/>
    <w:rsid w:val="00274622"/>
    <w:rsid w:val="002850ED"/>
    <w:rsid w:val="00285D24"/>
    <w:rsid w:val="00290390"/>
    <w:rsid w:val="002915D3"/>
    <w:rsid w:val="002924DB"/>
    <w:rsid w:val="002941DA"/>
    <w:rsid w:val="002B5648"/>
    <w:rsid w:val="002E3C35"/>
    <w:rsid w:val="002F5298"/>
    <w:rsid w:val="00326AE0"/>
    <w:rsid w:val="00337E4F"/>
    <w:rsid w:val="00340C36"/>
    <w:rsid w:val="00346A9D"/>
    <w:rsid w:val="00355F57"/>
    <w:rsid w:val="0039376F"/>
    <w:rsid w:val="003A287B"/>
    <w:rsid w:val="003A5C85"/>
    <w:rsid w:val="003A61B1"/>
    <w:rsid w:val="003B0050"/>
    <w:rsid w:val="003C5854"/>
    <w:rsid w:val="003D6312"/>
    <w:rsid w:val="003E7C74"/>
    <w:rsid w:val="003F31C6"/>
    <w:rsid w:val="0040225B"/>
    <w:rsid w:val="00402DA2"/>
    <w:rsid w:val="004137A0"/>
    <w:rsid w:val="00425AC2"/>
    <w:rsid w:val="0044771F"/>
    <w:rsid w:val="00491DF0"/>
    <w:rsid w:val="004A5C7F"/>
    <w:rsid w:val="004B151D"/>
    <w:rsid w:val="004C65B5"/>
    <w:rsid w:val="004C7243"/>
    <w:rsid w:val="004E21DE"/>
    <w:rsid w:val="004E3C57"/>
    <w:rsid w:val="004E3CB2"/>
    <w:rsid w:val="00525813"/>
    <w:rsid w:val="0052785D"/>
    <w:rsid w:val="0053513F"/>
    <w:rsid w:val="0056694B"/>
    <w:rsid w:val="00574405"/>
    <w:rsid w:val="00576D34"/>
    <w:rsid w:val="00584896"/>
    <w:rsid w:val="005854B0"/>
    <w:rsid w:val="005A0E21"/>
    <w:rsid w:val="005B3A34"/>
    <w:rsid w:val="005C6CE7"/>
    <w:rsid w:val="005D49AF"/>
    <w:rsid w:val="005E415C"/>
    <w:rsid w:val="005E71ED"/>
    <w:rsid w:val="005E7946"/>
    <w:rsid w:val="005F7475"/>
    <w:rsid w:val="00611299"/>
    <w:rsid w:val="00613B4D"/>
    <w:rsid w:val="00616365"/>
    <w:rsid w:val="00616F3B"/>
    <w:rsid w:val="006249A7"/>
    <w:rsid w:val="0064225B"/>
    <w:rsid w:val="006507F5"/>
    <w:rsid w:val="00671550"/>
    <w:rsid w:val="0067156F"/>
    <w:rsid w:val="006763F9"/>
    <w:rsid w:val="00683EE5"/>
    <w:rsid w:val="006949BC"/>
    <w:rsid w:val="006964EE"/>
    <w:rsid w:val="006B60B8"/>
    <w:rsid w:val="006D1229"/>
    <w:rsid w:val="006D372F"/>
    <w:rsid w:val="006D7A18"/>
    <w:rsid w:val="006E4474"/>
    <w:rsid w:val="00701388"/>
    <w:rsid w:val="0070183D"/>
    <w:rsid w:val="00702A06"/>
    <w:rsid w:val="00723B7F"/>
    <w:rsid w:val="00725861"/>
    <w:rsid w:val="00727F0D"/>
    <w:rsid w:val="0073393A"/>
    <w:rsid w:val="0073539D"/>
    <w:rsid w:val="00767B8A"/>
    <w:rsid w:val="00775481"/>
    <w:rsid w:val="007A233B"/>
    <w:rsid w:val="007B4863"/>
    <w:rsid w:val="007C65E6"/>
    <w:rsid w:val="007D406B"/>
    <w:rsid w:val="007D4407"/>
    <w:rsid w:val="007E1CA3"/>
    <w:rsid w:val="00812D62"/>
    <w:rsid w:val="00812F29"/>
    <w:rsid w:val="00821713"/>
    <w:rsid w:val="00827050"/>
    <w:rsid w:val="00827712"/>
    <w:rsid w:val="0083278B"/>
    <w:rsid w:val="00834538"/>
    <w:rsid w:val="0084048C"/>
    <w:rsid w:val="00850E89"/>
    <w:rsid w:val="00852807"/>
    <w:rsid w:val="008930E4"/>
    <w:rsid w:val="00893821"/>
    <w:rsid w:val="008A5CE6"/>
    <w:rsid w:val="008A7B9C"/>
    <w:rsid w:val="008B39FA"/>
    <w:rsid w:val="008B4754"/>
    <w:rsid w:val="008C4E48"/>
    <w:rsid w:val="008E6A7A"/>
    <w:rsid w:val="008F1038"/>
    <w:rsid w:val="008F7046"/>
    <w:rsid w:val="009005FC"/>
    <w:rsid w:val="00922E5A"/>
    <w:rsid w:val="00943315"/>
    <w:rsid w:val="00946C27"/>
    <w:rsid w:val="00971E3B"/>
    <w:rsid w:val="009A4F3D"/>
    <w:rsid w:val="009B3D80"/>
    <w:rsid w:val="009B495F"/>
    <w:rsid w:val="009B696B"/>
    <w:rsid w:val="009B7671"/>
    <w:rsid w:val="009C6AB3"/>
    <w:rsid w:val="009D5E5C"/>
    <w:rsid w:val="009E5BA1"/>
    <w:rsid w:val="009F056E"/>
    <w:rsid w:val="00A21024"/>
    <w:rsid w:val="00A24F3D"/>
    <w:rsid w:val="00A26DCD"/>
    <w:rsid w:val="00A314BB"/>
    <w:rsid w:val="00A32B7D"/>
    <w:rsid w:val="00A5596B"/>
    <w:rsid w:val="00A646B3"/>
    <w:rsid w:val="00A6730A"/>
    <w:rsid w:val="00A6739B"/>
    <w:rsid w:val="00A90413"/>
    <w:rsid w:val="00AA728C"/>
    <w:rsid w:val="00AB0A9C"/>
    <w:rsid w:val="00AB7119"/>
    <w:rsid w:val="00AB7D51"/>
    <w:rsid w:val="00AD5855"/>
    <w:rsid w:val="00AE7500"/>
    <w:rsid w:val="00AE7F87"/>
    <w:rsid w:val="00AF3542"/>
    <w:rsid w:val="00AF57ED"/>
    <w:rsid w:val="00AF5ABE"/>
    <w:rsid w:val="00B00415"/>
    <w:rsid w:val="00B03C2A"/>
    <w:rsid w:val="00B1000D"/>
    <w:rsid w:val="00B10134"/>
    <w:rsid w:val="00B16BFE"/>
    <w:rsid w:val="00B500E5"/>
    <w:rsid w:val="00B5374C"/>
    <w:rsid w:val="00B94B86"/>
    <w:rsid w:val="00B95AF1"/>
    <w:rsid w:val="00BA39BB"/>
    <w:rsid w:val="00BA3B3D"/>
    <w:rsid w:val="00BB7EEA"/>
    <w:rsid w:val="00BD1909"/>
    <w:rsid w:val="00BE5E16"/>
    <w:rsid w:val="00BE5FD1"/>
    <w:rsid w:val="00C06E05"/>
    <w:rsid w:val="00C14B14"/>
    <w:rsid w:val="00C17370"/>
    <w:rsid w:val="00C2054D"/>
    <w:rsid w:val="00C252EB"/>
    <w:rsid w:val="00C26EC0"/>
    <w:rsid w:val="00C56C77"/>
    <w:rsid w:val="00C84923"/>
    <w:rsid w:val="00CB75B1"/>
    <w:rsid w:val="00CB7B3E"/>
    <w:rsid w:val="00CC739D"/>
    <w:rsid w:val="00CF140E"/>
    <w:rsid w:val="00CF4D81"/>
    <w:rsid w:val="00D04468"/>
    <w:rsid w:val="00D1013F"/>
    <w:rsid w:val="00D31BDE"/>
    <w:rsid w:val="00D36257"/>
    <w:rsid w:val="00D4687E"/>
    <w:rsid w:val="00D53A12"/>
    <w:rsid w:val="00D74C45"/>
    <w:rsid w:val="00D850D9"/>
    <w:rsid w:val="00D87E2A"/>
    <w:rsid w:val="00DB0C43"/>
    <w:rsid w:val="00DB2A8C"/>
    <w:rsid w:val="00DE3354"/>
    <w:rsid w:val="00DE3A02"/>
    <w:rsid w:val="00DF7DCD"/>
    <w:rsid w:val="00E50B7D"/>
    <w:rsid w:val="00E80D70"/>
    <w:rsid w:val="00E904A1"/>
    <w:rsid w:val="00EB472A"/>
    <w:rsid w:val="00EB7D28"/>
    <w:rsid w:val="00EC0D0C"/>
    <w:rsid w:val="00ED4A2C"/>
    <w:rsid w:val="00EF43AC"/>
    <w:rsid w:val="00EF6940"/>
    <w:rsid w:val="00F2044A"/>
    <w:rsid w:val="00F20BFC"/>
    <w:rsid w:val="00F24D5F"/>
    <w:rsid w:val="00F61CC8"/>
    <w:rsid w:val="00F726C3"/>
    <w:rsid w:val="00F820CA"/>
    <w:rsid w:val="00F84FA9"/>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Caption">
    <w:name w:val="caption"/>
    <w:basedOn w:val="Normal"/>
    <w:next w:val="Normal"/>
    <w:unhideWhenUsed/>
    <w:qFormat/>
    <w:rsid w:val="00F84FA9"/>
    <w:pPr>
      <w:spacing w:after="200"/>
    </w:pPr>
    <w:rPr>
      <w:i/>
      <w:iCs/>
      <w:color w:val="1F497D" w:themeColor="text2"/>
      <w:sz w:val="18"/>
      <w:szCs w:val="18"/>
    </w:rPr>
  </w:style>
  <w:style w:type="paragraph" w:customStyle="1" w:styleId="paragraf">
    <w:name w:val="paragraf"/>
    <w:basedOn w:val="Normal"/>
    <w:link w:val="paragrafChar"/>
    <w:qFormat/>
    <w:rsid w:val="00A6730A"/>
    <w:pPr>
      <w:spacing w:after="120" w:line="360" w:lineRule="auto"/>
      <w:ind w:firstLine="397"/>
      <w:jc w:val="both"/>
    </w:pPr>
    <w:rPr>
      <w:rFonts w:eastAsiaTheme="minorHAnsi" w:cstheme="minorBidi"/>
      <w:color w:val="000000" w:themeColor="text1"/>
      <w:szCs w:val="22"/>
      <w:lang w:val="en-ID" w:eastAsia="en-ID"/>
    </w:rPr>
  </w:style>
  <w:style w:type="character" w:customStyle="1" w:styleId="paragrafChar">
    <w:name w:val="paragraf Char"/>
    <w:basedOn w:val="DefaultParagraphFont"/>
    <w:link w:val="paragraf"/>
    <w:rsid w:val="00A6730A"/>
    <w:rPr>
      <w:rFonts w:eastAsiaTheme="minorHAnsi" w:cstheme="minorBidi"/>
      <w:color w:val="000000" w:themeColor="text1"/>
      <w:sz w:val="24"/>
      <w:szCs w:val="22"/>
      <w:lang w:val="en-ID" w:eastAsia="en-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8510340">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hart" Target="charts/chart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chart" Target="charts/chart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Documents\1.%20Pasca%20Sarjana\file%20file%20penelitian\Analisa%20warna\analisa%20warna%20sebelum%20perendaman.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Documents\1.%20Pasca%20Sarjana\file%20file%20penelitian\Analisa%20warna\analisa%20warna%20sebelum%20perendaman.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721397706488332"/>
          <c:y val="6.0755155605549303E-2"/>
          <c:w val="0.76857681137604716"/>
          <c:h val="0.72633965836237691"/>
        </c:manualLayout>
      </c:layout>
      <c:scatterChart>
        <c:scatterStyle val="smoothMarker"/>
        <c:varyColors val="0"/>
        <c:ser>
          <c:idx val="0"/>
          <c:order val="0"/>
          <c:tx>
            <c:v>L*</c:v>
          </c:tx>
          <c:spPr>
            <a:ln w="19050" cap="rnd">
              <a:solidFill>
                <a:schemeClr val="bg1">
                  <a:lumMod val="50000"/>
                </a:schemeClr>
              </a:solidFill>
              <a:round/>
            </a:ln>
            <a:effectLst/>
          </c:spPr>
          <c:marker>
            <c:symbol val="circle"/>
            <c:size val="5"/>
            <c:spPr>
              <a:solidFill>
                <a:schemeClr val="bg1">
                  <a:lumMod val="50000"/>
                </a:schemeClr>
              </a:solidFill>
              <a:ln w="9525">
                <a:solidFill>
                  <a:schemeClr val="bg1">
                    <a:lumMod val="50000"/>
                  </a:schemeClr>
                </a:solidFill>
              </a:ln>
              <a:effectLst/>
            </c:spPr>
          </c:marker>
          <c:xVal>
            <c:numRef>
              <c:f>sebelum!$P$5:$P$11</c:f>
              <c:numCache>
                <c:formatCode>0.00</c:formatCode>
                <c:ptCount val="7"/>
                <c:pt idx="0">
                  <c:v>0.01</c:v>
                </c:pt>
                <c:pt idx="1">
                  <c:v>0.02</c:v>
                </c:pt>
                <c:pt idx="2">
                  <c:v>0.04</c:v>
                </c:pt>
                <c:pt idx="3">
                  <c:v>0.06</c:v>
                </c:pt>
                <c:pt idx="4">
                  <c:v>0.08</c:v>
                </c:pt>
                <c:pt idx="5">
                  <c:v>0.1</c:v>
                </c:pt>
                <c:pt idx="6">
                  <c:v>0.12</c:v>
                </c:pt>
              </c:numCache>
            </c:numRef>
          </c:xVal>
          <c:yVal>
            <c:numRef>
              <c:f>sebelum!$Q$5:$Q$11</c:f>
              <c:numCache>
                <c:formatCode>0.00</c:formatCode>
                <c:ptCount val="7"/>
                <c:pt idx="0">
                  <c:v>37.666666666666664</c:v>
                </c:pt>
                <c:pt idx="1">
                  <c:v>36.666666666666664</c:v>
                </c:pt>
                <c:pt idx="2">
                  <c:v>30.333333333333332</c:v>
                </c:pt>
                <c:pt idx="3">
                  <c:v>29.666666666666668</c:v>
                </c:pt>
                <c:pt idx="4">
                  <c:v>26.333333333333332</c:v>
                </c:pt>
                <c:pt idx="5">
                  <c:v>26.666666666666668</c:v>
                </c:pt>
                <c:pt idx="6">
                  <c:v>26.333333333333332</c:v>
                </c:pt>
              </c:numCache>
            </c:numRef>
          </c:yVal>
          <c:smooth val="1"/>
          <c:extLst>
            <c:ext xmlns:c16="http://schemas.microsoft.com/office/drawing/2014/chart" uri="{C3380CC4-5D6E-409C-BE32-E72D297353CC}">
              <c16:uniqueId val="{00000000-D3FA-4F9F-8528-E1FD72973542}"/>
            </c:ext>
          </c:extLst>
        </c:ser>
        <c:ser>
          <c:idx val="1"/>
          <c:order val="1"/>
          <c:tx>
            <c:v>a*</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sebelum!$P$5:$P$11</c:f>
              <c:numCache>
                <c:formatCode>0.00</c:formatCode>
                <c:ptCount val="7"/>
                <c:pt idx="0">
                  <c:v>0.01</c:v>
                </c:pt>
                <c:pt idx="1">
                  <c:v>0.02</c:v>
                </c:pt>
                <c:pt idx="2">
                  <c:v>0.04</c:v>
                </c:pt>
                <c:pt idx="3">
                  <c:v>0.06</c:v>
                </c:pt>
                <c:pt idx="4">
                  <c:v>0.08</c:v>
                </c:pt>
                <c:pt idx="5">
                  <c:v>0.1</c:v>
                </c:pt>
                <c:pt idx="6">
                  <c:v>0.12</c:v>
                </c:pt>
              </c:numCache>
            </c:numRef>
          </c:xVal>
          <c:yVal>
            <c:numRef>
              <c:f>sebelum!$R$5:$R$11</c:f>
              <c:numCache>
                <c:formatCode>0.00</c:formatCode>
                <c:ptCount val="7"/>
                <c:pt idx="0">
                  <c:v>47</c:v>
                </c:pt>
                <c:pt idx="1">
                  <c:v>46.666666666666664</c:v>
                </c:pt>
                <c:pt idx="2">
                  <c:v>46.666666666666664</c:v>
                </c:pt>
                <c:pt idx="3">
                  <c:v>46</c:v>
                </c:pt>
                <c:pt idx="4">
                  <c:v>44.666666666666664</c:v>
                </c:pt>
                <c:pt idx="5">
                  <c:v>44</c:v>
                </c:pt>
                <c:pt idx="6">
                  <c:v>44</c:v>
                </c:pt>
              </c:numCache>
            </c:numRef>
          </c:yVal>
          <c:smooth val="1"/>
          <c:extLst>
            <c:ext xmlns:c16="http://schemas.microsoft.com/office/drawing/2014/chart" uri="{C3380CC4-5D6E-409C-BE32-E72D297353CC}">
              <c16:uniqueId val="{00000001-D3FA-4F9F-8528-E1FD72973542}"/>
            </c:ext>
          </c:extLst>
        </c:ser>
        <c:ser>
          <c:idx val="2"/>
          <c:order val="2"/>
          <c:tx>
            <c:v>b*</c:v>
          </c:tx>
          <c:spPr>
            <a:ln w="19050" cap="rnd">
              <a:solidFill>
                <a:srgbClr val="FFC000"/>
              </a:solidFill>
              <a:round/>
            </a:ln>
            <a:effectLst/>
          </c:spPr>
          <c:marker>
            <c:symbol val="circle"/>
            <c:size val="5"/>
            <c:spPr>
              <a:solidFill>
                <a:srgbClr val="FFC000"/>
              </a:solidFill>
              <a:ln w="9525">
                <a:solidFill>
                  <a:srgbClr val="FFC000"/>
                </a:solidFill>
              </a:ln>
              <a:effectLst/>
            </c:spPr>
          </c:marker>
          <c:xVal>
            <c:numRef>
              <c:f>sebelum!$P$5:$P$11</c:f>
              <c:numCache>
                <c:formatCode>0.00</c:formatCode>
                <c:ptCount val="7"/>
                <c:pt idx="0">
                  <c:v>0.01</c:v>
                </c:pt>
                <c:pt idx="1">
                  <c:v>0.02</c:v>
                </c:pt>
                <c:pt idx="2">
                  <c:v>0.04</c:v>
                </c:pt>
                <c:pt idx="3">
                  <c:v>0.06</c:v>
                </c:pt>
                <c:pt idx="4">
                  <c:v>0.08</c:v>
                </c:pt>
                <c:pt idx="5">
                  <c:v>0.1</c:v>
                </c:pt>
                <c:pt idx="6">
                  <c:v>0.12</c:v>
                </c:pt>
              </c:numCache>
            </c:numRef>
          </c:xVal>
          <c:yVal>
            <c:numRef>
              <c:f>sebelum!$S$5:$S$11</c:f>
              <c:numCache>
                <c:formatCode>0.00</c:formatCode>
                <c:ptCount val="7"/>
                <c:pt idx="0">
                  <c:v>16</c:v>
                </c:pt>
                <c:pt idx="1">
                  <c:v>16.333333333333332</c:v>
                </c:pt>
                <c:pt idx="2">
                  <c:v>27.666666666666668</c:v>
                </c:pt>
                <c:pt idx="3">
                  <c:v>30</c:v>
                </c:pt>
                <c:pt idx="4">
                  <c:v>30</c:v>
                </c:pt>
                <c:pt idx="5">
                  <c:v>29.666666666666668</c:v>
                </c:pt>
                <c:pt idx="6">
                  <c:v>31</c:v>
                </c:pt>
              </c:numCache>
            </c:numRef>
          </c:yVal>
          <c:smooth val="1"/>
          <c:extLst>
            <c:ext xmlns:c16="http://schemas.microsoft.com/office/drawing/2014/chart" uri="{C3380CC4-5D6E-409C-BE32-E72D297353CC}">
              <c16:uniqueId val="{00000002-D3FA-4F9F-8528-E1FD72973542}"/>
            </c:ext>
          </c:extLst>
        </c:ser>
        <c:dLbls>
          <c:showLegendKey val="0"/>
          <c:showVal val="0"/>
          <c:showCatName val="0"/>
          <c:showSerName val="0"/>
          <c:showPercent val="0"/>
          <c:showBubbleSize val="0"/>
        </c:dLbls>
        <c:axId val="1088727552"/>
        <c:axId val="1088726832"/>
      </c:scatterChart>
      <c:valAx>
        <c:axId val="1088727552"/>
        <c:scaling>
          <c:orientation val="minMax"/>
          <c:max val="0.12000000000000001"/>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ID">
                    <a:solidFill>
                      <a:sysClr val="windowText" lastClr="000000"/>
                    </a:solidFill>
                  </a:rPr>
                  <a:t>BRN</a:t>
                </a:r>
                <a:r>
                  <a:rPr lang="en-ID" baseline="0">
                    <a:solidFill>
                      <a:sysClr val="windowText" lastClr="000000"/>
                    </a:solidFill>
                  </a:rPr>
                  <a:t> Red Cromophtal Pigment Concentration</a:t>
                </a:r>
                <a:r>
                  <a:rPr lang="en-ID">
                    <a:solidFill>
                      <a:sysClr val="windowText" lastClr="000000"/>
                    </a:solidFill>
                  </a:rPr>
                  <a:t> (C%)</a:t>
                </a:r>
              </a:p>
            </c:rich>
          </c:tx>
          <c:layout>
            <c:manualLayout>
              <c:xMode val="edge"/>
              <c:yMode val="edge"/>
              <c:x val="0.17090964590964589"/>
              <c:y val="0.91220046609218097"/>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088726832"/>
        <c:crosses val="autoZero"/>
        <c:crossBetween val="midCat"/>
      </c:valAx>
      <c:valAx>
        <c:axId val="1088726832"/>
        <c:scaling>
          <c:orientation val="minMax"/>
          <c:max val="70"/>
          <c:min val="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a:t>Dimensionless</a:t>
                </a:r>
                <a:r>
                  <a:rPr lang="en-GB" baseline="0"/>
                  <a:t> Colour Value</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GB"/>
            </a:p>
          </c:txPr>
        </c:title>
        <c:numFmt formatCode="0.00"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088727552"/>
        <c:crosses val="autoZero"/>
        <c:crossBetween val="midCat"/>
      </c:valAx>
      <c:spPr>
        <a:noFill/>
        <a:ln>
          <a:solidFill>
            <a:schemeClr val="tx1"/>
          </a:solidFill>
        </a:ln>
        <a:effectLst/>
      </c:spPr>
    </c:plotArea>
    <c:legend>
      <c:legendPos val="r"/>
      <c:layout>
        <c:manualLayout>
          <c:xMode val="edge"/>
          <c:yMode val="edge"/>
          <c:x val="0.77153480814898134"/>
          <c:y val="8.6606674165729286E-2"/>
          <c:w val="0.16285512387874593"/>
          <c:h val="0.1944701375206359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721182017945431"/>
          <c:y val="5.2183727034120733E-2"/>
          <c:w val="0.75444904779344446"/>
          <c:h val="0.84420052493438325"/>
        </c:manualLayout>
      </c:layout>
      <c:scatterChart>
        <c:scatterStyle val="smoothMarker"/>
        <c:varyColors val="0"/>
        <c:ser>
          <c:idx val="0"/>
          <c:order val="0"/>
          <c:tx>
            <c:v>L*</c:v>
          </c:tx>
          <c:spPr>
            <a:ln w="19050" cap="rnd">
              <a:solidFill>
                <a:schemeClr val="bg1">
                  <a:lumMod val="50000"/>
                </a:schemeClr>
              </a:solidFill>
              <a:round/>
            </a:ln>
            <a:effectLst/>
          </c:spPr>
          <c:marker>
            <c:symbol val="circle"/>
            <c:size val="5"/>
            <c:spPr>
              <a:solidFill>
                <a:schemeClr val="bg1">
                  <a:lumMod val="50000"/>
                </a:schemeClr>
              </a:solidFill>
              <a:ln w="9525">
                <a:solidFill>
                  <a:schemeClr val="bg1">
                    <a:lumMod val="50000"/>
                  </a:schemeClr>
                </a:solidFill>
              </a:ln>
              <a:effectLst/>
            </c:spPr>
          </c:marker>
          <c:xVal>
            <c:numRef>
              <c:f>sebelum!$P$5:$P$11</c:f>
              <c:numCache>
                <c:formatCode>0.00</c:formatCode>
                <c:ptCount val="7"/>
                <c:pt idx="0">
                  <c:v>0.01</c:v>
                </c:pt>
                <c:pt idx="1">
                  <c:v>0.02</c:v>
                </c:pt>
                <c:pt idx="2">
                  <c:v>0.04</c:v>
                </c:pt>
                <c:pt idx="3">
                  <c:v>0.06</c:v>
                </c:pt>
                <c:pt idx="4">
                  <c:v>0.08</c:v>
                </c:pt>
                <c:pt idx="5">
                  <c:v>0.1</c:v>
                </c:pt>
                <c:pt idx="6">
                  <c:v>0.12</c:v>
                </c:pt>
              </c:numCache>
            </c:numRef>
          </c:xVal>
          <c:yVal>
            <c:numRef>
              <c:f>sebelum!$Q$17:$Q$23</c:f>
              <c:numCache>
                <c:formatCode>0.00</c:formatCode>
                <c:ptCount val="7"/>
                <c:pt idx="0">
                  <c:v>65</c:v>
                </c:pt>
                <c:pt idx="1">
                  <c:v>50.333333333333336</c:v>
                </c:pt>
                <c:pt idx="2">
                  <c:v>44</c:v>
                </c:pt>
                <c:pt idx="3">
                  <c:v>41.666666666666664</c:v>
                </c:pt>
                <c:pt idx="4">
                  <c:v>39.333333333333336</c:v>
                </c:pt>
                <c:pt idx="5">
                  <c:v>38.333333333333336</c:v>
                </c:pt>
                <c:pt idx="6">
                  <c:v>37</c:v>
                </c:pt>
              </c:numCache>
            </c:numRef>
          </c:yVal>
          <c:smooth val="1"/>
          <c:extLst>
            <c:ext xmlns:c16="http://schemas.microsoft.com/office/drawing/2014/chart" uri="{C3380CC4-5D6E-409C-BE32-E72D297353CC}">
              <c16:uniqueId val="{00000000-95E3-42FB-B0D4-78E189451E22}"/>
            </c:ext>
          </c:extLst>
        </c:ser>
        <c:ser>
          <c:idx val="1"/>
          <c:order val="1"/>
          <c:tx>
            <c:v>a*</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sebelum!$P$5:$P$11</c:f>
              <c:numCache>
                <c:formatCode>0.00</c:formatCode>
                <c:ptCount val="7"/>
                <c:pt idx="0">
                  <c:v>0.01</c:v>
                </c:pt>
                <c:pt idx="1">
                  <c:v>0.02</c:v>
                </c:pt>
                <c:pt idx="2">
                  <c:v>0.04</c:v>
                </c:pt>
                <c:pt idx="3">
                  <c:v>0.06</c:v>
                </c:pt>
                <c:pt idx="4">
                  <c:v>0.08</c:v>
                </c:pt>
                <c:pt idx="5">
                  <c:v>0.1</c:v>
                </c:pt>
                <c:pt idx="6">
                  <c:v>0.12</c:v>
                </c:pt>
              </c:numCache>
            </c:numRef>
          </c:xVal>
          <c:yVal>
            <c:numRef>
              <c:f>sebelum!$R$17:$R$23</c:f>
              <c:numCache>
                <c:formatCode>0.00</c:formatCode>
                <c:ptCount val="7"/>
                <c:pt idx="0">
                  <c:v>7.666666666666667</c:v>
                </c:pt>
                <c:pt idx="1">
                  <c:v>25.333333333333332</c:v>
                </c:pt>
                <c:pt idx="2">
                  <c:v>36.666666666666664</c:v>
                </c:pt>
                <c:pt idx="3">
                  <c:v>39.333333333333336</c:v>
                </c:pt>
                <c:pt idx="4">
                  <c:v>43.333333333333336</c:v>
                </c:pt>
                <c:pt idx="5">
                  <c:v>45.666666666666664</c:v>
                </c:pt>
                <c:pt idx="6">
                  <c:v>48.666666666666664</c:v>
                </c:pt>
              </c:numCache>
            </c:numRef>
          </c:yVal>
          <c:smooth val="1"/>
          <c:extLst>
            <c:ext xmlns:c16="http://schemas.microsoft.com/office/drawing/2014/chart" uri="{C3380CC4-5D6E-409C-BE32-E72D297353CC}">
              <c16:uniqueId val="{00000001-95E3-42FB-B0D4-78E189451E22}"/>
            </c:ext>
          </c:extLst>
        </c:ser>
        <c:ser>
          <c:idx val="2"/>
          <c:order val="2"/>
          <c:tx>
            <c:v>b*</c:v>
          </c:tx>
          <c:spPr>
            <a:ln w="19050" cap="rnd">
              <a:solidFill>
                <a:srgbClr val="FFC000"/>
              </a:solidFill>
              <a:round/>
            </a:ln>
            <a:effectLst/>
          </c:spPr>
          <c:marker>
            <c:symbol val="circle"/>
            <c:size val="5"/>
            <c:spPr>
              <a:solidFill>
                <a:srgbClr val="FFC000"/>
              </a:solidFill>
              <a:ln w="9525">
                <a:solidFill>
                  <a:srgbClr val="FFC000"/>
                </a:solidFill>
              </a:ln>
              <a:effectLst/>
            </c:spPr>
          </c:marker>
          <c:xVal>
            <c:numRef>
              <c:f>sebelum!$P$5:$P$11</c:f>
              <c:numCache>
                <c:formatCode>0.00</c:formatCode>
                <c:ptCount val="7"/>
                <c:pt idx="0">
                  <c:v>0.01</c:v>
                </c:pt>
                <c:pt idx="1">
                  <c:v>0.02</c:v>
                </c:pt>
                <c:pt idx="2">
                  <c:v>0.04</c:v>
                </c:pt>
                <c:pt idx="3">
                  <c:v>0.06</c:v>
                </c:pt>
                <c:pt idx="4">
                  <c:v>0.08</c:v>
                </c:pt>
                <c:pt idx="5">
                  <c:v>0.1</c:v>
                </c:pt>
                <c:pt idx="6">
                  <c:v>0.12</c:v>
                </c:pt>
              </c:numCache>
            </c:numRef>
          </c:xVal>
          <c:yVal>
            <c:numRef>
              <c:f>sebelum!$S$17:$S$23</c:f>
              <c:numCache>
                <c:formatCode>0.00</c:formatCode>
                <c:ptCount val="7"/>
                <c:pt idx="0">
                  <c:v>-2.6666666666666665</c:v>
                </c:pt>
                <c:pt idx="1">
                  <c:v>4.333333333333333</c:v>
                </c:pt>
                <c:pt idx="2">
                  <c:v>11.666666666666666</c:v>
                </c:pt>
                <c:pt idx="3">
                  <c:v>13.333333333333334</c:v>
                </c:pt>
                <c:pt idx="4">
                  <c:v>17.666666666666668</c:v>
                </c:pt>
                <c:pt idx="5">
                  <c:v>20.333333333333332</c:v>
                </c:pt>
                <c:pt idx="6">
                  <c:v>25</c:v>
                </c:pt>
              </c:numCache>
            </c:numRef>
          </c:yVal>
          <c:smooth val="1"/>
          <c:extLst>
            <c:ext xmlns:c16="http://schemas.microsoft.com/office/drawing/2014/chart" uri="{C3380CC4-5D6E-409C-BE32-E72D297353CC}">
              <c16:uniqueId val="{00000002-95E3-42FB-B0D4-78E189451E22}"/>
            </c:ext>
          </c:extLst>
        </c:ser>
        <c:dLbls>
          <c:showLegendKey val="0"/>
          <c:showVal val="0"/>
          <c:showCatName val="0"/>
          <c:showSerName val="0"/>
          <c:showPercent val="0"/>
          <c:showBubbleSize val="0"/>
        </c:dLbls>
        <c:axId val="1088727552"/>
        <c:axId val="1088726832"/>
      </c:scatterChart>
      <c:valAx>
        <c:axId val="1088727552"/>
        <c:scaling>
          <c:orientation val="minMax"/>
          <c:max val="0.12000000000000001"/>
        </c:scaling>
        <c:delete val="0"/>
        <c:axPos val="b"/>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900" b="0" i="0" u="none" strike="noStrike" kern="1200" baseline="0">
                    <a:solidFill>
                      <a:sysClr val="windowText" lastClr="000000">
                        <a:lumMod val="65000"/>
                        <a:lumOff val="35000"/>
                      </a:sysClr>
                    </a:solidFill>
                    <a:latin typeface="Times New Roman" panose="02020603050405020304" pitchFamily="18" charset="0"/>
                    <a:ea typeface="+mn-ea"/>
                    <a:cs typeface="Times New Roman" panose="02020603050405020304" pitchFamily="18" charset="0"/>
                  </a:defRPr>
                </a:pPr>
                <a:r>
                  <a:rPr lang="en-ID" sz="900" b="0" i="0" u="none" strike="noStrike" kern="1200" baseline="0">
                    <a:solidFill>
                      <a:sysClr val="windowText" lastClr="000000"/>
                    </a:solidFill>
                    <a:latin typeface="Times New Roman" panose="02020603050405020304" pitchFamily="18" charset="0"/>
                    <a:cs typeface="Times New Roman" panose="02020603050405020304" pitchFamily="18" charset="0"/>
                  </a:rPr>
                  <a:t>Cadmium Sulfoselenida Pigment Concentration (C%)</a:t>
                </a:r>
              </a:p>
            </c:rich>
          </c:tx>
          <c:layout>
            <c:manualLayout>
              <c:xMode val="edge"/>
              <c:yMode val="edge"/>
              <c:x val="0.2200255499036072"/>
              <c:y val="0.91220013314662196"/>
            </c:manualLayout>
          </c:layout>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900" b="0" i="0" u="none" strike="noStrike" kern="1200" baseline="0">
                  <a:solidFill>
                    <a:sysClr val="windowText" lastClr="000000">
                      <a:lumMod val="65000"/>
                      <a:lumOff val="35000"/>
                    </a:sysClr>
                  </a:solidFill>
                  <a:latin typeface="Times New Roman" panose="02020603050405020304" pitchFamily="18" charset="0"/>
                  <a:ea typeface="+mn-ea"/>
                  <a:cs typeface="Times New Roman" panose="02020603050405020304" pitchFamily="18" charset="0"/>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88726832"/>
        <c:crosses val="autoZero"/>
        <c:crossBetween val="midCat"/>
      </c:valAx>
      <c:valAx>
        <c:axId val="1088726832"/>
        <c:scaling>
          <c:orientation val="minMax"/>
          <c:max val="70"/>
          <c:min val="-10"/>
        </c:scaling>
        <c:delete val="0"/>
        <c:axPos val="l"/>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a:t>Dimensionless</a:t>
                </a:r>
                <a:r>
                  <a:rPr lang="en-GB" baseline="0"/>
                  <a:t> Colour Value</a:t>
                </a:r>
                <a:endParaRPr lang="en-GB"/>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GB"/>
            </a:p>
          </c:txPr>
        </c:title>
        <c:numFmt formatCode="0.00"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88727552"/>
        <c:crosses val="autoZero"/>
        <c:crossBetween val="midCat"/>
      </c:valAx>
      <c:spPr>
        <a:noFill/>
        <a:ln>
          <a:solidFill>
            <a:schemeClr val="tx1"/>
          </a:solidFill>
        </a:ln>
        <a:effectLst/>
      </c:spPr>
    </c:plotArea>
    <c:legend>
      <c:legendPos val="r"/>
      <c:layout>
        <c:manualLayout>
          <c:xMode val="edge"/>
          <c:yMode val="edge"/>
          <c:x val="0.79962325505771958"/>
          <c:y val="5.0416447944007001E-2"/>
          <c:w val="0.14237405058880914"/>
          <c:h val="0.2001748496685141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 ma:contentTypeID="0x0101002B9087F36B1F6942A4F5BD898213B136" ma:contentTypeVersion="15" ma:contentTypeDescription="Buat sebuah dokumen baru." ma:contentTypeScope="" ma:versionID="844e75c72f137f8bc1dc8a2183cffcd3">
  <xsd:schema xmlns:xsd="http://www.w3.org/2001/XMLSchema" xmlns:xs="http://www.w3.org/2001/XMLSchema" xmlns:p="http://schemas.microsoft.com/office/2006/metadata/properties" xmlns:ns2="e35e8f33-f701-49c3-afec-383db490307d" xmlns:ns3="316af4a4-82ed-4c6b-8bee-df22d7971b42" targetNamespace="http://schemas.microsoft.com/office/2006/metadata/properties" ma:root="true" ma:fieldsID="7d9679ef2db9919466842d61a9340380" ns2:_="" ns3:_="">
    <xsd:import namespace="e35e8f33-f701-49c3-afec-383db490307d"/>
    <xsd:import namespace="316af4a4-82ed-4c6b-8bee-df22d7971b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3:SharedWithUsers" minOccurs="0"/>
                <xsd:element ref="ns3:SharedWithDetails" minOccurs="0"/>
                <xsd:element ref="ns2:MediaServiceObjectDetectorVersions" minOccurs="0"/>
                <xsd:element ref="ns2:MediaServiceDateTaken"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5e8f33-f701-49c3-afec-383db49030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Tag Gambar" ma:readOnly="false" ma:fieldId="{5cf76f15-5ced-4ddc-b409-7134ff3c332f}" ma:taxonomyMulti="true" ma:sspId="2c341d83-ad40-4bf4-9c06-e9132af74e08"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SearchProperties" ma:index="16"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16af4a4-82ed-4c6b-8bee-df22d7971b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5fbf8bb8-b5a3-420b-861a-945a0efb2c6d}" ma:internalName="TaxCatchAll" ma:showField="CatchAllData" ma:web="316af4a4-82ed-4c6b-8bee-df22d7971b42">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Dibagikan Denga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ibagikan Dengan Detail"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e Isi"/>
        <xsd:element ref="dc:title" minOccurs="0" maxOccurs="1" ma:index="4" ma:displayName="Judu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16af4a4-82ed-4c6b-8bee-df22d7971b42" xsi:nil="true"/>
    <lcf76f155ced4ddcb4097134ff3c332f xmlns="e35e8f33-f701-49c3-afec-383db490307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5FF78E-6118-415F-A0F6-D0551273E7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5e8f33-f701-49c3-afec-383db490307d"/>
    <ds:schemaRef ds:uri="316af4a4-82ed-4c6b-8bee-df22d7971b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 ds:uri="316af4a4-82ed-4c6b-8bee-df22d7971b42"/>
    <ds:schemaRef ds:uri="e35e8f33-f701-49c3-afec-383db490307d"/>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0</TotalTime>
  <Pages>7</Pages>
  <Words>2614</Words>
  <Characters>14901</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17481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Zeni Rahmawati</cp:lastModifiedBy>
  <cp:revision>2</cp:revision>
  <cp:lastPrinted>2025-09-22T03:33:00Z</cp:lastPrinted>
  <dcterms:created xsi:type="dcterms:W3CDTF">2025-10-02T06:31:00Z</dcterms:created>
  <dcterms:modified xsi:type="dcterms:W3CDTF">2025-10-02T06:31:00Z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0x0101002B9087F36B1F6942A4F5BD898213B136</vt:lpwstr>
  </property>
  <property fmtid="{D5CDD505-2E9C-101B-9397-08002B2CF9AE}" pid="3" name="GrammarlyDocumentId">
    <vt:lpwstr>7ca6e3b1ade1874a962431e99827fe024006f492b48f20220027e4068ba97f09</vt:lpwstr>
  </property>
  <property fmtid="{D5CDD505-2E9C-101B-9397-08002B2CF9AE}" pid="4" name="MediaServiceImageTags">
    <vt:lpwstr/>
  </property>
</Properties>
</file>