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406"/>
        <w:ind w:left="0"/>
        <w:jc w:val="left"/>
        <w:rPr>
          <w:sz w:val="36"/>
        </w:rPr>
      </w:pPr>
    </w:p>
    <w:p>
      <w:pPr>
        <w:pStyle w:val="Title"/>
      </w:pPr>
      <w:r>
        <w:rPr/>
        <w:t>Preparation</w:t>
      </w:r>
      <w:r>
        <w:rPr>
          <w:spacing w:val="-4"/>
        </w:rPr>
        <w:t> </w:t>
      </w:r>
      <w:r>
        <w:rPr/>
        <w:t>of</w:t>
      </w:r>
      <w:r>
        <w:rPr>
          <w:spacing w:val="-4"/>
        </w:rPr>
        <w:t> </w:t>
      </w:r>
      <w:r>
        <w:rPr/>
        <w:t>Ni</w:t>
      </w:r>
      <w:r>
        <w:rPr>
          <w:spacing w:val="-4"/>
        </w:rPr>
        <w:t> </w:t>
      </w:r>
      <w:r>
        <w:rPr/>
        <w:t>Catalyst</w:t>
      </w:r>
      <w:r>
        <w:rPr>
          <w:spacing w:val="-4"/>
        </w:rPr>
        <w:t> </w:t>
      </w:r>
      <w:r>
        <w:rPr/>
        <w:t>Supported</w:t>
      </w:r>
      <w:r>
        <w:rPr>
          <w:spacing w:val="-4"/>
        </w:rPr>
        <w:t> </w:t>
      </w:r>
      <w:r>
        <w:rPr/>
        <w:t>on</w:t>
      </w:r>
      <w:r>
        <w:rPr>
          <w:spacing w:val="-4"/>
        </w:rPr>
        <w:t> </w:t>
      </w:r>
      <w:r>
        <w:rPr/>
        <w:t>Green</w:t>
      </w:r>
      <w:r>
        <w:rPr>
          <w:spacing w:val="-5"/>
        </w:rPr>
        <w:t> </w:t>
      </w:r>
      <w:r>
        <w:rPr/>
        <w:t>SiO</w:t>
      </w:r>
      <w:r>
        <w:rPr>
          <w:vertAlign w:val="subscript"/>
        </w:rPr>
        <w:t>2</w:t>
      </w:r>
      <w:r>
        <w:rPr>
          <w:spacing w:val="-4"/>
          <w:vertAlign w:val="baseline"/>
        </w:rPr>
        <w:t> </w:t>
      </w:r>
      <w:r>
        <w:rPr>
          <w:vertAlign w:val="baseline"/>
        </w:rPr>
        <w:t>for Green Diesel Production from Sludge Oil</w:t>
      </w:r>
    </w:p>
    <w:p>
      <w:pPr>
        <w:spacing w:before="360"/>
        <w:ind w:left="0" w:right="0" w:firstLine="0"/>
        <w:jc w:val="center"/>
        <w:rPr>
          <w:sz w:val="28"/>
        </w:rPr>
      </w:pPr>
      <w:r>
        <w:rPr>
          <w:sz w:val="28"/>
        </w:rPr>
        <w:t>Yawo</w:t>
      </w:r>
      <w:r>
        <w:rPr>
          <w:spacing w:val="-6"/>
          <w:sz w:val="28"/>
        </w:rPr>
        <w:t> </w:t>
      </w:r>
      <w:r>
        <w:rPr>
          <w:sz w:val="28"/>
        </w:rPr>
        <w:t>Serge</w:t>
      </w:r>
      <w:r>
        <w:rPr>
          <w:spacing w:val="-4"/>
          <w:sz w:val="28"/>
        </w:rPr>
        <w:t> </w:t>
      </w:r>
      <w:r>
        <w:rPr>
          <w:sz w:val="28"/>
        </w:rPr>
        <w:t>Marcel</w:t>
      </w:r>
      <w:r>
        <w:rPr>
          <w:spacing w:val="-7"/>
          <w:sz w:val="28"/>
        </w:rPr>
        <w:t> </w:t>
      </w:r>
      <w:r>
        <w:rPr>
          <w:sz w:val="28"/>
        </w:rPr>
        <w:t>Ewoxo</w:t>
      </w:r>
      <w:r>
        <w:rPr>
          <w:sz w:val="28"/>
          <w:vertAlign w:val="superscript"/>
        </w:rPr>
        <w:t>1</w:t>
      </w:r>
      <w:r>
        <w:rPr>
          <w:spacing w:val="-3"/>
          <w:sz w:val="28"/>
          <w:vertAlign w:val="baseline"/>
        </w:rPr>
        <w:t> </w:t>
      </w:r>
      <w:r>
        <w:rPr>
          <w:sz w:val="28"/>
          <w:vertAlign w:val="baseline"/>
        </w:rPr>
        <w:t>and</w:t>
      </w:r>
      <w:r>
        <w:rPr>
          <w:spacing w:val="-4"/>
          <w:sz w:val="28"/>
          <w:vertAlign w:val="baseline"/>
        </w:rPr>
        <w:t> </w:t>
      </w:r>
      <w:r>
        <w:rPr>
          <w:sz w:val="28"/>
          <w:vertAlign w:val="baseline"/>
        </w:rPr>
        <w:t>Siti</w:t>
      </w:r>
      <w:r>
        <w:rPr>
          <w:spacing w:val="-6"/>
          <w:sz w:val="28"/>
          <w:vertAlign w:val="baseline"/>
        </w:rPr>
        <w:t> </w:t>
      </w:r>
      <w:r>
        <w:rPr>
          <w:sz w:val="28"/>
          <w:vertAlign w:val="baseline"/>
        </w:rPr>
        <w:t>Zullaikah</w:t>
      </w:r>
      <w:r>
        <w:rPr>
          <w:sz w:val="28"/>
          <w:vertAlign w:val="superscript"/>
        </w:rPr>
        <w:t>2,</w:t>
      </w:r>
      <w:r>
        <w:rPr>
          <w:spacing w:val="-24"/>
          <w:sz w:val="28"/>
          <w:vertAlign w:val="baseline"/>
        </w:rPr>
        <w:t> </w:t>
      </w:r>
      <w:r>
        <w:rPr>
          <w:spacing w:val="-5"/>
          <w:sz w:val="28"/>
          <w:vertAlign w:val="superscript"/>
        </w:rPr>
        <w:t>a)</w:t>
      </w:r>
    </w:p>
    <w:p>
      <w:pPr>
        <w:pStyle w:val="BodyText"/>
        <w:spacing w:before="38"/>
        <w:ind w:left="0"/>
        <w:jc w:val="left"/>
        <w:rPr>
          <w:sz w:val="28"/>
        </w:rPr>
      </w:pPr>
    </w:p>
    <w:p>
      <w:pPr>
        <w:spacing w:before="0"/>
        <w:ind w:left="0" w:right="1" w:firstLine="0"/>
        <w:jc w:val="center"/>
        <w:rPr>
          <w:i/>
          <w:sz w:val="20"/>
        </w:rPr>
      </w:pPr>
      <w:r>
        <w:rPr>
          <w:i/>
          <w:sz w:val="20"/>
          <w:vertAlign w:val="superscript"/>
        </w:rPr>
        <w:t>1,2</w:t>
      </w:r>
      <w:r>
        <w:rPr>
          <w:i/>
          <w:spacing w:val="-17"/>
          <w:sz w:val="20"/>
          <w:vertAlign w:val="baseline"/>
        </w:rPr>
        <w:t> </w:t>
      </w:r>
      <w:r>
        <w:rPr>
          <w:i/>
          <w:sz w:val="20"/>
          <w:vertAlign w:val="baseline"/>
        </w:rPr>
        <w:t>Department</w:t>
      </w:r>
      <w:r>
        <w:rPr>
          <w:i/>
          <w:spacing w:val="-11"/>
          <w:sz w:val="20"/>
          <w:vertAlign w:val="baseline"/>
        </w:rPr>
        <w:t> </w:t>
      </w:r>
      <w:r>
        <w:rPr>
          <w:i/>
          <w:sz w:val="20"/>
          <w:vertAlign w:val="baseline"/>
        </w:rPr>
        <w:t>of</w:t>
      </w:r>
      <w:r>
        <w:rPr>
          <w:i/>
          <w:spacing w:val="-6"/>
          <w:sz w:val="20"/>
          <w:vertAlign w:val="baseline"/>
        </w:rPr>
        <w:t> </w:t>
      </w:r>
      <w:r>
        <w:rPr>
          <w:i/>
          <w:sz w:val="20"/>
          <w:vertAlign w:val="baseline"/>
        </w:rPr>
        <w:t>Chemical</w:t>
      </w:r>
      <w:r>
        <w:rPr>
          <w:i/>
          <w:spacing w:val="-6"/>
          <w:sz w:val="20"/>
          <w:vertAlign w:val="baseline"/>
        </w:rPr>
        <w:t> </w:t>
      </w:r>
      <w:r>
        <w:rPr>
          <w:i/>
          <w:sz w:val="20"/>
          <w:vertAlign w:val="baseline"/>
        </w:rPr>
        <w:t>Engineering,</w:t>
      </w:r>
      <w:r>
        <w:rPr>
          <w:i/>
          <w:spacing w:val="-6"/>
          <w:sz w:val="20"/>
          <w:vertAlign w:val="baseline"/>
        </w:rPr>
        <w:t> </w:t>
      </w:r>
      <w:r>
        <w:rPr>
          <w:i/>
          <w:sz w:val="20"/>
          <w:vertAlign w:val="baseline"/>
        </w:rPr>
        <w:t>Institut</w:t>
      </w:r>
      <w:r>
        <w:rPr>
          <w:i/>
          <w:spacing w:val="-6"/>
          <w:sz w:val="20"/>
          <w:vertAlign w:val="baseline"/>
        </w:rPr>
        <w:t> </w:t>
      </w:r>
      <w:r>
        <w:rPr>
          <w:i/>
          <w:sz w:val="20"/>
          <w:vertAlign w:val="baseline"/>
        </w:rPr>
        <w:t>Teknologi</w:t>
      </w:r>
      <w:r>
        <w:rPr>
          <w:i/>
          <w:spacing w:val="-7"/>
          <w:sz w:val="20"/>
          <w:vertAlign w:val="baseline"/>
        </w:rPr>
        <w:t> </w:t>
      </w:r>
      <w:r>
        <w:rPr>
          <w:i/>
          <w:sz w:val="20"/>
          <w:vertAlign w:val="baseline"/>
        </w:rPr>
        <w:t>Sepuluh</w:t>
      </w:r>
      <w:r>
        <w:rPr>
          <w:i/>
          <w:spacing w:val="-4"/>
          <w:sz w:val="20"/>
          <w:vertAlign w:val="baseline"/>
        </w:rPr>
        <w:t> </w:t>
      </w:r>
      <w:r>
        <w:rPr>
          <w:i/>
          <w:sz w:val="20"/>
          <w:vertAlign w:val="baseline"/>
        </w:rPr>
        <w:t>Nopember</w:t>
      </w:r>
      <w:r>
        <w:rPr>
          <w:i/>
          <w:spacing w:val="-7"/>
          <w:sz w:val="20"/>
          <w:vertAlign w:val="baseline"/>
        </w:rPr>
        <w:t> </w:t>
      </w:r>
      <w:r>
        <w:rPr>
          <w:i/>
          <w:sz w:val="20"/>
          <w:vertAlign w:val="baseline"/>
        </w:rPr>
        <w:t>(ITS),</w:t>
      </w:r>
      <w:r>
        <w:rPr>
          <w:i/>
          <w:spacing w:val="2"/>
          <w:sz w:val="20"/>
          <w:vertAlign w:val="baseline"/>
        </w:rPr>
        <w:t> </w:t>
      </w:r>
      <w:r>
        <w:rPr>
          <w:i/>
          <w:sz w:val="20"/>
          <w:vertAlign w:val="baseline"/>
        </w:rPr>
        <w:t>Kampus</w:t>
      </w:r>
      <w:r>
        <w:rPr>
          <w:i/>
          <w:spacing w:val="-7"/>
          <w:sz w:val="20"/>
          <w:vertAlign w:val="baseline"/>
        </w:rPr>
        <w:t> </w:t>
      </w:r>
      <w:r>
        <w:rPr>
          <w:i/>
          <w:sz w:val="20"/>
          <w:vertAlign w:val="baseline"/>
        </w:rPr>
        <w:t>ITS,</w:t>
      </w:r>
      <w:r>
        <w:rPr>
          <w:i/>
          <w:spacing w:val="-5"/>
          <w:sz w:val="20"/>
          <w:vertAlign w:val="baseline"/>
        </w:rPr>
        <w:t> </w:t>
      </w:r>
      <w:r>
        <w:rPr>
          <w:i/>
          <w:spacing w:val="-2"/>
          <w:sz w:val="20"/>
          <w:vertAlign w:val="baseline"/>
        </w:rPr>
        <w:t>Keputih,</w:t>
      </w:r>
    </w:p>
    <w:p>
      <w:pPr>
        <w:spacing w:before="1"/>
        <w:ind w:left="0" w:right="1" w:firstLine="0"/>
        <w:jc w:val="center"/>
        <w:rPr>
          <w:i/>
          <w:sz w:val="20"/>
        </w:rPr>
      </w:pPr>
      <w:r>
        <w:rPr>
          <w:i/>
          <w:sz w:val="20"/>
        </w:rPr>
        <w:t>Surabaya,</w:t>
      </w:r>
      <w:r>
        <w:rPr>
          <w:i/>
          <w:spacing w:val="-7"/>
          <w:sz w:val="20"/>
        </w:rPr>
        <w:t> </w:t>
      </w:r>
      <w:r>
        <w:rPr>
          <w:i/>
          <w:sz w:val="20"/>
        </w:rPr>
        <w:t>60111</w:t>
      </w:r>
      <w:r>
        <w:rPr>
          <w:i/>
          <w:spacing w:val="-5"/>
          <w:sz w:val="20"/>
        </w:rPr>
        <w:t> </w:t>
      </w:r>
      <w:r>
        <w:rPr>
          <w:i/>
          <w:spacing w:val="-2"/>
          <w:sz w:val="20"/>
        </w:rPr>
        <w:t>Indonesia</w:t>
      </w:r>
    </w:p>
    <w:p>
      <w:pPr>
        <w:pStyle w:val="BodyText"/>
        <w:spacing w:before="47"/>
        <w:ind w:left="0"/>
        <w:jc w:val="left"/>
        <w:rPr>
          <w:i/>
        </w:rPr>
      </w:pPr>
    </w:p>
    <w:p>
      <w:pPr>
        <w:pStyle w:val="BodyText"/>
        <w:ind w:left="3212"/>
        <w:jc w:val="left"/>
      </w:pPr>
      <w:r>
        <w:rPr>
          <w:vertAlign w:val="superscript"/>
        </w:rPr>
        <w:t>a)</w:t>
      </w:r>
      <w:r>
        <w:rPr>
          <w:spacing w:val="-17"/>
          <w:vertAlign w:val="baseline"/>
        </w:rPr>
        <w:t> </w:t>
      </w:r>
      <w:r>
        <w:rPr>
          <w:vertAlign w:val="baseline"/>
        </w:rPr>
        <w:t>Corresponding</w:t>
      </w:r>
      <w:r>
        <w:rPr>
          <w:spacing w:val="-11"/>
          <w:vertAlign w:val="baseline"/>
        </w:rPr>
        <w:t> </w:t>
      </w:r>
      <w:r>
        <w:rPr>
          <w:vertAlign w:val="baseline"/>
        </w:rPr>
        <w:t>author:</w:t>
      </w:r>
      <w:r>
        <w:rPr>
          <w:spacing w:val="-4"/>
          <w:vertAlign w:val="baseline"/>
        </w:rPr>
        <w:t> </w:t>
      </w:r>
      <w:hyperlink r:id="rId5">
        <w:r>
          <w:rPr>
            <w:color w:val="0000FF"/>
            <w:spacing w:val="-2"/>
            <w:u w:val="single" w:color="0000FF"/>
            <w:vertAlign w:val="baseline"/>
          </w:rPr>
          <w:t>s.zullaikah@its.ac.id</w:t>
        </w:r>
      </w:hyperlink>
    </w:p>
    <w:p>
      <w:pPr>
        <w:pStyle w:val="BodyText"/>
        <w:spacing w:before="153"/>
        <w:ind w:left="0"/>
        <w:jc w:val="left"/>
        <w:rPr>
          <w:sz w:val="18"/>
        </w:rPr>
      </w:pPr>
    </w:p>
    <w:p>
      <w:pPr>
        <w:spacing w:line="240" w:lineRule="auto" w:before="0"/>
        <w:ind w:left="648" w:right="643" w:firstLine="0"/>
        <w:jc w:val="both"/>
        <w:rPr>
          <w:sz w:val="18"/>
        </w:rPr>
      </w:pPr>
      <w:r>
        <w:rPr>
          <w:b/>
          <w:sz w:val="18"/>
        </w:rPr>
        <w:t>Abstract</w:t>
      </w:r>
      <w:r>
        <w:rPr>
          <w:sz w:val="18"/>
        </w:rPr>
        <w:t>. The current dominance of food-based feedstocks in green diesel production has a detrimental impact on the food industry, resulting in an economic deficit. To address this challenge, alternative feedstocks, such as sludge from downstream processing of crude palm oil containing 36.5% oil, offer a promising solution. The sludge oil contains</w:t>
      </w:r>
      <w:r>
        <w:rPr>
          <w:spacing w:val="40"/>
          <w:sz w:val="18"/>
        </w:rPr>
        <w:t> </w:t>
      </w:r>
      <w:r>
        <w:rPr>
          <w:sz w:val="18"/>
        </w:rPr>
        <w:t>various chemical compounds, including biodiesel, triglycerides, free fatty acids, non-polar compounds, and some polar compounds, which can be converted into green diesel. Therefore, the objective of this study is to investigate the use of sludge oil from downstream processing of crude palm oil for green diesel production via catalytic hydrotreating, with a particular focus on the synthesis, properties, and performance of Ni/SiO catalysts. A response surface methodology (RSM) technique with a Box-Behnken experimental design (BBD) was employed to assess and optimize hydrocarbon yield, considering variables such as reaction temperature (250-300°C), reaction time (3-5 hours) and catalyst loading (3- </w:t>
      </w:r>
      <w:r>
        <w:rPr>
          <w:position w:val="1"/>
          <w:sz w:val="18"/>
        </w:rPr>
        <w:t>7g). The synthesis of silica (SiO</w:t>
      </w:r>
      <w:r>
        <w:rPr>
          <w:sz w:val="12"/>
        </w:rPr>
        <w:t>2</w:t>
      </w:r>
      <w:r>
        <w:rPr>
          <w:position w:val="1"/>
          <w:sz w:val="18"/>
        </w:rPr>
        <w:t>) with 91.8% purity and an amorphous phase was successfully achieved through rice </w:t>
      </w:r>
      <w:r>
        <w:rPr>
          <w:sz w:val="18"/>
        </w:rPr>
        <w:t>husk ash's calcination and acid leaching processes, which was subsequently employed as a support for nickel (Ni) </w:t>
      </w:r>
      <w:r>
        <w:rPr>
          <w:position w:val="1"/>
          <w:sz w:val="18"/>
        </w:rPr>
        <w:t>catalysts. A 7.44% weight Ni catalyst was successfully impregnated into SiO</w:t>
      </w:r>
      <w:r>
        <w:rPr>
          <w:sz w:val="12"/>
        </w:rPr>
        <w:t>2</w:t>
      </w:r>
      <w:r>
        <w:rPr>
          <w:position w:val="1"/>
          <w:sz w:val="18"/>
        </w:rPr>
        <w:t>. The hydrodeoxygenation (HDO) process was conducted under the following conditions: 275°C, 4 h, 5 g of catalyst, and 5 MPa H</w:t>
      </w:r>
      <w:r>
        <w:rPr>
          <w:sz w:val="12"/>
        </w:rPr>
        <w:t>2</w:t>
      </w:r>
      <w:r>
        <w:rPr>
          <w:spacing w:val="21"/>
          <w:sz w:val="12"/>
        </w:rPr>
        <w:t> </w:t>
      </w:r>
      <w:r>
        <w:rPr>
          <w:position w:val="1"/>
          <w:sz w:val="18"/>
        </w:rPr>
        <w:t>gas. The results indicated that 89.62% of the hydrocarbons produced were diesel-like hydrocarbons (C</w:t>
      </w:r>
      <w:r>
        <w:rPr>
          <w:sz w:val="12"/>
        </w:rPr>
        <w:t>15</w:t>
      </w:r>
      <w:r>
        <w:rPr>
          <w:position w:val="1"/>
          <w:sz w:val="18"/>
        </w:rPr>
        <w:t>-C</w:t>
      </w:r>
      <w:r>
        <w:rPr>
          <w:sz w:val="12"/>
        </w:rPr>
        <w:t>18</w:t>
      </w:r>
      <w:r>
        <w:rPr>
          <w:position w:val="1"/>
          <w:sz w:val="18"/>
        </w:rPr>
        <w:t>), with 16.81% being lighter hydrocarbons (C</w:t>
      </w:r>
      <w:r>
        <w:rPr>
          <w:sz w:val="12"/>
        </w:rPr>
        <w:t>12</w:t>
      </w:r>
      <w:r>
        <w:rPr>
          <w:position w:val="1"/>
          <w:sz w:val="18"/>
        </w:rPr>
        <w:t>-C</w:t>
      </w:r>
      <w:r>
        <w:rPr>
          <w:sz w:val="12"/>
        </w:rPr>
        <w:t>14</w:t>
      </w:r>
      <w:r>
        <w:rPr>
          <w:position w:val="1"/>
          <w:sz w:val="18"/>
        </w:rPr>
        <w:t>) through the HDO pathway. The results of the response</w:t>
      </w:r>
      <w:r>
        <w:rPr>
          <w:spacing w:val="-1"/>
          <w:position w:val="1"/>
          <w:sz w:val="18"/>
        </w:rPr>
        <w:t> </w:t>
      </w:r>
      <w:r>
        <w:rPr>
          <w:position w:val="1"/>
          <w:sz w:val="18"/>
        </w:rPr>
        <w:t>surface methodology with Box–Behnken design (RSM- </w:t>
      </w:r>
      <w:r>
        <w:rPr>
          <w:sz w:val="18"/>
        </w:rPr>
        <w:t>BBD) indicated that the interaction between reaction time and catalyst loading significantly influenced the reaction activity. The model predicted that the optimal conditions for hydrocarbon yield were a reaction temperature of 261°C, a reaction time of 3.67 h, and a catalyst loading of 4.86 g.</w:t>
      </w:r>
    </w:p>
    <w:p>
      <w:pPr>
        <w:pStyle w:val="BodyText"/>
        <w:spacing w:before="151"/>
        <w:ind w:left="0"/>
        <w:jc w:val="left"/>
        <w:rPr>
          <w:sz w:val="18"/>
        </w:rPr>
      </w:pPr>
    </w:p>
    <w:p>
      <w:pPr>
        <w:pStyle w:val="Heading1"/>
      </w:pPr>
      <w:r>
        <w:rPr>
          <w:spacing w:val="-2"/>
        </w:rPr>
        <w:t>INTRODUCTION</w:t>
      </w:r>
    </w:p>
    <w:p>
      <w:pPr>
        <w:pStyle w:val="BodyText"/>
        <w:spacing w:before="242"/>
        <w:ind w:right="355" w:firstLine="283"/>
      </w:pPr>
      <w:r>
        <w:rPr/>
        <w:t>The utilization of fossil fuels is not conducive to long-term social progress due to their harmful effects on the ecology, environmental protection, and non-renewable nature [1]. As a direct consequence of the excessive extraction of fossil fuels, the accessibility of energy and the condition of surrounding ecosystems have reached a critical point of concern [2]. The mounting environmental impact of fossil fuel usage, coupled with governmental initiatives aimed at environmental protection,</w:t>
      </w:r>
      <w:r>
        <w:rPr>
          <w:spacing w:val="-1"/>
        </w:rPr>
        <w:t> </w:t>
      </w:r>
      <w:r>
        <w:rPr/>
        <w:t>has increased interest in adopting environmentally friendly fuels. This interest is driven by the desire to reduce CO2 and other greenhouse gas emissions, thereby reducing the adverse impact on the environment [3]. Green diesel is a hydrocarbon that is environmentally friendly and has the potential</w:t>
      </w:r>
      <w:r>
        <w:rPr>
          <w:spacing w:val="40"/>
        </w:rPr>
        <w:t> </w:t>
      </w:r>
      <w:r>
        <w:rPr/>
        <w:t>to replace petroleum diesel.</w:t>
      </w:r>
    </w:p>
    <w:p>
      <w:pPr>
        <w:pStyle w:val="BodyText"/>
        <w:ind w:right="355" w:firstLine="283"/>
      </w:pPr>
      <w:r>
        <w:rPr/>
        <w:t>Green diesel production can utilize a multitude of feedstocks, including vegetable oils, animal lipids, used cooking oil, microalgae, and lignocellulosic biomass. This latter material, consisting mainly of triglycerides, is particularly interesting due to its high carbon content. It is believed to be a promising attribute for biofuels, given its potential to reduce</w:t>
      </w:r>
      <w:r>
        <w:rPr>
          <w:spacing w:val="-1"/>
        </w:rPr>
        <w:t> </w:t>
      </w:r>
      <w:r>
        <w:rPr/>
        <w:t>carbon footprint.</w:t>
      </w:r>
      <w:r>
        <w:rPr>
          <w:spacing w:val="-1"/>
        </w:rPr>
        <w:t> </w:t>
      </w:r>
      <w:r>
        <w:rPr/>
        <w:t>The</w:t>
      </w:r>
      <w:r>
        <w:rPr>
          <w:spacing w:val="-1"/>
        </w:rPr>
        <w:t> </w:t>
      </w:r>
      <w:r>
        <w:rPr/>
        <w:t>selection of a</w:t>
      </w:r>
      <w:r>
        <w:rPr>
          <w:spacing w:val="-1"/>
        </w:rPr>
        <w:t> </w:t>
      </w:r>
      <w:r>
        <w:rPr/>
        <w:t>suitable</w:t>
      </w:r>
      <w:r>
        <w:rPr>
          <w:spacing w:val="-1"/>
        </w:rPr>
        <w:t> </w:t>
      </w:r>
      <w:r>
        <w:rPr/>
        <w:t>feedstock depends</w:t>
      </w:r>
      <w:r>
        <w:rPr>
          <w:spacing w:val="-1"/>
        </w:rPr>
        <w:t> </w:t>
      </w:r>
      <w:r>
        <w:rPr/>
        <w:t>upon several factors,</w:t>
      </w:r>
      <w:r>
        <w:rPr>
          <w:spacing w:val="-1"/>
        </w:rPr>
        <w:t> </w:t>
      </w:r>
      <w:r>
        <w:rPr/>
        <w:t>including its availability, cost, and environmental impact. Renewable feedstocks, such as vegetable oils and microalgae, do not release greenhouse gases during combustion and represent more environmentally friendly alternatives to petroleum </w:t>
      </w:r>
      <w:r>
        <w:rPr>
          <w:spacing w:val="-2"/>
        </w:rPr>
        <w:t>diesel.</w:t>
      </w:r>
    </w:p>
    <w:p>
      <w:pPr>
        <w:pStyle w:val="BodyText"/>
        <w:spacing w:after="0"/>
        <w:sectPr>
          <w:type w:val="continuous"/>
          <w:pgSz w:w="12240" w:h="15840"/>
          <w:pgMar w:top="1820" w:bottom="280" w:left="1080" w:right="1080"/>
        </w:sectPr>
      </w:pPr>
    </w:p>
    <w:p>
      <w:pPr>
        <w:pStyle w:val="BodyText"/>
        <w:spacing w:before="80"/>
        <w:ind w:right="356" w:firstLine="283"/>
      </w:pPr>
      <w:r>
        <w:rPr/>
        <w:t>Nevertheless, the cost of producing diesel from renewable sources is currently higher than the cost of producing diesel from petroleum. Despite the challenges above, the production of diesel from renewable feedstocks represents an attractive and potentially profitable technology with the potential to reduce greenhouse gas emissions and</w:t>
      </w:r>
      <w:r>
        <w:rPr>
          <w:spacing w:val="40"/>
        </w:rPr>
        <w:t> </w:t>
      </w:r>
      <w:r>
        <w:rPr/>
        <w:t>improve air quality [4].</w:t>
      </w:r>
      <w:r>
        <w:rPr>
          <w:spacing w:val="40"/>
        </w:rPr>
        <w:t> </w:t>
      </w:r>
      <w:r>
        <w:rPr/>
        <w:t>Another potential and economically viable feedstock for producing environmentally</w:t>
      </w:r>
      <w:r>
        <w:rPr>
          <w:spacing w:val="40"/>
        </w:rPr>
        <w:t> </w:t>
      </w:r>
      <w:r>
        <w:rPr/>
        <w:t>friendly diesel fuel is industrial sludge derived from the crude palm oil processing industry. One advantage of this feedstock is that it does not impact the economy or food consumption but reduces pollution. Annually, Indonesia generates 67.8 million tons of waste, some of which originates from the industrial sector. A significant number of industries in Indonesia continue to grapple with the effective management of their waste. The majority of these companies' sewage treatment facilities generate approximately 183 tons of sludge per week. These industries reimburse a third party IDR 2,400 per kilogram to facilitate the disposal of the sludge, thereby preventing the accumulation of sludge within the industry. In addition to the</w:t>
      </w:r>
      <w:r>
        <w:rPr>
          <w:spacing w:val="40"/>
        </w:rPr>
        <w:t> </w:t>
      </w:r>
      <w:r>
        <w:rPr/>
        <w:t>issues above about the feedstock, this palm oil industry sludge represents an optimal feedstock for producing environmentally friendly green diesel through a hydrotreating process. The production of eco-friendly green diesel will reduce diesel demand and provide a solution to the sludge problem currently faced by the palm oil industry.</w:t>
      </w:r>
    </w:p>
    <w:p>
      <w:pPr>
        <w:pStyle w:val="BodyText"/>
        <w:ind w:right="354" w:firstLine="283"/>
      </w:pPr>
      <w:r>
        <w:rPr/>
        <w:t>In comparison to pyrolysis, which is conducted at temperatures between 400 and 600 degrees Celsius, triglyceride hydrotreatment is a more effective process due to its higher carbon source utilization ratio [5]. Hydrotreatment converts triglycerides into green diesel with low oxygen content and high cold flow properties. Green diesel processes high cetane numbers (85-99), which are even higher than those of fossil diesel (45-55) [6].</w:t>
      </w:r>
    </w:p>
    <w:p>
      <w:pPr>
        <w:pStyle w:val="BodyText"/>
        <w:spacing w:before="2"/>
        <w:ind w:right="354" w:firstLine="283"/>
        <w:rPr>
          <w:position w:val="2"/>
        </w:rPr>
      </w:pPr>
      <w:r>
        <w:rPr/>
        <w:t>The hydrotreatment process is comprised of three fundamental steps. The initial stage of the process is the hydrogenation of unsaturated triglycerides to form saturated triglycerides. The second stage follows the hydrogenolysis of the saturated triglycerides to produce fatty acids. The final step is the deoxygenation of intermediate fatty acids to form diesel-like hydrocarbons via three main pathways: decarbonylation (DCO), </w:t>
      </w:r>
      <w:r>
        <w:rPr>
          <w:position w:val="2"/>
        </w:rPr>
        <w:t>decarboxylation (DCO</w:t>
      </w:r>
      <w:r>
        <w:rPr>
          <w:sz w:val="13"/>
        </w:rPr>
        <w:t>2</w:t>
      </w:r>
      <w:r>
        <w:rPr>
          <w:position w:val="2"/>
        </w:rPr>
        <w:t>), and hydrodeoxygenation (HDO) [7].</w:t>
      </w:r>
    </w:p>
    <w:p>
      <w:pPr>
        <w:pStyle w:val="BodyText"/>
        <w:ind w:right="355" w:firstLine="333"/>
      </w:pPr>
      <w:r>
        <w:rPr/>
        <w:t>The efficacy of water treatment processes is contingent upon the selection of catalysts and the reaction conditions. It is noteworthy that two distinct categories of catalysts have attracted significant research attention for triglyceride hydrotreatment: noble metal catalysts, including palladium (Pd) and platinum (Pt), and transition metal catalysts, such as nickel (Ni) and molybdenum (Mo). Veriansyah et al. researched the efficacy of diverse catalysts, including NiMo, CoMo, Pd,</w:t>
      </w:r>
      <w:r>
        <w:rPr>
          <w:spacing w:val="-2"/>
        </w:rPr>
        <w:t> </w:t>
      </w:r>
      <w:r>
        <w:rPr/>
        <w:t>Ni, Pt, and Ru, in influencing the hydroprocessing of soybean oil to produce renewable diesel</w:t>
      </w:r>
      <w:r>
        <w:rPr>
          <w:spacing w:val="-1"/>
        </w:rPr>
        <w:t> </w:t>
      </w:r>
      <w:r>
        <w:rPr/>
        <w:t>[8].</w:t>
      </w:r>
      <w:r>
        <w:rPr>
          <w:spacing w:val="-2"/>
        </w:rPr>
        <w:t> </w:t>
      </w:r>
      <w:r>
        <w:rPr/>
        <w:t>Similarly,</w:t>
      </w:r>
      <w:r>
        <w:rPr>
          <w:spacing w:val="-1"/>
        </w:rPr>
        <w:t> </w:t>
      </w:r>
      <w:r>
        <w:rPr/>
        <w:t>Silva</w:t>
      </w:r>
      <w:r>
        <w:rPr>
          <w:spacing w:val="-3"/>
        </w:rPr>
        <w:t> </w:t>
      </w:r>
      <w:r>
        <w:rPr/>
        <w:t>et</w:t>
      </w:r>
      <w:r>
        <w:rPr>
          <w:spacing w:val="-1"/>
        </w:rPr>
        <w:t> </w:t>
      </w:r>
      <w:r>
        <w:rPr/>
        <w:t>al. researched</w:t>
      </w:r>
      <w:r>
        <w:rPr>
          <w:spacing w:val="-1"/>
        </w:rPr>
        <w:t> </w:t>
      </w:r>
      <w:r>
        <w:rPr/>
        <w:t>the</w:t>
      </w:r>
      <w:r>
        <w:rPr>
          <w:spacing w:val="-3"/>
        </w:rPr>
        <w:t> </w:t>
      </w:r>
      <w:r>
        <w:rPr/>
        <w:t>synthesis</w:t>
      </w:r>
      <w:r>
        <w:rPr>
          <w:spacing w:val="-2"/>
        </w:rPr>
        <w:t> </w:t>
      </w:r>
      <w:r>
        <w:rPr/>
        <w:t>of</w:t>
      </w:r>
      <w:r>
        <w:rPr>
          <w:spacing w:val="-3"/>
        </w:rPr>
        <w:t> </w:t>
      </w:r>
      <w:r>
        <w:rPr/>
        <w:t>biokerosene</w:t>
      </w:r>
      <w:r>
        <w:rPr>
          <w:spacing w:val="-1"/>
        </w:rPr>
        <w:t> </w:t>
      </w:r>
      <w:r>
        <w:rPr/>
        <w:t>and green</w:t>
      </w:r>
      <w:r>
        <w:rPr>
          <w:spacing w:val="-2"/>
        </w:rPr>
        <w:t> </w:t>
      </w:r>
      <w:r>
        <w:rPr/>
        <w:t>diesel</w:t>
      </w:r>
      <w:r>
        <w:rPr>
          <w:spacing w:val="-1"/>
        </w:rPr>
        <w:t> </w:t>
      </w:r>
      <w:r>
        <w:rPr/>
        <w:t>from</w:t>
      </w:r>
      <w:r>
        <w:rPr>
          <w:spacing w:val="-2"/>
        </w:rPr>
        <w:t> </w:t>
      </w:r>
      <w:r>
        <w:rPr/>
        <w:t>macauba</w:t>
      </w:r>
      <w:r>
        <w:rPr>
          <w:spacing w:val="-3"/>
        </w:rPr>
        <w:t> </w:t>
      </w:r>
      <w:r>
        <w:rPr/>
        <w:t>oil,</w:t>
      </w:r>
      <w:r>
        <w:rPr>
          <w:spacing w:val="-3"/>
        </w:rPr>
        <w:t> </w:t>
      </w:r>
      <w:r>
        <w:rPr/>
        <w:t>utilizing palladium-on-carbon (Pd/C) catalysts [9]. Noteworthy contributions were also made by Coumans and Hensen in 2017, who investigated the hydrodeoxygenation of model compounds representative of vegetable oils using </w:t>
      </w:r>
      <w:r>
        <w:rPr>
          <w:position w:val="2"/>
        </w:rPr>
        <w:t>NiMo/Al</w:t>
      </w:r>
      <w:r>
        <w:rPr>
          <w:sz w:val="13"/>
        </w:rPr>
        <w:t>2</w:t>
      </w:r>
      <w:r>
        <w:rPr>
          <w:position w:val="2"/>
        </w:rPr>
        <w:t>O</w:t>
      </w:r>
      <w:r>
        <w:rPr>
          <w:sz w:val="13"/>
        </w:rPr>
        <w:t>3 </w:t>
      </w:r>
      <w:r>
        <w:rPr>
          <w:position w:val="2"/>
        </w:rPr>
        <w:t>sulfide catalysts [10]. Noble metal catalysts are distinguished by their high catalytic activity, yet their </w:t>
      </w:r>
      <w:r>
        <w:rPr/>
        <w:t>rarity renders them costly. Recently, researchers have introduced molybdenum catalysts into the hydrotreating process. For instance, Hollak and colleagues investigated the hydrodeoxygenation of oleic acid using a catalyst </w:t>
      </w:r>
      <w:r>
        <w:rPr>
          <w:position w:val="2"/>
        </w:rPr>
        <w:t>comprising tungsten carbide (W₂C) and molybdenum carbide (Mo</w:t>
      </w:r>
      <w:r>
        <w:rPr>
          <w:sz w:val="13"/>
        </w:rPr>
        <w:t>2</w:t>
      </w:r>
      <w:r>
        <w:rPr>
          <w:position w:val="2"/>
        </w:rPr>
        <w:t>C) [11]. Similarly, Han et al. described a novel </w:t>
      </w:r>
      <w:r>
        <w:rPr/>
        <w:t>method for synthesizing carbon-supported molybdenum carbide (MoC) catalysts, which were subsequently</w:t>
      </w:r>
      <w:r>
        <w:rPr>
          <w:spacing w:val="40"/>
        </w:rPr>
        <w:t> </w:t>
      </w:r>
      <w:r>
        <w:rPr/>
        <w:t>evaluated for the hydrodeoxygenation of edible oils [12]. Bitter and Stellwagen researched using molybdenum and tungsten carbide catalysts to deoxygenate fatty acids [13]. Notably, the current catalysts for producing green diesel from palm oil industrial sludge necessitate using specific and costly precursor materials.</w:t>
      </w:r>
    </w:p>
    <w:p>
      <w:pPr>
        <w:pStyle w:val="BodyText"/>
        <w:ind w:right="356" w:firstLine="283"/>
      </w:pPr>
      <w:r>
        <w:rPr/>
        <w:t>This research addresses the issue of catalyst cost by developing Ni/SiO₂ catalysts from commercial Ni and SiO₂ extracted from rice husks. Rice husk is a plentiful and sustainable raw material for catalyst production in Indonesia, the third largest rice-producing country in the world. Rice husk is a byproduct of rice milling, and Indonesia produces approximately 54 million tons of rice per year, resulting in 4.32 to 5.4 million tons of rice husk. Rice husk is</w:t>
      </w:r>
      <w:r>
        <w:rPr>
          <w:spacing w:val="-2"/>
        </w:rPr>
        <w:t> </w:t>
      </w:r>
      <w:r>
        <w:rPr/>
        <w:t>primarily utilized as</w:t>
      </w:r>
      <w:r>
        <w:rPr>
          <w:spacing w:val="-1"/>
        </w:rPr>
        <w:t> </w:t>
      </w:r>
      <w:r>
        <w:rPr/>
        <w:t>animal</w:t>
      </w:r>
      <w:r>
        <w:rPr>
          <w:spacing w:val="-3"/>
        </w:rPr>
        <w:t> </w:t>
      </w:r>
      <w:r>
        <w:rPr/>
        <w:t>feed,</w:t>
      </w:r>
      <w:r>
        <w:rPr>
          <w:spacing w:val="-1"/>
        </w:rPr>
        <w:t> </w:t>
      </w:r>
      <w:r>
        <w:rPr/>
        <w:t>though it</w:t>
      </w:r>
      <w:r>
        <w:rPr>
          <w:spacing w:val="-1"/>
        </w:rPr>
        <w:t> </w:t>
      </w:r>
      <w:r>
        <w:rPr/>
        <w:t>can</w:t>
      </w:r>
      <w:r>
        <w:rPr>
          <w:spacing w:val="-2"/>
        </w:rPr>
        <w:t> </w:t>
      </w:r>
      <w:r>
        <w:rPr/>
        <w:t>be</w:t>
      </w:r>
      <w:r>
        <w:rPr>
          <w:spacing w:val="-1"/>
        </w:rPr>
        <w:t> </w:t>
      </w:r>
      <w:r>
        <w:rPr/>
        <w:t>employed for many other applications,</w:t>
      </w:r>
      <w:r>
        <w:rPr>
          <w:spacing w:val="-1"/>
        </w:rPr>
        <w:t> </w:t>
      </w:r>
      <w:r>
        <w:rPr/>
        <w:t>including the</w:t>
      </w:r>
      <w:r>
        <w:rPr>
          <w:spacing w:val="-3"/>
        </w:rPr>
        <w:t> </w:t>
      </w:r>
      <w:r>
        <w:rPr/>
        <w:t>production of catalysts. No research has been conducted using palm oil industrial sludge to produce green diesel using Ni/SiO catalysts derived from rice husks. This research will focus on reducing pollution and fossil fuel dependence by developing a sustainable and cost-effective catalyst to produce green diesel from palm oil industrial sludge and rice husk. Furthermore, response surface methodology (RSM) will be employed using the Box-Behnken experimental design (BBD) to optimize the hydrocarbon yield.</w:t>
      </w:r>
    </w:p>
    <w:p>
      <w:pPr>
        <w:pStyle w:val="BodyText"/>
        <w:spacing w:after="0"/>
        <w:sectPr>
          <w:pgSz w:w="12240" w:h="15840"/>
          <w:pgMar w:top="1360" w:bottom="280" w:left="1080" w:right="1080"/>
        </w:sectPr>
      </w:pPr>
    </w:p>
    <w:p>
      <w:pPr>
        <w:pStyle w:val="Heading1"/>
        <w:spacing w:before="79"/>
      </w:pPr>
      <w:r>
        <w:rPr>
          <w:spacing w:val="-2"/>
        </w:rPr>
        <w:t>EXPERIMENT</w:t>
      </w:r>
    </w:p>
    <w:p>
      <w:pPr>
        <w:pStyle w:val="Heading2"/>
        <w:spacing w:before="240"/>
        <w:ind w:right="1"/>
      </w:pPr>
      <w:r>
        <w:rPr>
          <w:spacing w:val="-2"/>
        </w:rPr>
        <w:t>Material</w:t>
      </w:r>
    </w:p>
    <w:p>
      <w:pPr>
        <w:pStyle w:val="BodyText"/>
        <w:spacing w:before="242"/>
        <w:ind w:right="357" w:firstLine="283"/>
      </w:pPr>
      <w:r>
        <w:rPr/>
        <w:t>The raw materials employed comprise industrial sludge (solid waste) derived from PT Wilmar Nabati Gresik. These materials are stored at refrigeration temperature to maintain their properties. Furthermore, PT Benteng Api Technic kindly provided rice husk ash, n-hexane by PT Bratachem, distilled water, Ni(NO3)2.6H2O, HCl, N2 gas, and H2 gas were obtained from commercial sources. The experimental setup, illustrated in Figure 1, employs a cylindrical hydrothermal reactor with an outer material of SS-316 stainless steel. The reactor is equipped with essential components, including a thermocouple connected to a pressure controller and gauge, a stirrer with adjustable stirring speed, and a jacket heater. Moreover, various auxiliary equipment was employed to facilitate the research process, including a furnace, a tube furnace, and an oven.</w:t>
      </w:r>
    </w:p>
    <w:p>
      <w:pPr>
        <w:pStyle w:val="BodyText"/>
        <w:spacing w:before="7"/>
        <w:ind w:left="0"/>
        <w:jc w:val="left"/>
      </w:pPr>
      <w:r>
        <w:rPr/>
        <w:drawing>
          <wp:anchor distT="0" distB="0" distL="0" distR="0" allowOverlap="1" layoutInCell="1" locked="0" behindDoc="1" simplePos="0" relativeHeight="487587840">
            <wp:simplePos x="0" y="0"/>
            <wp:positionH relativeFrom="page">
              <wp:posOffset>2284262</wp:posOffset>
            </wp:positionH>
            <wp:positionV relativeFrom="paragraph">
              <wp:posOffset>166238</wp:posOffset>
            </wp:positionV>
            <wp:extent cx="3224350" cy="1764411"/>
            <wp:effectExtent l="0" t="0" r="0" b="0"/>
            <wp:wrapTopAndBottom/>
            <wp:docPr id="1" name="Image 1"/>
            <wp:cNvGraphicFramePr>
              <a:graphicFrameLocks/>
            </wp:cNvGraphicFramePr>
            <a:graphic>
              <a:graphicData uri="http://schemas.openxmlformats.org/drawingml/2006/picture">
                <pic:pic>
                  <pic:nvPicPr>
                    <pic:cNvPr id="1" name="Image 1"/>
                    <pic:cNvPicPr/>
                  </pic:nvPicPr>
                  <pic:blipFill>
                    <a:blip r:embed="rId6" cstate="print"/>
                    <a:stretch>
                      <a:fillRect/>
                    </a:stretch>
                  </pic:blipFill>
                  <pic:spPr>
                    <a:xfrm>
                      <a:off x="0" y="0"/>
                      <a:ext cx="3224350" cy="1764411"/>
                    </a:xfrm>
                    <a:prstGeom prst="rect">
                      <a:avLst/>
                    </a:prstGeom>
                  </pic:spPr>
                </pic:pic>
              </a:graphicData>
            </a:graphic>
          </wp:anchor>
        </w:drawing>
      </w:r>
    </w:p>
    <w:p>
      <w:pPr>
        <w:spacing w:before="188"/>
        <w:ind w:left="0" w:right="1" w:firstLine="0"/>
        <w:jc w:val="center"/>
        <w:rPr>
          <w:sz w:val="18"/>
        </w:rPr>
      </w:pPr>
      <w:r>
        <w:rPr>
          <w:b/>
          <w:sz w:val="18"/>
        </w:rPr>
        <w:t>Image</w:t>
      </w:r>
      <w:r>
        <w:rPr>
          <w:b/>
          <w:spacing w:val="-4"/>
          <w:sz w:val="18"/>
        </w:rPr>
        <w:t> </w:t>
      </w:r>
      <w:r>
        <w:rPr>
          <w:b/>
          <w:sz w:val="18"/>
        </w:rPr>
        <w:t>1.</w:t>
      </w:r>
      <w:r>
        <w:rPr>
          <w:b/>
          <w:spacing w:val="-3"/>
          <w:sz w:val="18"/>
        </w:rPr>
        <w:t> </w:t>
      </w:r>
      <w:r>
        <w:rPr>
          <w:sz w:val="18"/>
        </w:rPr>
        <w:t>Schematic</w:t>
      </w:r>
      <w:r>
        <w:rPr>
          <w:spacing w:val="-2"/>
          <w:sz w:val="18"/>
        </w:rPr>
        <w:t> </w:t>
      </w:r>
      <w:r>
        <w:rPr>
          <w:sz w:val="18"/>
        </w:rPr>
        <w:t>of the</w:t>
      </w:r>
      <w:r>
        <w:rPr>
          <w:spacing w:val="-2"/>
          <w:sz w:val="18"/>
        </w:rPr>
        <w:t> </w:t>
      </w:r>
      <w:r>
        <w:rPr>
          <w:sz w:val="18"/>
        </w:rPr>
        <w:t>catalytic</w:t>
      </w:r>
      <w:r>
        <w:rPr>
          <w:spacing w:val="-1"/>
          <w:sz w:val="18"/>
        </w:rPr>
        <w:t> </w:t>
      </w:r>
      <w:r>
        <w:rPr>
          <w:sz w:val="18"/>
        </w:rPr>
        <w:t>hydrotreatment </w:t>
      </w:r>
      <w:r>
        <w:rPr>
          <w:spacing w:val="-2"/>
          <w:sz w:val="18"/>
        </w:rPr>
        <w:t>setup.</w:t>
      </w:r>
    </w:p>
    <w:p>
      <w:pPr>
        <w:pStyle w:val="BodyText"/>
        <w:spacing w:before="34"/>
        <w:ind w:left="0"/>
        <w:jc w:val="left"/>
        <w:rPr>
          <w:sz w:val="18"/>
        </w:rPr>
      </w:pPr>
    </w:p>
    <w:p>
      <w:pPr>
        <w:pStyle w:val="Heading2"/>
        <w:ind w:right="1"/>
      </w:pPr>
      <w:r>
        <w:rPr/>
        <w:t>Green</w:t>
      </w:r>
      <w:r>
        <w:rPr>
          <w:spacing w:val="-2"/>
        </w:rPr>
        <w:t> </w:t>
      </w:r>
      <w:r>
        <w:rPr/>
        <w:t>Silica</w:t>
      </w:r>
      <w:r>
        <w:rPr>
          <w:spacing w:val="-1"/>
        </w:rPr>
        <w:t> </w:t>
      </w:r>
      <w:r>
        <w:rPr>
          <w:spacing w:val="-2"/>
        </w:rPr>
        <w:t>Extraction</w:t>
      </w:r>
    </w:p>
    <w:p>
      <w:pPr>
        <w:pStyle w:val="BodyText"/>
        <w:spacing w:before="240"/>
        <w:ind w:right="353" w:firstLine="283"/>
      </w:pPr>
      <w:r>
        <w:rPr/>
        <w:t>Green Silica (SiO2) was extracted from rice husk ash using the calcination method, </w:t>
      </w:r>
      <w:r>
        <w:rPr>
          <w:b/>
        </w:rPr>
        <w:t>modifying </w:t>
      </w:r>
      <w:r>
        <w:rPr/>
        <w:t>the operating conditions described by Della, Kühn, and Hotza in 2002 [15]. A furnace was utilized to calciner 58.5 grams of rice husk ash at a temperature of 800</w:t>
      </w:r>
      <w:r>
        <w:rPr>
          <w:vertAlign w:val="superscript"/>
        </w:rPr>
        <w:t>o</w:t>
      </w:r>
      <w:r>
        <w:rPr>
          <w:vertAlign w:val="baseline"/>
        </w:rPr>
        <w:t>C for two h</w:t>
      </w:r>
      <w:r>
        <w:rPr>
          <w:b/>
          <w:vertAlign w:val="baseline"/>
        </w:rPr>
        <w:t>ours</w:t>
      </w:r>
      <w:r>
        <w:rPr>
          <w:vertAlign w:val="baseline"/>
        </w:rPr>
        <w:t>. The resulting rice husk ash (RHA) was subsequently extracted from the furnace</w:t>
      </w:r>
      <w:r>
        <w:rPr>
          <w:spacing w:val="-2"/>
          <w:vertAlign w:val="baseline"/>
        </w:rPr>
        <w:t> </w:t>
      </w:r>
      <w:r>
        <w:rPr>
          <w:vertAlign w:val="baseline"/>
        </w:rPr>
        <w:t>and</w:t>
      </w:r>
      <w:r>
        <w:rPr>
          <w:spacing w:val="-1"/>
          <w:vertAlign w:val="baseline"/>
        </w:rPr>
        <w:t> </w:t>
      </w:r>
      <w:r>
        <w:rPr>
          <w:vertAlign w:val="baseline"/>
        </w:rPr>
        <w:t>cooled</w:t>
      </w:r>
      <w:r>
        <w:rPr>
          <w:spacing w:val="-1"/>
          <w:vertAlign w:val="baseline"/>
        </w:rPr>
        <w:t> </w:t>
      </w:r>
      <w:r>
        <w:rPr>
          <w:vertAlign w:val="baseline"/>
        </w:rPr>
        <w:t>to room temperature.</w:t>
      </w:r>
      <w:r>
        <w:rPr>
          <w:spacing w:val="-1"/>
          <w:vertAlign w:val="baseline"/>
        </w:rPr>
        <w:t> </w:t>
      </w:r>
      <w:r>
        <w:rPr>
          <w:vertAlign w:val="baseline"/>
        </w:rPr>
        <w:t>Subsequently, the</w:t>
      </w:r>
      <w:r>
        <w:rPr>
          <w:spacing w:val="-2"/>
          <w:vertAlign w:val="baseline"/>
        </w:rPr>
        <w:t> </w:t>
      </w:r>
      <w:r>
        <w:rPr>
          <w:vertAlign w:val="baseline"/>
        </w:rPr>
        <w:t>RHA was pulverized</w:t>
      </w:r>
      <w:r>
        <w:rPr>
          <w:spacing w:val="-1"/>
          <w:vertAlign w:val="baseline"/>
        </w:rPr>
        <w:t> </w:t>
      </w:r>
      <w:r>
        <w:rPr>
          <w:vertAlign w:val="baseline"/>
        </w:rPr>
        <w:t>using a</w:t>
      </w:r>
      <w:r>
        <w:rPr>
          <w:spacing w:val="-2"/>
          <w:vertAlign w:val="baseline"/>
        </w:rPr>
        <w:t> </w:t>
      </w:r>
      <w:r>
        <w:rPr>
          <w:vertAlign w:val="baseline"/>
        </w:rPr>
        <w:t>household blender with the objective of reducing its size. Subsequently, the blended RHA was subjected to leaching with a solution of 10% 37% HCl in water at a volume-to-weight ratio 8:1. The leaching process was conducted at 80°C with 800 rpm stirring for 1.5 hours. Subsequently, the leached RHA was subjected to a second calcination process at 800°C for another two h</w:t>
      </w:r>
      <w:r>
        <w:rPr>
          <w:b/>
          <w:vertAlign w:val="baseline"/>
        </w:rPr>
        <w:t>ours</w:t>
      </w:r>
      <w:r>
        <w:rPr>
          <w:vertAlign w:val="baseline"/>
        </w:rPr>
        <w:t>. The final RHA was subjected to a ball milling at 500 rpm for 15 minutes, </w:t>
      </w:r>
      <w:r>
        <w:rPr>
          <w:b/>
          <w:vertAlign w:val="baseline"/>
        </w:rPr>
        <w:t>forming </w:t>
      </w:r>
      <w:r>
        <w:rPr>
          <w:vertAlign w:val="baseline"/>
        </w:rPr>
        <w:t>fine particles </w:t>
      </w:r>
      <w:r>
        <w:rPr>
          <w:position w:val="2"/>
          <w:vertAlign w:val="baseline"/>
        </w:rPr>
        <w:t>of SiO</w:t>
      </w:r>
      <w:r>
        <w:rPr>
          <w:sz w:val="13"/>
          <w:vertAlign w:val="baseline"/>
        </w:rPr>
        <w:t>2</w:t>
      </w:r>
      <w:r>
        <w:rPr>
          <w:position w:val="2"/>
          <w:vertAlign w:val="baseline"/>
        </w:rPr>
        <w:t>. The chemical composition of the product was characterized using X-ray fluorescence analysis (XRF). At</w:t>
      </w:r>
      <w:r>
        <w:rPr>
          <w:spacing w:val="40"/>
          <w:position w:val="2"/>
          <w:vertAlign w:val="baseline"/>
        </w:rPr>
        <w:t> </w:t>
      </w:r>
      <w:r>
        <w:rPr>
          <w:vertAlign w:val="baseline"/>
        </w:rPr>
        <w:t>the same time, X-ray diffraction (XRD) and scanning electron microscopy (SEM) were employed to investigate the phase and morphology of the material. Furthermore, the surface area and pore dimensions of the SiO₂ were determined through Brunauer-Emmett-Teller (BET) analysis.</w:t>
      </w:r>
    </w:p>
    <w:p>
      <w:pPr>
        <w:pStyle w:val="BodyText"/>
        <w:spacing w:before="7"/>
        <w:ind w:left="0"/>
        <w:jc w:val="left"/>
      </w:pPr>
    </w:p>
    <w:p>
      <w:pPr>
        <w:pStyle w:val="Heading2"/>
        <w:ind w:right="1"/>
      </w:pPr>
      <w:r>
        <w:rPr/>
        <w:t>Catalyst</w:t>
      </w:r>
      <w:r>
        <w:rPr>
          <w:spacing w:val="-2"/>
        </w:rPr>
        <w:t> preparation</w:t>
      </w:r>
    </w:p>
    <w:p>
      <w:pPr>
        <w:pStyle w:val="BodyText"/>
        <w:spacing w:before="239"/>
        <w:ind w:right="354" w:firstLine="283"/>
      </w:pPr>
      <w:r>
        <w:rPr/>
        <w:t>Ni/SiO₂ catalysts</w:t>
      </w:r>
      <w:r>
        <w:rPr>
          <w:spacing w:val="-2"/>
        </w:rPr>
        <w:t> </w:t>
      </w:r>
      <w:r>
        <w:rPr/>
        <w:t>were prepared using the</w:t>
      </w:r>
      <w:r>
        <w:rPr>
          <w:spacing w:val="-3"/>
        </w:rPr>
        <w:t> </w:t>
      </w:r>
      <w:r>
        <w:rPr/>
        <w:t>impregnation</w:t>
      </w:r>
      <w:r>
        <w:rPr>
          <w:spacing w:val="-2"/>
        </w:rPr>
        <w:t> </w:t>
      </w:r>
      <w:r>
        <w:rPr/>
        <w:t>method with modified</w:t>
      </w:r>
      <w:r>
        <w:rPr>
          <w:spacing w:val="-2"/>
        </w:rPr>
        <w:t> </w:t>
      </w:r>
      <w:r>
        <w:rPr/>
        <w:t>operating conditions,</w:t>
      </w:r>
      <w:r>
        <w:rPr>
          <w:spacing w:val="-1"/>
        </w:rPr>
        <w:t> </w:t>
      </w:r>
      <w:r>
        <w:rPr/>
        <w:t>as</w:t>
      </w:r>
      <w:r>
        <w:rPr>
          <w:spacing w:val="-1"/>
        </w:rPr>
        <w:t> </w:t>
      </w:r>
      <w:r>
        <w:rPr/>
        <w:t>described by Chen (2015) [16]. A solution of 37.29 grams of Ni(NO₃)₂·6H₂O in 250 milliliters of deionized water was heated </w:t>
      </w:r>
      <w:r>
        <w:rPr>
          <w:position w:val="2"/>
        </w:rPr>
        <w:t>until Ni(NO₃)₂·6H₂O was fully dissolved. Subsequently, 100 g of green silica (SiO</w:t>
      </w:r>
      <w:r>
        <w:rPr>
          <w:sz w:val="13"/>
        </w:rPr>
        <w:t>2</w:t>
      </w:r>
      <w:r>
        <w:rPr>
          <w:position w:val="2"/>
        </w:rPr>
        <w:t>) was added and stirred (300</w:t>
      </w:r>
      <w:r>
        <w:rPr>
          <w:spacing w:val="40"/>
          <w:position w:val="2"/>
        </w:rPr>
        <w:t> </w:t>
      </w:r>
      <w:r>
        <w:rPr/>
        <w:t>rpm) for 12 h at 110°C. The solid product was then dried at 110°C for 24 hours. Subsequently, the dried solid product was crushed and sieved through a</w:t>
      </w:r>
      <w:r>
        <w:rPr>
          <w:spacing w:val="-2"/>
        </w:rPr>
        <w:t> </w:t>
      </w:r>
      <w:r>
        <w:rPr/>
        <w:t>325-mesh sieve. Subsequently, the sieve product</w:t>
      </w:r>
      <w:r>
        <w:rPr>
          <w:spacing w:val="-2"/>
        </w:rPr>
        <w:t> </w:t>
      </w:r>
      <w:r>
        <w:rPr/>
        <w:t>was transferred to a tube furnace. The product was subjected to calcination in the presence of nitrogen gas at 500°C for two hours. Subsequently, the gas was switched to hydrogen, and the temperature was increased to 500°C for two more hours. Subsequently, the tube furnace was permitted to cool to ambient temperature.</w:t>
      </w:r>
    </w:p>
    <w:p>
      <w:pPr>
        <w:pStyle w:val="BodyText"/>
        <w:spacing w:after="0"/>
        <w:sectPr>
          <w:pgSz w:w="12240" w:h="15840"/>
          <w:pgMar w:top="1360" w:bottom="280" w:left="1080" w:right="1080"/>
        </w:sectPr>
      </w:pPr>
    </w:p>
    <w:p>
      <w:pPr>
        <w:pStyle w:val="Heading2"/>
        <w:spacing w:before="79"/>
      </w:pPr>
      <w:r>
        <w:rPr/>
        <w:t>Catalyst</w:t>
      </w:r>
      <w:r>
        <w:rPr>
          <w:spacing w:val="-2"/>
        </w:rPr>
        <w:t> characterization</w:t>
      </w:r>
    </w:p>
    <w:p>
      <w:pPr>
        <w:pStyle w:val="BodyText"/>
        <w:spacing w:before="242"/>
        <w:ind w:right="357" w:firstLine="283"/>
      </w:pPr>
      <w:r>
        <w:rPr/>
        <w:t>X-ray diffraction (XRD), a technique that employs X-rays to analyze the crystal structure of materials, was employed to ascertain the phase identity of the catalyst. The Brunauer-Emmett-Teller (BET) method was employed to determine the specific surface area of the catalyst. The specific surface area is defined as the total surface area of</w:t>
      </w:r>
      <w:r>
        <w:rPr>
          <w:spacing w:val="80"/>
        </w:rPr>
        <w:t> </w:t>
      </w:r>
      <w:r>
        <w:rPr/>
        <w:t>a material, expressed in units of area per unit mass. This is an important parameter for catalysts, as a high surface area provides more sites for catalytic reactions. Scanning electron microscopy (SEM) with energy-dispersive X-ray spectroscopy (EDX) was employed to analyze the catalyst morphology, elemental distribution, and crystallization. Scanning electron microscopy (SEM) is a method of viewing very small surface details using an electron beam. Energy-dispersive X-ray spectroscopy (EDX) is a technique that can be employed to ascertain the composition of a given sample. Fourier transform infrared spectroscopy (FTIR) is employed to identify the</w:t>
      </w:r>
      <w:r>
        <w:rPr>
          <w:spacing w:val="-1"/>
        </w:rPr>
        <w:t> </w:t>
      </w:r>
      <w:r>
        <w:rPr/>
        <w:t>chemical bonds</w:t>
      </w:r>
      <w:r>
        <w:rPr>
          <w:spacing w:val="-1"/>
        </w:rPr>
        <w:t> </w:t>
      </w:r>
      <w:r>
        <w:rPr/>
        <w:t>present in the catalyst. Fourier transform infrared spectroscopy (FTIR) is a technique that measures the absorption of a sample by infrared radiation. The absorption spectrum of the sample can be employed to ascertain the nature of the functional groups present.</w:t>
      </w:r>
    </w:p>
    <w:p>
      <w:pPr>
        <w:pStyle w:val="Heading2"/>
        <w:spacing w:before="239"/>
      </w:pPr>
      <w:r>
        <w:rPr/>
        <w:t>Green</w:t>
      </w:r>
      <w:r>
        <w:rPr>
          <w:spacing w:val="-3"/>
        </w:rPr>
        <w:t> </w:t>
      </w:r>
      <w:r>
        <w:rPr/>
        <w:t>Diesel</w:t>
      </w:r>
      <w:r>
        <w:rPr>
          <w:spacing w:val="-2"/>
        </w:rPr>
        <w:t> Production</w:t>
      </w:r>
    </w:p>
    <w:p>
      <w:pPr>
        <w:pStyle w:val="BodyText"/>
        <w:spacing w:before="241"/>
        <w:ind w:right="363" w:firstLine="283"/>
      </w:pPr>
      <w:r>
        <w:rPr/>
        <w:t>A hydrothermal reactor constructed from SS-316 stainless steel was employed to generate green diesel. The hydrothermal reactor was filled with 100 mL of sludge oil (sludge oil was extracted from sludge using the maceration method) and 5 g of Ni/SiO₂ catalyst. Subsequently, hydrogen gas was introduced into the reactor solution, increasing the pressure to 5 MPa. The reactor was heated to 275°C and maintained at this temperature for four hours. The mixture was subjected to mechanical stirring at a constant speed of 500 rpm throughout the reaction to achieve thorough homogeneity.</w:t>
      </w:r>
    </w:p>
    <w:p>
      <w:pPr>
        <w:pStyle w:val="BodyText"/>
        <w:spacing w:before="1"/>
        <w:ind w:right="357" w:firstLine="283"/>
      </w:pPr>
      <w:r>
        <w:rPr/>
        <w:t>For quantification purposes, liquid samples were diluted with n-hexane and analyzed using Shimadzu GC/MS</w:t>
      </w:r>
      <w:r>
        <w:rPr>
          <w:spacing w:val="40"/>
        </w:rPr>
        <w:t> </w:t>
      </w:r>
      <w:r>
        <w:rPr/>
        <w:t>gas chromatography (2010 model). The external standard technique employed a capillary HP-5MS column (30 m x 320 μm x 0.25 μm). The GC/MS operating parameters included an oven program that commenced at 60°C for two minutes, increased by 10°C/min to 160°C and was maintained for five minutes, then increased by 10°C/min to</w:t>
      </w:r>
      <w:r>
        <w:rPr>
          <w:spacing w:val="40"/>
        </w:rPr>
        <w:t> </w:t>
      </w:r>
      <w:r>
        <w:rPr/>
        <w:t>240°C and was maintained for five minutes, and finally increased by 10°C/min to 300°C and was maintained for 14 minutes, with an injection temperature of 270°C.</w:t>
      </w:r>
      <w:r>
        <w:rPr>
          <w:spacing w:val="40"/>
        </w:rPr>
        <w:t> </w:t>
      </w:r>
      <w:r>
        <w:rPr/>
        <w:t>Equation (1) can be employed to calculate feedstock conversion from GC/MS analysis.</w:t>
      </w:r>
    </w:p>
    <w:p>
      <w:pPr>
        <w:pStyle w:val="BodyText"/>
        <w:spacing w:after="0"/>
        <w:sectPr>
          <w:pgSz w:w="12240" w:h="15840"/>
          <w:pgMar w:top="1360" w:bottom="280" w:left="1080" w:right="1080"/>
        </w:sectPr>
      </w:pPr>
    </w:p>
    <w:p>
      <w:pPr>
        <w:pStyle w:val="BodyText"/>
        <w:spacing w:line="196" w:lineRule="exact" w:before="50"/>
        <w:ind w:left="3802"/>
        <w:jc w:val="left"/>
        <w:rPr>
          <w:rFonts w:ascii="Cambria Math" w:hAnsi="Cambria Math" w:eastAsia="Cambria Math"/>
        </w:rPr>
      </w:pPr>
      <w:r>
        <w:rPr/>
        <w:t>Conversion</w:t>
      </w:r>
      <w:r>
        <w:rPr>
          <w:spacing w:val="-4"/>
        </w:rPr>
        <w:t> </w:t>
      </w:r>
      <w:r>
        <w:rPr/>
        <w:t>=</w:t>
      </w:r>
      <w:r>
        <w:rPr>
          <w:spacing w:val="-5"/>
        </w:rPr>
        <w:t> </w:t>
      </w:r>
      <w:r>
        <w:rPr>
          <w:rFonts w:ascii="Cambria Math" w:hAnsi="Cambria Math" w:eastAsia="Cambria Math"/>
          <w:spacing w:val="-2"/>
          <w:u w:val="single"/>
          <w:vertAlign w:val="superscript"/>
        </w:rPr>
        <w:t>𝐶𝐻𝐶×100%</w:t>
      </w:r>
    </w:p>
    <w:p>
      <w:pPr>
        <w:spacing w:line="151" w:lineRule="exact" w:before="0"/>
        <w:ind w:left="0" w:right="246" w:firstLine="0"/>
        <w:jc w:val="right"/>
        <w:rPr>
          <w:rFonts w:ascii="Cambria Math" w:eastAsia="Cambria Math"/>
          <w:sz w:val="12"/>
        </w:rPr>
      </w:pPr>
      <w:r>
        <w:rPr>
          <w:rFonts w:ascii="Cambria Math" w:eastAsia="Cambria Math"/>
          <w:spacing w:val="-4"/>
          <w:w w:val="110"/>
          <w:position w:val="3"/>
          <w:sz w:val="14"/>
        </w:rPr>
        <w:t>𝐶</w:t>
      </w:r>
      <w:r>
        <w:rPr>
          <w:rFonts w:ascii="Cambria Math" w:eastAsia="Cambria Math"/>
          <w:spacing w:val="-4"/>
          <w:w w:val="110"/>
          <w:sz w:val="12"/>
        </w:rPr>
        <w:t>𝑇𝑂𝐿</w:t>
      </w:r>
    </w:p>
    <w:p>
      <w:pPr>
        <w:pStyle w:val="BodyText"/>
        <w:spacing w:before="63"/>
        <w:ind w:left="0"/>
        <w:jc w:val="left"/>
        <w:rPr>
          <w:rFonts w:ascii="Cambria Math"/>
          <w:sz w:val="12"/>
        </w:rPr>
      </w:pPr>
    </w:p>
    <w:p>
      <w:pPr>
        <w:pStyle w:val="BodyText"/>
        <w:jc w:val="left"/>
        <w:rPr>
          <w:position w:val="2"/>
        </w:rPr>
      </w:pPr>
      <w:r>
        <w:rPr>
          <w:position w:val="2"/>
        </w:rPr>
        <w:t>C</w:t>
      </w:r>
      <w:r>
        <w:rPr>
          <w:sz w:val="13"/>
        </w:rPr>
        <w:t>HC</w:t>
      </w:r>
      <w:r>
        <w:rPr>
          <w:spacing w:val="13"/>
          <w:sz w:val="13"/>
        </w:rPr>
        <w:t> </w:t>
      </w:r>
      <w:r>
        <w:rPr>
          <w:position w:val="2"/>
        </w:rPr>
        <w:t>is</w:t>
      </w:r>
      <w:r>
        <w:rPr>
          <w:spacing w:val="-4"/>
          <w:position w:val="2"/>
        </w:rPr>
        <w:t> </w:t>
      </w:r>
      <w:r>
        <w:rPr>
          <w:position w:val="2"/>
        </w:rPr>
        <w:t>the</w:t>
      </w:r>
      <w:r>
        <w:rPr>
          <w:spacing w:val="-3"/>
          <w:position w:val="2"/>
        </w:rPr>
        <w:t> </w:t>
      </w:r>
      <w:r>
        <w:rPr>
          <w:position w:val="2"/>
        </w:rPr>
        <w:t>hydrocarbon</w:t>
      </w:r>
      <w:r>
        <w:rPr>
          <w:spacing w:val="-2"/>
          <w:position w:val="2"/>
        </w:rPr>
        <w:t> </w:t>
      </w:r>
      <w:r>
        <w:rPr>
          <w:position w:val="2"/>
        </w:rPr>
        <w:t>content,</w:t>
      </w:r>
      <w:r>
        <w:rPr>
          <w:spacing w:val="-4"/>
          <w:position w:val="2"/>
        </w:rPr>
        <w:t> </w:t>
      </w:r>
      <w:r>
        <w:rPr>
          <w:position w:val="2"/>
        </w:rPr>
        <w:t>and</w:t>
      </w:r>
      <w:r>
        <w:rPr>
          <w:spacing w:val="-2"/>
          <w:position w:val="2"/>
        </w:rPr>
        <w:t> </w:t>
      </w:r>
      <w:r>
        <w:rPr>
          <w:position w:val="2"/>
        </w:rPr>
        <w:t>C</w:t>
      </w:r>
      <w:r>
        <w:rPr>
          <w:sz w:val="13"/>
        </w:rPr>
        <w:t>TOL</w:t>
      </w:r>
      <w:r>
        <w:rPr>
          <w:spacing w:val="14"/>
          <w:sz w:val="13"/>
        </w:rPr>
        <w:t> </w:t>
      </w:r>
      <w:r>
        <w:rPr>
          <w:position w:val="2"/>
        </w:rPr>
        <w:t>is</w:t>
      </w:r>
      <w:r>
        <w:rPr>
          <w:spacing w:val="-4"/>
          <w:position w:val="2"/>
        </w:rPr>
        <w:t> </w:t>
      </w:r>
      <w:r>
        <w:rPr>
          <w:position w:val="2"/>
        </w:rPr>
        <w:t>the</w:t>
      </w:r>
      <w:r>
        <w:rPr>
          <w:spacing w:val="-4"/>
          <w:position w:val="2"/>
        </w:rPr>
        <w:t> </w:t>
      </w:r>
      <w:r>
        <w:rPr>
          <w:position w:val="2"/>
        </w:rPr>
        <w:t>total</w:t>
      </w:r>
      <w:r>
        <w:rPr>
          <w:spacing w:val="-2"/>
          <w:position w:val="2"/>
        </w:rPr>
        <w:t> compound.</w:t>
      </w:r>
    </w:p>
    <w:p>
      <w:pPr>
        <w:spacing w:before="53"/>
        <w:ind w:left="0" w:right="54" w:firstLine="0"/>
        <w:jc w:val="center"/>
        <w:rPr>
          <w:sz w:val="20"/>
        </w:rPr>
      </w:pPr>
      <w:r>
        <w:rPr/>
        <w:br w:type="column"/>
      </w:r>
      <w:r>
        <w:rPr>
          <w:spacing w:val="-5"/>
          <w:sz w:val="20"/>
        </w:rPr>
        <w:t>(1)</w:t>
      </w:r>
    </w:p>
    <w:p>
      <w:pPr>
        <w:spacing w:after="0"/>
        <w:jc w:val="center"/>
        <w:rPr>
          <w:sz w:val="20"/>
        </w:rPr>
        <w:sectPr>
          <w:type w:val="continuous"/>
          <w:pgSz w:w="12240" w:h="15840"/>
          <w:pgMar w:top="1820" w:bottom="280" w:left="1080" w:right="1080"/>
          <w:cols w:num="2" w:equalWidth="0">
            <w:col w:w="5718" w:space="3351"/>
            <w:col w:w="1011"/>
          </w:cols>
        </w:sectPr>
      </w:pPr>
    </w:p>
    <w:p>
      <w:pPr>
        <w:pStyle w:val="BodyText"/>
        <w:spacing w:line="235" w:lineRule="auto"/>
        <w:ind w:firstLine="283"/>
        <w:jc w:val="left"/>
      </w:pPr>
      <w:r>
        <w:rPr>
          <w:position w:val="2"/>
        </w:rPr>
        <w:t>The</w:t>
      </w:r>
      <w:r>
        <w:rPr>
          <w:spacing w:val="-3"/>
          <w:position w:val="2"/>
        </w:rPr>
        <w:t> </w:t>
      </w:r>
      <w:r>
        <w:rPr>
          <w:position w:val="2"/>
        </w:rPr>
        <w:t>ratio</w:t>
      </w:r>
      <w:r>
        <w:rPr>
          <w:spacing w:val="-2"/>
          <w:position w:val="2"/>
        </w:rPr>
        <w:t> </w:t>
      </w:r>
      <w:r>
        <w:rPr>
          <w:position w:val="2"/>
        </w:rPr>
        <w:t>of</w:t>
      </w:r>
      <w:r>
        <w:rPr>
          <w:spacing w:val="-5"/>
          <w:position w:val="2"/>
        </w:rPr>
        <w:t> </w:t>
      </w:r>
      <w:r>
        <w:rPr>
          <w:position w:val="2"/>
        </w:rPr>
        <w:t>hydrodeoxygenation</w:t>
      </w:r>
      <w:r>
        <w:rPr>
          <w:spacing w:val="-2"/>
          <w:position w:val="2"/>
        </w:rPr>
        <w:t> </w:t>
      </w:r>
      <w:r>
        <w:rPr>
          <w:position w:val="2"/>
        </w:rPr>
        <w:t>to</w:t>
      </w:r>
      <w:r>
        <w:rPr>
          <w:spacing w:val="-2"/>
          <w:position w:val="2"/>
        </w:rPr>
        <w:t> </w:t>
      </w:r>
      <w:r>
        <w:rPr>
          <w:position w:val="2"/>
        </w:rPr>
        <w:t>decarboxylation</w:t>
      </w:r>
      <w:r>
        <w:rPr>
          <w:spacing w:val="-2"/>
          <w:position w:val="2"/>
        </w:rPr>
        <w:t> </w:t>
      </w:r>
      <w:r>
        <w:rPr>
          <w:position w:val="2"/>
        </w:rPr>
        <w:t>and</w:t>
      </w:r>
      <w:r>
        <w:rPr>
          <w:spacing w:val="-2"/>
          <w:position w:val="2"/>
        </w:rPr>
        <w:t> </w:t>
      </w:r>
      <w:r>
        <w:rPr>
          <w:position w:val="2"/>
        </w:rPr>
        <w:t>decarbonylation</w:t>
      </w:r>
      <w:r>
        <w:rPr>
          <w:spacing w:val="-2"/>
          <w:position w:val="2"/>
        </w:rPr>
        <w:t> </w:t>
      </w:r>
      <w:r>
        <w:rPr>
          <w:position w:val="2"/>
        </w:rPr>
        <w:t>(HDO/(DCO</w:t>
      </w:r>
      <w:r>
        <w:rPr>
          <w:sz w:val="13"/>
        </w:rPr>
        <w:t>2</w:t>
      </w:r>
      <w:r>
        <w:rPr>
          <w:spacing w:val="14"/>
          <w:sz w:val="13"/>
        </w:rPr>
        <w:t> </w:t>
      </w:r>
      <w:r>
        <w:rPr>
          <w:position w:val="2"/>
        </w:rPr>
        <w:t>+</w:t>
      </w:r>
      <w:r>
        <w:rPr>
          <w:spacing w:val="-1"/>
          <w:position w:val="2"/>
        </w:rPr>
        <w:t> </w:t>
      </w:r>
      <w:r>
        <w:rPr>
          <w:position w:val="2"/>
        </w:rPr>
        <w:t>DCO))</w:t>
      </w:r>
      <w:r>
        <w:rPr>
          <w:spacing w:val="-3"/>
          <w:position w:val="2"/>
        </w:rPr>
        <w:t> </w:t>
      </w:r>
      <w:r>
        <w:rPr>
          <w:position w:val="2"/>
        </w:rPr>
        <w:t>was</w:t>
      </w:r>
      <w:r>
        <w:rPr>
          <w:spacing w:val="-4"/>
          <w:position w:val="2"/>
        </w:rPr>
        <w:t> </w:t>
      </w:r>
      <w:r>
        <w:rPr>
          <w:position w:val="2"/>
        </w:rPr>
        <w:t>found</w:t>
      </w:r>
      <w:r>
        <w:rPr>
          <w:spacing w:val="-2"/>
          <w:position w:val="2"/>
        </w:rPr>
        <w:t> </w:t>
      </w:r>
      <w:r>
        <w:rPr>
          <w:position w:val="2"/>
        </w:rPr>
        <w:t>with </w:t>
      </w:r>
      <w:r>
        <w:rPr/>
        <w:t>Equation (2).</w:t>
      </w:r>
    </w:p>
    <w:p>
      <w:pPr>
        <w:tabs>
          <w:tab w:pos="9429" w:val="left" w:leader="none"/>
        </w:tabs>
        <w:spacing w:line="261" w:lineRule="exact" w:before="215"/>
        <w:ind w:left="2881" w:right="0" w:firstLine="0"/>
        <w:jc w:val="left"/>
        <w:rPr>
          <w:position w:val="2"/>
          <w:sz w:val="20"/>
        </w:rPr>
      </w:pPr>
      <w:r>
        <w:rPr>
          <w:position w:val="2"/>
          <w:sz w:val="20"/>
        </w:rPr>
        <w:t>HDO/(DCO</w:t>
      </w:r>
      <w:r>
        <w:rPr>
          <w:sz w:val="13"/>
        </w:rPr>
        <w:t>2</w:t>
      </w:r>
      <w:r>
        <w:rPr>
          <w:spacing w:val="15"/>
          <w:sz w:val="13"/>
        </w:rPr>
        <w:t> </w:t>
      </w:r>
      <w:r>
        <w:rPr>
          <w:position w:val="2"/>
          <w:sz w:val="20"/>
        </w:rPr>
        <w:t>+</w:t>
      </w:r>
      <w:r>
        <w:rPr>
          <w:spacing w:val="-2"/>
          <w:position w:val="2"/>
          <w:sz w:val="20"/>
        </w:rPr>
        <w:t> </w:t>
      </w:r>
      <w:r>
        <w:rPr>
          <w:position w:val="2"/>
          <w:sz w:val="20"/>
        </w:rPr>
        <w:t>DCO)</w:t>
      </w:r>
      <w:r>
        <w:rPr>
          <w:spacing w:val="-1"/>
          <w:position w:val="2"/>
          <w:sz w:val="20"/>
        </w:rPr>
        <w:t> </w:t>
      </w:r>
      <w:r>
        <w:rPr>
          <w:position w:val="2"/>
          <w:sz w:val="20"/>
        </w:rPr>
        <w:t>ratio</w:t>
      </w:r>
      <w:r>
        <w:rPr>
          <w:spacing w:val="-1"/>
          <w:position w:val="2"/>
          <w:sz w:val="20"/>
        </w:rPr>
        <w:t> </w:t>
      </w:r>
      <w:r>
        <w:rPr>
          <w:position w:val="2"/>
          <w:sz w:val="20"/>
        </w:rPr>
        <w:t>= </w:t>
      </w:r>
      <w:r>
        <w:rPr>
          <w:rFonts w:ascii="Cambria Math" w:hAnsi="Cambria Math" w:eastAsia="Cambria Math"/>
          <w:position w:val="14"/>
          <w:sz w:val="14"/>
          <w:u w:val="single"/>
        </w:rPr>
        <w:t>𝐶</w:t>
      </w:r>
      <w:r>
        <w:rPr>
          <w:rFonts w:ascii="Cambria Math" w:hAnsi="Cambria Math" w:eastAsia="Cambria Math"/>
          <w:position w:val="11"/>
          <w:sz w:val="12"/>
          <w:u w:val="single"/>
        </w:rPr>
        <w:t>16</w:t>
      </w:r>
      <w:r>
        <w:rPr>
          <w:rFonts w:ascii="Cambria Math" w:hAnsi="Cambria Math" w:eastAsia="Cambria Math"/>
          <w:position w:val="14"/>
          <w:sz w:val="14"/>
          <w:u w:val="single"/>
        </w:rPr>
        <w:t>+𝐶</w:t>
      </w:r>
      <w:r>
        <w:rPr>
          <w:rFonts w:ascii="Cambria Math" w:hAnsi="Cambria Math" w:eastAsia="Cambria Math"/>
          <w:position w:val="11"/>
          <w:sz w:val="12"/>
          <w:u w:val="single"/>
        </w:rPr>
        <w:t>18</w:t>
      </w:r>
      <w:r>
        <w:rPr>
          <w:rFonts w:ascii="Cambria Math" w:hAnsi="Cambria Math" w:eastAsia="Cambria Math"/>
          <w:spacing w:val="63"/>
          <w:position w:val="11"/>
          <w:sz w:val="12"/>
        </w:rPr>
        <w:t> </w:t>
      </w:r>
      <w:r>
        <w:rPr>
          <w:rFonts w:ascii="Cambria Math" w:hAnsi="Cambria Math" w:eastAsia="Cambria Math"/>
          <w:position w:val="2"/>
          <w:sz w:val="20"/>
        </w:rPr>
        <w:t>×</w:t>
      </w:r>
      <w:r>
        <w:rPr>
          <w:rFonts w:ascii="Cambria Math" w:hAnsi="Cambria Math" w:eastAsia="Cambria Math"/>
          <w:spacing w:val="-2"/>
          <w:position w:val="2"/>
          <w:sz w:val="20"/>
        </w:rPr>
        <w:t> </w:t>
      </w:r>
      <w:r>
        <w:rPr>
          <w:rFonts w:ascii="Cambria Math" w:hAnsi="Cambria Math" w:eastAsia="Cambria Math"/>
          <w:spacing w:val="-4"/>
          <w:position w:val="2"/>
          <w:sz w:val="20"/>
        </w:rPr>
        <w:t>100%</w:t>
      </w:r>
      <w:r>
        <w:rPr>
          <w:rFonts w:ascii="Cambria Math" w:hAnsi="Cambria Math" w:eastAsia="Cambria Math"/>
          <w:position w:val="2"/>
          <w:sz w:val="20"/>
        </w:rPr>
        <w:tab/>
      </w:r>
      <w:r>
        <w:rPr>
          <w:spacing w:val="-5"/>
          <w:position w:val="2"/>
          <w:sz w:val="20"/>
        </w:rPr>
        <w:t>(2)</w:t>
      </w:r>
    </w:p>
    <w:p>
      <w:pPr>
        <w:spacing w:line="149" w:lineRule="exact" w:before="0"/>
        <w:ind w:left="979" w:right="0" w:firstLine="0"/>
        <w:jc w:val="center"/>
        <w:rPr>
          <w:rFonts w:ascii="Cambria Math" w:eastAsia="Cambria Math"/>
          <w:sz w:val="12"/>
        </w:rPr>
      </w:pPr>
      <w:r>
        <w:rPr>
          <w:rFonts w:ascii="Cambria Math" w:eastAsia="Cambria Math"/>
          <w:spacing w:val="-2"/>
          <w:w w:val="105"/>
          <w:position w:val="3"/>
          <w:sz w:val="14"/>
        </w:rPr>
        <w:t>𝐶</w:t>
      </w:r>
      <w:r>
        <w:rPr>
          <w:rFonts w:ascii="Cambria Math" w:eastAsia="Cambria Math"/>
          <w:spacing w:val="-2"/>
          <w:w w:val="105"/>
          <w:sz w:val="12"/>
        </w:rPr>
        <w:t>15</w:t>
      </w:r>
      <w:r>
        <w:rPr>
          <w:rFonts w:ascii="Cambria Math" w:eastAsia="Cambria Math"/>
          <w:spacing w:val="-2"/>
          <w:w w:val="105"/>
          <w:position w:val="3"/>
          <w:sz w:val="14"/>
        </w:rPr>
        <w:t>+𝐶</w:t>
      </w:r>
      <w:r>
        <w:rPr>
          <w:rFonts w:ascii="Cambria Math" w:eastAsia="Cambria Math"/>
          <w:spacing w:val="-2"/>
          <w:w w:val="105"/>
          <w:sz w:val="12"/>
        </w:rPr>
        <w:t>17</w:t>
      </w:r>
    </w:p>
    <w:p>
      <w:pPr>
        <w:pStyle w:val="BodyText"/>
        <w:spacing w:before="39"/>
        <w:ind w:left="0"/>
        <w:jc w:val="left"/>
        <w:rPr>
          <w:rFonts w:ascii="Cambria Math"/>
          <w:sz w:val="14"/>
        </w:rPr>
      </w:pPr>
    </w:p>
    <w:p>
      <w:pPr>
        <w:pStyle w:val="BodyText"/>
        <w:spacing w:line="231" w:lineRule="exact"/>
        <w:ind w:left="643"/>
        <w:jc w:val="left"/>
        <w:rPr>
          <w:sz w:val="13"/>
        </w:rPr>
      </w:pPr>
      <w:r>
        <w:rPr>
          <w:position w:val="2"/>
        </w:rPr>
        <w:t>The</w:t>
      </w:r>
      <w:r>
        <w:rPr>
          <w:spacing w:val="-3"/>
          <w:position w:val="2"/>
        </w:rPr>
        <w:t> </w:t>
      </w:r>
      <w:r>
        <w:rPr>
          <w:position w:val="2"/>
        </w:rPr>
        <w:t>proportional</w:t>
      </w:r>
      <w:r>
        <w:rPr>
          <w:spacing w:val="-2"/>
          <w:position w:val="2"/>
        </w:rPr>
        <w:t> </w:t>
      </w:r>
      <w:r>
        <w:rPr>
          <w:position w:val="2"/>
        </w:rPr>
        <w:t>compositions</w:t>
      </w:r>
      <w:r>
        <w:rPr>
          <w:spacing w:val="-2"/>
          <w:position w:val="2"/>
        </w:rPr>
        <w:t> </w:t>
      </w:r>
      <w:r>
        <w:rPr>
          <w:position w:val="2"/>
        </w:rPr>
        <w:t>of</w:t>
      </w:r>
      <w:r>
        <w:rPr>
          <w:spacing w:val="-2"/>
          <w:position w:val="2"/>
        </w:rPr>
        <w:t> </w:t>
      </w:r>
      <w:r>
        <w:rPr>
          <w:position w:val="2"/>
        </w:rPr>
        <w:t>hexadecane,</w:t>
      </w:r>
      <w:r>
        <w:rPr>
          <w:spacing w:val="-1"/>
          <w:position w:val="2"/>
        </w:rPr>
        <w:t> </w:t>
      </w:r>
      <w:r>
        <w:rPr>
          <w:position w:val="2"/>
        </w:rPr>
        <w:t>octadecane,</w:t>
      </w:r>
      <w:r>
        <w:rPr>
          <w:spacing w:val="-3"/>
          <w:position w:val="2"/>
        </w:rPr>
        <w:t> </w:t>
      </w:r>
      <w:r>
        <w:rPr>
          <w:position w:val="2"/>
        </w:rPr>
        <w:t>pentadecane,</w:t>
      </w:r>
      <w:r>
        <w:rPr>
          <w:spacing w:val="-1"/>
          <w:position w:val="2"/>
        </w:rPr>
        <w:t> </w:t>
      </w:r>
      <w:r>
        <w:rPr>
          <w:position w:val="2"/>
        </w:rPr>
        <w:t>and</w:t>
      </w:r>
      <w:r>
        <w:rPr>
          <w:spacing w:val="-2"/>
          <w:position w:val="2"/>
        </w:rPr>
        <w:t> </w:t>
      </w:r>
      <w:r>
        <w:rPr>
          <w:position w:val="2"/>
        </w:rPr>
        <w:t>heptadecane</w:t>
      </w:r>
      <w:r>
        <w:rPr>
          <w:spacing w:val="-4"/>
          <w:position w:val="2"/>
        </w:rPr>
        <w:t> </w:t>
      </w:r>
      <w:r>
        <w:rPr>
          <w:position w:val="2"/>
        </w:rPr>
        <w:t>are</w:t>
      </w:r>
      <w:r>
        <w:rPr>
          <w:spacing w:val="-2"/>
          <w:position w:val="2"/>
        </w:rPr>
        <w:t> </w:t>
      </w:r>
      <w:r>
        <w:rPr>
          <w:position w:val="2"/>
        </w:rPr>
        <w:t>denoted</w:t>
      </w:r>
      <w:r>
        <w:rPr>
          <w:spacing w:val="-1"/>
          <w:position w:val="2"/>
        </w:rPr>
        <w:t> </w:t>
      </w:r>
      <w:r>
        <w:rPr>
          <w:position w:val="2"/>
        </w:rPr>
        <w:t>as</w:t>
      </w:r>
      <w:r>
        <w:rPr>
          <w:spacing w:val="-3"/>
          <w:position w:val="2"/>
        </w:rPr>
        <w:t> </w:t>
      </w:r>
      <w:r>
        <w:rPr>
          <w:position w:val="2"/>
        </w:rPr>
        <w:t>C</w:t>
      </w:r>
      <w:r>
        <w:rPr>
          <w:sz w:val="13"/>
        </w:rPr>
        <w:t>16</w:t>
      </w:r>
      <w:r>
        <w:rPr>
          <w:position w:val="2"/>
        </w:rPr>
        <w:t>,</w:t>
      </w:r>
      <w:r>
        <w:rPr>
          <w:spacing w:val="-2"/>
          <w:position w:val="2"/>
        </w:rPr>
        <w:t> </w:t>
      </w:r>
      <w:r>
        <w:rPr>
          <w:spacing w:val="-5"/>
          <w:position w:val="2"/>
        </w:rPr>
        <w:t>C</w:t>
      </w:r>
      <w:r>
        <w:rPr>
          <w:spacing w:val="-5"/>
          <w:sz w:val="13"/>
        </w:rPr>
        <w:t>18</w:t>
      </w:r>
    </w:p>
    <w:p>
      <w:pPr>
        <w:pStyle w:val="BodyText"/>
        <w:spacing w:line="230" w:lineRule="exact"/>
        <w:jc w:val="left"/>
        <w:rPr>
          <w:position w:val="2"/>
        </w:rPr>
      </w:pPr>
      <w:r>
        <w:rPr>
          <w:position w:val="2"/>
        </w:rPr>
        <w:t>,</w:t>
      </w:r>
      <w:r>
        <w:rPr>
          <w:spacing w:val="-1"/>
          <w:position w:val="2"/>
        </w:rPr>
        <w:t> </w:t>
      </w:r>
      <w:r>
        <w:rPr>
          <w:position w:val="2"/>
        </w:rPr>
        <w:t>C</w:t>
      </w:r>
      <w:r>
        <w:rPr>
          <w:sz w:val="13"/>
        </w:rPr>
        <w:t>15</w:t>
      </w:r>
      <w:r>
        <w:rPr>
          <w:spacing w:val="15"/>
          <w:sz w:val="13"/>
        </w:rPr>
        <w:t> </w:t>
      </w:r>
      <w:r>
        <w:rPr>
          <w:position w:val="2"/>
        </w:rPr>
        <w:t>,</w:t>
      </w:r>
      <w:r>
        <w:rPr>
          <w:spacing w:val="-2"/>
          <w:position w:val="2"/>
        </w:rPr>
        <w:t> </w:t>
      </w:r>
      <w:r>
        <w:rPr>
          <w:position w:val="2"/>
        </w:rPr>
        <w:t>and</w:t>
      </w:r>
      <w:r>
        <w:rPr>
          <w:spacing w:val="-1"/>
          <w:position w:val="2"/>
        </w:rPr>
        <w:t> </w:t>
      </w:r>
      <w:r>
        <w:rPr>
          <w:position w:val="2"/>
        </w:rPr>
        <w:t>C</w:t>
      </w:r>
      <w:r>
        <w:rPr>
          <w:sz w:val="13"/>
        </w:rPr>
        <w:t>17</w:t>
      </w:r>
      <w:r>
        <w:rPr>
          <w:position w:val="2"/>
        </w:rPr>
        <w:t>,</w:t>
      </w:r>
      <w:r>
        <w:rPr>
          <w:spacing w:val="-2"/>
          <w:position w:val="2"/>
        </w:rPr>
        <w:t> respectively.</w:t>
      </w:r>
    </w:p>
    <w:p>
      <w:pPr>
        <w:pStyle w:val="BodyText"/>
        <w:spacing w:line="228" w:lineRule="exact"/>
        <w:ind w:left="643"/>
        <w:jc w:val="left"/>
      </w:pPr>
      <w:r>
        <w:rPr/>
        <w:t>The</w:t>
      </w:r>
      <w:r>
        <w:rPr>
          <w:spacing w:val="-5"/>
        </w:rPr>
        <w:t> </w:t>
      </w:r>
      <w:r>
        <w:rPr/>
        <w:t>cracking</w:t>
      </w:r>
      <w:r>
        <w:rPr>
          <w:spacing w:val="-3"/>
        </w:rPr>
        <w:t> </w:t>
      </w:r>
      <w:r>
        <w:rPr/>
        <w:t>ratio</w:t>
      </w:r>
      <w:r>
        <w:rPr>
          <w:spacing w:val="-3"/>
        </w:rPr>
        <w:t> </w:t>
      </w:r>
      <w:r>
        <w:rPr/>
        <w:t>is</w:t>
      </w:r>
      <w:r>
        <w:rPr>
          <w:spacing w:val="-5"/>
        </w:rPr>
        <w:t> </w:t>
      </w:r>
      <w:r>
        <w:rPr/>
        <w:t>evaluated</w:t>
      </w:r>
      <w:r>
        <w:rPr>
          <w:spacing w:val="-3"/>
        </w:rPr>
        <w:t> </w:t>
      </w:r>
      <w:r>
        <w:rPr/>
        <w:t>by</w:t>
      </w:r>
      <w:r>
        <w:rPr>
          <w:spacing w:val="1"/>
        </w:rPr>
        <w:t> </w:t>
      </w:r>
      <w:r>
        <w:rPr/>
        <w:t>Equation</w:t>
      </w:r>
      <w:r>
        <w:rPr>
          <w:spacing w:val="-4"/>
        </w:rPr>
        <w:t> (3).</w:t>
      </w:r>
    </w:p>
    <w:p>
      <w:pPr>
        <w:pStyle w:val="BodyText"/>
        <w:spacing w:before="46"/>
        <w:ind w:left="0"/>
        <w:jc w:val="left"/>
      </w:pPr>
    </w:p>
    <w:p>
      <w:pPr>
        <w:pStyle w:val="BodyText"/>
        <w:tabs>
          <w:tab w:pos="9429" w:val="left" w:leader="none"/>
        </w:tabs>
        <w:spacing w:line="196" w:lineRule="exact"/>
        <w:ind w:left="2835"/>
        <w:jc w:val="left"/>
      </w:pPr>
      <w:r>
        <w:rPr/>
        <w:t>Crack</w:t>
      </w:r>
      <w:r>
        <w:rPr>
          <w:spacing w:val="4"/>
        </w:rPr>
        <w:t> </w:t>
      </w:r>
      <w:r>
        <w:rPr/>
        <w:t>Ratio</w:t>
      </w:r>
      <w:r>
        <w:rPr>
          <w:spacing w:val="4"/>
        </w:rPr>
        <w:t> </w:t>
      </w:r>
      <w:r>
        <w:rPr/>
        <w:t>=</w:t>
      </w:r>
      <w:r>
        <w:rPr>
          <w:spacing w:val="6"/>
        </w:rPr>
        <w:t> </w:t>
      </w:r>
      <w:r>
        <w:rPr>
          <w:rFonts w:ascii="Cambria Math" w:hAnsi="Cambria Math" w:eastAsia="Cambria Math"/>
          <w:u w:val="single"/>
          <w:vertAlign w:val="superscript"/>
        </w:rPr>
        <w:t>𝐶𝐻𝐶−𝐶15−𝐶16−𝐶17−𝐶18</w:t>
      </w:r>
      <w:r>
        <w:rPr>
          <w:rFonts w:ascii="Cambria Math" w:hAnsi="Cambria Math" w:eastAsia="Cambria Math"/>
          <w:spacing w:val="55"/>
          <w:vertAlign w:val="baseline"/>
        </w:rPr>
        <w:t> </w:t>
      </w:r>
      <w:r>
        <w:rPr>
          <w:rFonts w:ascii="Cambria Math" w:hAnsi="Cambria Math" w:eastAsia="Cambria Math"/>
          <w:vertAlign w:val="baseline"/>
        </w:rPr>
        <w:t>×</w:t>
      </w:r>
      <w:r>
        <w:rPr>
          <w:rFonts w:ascii="Cambria Math" w:hAnsi="Cambria Math" w:eastAsia="Cambria Math"/>
          <w:spacing w:val="6"/>
          <w:vertAlign w:val="baseline"/>
        </w:rPr>
        <w:t> </w:t>
      </w:r>
      <w:r>
        <w:rPr>
          <w:rFonts w:ascii="Cambria Math" w:hAnsi="Cambria Math" w:eastAsia="Cambria Math"/>
          <w:spacing w:val="-4"/>
          <w:vertAlign w:val="baseline"/>
        </w:rPr>
        <w:t>100%</w:t>
      </w:r>
      <w:r>
        <w:rPr>
          <w:rFonts w:ascii="Cambria Math" w:hAnsi="Cambria Math" w:eastAsia="Cambria Math"/>
          <w:vertAlign w:val="baseline"/>
        </w:rPr>
        <w:tab/>
      </w:r>
      <w:r>
        <w:rPr>
          <w:spacing w:val="-5"/>
          <w:vertAlign w:val="baseline"/>
        </w:rPr>
        <w:t>(3)</w:t>
      </w:r>
    </w:p>
    <w:p>
      <w:pPr>
        <w:spacing w:line="151" w:lineRule="exact" w:before="0"/>
        <w:ind w:left="0" w:right="480" w:firstLine="0"/>
        <w:jc w:val="center"/>
        <w:rPr>
          <w:rFonts w:ascii="Cambria Math" w:eastAsia="Cambria Math"/>
          <w:sz w:val="12"/>
        </w:rPr>
      </w:pPr>
      <w:r>
        <w:rPr>
          <w:rFonts w:ascii="Cambria Math" w:eastAsia="Cambria Math"/>
          <w:spacing w:val="-4"/>
          <w:w w:val="110"/>
          <w:position w:val="3"/>
          <w:sz w:val="14"/>
        </w:rPr>
        <w:t>𝐶</w:t>
      </w:r>
      <w:r>
        <w:rPr>
          <w:rFonts w:ascii="Cambria Math" w:eastAsia="Cambria Math"/>
          <w:spacing w:val="-4"/>
          <w:w w:val="110"/>
          <w:sz w:val="12"/>
        </w:rPr>
        <w:t>𝑇𝑂𝐿</w:t>
      </w:r>
    </w:p>
    <w:p>
      <w:pPr>
        <w:pStyle w:val="BodyText"/>
        <w:spacing w:before="66"/>
        <w:ind w:left="0"/>
        <w:jc w:val="left"/>
        <w:rPr>
          <w:rFonts w:ascii="Cambria Math"/>
          <w:sz w:val="12"/>
        </w:rPr>
      </w:pPr>
    </w:p>
    <w:p>
      <w:pPr>
        <w:pStyle w:val="BodyText"/>
        <w:ind w:left="1080" w:hanging="437"/>
        <w:jc w:val="left"/>
        <w:rPr>
          <w:position w:val="2"/>
        </w:rPr>
      </w:pPr>
      <w:r>
        <w:rPr/>
        <w:t>Where</w:t>
      </w:r>
      <w:r>
        <w:rPr>
          <w:spacing w:val="-2"/>
        </w:rPr>
        <w:t> </w:t>
      </w:r>
      <w:r>
        <w:rPr/>
        <w:t>total</w:t>
      </w:r>
      <w:r>
        <w:rPr>
          <w:spacing w:val="-2"/>
        </w:rPr>
        <w:t> </w:t>
      </w:r>
      <w:r>
        <w:rPr/>
        <w:t>hydrocarbons,</w:t>
      </w:r>
      <w:r>
        <w:rPr>
          <w:spacing w:val="-2"/>
        </w:rPr>
        <w:t> </w:t>
      </w:r>
      <w:r>
        <w:rPr/>
        <w:t>pentadecane,</w:t>
      </w:r>
      <w:r>
        <w:rPr>
          <w:spacing w:val="-3"/>
        </w:rPr>
        <w:t> </w:t>
      </w:r>
      <w:r>
        <w:rPr/>
        <w:t>hexadecane,</w:t>
      </w:r>
      <w:r>
        <w:rPr>
          <w:spacing w:val="-3"/>
        </w:rPr>
        <w:t> </w:t>
      </w:r>
      <w:r>
        <w:rPr/>
        <w:t>heptadecane,</w:t>
      </w:r>
      <w:r>
        <w:rPr>
          <w:spacing w:val="-3"/>
        </w:rPr>
        <w:t> </w:t>
      </w:r>
      <w:r>
        <w:rPr/>
        <w:t>octadecane,</w:t>
      </w:r>
      <w:r>
        <w:rPr>
          <w:spacing w:val="-3"/>
        </w:rPr>
        <w:t> </w:t>
      </w:r>
      <w:r>
        <w:rPr/>
        <w:t>and</w:t>
      </w:r>
      <w:r>
        <w:rPr>
          <w:spacing w:val="-1"/>
        </w:rPr>
        <w:t> </w:t>
      </w:r>
      <w:r>
        <w:rPr/>
        <w:t>total</w:t>
      </w:r>
      <w:r>
        <w:rPr>
          <w:spacing w:val="-7"/>
        </w:rPr>
        <w:t> </w:t>
      </w:r>
      <w:r>
        <w:rPr/>
        <w:t>compounds</w:t>
      </w:r>
      <w:r>
        <w:rPr>
          <w:spacing w:val="-2"/>
        </w:rPr>
        <w:t> </w:t>
      </w:r>
      <w:r>
        <w:rPr/>
        <w:t>in</w:t>
      </w:r>
      <w:r>
        <w:rPr>
          <w:spacing w:val="-3"/>
        </w:rPr>
        <w:t> </w:t>
      </w:r>
      <w:r>
        <w:rPr/>
        <w:t>the</w:t>
      </w:r>
      <w:r>
        <w:rPr>
          <w:spacing w:val="-4"/>
        </w:rPr>
        <w:t> </w:t>
      </w:r>
      <w:r>
        <w:rPr/>
        <w:t>liquid </w:t>
      </w:r>
      <w:r>
        <w:rPr>
          <w:position w:val="2"/>
        </w:rPr>
        <w:t>product are denoted by C</w:t>
      </w:r>
      <w:r>
        <w:rPr>
          <w:sz w:val="13"/>
        </w:rPr>
        <w:t>HC</w:t>
      </w:r>
      <w:r>
        <w:rPr>
          <w:position w:val="2"/>
        </w:rPr>
        <w:t>, C</w:t>
      </w:r>
      <w:r>
        <w:rPr>
          <w:sz w:val="13"/>
        </w:rPr>
        <w:t>15</w:t>
      </w:r>
      <w:r>
        <w:rPr>
          <w:position w:val="2"/>
        </w:rPr>
        <w:t>, C</w:t>
      </w:r>
      <w:r>
        <w:rPr>
          <w:sz w:val="13"/>
        </w:rPr>
        <w:t>16</w:t>
      </w:r>
      <w:r>
        <w:rPr>
          <w:position w:val="2"/>
        </w:rPr>
        <w:t>, C</w:t>
      </w:r>
      <w:r>
        <w:rPr>
          <w:sz w:val="13"/>
        </w:rPr>
        <w:t>17</w:t>
      </w:r>
      <w:r>
        <w:rPr>
          <w:position w:val="2"/>
        </w:rPr>
        <w:t>, C</w:t>
      </w:r>
      <w:r>
        <w:rPr>
          <w:sz w:val="13"/>
        </w:rPr>
        <w:t>18</w:t>
      </w:r>
      <w:r>
        <w:rPr>
          <w:position w:val="2"/>
        </w:rPr>
        <w:t>, and C</w:t>
      </w:r>
      <w:r>
        <w:rPr>
          <w:sz w:val="13"/>
        </w:rPr>
        <w:t>TOL</w:t>
      </w:r>
      <w:r>
        <w:rPr>
          <w:position w:val="2"/>
        </w:rPr>
        <w:t>.</w:t>
      </w:r>
    </w:p>
    <w:p>
      <w:pPr>
        <w:pStyle w:val="BodyText"/>
        <w:spacing w:before="5"/>
        <w:ind w:left="0"/>
        <w:jc w:val="left"/>
      </w:pPr>
    </w:p>
    <w:p>
      <w:pPr>
        <w:pStyle w:val="Heading2"/>
      </w:pPr>
      <w:r>
        <w:rPr/>
        <w:t>Experimental</w:t>
      </w:r>
      <w:r>
        <w:rPr>
          <w:spacing w:val="-2"/>
        </w:rPr>
        <w:t> design</w:t>
      </w:r>
    </w:p>
    <w:p>
      <w:pPr>
        <w:pStyle w:val="BodyText"/>
        <w:spacing w:before="241"/>
        <w:ind w:right="243" w:firstLine="283"/>
        <w:jc w:val="left"/>
      </w:pPr>
      <w:r>
        <w:rPr/>
        <w:t>A Box-Behnken experimental design with three variables was used to examine the response pattern and identify the</w:t>
      </w:r>
      <w:r>
        <w:rPr>
          <w:spacing w:val="-2"/>
        </w:rPr>
        <w:t> </w:t>
      </w:r>
      <w:r>
        <w:rPr/>
        <w:t>optimal</w:t>
      </w:r>
      <w:r>
        <w:rPr>
          <w:spacing w:val="-2"/>
        </w:rPr>
        <w:t> </w:t>
      </w:r>
      <w:r>
        <w:rPr/>
        <w:t>combination</w:t>
      </w:r>
      <w:r>
        <w:rPr>
          <w:spacing w:val="-1"/>
        </w:rPr>
        <w:t> </w:t>
      </w:r>
      <w:r>
        <w:rPr/>
        <w:t>of</w:t>
      </w:r>
      <w:r>
        <w:rPr>
          <w:spacing w:val="-1"/>
        </w:rPr>
        <w:t> </w:t>
      </w:r>
      <w:r>
        <w:rPr/>
        <w:t>variables.</w:t>
      </w:r>
      <w:r>
        <w:rPr>
          <w:spacing w:val="-2"/>
        </w:rPr>
        <w:t> </w:t>
      </w:r>
      <w:r>
        <w:rPr/>
        <w:t>The</w:t>
      </w:r>
      <w:r>
        <w:rPr>
          <w:spacing w:val="-2"/>
        </w:rPr>
        <w:t> </w:t>
      </w:r>
      <w:r>
        <w:rPr/>
        <w:t>effects</w:t>
      </w:r>
      <w:r>
        <w:rPr>
          <w:spacing w:val="-3"/>
        </w:rPr>
        <w:t> </w:t>
      </w:r>
      <w:r>
        <w:rPr/>
        <w:t>of</w:t>
      </w:r>
      <w:r>
        <w:rPr>
          <w:spacing w:val="-1"/>
        </w:rPr>
        <w:t> </w:t>
      </w:r>
      <w:r>
        <w:rPr/>
        <w:t>reaction</w:t>
      </w:r>
      <w:r>
        <w:rPr>
          <w:spacing w:val="-2"/>
        </w:rPr>
        <w:t> </w:t>
      </w:r>
      <w:r>
        <w:rPr/>
        <w:t>temperature</w:t>
      </w:r>
      <w:r>
        <w:rPr>
          <w:spacing w:val="-2"/>
        </w:rPr>
        <w:t> </w:t>
      </w:r>
      <w:r>
        <w:rPr/>
        <w:t>(A,</w:t>
      </w:r>
      <w:r>
        <w:rPr>
          <w:spacing w:val="-1"/>
        </w:rPr>
        <w:t> </w:t>
      </w:r>
      <w:r>
        <w:rPr/>
        <w:t>in</w:t>
      </w:r>
      <w:r>
        <w:rPr>
          <w:spacing w:val="-1"/>
        </w:rPr>
        <w:t> </w:t>
      </w:r>
      <w:r>
        <w:rPr/>
        <w:t>°C),</w:t>
      </w:r>
      <w:r>
        <w:rPr>
          <w:spacing w:val="-2"/>
        </w:rPr>
        <w:t> </w:t>
      </w:r>
      <w:r>
        <w:rPr/>
        <w:t>reaction</w:t>
      </w:r>
      <w:r>
        <w:rPr>
          <w:spacing w:val="-1"/>
        </w:rPr>
        <w:t> </w:t>
      </w:r>
      <w:r>
        <w:rPr/>
        <w:t>time</w:t>
      </w:r>
      <w:r>
        <w:rPr>
          <w:spacing w:val="-2"/>
        </w:rPr>
        <w:t> </w:t>
      </w:r>
      <w:r>
        <w:rPr/>
        <w:t>(B,</w:t>
      </w:r>
      <w:r>
        <w:rPr>
          <w:spacing w:val="-2"/>
        </w:rPr>
        <w:t> </w:t>
      </w:r>
      <w:r>
        <w:rPr/>
        <w:t>in</w:t>
      </w:r>
      <w:r>
        <w:rPr>
          <w:spacing w:val="-1"/>
        </w:rPr>
        <w:t> </w:t>
      </w:r>
      <w:r>
        <w:rPr/>
        <w:t>hours),</w:t>
      </w:r>
      <w:r>
        <w:rPr>
          <w:spacing w:val="-2"/>
        </w:rPr>
        <w:t> </w:t>
      </w:r>
      <w:r>
        <w:rPr>
          <w:spacing w:val="-5"/>
        </w:rPr>
        <w:t>and</w:t>
      </w:r>
    </w:p>
    <w:p>
      <w:pPr>
        <w:pStyle w:val="BodyText"/>
        <w:spacing w:after="0"/>
        <w:jc w:val="left"/>
        <w:sectPr>
          <w:type w:val="continuous"/>
          <w:pgSz w:w="12240" w:h="15840"/>
          <w:pgMar w:top="1820" w:bottom="280" w:left="1080" w:right="1080"/>
        </w:sectPr>
      </w:pPr>
    </w:p>
    <w:p>
      <w:pPr>
        <w:pStyle w:val="BodyText"/>
        <w:spacing w:before="80"/>
        <w:jc w:val="left"/>
      </w:pPr>
      <w:r>
        <w:rPr/>
        <w:t>catalyst loading (C, in grams) at three different levels are summarized</w:t>
      </w:r>
      <w:r>
        <w:rPr>
          <w:spacing w:val="15"/>
        </w:rPr>
        <w:t> </w:t>
      </w:r>
      <w:r>
        <w:rPr/>
        <w:t>in</w:t>
      </w:r>
      <w:r>
        <w:rPr>
          <w:spacing w:val="22"/>
        </w:rPr>
        <w:t> </w:t>
      </w:r>
      <w:r>
        <w:rPr/>
        <w:t>Table 1. A total of 15 experiments were</w:t>
      </w:r>
      <w:r>
        <w:rPr>
          <w:spacing w:val="80"/>
        </w:rPr>
        <w:t> </w:t>
      </w:r>
      <w:r>
        <w:rPr/>
        <w:t>conducted and analyzed using Minitab 18 software.</w:t>
      </w:r>
    </w:p>
    <w:p>
      <w:pPr>
        <w:spacing w:before="121"/>
        <w:ind w:left="0" w:right="0" w:firstLine="0"/>
        <w:jc w:val="center"/>
        <w:rPr>
          <w:sz w:val="18"/>
        </w:rPr>
      </w:pPr>
      <w:r>
        <w:rPr>
          <w:b/>
          <w:sz w:val="18"/>
        </w:rPr>
        <w:t>Table</w:t>
      </w:r>
      <w:r>
        <w:rPr>
          <w:b/>
          <w:spacing w:val="-4"/>
          <w:sz w:val="18"/>
        </w:rPr>
        <w:t> </w:t>
      </w:r>
      <w:r>
        <w:rPr>
          <w:b/>
          <w:sz w:val="18"/>
        </w:rPr>
        <w:t>1.</w:t>
      </w:r>
      <w:r>
        <w:rPr>
          <w:b/>
          <w:spacing w:val="-1"/>
          <w:sz w:val="18"/>
        </w:rPr>
        <w:t> </w:t>
      </w:r>
      <w:r>
        <w:rPr>
          <w:sz w:val="18"/>
        </w:rPr>
        <w:t>Input</w:t>
      </w:r>
      <w:r>
        <w:rPr>
          <w:spacing w:val="-1"/>
          <w:sz w:val="18"/>
        </w:rPr>
        <w:t> </w:t>
      </w:r>
      <w:r>
        <w:rPr>
          <w:sz w:val="18"/>
        </w:rPr>
        <w:t>variables</w:t>
      </w:r>
      <w:r>
        <w:rPr>
          <w:spacing w:val="-3"/>
          <w:sz w:val="18"/>
        </w:rPr>
        <w:t> </w:t>
      </w:r>
      <w:r>
        <w:rPr>
          <w:sz w:val="18"/>
        </w:rPr>
        <w:t>and</w:t>
      </w:r>
      <w:r>
        <w:rPr>
          <w:spacing w:val="-1"/>
          <w:sz w:val="18"/>
        </w:rPr>
        <w:t> </w:t>
      </w:r>
      <w:r>
        <w:rPr>
          <w:sz w:val="18"/>
        </w:rPr>
        <w:t>experimental</w:t>
      </w:r>
      <w:r>
        <w:rPr>
          <w:spacing w:val="-1"/>
          <w:sz w:val="18"/>
        </w:rPr>
        <w:t> </w:t>
      </w:r>
      <w:r>
        <w:rPr>
          <w:sz w:val="18"/>
        </w:rPr>
        <w:t>levels</w:t>
      </w:r>
      <w:r>
        <w:rPr>
          <w:spacing w:val="-2"/>
          <w:sz w:val="18"/>
        </w:rPr>
        <w:t> </w:t>
      </w:r>
      <w:r>
        <w:rPr>
          <w:sz w:val="18"/>
        </w:rPr>
        <w:t>for</w:t>
      </w:r>
      <w:r>
        <w:rPr>
          <w:spacing w:val="-2"/>
          <w:sz w:val="18"/>
        </w:rPr>
        <w:t> </w:t>
      </w:r>
      <w:r>
        <w:rPr>
          <w:sz w:val="18"/>
        </w:rPr>
        <w:t>Box-Behnken</w:t>
      </w:r>
      <w:r>
        <w:rPr>
          <w:spacing w:val="-2"/>
          <w:sz w:val="18"/>
        </w:rPr>
        <w:t> </w:t>
      </w:r>
      <w:r>
        <w:rPr>
          <w:sz w:val="18"/>
        </w:rPr>
        <w:t>on</w:t>
      </w:r>
      <w:r>
        <w:rPr>
          <w:spacing w:val="-3"/>
          <w:sz w:val="18"/>
        </w:rPr>
        <w:t> </w:t>
      </w:r>
      <w:r>
        <w:rPr>
          <w:sz w:val="18"/>
        </w:rPr>
        <w:t>hydrocarbon</w:t>
      </w:r>
      <w:r>
        <w:rPr>
          <w:spacing w:val="-2"/>
          <w:sz w:val="18"/>
        </w:rPr>
        <w:t> yields</w:t>
      </w:r>
    </w:p>
    <w:tbl>
      <w:tblPr>
        <w:tblW w:w="0" w:type="auto"/>
        <w:jc w:val="left"/>
        <w:tblInd w:w="10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767"/>
        <w:gridCol w:w="1611"/>
        <w:gridCol w:w="1437"/>
        <w:gridCol w:w="1135"/>
        <w:gridCol w:w="1095"/>
      </w:tblGrid>
      <w:tr>
        <w:trPr>
          <w:trHeight w:val="234" w:hRule="atLeast"/>
        </w:trPr>
        <w:tc>
          <w:tcPr>
            <w:tcW w:w="2767" w:type="dxa"/>
            <w:vMerge w:val="restart"/>
            <w:tcBorders>
              <w:top w:val="single" w:sz="4" w:space="0" w:color="000000"/>
              <w:bottom w:val="single" w:sz="4" w:space="0" w:color="000000"/>
            </w:tcBorders>
          </w:tcPr>
          <w:p>
            <w:pPr>
              <w:pStyle w:val="TableParagraph"/>
              <w:spacing w:before="120"/>
              <w:ind w:left="904"/>
              <w:jc w:val="left"/>
              <w:rPr>
                <w:b/>
                <w:sz w:val="20"/>
              </w:rPr>
            </w:pPr>
            <w:r>
              <w:rPr>
                <w:b/>
                <w:spacing w:val="-2"/>
                <w:sz w:val="20"/>
              </w:rPr>
              <w:t>Variables</w:t>
            </w:r>
          </w:p>
        </w:tc>
        <w:tc>
          <w:tcPr>
            <w:tcW w:w="1611" w:type="dxa"/>
            <w:vMerge w:val="restart"/>
            <w:tcBorders>
              <w:top w:val="single" w:sz="4" w:space="0" w:color="000000"/>
              <w:bottom w:val="single" w:sz="4" w:space="0" w:color="000000"/>
            </w:tcBorders>
          </w:tcPr>
          <w:p>
            <w:pPr>
              <w:pStyle w:val="TableParagraph"/>
              <w:spacing w:before="120"/>
              <w:ind w:left="432"/>
              <w:jc w:val="left"/>
              <w:rPr>
                <w:b/>
                <w:sz w:val="20"/>
              </w:rPr>
            </w:pPr>
            <w:r>
              <w:rPr>
                <w:b/>
                <w:spacing w:val="-2"/>
                <w:sz w:val="20"/>
              </w:rPr>
              <w:t>Symbol</w:t>
            </w:r>
          </w:p>
        </w:tc>
        <w:tc>
          <w:tcPr>
            <w:tcW w:w="3667" w:type="dxa"/>
            <w:gridSpan w:val="3"/>
            <w:tcBorders>
              <w:top w:val="single" w:sz="4" w:space="0" w:color="000000"/>
            </w:tcBorders>
          </w:tcPr>
          <w:p>
            <w:pPr>
              <w:pStyle w:val="TableParagraph"/>
              <w:tabs>
                <w:tab w:pos="533" w:val="left" w:leader="none"/>
                <w:tab w:pos="3665" w:val="left" w:leader="none"/>
              </w:tabs>
              <w:spacing w:line="215" w:lineRule="exact"/>
              <w:ind w:left="46"/>
              <w:jc w:val="left"/>
              <w:rPr>
                <w:b/>
                <w:sz w:val="20"/>
              </w:rPr>
            </w:pPr>
            <w:r>
              <w:rPr>
                <w:b/>
                <w:sz w:val="20"/>
                <w:u w:val="single"/>
              </w:rPr>
              <w:tab/>
            </w:r>
            <w:r>
              <w:rPr>
                <w:b/>
                <w:spacing w:val="-2"/>
                <w:sz w:val="20"/>
                <w:u w:val="single"/>
              </w:rPr>
              <w:t>Level</w:t>
            </w:r>
            <w:r>
              <w:rPr>
                <w:b/>
                <w:sz w:val="20"/>
                <w:u w:val="single"/>
              </w:rPr>
              <w:tab/>
            </w:r>
          </w:p>
        </w:tc>
      </w:tr>
      <w:tr>
        <w:trPr>
          <w:trHeight w:val="225" w:hRule="atLeast"/>
        </w:trPr>
        <w:tc>
          <w:tcPr>
            <w:tcW w:w="2767" w:type="dxa"/>
            <w:vMerge/>
            <w:tcBorders>
              <w:top w:val="nil"/>
              <w:bottom w:val="single" w:sz="4" w:space="0" w:color="000000"/>
            </w:tcBorders>
          </w:tcPr>
          <w:p>
            <w:pPr>
              <w:rPr>
                <w:sz w:val="2"/>
                <w:szCs w:val="2"/>
              </w:rPr>
            </w:pPr>
          </w:p>
        </w:tc>
        <w:tc>
          <w:tcPr>
            <w:tcW w:w="1611" w:type="dxa"/>
            <w:vMerge/>
            <w:tcBorders>
              <w:top w:val="nil"/>
              <w:bottom w:val="single" w:sz="4" w:space="0" w:color="000000"/>
            </w:tcBorders>
          </w:tcPr>
          <w:p>
            <w:pPr>
              <w:rPr>
                <w:sz w:val="2"/>
                <w:szCs w:val="2"/>
              </w:rPr>
            </w:pPr>
          </w:p>
        </w:tc>
        <w:tc>
          <w:tcPr>
            <w:tcW w:w="1437" w:type="dxa"/>
            <w:tcBorders>
              <w:bottom w:val="single" w:sz="4" w:space="0" w:color="000000"/>
            </w:tcBorders>
          </w:tcPr>
          <w:p>
            <w:pPr>
              <w:pStyle w:val="TableParagraph"/>
              <w:spacing w:line="205" w:lineRule="exact"/>
              <w:ind w:left="95" w:right="1"/>
              <w:rPr>
                <w:sz w:val="20"/>
              </w:rPr>
            </w:pPr>
            <w:r>
              <w:rPr>
                <w:spacing w:val="-2"/>
                <w:sz w:val="20"/>
              </w:rPr>
              <w:t>-</w:t>
            </w:r>
            <w:r>
              <w:rPr>
                <w:spacing w:val="-12"/>
                <w:sz w:val="20"/>
              </w:rPr>
              <w:t>1</w:t>
            </w:r>
          </w:p>
        </w:tc>
        <w:tc>
          <w:tcPr>
            <w:tcW w:w="1135" w:type="dxa"/>
            <w:tcBorders>
              <w:bottom w:val="single" w:sz="4" w:space="0" w:color="000000"/>
            </w:tcBorders>
          </w:tcPr>
          <w:p>
            <w:pPr>
              <w:pStyle w:val="TableParagraph"/>
              <w:spacing w:line="205" w:lineRule="exact"/>
              <w:ind w:left="43" w:right="1"/>
              <w:rPr>
                <w:sz w:val="20"/>
              </w:rPr>
            </w:pPr>
            <w:r>
              <w:rPr>
                <w:spacing w:val="-10"/>
                <w:sz w:val="20"/>
              </w:rPr>
              <w:t>0</w:t>
            </w:r>
          </w:p>
        </w:tc>
        <w:tc>
          <w:tcPr>
            <w:tcW w:w="1095" w:type="dxa"/>
            <w:tcBorders>
              <w:bottom w:val="single" w:sz="4" w:space="0" w:color="000000"/>
            </w:tcBorders>
          </w:tcPr>
          <w:p>
            <w:pPr>
              <w:pStyle w:val="TableParagraph"/>
              <w:spacing w:line="205" w:lineRule="exact"/>
              <w:ind w:right="5"/>
              <w:rPr>
                <w:sz w:val="20"/>
              </w:rPr>
            </w:pPr>
            <w:r>
              <w:rPr>
                <w:spacing w:val="-10"/>
                <w:sz w:val="20"/>
              </w:rPr>
              <w:t>1</w:t>
            </w:r>
          </w:p>
        </w:tc>
      </w:tr>
      <w:tr>
        <w:trPr>
          <w:trHeight w:val="234" w:hRule="atLeast"/>
        </w:trPr>
        <w:tc>
          <w:tcPr>
            <w:tcW w:w="2767" w:type="dxa"/>
            <w:tcBorders>
              <w:top w:val="single" w:sz="4" w:space="0" w:color="000000"/>
            </w:tcBorders>
          </w:tcPr>
          <w:p>
            <w:pPr>
              <w:pStyle w:val="TableParagraph"/>
              <w:spacing w:line="215" w:lineRule="exact"/>
              <w:ind w:left="120"/>
              <w:jc w:val="left"/>
              <w:rPr>
                <w:sz w:val="20"/>
              </w:rPr>
            </w:pPr>
            <w:r>
              <w:rPr>
                <w:sz w:val="20"/>
              </w:rPr>
              <w:t>Reaction</w:t>
            </w:r>
            <w:r>
              <w:rPr>
                <w:spacing w:val="-3"/>
                <w:sz w:val="20"/>
              </w:rPr>
              <w:t> </w:t>
            </w:r>
            <w:r>
              <w:rPr>
                <w:sz w:val="20"/>
              </w:rPr>
              <w:t>Temperature</w:t>
            </w:r>
            <w:r>
              <w:rPr>
                <w:spacing w:val="-6"/>
                <w:sz w:val="20"/>
              </w:rPr>
              <w:t> </w:t>
            </w:r>
            <w:r>
              <w:rPr>
                <w:sz w:val="20"/>
              </w:rPr>
              <w:t>(</w:t>
            </w:r>
            <w:r>
              <w:rPr>
                <w:sz w:val="20"/>
                <w:vertAlign w:val="superscript"/>
              </w:rPr>
              <w:t>0</w:t>
            </w:r>
            <w:r>
              <w:rPr>
                <w:spacing w:val="-4"/>
                <w:sz w:val="20"/>
                <w:vertAlign w:val="baseline"/>
              </w:rPr>
              <w:t> </w:t>
            </w:r>
            <w:r>
              <w:rPr>
                <w:spacing w:val="-5"/>
                <w:sz w:val="20"/>
                <w:vertAlign w:val="baseline"/>
              </w:rPr>
              <w:t>C)</w:t>
            </w:r>
          </w:p>
        </w:tc>
        <w:tc>
          <w:tcPr>
            <w:tcW w:w="1611" w:type="dxa"/>
            <w:tcBorders>
              <w:top w:val="single" w:sz="4" w:space="0" w:color="000000"/>
            </w:tcBorders>
          </w:tcPr>
          <w:p>
            <w:pPr>
              <w:pStyle w:val="TableParagraph"/>
              <w:spacing w:line="215" w:lineRule="exact"/>
              <w:ind w:left="684"/>
              <w:jc w:val="left"/>
              <w:rPr>
                <w:sz w:val="20"/>
              </w:rPr>
            </w:pPr>
            <w:r>
              <w:rPr>
                <w:spacing w:val="-10"/>
                <w:sz w:val="20"/>
              </w:rPr>
              <w:t>A</w:t>
            </w:r>
          </w:p>
        </w:tc>
        <w:tc>
          <w:tcPr>
            <w:tcW w:w="1437" w:type="dxa"/>
            <w:tcBorders>
              <w:top w:val="single" w:sz="4" w:space="0" w:color="000000"/>
            </w:tcBorders>
          </w:tcPr>
          <w:p>
            <w:pPr>
              <w:pStyle w:val="TableParagraph"/>
              <w:spacing w:line="215" w:lineRule="exact"/>
              <w:ind w:left="95"/>
              <w:rPr>
                <w:sz w:val="20"/>
              </w:rPr>
            </w:pPr>
            <w:r>
              <w:rPr>
                <w:spacing w:val="-5"/>
                <w:sz w:val="20"/>
              </w:rPr>
              <w:t>250</w:t>
            </w:r>
          </w:p>
        </w:tc>
        <w:tc>
          <w:tcPr>
            <w:tcW w:w="1135" w:type="dxa"/>
            <w:tcBorders>
              <w:top w:val="single" w:sz="4" w:space="0" w:color="000000"/>
            </w:tcBorders>
          </w:tcPr>
          <w:p>
            <w:pPr>
              <w:pStyle w:val="TableParagraph"/>
              <w:spacing w:line="215" w:lineRule="exact"/>
              <w:ind w:left="43"/>
              <w:rPr>
                <w:sz w:val="20"/>
              </w:rPr>
            </w:pPr>
            <w:r>
              <w:rPr>
                <w:spacing w:val="-5"/>
                <w:sz w:val="20"/>
              </w:rPr>
              <w:t>275</w:t>
            </w:r>
          </w:p>
        </w:tc>
        <w:tc>
          <w:tcPr>
            <w:tcW w:w="1095" w:type="dxa"/>
            <w:tcBorders>
              <w:top w:val="single" w:sz="4" w:space="0" w:color="000000"/>
            </w:tcBorders>
          </w:tcPr>
          <w:p>
            <w:pPr>
              <w:pStyle w:val="TableParagraph"/>
              <w:spacing w:line="215" w:lineRule="exact"/>
              <w:ind w:left="1" w:right="5"/>
              <w:rPr>
                <w:sz w:val="20"/>
              </w:rPr>
            </w:pPr>
            <w:r>
              <w:rPr>
                <w:spacing w:val="-5"/>
                <w:sz w:val="20"/>
              </w:rPr>
              <w:t>300</w:t>
            </w:r>
          </w:p>
        </w:tc>
      </w:tr>
      <w:tr>
        <w:trPr>
          <w:trHeight w:val="230" w:hRule="atLeast"/>
        </w:trPr>
        <w:tc>
          <w:tcPr>
            <w:tcW w:w="2767" w:type="dxa"/>
          </w:tcPr>
          <w:p>
            <w:pPr>
              <w:pStyle w:val="TableParagraph"/>
              <w:spacing w:line="210" w:lineRule="exact"/>
              <w:ind w:left="120"/>
              <w:jc w:val="left"/>
              <w:rPr>
                <w:sz w:val="20"/>
              </w:rPr>
            </w:pPr>
            <w:r>
              <w:rPr>
                <w:sz w:val="20"/>
              </w:rPr>
              <w:t>Reaction</w:t>
            </w:r>
            <w:r>
              <w:rPr>
                <w:spacing w:val="-5"/>
                <w:sz w:val="20"/>
              </w:rPr>
              <w:t> </w:t>
            </w:r>
            <w:r>
              <w:rPr>
                <w:sz w:val="20"/>
              </w:rPr>
              <w:t>time</w:t>
            </w:r>
            <w:r>
              <w:rPr>
                <w:spacing w:val="-5"/>
                <w:sz w:val="20"/>
              </w:rPr>
              <w:t> </w:t>
            </w:r>
            <w:r>
              <w:rPr>
                <w:spacing w:val="-2"/>
                <w:sz w:val="20"/>
              </w:rPr>
              <w:t>(hour)</w:t>
            </w:r>
          </w:p>
        </w:tc>
        <w:tc>
          <w:tcPr>
            <w:tcW w:w="1611" w:type="dxa"/>
          </w:tcPr>
          <w:p>
            <w:pPr>
              <w:pStyle w:val="TableParagraph"/>
              <w:spacing w:line="210" w:lineRule="exact"/>
              <w:ind w:left="689"/>
              <w:jc w:val="left"/>
              <w:rPr>
                <w:sz w:val="20"/>
              </w:rPr>
            </w:pPr>
            <w:r>
              <w:rPr>
                <w:spacing w:val="-10"/>
                <w:sz w:val="20"/>
              </w:rPr>
              <w:t>B</w:t>
            </w:r>
          </w:p>
        </w:tc>
        <w:tc>
          <w:tcPr>
            <w:tcW w:w="1437" w:type="dxa"/>
          </w:tcPr>
          <w:p>
            <w:pPr>
              <w:pStyle w:val="TableParagraph"/>
              <w:spacing w:line="210" w:lineRule="exact"/>
              <w:ind w:left="95" w:right="1"/>
              <w:rPr>
                <w:sz w:val="20"/>
              </w:rPr>
            </w:pPr>
            <w:r>
              <w:rPr>
                <w:spacing w:val="-10"/>
                <w:sz w:val="20"/>
              </w:rPr>
              <w:t>3</w:t>
            </w:r>
          </w:p>
        </w:tc>
        <w:tc>
          <w:tcPr>
            <w:tcW w:w="1135" w:type="dxa"/>
          </w:tcPr>
          <w:p>
            <w:pPr>
              <w:pStyle w:val="TableParagraph"/>
              <w:spacing w:line="210" w:lineRule="exact"/>
              <w:ind w:left="43" w:right="1"/>
              <w:rPr>
                <w:sz w:val="20"/>
              </w:rPr>
            </w:pPr>
            <w:r>
              <w:rPr>
                <w:spacing w:val="-10"/>
                <w:sz w:val="20"/>
              </w:rPr>
              <w:t>4</w:t>
            </w:r>
          </w:p>
        </w:tc>
        <w:tc>
          <w:tcPr>
            <w:tcW w:w="1095" w:type="dxa"/>
          </w:tcPr>
          <w:p>
            <w:pPr>
              <w:pStyle w:val="TableParagraph"/>
              <w:spacing w:line="210" w:lineRule="exact"/>
              <w:ind w:right="5"/>
              <w:rPr>
                <w:sz w:val="20"/>
              </w:rPr>
            </w:pPr>
            <w:r>
              <w:rPr>
                <w:spacing w:val="-10"/>
                <w:sz w:val="20"/>
              </w:rPr>
              <w:t>5</w:t>
            </w:r>
          </w:p>
        </w:tc>
      </w:tr>
      <w:tr>
        <w:trPr>
          <w:trHeight w:val="225" w:hRule="atLeast"/>
        </w:trPr>
        <w:tc>
          <w:tcPr>
            <w:tcW w:w="2767" w:type="dxa"/>
            <w:tcBorders>
              <w:bottom w:val="single" w:sz="4" w:space="0" w:color="000000"/>
            </w:tcBorders>
          </w:tcPr>
          <w:p>
            <w:pPr>
              <w:pStyle w:val="TableParagraph"/>
              <w:spacing w:line="205" w:lineRule="exact"/>
              <w:ind w:left="120"/>
              <w:jc w:val="left"/>
              <w:rPr>
                <w:sz w:val="20"/>
              </w:rPr>
            </w:pPr>
            <w:r>
              <w:rPr>
                <w:sz w:val="20"/>
              </w:rPr>
              <w:t>Catalyst</w:t>
            </w:r>
            <w:r>
              <w:rPr>
                <w:spacing w:val="-7"/>
                <w:sz w:val="20"/>
              </w:rPr>
              <w:t> </w:t>
            </w:r>
            <w:r>
              <w:rPr>
                <w:sz w:val="20"/>
              </w:rPr>
              <w:t>Loading</w:t>
            </w:r>
            <w:r>
              <w:rPr>
                <w:spacing w:val="-5"/>
                <w:sz w:val="20"/>
              </w:rPr>
              <w:t> (g)</w:t>
            </w:r>
          </w:p>
        </w:tc>
        <w:tc>
          <w:tcPr>
            <w:tcW w:w="1611" w:type="dxa"/>
            <w:tcBorders>
              <w:bottom w:val="single" w:sz="4" w:space="0" w:color="000000"/>
            </w:tcBorders>
          </w:tcPr>
          <w:p>
            <w:pPr>
              <w:pStyle w:val="TableParagraph"/>
              <w:spacing w:line="205" w:lineRule="exact"/>
              <w:ind w:left="689"/>
              <w:jc w:val="left"/>
              <w:rPr>
                <w:sz w:val="20"/>
              </w:rPr>
            </w:pPr>
            <w:r>
              <w:rPr>
                <w:spacing w:val="-10"/>
                <w:sz w:val="20"/>
              </w:rPr>
              <w:t>C</w:t>
            </w:r>
          </w:p>
        </w:tc>
        <w:tc>
          <w:tcPr>
            <w:tcW w:w="1437" w:type="dxa"/>
            <w:tcBorders>
              <w:bottom w:val="single" w:sz="4" w:space="0" w:color="000000"/>
            </w:tcBorders>
          </w:tcPr>
          <w:p>
            <w:pPr>
              <w:pStyle w:val="TableParagraph"/>
              <w:spacing w:line="205" w:lineRule="exact"/>
              <w:ind w:left="95" w:right="1"/>
              <w:rPr>
                <w:sz w:val="20"/>
              </w:rPr>
            </w:pPr>
            <w:r>
              <w:rPr>
                <w:spacing w:val="-10"/>
                <w:sz w:val="20"/>
              </w:rPr>
              <w:t>3</w:t>
            </w:r>
          </w:p>
        </w:tc>
        <w:tc>
          <w:tcPr>
            <w:tcW w:w="1135" w:type="dxa"/>
            <w:tcBorders>
              <w:bottom w:val="single" w:sz="4" w:space="0" w:color="000000"/>
            </w:tcBorders>
          </w:tcPr>
          <w:p>
            <w:pPr>
              <w:pStyle w:val="TableParagraph"/>
              <w:spacing w:line="205" w:lineRule="exact"/>
              <w:ind w:left="43" w:right="1"/>
              <w:rPr>
                <w:sz w:val="20"/>
              </w:rPr>
            </w:pPr>
            <w:r>
              <w:rPr>
                <w:spacing w:val="-10"/>
                <w:sz w:val="20"/>
              </w:rPr>
              <w:t>5</w:t>
            </w:r>
          </w:p>
        </w:tc>
        <w:tc>
          <w:tcPr>
            <w:tcW w:w="1095" w:type="dxa"/>
            <w:tcBorders>
              <w:bottom w:val="single" w:sz="4" w:space="0" w:color="000000"/>
            </w:tcBorders>
          </w:tcPr>
          <w:p>
            <w:pPr>
              <w:pStyle w:val="TableParagraph"/>
              <w:spacing w:line="205" w:lineRule="exact"/>
              <w:ind w:right="5"/>
              <w:rPr>
                <w:sz w:val="20"/>
              </w:rPr>
            </w:pPr>
            <w:r>
              <w:rPr>
                <w:spacing w:val="-10"/>
                <w:sz w:val="20"/>
              </w:rPr>
              <w:t>7</w:t>
            </w:r>
          </w:p>
        </w:tc>
      </w:tr>
    </w:tbl>
    <w:p>
      <w:pPr>
        <w:pStyle w:val="BodyText"/>
        <w:ind w:left="0"/>
        <w:jc w:val="left"/>
        <w:rPr>
          <w:sz w:val="18"/>
        </w:rPr>
      </w:pPr>
    </w:p>
    <w:p>
      <w:pPr>
        <w:pStyle w:val="BodyText"/>
        <w:ind w:left="0"/>
        <w:jc w:val="left"/>
        <w:rPr>
          <w:sz w:val="18"/>
        </w:rPr>
      </w:pPr>
    </w:p>
    <w:p>
      <w:pPr>
        <w:pStyle w:val="BodyText"/>
        <w:spacing w:before="78"/>
        <w:ind w:left="0"/>
        <w:jc w:val="left"/>
        <w:rPr>
          <w:sz w:val="18"/>
        </w:rPr>
      </w:pPr>
    </w:p>
    <w:p>
      <w:pPr>
        <w:pStyle w:val="Heading1"/>
      </w:pPr>
      <w:r>
        <w:rPr/>
        <w:t>RESULTS</w:t>
      </w:r>
      <w:r>
        <w:rPr>
          <w:spacing w:val="-1"/>
        </w:rPr>
        <w:t> </w:t>
      </w:r>
      <w:r>
        <w:rPr/>
        <w:t>AND </w:t>
      </w:r>
      <w:r>
        <w:rPr>
          <w:spacing w:val="-2"/>
        </w:rPr>
        <w:t>DISCUSSION</w:t>
      </w:r>
    </w:p>
    <w:p>
      <w:pPr>
        <w:pStyle w:val="Heading2"/>
        <w:spacing w:before="240"/>
        <w:ind w:right="1"/>
        <w:rPr>
          <w:position w:val="1"/>
        </w:rPr>
      </w:pPr>
      <w:r>
        <w:rPr>
          <w:position w:val="1"/>
        </w:rPr>
        <w:t>SiO</w:t>
      </w:r>
      <w:r>
        <w:rPr>
          <w:sz w:val="16"/>
        </w:rPr>
        <w:t>2</w:t>
      </w:r>
      <w:r>
        <w:rPr>
          <w:spacing w:val="22"/>
          <w:sz w:val="16"/>
        </w:rPr>
        <w:t> </w:t>
      </w:r>
      <w:r>
        <w:rPr>
          <w:spacing w:val="-2"/>
          <w:position w:val="1"/>
        </w:rPr>
        <w:t>Characterization</w:t>
      </w:r>
    </w:p>
    <w:p>
      <w:pPr>
        <w:pStyle w:val="BodyText"/>
        <w:spacing w:before="242"/>
        <w:ind w:right="353" w:firstLine="283"/>
      </w:pPr>
      <w:r>
        <w:rPr/>
        <w:t>The</w:t>
      </w:r>
      <w:r>
        <w:rPr>
          <w:spacing w:val="-2"/>
        </w:rPr>
        <w:t> </w:t>
      </w:r>
      <w:r>
        <w:rPr/>
        <w:t>RHA</w:t>
      </w:r>
      <w:r>
        <w:rPr>
          <w:spacing w:val="-2"/>
        </w:rPr>
        <w:t> </w:t>
      </w:r>
      <w:r>
        <w:rPr/>
        <w:t>samples</w:t>
      </w:r>
      <w:r>
        <w:rPr>
          <w:spacing w:val="-3"/>
        </w:rPr>
        <w:t> </w:t>
      </w:r>
      <w:r>
        <w:rPr/>
        <w:t>were</w:t>
      </w:r>
      <w:r>
        <w:rPr>
          <w:spacing w:val="-2"/>
        </w:rPr>
        <w:t> </w:t>
      </w:r>
      <w:r>
        <w:rPr/>
        <w:t>subjected</w:t>
      </w:r>
      <w:r>
        <w:rPr>
          <w:spacing w:val="-1"/>
        </w:rPr>
        <w:t> </w:t>
      </w:r>
      <w:r>
        <w:rPr/>
        <w:t>to</w:t>
      </w:r>
      <w:r>
        <w:rPr>
          <w:spacing w:val="-1"/>
        </w:rPr>
        <w:t> </w:t>
      </w:r>
      <w:r>
        <w:rPr/>
        <w:t>a</w:t>
      </w:r>
      <w:r>
        <w:rPr>
          <w:spacing w:val="-2"/>
        </w:rPr>
        <w:t> </w:t>
      </w:r>
      <w:r>
        <w:rPr/>
        <w:t>two-hour</w:t>
      </w:r>
      <w:r>
        <w:rPr>
          <w:spacing w:val="-2"/>
        </w:rPr>
        <w:t> </w:t>
      </w:r>
      <w:r>
        <w:rPr/>
        <w:t>calcination</w:t>
      </w:r>
      <w:r>
        <w:rPr>
          <w:spacing w:val="-3"/>
        </w:rPr>
        <w:t> </w:t>
      </w:r>
      <w:r>
        <w:rPr/>
        <w:t>at</w:t>
      </w:r>
      <w:r>
        <w:rPr>
          <w:spacing w:val="-2"/>
        </w:rPr>
        <w:t> </w:t>
      </w:r>
      <w:r>
        <w:rPr/>
        <w:t>800°C and</w:t>
      </w:r>
      <w:r>
        <w:rPr>
          <w:spacing w:val="-1"/>
        </w:rPr>
        <w:t> </w:t>
      </w:r>
      <w:r>
        <w:rPr/>
        <w:t>an</w:t>
      </w:r>
      <w:r>
        <w:rPr>
          <w:spacing w:val="-1"/>
        </w:rPr>
        <w:t> </w:t>
      </w:r>
      <w:r>
        <w:rPr/>
        <w:t>acid-leaching</w:t>
      </w:r>
      <w:r>
        <w:rPr>
          <w:spacing w:val="-3"/>
        </w:rPr>
        <w:t> </w:t>
      </w:r>
      <w:r>
        <w:rPr/>
        <w:t>process</w:t>
      </w:r>
      <w:r>
        <w:rPr>
          <w:spacing w:val="-3"/>
        </w:rPr>
        <w:t> </w:t>
      </w:r>
      <w:r>
        <w:rPr/>
        <w:t>at</w:t>
      </w:r>
      <w:r>
        <w:rPr>
          <w:spacing w:val="-2"/>
        </w:rPr>
        <w:t> </w:t>
      </w:r>
      <w:r>
        <w:rPr/>
        <w:t>80°C</w:t>
      </w:r>
      <w:r>
        <w:rPr>
          <w:spacing w:val="-4"/>
        </w:rPr>
        <w:t> </w:t>
      </w:r>
      <w:r>
        <w:rPr/>
        <w:t>for</w:t>
      </w:r>
      <w:r>
        <w:rPr>
          <w:spacing w:val="-2"/>
        </w:rPr>
        <w:t> </w:t>
      </w:r>
      <w:r>
        <w:rPr/>
        <w:t>an hour and a half, followed by another two-hour calcination at 800°C. The multi-stage method removes elemental carbon and other unwanted components from the RHA, thereby increasing the percentage of green silica. Table 2 presents the extracted green silica content, which is 91.8%, slightly lower than the results reported by Della et al. </w:t>
      </w:r>
      <w:r>
        <w:rPr>
          <w:position w:val="2"/>
        </w:rPr>
        <w:t>(SiO</w:t>
      </w:r>
      <w:r>
        <w:rPr>
          <w:sz w:val="13"/>
        </w:rPr>
        <w:t>2</w:t>
      </w:r>
      <w:r>
        <w:rPr>
          <w:spacing w:val="40"/>
          <w:sz w:val="13"/>
        </w:rPr>
        <w:t> </w:t>
      </w:r>
      <w:r>
        <w:rPr>
          <w:position w:val="2"/>
        </w:rPr>
        <w:t>94.95%) [15]. In addition to silica, Table 2 indicates the presence of several other elements, including </w:t>
      </w:r>
      <w:r>
        <w:rPr/>
        <w:t>potassium (K), calcium (Ca), iron (Fe), copper (Cu), manganese (Mn), and zinc (Zn). These compositional</w:t>
      </w:r>
      <w:r>
        <w:rPr>
          <w:spacing w:val="40"/>
        </w:rPr>
        <w:t> </w:t>
      </w:r>
      <w:r>
        <w:rPr/>
        <w:t>variations may be attributed to several factors, including the</w:t>
      </w:r>
      <w:r>
        <w:rPr>
          <w:spacing w:val="40"/>
        </w:rPr>
        <w:t> </w:t>
      </w:r>
      <w:r>
        <w:rPr/>
        <w:t>material's geographical origin, the year it was</w:t>
      </w:r>
      <w:r>
        <w:rPr>
          <w:spacing w:val="40"/>
        </w:rPr>
        <w:t> </w:t>
      </w:r>
      <w:r>
        <w:rPr/>
        <w:t>harvested, the methodology employed in the sample preparation process, and the analytical methodology used [15].</w:t>
      </w:r>
    </w:p>
    <w:p>
      <w:pPr>
        <w:tabs>
          <w:tab w:pos="8891" w:val="left" w:leader="none"/>
        </w:tabs>
        <w:spacing w:before="116" w:after="14"/>
        <w:ind w:left="1080" w:right="0" w:firstLine="0"/>
        <w:jc w:val="left"/>
        <w:rPr>
          <w:sz w:val="12"/>
        </w:rPr>
      </w:pPr>
      <w:r>
        <w:rPr>
          <w:b/>
          <w:position w:val="1"/>
          <w:sz w:val="18"/>
        </w:rPr>
        <w:t>T</w:t>
      </w:r>
      <w:r>
        <w:rPr>
          <w:b/>
          <w:position w:val="1"/>
          <w:sz w:val="18"/>
          <w:u w:val="single"/>
        </w:rPr>
        <w:t>able</w:t>
      </w:r>
      <w:r>
        <w:rPr>
          <w:b/>
          <w:spacing w:val="-2"/>
          <w:position w:val="1"/>
          <w:sz w:val="18"/>
          <w:u w:val="single"/>
        </w:rPr>
        <w:t> </w:t>
      </w:r>
      <w:r>
        <w:rPr>
          <w:b/>
          <w:position w:val="1"/>
          <w:sz w:val="18"/>
          <w:u w:val="single"/>
        </w:rPr>
        <w:t>2</w:t>
      </w:r>
      <w:r>
        <w:rPr>
          <w:position w:val="1"/>
          <w:sz w:val="18"/>
          <w:u w:val="single"/>
        </w:rPr>
        <w:t>.</w:t>
      </w:r>
      <w:r>
        <w:rPr>
          <w:spacing w:val="-1"/>
          <w:position w:val="1"/>
          <w:sz w:val="18"/>
          <w:u w:val="single"/>
        </w:rPr>
        <w:t> </w:t>
      </w:r>
      <w:r>
        <w:rPr>
          <w:position w:val="1"/>
          <w:sz w:val="18"/>
          <w:u w:val="single"/>
        </w:rPr>
        <w:t>Chemical</w:t>
      </w:r>
      <w:r>
        <w:rPr>
          <w:spacing w:val="-1"/>
          <w:position w:val="1"/>
          <w:sz w:val="18"/>
          <w:u w:val="single"/>
        </w:rPr>
        <w:t> </w:t>
      </w:r>
      <w:r>
        <w:rPr>
          <w:position w:val="1"/>
          <w:sz w:val="18"/>
          <w:u w:val="single"/>
        </w:rPr>
        <w:t>composition</w:t>
      </w:r>
      <w:r>
        <w:rPr>
          <w:spacing w:val="-3"/>
          <w:position w:val="1"/>
          <w:sz w:val="18"/>
          <w:u w:val="single"/>
        </w:rPr>
        <w:t> </w:t>
      </w:r>
      <w:r>
        <w:rPr>
          <w:position w:val="1"/>
          <w:sz w:val="18"/>
          <w:u w:val="single"/>
        </w:rPr>
        <w:t>of</w:t>
      </w:r>
      <w:r>
        <w:rPr>
          <w:spacing w:val="-1"/>
          <w:position w:val="1"/>
          <w:sz w:val="18"/>
          <w:u w:val="single"/>
        </w:rPr>
        <w:t> </w:t>
      </w:r>
      <w:r>
        <w:rPr>
          <w:position w:val="1"/>
          <w:sz w:val="18"/>
          <w:u w:val="single"/>
        </w:rPr>
        <w:t>RHA</w:t>
      </w:r>
      <w:r>
        <w:rPr>
          <w:spacing w:val="-3"/>
          <w:position w:val="1"/>
          <w:sz w:val="18"/>
          <w:u w:val="single"/>
        </w:rPr>
        <w:t> </w:t>
      </w:r>
      <w:r>
        <w:rPr>
          <w:position w:val="1"/>
          <w:sz w:val="18"/>
          <w:u w:val="single"/>
        </w:rPr>
        <w:t>and</w:t>
      </w:r>
      <w:r>
        <w:rPr>
          <w:spacing w:val="-2"/>
          <w:position w:val="1"/>
          <w:sz w:val="18"/>
          <w:u w:val="single"/>
        </w:rPr>
        <w:t> </w:t>
      </w:r>
      <w:r>
        <w:rPr>
          <w:position w:val="1"/>
          <w:sz w:val="18"/>
          <w:u w:val="single"/>
        </w:rPr>
        <w:t>green</w:t>
      </w:r>
      <w:r>
        <w:rPr>
          <w:spacing w:val="-1"/>
          <w:position w:val="1"/>
          <w:sz w:val="18"/>
          <w:u w:val="single"/>
        </w:rPr>
        <w:t> </w:t>
      </w:r>
      <w:r>
        <w:rPr>
          <w:position w:val="1"/>
          <w:sz w:val="18"/>
          <w:u w:val="single"/>
        </w:rPr>
        <w:t>silica</w:t>
      </w:r>
      <w:r>
        <w:rPr>
          <w:spacing w:val="2"/>
          <w:position w:val="1"/>
          <w:sz w:val="18"/>
          <w:u w:val="single"/>
        </w:rPr>
        <w:t> </w:t>
      </w:r>
      <w:r>
        <w:rPr>
          <w:spacing w:val="-2"/>
          <w:position w:val="1"/>
          <w:sz w:val="18"/>
          <w:u w:val="single"/>
        </w:rPr>
        <w:t>(SiO).</w:t>
      </w:r>
      <w:r>
        <w:rPr>
          <w:spacing w:val="-2"/>
          <w:sz w:val="12"/>
          <w:u w:val="single"/>
        </w:rPr>
        <w:t>2</w:t>
      </w:r>
      <w:r>
        <w:rPr>
          <w:sz w:val="12"/>
          <w:u w:val="single"/>
        </w:rPr>
        <w:tab/>
      </w:r>
    </w:p>
    <w:tbl>
      <w:tblPr>
        <w:tblW w:w="0" w:type="auto"/>
        <w:jc w:val="left"/>
        <w:tblInd w:w="11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430"/>
        <w:gridCol w:w="2436"/>
        <w:gridCol w:w="2842"/>
      </w:tblGrid>
      <w:tr>
        <w:trPr>
          <w:trHeight w:val="314" w:hRule="atLeast"/>
        </w:trPr>
        <w:tc>
          <w:tcPr>
            <w:tcW w:w="2430" w:type="dxa"/>
            <w:tcBorders>
              <w:bottom w:val="single" w:sz="4" w:space="0" w:color="000000"/>
            </w:tcBorders>
          </w:tcPr>
          <w:p>
            <w:pPr>
              <w:pStyle w:val="TableParagraph"/>
              <w:spacing w:line="221" w:lineRule="exact"/>
              <w:ind w:left="5" w:right="62"/>
              <w:rPr>
                <w:b/>
                <w:sz w:val="20"/>
              </w:rPr>
            </w:pPr>
            <w:r>
              <w:rPr>
                <w:b/>
                <w:spacing w:val="-2"/>
                <w:sz w:val="20"/>
              </w:rPr>
              <w:t>Compound</w:t>
            </w:r>
          </w:p>
        </w:tc>
        <w:tc>
          <w:tcPr>
            <w:tcW w:w="2436" w:type="dxa"/>
            <w:tcBorders>
              <w:bottom w:val="single" w:sz="4" w:space="0" w:color="000000"/>
            </w:tcBorders>
          </w:tcPr>
          <w:p>
            <w:pPr>
              <w:pStyle w:val="TableParagraph"/>
              <w:spacing w:line="221" w:lineRule="exact"/>
              <w:ind w:right="72"/>
              <w:rPr>
                <w:b/>
                <w:sz w:val="20"/>
              </w:rPr>
            </w:pPr>
            <w:r>
              <w:rPr>
                <w:b/>
                <w:sz w:val="20"/>
              </w:rPr>
              <w:t>RHA</w:t>
            </w:r>
            <w:r>
              <w:rPr>
                <w:b/>
                <w:spacing w:val="-4"/>
                <w:sz w:val="20"/>
              </w:rPr>
              <w:t> </w:t>
            </w:r>
            <w:r>
              <w:rPr>
                <w:b/>
                <w:spacing w:val="-5"/>
                <w:sz w:val="20"/>
              </w:rPr>
              <w:t>(%)</w:t>
            </w:r>
          </w:p>
        </w:tc>
        <w:tc>
          <w:tcPr>
            <w:tcW w:w="2842" w:type="dxa"/>
            <w:tcBorders>
              <w:bottom w:val="single" w:sz="4" w:space="0" w:color="000000"/>
            </w:tcBorders>
          </w:tcPr>
          <w:p>
            <w:pPr>
              <w:pStyle w:val="TableParagraph"/>
              <w:spacing w:line="221" w:lineRule="exact"/>
              <w:ind w:left="278" w:right="6"/>
              <w:rPr>
                <w:b/>
                <w:sz w:val="20"/>
              </w:rPr>
            </w:pPr>
            <w:r>
              <w:rPr>
                <w:b/>
                <w:sz w:val="20"/>
              </w:rPr>
              <w:t>Green</w:t>
            </w:r>
            <w:r>
              <w:rPr>
                <w:b/>
                <w:spacing w:val="-6"/>
                <w:sz w:val="20"/>
              </w:rPr>
              <w:t> </w:t>
            </w:r>
            <w:r>
              <w:rPr>
                <w:b/>
                <w:sz w:val="20"/>
              </w:rPr>
              <w:t>Silica</w:t>
            </w:r>
            <w:r>
              <w:rPr>
                <w:b/>
                <w:spacing w:val="-4"/>
                <w:sz w:val="20"/>
              </w:rPr>
              <w:t> </w:t>
            </w:r>
            <w:r>
              <w:rPr>
                <w:b/>
                <w:spacing w:val="-5"/>
                <w:sz w:val="20"/>
              </w:rPr>
              <w:t>(%)</w:t>
            </w:r>
          </w:p>
        </w:tc>
      </w:tr>
      <w:tr>
        <w:trPr>
          <w:trHeight w:val="324" w:hRule="atLeast"/>
        </w:trPr>
        <w:tc>
          <w:tcPr>
            <w:tcW w:w="2430" w:type="dxa"/>
            <w:tcBorders>
              <w:top w:val="single" w:sz="4" w:space="0" w:color="000000"/>
            </w:tcBorders>
          </w:tcPr>
          <w:p>
            <w:pPr>
              <w:pStyle w:val="TableParagraph"/>
              <w:spacing w:line="234" w:lineRule="exact"/>
              <w:ind w:left="1" w:right="62"/>
              <w:rPr>
                <w:sz w:val="13"/>
              </w:rPr>
            </w:pPr>
            <w:r>
              <w:rPr>
                <w:position w:val="2"/>
                <w:sz w:val="20"/>
              </w:rPr>
              <w:t>Al</w:t>
            </w:r>
            <w:r>
              <w:rPr>
                <w:spacing w:val="-2"/>
                <w:position w:val="2"/>
                <w:sz w:val="20"/>
              </w:rPr>
              <w:t> </w:t>
            </w:r>
            <w:r>
              <w:rPr>
                <w:spacing w:val="-5"/>
                <w:position w:val="2"/>
                <w:sz w:val="20"/>
              </w:rPr>
              <w:t>O</w:t>
            </w:r>
            <w:r>
              <w:rPr>
                <w:spacing w:val="-5"/>
                <w:sz w:val="13"/>
              </w:rPr>
              <w:t>23</w:t>
            </w:r>
          </w:p>
        </w:tc>
        <w:tc>
          <w:tcPr>
            <w:tcW w:w="2436" w:type="dxa"/>
            <w:tcBorders>
              <w:top w:val="single" w:sz="4" w:space="0" w:color="000000"/>
            </w:tcBorders>
          </w:tcPr>
          <w:p>
            <w:pPr>
              <w:pStyle w:val="TableParagraph"/>
              <w:ind w:left="3" w:right="72"/>
              <w:rPr>
                <w:sz w:val="20"/>
              </w:rPr>
            </w:pPr>
            <w:r>
              <w:rPr>
                <w:spacing w:val="-10"/>
                <w:sz w:val="20"/>
              </w:rPr>
              <w:t>-</w:t>
            </w:r>
          </w:p>
        </w:tc>
        <w:tc>
          <w:tcPr>
            <w:tcW w:w="2842" w:type="dxa"/>
            <w:tcBorders>
              <w:top w:val="single" w:sz="4" w:space="0" w:color="000000"/>
            </w:tcBorders>
          </w:tcPr>
          <w:p>
            <w:pPr>
              <w:pStyle w:val="TableParagraph"/>
              <w:ind w:left="278"/>
              <w:rPr>
                <w:sz w:val="20"/>
              </w:rPr>
            </w:pPr>
            <w:r>
              <w:rPr>
                <w:spacing w:val="-5"/>
                <w:sz w:val="20"/>
              </w:rPr>
              <w:t>0.4</w:t>
            </w:r>
          </w:p>
        </w:tc>
      </w:tr>
      <w:tr>
        <w:trPr>
          <w:trHeight w:val="373" w:hRule="atLeast"/>
        </w:trPr>
        <w:tc>
          <w:tcPr>
            <w:tcW w:w="2430" w:type="dxa"/>
          </w:tcPr>
          <w:p>
            <w:pPr>
              <w:pStyle w:val="TableParagraph"/>
              <w:spacing w:before="80"/>
              <w:ind w:left="1" w:right="62"/>
              <w:rPr>
                <w:sz w:val="13"/>
              </w:rPr>
            </w:pPr>
            <w:r>
              <w:rPr>
                <w:spacing w:val="-4"/>
                <w:position w:val="2"/>
                <w:sz w:val="20"/>
              </w:rPr>
              <w:t>SiO</w:t>
            </w:r>
            <w:r>
              <w:rPr>
                <w:spacing w:val="-4"/>
                <w:sz w:val="13"/>
              </w:rPr>
              <w:t>2</w:t>
            </w:r>
          </w:p>
        </w:tc>
        <w:tc>
          <w:tcPr>
            <w:tcW w:w="2436" w:type="dxa"/>
          </w:tcPr>
          <w:p>
            <w:pPr>
              <w:pStyle w:val="TableParagraph"/>
              <w:spacing w:before="81"/>
              <w:ind w:left="4" w:right="72"/>
              <w:rPr>
                <w:sz w:val="20"/>
              </w:rPr>
            </w:pPr>
            <w:r>
              <w:rPr>
                <w:spacing w:val="-2"/>
                <w:sz w:val="20"/>
              </w:rPr>
              <w:t>82.15</w:t>
            </w:r>
          </w:p>
        </w:tc>
        <w:tc>
          <w:tcPr>
            <w:tcW w:w="2842" w:type="dxa"/>
          </w:tcPr>
          <w:p>
            <w:pPr>
              <w:pStyle w:val="TableParagraph"/>
              <w:spacing w:before="81"/>
              <w:ind w:left="278"/>
              <w:rPr>
                <w:sz w:val="20"/>
              </w:rPr>
            </w:pPr>
            <w:r>
              <w:rPr>
                <w:spacing w:val="-4"/>
                <w:sz w:val="20"/>
              </w:rPr>
              <w:t>91.8</w:t>
            </w:r>
          </w:p>
        </w:tc>
      </w:tr>
      <w:tr>
        <w:trPr>
          <w:trHeight w:val="332" w:hRule="atLeast"/>
        </w:trPr>
        <w:tc>
          <w:tcPr>
            <w:tcW w:w="2430" w:type="dxa"/>
          </w:tcPr>
          <w:p>
            <w:pPr>
              <w:pStyle w:val="TableParagraph"/>
              <w:spacing w:before="48"/>
              <w:ind w:left="3" w:right="62"/>
              <w:rPr>
                <w:sz w:val="13"/>
              </w:rPr>
            </w:pPr>
            <w:r>
              <w:rPr>
                <w:position w:val="2"/>
                <w:sz w:val="20"/>
              </w:rPr>
              <w:t>P</w:t>
            </w:r>
            <w:r>
              <w:rPr>
                <w:spacing w:val="-3"/>
                <w:position w:val="2"/>
                <w:sz w:val="20"/>
              </w:rPr>
              <w:t> </w:t>
            </w:r>
            <w:r>
              <w:rPr>
                <w:spacing w:val="-5"/>
                <w:position w:val="2"/>
                <w:sz w:val="20"/>
              </w:rPr>
              <w:t>O</w:t>
            </w:r>
            <w:r>
              <w:rPr>
                <w:spacing w:val="-5"/>
                <w:sz w:val="13"/>
              </w:rPr>
              <w:t>25</w:t>
            </w:r>
          </w:p>
        </w:tc>
        <w:tc>
          <w:tcPr>
            <w:tcW w:w="2436" w:type="dxa"/>
          </w:tcPr>
          <w:p>
            <w:pPr>
              <w:pStyle w:val="TableParagraph"/>
              <w:spacing w:before="49"/>
              <w:ind w:left="4" w:right="72"/>
              <w:rPr>
                <w:sz w:val="20"/>
              </w:rPr>
            </w:pPr>
            <w:r>
              <w:rPr>
                <w:spacing w:val="-5"/>
                <w:sz w:val="20"/>
              </w:rPr>
              <w:t>1.8</w:t>
            </w:r>
          </w:p>
        </w:tc>
        <w:tc>
          <w:tcPr>
            <w:tcW w:w="2842" w:type="dxa"/>
          </w:tcPr>
          <w:p>
            <w:pPr>
              <w:pStyle w:val="TableParagraph"/>
              <w:spacing w:before="49"/>
              <w:ind w:left="278" w:right="1"/>
              <w:rPr>
                <w:sz w:val="20"/>
              </w:rPr>
            </w:pPr>
            <w:r>
              <w:rPr>
                <w:spacing w:val="-2"/>
                <w:sz w:val="20"/>
              </w:rPr>
              <w:t>0.985</w:t>
            </w:r>
          </w:p>
        </w:tc>
      </w:tr>
      <w:tr>
        <w:trPr>
          <w:trHeight w:val="323" w:hRule="atLeast"/>
        </w:trPr>
        <w:tc>
          <w:tcPr>
            <w:tcW w:w="2430" w:type="dxa"/>
          </w:tcPr>
          <w:p>
            <w:pPr>
              <w:pStyle w:val="TableParagraph"/>
              <w:spacing w:before="39"/>
              <w:ind w:left="3" w:right="62"/>
              <w:rPr>
                <w:sz w:val="13"/>
              </w:rPr>
            </w:pPr>
            <w:r>
              <w:rPr>
                <w:spacing w:val="-5"/>
                <w:position w:val="2"/>
                <w:sz w:val="20"/>
              </w:rPr>
              <w:t>SO</w:t>
            </w:r>
            <w:r>
              <w:rPr>
                <w:spacing w:val="-5"/>
                <w:sz w:val="13"/>
              </w:rPr>
              <w:t>3</w:t>
            </w:r>
          </w:p>
        </w:tc>
        <w:tc>
          <w:tcPr>
            <w:tcW w:w="2436" w:type="dxa"/>
          </w:tcPr>
          <w:p>
            <w:pPr>
              <w:pStyle w:val="TableParagraph"/>
              <w:spacing w:before="40"/>
              <w:ind w:left="4" w:right="72"/>
              <w:rPr>
                <w:sz w:val="20"/>
              </w:rPr>
            </w:pPr>
            <w:r>
              <w:rPr>
                <w:spacing w:val="-4"/>
                <w:sz w:val="20"/>
              </w:rPr>
              <w:t>0.15</w:t>
            </w:r>
          </w:p>
        </w:tc>
        <w:tc>
          <w:tcPr>
            <w:tcW w:w="2842" w:type="dxa"/>
          </w:tcPr>
          <w:p>
            <w:pPr>
              <w:pStyle w:val="TableParagraph"/>
              <w:spacing w:before="40"/>
              <w:ind w:left="278" w:right="2"/>
              <w:rPr>
                <w:sz w:val="20"/>
              </w:rPr>
            </w:pPr>
            <w:r>
              <w:rPr>
                <w:spacing w:val="-10"/>
                <w:sz w:val="20"/>
              </w:rPr>
              <w:t>-</w:t>
            </w:r>
          </w:p>
        </w:tc>
      </w:tr>
      <w:tr>
        <w:trPr>
          <w:trHeight w:val="324" w:hRule="atLeast"/>
        </w:trPr>
        <w:tc>
          <w:tcPr>
            <w:tcW w:w="2430" w:type="dxa"/>
          </w:tcPr>
          <w:p>
            <w:pPr>
              <w:pStyle w:val="TableParagraph"/>
              <w:spacing w:before="39"/>
              <w:ind w:left="6" w:right="62"/>
              <w:rPr>
                <w:sz w:val="13"/>
              </w:rPr>
            </w:pPr>
            <w:r>
              <w:rPr>
                <w:position w:val="2"/>
                <w:sz w:val="20"/>
              </w:rPr>
              <w:t>K</w:t>
            </w:r>
            <w:r>
              <w:rPr>
                <w:spacing w:val="-2"/>
                <w:position w:val="2"/>
                <w:sz w:val="20"/>
              </w:rPr>
              <w:t> </w:t>
            </w:r>
            <w:r>
              <w:rPr>
                <w:spacing w:val="-5"/>
                <w:position w:val="2"/>
                <w:sz w:val="20"/>
              </w:rPr>
              <w:t>O</w:t>
            </w:r>
            <w:r>
              <w:rPr>
                <w:spacing w:val="-5"/>
                <w:sz w:val="13"/>
              </w:rPr>
              <w:t>2</w:t>
            </w:r>
          </w:p>
        </w:tc>
        <w:tc>
          <w:tcPr>
            <w:tcW w:w="2436" w:type="dxa"/>
          </w:tcPr>
          <w:p>
            <w:pPr>
              <w:pStyle w:val="TableParagraph"/>
              <w:spacing w:before="40"/>
              <w:ind w:left="4" w:right="72"/>
              <w:rPr>
                <w:sz w:val="20"/>
              </w:rPr>
            </w:pPr>
            <w:r>
              <w:rPr>
                <w:spacing w:val="-2"/>
                <w:sz w:val="20"/>
              </w:rPr>
              <w:t>7.165</w:t>
            </w:r>
          </w:p>
        </w:tc>
        <w:tc>
          <w:tcPr>
            <w:tcW w:w="2842" w:type="dxa"/>
          </w:tcPr>
          <w:p>
            <w:pPr>
              <w:pStyle w:val="TableParagraph"/>
              <w:spacing w:before="40"/>
              <w:ind w:left="278"/>
              <w:rPr>
                <w:sz w:val="20"/>
              </w:rPr>
            </w:pPr>
            <w:r>
              <w:rPr>
                <w:spacing w:val="-4"/>
                <w:sz w:val="20"/>
              </w:rPr>
              <w:t>3.21</w:t>
            </w:r>
          </w:p>
        </w:tc>
      </w:tr>
      <w:tr>
        <w:trPr>
          <w:trHeight w:val="321" w:hRule="atLeast"/>
        </w:trPr>
        <w:tc>
          <w:tcPr>
            <w:tcW w:w="2430" w:type="dxa"/>
          </w:tcPr>
          <w:p>
            <w:pPr>
              <w:pStyle w:val="TableParagraph"/>
              <w:spacing w:before="40"/>
              <w:ind w:right="62"/>
              <w:rPr>
                <w:sz w:val="20"/>
              </w:rPr>
            </w:pPr>
            <w:r>
              <w:rPr>
                <w:spacing w:val="-5"/>
                <w:sz w:val="20"/>
              </w:rPr>
              <w:t>CaO</w:t>
            </w:r>
          </w:p>
        </w:tc>
        <w:tc>
          <w:tcPr>
            <w:tcW w:w="2436" w:type="dxa"/>
          </w:tcPr>
          <w:p>
            <w:pPr>
              <w:pStyle w:val="TableParagraph"/>
              <w:spacing w:before="40"/>
              <w:ind w:left="4" w:right="72"/>
              <w:rPr>
                <w:sz w:val="20"/>
              </w:rPr>
            </w:pPr>
            <w:r>
              <w:rPr>
                <w:spacing w:val="-4"/>
                <w:sz w:val="20"/>
              </w:rPr>
              <w:t>2.08</w:t>
            </w:r>
          </w:p>
        </w:tc>
        <w:tc>
          <w:tcPr>
            <w:tcW w:w="2842" w:type="dxa"/>
          </w:tcPr>
          <w:p>
            <w:pPr>
              <w:pStyle w:val="TableParagraph"/>
              <w:spacing w:before="40"/>
              <w:ind w:left="278" w:right="1"/>
              <w:rPr>
                <w:sz w:val="20"/>
              </w:rPr>
            </w:pPr>
            <w:r>
              <w:rPr>
                <w:spacing w:val="-2"/>
                <w:sz w:val="20"/>
              </w:rPr>
              <w:t>0.875</w:t>
            </w:r>
          </w:p>
        </w:tc>
      </w:tr>
      <w:tr>
        <w:trPr>
          <w:trHeight w:val="326" w:hRule="atLeast"/>
        </w:trPr>
        <w:tc>
          <w:tcPr>
            <w:tcW w:w="2430" w:type="dxa"/>
          </w:tcPr>
          <w:p>
            <w:pPr>
              <w:pStyle w:val="TableParagraph"/>
              <w:spacing w:before="41"/>
              <w:ind w:left="3" w:right="62"/>
              <w:rPr>
                <w:sz w:val="13"/>
              </w:rPr>
            </w:pPr>
            <w:r>
              <w:rPr>
                <w:spacing w:val="-4"/>
                <w:position w:val="2"/>
                <w:sz w:val="20"/>
              </w:rPr>
              <w:t>TiO</w:t>
            </w:r>
            <w:r>
              <w:rPr>
                <w:spacing w:val="-4"/>
                <w:sz w:val="13"/>
              </w:rPr>
              <w:t>2</w:t>
            </w:r>
          </w:p>
        </w:tc>
        <w:tc>
          <w:tcPr>
            <w:tcW w:w="2436" w:type="dxa"/>
          </w:tcPr>
          <w:p>
            <w:pPr>
              <w:pStyle w:val="TableParagraph"/>
              <w:spacing w:before="42"/>
              <w:ind w:left="4" w:right="72"/>
              <w:rPr>
                <w:sz w:val="20"/>
              </w:rPr>
            </w:pPr>
            <w:r>
              <w:rPr>
                <w:spacing w:val="-2"/>
                <w:sz w:val="20"/>
              </w:rPr>
              <w:t>0.046</w:t>
            </w:r>
          </w:p>
        </w:tc>
        <w:tc>
          <w:tcPr>
            <w:tcW w:w="2842" w:type="dxa"/>
          </w:tcPr>
          <w:p>
            <w:pPr>
              <w:pStyle w:val="TableParagraph"/>
              <w:spacing w:before="42"/>
              <w:ind w:left="278" w:right="1"/>
              <w:rPr>
                <w:sz w:val="20"/>
              </w:rPr>
            </w:pPr>
            <w:r>
              <w:rPr>
                <w:spacing w:val="-2"/>
                <w:sz w:val="20"/>
              </w:rPr>
              <w:t>0.035</w:t>
            </w:r>
          </w:p>
        </w:tc>
      </w:tr>
      <w:tr>
        <w:trPr>
          <w:trHeight w:val="324" w:hRule="atLeast"/>
        </w:trPr>
        <w:tc>
          <w:tcPr>
            <w:tcW w:w="2430" w:type="dxa"/>
          </w:tcPr>
          <w:p>
            <w:pPr>
              <w:pStyle w:val="TableParagraph"/>
              <w:spacing w:before="39"/>
              <w:ind w:left="1" w:right="62"/>
              <w:rPr>
                <w:sz w:val="13"/>
              </w:rPr>
            </w:pPr>
            <w:r>
              <w:rPr>
                <w:position w:val="2"/>
                <w:sz w:val="20"/>
              </w:rPr>
              <w:t>Cr</w:t>
            </w:r>
            <w:r>
              <w:rPr>
                <w:spacing w:val="-3"/>
                <w:position w:val="2"/>
                <w:sz w:val="20"/>
              </w:rPr>
              <w:t> </w:t>
            </w:r>
            <w:r>
              <w:rPr>
                <w:spacing w:val="-5"/>
                <w:position w:val="2"/>
                <w:sz w:val="20"/>
              </w:rPr>
              <w:t>O</w:t>
            </w:r>
            <w:r>
              <w:rPr>
                <w:spacing w:val="-5"/>
                <w:sz w:val="13"/>
              </w:rPr>
              <w:t>23</w:t>
            </w:r>
          </w:p>
        </w:tc>
        <w:tc>
          <w:tcPr>
            <w:tcW w:w="2436" w:type="dxa"/>
          </w:tcPr>
          <w:p>
            <w:pPr>
              <w:pStyle w:val="TableParagraph"/>
              <w:spacing w:before="40"/>
              <w:ind w:left="2" w:right="72"/>
              <w:rPr>
                <w:sz w:val="20"/>
              </w:rPr>
            </w:pPr>
            <w:r>
              <w:rPr>
                <w:spacing w:val="-2"/>
                <w:sz w:val="20"/>
              </w:rPr>
              <w:t>0.7615</w:t>
            </w:r>
          </w:p>
        </w:tc>
        <w:tc>
          <w:tcPr>
            <w:tcW w:w="2842" w:type="dxa"/>
          </w:tcPr>
          <w:p>
            <w:pPr>
              <w:pStyle w:val="TableParagraph"/>
              <w:spacing w:before="40"/>
              <w:ind w:left="278" w:right="1"/>
              <w:rPr>
                <w:sz w:val="20"/>
              </w:rPr>
            </w:pPr>
            <w:r>
              <w:rPr>
                <w:spacing w:val="-2"/>
                <w:sz w:val="20"/>
              </w:rPr>
              <w:t>0.265</w:t>
            </w:r>
          </w:p>
        </w:tc>
      </w:tr>
      <w:tr>
        <w:trPr>
          <w:trHeight w:val="321" w:hRule="atLeast"/>
        </w:trPr>
        <w:tc>
          <w:tcPr>
            <w:tcW w:w="2430" w:type="dxa"/>
          </w:tcPr>
          <w:p>
            <w:pPr>
              <w:pStyle w:val="TableParagraph"/>
              <w:spacing w:before="40"/>
              <w:ind w:left="5" w:right="62"/>
              <w:rPr>
                <w:sz w:val="20"/>
              </w:rPr>
            </w:pPr>
            <w:r>
              <w:rPr>
                <w:spacing w:val="-5"/>
                <w:sz w:val="20"/>
              </w:rPr>
              <w:t>MnO</w:t>
            </w:r>
          </w:p>
        </w:tc>
        <w:tc>
          <w:tcPr>
            <w:tcW w:w="2436" w:type="dxa"/>
          </w:tcPr>
          <w:p>
            <w:pPr>
              <w:pStyle w:val="TableParagraph"/>
              <w:spacing w:before="40"/>
              <w:ind w:left="4" w:right="72"/>
              <w:rPr>
                <w:sz w:val="20"/>
              </w:rPr>
            </w:pPr>
            <w:r>
              <w:rPr>
                <w:spacing w:val="-2"/>
                <w:sz w:val="20"/>
              </w:rPr>
              <w:t>0.864</w:t>
            </w:r>
          </w:p>
        </w:tc>
        <w:tc>
          <w:tcPr>
            <w:tcW w:w="2842" w:type="dxa"/>
          </w:tcPr>
          <w:p>
            <w:pPr>
              <w:pStyle w:val="TableParagraph"/>
              <w:spacing w:before="40"/>
              <w:ind w:left="278" w:right="3"/>
              <w:rPr>
                <w:sz w:val="20"/>
              </w:rPr>
            </w:pPr>
            <w:r>
              <w:rPr>
                <w:spacing w:val="-2"/>
                <w:sz w:val="20"/>
              </w:rPr>
              <w:t>0.3985</w:t>
            </w:r>
          </w:p>
        </w:tc>
      </w:tr>
      <w:tr>
        <w:trPr>
          <w:trHeight w:val="326" w:hRule="atLeast"/>
        </w:trPr>
        <w:tc>
          <w:tcPr>
            <w:tcW w:w="2430" w:type="dxa"/>
          </w:tcPr>
          <w:p>
            <w:pPr>
              <w:pStyle w:val="TableParagraph"/>
              <w:spacing w:before="41"/>
              <w:ind w:left="1" w:right="62"/>
              <w:rPr>
                <w:sz w:val="13"/>
              </w:rPr>
            </w:pPr>
            <w:r>
              <w:rPr>
                <w:position w:val="2"/>
                <w:sz w:val="20"/>
              </w:rPr>
              <w:t>Fe</w:t>
            </w:r>
            <w:r>
              <w:rPr>
                <w:spacing w:val="-2"/>
                <w:position w:val="2"/>
                <w:sz w:val="20"/>
              </w:rPr>
              <w:t> </w:t>
            </w:r>
            <w:r>
              <w:rPr>
                <w:spacing w:val="-5"/>
                <w:position w:val="2"/>
                <w:sz w:val="20"/>
              </w:rPr>
              <w:t>O</w:t>
            </w:r>
            <w:r>
              <w:rPr>
                <w:spacing w:val="-5"/>
                <w:sz w:val="13"/>
              </w:rPr>
              <w:t>23</w:t>
            </w:r>
          </w:p>
        </w:tc>
        <w:tc>
          <w:tcPr>
            <w:tcW w:w="2436" w:type="dxa"/>
          </w:tcPr>
          <w:p>
            <w:pPr>
              <w:pStyle w:val="TableParagraph"/>
              <w:spacing w:before="42"/>
              <w:ind w:left="4" w:right="72"/>
              <w:rPr>
                <w:sz w:val="20"/>
              </w:rPr>
            </w:pPr>
            <w:r>
              <w:rPr>
                <w:spacing w:val="-4"/>
                <w:sz w:val="20"/>
              </w:rPr>
              <w:t>4.51</w:t>
            </w:r>
          </w:p>
        </w:tc>
        <w:tc>
          <w:tcPr>
            <w:tcW w:w="2842" w:type="dxa"/>
          </w:tcPr>
          <w:p>
            <w:pPr>
              <w:pStyle w:val="TableParagraph"/>
              <w:spacing w:before="42"/>
              <w:ind w:left="278"/>
              <w:rPr>
                <w:sz w:val="20"/>
              </w:rPr>
            </w:pPr>
            <w:r>
              <w:rPr>
                <w:spacing w:val="-4"/>
                <w:sz w:val="20"/>
              </w:rPr>
              <w:t>1.75</w:t>
            </w:r>
          </w:p>
        </w:tc>
      </w:tr>
      <w:tr>
        <w:trPr>
          <w:trHeight w:val="321" w:hRule="atLeast"/>
        </w:trPr>
        <w:tc>
          <w:tcPr>
            <w:tcW w:w="2430" w:type="dxa"/>
          </w:tcPr>
          <w:p>
            <w:pPr>
              <w:pStyle w:val="TableParagraph"/>
              <w:spacing w:before="40"/>
              <w:ind w:left="3" w:right="62"/>
              <w:rPr>
                <w:sz w:val="20"/>
              </w:rPr>
            </w:pPr>
            <w:r>
              <w:rPr>
                <w:spacing w:val="-5"/>
                <w:sz w:val="20"/>
              </w:rPr>
              <w:t>NiO</w:t>
            </w:r>
          </w:p>
        </w:tc>
        <w:tc>
          <w:tcPr>
            <w:tcW w:w="2436" w:type="dxa"/>
          </w:tcPr>
          <w:p>
            <w:pPr>
              <w:pStyle w:val="TableParagraph"/>
              <w:spacing w:before="40"/>
              <w:ind w:left="4" w:right="72"/>
              <w:rPr>
                <w:sz w:val="20"/>
              </w:rPr>
            </w:pPr>
            <w:r>
              <w:rPr>
                <w:spacing w:val="-4"/>
                <w:sz w:val="20"/>
              </w:rPr>
              <w:t>0.17</w:t>
            </w:r>
          </w:p>
        </w:tc>
        <w:tc>
          <w:tcPr>
            <w:tcW w:w="2842" w:type="dxa"/>
          </w:tcPr>
          <w:p>
            <w:pPr>
              <w:pStyle w:val="TableParagraph"/>
              <w:spacing w:before="40"/>
              <w:ind w:left="278" w:right="3"/>
              <w:rPr>
                <w:sz w:val="20"/>
              </w:rPr>
            </w:pPr>
            <w:r>
              <w:rPr>
                <w:spacing w:val="-2"/>
                <w:sz w:val="20"/>
              </w:rPr>
              <w:t>0.0575</w:t>
            </w:r>
          </w:p>
        </w:tc>
      </w:tr>
      <w:tr>
        <w:trPr>
          <w:trHeight w:val="324" w:hRule="atLeast"/>
        </w:trPr>
        <w:tc>
          <w:tcPr>
            <w:tcW w:w="2430" w:type="dxa"/>
          </w:tcPr>
          <w:p>
            <w:pPr>
              <w:pStyle w:val="TableParagraph"/>
              <w:spacing w:before="42"/>
              <w:ind w:left="3" w:right="62"/>
              <w:rPr>
                <w:sz w:val="20"/>
              </w:rPr>
            </w:pPr>
            <w:r>
              <w:rPr>
                <w:spacing w:val="-5"/>
                <w:sz w:val="20"/>
              </w:rPr>
              <w:t>CuO</w:t>
            </w:r>
          </w:p>
        </w:tc>
        <w:tc>
          <w:tcPr>
            <w:tcW w:w="2436" w:type="dxa"/>
          </w:tcPr>
          <w:p>
            <w:pPr>
              <w:pStyle w:val="TableParagraph"/>
              <w:spacing w:before="42"/>
              <w:ind w:left="4" w:right="72"/>
              <w:rPr>
                <w:sz w:val="20"/>
              </w:rPr>
            </w:pPr>
            <w:r>
              <w:rPr>
                <w:spacing w:val="-4"/>
                <w:sz w:val="20"/>
              </w:rPr>
              <w:t>0.16</w:t>
            </w:r>
          </w:p>
        </w:tc>
        <w:tc>
          <w:tcPr>
            <w:tcW w:w="2842" w:type="dxa"/>
          </w:tcPr>
          <w:p>
            <w:pPr>
              <w:pStyle w:val="TableParagraph"/>
              <w:spacing w:before="42"/>
              <w:ind w:left="278" w:right="1"/>
              <w:rPr>
                <w:sz w:val="20"/>
              </w:rPr>
            </w:pPr>
            <w:r>
              <w:rPr>
                <w:spacing w:val="-2"/>
                <w:sz w:val="20"/>
              </w:rPr>
              <w:t>0.096</w:t>
            </w:r>
          </w:p>
        </w:tc>
      </w:tr>
      <w:tr>
        <w:trPr>
          <w:trHeight w:val="324" w:hRule="atLeast"/>
        </w:trPr>
        <w:tc>
          <w:tcPr>
            <w:tcW w:w="2430" w:type="dxa"/>
          </w:tcPr>
          <w:p>
            <w:pPr>
              <w:pStyle w:val="TableParagraph"/>
              <w:spacing w:before="42"/>
              <w:ind w:left="3" w:right="62"/>
              <w:rPr>
                <w:sz w:val="20"/>
              </w:rPr>
            </w:pPr>
            <w:r>
              <w:rPr>
                <w:spacing w:val="-5"/>
                <w:sz w:val="20"/>
              </w:rPr>
              <w:t>ZnO</w:t>
            </w:r>
          </w:p>
        </w:tc>
        <w:tc>
          <w:tcPr>
            <w:tcW w:w="2436" w:type="dxa"/>
          </w:tcPr>
          <w:p>
            <w:pPr>
              <w:pStyle w:val="TableParagraph"/>
              <w:spacing w:before="42"/>
              <w:ind w:left="4" w:right="72"/>
              <w:rPr>
                <w:sz w:val="20"/>
              </w:rPr>
            </w:pPr>
            <w:r>
              <w:rPr>
                <w:spacing w:val="-2"/>
                <w:sz w:val="20"/>
              </w:rPr>
              <w:t>0.025</w:t>
            </w:r>
          </w:p>
        </w:tc>
        <w:tc>
          <w:tcPr>
            <w:tcW w:w="2842" w:type="dxa"/>
          </w:tcPr>
          <w:p>
            <w:pPr>
              <w:pStyle w:val="TableParagraph"/>
              <w:spacing w:before="42"/>
              <w:ind w:left="278"/>
              <w:rPr>
                <w:sz w:val="20"/>
              </w:rPr>
            </w:pPr>
            <w:r>
              <w:rPr>
                <w:spacing w:val="-4"/>
                <w:sz w:val="20"/>
              </w:rPr>
              <w:t>0.01</w:t>
            </w:r>
          </w:p>
        </w:tc>
      </w:tr>
      <w:tr>
        <w:trPr>
          <w:trHeight w:val="326" w:hRule="atLeast"/>
        </w:trPr>
        <w:tc>
          <w:tcPr>
            <w:tcW w:w="2430" w:type="dxa"/>
          </w:tcPr>
          <w:p>
            <w:pPr>
              <w:pStyle w:val="TableParagraph"/>
              <w:spacing w:before="41"/>
              <w:ind w:left="3" w:right="62"/>
              <w:rPr>
                <w:sz w:val="13"/>
              </w:rPr>
            </w:pPr>
            <w:r>
              <w:rPr>
                <w:position w:val="2"/>
                <w:sz w:val="20"/>
              </w:rPr>
              <w:t>Rb</w:t>
            </w:r>
            <w:r>
              <w:rPr>
                <w:spacing w:val="-3"/>
                <w:position w:val="2"/>
                <w:sz w:val="20"/>
              </w:rPr>
              <w:t> </w:t>
            </w:r>
            <w:r>
              <w:rPr>
                <w:spacing w:val="-5"/>
                <w:position w:val="2"/>
                <w:sz w:val="20"/>
              </w:rPr>
              <w:t>O</w:t>
            </w:r>
            <w:r>
              <w:rPr>
                <w:spacing w:val="-5"/>
                <w:sz w:val="13"/>
              </w:rPr>
              <w:t>2</w:t>
            </w:r>
          </w:p>
        </w:tc>
        <w:tc>
          <w:tcPr>
            <w:tcW w:w="2436" w:type="dxa"/>
          </w:tcPr>
          <w:p>
            <w:pPr>
              <w:pStyle w:val="TableParagraph"/>
              <w:spacing w:before="42"/>
              <w:ind w:left="2" w:right="72"/>
              <w:rPr>
                <w:sz w:val="20"/>
              </w:rPr>
            </w:pPr>
            <w:r>
              <w:rPr>
                <w:spacing w:val="-2"/>
                <w:sz w:val="20"/>
              </w:rPr>
              <w:t>0.0185</w:t>
            </w:r>
          </w:p>
        </w:tc>
        <w:tc>
          <w:tcPr>
            <w:tcW w:w="2842" w:type="dxa"/>
          </w:tcPr>
          <w:p>
            <w:pPr>
              <w:pStyle w:val="TableParagraph"/>
              <w:spacing w:before="42"/>
              <w:ind w:left="278" w:right="2"/>
              <w:rPr>
                <w:sz w:val="20"/>
              </w:rPr>
            </w:pPr>
            <w:r>
              <w:rPr>
                <w:spacing w:val="-10"/>
                <w:sz w:val="20"/>
              </w:rPr>
              <w:t>-</w:t>
            </w:r>
          </w:p>
        </w:tc>
      </w:tr>
      <w:tr>
        <w:trPr>
          <w:trHeight w:val="321" w:hRule="atLeast"/>
        </w:trPr>
        <w:tc>
          <w:tcPr>
            <w:tcW w:w="2430" w:type="dxa"/>
          </w:tcPr>
          <w:p>
            <w:pPr>
              <w:pStyle w:val="TableParagraph"/>
              <w:spacing w:before="40"/>
              <w:ind w:right="62"/>
              <w:rPr>
                <w:sz w:val="20"/>
              </w:rPr>
            </w:pPr>
            <w:r>
              <w:rPr>
                <w:spacing w:val="-5"/>
                <w:sz w:val="20"/>
              </w:rPr>
              <w:t>BaO</w:t>
            </w:r>
          </w:p>
        </w:tc>
        <w:tc>
          <w:tcPr>
            <w:tcW w:w="2436" w:type="dxa"/>
          </w:tcPr>
          <w:p>
            <w:pPr>
              <w:pStyle w:val="TableParagraph"/>
              <w:spacing w:before="40"/>
              <w:ind w:left="3" w:right="72"/>
              <w:rPr>
                <w:sz w:val="20"/>
              </w:rPr>
            </w:pPr>
            <w:r>
              <w:rPr>
                <w:spacing w:val="-10"/>
                <w:sz w:val="20"/>
              </w:rPr>
              <w:t>-</w:t>
            </w:r>
          </w:p>
        </w:tc>
        <w:tc>
          <w:tcPr>
            <w:tcW w:w="2842" w:type="dxa"/>
          </w:tcPr>
          <w:p>
            <w:pPr>
              <w:pStyle w:val="TableParagraph"/>
              <w:spacing w:before="40"/>
              <w:ind w:left="278"/>
              <w:rPr>
                <w:sz w:val="20"/>
              </w:rPr>
            </w:pPr>
            <w:r>
              <w:rPr>
                <w:spacing w:val="-4"/>
                <w:sz w:val="20"/>
              </w:rPr>
              <w:t>0.02</w:t>
            </w:r>
          </w:p>
        </w:tc>
      </w:tr>
      <w:tr>
        <w:trPr>
          <w:trHeight w:val="326" w:hRule="atLeast"/>
        </w:trPr>
        <w:tc>
          <w:tcPr>
            <w:tcW w:w="2430" w:type="dxa"/>
          </w:tcPr>
          <w:p>
            <w:pPr>
              <w:pStyle w:val="TableParagraph"/>
              <w:spacing w:before="41"/>
              <w:ind w:left="3" w:right="62"/>
              <w:rPr>
                <w:sz w:val="13"/>
              </w:rPr>
            </w:pPr>
            <w:r>
              <w:rPr>
                <w:position w:val="2"/>
                <w:sz w:val="20"/>
              </w:rPr>
              <w:t>Re</w:t>
            </w:r>
            <w:r>
              <w:rPr>
                <w:spacing w:val="-4"/>
                <w:position w:val="2"/>
                <w:sz w:val="20"/>
              </w:rPr>
              <w:t> </w:t>
            </w:r>
            <w:r>
              <w:rPr>
                <w:spacing w:val="-5"/>
                <w:position w:val="2"/>
                <w:sz w:val="20"/>
              </w:rPr>
              <w:t>O</w:t>
            </w:r>
            <w:r>
              <w:rPr>
                <w:spacing w:val="-5"/>
                <w:sz w:val="13"/>
              </w:rPr>
              <w:t>27</w:t>
            </w:r>
          </w:p>
        </w:tc>
        <w:tc>
          <w:tcPr>
            <w:tcW w:w="2436" w:type="dxa"/>
          </w:tcPr>
          <w:p>
            <w:pPr>
              <w:pStyle w:val="TableParagraph"/>
              <w:spacing w:before="42"/>
              <w:ind w:left="4" w:right="72"/>
              <w:rPr>
                <w:sz w:val="20"/>
              </w:rPr>
            </w:pPr>
            <w:r>
              <w:rPr>
                <w:spacing w:val="-4"/>
                <w:sz w:val="20"/>
              </w:rPr>
              <w:t>0.04</w:t>
            </w:r>
          </w:p>
        </w:tc>
        <w:tc>
          <w:tcPr>
            <w:tcW w:w="2842" w:type="dxa"/>
          </w:tcPr>
          <w:p>
            <w:pPr>
              <w:pStyle w:val="TableParagraph"/>
              <w:spacing w:before="42"/>
              <w:ind w:left="278" w:right="1"/>
              <w:rPr>
                <w:sz w:val="20"/>
              </w:rPr>
            </w:pPr>
            <w:r>
              <w:rPr>
                <w:spacing w:val="-2"/>
                <w:sz w:val="20"/>
              </w:rPr>
              <w:t>0.045</w:t>
            </w:r>
          </w:p>
        </w:tc>
      </w:tr>
      <w:tr>
        <w:trPr>
          <w:trHeight w:val="363" w:hRule="atLeast"/>
        </w:trPr>
        <w:tc>
          <w:tcPr>
            <w:tcW w:w="2430" w:type="dxa"/>
            <w:tcBorders>
              <w:bottom w:val="single" w:sz="4" w:space="0" w:color="000000"/>
            </w:tcBorders>
          </w:tcPr>
          <w:p>
            <w:pPr>
              <w:pStyle w:val="TableParagraph"/>
              <w:spacing w:before="39"/>
              <w:ind w:left="3" w:right="62"/>
              <w:rPr>
                <w:sz w:val="13"/>
              </w:rPr>
            </w:pPr>
            <w:r>
              <w:rPr>
                <w:spacing w:val="-4"/>
                <w:position w:val="2"/>
                <w:sz w:val="20"/>
              </w:rPr>
              <w:t>OsO</w:t>
            </w:r>
            <w:r>
              <w:rPr>
                <w:spacing w:val="-4"/>
                <w:sz w:val="13"/>
              </w:rPr>
              <w:t>4</w:t>
            </w:r>
          </w:p>
        </w:tc>
        <w:tc>
          <w:tcPr>
            <w:tcW w:w="2436" w:type="dxa"/>
            <w:tcBorders>
              <w:bottom w:val="single" w:sz="4" w:space="0" w:color="000000"/>
            </w:tcBorders>
          </w:tcPr>
          <w:p>
            <w:pPr>
              <w:pStyle w:val="TableParagraph"/>
              <w:spacing w:before="40"/>
              <w:ind w:left="2" w:right="72"/>
              <w:rPr>
                <w:sz w:val="20"/>
              </w:rPr>
            </w:pPr>
            <w:r>
              <w:rPr>
                <w:spacing w:val="-2"/>
                <w:sz w:val="20"/>
              </w:rPr>
              <w:t>0.0095</w:t>
            </w:r>
          </w:p>
        </w:tc>
        <w:tc>
          <w:tcPr>
            <w:tcW w:w="2842" w:type="dxa"/>
            <w:tcBorders>
              <w:bottom w:val="single" w:sz="4" w:space="0" w:color="000000"/>
            </w:tcBorders>
          </w:tcPr>
          <w:p>
            <w:pPr>
              <w:pStyle w:val="TableParagraph"/>
              <w:spacing w:before="40"/>
              <w:ind w:left="278" w:right="2"/>
              <w:rPr>
                <w:sz w:val="20"/>
              </w:rPr>
            </w:pPr>
            <w:r>
              <w:rPr>
                <w:spacing w:val="-10"/>
                <w:sz w:val="20"/>
              </w:rPr>
              <w:t>-</w:t>
            </w:r>
          </w:p>
        </w:tc>
      </w:tr>
    </w:tbl>
    <w:p>
      <w:pPr>
        <w:pStyle w:val="TableParagraph"/>
        <w:spacing w:after="0"/>
        <w:rPr>
          <w:sz w:val="20"/>
        </w:rPr>
        <w:sectPr>
          <w:pgSz w:w="12240" w:h="15840"/>
          <w:pgMar w:top="1360" w:bottom="280" w:left="1080" w:right="1080"/>
        </w:sectPr>
      </w:pPr>
    </w:p>
    <w:p>
      <w:pPr>
        <w:pStyle w:val="BodyText"/>
        <w:spacing w:before="80"/>
        <w:ind w:right="358" w:firstLine="283"/>
      </w:pPr>
      <w:r>
        <w:rPr/>
        <w:drawing>
          <wp:anchor distT="0" distB="0" distL="0" distR="0" allowOverlap="1" layoutInCell="1" locked="0" behindDoc="1" simplePos="0" relativeHeight="487588352">
            <wp:simplePos x="0" y="0"/>
            <wp:positionH relativeFrom="page">
              <wp:posOffset>953761</wp:posOffset>
            </wp:positionH>
            <wp:positionV relativeFrom="paragraph">
              <wp:posOffset>1972189</wp:posOffset>
            </wp:positionV>
            <wp:extent cx="5874427" cy="2270379"/>
            <wp:effectExtent l="0" t="0" r="0" b="0"/>
            <wp:wrapTopAndBottom/>
            <wp:docPr id="2" name="Image 2" descr="A graph of a diagram and a graph of a diagram  Description automatically generated"/>
            <wp:cNvGraphicFramePr>
              <a:graphicFrameLocks/>
            </wp:cNvGraphicFramePr>
            <a:graphic>
              <a:graphicData uri="http://schemas.openxmlformats.org/drawingml/2006/picture">
                <pic:pic>
                  <pic:nvPicPr>
                    <pic:cNvPr id="2" name="Image 2" descr="A graph of a diagram and a graph of a diagram  Description automatically generated"/>
                    <pic:cNvPicPr/>
                  </pic:nvPicPr>
                  <pic:blipFill>
                    <a:blip r:embed="rId7" cstate="print"/>
                    <a:stretch>
                      <a:fillRect/>
                    </a:stretch>
                  </pic:blipFill>
                  <pic:spPr>
                    <a:xfrm>
                      <a:off x="0" y="0"/>
                      <a:ext cx="5874427" cy="2270379"/>
                    </a:xfrm>
                    <a:prstGeom prst="rect">
                      <a:avLst/>
                    </a:prstGeom>
                  </pic:spPr>
                </pic:pic>
              </a:graphicData>
            </a:graphic>
          </wp:anchor>
        </w:drawing>
      </w:r>
      <w:r>
        <w:rPr/>
        <w:t>The</w:t>
      </w:r>
      <w:r>
        <w:rPr>
          <w:spacing w:val="-1"/>
        </w:rPr>
        <w:t> </w:t>
      </w:r>
      <w:r>
        <w:rPr/>
        <w:t>calcination temperature</w:t>
      </w:r>
      <w:r>
        <w:rPr>
          <w:spacing w:val="-1"/>
        </w:rPr>
        <w:t> </w:t>
      </w:r>
      <w:r>
        <w:rPr/>
        <w:t>and time</w:t>
      </w:r>
      <w:r>
        <w:rPr>
          <w:spacing w:val="-1"/>
        </w:rPr>
        <w:t> </w:t>
      </w:r>
      <w:r>
        <w:rPr/>
        <w:t>are</w:t>
      </w:r>
      <w:r>
        <w:rPr>
          <w:spacing w:val="-1"/>
        </w:rPr>
        <w:t> </w:t>
      </w:r>
      <w:r>
        <w:rPr/>
        <w:t>crucial factors</w:t>
      </w:r>
      <w:r>
        <w:rPr>
          <w:spacing w:val="-1"/>
        </w:rPr>
        <w:t> </w:t>
      </w:r>
      <w:r>
        <w:rPr/>
        <w:t>that</w:t>
      </w:r>
      <w:r>
        <w:rPr>
          <w:spacing w:val="-3"/>
        </w:rPr>
        <w:t> </w:t>
      </w:r>
      <w:r>
        <w:rPr/>
        <w:t>influence whether green silica</w:t>
      </w:r>
      <w:r>
        <w:rPr>
          <w:spacing w:val="-1"/>
        </w:rPr>
        <w:t> </w:t>
      </w:r>
      <w:r>
        <w:rPr/>
        <w:t>retains</w:t>
      </w:r>
      <w:r>
        <w:rPr>
          <w:spacing w:val="-1"/>
        </w:rPr>
        <w:t> </w:t>
      </w:r>
      <w:r>
        <w:rPr/>
        <w:t>its</w:t>
      </w:r>
      <w:r>
        <w:rPr>
          <w:spacing w:val="-2"/>
        </w:rPr>
        <w:t> </w:t>
      </w:r>
      <w:r>
        <w:rPr/>
        <w:t>amorphous state (as observed in rice husk ash) or undergoes crystallization. Notwithstanding the relatively elevated calcination temperature</w:t>
      </w:r>
      <w:r>
        <w:rPr>
          <w:spacing w:val="-1"/>
        </w:rPr>
        <w:t> </w:t>
      </w:r>
      <w:r>
        <w:rPr/>
        <w:t>and duration employed in this investigation, the</w:t>
      </w:r>
      <w:r>
        <w:rPr>
          <w:spacing w:val="-1"/>
        </w:rPr>
        <w:t> </w:t>
      </w:r>
      <w:r>
        <w:rPr/>
        <w:t>green silica configuration within the</w:t>
      </w:r>
      <w:r>
        <w:rPr>
          <w:spacing w:val="-1"/>
        </w:rPr>
        <w:t> </w:t>
      </w:r>
      <w:r>
        <w:rPr/>
        <w:t>ash predominantly preserves its amorphous nature. Figure 2a illustrates the results of the X-ray diffraction (XRD) analysis, which revealed the presence of a peak at approximately 22°. This peak indicates an initial crystallization process that</w:t>
      </w:r>
      <w:r>
        <w:rPr>
          <w:spacing w:val="40"/>
        </w:rPr>
        <w:t> </w:t>
      </w:r>
      <w:r>
        <w:rPr/>
        <w:t>results</w:t>
      </w:r>
      <w:r>
        <w:rPr>
          <w:spacing w:val="-1"/>
        </w:rPr>
        <w:t> </w:t>
      </w:r>
      <w:r>
        <w:rPr/>
        <w:t>in the formation</w:t>
      </w:r>
      <w:r>
        <w:rPr>
          <w:spacing w:val="-1"/>
        </w:rPr>
        <w:t> </w:t>
      </w:r>
      <w:r>
        <w:rPr/>
        <w:t>of a poorly structured cristobalite phase. Notably, the absence</w:t>
      </w:r>
      <w:r>
        <w:rPr>
          <w:spacing w:val="-2"/>
        </w:rPr>
        <w:t> </w:t>
      </w:r>
      <w:r>
        <w:rPr/>
        <w:t>of</w:t>
      </w:r>
      <w:r>
        <w:rPr>
          <w:spacing w:val="-2"/>
        </w:rPr>
        <w:t> </w:t>
      </w:r>
      <w:r>
        <w:rPr/>
        <w:t>significant peaks across the scanning range (10° to 80°) indicates that the sample has a well-defined crystal structure. X-ray diffraction analysis revealed the presence of a distinctive amorphous component in the green silica sample, indicating the absence of an organized crystalline phase. This observation is consistent with the preferred calcination temperature below 700 °C. It is possible that higher temperatures may cause the amorphous green silica to become crystalline. Furthermore, studies have demonstrated that reheating RHA at elevated temperatures for an extended period can facilitate the crystallization of green silica [15]. This</w:t>
      </w:r>
      <w:r>
        <w:rPr>
          <w:spacing w:val="-1"/>
        </w:rPr>
        <w:t> </w:t>
      </w:r>
      <w:r>
        <w:rPr/>
        <w:t>phenomenon was not observed throughout the calcination process employed in this study. The green silica structure of the RHA treated in this study remained amorphous.</w:t>
      </w:r>
    </w:p>
    <w:p>
      <w:pPr>
        <w:spacing w:before="148"/>
        <w:ind w:left="2" w:right="0" w:firstLine="0"/>
        <w:jc w:val="center"/>
        <w:rPr>
          <w:sz w:val="12"/>
        </w:rPr>
      </w:pPr>
      <w:r>
        <w:rPr>
          <w:b/>
          <w:position w:val="1"/>
          <w:sz w:val="18"/>
        </w:rPr>
        <w:t>Image</w:t>
      </w:r>
      <w:r>
        <w:rPr>
          <w:b/>
          <w:spacing w:val="-4"/>
          <w:position w:val="1"/>
          <w:sz w:val="18"/>
        </w:rPr>
        <w:t> </w:t>
      </w:r>
      <w:r>
        <w:rPr>
          <w:b/>
          <w:position w:val="1"/>
          <w:sz w:val="18"/>
        </w:rPr>
        <w:t>2. </w:t>
      </w:r>
      <w:r>
        <w:rPr>
          <w:position w:val="1"/>
          <w:sz w:val="18"/>
        </w:rPr>
        <w:t>(a) XRD</w:t>
      </w:r>
      <w:r>
        <w:rPr>
          <w:spacing w:val="-2"/>
          <w:position w:val="1"/>
          <w:sz w:val="18"/>
        </w:rPr>
        <w:t> </w:t>
      </w:r>
      <w:r>
        <w:rPr>
          <w:position w:val="1"/>
          <w:sz w:val="18"/>
        </w:rPr>
        <w:t>spectra</w:t>
      </w:r>
      <w:r>
        <w:rPr>
          <w:spacing w:val="-4"/>
          <w:position w:val="1"/>
          <w:sz w:val="18"/>
        </w:rPr>
        <w:t> </w:t>
      </w:r>
      <w:r>
        <w:rPr>
          <w:position w:val="1"/>
          <w:sz w:val="18"/>
        </w:rPr>
        <w:t>of green silica</w:t>
      </w:r>
      <w:r>
        <w:rPr>
          <w:spacing w:val="-1"/>
          <w:position w:val="1"/>
          <w:sz w:val="18"/>
        </w:rPr>
        <w:t> </w:t>
      </w:r>
      <w:r>
        <w:rPr>
          <w:position w:val="1"/>
          <w:sz w:val="18"/>
        </w:rPr>
        <w:t>(b)</w:t>
      </w:r>
      <w:r>
        <w:rPr>
          <w:spacing w:val="-3"/>
          <w:position w:val="1"/>
          <w:sz w:val="18"/>
        </w:rPr>
        <w:t> </w:t>
      </w:r>
      <w:r>
        <w:rPr>
          <w:position w:val="1"/>
          <w:sz w:val="18"/>
        </w:rPr>
        <w:t>FTIR</w:t>
      </w:r>
      <w:r>
        <w:rPr>
          <w:spacing w:val="3"/>
          <w:position w:val="1"/>
          <w:sz w:val="18"/>
        </w:rPr>
        <w:t> </w:t>
      </w:r>
      <w:r>
        <w:rPr>
          <w:position w:val="1"/>
          <w:sz w:val="18"/>
        </w:rPr>
        <w:t>spectra of</w:t>
      </w:r>
      <w:r>
        <w:rPr>
          <w:spacing w:val="-1"/>
          <w:position w:val="1"/>
          <w:sz w:val="18"/>
        </w:rPr>
        <w:t> </w:t>
      </w:r>
      <w:r>
        <w:rPr>
          <w:position w:val="1"/>
          <w:sz w:val="18"/>
        </w:rPr>
        <w:t>green</w:t>
      </w:r>
      <w:r>
        <w:rPr>
          <w:spacing w:val="-5"/>
          <w:position w:val="1"/>
          <w:sz w:val="18"/>
        </w:rPr>
        <w:t> </w:t>
      </w:r>
      <w:r>
        <w:rPr>
          <w:position w:val="1"/>
          <w:sz w:val="18"/>
        </w:rPr>
        <w:t>silica</w:t>
      </w:r>
      <w:r>
        <w:rPr>
          <w:spacing w:val="-1"/>
          <w:position w:val="1"/>
          <w:sz w:val="18"/>
        </w:rPr>
        <w:t> </w:t>
      </w:r>
      <w:r>
        <w:rPr>
          <w:position w:val="1"/>
          <w:sz w:val="18"/>
        </w:rPr>
        <w:t>and Ni/SiO </w:t>
      </w:r>
      <w:r>
        <w:rPr>
          <w:spacing w:val="-5"/>
          <w:position w:val="1"/>
          <w:sz w:val="18"/>
        </w:rPr>
        <w:t>.</w:t>
      </w:r>
      <w:r>
        <w:rPr>
          <w:spacing w:val="-5"/>
          <w:sz w:val="12"/>
        </w:rPr>
        <w:t>2</w:t>
      </w:r>
    </w:p>
    <w:p>
      <w:pPr>
        <w:spacing w:before="120"/>
        <w:ind w:left="0" w:right="0" w:firstLine="0"/>
        <w:jc w:val="center"/>
        <w:rPr>
          <w:sz w:val="12"/>
        </w:rPr>
      </w:pPr>
      <w:r>
        <w:rPr>
          <w:b/>
          <w:position w:val="1"/>
          <w:sz w:val="18"/>
        </w:rPr>
        <w:t>Table</w:t>
      </w:r>
      <w:r>
        <w:rPr>
          <w:b/>
          <w:spacing w:val="-2"/>
          <w:position w:val="1"/>
          <w:sz w:val="18"/>
        </w:rPr>
        <w:t> </w:t>
      </w:r>
      <w:r>
        <w:rPr>
          <w:b/>
          <w:position w:val="1"/>
          <w:sz w:val="18"/>
        </w:rPr>
        <w:t>3. </w:t>
      </w:r>
      <w:r>
        <w:rPr>
          <w:position w:val="1"/>
          <w:sz w:val="18"/>
        </w:rPr>
        <w:t>Textural</w:t>
      </w:r>
      <w:r>
        <w:rPr>
          <w:spacing w:val="-3"/>
          <w:position w:val="1"/>
          <w:sz w:val="18"/>
        </w:rPr>
        <w:t> </w:t>
      </w:r>
      <w:r>
        <w:rPr>
          <w:position w:val="1"/>
          <w:sz w:val="18"/>
        </w:rPr>
        <w:t>properties</w:t>
      </w:r>
      <w:r>
        <w:rPr>
          <w:spacing w:val="-1"/>
          <w:position w:val="1"/>
          <w:sz w:val="18"/>
        </w:rPr>
        <w:t> </w:t>
      </w:r>
      <w:r>
        <w:rPr>
          <w:position w:val="1"/>
          <w:sz w:val="18"/>
        </w:rPr>
        <w:t>of</w:t>
      </w:r>
      <w:r>
        <w:rPr>
          <w:spacing w:val="-1"/>
          <w:position w:val="1"/>
          <w:sz w:val="18"/>
        </w:rPr>
        <w:t> </w:t>
      </w:r>
      <w:r>
        <w:rPr>
          <w:position w:val="1"/>
          <w:sz w:val="18"/>
        </w:rPr>
        <w:t>SiO</w:t>
      </w:r>
      <w:r>
        <w:rPr>
          <w:sz w:val="12"/>
        </w:rPr>
        <w:t>2</w:t>
      </w:r>
      <w:r>
        <w:rPr>
          <w:spacing w:val="14"/>
          <w:sz w:val="12"/>
        </w:rPr>
        <w:t> </w:t>
      </w:r>
      <w:r>
        <w:rPr>
          <w:position w:val="1"/>
          <w:sz w:val="18"/>
        </w:rPr>
        <w:t>and </w:t>
      </w:r>
      <w:r>
        <w:rPr>
          <w:spacing w:val="-2"/>
          <w:position w:val="1"/>
          <w:sz w:val="18"/>
        </w:rPr>
        <w:t>Ni/SiO</w:t>
      </w:r>
      <w:r>
        <w:rPr>
          <w:spacing w:val="-2"/>
          <w:sz w:val="12"/>
        </w:rPr>
        <w:t>2</w:t>
      </w:r>
    </w:p>
    <w:tbl>
      <w:tblPr>
        <w:tblW w:w="0" w:type="auto"/>
        <w:jc w:val="left"/>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77"/>
        <w:gridCol w:w="2497"/>
        <w:gridCol w:w="2405"/>
        <w:gridCol w:w="2905"/>
      </w:tblGrid>
      <w:tr>
        <w:trPr>
          <w:trHeight w:val="230" w:hRule="atLeast"/>
        </w:trPr>
        <w:tc>
          <w:tcPr>
            <w:tcW w:w="1777" w:type="dxa"/>
            <w:tcBorders>
              <w:top w:val="single" w:sz="4" w:space="0" w:color="000000"/>
              <w:bottom w:val="single" w:sz="4" w:space="0" w:color="000000"/>
            </w:tcBorders>
          </w:tcPr>
          <w:p>
            <w:pPr>
              <w:pStyle w:val="TableParagraph"/>
              <w:spacing w:line="210" w:lineRule="exact"/>
              <w:ind w:left="142"/>
              <w:rPr>
                <w:b/>
                <w:sz w:val="20"/>
              </w:rPr>
            </w:pPr>
            <w:r>
              <w:rPr>
                <w:b/>
                <w:spacing w:val="-2"/>
                <w:sz w:val="20"/>
              </w:rPr>
              <w:t>Sample</w:t>
            </w:r>
          </w:p>
        </w:tc>
        <w:tc>
          <w:tcPr>
            <w:tcW w:w="2497" w:type="dxa"/>
            <w:tcBorders>
              <w:top w:val="single" w:sz="4" w:space="0" w:color="000000"/>
              <w:bottom w:val="single" w:sz="4" w:space="0" w:color="000000"/>
            </w:tcBorders>
          </w:tcPr>
          <w:p>
            <w:pPr>
              <w:pStyle w:val="TableParagraph"/>
              <w:spacing w:line="210" w:lineRule="exact"/>
              <w:ind w:left="118"/>
              <w:rPr>
                <w:b/>
                <w:sz w:val="20"/>
              </w:rPr>
            </w:pPr>
            <w:r>
              <w:rPr>
                <w:b/>
                <w:sz w:val="20"/>
              </w:rPr>
              <w:t>surface</w:t>
            </w:r>
            <w:r>
              <w:rPr>
                <w:b/>
                <w:spacing w:val="-5"/>
                <w:sz w:val="20"/>
              </w:rPr>
              <w:t> </w:t>
            </w:r>
            <w:r>
              <w:rPr>
                <w:b/>
                <w:sz w:val="20"/>
              </w:rPr>
              <w:t>area</w:t>
            </w:r>
            <w:r>
              <w:rPr>
                <w:b/>
                <w:spacing w:val="-3"/>
                <w:sz w:val="20"/>
              </w:rPr>
              <w:t> </w:t>
            </w:r>
            <w:r>
              <w:rPr>
                <w:b/>
                <w:spacing w:val="-2"/>
                <w:sz w:val="20"/>
              </w:rPr>
              <w:t>(m²/g)</w:t>
            </w:r>
          </w:p>
        </w:tc>
        <w:tc>
          <w:tcPr>
            <w:tcW w:w="2405" w:type="dxa"/>
            <w:tcBorders>
              <w:top w:val="single" w:sz="4" w:space="0" w:color="000000"/>
              <w:bottom w:val="single" w:sz="4" w:space="0" w:color="000000"/>
            </w:tcBorders>
          </w:tcPr>
          <w:p>
            <w:pPr>
              <w:pStyle w:val="TableParagraph"/>
              <w:spacing w:line="210" w:lineRule="exact"/>
              <w:ind w:left="77" w:right="2"/>
              <w:rPr>
                <w:b/>
                <w:sz w:val="20"/>
              </w:rPr>
            </w:pPr>
            <w:r>
              <w:rPr>
                <w:b/>
                <w:sz w:val="20"/>
              </w:rPr>
              <w:t>pore</w:t>
            </w:r>
            <w:r>
              <w:rPr>
                <w:b/>
                <w:spacing w:val="-4"/>
                <w:sz w:val="20"/>
              </w:rPr>
              <w:t> </w:t>
            </w:r>
            <w:r>
              <w:rPr>
                <w:b/>
                <w:sz w:val="20"/>
              </w:rPr>
              <w:t>volume</w:t>
            </w:r>
            <w:r>
              <w:rPr>
                <w:b/>
                <w:spacing w:val="-4"/>
                <w:sz w:val="20"/>
              </w:rPr>
              <w:t> </w:t>
            </w:r>
            <w:r>
              <w:rPr>
                <w:b/>
                <w:spacing w:val="-2"/>
                <w:sz w:val="20"/>
              </w:rPr>
              <w:t>(cm³/g)</w:t>
            </w:r>
          </w:p>
        </w:tc>
        <w:tc>
          <w:tcPr>
            <w:tcW w:w="2905" w:type="dxa"/>
            <w:tcBorders>
              <w:top w:val="single" w:sz="4" w:space="0" w:color="000000"/>
              <w:bottom w:val="single" w:sz="4" w:space="0" w:color="000000"/>
            </w:tcBorders>
          </w:tcPr>
          <w:p>
            <w:pPr>
              <w:pStyle w:val="TableParagraph"/>
              <w:spacing w:line="210" w:lineRule="exact"/>
              <w:ind w:left="96" w:right="3"/>
              <w:rPr>
                <w:b/>
                <w:sz w:val="20"/>
              </w:rPr>
            </w:pPr>
            <w:r>
              <w:rPr>
                <w:b/>
                <w:sz w:val="20"/>
              </w:rPr>
              <w:t>average</w:t>
            </w:r>
            <w:r>
              <w:rPr>
                <w:b/>
                <w:spacing w:val="-7"/>
                <w:sz w:val="20"/>
              </w:rPr>
              <w:t> </w:t>
            </w:r>
            <w:r>
              <w:rPr>
                <w:b/>
                <w:sz w:val="20"/>
              </w:rPr>
              <w:t>pore</w:t>
            </w:r>
            <w:r>
              <w:rPr>
                <w:b/>
                <w:spacing w:val="-4"/>
                <w:sz w:val="20"/>
              </w:rPr>
              <w:t> </w:t>
            </w:r>
            <w:r>
              <w:rPr>
                <w:b/>
                <w:sz w:val="20"/>
              </w:rPr>
              <w:t>diameter</w:t>
            </w:r>
            <w:r>
              <w:rPr>
                <w:b/>
                <w:spacing w:val="-6"/>
                <w:sz w:val="20"/>
              </w:rPr>
              <w:t> </w:t>
            </w:r>
            <w:r>
              <w:rPr>
                <w:b/>
                <w:spacing w:val="-4"/>
                <w:sz w:val="20"/>
              </w:rPr>
              <w:t>(nm)</w:t>
            </w:r>
          </w:p>
        </w:tc>
      </w:tr>
      <w:tr>
        <w:trPr>
          <w:trHeight w:val="237" w:hRule="atLeast"/>
        </w:trPr>
        <w:tc>
          <w:tcPr>
            <w:tcW w:w="1777" w:type="dxa"/>
            <w:tcBorders>
              <w:top w:val="single" w:sz="4" w:space="0" w:color="000000"/>
            </w:tcBorders>
          </w:tcPr>
          <w:p>
            <w:pPr>
              <w:pStyle w:val="TableParagraph"/>
              <w:spacing w:line="217" w:lineRule="exact"/>
              <w:ind w:left="142"/>
              <w:rPr>
                <w:sz w:val="13"/>
              </w:rPr>
            </w:pPr>
            <w:r>
              <w:rPr>
                <w:spacing w:val="-4"/>
                <w:position w:val="2"/>
                <w:sz w:val="20"/>
              </w:rPr>
              <w:t>SiO</w:t>
            </w:r>
            <w:r>
              <w:rPr>
                <w:spacing w:val="-4"/>
                <w:sz w:val="13"/>
              </w:rPr>
              <w:t>2</w:t>
            </w:r>
          </w:p>
        </w:tc>
        <w:tc>
          <w:tcPr>
            <w:tcW w:w="2497" w:type="dxa"/>
            <w:tcBorders>
              <w:top w:val="single" w:sz="4" w:space="0" w:color="000000"/>
            </w:tcBorders>
          </w:tcPr>
          <w:p>
            <w:pPr>
              <w:pStyle w:val="TableParagraph"/>
              <w:spacing w:line="217" w:lineRule="exact"/>
              <w:ind w:left="118"/>
              <w:rPr>
                <w:sz w:val="20"/>
              </w:rPr>
            </w:pPr>
            <w:r>
              <w:rPr>
                <w:spacing w:val="-5"/>
                <w:sz w:val="20"/>
              </w:rPr>
              <w:t>6.6</w:t>
            </w:r>
          </w:p>
        </w:tc>
        <w:tc>
          <w:tcPr>
            <w:tcW w:w="2405" w:type="dxa"/>
            <w:tcBorders>
              <w:top w:val="single" w:sz="4" w:space="0" w:color="000000"/>
            </w:tcBorders>
          </w:tcPr>
          <w:p>
            <w:pPr>
              <w:pStyle w:val="TableParagraph"/>
              <w:spacing w:line="217" w:lineRule="exact"/>
              <w:ind w:left="77"/>
              <w:rPr>
                <w:sz w:val="20"/>
              </w:rPr>
            </w:pPr>
            <w:r>
              <w:rPr>
                <w:spacing w:val="-2"/>
                <w:sz w:val="20"/>
              </w:rPr>
              <w:t>0.01550</w:t>
            </w:r>
          </w:p>
        </w:tc>
        <w:tc>
          <w:tcPr>
            <w:tcW w:w="2905" w:type="dxa"/>
            <w:tcBorders>
              <w:top w:val="single" w:sz="4" w:space="0" w:color="000000"/>
            </w:tcBorders>
          </w:tcPr>
          <w:p>
            <w:pPr>
              <w:pStyle w:val="TableParagraph"/>
              <w:spacing w:line="217" w:lineRule="exact"/>
              <w:ind w:left="96"/>
              <w:rPr>
                <w:sz w:val="20"/>
              </w:rPr>
            </w:pPr>
            <w:r>
              <w:rPr>
                <w:spacing w:val="-2"/>
                <w:sz w:val="20"/>
              </w:rPr>
              <w:t>6.3938</w:t>
            </w:r>
          </w:p>
        </w:tc>
      </w:tr>
      <w:tr>
        <w:trPr>
          <w:trHeight w:val="223" w:hRule="atLeast"/>
        </w:trPr>
        <w:tc>
          <w:tcPr>
            <w:tcW w:w="1777" w:type="dxa"/>
            <w:tcBorders>
              <w:bottom w:val="single" w:sz="4" w:space="0" w:color="000000"/>
            </w:tcBorders>
          </w:tcPr>
          <w:p>
            <w:pPr>
              <w:pStyle w:val="TableParagraph"/>
              <w:spacing w:line="203" w:lineRule="exact"/>
              <w:ind w:left="142"/>
              <w:rPr>
                <w:sz w:val="13"/>
              </w:rPr>
            </w:pPr>
            <w:r>
              <w:rPr>
                <w:spacing w:val="-2"/>
                <w:position w:val="2"/>
                <w:sz w:val="20"/>
              </w:rPr>
              <w:t>Ni/SiO</w:t>
            </w:r>
            <w:r>
              <w:rPr>
                <w:spacing w:val="-2"/>
                <w:sz w:val="13"/>
              </w:rPr>
              <w:t>2</w:t>
            </w:r>
          </w:p>
        </w:tc>
        <w:tc>
          <w:tcPr>
            <w:tcW w:w="2497" w:type="dxa"/>
            <w:tcBorders>
              <w:bottom w:val="single" w:sz="4" w:space="0" w:color="000000"/>
            </w:tcBorders>
          </w:tcPr>
          <w:p>
            <w:pPr>
              <w:pStyle w:val="TableParagraph"/>
              <w:spacing w:line="203" w:lineRule="exact"/>
              <w:ind w:left="118"/>
              <w:rPr>
                <w:sz w:val="20"/>
              </w:rPr>
            </w:pPr>
            <w:r>
              <w:rPr>
                <w:spacing w:val="-2"/>
                <w:sz w:val="20"/>
              </w:rPr>
              <w:t>6.537</w:t>
            </w:r>
          </w:p>
        </w:tc>
        <w:tc>
          <w:tcPr>
            <w:tcW w:w="2405" w:type="dxa"/>
            <w:tcBorders>
              <w:bottom w:val="single" w:sz="4" w:space="0" w:color="000000"/>
            </w:tcBorders>
          </w:tcPr>
          <w:p>
            <w:pPr>
              <w:pStyle w:val="TableParagraph"/>
              <w:spacing w:line="203" w:lineRule="exact"/>
              <w:ind w:left="77"/>
              <w:rPr>
                <w:sz w:val="20"/>
              </w:rPr>
            </w:pPr>
            <w:r>
              <w:rPr>
                <w:spacing w:val="-2"/>
                <w:sz w:val="20"/>
              </w:rPr>
              <w:t>0.00851</w:t>
            </w:r>
          </w:p>
        </w:tc>
        <w:tc>
          <w:tcPr>
            <w:tcW w:w="2905" w:type="dxa"/>
            <w:tcBorders>
              <w:bottom w:val="single" w:sz="4" w:space="0" w:color="000000"/>
            </w:tcBorders>
          </w:tcPr>
          <w:p>
            <w:pPr>
              <w:pStyle w:val="TableParagraph"/>
              <w:spacing w:line="203" w:lineRule="exact"/>
              <w:ind w:left="96"/>
              <w:rPr>
                <w:sz w:val="20"/>
              </w:rPr>
            </w:pPr>
            <w:r>
              <w:rPr>
                <w:spacing w:val="-2"/>
                <w:sz w:val="20"/>
              </w:rPr>
              <w:t>26.061</w:t>
            </w:r>
          </w:p>
        </w:tc>
      </w:tr>
    </w:tbl>
    <w:p>
      <w:pPr>
        <w:pStyle w:val="BodyText"/>
        <w:spacing w:before="23"/>
        <w:ind w:left="0"/>
        <w:jc w:val="left"/>
        <w:rPr>
          <w:sz w:val="18"/>
        </w:rPr>
      </w:pPr>
    </w:p>
    <w:p>
      <w:pPr>
        <w:pStyle w:val="BodyText"/>
        <w:ind w:right="353" w:firstLine="283"/>
      </w:pPr>
      <w:r>
        <w:rPr/>
        <w:t>Fourier transform infrared (FTIR) spectroscopy characterized the green silica sample. The resulting spectrum is depicted in Figure 2b. The band at 3412.47 cm</w:t>
      </w:r>
      <w:r>
        <w:rPr>
          <w:vertAlign w:val="superscript"/>
        </w:rPr>
        <w:t>-1</w:t>
      </w:r>
      <w:r>
        <w:rPr>
          <w:vertAlign w:val="baseline"/>
        </w:rPr>
        <w:t> indicates the hydroxyl</w:t>
      </w:r>
      <w:r>
        <w:rPr>
          <w:spacing w:val="-3"/>
          <w:vertAlign w:val="baseline"/>
        </w:rPr>
        <w:t> </w:t>
      </w:r>
      <w:r>
        <w:rPr>
          <w:vertAlign w:val="baseline"/>
        </w:rPr>
        <w:t>group's stretching vibration (O-H). The band at 1042.47 cm</w:t>
      </w:r>
      <w:r>
        <w:rPr>
          <w:vertAlign w:val="superscript"/>
        </w:rPr>
        <w:t>-1</w:t>
      </w:r>
      <w:r>
        <w:rPr>
          <w:vertAlign w:val="baseline"/>
        </w:rPr>
        <w:t> indicates asymmetric stretching vibrations of the Si-O-Si bond. The band at 798.73 cm</w:t>
      </w:r>
      <w:r>
        <w:rPr>
          <w:vertAlign w:val="superscript"/>
        </w:rPr>
        <w:t>-1</w:t>
      </w:r>
      <w:r>
        <w:rPr>
          <w:spacing w:val="80"/>
          <w:vertAlign w:val="baseline"/>
        </w:rPr>
        <w:t> </w:t>
      </w:r>
      <w:r>
        <w:rPr>
          <w:vertAlign w:val="baseline"/>
        </w:rPr>
        <w:t>corresponds to symmetric vibrations of the Si-O bond. Finally, the band at 440.48 cm-1 indicates the bending of the Si-O bond in the siloxane group. [17] The characteristic bands observed</w:t>
      </w:r>
      <w:r>
        <w:rPr>
          <w:spacing w:val="-1"/>
          <w:vertAlign w:val="baseline"/>
        </w:rPr>
        <w:t> </w:t>
      </w:r>
      <w:r>
        <w:rPr>
          <w:vertAlign w:val="baseline"/>
        </w:rPr>
        <w:t>in the</w:t>
      </w:r>
      <w:r>
        <w:rPr>
          <w:spacing w:val="-2"/>
          <w:vertAlign w:val="baseline"/>
        </w:rPr>
        <w:t> </w:t>
      </w:r>
      <w:r>
        <w:rPr>
          <w:vertAlign w:val="baseline"/>
        </w:rPr>
        <w:t>green silica synthesized for this</w:t>
      </w:r>
      <w:r>
        <w:rPr>
          <w:spacing w:val="-1"/>
          <w:vertAlign w:val="baseline"/>
        </w:rPr>
        <w:t> </w:t>
      </w:r>
      <w:r>
        <w:rPr>
          <w:vertAlign w:val="baseline"/>
        </w:rPr>
        <w:t>study are similar to those found in commercially available silica. The BET method (Table 3) indicates that silicon dioxide (SiO2) has a surface area of 6.6 m²/g, a pore volume of 0.01550 cm³/g, and an average pore diameter of 6.3938 nm (Table 3). This surface area is considerably lower than that of rice husk ash (RHA), which is reported to be between 100 and 150 m²/g (18). This reduction in surface area is likely attributable to the heating process employed to</w:t>
      </w:r>
      <w:r>
        <w:rPr>
          <w:spacing w:val="40"/>
          <w:vertAlign w:val="baseline"/>
        </w:rPr>
        <w:t> </w:t>
      </w:r>
      <w:r>
        <w:rPr>
          <w:position w:val="2"/>
          <w:vertAlign w:val="baseline"/>
        </w:rPr>
        <w:t>prepare the SiO</w:t>
      </w:r>
      <w:r>
        <w:rPr>
          <w:sz w:val="13"/>
          <w:vertAlign w:val="baseline"/>
        </w:rPr>
        <w:t>2</w:t>
      </w:r>
      <w:r>
        <w:rPr>
          <w:position w:val="2"/>
          <w:vertAlign w:val="baseline"/>
        </w:rPr>
        <w:t>. Higher temperatures and longer heating times may result in particle agglomeration, which could </w:t>
      </w:r>
      <w:r>
        <w:rPr>
          <w:vertAlign w:val="baseline"/>
        </w:rPr>
        <w:t>subsequently reduce the overall porosity. [19][15]. It is also important to note that the surface area of RHA can be affected by the fineness of the soil, with studies reporting values ranging from 10.857 m²/g to 17.463 m²/g [20]. The RHA samples exhibit a diverse range of appearances, predominantly black with scattered gray particles (Figure 3a). This color is a consequence of the presence of carbonaceous material at various stages of combustion, which is a result of the rice husk combustion process. Following the heating and grinding stages of the activation process, the resulting green silica undergoes a reduction in particle size. It shifts towards a uniform gray color (Figure 3b). This transformation is associated with eliminating carbonaceous material, which produces a more refined and dynamic silica product.</w:t>
      </w:r>
    </w:p>
    <w:p>
      <w:pPr>
        <w:pStyle w:val="BodyText"/>
        <w:spacing w:after="0"/>
        <w:sectPr>
          <w:pgSz w:w="12240" w:h="15840"/>
          <w:pgMar w:top="1360" w:bottom="280" w:left="1080" w:right="1080"/>
        </w:sectPr>
      </w:pPr>
    </w:p>
    <w:p>
      <w:pPr>
        <w:pStyle w:val="BodyText"/>
        <w:ind w:left="1466"/>
        <w:jc w:val="left"/>
      </w:pPr>
      <w:r>
        <w:rPr/>
        <w:drawing>
          <wp:inline distT="0" distB="0" distL="0" distR="0">
            <wp:extent cx="4533317" cy="2112264"/>
            <wp:effectExtent l="0" t="0" r="0" b="0"/>
            <wp:docPr id="3" name="Image 3" descr="A close-up of a bowl of black powder  Description automatically generated"/>
            <wp:cNvGraphicFramePr>
              <a:graphicFrameLocks/>
            </wp:cNvGraphicFramePr>
            <a:graphic>
              <a:graphicData uri="http://schemas.openxmlformats.org/drawingml/2006/picture">
                <pic:pic>
                  <pic:nvPicPr>
                    <pic:cNvPr id="3" name="Image 3" descr="A close-up of a bowl of black powder  Description automatically generated"/>
                    <pic:cNvPicPr/>
                  </pic:nvPicPr>
                  <pic:blipFill>
                    <a:blip r:embed="rId8" cstate="print"/>
                    <a:stretch>
                      <a:fillRect/>
                    </a:stretch>
                  </pic:blipFill>
                  <pic:spPr>
                    <a:xfrm>
                      <a:off x="0" y="0"/>
                      <a:ext cx="4533317" cy="2112264"/>
                    </a:xfrm>
                    <a:prstGeom prst="rect">
                      <a:avLst/>
                    </a:prstGeom>
                  </pic:spPr>
                </pic:pic>
              </a:graphicData>
            </a:graphic>
          </wp:inline>
        </w:drawing>
      </w:r>
      <w:r>
        <w:rPr/>
      </w:r>
    </w:p>
    <w:p>
      <w:pPr>
        <w:pStyle w:val="BodyText"/>
        <w:spacing w:before="9"/>
        <w:ind w:left="0"/>
        <w:jc w:val="left"/>
        <w:rPr>
          <w:sz w:val="18"/>
        </w:rPr>
      </w:pPr>
    </w:p>
    <w:p>
      <w:pPr>
        <w:spacing w:before="0"/>
        <w:ind w:left="0" w:right="0" w:firstLine="0"/>
        <w:jc w:val="center"/>
        <w:rPr>
          <w:sz w:val="18"/>
        </w:rPr>
      </w:pPr>
      <w:r>
        <w:rPr>
          <w:b/>
          <w:sz w:val="18"/>
        </w:rPr>
        <w:t>Image</w:t>
      </w:r>
      <w:r>
        <w:rPr>
          <w:b/>
          <w:spacing w:val="-4"/>
          <w:sz w:val="18"/>
        </w:rPr>
        <w:t> </w:t>
      </w:r>
      <w:r>
        <w:rPr>
          <w:b/>
          <w:sz w:val="18"/>
        </w:rPr>
        <w:t>3.</w:t>
      </w:r>
      <w:r>
        <w:rPr>
          <w:b/>
          <w:spacing w:val="1"/>
          <w:sz w:val="18"/>
        </w:rPr>
        <w:t> </w:t>
      </w:r>
      <w:r>
        <w:rPr>
          <w:sz w:val="18"/>
        </w:rPr>
        <w:t>(a) Rice</w:t>
      </w:r>
      <w:r>
        <w:rPr>
          <w:spacing w:val="-4"/>
          <w:sz w:val="18"/>
        </w:rPr>
        <w:t> </w:t>
      </w:r>
      <w:r>
        <w:rPr>
          <w:sz w:val="18"/>
        </w:rPr>
        <w:t>husk</w:t>
      </w:r>
      <w:r>
        <w:rPr>
          <w:spacing w:val="-2"/>
          <w:sz w:val="18"/>
        </w:rPr>
        <w:t> </w:t>
      </w:r>
      <w:r>
        <w:rPr>
          <w:sz w:val="18"/>
        </w:rPr>
        <w:t>ash (a)</w:t>
      </w:r>
      <w:r>
        <w:rPr>
          <w:spacing w:val="-1"/>
          <w:sz w:val="18"/>
        </w:rPr>
        <w:t> </w:t>
      </w:r>
      <w:r>
        <w:rPr>
          <w:sz w:val="18"/>
        </w:rPr>
        <w:t>green</w:t>
      </w:r>
      <w:r>
        <w:rPr>
          <w:spacing w:val="1"/>
          <w:sz w:val="18"/>
        </w:rPr>
        <w:t> </w:t>
      </w:r>
      <w:r>
        <w:rPr>
          <w:sz w:val="18"/>
        </w:rPr>
        <w:t>silica</w:t>
      </w:r>
      <w:r>
        <w:rPr>
          <w:spacing w:val="-1"/>
          <w:sz w:val="18"/>
        </w:rPr>
        <w:t> </w:t>
      </w:r>
      <w:r>
        <w:rPr>
          <w:spacing w:val="-4"/>
          <w:sz w:val="18"/>
        </w:rPr>
        <w:t>(SiO</w:t>
      </w:r>
    </w:p>
    <w:p>
      <w:pPr>
        <w:pStyle w:val="BodyText"/>
        <w:spacing w:before="31"/>
        <w:ind w:left="0"/>
        <w:jc w:val="left"/>
        <w:rPr>
          <w:sz w:val="18"/>
        </w:rPr>
      </w:pPr>
    </w:p>
    <w:p>
      <w:pPr>
        <w:pStyle w:val="Heading2"/>
        <w:spacing w:before="1"/>
      </w:pPr>
      <w:r>
        <w:rPr/>
        <w:t>Catalyst</w:t>
      </w:r>
      <w:r>
        <w:rPr>
          <w:spacing w:val="-2"/>
        </w:rPr>
        <w:t> Characterization</w:t>
      </w:r>
    </w:p>
    <w:p>
      <w:pPr>
        <w:pStyle w:val="BodyText"/>
        <w:spacing w:before="241"/>
        <w:ind w:right="354" w:firstLine="283"/>
      </w:pPr>
      <w:r>
        <w:rPr/>
        <w:t>The catalyst was synthesized via a wet impregnation approach. Subsequently, the samples were subjected to a drying process in an oven for 24 hours. Subsequently, the samples were pulverized to achieve a more homogeneous particle size distribution. The resulting catalyst was placed into a tube furnace for calcination under a nitrogen flow of 500°C for two hours. Subsequently, the calcined material was subjected to a reduction step, exposing it to hydrogen gas at a temperature of 500°C for two hours. The objective of this research is to develop a 7% Ni/SiO₂ catalyst.</w:t>
      </w:r>
      <w:r>
        <w:rPr>
          <w:spacing w:val="-2"/>
        </w:rPr>
        <w:t> </w:t>
      </w:r>
      <w:r>
        <w:rPr/>
        <w:t>This</w:t>
      </w:r>
      <w:r>
        <w:rPr>
          <w:spacing w:val="-3"/>
        </w:rPr>
        <w:t> </w:t>
      </w:r>
      <w:r>
        <w:rPr/>
        <w:t>research</w:t>
      </w:r>
      <w:r>
        <w:rPr>
          <w:spacing w:val="-1"/>
        </w:rPr>
        <w:t> </w:t>
      </w:r>
      <w:r>
        <w:rPr/>
        <w:t>was inspired</w:t>
      </w:r>
      <w:r>
        <w:rPr>
          <w:spacing w:val="-1"/>
        </w:rPr>
        <w:t> </w:t>
      </w:r>
      <w:r>
        <w:rPr/>
        <w:t>by Peng's</w:t>
      </w:r>
      <w:r>
        <w:rPr>
          <w:spacing w:val="-3"/>
        </w:rPr>
        <w:t> </w:t>
      </w:r>
      <w:r>
        <w:rPr/>
        <w:t>(2012,</w:t>
      </w:r>
      <w:r>
        <w:rPr>
          <w:spacing w:val="-4"/>
        </w:rPr>
        <w:t> </w:t>
      </w:r>
      <w:r>
        <w:rPr/>
        <w:t>2013)</w:t>
      </w:r>
      <w:r>
        <w:rPr>
          <w:spacing w:val="-4"/>
        </w:rPr>
        <w:t> </w:t>
      </w:r>
      <w:r>
        <w:rPr/>
        <w:t>work,</w:t>
      </w:r>
      <w:r>
        <w:rPr>
          <w:spacing w:val="-2"/>
        </w:rPr>
        <w:t> </w:t>
      </w:r>
      <w:r>
        <w:rPr/>
        <w:t>which</w:t>
      </w:r>
      <w:r>
        <w:rPr>
          <w:spacing w:val="-1"/>
        </w:rPr>
        <w:t> </w:t>
      </w:r>
      <w:r>
        <w:rPr/>
        <w:t>investigated</w:t>
      </w:r>
      <w:r>
        <w:rPr>
          <w:spacing w:val="-1"/>
        </w:rPr>
        <w:t> </w:t>
      </w:r>
      <w:r>
        <w:rPr/>
        <w:t>the</w:t>
      </w:r>
      <w:r>
        <w:rPr>
          <w:spacing w:val="-2"/>
        </w:rPr>
        <w:t> </w:t>
      </w:r>
      <w:r>
        <w:rPr/>
        <w:t>impact</w:t>
      </w:r>
      <w:r>
        <w:rPr>
          <w:spacing w:val="-3"/>
        </w:rPr>
        <w:t> </w:t>
      </w:r>
      <w:r>
        <w:rPr/>
        <w:t>of</w:t>
      </w:r>
      <w:r>
        <w:rPr>
          <w:spacing w:val="-2"/>
        </w:rPr>
        <w:t> </w:t>
      </w:r>
      <w:r>
        <w:rPr/>
        <w:t>nickel</w:t>
      </w:r>
      <w:r>
        <w:rPr>
          <w:spacing w:val="-2"/>
        </w:rPr>
        <w:t> </w:t>
      </w:r>
      <w:r>
        <w:rPr/>
        <w:t>loading</w:t>
      </w:r>
      <w:r>
        <w:rPr>
          <w:spacing w:val="-1"/>
        </w:rPr>
        <w:t> </w:t>
      </w:r>
      <w:r>
        <w:rPr/>
        <w:t>on n-C selectivity using ZrO₂ as a support material. In 2012, the findings demonstrated an increase in the selectivity of n-C17 from 90% to 96% when the nickel content was elevated from 5% to 10%. However, the results of the 2013 study indicated a contrasting trend, with the selectivity of n-C17 decreasing from 90% to 85% for the same nickel loading variation [21][22] .</w:t>
      </w:r>
    </w:p>
    <w:p>
      <w:pPr>
        <w:pStyle w:val="BodyText"/>
        <w:spacing w:before="2"/>
        <w:ind w:right="353" w:firstLine="283"/>
      </w:pPr>
      <w:r>
        <w:rPr/>
        <w:t>Figure 2b presents the Fourier Transform Infrared Spectroscopy (FTIR) spectrum of the synthesized catalyst (Ni/SiO₂). The catalyst spectrum is comparable to that of the SiO₂ buffer, indicating minimal structural alteration during the catalyst preparation process. Notably, most characteristic bands associated with SiO₂ were retained in the catalyst spectrum. Notably, the absence of the O-H stretching band is a noteworthy observation. Furthermore, the bands</w:t>
      </w:r>
      <w:r>
        <w:rPr>
          <w:spacing w:val="-1"/>
        </w:rPr>
        <w:t> </w:t>
      </w:r>
      <w:r>
        <w:rPr/>
        <w:t>potentially caused by the</w:t>
      </w:r>
      <w:r>
        <w:rPr>
          <w:spacing w:val="-1"/>
        </w:rPr>
        <w:t> </w:t>
      </w:r>
      <w:r>
        <w:rPr/>
        <w:t>catalyst,</w:t>
      </w:r>
      <w:r>
        <w:rPr>
          <w:spacing w:val="-1"/>
        </w:rPr>
        <w:t> </w:t>
      </w:r>
      <w:r>
        <w:rPr/>
        <w:t>observed at</w:t>
      </w:r>
      <w:r>
        <w:rPr>
          <w:spacing w:val="-3"/>
        </w:rPr>
        <w:t> </w:t>
      </w:r>
      <w:r>
        <w:rPr/>
        <w:t>1042.47 cm</w:t>
      </w:r>
      <w:r>
        <w:rPr>
          <w:vertAlign w:val="superscript"/>
        </w:rPr>
        <w:t>-1</w:t>
      </w:r>
      <w:r>
        <w:rPr>
          <w:vertAlign w:val="baseline"/>
        </w:rPr>
        <w:t>,</w:t>
      </w:r>
      <w:r>
        <w:rPr>
          <w:spacing w:val="-3"/>
          <w:vertAlign w:val="baseline"/>
        </w:rPr>
        <w:t> </w:t>
      </w:r>
      <w:r>
        <w:rPr>
          <w:vertAlign w:val="baseline"/>
        </w:rPr>
        <w:t>798.73</w:t>
      </w:r>
      <w:r>
        <w:rPr>
          <w:spacing w:val="-2"/>
          <w:vertAlign w:val="baseline"/>
        </w:rPr>
        <w:t> </w:t>
      </w:r>
      <w:r>
        <w:rPr>
          <w:vertAlign w:val="baseline"/>
        </w:rPr>
        <w:t>cm</w:t>
      </w:r>
      <w:r>
        <w:rPr>
          <w:vertAlign w:val="superscript"/>
        </w:rPr>
        <w:t>-1</w:t>
      </w:r>
      <w:r>
        <w:rPr>
          <w:vertAlign w:val="baseline"/>
        </w:rPr>
        <w:t>,</w:t>
      </w:r>
      <w:r>
        <w:rPr>
          <w:spacing w:val="-3"/>
          <w:vertAlign w:val="baseline"/>
        </w:rPr>
        <w:t> </w:t>
      </w:r>
      <w:r>
        <w:rPr>
          <w:vertAlign w:val="baseline"/>
        </w:rPr>
        <w:t>and</w:t>
      </w:r>
      <w:r>
        <w:rPr>
          <w:spacing w:val="-2"/>
          <w:vertAlign w:val="baseline"/>
        </w:rPr>
        <w:t> </w:t>
      </w:r>
      <w:r>
        <w:rPr>
          <w:vertAlign w:val="baseline"/>
        </w:rPr>
        <w:t>440.48 cm</w:t>
      </w:r>
      <w:r>
        <w:rPr>
          <w:vertAlign w:val="superscript"/>
        </w:rPr>
        <w:t>-1</w:t>
      </w:r>
      <w:r>
        <w:rPr>
          <w:vertAlign w:val="baseline"/>
        </w:rPr>
        <w:t>,</w:t>
      </w:r>
      <w:r>
        <w:rPr>
          <w:spacing w:val="-3"/>
          <w:vertAlign w:val="baseline"/>
        </w:rPr>
        <w:t> </w:t>
      </w:r>
      <w:r>
        <w:rPr>
          <w:vertAlign w:val="baseline"/>
        </w:rPr>
        <w:t>appear less</w:t>
      </w:r>
      <w:r>
        <w:rPr>
          <w:spacing w:val="-2"/>
          <w:vertAlign w:val="baseline"/>
        </w:rPr>
        <w:t> </w:t>
      </w:r>
      <w:r>
        <w:rPr>
          <w:vertAlign w:val="baseline"/>
        </w:rPr>
        <w:t>intense </w:t>
      </w:r>
      <w:r>
        <w:rPr>
          <w:position w:val="2"/>
          <w:vertAlign w:val="baseline"/>
        </w:rPr>
        <w:t>than those observed in the SiO</w:t>
      </w:r>
      <w:r>
        <w:rPr>
          <w:sz w:val="13"/>
          <w:vertAlign w:val="baseline"/>
        </w:rPr>
        <w:t>2</w:t>
      </w:r>
      <w:r>
        <w:rPr>
          <w:spacing w:val="40"/>
          <w:sz w:val="13"/>
          <w:vertAlign w:val="baseline"/>
        </w:rPr>
        <w:t> </w:t>
      </w:r>
      <w:r>
        <w:rPr>
          <w:position w:val="2"/>
          <w:vertAlign w:val="baseline"/>
        </w:rPr>
        <w:t>reference spectrum. This reduction in peak intensity can be attributed to nickel </w:t>
      </w:r>
      <w:r>
        <w:rPr>
          <w:vertAlign w:val="baseline"/>
        </w:rPr>
        <w:t>sintering during catalyst manufacturing, as previously reported in reference [23]. The FTIR results confirmed the presence of nickel. However, given the minimal quantity of Ni deposited, it was not feasible to discern the specific form of Ni via FTIR analysis. Table 3 presents the Brunauer-Emmett-Teller (BET) analysis results, demonstrating a reduction in surface area, pore volume, and average pore diameter for Ni/SiO₂ compared to pure SiO₂. These observations can be attributed to the precipitation-precipitation of Ni particles within the pores of the silica support, which leads to partial blockage and a reduction in accessible surface area and porosity [24].</w:t>
      </w:r>
    </w:p>
    <w:p>
      <w:pPr>
        <w:pStyle w:val="BodyText"/>
        <w:ind w:right="352" w:firstLine="283"/>
      </w:pPr>
      <w:r>
        <w:rPr/>
        <w:t>Figure</w:t>
      </w:r>
      <w:r>
        <w:rPr>
          <w:spacing w:val="-2"/>
        </w:rPr>
        <w:t> </w:t>
      </w:r>
      <w:r>
        <w:rPr/>
        <w:t>4a</w:t>
      </w:r>
      <w:r>
        <w:rPr>
          <w:spacing w:val="-2"/>
        </w:rPr>
        <w:t> </w:t>
      </w:r>
      <w:r>
        <w:rPr/>
        <w:t>presents</w:t>
      </w:r>
      <w:r>
        <w:rPr>
          <w:spacing w:val="-3"/>
        </w:rPr>
        <w:t> </w:t>
      </w:r>
      <w:r>
        <w:rPr/>
        <w:t>the synthesized</w:t>
      </w:r>
      <w:r>
        <w:rPr>
          <w:spacing w:val="-1"/>
        </w:rPr>
        <w:t> </w:t>
      </w:r>
      <w:r>
        <w:rPr/>
        <w:t>catalyst's</w:t>
      </w:r>
      <w:r>
        <w:rPr>
          <w:spacing w:val="-3"/>
        </w:rPr>
        <w:t> </w:t>
      </w:r>
      <w:r>
        <w:rPr/>
        <w:t>X-ray</w:t>
      </w:r>
      <w:r>
        <w:rPr>
          <w:spacing w:val="-1"/>
        </w:rPr>
        <w:t> </w:t>
      </w:r>
      <w:r>
        <w:rPr/>
        <w:t>diffraction</w:t>
      </w:r>
      <w:r>
        <w:rPr>
          <w:spacing w:val="-1"/>
        </w:rPr>
        <w:t> </w:t>
      </w:r>
      <w:r>
        <w:rPr/>
        <w:t>(XRD)</w:t>
      </w:r>
      <w:r>
        <w:rPr>
          <w:spacing w:val="-1"/>
        </w:rPr>
        <w:t> </w:t>
      </w:r>
      <w:r>
        <w:rPr/>
        <w:t>pattern for</w:t>
      </w:r>
      <w:r>
        <w:rPr>
          <w:spacing w:val="-2"/>
        </w:rPr>
        <w:t> </w:t>
      </w:r>
      <w:r>
        <w:rPr/>
        <w:t>the</w:t>
      </w:r>
      <w:r>
        <w:rPr>
          <w:spacing w:val="-2"/>
        </w:rPr>
        <w:t> </w:t>
      </w:r>
      <w:r>
        <w:rPr/>
        <w:t>2θ</w:t>
      </w:r>
      <w:r>
        <w:rPr>
          <w:spacing w:val="-4"/>
        </w:rPr>
        <w:t> </w:t>
      </w:r>
      <w:r>
        <w:rPr/>
        <w:t>range</w:t>
      </w:r>
      <w:r>
        <w:rPr>
          <w:spacing w:val="-2"/>
        </w:rPr>
        <w:t> </w:t>
      </w:r>
      <w:r>
        <w:rPr/>
        <w:t>from</w:t>
      </w:r>
      <w:r>
        <w:rPr>
          <w:spacing w:val="-4"/>
        </w:rPr>
        <w:t> </w:t>
      </w:r>
      <w:r>
        <w:rPr/>
        <w:t>5°</w:t>
      </w:r>
      <w:r>
        <w:rPr>
          <w:spacing w:val="-3"/>
        </w:rPr>
        <w:t> </w:t>
      </w:r>
      <w:r>
        <w:rPr/>
        <w:t>to</w:t>
      </w:r>
      <w:r>
        <w:rPr>
          <w:spacing w:val="-1"/>
        </w:rPr>
        <w:t> </w:t>
      </w:r>
      <w:r>
        <w:rPr/>
        <w:t>60°.</w:t>
      </w:r>
      <w:r>
        <w:rPr>
          <w:spacing w:val="-2"/>
        </w:rPr>
        <w:t> </w:t>
      </w:r>
      <w:r>
        <w:rPr/>
        <w:t>The diffraction pattern exhibits well-defined peaks at 44.79° and 51.8°, which can be attributed to metallic nickel (Ni). These peaks correspond to the Ni crystal planes, identified using the Joint Committee on Powder Diffraction Standards (JCPDS) file No. 04-850 (Figure</w:t>
      </w:r>
      <w:r>
        <w:rPr>
          <w:spacing w:val="-2"/>
        </w:rPr>
        <w:t> </w:t>
      </w:r>
      <w:r>
        <w:rPr/>
        <w:t>4b). The</w:t>
      </w:r>
      <w:r>
        <w:rPr>
          <w:spacing w:val="-2"/>
        </w:rPr>
        <w:t> </w:t>
      </w:r>
      <w:r>
        <w:rPr/>
        <w:t>observed lattice constants, calculated from the peaks above, are 2.02321 Å and 1.76406 Å, which closely agree with the Ni standard values reported in the JCPDS database. This close agreement indicates the catalyst's successful formation of the Ni phase. Furthermore, the presence of</w:t>
      </w:r>
      <w:r>
        <w:rPr>
          <w:spacing w:val="40"/>
        </w:rPr>
        <w:t> </w:t>
      </w:r>
      <w:r>
        <w:rPr/>
        <w:t>diffraction peaks with relatively narrow widths indicates the presence of Ni nanoparticles in the catalyst. [25] Chen also observed similar results in his research [16].</w:t>
      </w:r>
    </w:p>
    <w:p>
      <w:pPr>
        <w:pStyle w:val="BodyText"/>
        <w:spacing w:after="0"/>
        <w:sectPr>
          <w:pgSz w:w="12240" w:h="15840"/>
          <w:pgMar w:top="1440" w:bottom="280" w:left="1080" w:right="1080"/>
        </w:sectPr>
      </w:pPr>
    </w:p>
    <w:p>
      <w:pPr>
        <w:pStyle w:val="BodyText"/>
        <w:ind w:left="361"/>
        <w:jc w:val="left"/>
      </w:pPr>
      <w:r>
        <w:rPr/>
        <w:drawing>
          <wp:inline distT="0" distB="0" distL="0" distR="0">
            <wp:extent cx="5922595" cy="2332291"/>
            <wp:effectExtent l="0" t="0" r="0" b="0"/>
            <wp:docPr id="4" name="Image 4" descr="A graph of a graph of a graph  Description automatically generated with medium confidence"/>
            <wp:cNvGraphicFramePr>
              <a:graphicFrameLocks/>
            </wp:cNvGraphicFramePr>
            <a:graphic>
              <a:graphicData uri="http://schemas.openxmlformats.org/drawingml/2006/picture">
                <pic:pic>
                  <pic:nvPicPr>
                    <pic:cNvPr id="4" name="Image 4" descr="A graph of a graph of a graph  Description automatically generated with medium confidence"/>
                    <pic:cNvPicPr/>
                  </pic:nvPicPr>
                  <pic:blipFill>
                    <a:blip r:embed="rId9" cstate="print"/>
                    <a:stretch>
                      <a:fillRect/>
                    </a:stretch>
                  </pic:blipFill>
                  <pic:spPr>
                    <a:xfrm>
                      <a:off x="0" y="0"/>
                      <a:ext cx="5922595" cy="2332291"/>
                    </a:xfrm>
                    <a:prstGeom prst="rect">
                      <a:avLst/>
                    </a:prstGeom>
                  </pic:spPr>
                </pic:pic>
              </a:graphicData>
            </a:graphic>
          </wp:inline>
        </w:drawing>
      </w:r>
      <w:r>
        <w:rPr/>
      </w:r>
    </w:p>
    <w:p>
      <w:pPr>
        <w:spacing w:before="114"/>
        <w:ind w:left="2693" w:right="611" w:hanging="2081"/>
        <w:jc w:val="both"/>
        <w:rPr>
          <w:sz w:val="12"/>
        </w:rPr>
      </w:pPr>
      <w:r>
        <w:rPr>
          <w:b/>
          <w:position w:val="1"/>
          <w:sz w:val="18"/>
        </w:rPr>
        <w:t>Image</w:t>
      </w:r>
      <w:r>
        <w:rPr>
          <w:b/>
          <w:spacing w:val="-5"/>
          <w:position w:val="1"/>
          <w:sz w:val="18"/>
        </w:rPr>
        <w:t> </w:t>
      </w:r>
      <w:r>
        <w:rPr>
          <w:b/>
          <w:position w:val="1"/>
          <w:sz w:val="18"/>
        </w:rPr>
        <w:t>4</w:t>
      </w:r>
      <w:r>
        <w:rPr>
          <w:position w:val="1"/>
          <w:sz w:val="18"/>
        </w:rPr>
        <w:t>.</w:t>
      </w:r>
      <w:r>
        <w:rPr>
          <w:spacing w:val="-1"/>
          <w:position w:val="1"/>
          <w:sz w:val="18"/>
        </w:rPr>
        <w:t> </w:t>
      </w:r>
      <w:r>
        <w:rPr>
          <w:position w:val="1"/>
          <w:sz w:val="18"/>
        </w:rPr>
        <w:t>(a)</w:t>
      </w:r>
      <w:r>
        <w:rPr>
          <w:spacing w:val="-2"/>
          <w:position w:val="1"/>
          <w:sz w:val="18"/>
        </w:rPr>
        <w:t> </w:t>
      </w:r>
      <w:r>
        <w:rPr>
          <w:position w:val="1"/>
          <w:sz w:val="18"/>
        </w:rPr>
        <w:t>XRD</w:t>
      </w:r>
      <w:r>
        <w:rPr>
          <w:spacing w:val="-3"/>
          <w:position w:val="1"/>
          <w:sz w:val="18"/>
        </w:rPr>
        <w:t> </w:t>
      </w:r>
      <w:r>
        <w:rPr>
          <w:position w:val="1"/>
          <w:sz w:val="18"/>
        </w:rPr>
        <w:t>spectra</w:t>
      </w:r>
      <w:r>
        <w:rPr>
          <w:spacing w:val="-5"/>
          <w:position w:val="1"/>
          <w:sz w:val="18"/>
        </w:rPr>
        <w:t> </w:t>
      </w:r>
      <w:r>
        <w:rPr>
          <w:position w:val="1"/>
          <w:sz w:val="18"/>
        </w:rPr>
        <w:t>of</w:t>
      </w:r>
      <w:r>
        <w:rPr>
          <w:spacing w:val="-2"/>
          <w:position w:val="1"/>
          <w:sz w:val="18"/>
        </w:rPr>
        <w:t> </w:t>
      </w:r>
      <w:r>
        <w:rPr>
          <w:position w:val="1"/>
          <w:sz w:val="18"/>
        </w:rPr>
        <w:t>7%</w:t>
      </w:r>
      <w:r>
        <w:rPr>
          <w:spacing w:val="-3"/>
          <w:position w:val="1"/>
          <w:sz w:val="18"/>
        </w:rPr>
        <w:t> </w:t>
      </w:r>
      <w:r>
        <w:rPr>
          <w:position w:val="1"/>
          <w:sz w:val="18"/>
        </w:rPr>
        <w:t>Ni/SiO</w:t>
      </w:r>
      <w:r>
        <w:rPr>
          <w:spacing w:val="-2"/>
          <w:position w:val="1"/>
          <w:sz w:val="18"/>
        </w:rPr>
        <w:t> </w:t>
      </w:r>
      <w:r>
        <w:rPr>
          <w:position w:val="1"/>
          <w:sz w:val="18"/>
        </w:rPr>
        <w:t>catalyst</w:t>
      </w:r>
      <w:r>
        <w:rPr>
          <w:sz w:val="12"/>
        </w:rPr>
        <w:t>2</w:t>
      </w:r>
      <w:r>
        <w:rPr>
          <w:spacing w:val="13"/>
          <w:sz w:val="12"/>
        </w:rPr>
        <w:t> </w:t>
      </w:r>
      <w:r>
        <w:rPr>
          <w:position w:val="1"/>
          <w:sz w:val="18"/>
        </w:rPr>
        <w:t>(b)</w:t>
      </w:r>
      <w:r>
        <w:rPr>
          <w:spacing w:val="-4"/>
          <w:position w:val="1"/>
          <w:sz w:val="18"/>
        </w:rPr>
        <w:t> </w:t>
      </w:r>
      <w:r>
        <w:rPr>
          <w:position w:val="1"/>
          <w:sz w:val="18"/>
        </w:rPr>
        <w:t>JCPDS</w:t>
      </w:r>
      <w:r>
        <w:rPr>
          <w:spacing w:val="-2"/>
          <w:position w:val="1"/>
          <w:sz w:val="18"/>
        </w:rPr>
        <w:t> </w:t>
      </w:r>
      <w:r>
        <w:rPr>
          <w:position w:val="1"/>
          <w:sz w:val="18"/>
        </w:rPr>
        <w:t>file</w:t>
      </w:r>
      <w:r>
        <w:rPr>
          <w:spacing w:val="-5"/>
          <w:position w:val="1"/>
          <w:sz w:val="18"/>
        </w:rPr>
        <w:t> </w:t>
      </w:r>
      <w:r>
        <w:rPr>
          <w:position w:val="1"/>
          <w:sz w:val="18"/>
        </w:rPr>
        <w:t>no.</w:t>
      </w:r>
      <w:r>
        <w:rPr>
          <w:spacing w:val="-2"/>
          <w:position w:val="1"/>
          <w:sz w:val="18"/>
        </w:rPr>
        <w:t> </w:t>
      </w:r>
      <w:r>
        <w:rPr>
          <w:position w:val="1"/>
          <w:sz w:val="18"/>
        </w:rPr>
        <w:t>04-850</w:t>
      </w:r>
      <w:r>
        <w:rPr>
          <w:spacing w:val="-1"/>
          <w:position w:val="1"/>
          <w:sz w:val="18"/>
        </w:rPr>
        <w:t> </w:t>
      </w:r>
      <w:r>
        <w:rPr>
          <w:position w:val="1"/>
          <w:sz w:val="18"/>
        </w:rPr>
        <w:t>(c)</w:t>
      </w:r>
      <w:r>
        <w:rPr>
          <w:spacing w:val="-1"/>
          <w:position w:val="1"/>
          <w:sz w:val="18"/>
        </w:rPr>
        <w:t> </w:t>
      </w:r>
      <w:r>
        <w:rPr>
          <w:position w:val="1"/>
          <w:sz w:val="18"/>
        </w:rPr>
        <w:t>Scanning Electron</w:t>
      </w:r>
      <w:r>
        <w:rPr>
          <w:spacing w:val="-3"/>
          <w:position w:val="1"/>
          <w:sz w:val="18"/>
        </w:rPr>
        <w:t> </w:t>
      </w:r>
      <w:r>
        <w:rPr>
          <w:position w:val="1"/>
          <w:sz w:val="18"/>
        </w:rPr>
        <w:t>Microscope</w:t>
      </w:r>
      <w:r>
        <w:rPr>
          <w:spacing w:val="-3"/>
          <w:position w:val="1"/>
          <w:sz w:val="18"/>
        </w:rPr>
        <w:t> </w:t>
      </w:r>
      <w:r>
        <w:rPr>
          <w:position w:val="1"/>
          <w:sz w:val="18"/>
        </w:rPr>
        <w:t>(SEM)</w:t>
      </w:r>
      <w:r>
        <w:rPr>
          <w:spacing w:val="-2"/>
          <w:position w:val="1"/>
          <w:sz w:val="18"/>
        </w:rPr>
        <w:t> </w:t>
      </w:r>
      <w:r>
        <w:rPr>
          <w:position w:val="1"/>
          <w:sz w:val="18"/>
        </w:rPr>
        <w:t>and Energy Dispersive X-ray (EDX) analysis of 7% Ni/SiO catalyst.</w:t>
      </w:r>
      <w:r>
        <w:rPr>
          <w:sz w:val="12"/>
        </w:rPr>
        <w:t>2</w:t>
      </w:r>
    </w:p>
    <w:p>
      <w:pPr>
        <w:pStyle w:val="BodyText"/>
        <w:ind w:right="360" w:firstLine="283"/>
      </w:pPr>
      <w:r>
        <w:rPr/>
        <w:t>Scanning electron microscopy (SEM) and energy-dispersive X-ray spectroscopy (EDX) were employed to investigate the morphology and elemental composition of the synthesized catalyst (Figure 4c). As illustrated in the SEM image, the distribution of the particles is irregular. The EDX spectra exhibited characteristic peaks at 0.9 keV and 7.5 keV, thereby confirming the presence of nickel. The quantitative EDX analysis revealed that the predominant elements</w:t>
      </w:r>
      <w:r>
        <w:rPr>
          <w:spacing w:val="-1"/>
        </w:rPr>
        <w:t> </w:t>
      </w:r>
      <w:r>
        <w:rPr/>
        <w:t>were silicon (Si), oxygen (O), and nickel (Ni), with respective weight percentages of 51.87%, 40.69%, and 7.44%. The results are in accordance with the expected composition of the 7% Ni/SiO₂ catalyst, indicating the successful impregnation of nickel nanoparticles on the silica support.</w:t>
      </w:r>
    </w:p>
    <w:p>
      <w:pPr>
        <w:pStyle w:val="BodyText"/>
        <w:spacing w:before="9"/>
        <w:ind w:left="0"/>
        <w:jc w:val="left"/>
      </w:pPr>
    </w:p>
    <w:p>
      <w:pPr>
        <w:pStyle w:val="Heading2"/>
        <w:ind w:left="281"/>
      </w:pPr>
      <w:r>
        <w:rPr/>
        <w:t>Hydrocarbon</w:t>
      </w:r>
      <w:r>
        <w:rPr>
          <w:spacing w:val="-2"/>
        </w:rPr>
        <w:t> </w:t>
      </w:r>
      <w:r>
        <w:rPr/>
        <w:t>production</w:t>
      </w:r>
      <w:r>
        <w:rPr>
          <w:spacing w:val="-1"/>
        </w:rPr>
        <w:t> </w:t>
      </w:r>
      <w:r>
        <w:rPr/>
        <w:t>and</w:t>
      </w:r>
      <w:r>
        <w:rPr>
          <w:spacing w:val="-2"/>
        </w:rPr>
        <w:t> </w:t>
      </w:r>
      <w:r>
        <w:rPr/>
        <w:t>statistical</w:t>
      </w:r>
      <w:r>
        <w:rPr>
          <w:spacing w:val="-1"/>
        </w:rPr>
        <w:t> </w:t>
      </w:r>
      <w:r>
        <w:rPr>
          <w:spacing w:val="-2"/>
        </w:rPr>
        <w:t>analysis</w:t>
      </w:r>
    </w:p>
    <w:p>
      <w:pPr>
        <w:pStyle w:val="BodyText"/>
        <w:spacing w:line="237" w:lineRule="auto" w:before="244"/>
        <w:ind w:right="355" w:firstLine="283"/>
      </w:pPr>
      <w:r>
        <w:rPr/>
        <w:t>A</w:t>
      </w:r>
      <w:r>
        <w:rPr>
          <w:spacing w:val="-1"/>
        </w:rPr>
        <w:t> </w:t>
      </w:r>
      <w:r>
        <w:rPr/>
        <w:t>preliminary</w:t>
      </w:r>
      <w:r>
        <w:rPr>
          <w:spacing w:val="-2"/>
        </w:rPr>
        <w:t> </w:t>
      </w:r>
      <w:r>
        <w:rPr/>
        <w:t>selection process</w:t>
      </w:r>
      <w:r>
        <w:rPr>
          <w:spacing w:val="-1"/>
        </w:rPr>
        <w:t> </w:t>
      </w:r>
      <w:r>
        <w:rPr/>
        <w:t>was</w:t>
      </w:r>
      <w:r>
        <w:rPr>
          <w:spacing w:val="-1"/>
        </w:rPr>
        <w:t> </w:t>
      </w:r>
      <w:r>
        <w:rPr/>
        <w:t>employed to</w:t>
      </w:r>
      <w:r>
        <w:rPr>
          <w:spacing w:val="-2"/>
        </w:rPr>
        <w:t> </w:t>
      </w:r>
      <w:r>
        <w:rPr/>
        <w:t>identify</w:t>
      </w:r>
      <w:r>
        <w:rPr>
          <w:spacing w:val="-1"/>
        </w:rPr>
        <w:t> </w:t>
      </w:r>
      <w:r>
        <w:rPr/>
        <w:t>the</w:t>
      </w:r>
      <w:r>
        <w:rPr>
          <w:spacing w:val="-1"/>
        </w:rPr>
        <w:t> </w:t>
      </w:r>
      <w:r>
        <w:rPr/>
        <w:t>optimal</w:t>
      </w:r>
      <w:r>
        <w:rPr>
          <w:spacing w:val="-1"/>
        </w:rPr>
        <w:t> </w:t>
      </w:r>
      <w:r>
        <w:rPr/>
        <w:t>conditions</w:t>
      </w:r>
      <w:r>
        <w:rPr>
          <w:spacing w:val="-4"/>
        </w:rPr>
        <w:t> </w:t>
      </w:r>
      <w:r>
        <w:rPr/>
        <w:t>for producing green</w:t>
      </w:r>
      <w:r>
        <w:rPr>
          <w:spacing w:val="-2"/>
        </w:rPr>
        <w:t> </w:t>
      </w:r>
      <w:r>
        <w:rPr/>
        <w:t>diesel</w:t>
      </w:r>
      <w:r>
        <w:rPr>
          <w:spacing w:val="-1"/>
        </w:rPr>
        <w:t> </w:t>
      </w:r>
      <w:r>
        <w:rPr/>
        <w:t>from sludge oil using a Ni/SiO₂ catalyst. The selected conditions</w:t>
      </w:r>
      <w:r>
        <w:rPr>
          <w:spacing w:val="-1"/>
        </w:rPr>
        <w:t> </w:t>
      </w:r>
      <w:r>
        <w:rPr/>
        <w:t>were a reaction temperature of 275°C, a reaction time of 4 hours, and a catalyst loading of 5 g. The experimental results, as analyzed by GC/MS, demonstrated a total </w:t>
      </w:r>
      <w:r>
        <w:rPr>
          <w:position w:val="2"/>
        </w:rPr>
        <w:t>hydrocarbon yield of 98.63%, consisting of 83.16% diesel-like hydrocarbons (C</w:t>
      </w:r>
      <w:r>
        <w:rPr>
          <w:sz w:val="13"/>
        </w:rPr>
        <w:t>15</w:t>
      </w:r>
      <w:r>
        <w:rPr>
          <w:position w:val="2"/>
        </w:rPr>
        <w:t>-C</w:t>
      </w:r>
      <w:r>
        <w:rPr>
          <w:sz w:val="13"/>
        </w:rPr>
        <w:t>18</w:t>
      </w:r>
      <w:r>
        <w:rPr>
          <w:position w:val="2"/>
        </w:rPr>
        <w:t>), 16.81% lighter</w:t>
      </w:r>
      <w:r>
        <w:rPr>
          <w:spacing w:val="80"/>
          <w:position w:val="2"/>
        </w:rPr>
        <w:t> </w:t>
      </w:r>
      <w:r>
        <w:rPr>
          <w:position w:val="2"/>
        </w:rPr>
        <w:t>hydrocarbons (C</w:t>
      </w:r>
      <w:r>
        <w:rPr>
          <w:sz w:val="13"/>
        </w:rPr>
        <w:t>12</w:t>
      </w:r>
      <w:r>
        <w:rPr>
          <w:position w:val="2"/>
        </w:rPr>
        <w:t>-C</w:t>
      </w:r>
      <w:r>
        <w:rPr>
          <w:sz w:val="13"/>
        </w:rPr>
        <w:t>14</w:t>
      </w:r>
      <w:r>
        <w:rPr>
          <w:position w:val="2"/>
        </w:rPr>
        <w:t>), and a cracking ratio of 0.15. To ascertain the efficacy of the catalyst, a control reaction was </w:t>
      </w:r>
      <w:r>
        <w:rPr/>
        <w:t>conducted under identical conditions in the absence of the catalyst, resulting in the production of 70.18% </w:t>
      </w:r>
      <w:r>
        <w:rPr>
          <w:position w:val="2"/>
        </w:rPr>
        <w:t>hydrocarbons, including 75.26% diesel-like hydrocarbons (C</w:t>
      </w:r>
      <w:r>
        <w:rPr>
          <w:sz w:val="13"/>
        </w:rPr>
        <w:t>15</w:t>
      </w:r>
      <w:r>
        <w:rPr>
          <w:position w:val="2"/>
        </w:rPr>
        <w:t>-C</w:t>
      </w:r>
      <w:r>
        <w:rPr>
          <w:sz w:val="13"/>
        </w:rPr>
        <w:t>18</w:t>
      </w:r>
      <w:r>
        <w:rPr>
          <w:position w:val="2"/>
        </w:rPr>
        <w:t>), 15.26% lighter hydrocarbons (C</w:t>
      </w:r>
      <w:r>
        <w:rPr>
          <w:sz w:val="13"/>
        </w:rPr>
        <w:t>12</w:t>
      </w:r>
      <w:r>
        <w:rPr>
          <w:position w:val="2"/>
        </w:rPr>
        <w:t>-C</w:t>
      </w:r>
      <w:r>
        <w:rPr>
          <w:sz w:val="13"/>
        </w:rPr>
        <w:t>14</w:t>
      </w:r>
      <w:r>
        <w:rPr>
          <w:position w:val="2"/>
        </w:rPr>
        <w:t>), and 9.48% hydrocarbons (C</w:t>
      </w:r>
      <w:r>
        <w:rPr>
          <w:sz w:val="13"/>
        </w:rPr>
        <w:t>20</w:t>
      </w:r>
      <w:r>
        <w:rPr>
          <w:position w:val="2"/>
        </w:rPr>
        <w:t>-C</w:t>
      </w:r>
      <w:r>
        <w:rPr>
          <w:sz w:val="13"/>
        </w:rPr>
        <w:t>24</w:t>
      </w:r>
      <w:r>
        <w:rPr>
          <w:position w:val="2"/>
        </w:rPr>
        <w:t>). The HDO/(DCO</w:t>
      </w:r>
      <w:r>
        <w:rPr>
          <w:sz w:val="13"/>
        </w:rPr>
        <w:t>2</w:t>
      </w:r>
      <w:r>
        <w:rPr>
          <w:spacing w:val="32"/>
          <w:sz w:val="13"/>
        </w:rPr>
        <w:t> </w:t>
      </w:r>
      <w:r>
        <w:rPr>
          <w:position w:val="2"/>
        </w:rPr>
        <w:t>+ DCO) ratio was employed to assess the level of HDO and the prevalence of the DCO</w:t>
      </w:r>
      <w:r>
        <w:rPr>
          <w:sz w:val="13"/>
        </w:rPr>
        <w:t>2</w:t>
      </w:r>
      <w:r>
        <w:rPr>
          <w:spacing w:val="38"/>
          <w:sz w:val="13"/>
        </w:rPr>
        <w:t> </w:t>
      </w:r>
      <w:r>
        <w:rPr>
          <w:position w:val="2"/>
        </w:rPr>
        <w:t>+ DCO pathway. Boda et al. proposed that the adsorption characteristics on the catalyst </w:t>
      </w:r>
      <w:r>
        <w:rPr/>
        <w:t>surface result in disparate pathways, given that metal sites exhibit distinctive preferences for adsorbing functional groups. [26] With Ni/SiO₂, the ratio is 1.78, indicating a preference for the HDO pathway over DCO₂ + DCO.</w:t>
      </w:r>
    </w:p>
    <w:p>
      <w:pPr>
        <w:spacing w:before="118"/>
        <w:ind w:left="1090" w:right="0" w:firstLine="0"/>
        <w:jc w:val="left"/>
        <w:rPr>
          <w:sz w:val="18"/>
        </w:rPr>
      </w:pPr>
      <w:r>
        <w:rPr>
          <w:b/>
          <w:sz w:val="18"/>
        </w:rPr>
        <w:t>Table</w:t>
      </w:r>
      <w:r>
        <w:rPr>
          <w:b/>
          <w:spacing w:val="-2"/>
          <w:sz w:val="18"/>
        </w:rPr>
        <w:t> </w:t>
      </w:r>
      <w:r>
        <w:rPr>
          <w:b/>
          <w:sz w:val="18"/>
        </w:rPr>
        <w:t>4</w:t>
      </w:r>
      <w:r>
        <w:rPr>
          <w:sz w:val="18"/>
        </w:rPr>
        <w:t>.</w:t>
      </w:r>
      <w:r>
        <w:rPr>
          <w:spacing w:val="-2"/>
          <w:sz w:val="18"/>
        </w:rPr>
        <w:t> </w:t>
      </w:r>
      <w:r>
        <w:rPr>
          <w:sz w:val="18"/>
        </w:rPr>
        <w:t>Experimental</w:t>
      </w:r>
      <w:r>
        <w:rPr>
          <w:spacing w:val="-4"/>
          <w:sz w:val="18"/>
        </w:rPr>
        <w:t> </w:t>
      </w:r>
      <w:r>
        <w:rPr>
          <w:sz w:val="18"/>
        </w:rPr>
        <w:t>designs</w:t>
      </w:r>
      <w:r>
        <w:rPr>
          <w:spacing w:val="-5"/>
          <w:sz w:val="18"/>
        </w:rPr>
        <w:t> </w:t>
      </w:r>
      <w:r>
        <w:rPr>
          <w:sz w:val="18"/>
        </w:rPr>
        <w:t>generated</w:t>
      </w:r>
      <w:r>
        <w:rPr>
          <w:spacing w:val="-1"/>
          <w:sz w:val="18"/>
        </w:rPr>
        <w:t> </w:t>
      </w:r>
      <w:r>
        <w:rPr>
          <w:sz w:val="18"/>
        </w:rPr>
        <w:t>by</w:t>
      </w:r>
      <w:r>
        <w:rPr>
          <w:spacing w:val="-1"/>
          <w:sz w:val="18"/>
        </w:rPr>
        <w:t> </w:t>
      </w:r>
      <w:r>
        <w:rPr>
          <w:sz w:val="18"/>
        </w:rPr>
        <w:t>RSM-BBD</w:t>
      </w:r>
      <w:r>
        <w:rPr>
          <w:spacing w:val="-2"/>
          <w:sz w:val="18"/>
        </w:rPr>
        <w:t> </w:t>
      </w:r>
      <w:r>
        <w:rPr>
          <w:sz w:val="18"/>
        </w:rPr>
        <w:t>and</w:t>
      </w:r>
      <w:r>
        <w:rPr>
          <w:spacing w:val="-1"/>
          <w:sz w:val="18"/>
        </w:rPr>
        <w:t> </w:t>
      </w:r>
      <w:r>
        <w:rPr>
          <w:sz w:val="18"/>
        </w:rPr>
        <w:t>corresponding</w:t>
      </w:r>
      <w:r>
        <w:rPr>
          <w:spacing w:val="-1"/>
          <w:sz w:val="18"/>
        </w:rPr>
        <w:t> </w:t>
      </w:r>
      <w:r>
        <w:rPr>
          <w:sz w:val="18"/>
        </w:rPr>
        <w:t>responses</w:t>
      </w:r>
      <w:r>
        <w:rPr>
          <w:spacing w:val="-1"/>
          <w:sz w:val="18"/>
        </w:rPr>
        <w:t> </w:t>
      </w:r>
      <w:r>
        <w:rPr>
          <w:sz w:val="18"/>
        </w:rPr>
        <w:t>for hydrocarbon</w:t>
      </w:r>
      <w:r>
        <w:rPr>
          <w:spacing w:val="1"/>
          <w:sz w:val="18"/>
        </w:rPr>
        <w:t> </w:t>
      </w:r>
      <w:r>
        <w:rPr>
          <w:spacing w:val="-2"/>
          <w:sz w:val="18"/>
        </w:rPr>
        <w:t>yields.</w:t>
      </w:r>
    </w:p>
    <w:tbl>
      <w:tblPr>
        <w:tblW w:w="0" w:type="auto"/>
        <w:jc w:val="left"/>
        <w:tblInd w:w="5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29"/>
        <w:gridCol w:w="1830"/>
        <w:gridCol w:w="1750"/>
        <w:gridCol w:w="988"/>
        <w:gridCol w:w="1480"/>
        <w:gridCol w:w="1126"/>
        <w:gridCol w:w="1179"/>
      </w:tblGrid>
      <w:tr>
        <w:trPr>
          <w:trHeight w:val="690" w:hRule="atLeast"/>
        </w:trPr>
        <w:tc>
          <w:tcPr>
            <w:tcW w:w="729" w:type="dxa"/>
            <w:tcBorders>
              <w:top w:val="single" w:sz="4" w:space="0" w:color="000000"/>
              <w:bottom w:val="single" w:sz="4" w:space="0" w:color="000000"/>
            </w:tcBorders>
          </w:tcPr>
          <w:p>
            <w:pPr>
              <w:pStyle w:val="TableParagraph"/>
              <w:ind w:left="24" w:right="4"/>
              <w:rPr>
                <w:b/>
                <w:sz w:val="20"/>
              </w:rPr>
            </w:pPr>
            <w:r>
              <w:rPr>
                <w:b/>
                <w:spacing w:val="-5"/>
                <w:sz w:val="20"/>
              </w:rPr>
              <w:t>Run</w:t>
            </w:r>
          </w:p>
        </w:tc>
        <w:tc>
          <w:tcPr>
            <w:tcW w:w="1830" w:type="dxa"/>
            <w:tcBorders>
              <w:top w:val="single" w:sz="4" w:space="0" w:color="000000"/>
              <w:bottom w:val="single" w:sz="4" w:space="0" w:color="000000"/>
            </w:tcBorders>
          </w:tcPr>
          <w:p>
            <w:pPr>
              <w:pStyle w:val="TableParagraph"/>
              <w:ind w:left="170" w:right="159" w:firstLine="237"/>
              <w:jc w:val="left"/>
              <w:rPr>
                <w:b/>
                <w:sz w:val="20"/>
              </w:rPr>
            </w:pPr>
            <w:r>
              <w:rPr>
                <w:b/>
                <w:sz w:val="20"/>
              </w:rPr>
              <w:t>A: Reaction temperature</w:t>
            </w:r>
            <w:r>
              <w:rPr>
                <w:b/>
                <w:spacing w:val="-13"/>
                <w:sz w:val="20"/>
              </w:rPr>
              <w:t> </w:t>
            </w:r>
            <w:r>
              <w:rPr>
                <w:b/>
                <w:sz w:val="20"/>
              </w:rPr>
              <w:t>(oC)</w:t>
            </w:r>
          </w:p>
        </w:tc>
        <w:tc>
          <w:tcPr>
            <w:tcW w:w="1750" w:type="dxa"/>
            <w:tcBorders>
              <w:top w:val="single" w:sz="4" w:space="0" w:color="000000"/>
              <w:bottom w:val="single" w:sz="4" w:space="0" w:color="000000"/>
            </w:tcBorders>
          </w:tcPr>
          <w:p>
            <w:pPr>
              <w:pStyle w:val="TableParagraph"/>
              <w:ind w:left="571" w:hanging="406"/>
              <w:jc w:val="left"/>
              <w:rPr>
                <w:b/>
                <w:sz w:val="20"/>
              </w:rPr>
            </w:pPr>
            <w:r>
              <w:rPr>
                <w:b/>
                <w:sz w:val="20"/>
              </w:rPr>
              <w:t>B:</w:t>
            </w:r>
            <w:r>
              <w:rPr>
                <w:b/>
                <w:spacing w:val="-13"/>
                <w:sz w:val="20"/>
              </w:rPr>
              <w:t> </w:t>
            </w:r>
            <w:r>
              <w:rPr>
                <w:b/>
                <w:sz w:val="20"/>
              </w:rPr>
              <w:t>Reaction</w:t>
            </w:r>
            <w:r>
              <w:rPr>
                <w:b/>
                <w:spacing w:val="-12"/>
                <w:sz w:val="20"/>
              </w:rPr>
              <w:t> </w:t>
            </w:r>
            <w:r>
              <w:rPr>
                <w:b/>
                <w:sz w:val="20"/>
              </w:rPr>
              <w:t>time </w:t>
            </w:r>
            <w:r>
              <w:rPr>
                <w:b/>
                <w:spacing w:val="-2"/>
                <w:sz w:val="20"/>
              </w:rPr>
              <w:t>(hours)</w:t>
            </w:r>
          </w:p>
        </w:tc>
        <w:tc>
          <w:tcPr>
            <w:tcW w:w="988" w:type="dxa"/>
            <w:tcBorders>
              <w:top w:val="single" w:sz="4" w:space="0" w:color="000000"/>
              <w:bottom w:val="single" w:sz="4" w:space="0" w:color="000000"/>
            </w:tcBorders>
          </w:tcPr>
          <w:p>
            <w:pPr>
              <w:pStyle w:val="TableParagraph"/>
              <w:ind w:left="27"/>
              <w:rPr>
                <w:b/>
                <w:sz w:val="20"/>
              </w:rPr>
            </w:pPr>
            <w:r>
              <w:rPr>
                <w:b/>
                <w:spacing w:val="-5"/>
                <w:sz w:val="20"/>
              </w:rPr>
              <w:t>C:</w:t>
            </w:r>
          </w:p>
          <w:p>
            <w:pPr>
              <w:pStyle w:val="TableParagraph"/>
              <w:spacing w:line="230" w:lineRule="atLeast"/>
              <w:ind w:left="150" w:right="123" w:hanging="1"/>
              <w:rPr>
                <w:b/>
                <w:sz w:val="20"/>
              </w:rPr>
            </w:pPr>
            <w:r>
              <w:rPr>
                <w:b/>
                <w:spacing w:val="-2"/>
                <w:sz w:val="20"/>
              </w:rPr>
              <w:t>Catalyst Loading</w:t>
            </w:r>
          </w:p>
        </w:tc>
        <w:tc>
          <w:tcPr>
            <w:tcW w:w="1480" w:type="dxa"/>
            <w:tcBorders>
              <w:top w:val="single" w:sz="4" w:space="0" w:color="000000"/>
              <w:bottom w:val="single" w:sz="4" w:space="0" w:color="000000"/>
            </w:tcBorders>
          </w:tcPr>
          <w:p>
            <w:pPr>
              <w:pStyle w:val="TableParagraph"/>
              <w:ind w:left="305" w:hanging="180"/>
              <w:jc w:val="left"/>
              <w:rPr>
                <w:b/>
                <w:sz w:val="20"/>
              </w:rPr>
            </w:pPr>
            <w:r>
              <w:rPr>
                <w:b/>
                <w:spacing w:val="-2"/>
                <w:sz w:val="20"/>
              </w:rPr>
              <w:t>Hydrocarbon </w:t>
            </w:r>
            <w:r>
              <w:rPr>
                <w:b/>
                <w:sz w:val="20"/>
              </w:rPr>
              <w:t>yield (%)</w:t>
            </w:r>
          </w:p>
        </w:tc>
        <w:tc>
          <w:tcPr>
            <w:tcW w:w="1126" w:type="dxa"/>
            <w:tcBorders>
              <w:top w:val="single" w:sz="4" w:space="0" w:color="000000"/>
              <w:bottom w:val="single" w:sz="4" w:space="0" w:color="000000"/>
            </w:tcBorders>
          </w:tcPr>
          <w:p>
            <w:pPr>
              <w:pStyle w:val="TableParagraph"/>
              <w:ind w:left="363" w:hanging="166"/>
              <w:jc w:val="left"/>
              <w:rPr>
                <w:b/>
                <w:sz w:val="20"/>
              </w:rPr>
            </w:pPr>
            <w:r>
              <w:rPr>
                <w:b/>
                <w:position w:val="1"/>
                <w:sz w:val="20"/>
              </w:rPr>
              <w:t>C</w:t>
            </w:r>
            <w:r>
              <w:rPr>
                <w:b/>
                <w:sz w:val="13"/>
              </w:rPr>
              <w:t>15</w:t>
            </w:r>
            <w:r>
              <w:rPr>
                <w:b/>
                <w:spacing w:val="-1"/>
                <w:sz w:val="13"/>
              </w:rPr>
              <w:t> </w:t>
            </w:r>
            <w:r>
              <w:rPr>
                <w:b/>
                <w:position w:val="1"/>
                <w:sz w:val="20"/>
              </w:rPr>
              <w:t>-</w:t>
            </w:r>
            <w:r>
              <w:rPr>
                <w:b/>
                <w:position w:val="1"/>
                <w:sz w:val="20"/>
              </w:rPr>
              <w:t>C</w:t>
            </w:r>
            <w:r>
              <w:rPr>
                <w:b/>
                <w:sz w:val="13"/>
              </w:rPr>
              <w:t>18</w:t>
            </w:r>
            <w:r>
              <w:rPr>
                <w:b/>
                <w:spacing w:val="40"/>
                <w:sz w:val="13"/>
              </w:rPr>
              <w:t> </w:t>
            </w:r>
            <w:r>
              <w:rPr>
                <w:b/>
                <w:spacing w:val="-4"/>
                <w:sz w:val="20"/>
              </w:rPr>
              <w:t>(%)</w:t>
            </w:r>
          </w:p>
        </w:tc>
        <w:tc>
          <w:tcPr>
            <w:tcW w:w="1179" w:type="dxa"/>
            <w:tcBorders>
              <w:top w:val="single" w:sz="4" w:space="0" w:color="000000"/>
              <w:bottom w:val="single" w:sz="4" w:space="0" w:color="000000"/>
            </w:tcBorders>
          </w:tcPr>
          <w:p>
            <w:pPr>
              <w:pStyle w:val="TableParagraph"/>
              <w:ind w:left="428" w:hanging="166"/>
              <w:jc w:val="left"/>
              <w:rPr>
                <w:b/>
                <w:sz w:val="20"/>
              </w:rPr>
            </w:pPr>
            <w:r>
              <w:rPr>
                <w:b/>
                <w:position w:val="1"/>
                <w:sz w:val="20"/>
              </w:rPr>
              <w:t>C</w:t>
            </w:r>
            <w:r>
              <w:rPr>
                <w:b/>
                <w:sz w:val="13"/>
              </w:rPr>
              <w:t>12</w:t>
            </w:r>
            <w:r>
              <w:rPr>
                <w:b/>
                <w:spacing w:val="-1"/>
                <w:sz w:val="13"/>
              </w:rPr>
              <w:t> </w:t>
            </w:r>
            <w:r>
              <w:rPr>
                <w:b/>
                <w:position w:val="1"/>
                <w:sz w:val="20"/>
              </w:rPr>
              <w:t>-</w:t>
            </w:r>
            <w:r>
              <w:rPr>
                <w:b/>
                <w:position w:val="1"/>
                <w:sz w:val="20"/>
              </w:rPr>
              <w:t>C</w:t>
            </w:r>
            <w:r>
              <w:rPr>
                <w:b/>
                <w:sz w:val="13"/>
              </w:rPr>
              <w:t>14</w:t>
            </w:r>
            <w:r>
              <w:rPr>
                <w:b/>
                <w:spacing w:val="40"/>
                <w:sz w:val="13"/>
              </w:rPr>
              <w:t> </w:t>
            </w:r>
            <w:r>
              <w:rPr>
                <w:b/>
                <w:spacing w:val="-4"/>
                <w:sz w:val="20"/>
              </w:rPr>
              <w:t>(%)</w:t>
            </w:r>
          </w:p>
        </w:tc>
      </w:tr>
      <w:tr>
        <w:trPr>
          <w:trHeight w:val="305" w:hRule="atLeast"/>
        </w:trPr>
        <w:tc>
          <w:tcPr>
            <w:tcW w:w="729" w:type="dxa"/>
            <w:tcBorders>
              <w:top w:val="single" w:sz="4" w:space="0" w:color="000000"/>
            </w:tcBorders>
          </w:tcPr>
          <w:p>
            <w:pPr>
              <w:pStyle w:val="TableParagraph"/>
              <w:spacing w:before="1"/>
              <w:ind w:left="24" w:right="1"/>
              <w:rPr>
                <w:sz w:val="20"/>
              </w:rPr>
            </w:pPr>
            <w:r>
              <w:rPr>
                <w:spacing w:val="-10"/>
                <w:sz w:val="20"/>
              </w:rPr>
              <w:t>1</w:t>
            </w:r>
          </w:p>
        </w:tc>
        <w:tc>
          <w:tcPr>
            <w:tcW w:w="1830" w:type="dxa"/>
            <w:tcBorders>
              <w:top w:val="single" w:sz="4" w:space="0" w:color="000000"/>
            </w:tcBorders>
          </w:tcPr>
          <w:p>
            <w:pPr>
              <w:pStyle w:val="TableParagraph"/>
              <w:spacing w:before="1"/>
              <w:ind w:left="4"/>
              <w:rPr>
                <w:sz w:val="20"/>
              </w:rPr>
            </w:pPr>
            <w:r>
              <w:rPr>
                <w:spacing w:val="-5"/>
                <w:sz w:val="20"/>
              </w:rPr>
              <w:t>250</w:t>
            </w:r>
          </w:p>
        </w:tc>
        <w:tc>
          <w:tcPr>
            <w:tcW w:w="1750" w:type="dxa"/>
            <w:tcBorders>
              <w:top w:val="single" w:sz="4" w:space="0" w:color="000000"/>
            </w:tcBorders>
          </w:tcPr>
          <w:p>
            <w:pPr>
              <w:pStyle w:val="TableParagraph"/>
              <w:spacing w:before="1"/>
              <w:ind w:left="15"/>
              <w:rPr>
                <w:sz w:val="20"/>
              </w:rPr>
            </w:pPr>
            <w:r>
              <w:rPr>
                <w:spacing w:val="-10"/>
                <w:sz w:val="20"/>
              </w:rPr>
              <w:t>3</w:t>
            </w:r>
          </w:p>
        </w:tc>
        <w:tc>
          <w:tcPr>
            <w:tcW w:w="988" w:type="dxa"/>
            <w:tcBorders>
              <w:top w:val="single" w:sz="4" w:space="0" w:color="000000"/>
            </w:tcBorders>
          </w:tcPr>
          <w:p>
            <w:pPr>
              <w:pStyle w:val="TableParagraph"/>
              <w:spacing w:before="1"/>
              <w:ind w:left="27"/>
              <w:rPr>
                <w:sz w:val="20"/>
              </w:rPr>
            </w:pPr>
            <w:r>
              <w:rPr>
                <w:spacing w:val="-10"/>
                <w:sz w:val="20"/>
              </w:rPr>
              <w:t>5</w:t>
            </w:r>
          </w:p>
        </w:tc>
        <w:tc>
          <w:tcPr>
            <w:tcW w:w="1480" w:type="dxa"/>
            <w:tcBorders>
              <w:top w:val="single" w:sz="4" w:space="0" w:color="000000"/>
            </w:tcBorders>
          </w:tcPr>
          <w:p>
            <w:pPr>
              <w:pStyle w:val="TableParagraph"/>
              <w:spacing w:before="1"/>
              <w:ind w:right="69"/>
              <w:rPr>
                <w:sz w:val="20"/>
              </w:rPr>
            </w:pPr>
            <w:r>
              <w:rPr>
                <w:spacing w:val="-2"/>
                <w:sz w:val="20"/>
              </w:rPr>
              <w:t>87.33</w:t>
            </w:r>
          </w:p>
        </w:tc>
        <w:tc>
          <w:tcPr>
            <w:tcW w:w="1126" w:type="dxa"/>
            <w:tcBorders>
              <w:top w:val="single" w:sz="4" w:space="0" w:color="000000"/>
            </w:tcBorders>
          </w:tcPr>
          <w:p>
            <w:pPr>
              <w:pStyle w:val="TableParagraph"/>
              <w:spacing w:line="215" w:lineRule="exact" w:before="70"/>
              <w:ind w:right="59"/>
              <w:rPr>
                <w:sz w:val="20"/>
              </w:rPr>
            </w:pPr>
            <w:r>
              <w:rPr>
                <w:spacing w:val="-2"/>
                <w:sz w:val="20"/>
              </w:rPr>
              <w:t>83.63</w:t>
            </w:r>
          </w:p>
        </w:tc>
        <w:tc>
          <w:tcPr>
            <w:tcW w:w="1179" w:type="dxa"/>
            <w:tcBorders>
              <w:top w:val="single" w:sz="4" w:space="0" w:color="000000"/>
            </w:tcBorders>
          </w:tcPr>
          <w:p>
            <w:pPr>
              <w:pStyle w:val="TableParagraph"/>
              <w:spacing w:line="215" w:lineRule="exact" w:before="70"/>
              <w:ind w:left="10"/>
              <w:rPr>
                <w:sz w:val="20"/>
              </w:rPr>
            </w:pPr>
            <w:r>
              <w:rPr>
                <w:spacing w:val="-2"/>
                <w:sz w:val="20"/>
              </w:rPr>
              <w:t>16.37</w:t>
            </w:r>
          </w:p>
        </w:tc>
      </w:tr>
      <w:tr>
        <w:trPr>
          <w:trHeight w:val="300" w:hRule="atLeast"/>
        </w:trPr>
        <w:tc>
          <w:tcPr>
            <w:tcW w:w="729" w:type="dxa"/>
          </w:tcPr>
          <w:p>
            <w:pPr>
              <w:pStyle w:val="TableParagraph"/>
              <w:spacing w:line="226" w:lineRule="exact"/>
              <w:ind w:left="24" w:right="1"/>
              <w:rPr>
                <w:sz w:val="20"/>
              </w:rPr>
            </w:pPr>
            <w:r>
              <w:rPr>
                <w:spacing w:val="-10"/>
                <w:sz w:val="20"/>
              </w:rPr>
              <w:t>2</w:t>
            </w:r>
          </w:p>
        </w:tc>
        <w:tc>
          <w:tcPr>
            <w:tcW w:w="1830" w:type="dxa"/>
          </w:tcPr>
          <w:p>
            <w:pPr>
              <w:pStyle w:val="TableParagraph"/>
              <w:spacing w:line="226" w:lineRule="exact"/>
              <w:ind w:left="4"/>
              <w:rPr>
                <w:sz w:val="20"/>
              </w:rPr>
            </w:pPr>
            <w:r>
              <w:rPr>
                <w:spacing w:val="-5"/>
                <w:sz w:val="20"/>
              </w:rPr>
              <w:t>300</w:t>
            </w:r>
          </w:p>
        </w:tc>
        <w:tc>
          <w:tcPr>
            <w:tcW w:w="1750" w:type="dxa"/>
          </w:tcPr>
          <w:p>
            <w:pPr>
              <w:pStyle w:val="TableParagraph"/>
              <w:spacing w:line="226" w:lineRule="exact"/>
              <w:ind w:left="15"/>
              <w:rPr>
                <w:sz w:val="20"/>
              </w:rPr>
            </w:pPr>
            <w:r>
              <w:rPr>
                <w:spacing w:val="-10"/>
                <w:sz w:val="20"/>
              </w:rPr>
              <w:t>3</w:t>
            </w:r>
          </w:p>
        </w:tc>
        <w:tc>
          <w:tcPr>
            <w:tcW w:w="988" w:type="dxa"/>
          </w:tcPr>
          <w:p>
            <w:pPr>
              <w:pStyle w:val="TableParagraph"/>
              <w:spacing w:line="226" w:lineRule="exact"/>
              <w:ind w:left="27"/>
              <w:rPr>
                <w:sz w:val="20"/>
              </w:rPr>
            </w:pPr>
            <w:r>
              <w:rPr>
                <w:spacing w:val="-10"/>
                <w:sz w:val="20"/>
              </w:rPr>
              <w:t>5</w:t>
            </w:r>
          </w:p>
        </w:tc>
        <w:tc>
          <w:tcPr>
            <w:tcW w:w="1480" w:type="dxa"/>
          </w:tcPr>
          <w:p>
            <w:pPr>
              <w:pStyle w:val="TableParagraph"/>
              <w:spacing w:line="226" w:lineRule="exact"/>
              <w:ind w:right="69"/>
              <w:rPr>
                <w:sz w:val="20"/>
              </w:rPr>
            </w:pPr>
            <w:r>
              <w:rPr>
                <w:spacing w:val="-2"/>
                <w:sz w:val="20"/>
              </w:rPr>
              <w:t>86.15</w:t>
            </w:r>
          </w:p>
        </w:tc>
        <w:tc>
          <w:tcPr>
            <w:tcW w:w="1126" w:type="dxa"/>
          </w:tcPr>
          <w:p>
            <w:pPr>
              <w:pStyle w:val="TableParagraph"/>
              <w:spacing w:line="215" w:lineRule="exact" w:before="65"/>
              <w:ind w:right="59"/>
              <w:rPr>
                <w:sz w:val="20"/>
              </w:rPr>
            </w:pPr>
            <w:r>
              <w:rPr>
                <w:spacing w:val="-2"/>
                <w:sz w:val="20"/>
              </w:rPr>
              <w:t>81.59</w:t>
            </w:r>
          </w:p>
        </w:tc>
        <w:tc>
          <w:tcPr>
            <w:tcW w:w="1179" w:type="dxa"/>
          </w:tcPr>
          <w:p>
            <w:pPr>
              <w:pStyle w:val="TableParagraph"/>
              <w:spacing w:line="215" w:lineRule="exact" w:before="65"/>
              <w:ind w:left="10"/>
              <w:rPr>
                <w:sz w:val="20"/>
              </w:rPr>
            </w:pPr>
            <w:r>
              <w:rPr>
                <w:spacing w:val="-2"/>
                <w:sz w:val="20"/>
              </w:rPr>
              <w:t>18.41</w:t>
            </w:r>
          </w:p>
        </w:tc>
      </w:tr>
      <w:tr>
        <w:trPr>
          <w:trHeight w:val="300" w:hRule="atLeast"/>
        </w:trPr>
        <w:tc>
          <w:tcPr>
            <w:tcW w:w="729" w:type="dxa"/>
          </w:tcPr>
          <w:p>
            <w:pPr>
              <w:pStyle w:val="TableParagraph"/>
              <w:spacing w:line="226" w:lineRule="exact"/>
              <w:ind w:left="24" w:right="1"/>
              <w:rPr>
                <w:sz w:val="20"/>
              </w:rPr>
            </w:pPr>
            <w:r>
              <w:rPr>
                <w:spacing w:val="-10"/>
                <w:sz w:val="20"/>
              </w:rPr>
              <w:t>3</w:t>
            </w:r>
          </w:p>
        </w:tc>
        <w:tc>
          <w:tcPr>
            <w:tcW w:w="1830" w:type="dxa"/>
          </w:tcPr>
          <w:p>
            <w:pPr>
              <w:pStyle w:val="TableParagraph"/>
              <w:spacing w:line="226" w:lineRule="exact"/>
              <w:ind w:left="4"/>
              <w:rPr>
                <w:sz w:val="20"/>
              </w:rPr>
            </w:pPr>
            <w:r>
              <w:rPr>
                <w:spacing w:val="-5"/>
                <w:sz w:val="20"/>
              </w:rPr>
              <w:t>250</w:t>
            </w:r>
          </w:p>
        </w:tc>
        <w:tc>
          <w:tcPr>
            <w:tcW w:w="1750" w:type="dxa"/>
          </w:tcPr>
          <w:p>
            <w:pPr>
              <w:pStyle w:val="TableParagraph"/>
              <w:spacing w:line="226" w:lineRule="exact"/>
              <w:ind w:left="15"/>
              <w:rPr>
                <w:sz w:val="20"/>
              </w:rPr>
            </w:pPr>
            <w:r>
              <w:rPr>
                <w:spacing w:val="-10"/>
                <w:sz w:val="20"/>
              </w:rPr>
              <w:t>5</w:t>
            </w:r>
          </w:p>
        </w:tc>
        <w:tc>
          <w:tcPr>
            <w:tcW w:w="988" w:type="dxa"/>
          </w:tcPr>
          <w:p>
            <w:pPr>
              <w:pStyle w:val="TableParagraph"/>
              <w:spacing w:line="226" w:lineRule="exact"/>
              <w:ind w:left="27"/>
              <w:rPr>
                <w:sz w:val="20"/>
              </w:rPr>
            </w:pPr>
            <w:r>
              <w:rPr>
                <w:spacing w:val="-10"/>
                <w:sz w:val="20"/>
              </w:rPr>
              <w:t>5</w:t>
            </w:r>
          </w:p>
        </w:tc>
        <w:tc>
          <w:tcPr>
            <w:tcW w:w="1480" w:type="dxa"/>
          </w:tcPr>
          <w:p>
            <w:pPr>
              <w:pStyle w:val="TableParagraph"/>
              <w:spacing w:line="226" w:lineRule="exact"/>
              <w:ind w:right="69"/>
              <w:rPr>
                <w:sz w:val="20"/>
              </w:rPr>
            </w:pPr>
            <w:r>
              <w:rPr>
                <w:spacing w:val="-2"/>
                <w:sz w:val="20"/>
              </w:rPr>
              <w:t>80.52</w:t>
            </w:r>
          </w:p>
        </w:tc>
        <w:tc>
          <w:tcPr>
            <w:tcW w:w="1126" w:type="dxa"/>
          </w:tcPr>
          <w:p>
            <w:pPr>
              <w:pStyle w:val="TableParagraph"/>
              <w:spacing w:line="215" w:lineRule="exact" w:before="65"/>
              <w:ind w:right="59"/>
              <w:rPr>
                <w:sz w:val="20"/>
              </w:rPr>
            </w:pPr>
            <w:r>
              <w:rPr>
                <w:spacing w:val="-2"/>
                <w:sz w:val="20"/>
              </w:rPr>
              <w:t>82.39</w:t>
            </w:r>
          </w:p>
        </w:tc>
        <w:tc>
          <w:tcPr>
            <w:tcW w:w="1179" w:type="dxa"/>
          </w:tcPr>
          <w:p>
            <w:pPr>
              <w:pStyle w:val="TableParagraph"/>
              <w:spacing w:line="215" w:lineRule="exact" w:before="65"/>
              <w:ind w:left="10"/>
              <w:rPr>
                <w:sz w:val="20"/>
              </w:rPr>
            </w:pPr>
            <w:r>
              <w:rPr>
                <w:spacing w:val="-2"/>
                <w:sz w:val="20"/>
              </w:rPr>
              <w:t>17.61</w:t>
            </w:r>
          </w:p>
        </w:tc>
      </w:tr>
      <w:tr>
        <w:trPr>
          <w:trHeight w:val="300" w:hRule="atLeast"/>
        </w:trPr>
        <w:tc>
          <w:tcPr>
            <w:tcW w:w="729" w:type="dxa"/>
          </w:tcPr>
          <w:p>
            <w:pPr>
              <w:pStyle w:val="TableParagraph"/>
              <w:spacing w:line="226" w:lineRule="exact"/>
              <w:ind w:left="24" w:right="1"/>
              <w:rPr>
                <w:sz w:val="20"/>
              </w:rPr>
            </w:pPr>
            <w:r>
              <w:rPr>
                <w:spacing w:val="-10"/>
                <w:sz w:val="20"/>
              </w:rPr>
              <w:t>4</w:t>
            </w:r>
          </w:p>
        </w:tc>
        <w:tc>
          <w:tcPr>
            <w:tcW w:w="1830" w:type="dxa"/>
          </w:tcPr>
          <w:p>
            <w:pPr>
              <w:pStyle w:val="TableParagraph"/>
              <w:spacing w:line="226" w:lineRule="exact"/>
              <w:ind w:left="4"/>
              <w:rPr>
                <w:sz w:val="20"/>
              </w:rPr>
            </w:pPr>
            <w:r>
              <w:rPr>
                <w:spacing w:val="-5"/>
                <w:sz w:val="20"/>
              </w:rPr>
              <w:t>300</w:t>
            </w:r>
          </w:p>
        </w:tc>
        <w:tc>
          <w:tcPr>
            <w:tcW w:w="1750" w:type="dxa"/>
          </w:tcPr>
          <w:p>
            <w:pPr>
              <w:pStyle w:val="TableParagraph"/>
              <w:spacing w:line="226" w:lineRule="exact"/>
              <w:ind w:left="15"/>
              <w:rPr>
                <w:sz w:val="20"/>
              </w:rPr>
            </w:pPr>
            <w:r>
              <w:rPr>
                <w:spacing w:val="-10"/>
                <w:sz w:val="20"/>
              </w:rPr>
              <w:t>5</w:t>
            </w:r>
          </w:p>
        </w:tc>
        <w:tc>
          <w:tcPr>
            <w:tcW w:w="988" w:type="dxa"/>
          </w:tcPr>
          <w:p>
            <w:pPr>
              <w:pStyle w:val="TableParagraph"/>
              <w:spacing w:line="226" w:lineRule="exact"/>
              <w:ind w:left="27"/>
              <w:rPr>
                <w:sz w:val="20"/>
              </w:rPr>
            </w:pPr>
            <w:r>
              <w:rPr>
                <w:spacing w:val="-10"/>
                <w:sz w:val="20"/>
              </w:rPr>
              <w:t>5</w:t>
            </w:r>
          </w:p>
        </w:tc>
        <w:tc>
          <w:tcPr>
            <w:tcW w:w="1480" w:type="dxa"/>
          </w:tcPr>
          <w:p>
            <w:pPr>
              <w:pStyle w:val="TableParagraph"/>
              <w:spacing w:line="226" w:lineRule="exact"/>
              <w:ind w:right="69"/>
              <w:rPr>
                <w:sz w:val="20"/>
              </w:rPr>
            </w:pPr>
            <w:r>
              <w:rPr>
                <w:spacing w:val="-2"/>
                <w:sz w:val="20"/>
              </w:rPr>
              <w:t>77.35</w:t>
            </w:r>
          </w:p>
        </w:tc>
        <w:tc>
          <w:tcPr>
            <w:tcW w:w="1126" w:type="dxa"/>
          </w:tcPr>
          <w:p>
            <w:pPr>
              <w:pStyle w:val="TableParagraph"/>
              <w:spacing w:line="215" w:lineRule="exact" w:before="65"/>
              <w:ind w:right="59"/>
              <w:rPr>
                <w:sz w:val="20"/>
              </w:rPr>
            </w:pPr>
            <w:r>
              <w:rPr>
                <w:spacing w:val="-2"/>
                <w:sz w:val="20"/>
              </w:rPr>
              <w:t>81.89</w:t>
            </w:r>
          </w:p>
        </w:tc>
        <w:tc>
          <w:tcPr>
            <w:tcW w:w="1179" w:type="dxa"/>
          </w:tcPr>
          <w:p>
            <w:pPr>
              <w:pStyle w:val="TableParagraph"/>
              <w:spacing w:line="215" w:lineRule="exact" w:before="65"/>
              <w:ind w:left="10"/>
              <w:rPr>
                <w:sz w:val="20"/>
              </w:rPr>
            </w:pPr>
            <w:r>
              <w:rPr>
                <w:spacing w:val="-2"/>
                <w:sz w:val="20"/>
              </w:rPr>
              <w:t>18.11</w:t>
            </w:r>
          </w:p>
        </w:tc>
      </w:tr>
      <w:tr>
        <w:trPr>
          <w:trHeight w:val="300" w:hRule="atLeast"/>
        </w:trPr>
        <w:tc>
          <w:tcPr>
            <w:tcW w:w="729" w:type="dxa"/>
          </w:tcPr>
          <w:p>
            <w:pPr>
              <w:pStyle w:val="TableParagraph"/>
              <w:spacing w:line="226" w:lineRule="exact"/>
              <w:ind w:left="24" w:right="1"/>
              <w:rPr>
                <w:sz w:val="20"/>
              </w:rPr>
            </w:pPr>
            <w:r>
              <w:rPr>
                <w:spacing w:val="-10"/>
                <w:sz w:val="20"/>
              </w:rPr>
              <w:t>5</w:t>
            </w:r>
          </w:p>
        </w:tc>
        <w:tc>
          <w:tcPr>
            <w:tcW w:w="1830" w:type="dxa"/>
          </w:tcPr>
          <w:p>
            <w:pPr>
              <w:pStyle w:val="TableParagraph"/>
              <w:spacing w:line="226" w:lineRule="exact"/>
              <w:ind w:left="4"/>
              <w:rPr>
                <w:sz w:val="20"/>
              </w:rPr>
            </w:pPr>
            <w:r>
              <w:rPr>
                <w:spacing w:val="-5"/>
                <w:sz w:val="20"/>
              </w:rPr>
              <w:t>250</w:t>
            </w:r>
          </w:p>
        </w:tc>
        <w:tc>
          <w:tcPr>
            <w:tcW w:w="1750" w:type="dxa"/>
          </w:tcPr>
          <w:p>
            <w:pPr>
              <w:pStyle w:val="TableParagraph"/>
              <w:spacing w:line="226" w:lineRule="exact"/>
              <w:ind w:left="15"/>
              <w:rPr>
                <w:sz w:val="20"/>
              </w:rPr>
            </w:pPr>
            <w:r>
              <w:rPr>
                <w:spacing w:val="-10"/>
                <w:sz w:val="20"/>
              </w:rPr>
              <w:t>4</w:t>
            </w:r>
          </w:p>
        </w:tc>
        <w:tc>
          <w:tcPr>
            <w:tcW w:w="988" w:type="dxa"/>
          </w:tcPr>
          <w:p>
            <w:pPr>
              <w:pStyle w:val="TableParagraph"/>
              <w:spacing w:line="226" w:lineRule="exact"/>
              <w:ind w:left="27"/>
              <w:rPr>
                <w:sz w:val="20"/>
              </w:rPr>
            </w:pPr>
            <w:r>
              <w:rPr>
                <w:spacing w:val="-10"/>
                <w:sz w:val="20"/>
              </w:rPr>
              <w:t>3</w:t>
            </w:r>
          </w:p>
        </w:tc>
        <w:tc>
          <w:tcPr>
            <w:tcW w:w="1480" w:type="dxa"/>
          </w:tcPr>
          <w:p>
            <w:pPr>
              <w:pStyle w:val="TableParagraph"/>
              <w:spacing w:line="226" w:lineRule="exact"/>
              <w:ind w:right="69"/>
              <w:rPr>
                <w:sz w:val="20"/>
              </w:rPr>
            </w:pPr>
            <w:r>
              <w:rPr>
                <w:spacing w:val="-2"/>
                <w:sz w:val="20"/>
              </w:rPr>
              <w:t>85.34</w:t>
            </w:r>
          </w:p>
        </w:tc>
        <w:tc>
          <w:tcPr>
            <w:tcW w:w="1126" w:type="dxa"/>
          </w:tcPr>
          <w:p>
            <w:pPr>
              <w:pStyle w:val="TableParagraph"/>
              <w:spacing w:line="215" w:lineRule="exact" w:before="65"/>
              <w:ind w:right="59"/>
              <w:rPr>
                <w:sz w:val="20"/>
              </w:rPr>
            </w:pPr>
            <w:r>
              <w:rPr>
                <w:spacing w:val="-2"/>
                <w:sz w:val="20"/>
              </w:rPr>
              <w:t>82.94</w:t>
            </w:r>
          </w:p>
        </w:tc>
        <w:tc>
          <w:tcPr>
            <w:tcW w:w="1179" w:type="dxa"/>
          </w:tcPr>
          <w:p>
            <w:pPr>
              <w:pStyle w:val="TableParagraph"/>
              <w:spacing w:line="215" w:lineRule="exact" w:before="65"/>
              <w:ind w:left="10"/>
              <w:rPr>
                <w:sz w:val="20"/>
              </w:rPr>
            </w:pPr>
            <w:r>
              <w:rPr>
                <w:spacing w:val="-2"/>
                <w:sz w:val="20"/>
              </w:rPr>
              <w:t>17.06</w:t>
            </w:r>
          </w:p>
        </w:tc>
      </w:tr>
      <w:tr>
        <w:trPr>
          <w:trHeight w:val="299" w:hRule="atLeast"/>
        </w:trPr>
        <w:tc>
          <w:tcPr>
            <w:tcW w:w="729" w:type="dxa"/>
          </w:tcPr>
          <w:p>
            <w:pPr>
              <w:pStyle w:val="TableParagraph"/>
              <w:spacing w:line="226" w:lineRule="exact"/>
              <w:ind w:left="24" w:right="1"/>
              <w:rPr>
                <w:sz w:val="20"/>
              </w:rPr>
            </w:pPr>
            <w:r>
              <w:rPr>
                <w:spacing w:val="-10"/>
                <w:sz w:val="20"/>
              </w:rPr>
              <w:t>6</w:t>
            </w:r>
          </w:p>
        </w:tc>
        <w:tc>
          <w:tcPr>
            <w:tcW w:w="1830" w:type="dxa"/>
          </w:tcPr>
          <w:p>
            <w:pPr>
              <w:pStyle w:val="TableParagraph"/>
              <w:spacing w:line="226" w:lineRule="exact"/>
              <w:ind w:left="4"/>
              <w:rPr>
                <w:sz w:val="20"/>
              </w:rPr>
            </w:pPr>
            <w:r>
              <w:rPr>
                <w:spacing w:val="-5"/>
                <w:sz w:val="20"/>
              </w:rPr>
              <w:t>300</w:t>
            </w:r>
          </w:p>
        </w:tc>
        <w:tc>
          <w:tcPr>
            <w:tcW w:w="1750" w:type="dxa"/>
          </w:tcPr>
          <w:p>
            <w:pPr>
              <w:pStyle w:val="TableParagraph"/>
              <w:spacing w:line="226" w:lineRule="exact"/>
              <w:ind w:left="15"/>
              <w:rPr>
                <w:sz w:val="20"/>
              </w:rPr>
            </w:pPr>
            <w:r>
              <w:rPr>
                <w:spacing w:val="-10"/>
                <w:sz w:val="20"/>
              </w:rPr>
              <w:t>4</w:t>
            </w:r>
          </w:p>
        </w:tc>
        <w:tc>
          <w:tcPr>
            <w:tcW w:w="988" w:type="dxa"/>
          </w:tcPr>
          <w:p>
            <w:pPr>
              <w:pStyle w:val="TableParagraph"/>
              <w:spacing w:line="226" w:lineRule="exact"/>
              <w:ind w:left="27"/>
              <w:rPr>
                <w:sz w:val="20"/>
              </w:rPr>
            </w:pPr>
            <w:r>
              <w:rPr>
                <w:spacing w:val="-10"/>
                <w:sz w:val="20"/>
              </w:rPr>
              <w:t>3</w:t>
            </w:r>
          </w:p>
        </w:tc>
        <w:tc>
          <w:tcPr>
            <w:tcW w:w="1480" w:type="dxa"/>
          </w:tcPr>
          <w:p>
            <w:pPr>
              <w:pStyle w:val="TableParagraph"/>
              <w:spacing w:line="226" w:lineRule="exact"/>
              <w:ind w:right="69"/>
              <w:rPr>
                <w:sz w:val="20"/>
              </w:rPr>
            </w:pPr>
            <w:r>
              <w:rPr>
                <w:spacing w:val="-2"/>
                <w:sz w:val="20"/>
              </w:rPr>
              <w:t>84.84</w:t>
            </w:r>
          </w:p>
        </w:tc>
        <w:tc>
          <w:tcPr>
            <w:tcW w:w="1126" w:type="dxa"/>
          </w:tcPr>
          <w:p>
            <w:pPr>
              <w:pStyle w:val="TableParagraph"/>
              <w:spacing w:line="215" w:lineRule="exact" w:before="65"/>
              <w:ind w:right="59"/>
              <w:rPr>
                <w:sz w:val="20"/>
              </w:rPr>
            </w:pPr>
            <w:r>
              <w:rPr>
                <w:spacing w:val="-2"/>
                <w:sz w:val="20"/>
              </w:rPr>
              <w:t>83.95</w:t>
            </w:r>
          </w:p>
        </w:tc>
        <w:tc>
          <w:tcPr>
            <w:tcW w:w="1179" w:type="dxa"/>
          </w:tcPr>
          <w:p>
            <w:pPr>
              <w:pStyle w:val="TableParagraph"/>
              <w:spacing w:line="215" w:lineRule="exact" w:before="65"/>
              <w:ind w:left="10"/>
              <w:rPr>
                <w:sz w:val="20"/>
              </w:rPr>
            </w:pPr>
            <w:r>
              <w:rPr>
                <w:spacing w:val="-2"/>
                <w:sz w:val="20"/>
              </w:rPr>
              <w:t>16.05</w:t>
            </w:r>
          </w:p>
        </w:tc>
      </w:tr>
      <w:tr>
        <w:trPr>
          <w:trHeight w:val="299" w:hRule="atLeast"/>
        </w:trPr>
        <w:tc>
          <w:tcPr>
            <w:tcW w:w="729" w:type="dxa"/>
          </w:tcPr>
          <w:p>
            <w:pPr>
              <w:pStyle w:val="TableParagraph"/>
              <w:spacing w:line="226" w:lineRule="exact"/>
              <w:ind w:left="24" w:right="1"/>
              <w:rPr>
                <w:sz w:val="20"/>
              </w:rPr>
            </w:pPr>
            <w:r>
              <w:rPr>
                <w:spacing w:val="-10"/>
                <w:sz w:val="20"/>
              </w:rPr>
              <w:t>7</w:t>
            </w:r>
          </w:p>
        </w:tc>
        <w:tc>
          <w:tcPr>
            <w:tcW w:w="1830" w:type="dxa"/>
          </w:tcPr>
          <w:p>
            <w:pPr>
              <w:pStyle w:val="TableParagraph"/>
              <w:spacing w:line="226" w:lineRule="exact"/>
              <w:ind w:left="4"/>
              <w:rPr>
                <w:sz w:val="20"/>
              </w:rPr>
            </w:pPr>
            <w:r>
              <w:rPr>
                <w:spacing w:val="-5"/>
                <w:sz w:val="20"/>
              </w:rPr>
              <w:t>250</w:t>
            </w:r>
          </w:p>
        </w:tc>
        <w:tc>
          <w:tcPr>
            <w:tcW w:w="1750" w:type="dxa"/>
          </w:tcPr>
          <w:p>
            <w:pPr>
              <w:pStyle w:val="TableParagraph"/>
              <w:spacing w:line="226" w:lineRule="exact"/>
              <w:ind w:left="15"/>
              <w:rPr>
                <w:sz w:val="20"/>
              </w:rPr>
            </w:pPr>
            <w:r>
              <w:rPr>
                <w:spacing w:val="-10"/>
                <w:sz w:val="20"/>
              </w:rPr>
              <w:t>4</w:t>
            </w:r>
          </w:p>
        </w:tc>
        <w:tc>
          <w:tcPr>
            <w:tcW w:w="988" w:type="dxa"/>
          </w:tcPr>
          <w:p>
            <w:pPr>
              <w:pStyle w:val="TableParagraph"/>
              <w:spacing w:line="226" w:lineRule="exact"/>
              <w:ind w:left="27"/>
              <w:rPr>
                <w:sz w:val="20"/>
              </w:rPr>
            </w:pPr>
            <w:r>
              <w:rPr>
                <w:spacing w:val="-10"/>
                <w:sz w:val="20"/>
              </w:rPr>
              <w:t>7</w:t>
            </w:r>
          </w:p>
        </w:tc>
        <w:tc>
          <w:tcPr>
            <w:tcW w:w="1480" w:type="dxa"/>
          </w:tcPr>
          <w:p>
            <w:pPr>
              <w:pStyle w:val="TableParagraph"/>
              <w:spacing w:line="226" w:lineRule="exact"/>
              <w:ind w:right="69"/>
              <w:rPr>
                <w:sz w:val="20"/>
              </w:rPr>
            </w:pPr>
            <w:r>
              <w:rPr>
                <w:spacing w:val="-2"/>
                <w:sz w:val="20"/>
              </w:rPr>
              <w:t>83.11</w:t>
            </w:r>
          </w:p>
        </w:tc>
        <w:tc>
          <w:tcPr>
            <w:tcW w:w="1126" w:type="dxa"/>
          </w:tcPr>
          <w:p>
            <w:pPr>
              <w:pStyle w:val="TableParagraph"/>
              <w:spacing w:line="215" w:lineRule="exact" w:before="65"/>
              <w:ind w:right="59"/>
              <w:rPr>
                <w:sz w:val="20"/>
              </w:rPr>
            </w:pPr>
            <w:r>
              <w:rPr>
                <w:spacing w:val="-2"/>
                <w:sz w:val="20"/>
              </w:rPr>
              <w:t>80.39</w:t>
            </w:r>
          </w:p>
        </w:tc>
        <w:tc>
          <w:tcPr>
            <w:tcW w:w="1179" w:type="dxa"/>
          </w:tcPr>
          <w:p>
            <w:pPr>
              <w:pStyle w:val="TableParagraph"/>
              <w:spacing w:line="215" w:lineRule="exact" w:before="65"/>
              <w:ind w:left="10"/>
              <w:rPr>
                <w:sz w:val="20"/>
              </w:rPr>
            </w:pPr>
            <w:r>
              <w:rPr>
                <w:spacing w:val="-2"/>
                <w:sz w:val="20"/>
              </w:rPr>
              <w:t>19.61</w:t>
            </w:r>
          </w:p>
        </w:tc>
      </w:tr>
      <w:tr>
        <w:trPr>
          <w:trHeight w:val="294" w:hRule="atLeast"/>
        </w:trPr>
        <w:tc>
          <w:tcPr>
            <w:tcW w:w="729" w:type="dxa"/>
            <w:tcBorders>
              <w:bottom w:val="single" w:sz="4" w:space="0" w:color="000000"/>
            </w:tcBorders>
          </w:tcPr>
          <w:p>
            <w:pPr>
              <w:pStyle w:val="TableParagraph"/>
              <w:spacing w:line="226" w:lineRule="exact"/>
              <w:ind w:left="24" w:right="1"/>
              <w:rPr>
                <w:sz w:val="20"/>
              </w:rPr>
            </w:pPr>
            <w:r>
              <w:rPr>
                <w:spacing w:val="-10"/>
                <w:sz w:val="20"/>
              </w:rPr>
              <w:t>8</w:t>
            </w:r>
          </w:p>
        </w:tc>
        <w:tc>
          <w:tcPr>
            <w:tcW w:w="1830" w:type="dxa"/>
            <w:tcBorders>
              <w:bottom w:val="single" w:sz="4" w:space="0" w:color="000000"/>
            </w:tcBorders>
          </w:tcPr>
          <w:p>
            <w:pPr>
              <w:pStyle w:val="TableParagraph"/>
              <w:spacing w:line="226" w:lineRule="exact"/>
              <w:ind w:left="4"/>
              <w:rPr>
                <w:sz w:val="20"/>
              </w:rPr>
            </w:pPr>
            <w:r>
              <w:rPr>
                <w:spacing w:val="-5"/>
                <w:sz w:val="20"/>
              </w:rPr>
              <w:t>300</w:t>
            </w:r>
          </w:p>
        </w:tc>
        <w:tc>
          <w:tcPr>
            <w:tcW w:w="1750" w:type="dxa"/>
            <w:tcBorders>
              <w:bottom w:val="single" w:sz="4" w:space="0" w:color="000000"/>
            </w:tcBorders>
          </w:tcPr>
          <w:p>
            <w:pPr>
              <w:pStyle w:val="TableParagraph"/>
              <w:spacing w:line="226" w:lineRule="exact"/>
              <w:ind w:left="15"/>
              <w:rPr>
                <w:sz w:val="20"/>
              </w:rPr>
            </w:pPr>
            <w:r>
              <w:rPr>
                <w:spacing w:val="-10"/>
                <w:sz w:val="20"/>
              </w:rPr>
              <w:t>4</w:t>
            </w:r>
          </w:p>
        </w:tc>
        <w:tc>
          <w:tcPr>
            <w:tcW w:w="988" w:type="dxa"/>
            <w:tcBorders>
              <w:bottom w:val="single" w:sz="4" w:space="0" w:color="000000"/>
            </w:tcBorders>
          </w:tcPr>
          <w:p>
            <w:pPr>
              <w:pStyle w:val="TableParagraph"/>
              <w:spacing w:line="226" w:lineRule="exact"/>
              <w:ind w:left="27"/>
              <w:rPr>
                <w:sz w:val="20"/>
              </w:rPr>
            </w:pPr>
            <w:r>
              <w:rPr>
                <w:spacing w:val="-10"/>
                <w:sz w:val="20"/>
              </w:rPr>
              <w:t>7</w:t>
            </w:r>
          </w:p>
        </w:tc>
        <w:tc>
          <w:tcPr>
            <w:tcW w:w="1480" w:type="dxa"/>
            <w:tcBorders>
              <w:bottom w:val="single" w:sz="4" w:space="0" w:color="000000"/>
            </w:tcBorders>
          </w:tcPr>
          <w:p>
            <w:pPr>
              <w:pStyle w:val="TableParagraph"/>
              <w:spacing w:line="226" w:lineRule="exact"/>
              <w:ind w:right="69"/>
              <w:rPr>
                <w:sz w:val="20"/>
              </w:rPr>
            </w:pPr>
            <w:r>
              <w:rPr>
                <w:spacing w:val="-2"/>
                <w:sz w:val="20"/>
              </w:rPr>
              <w:t>79.26</w:t>
            </w:r>
          </w:p>
        </w:tc>
        <w:tc>
          <w:tcPr>
            <w:tcW w:w="1126" w:type="dxa"/>
            <w:tcBorders>
              <w:bottom w:val="single" w:sz="4" w:space="0" w:color="000000"/>
            </w:tcBorders>
          </w:tcPr>
          <w:p>
            <w:pPr>
              <w:pStyle w:val="TableParagraph"/>
              <w:spacing w:line="210" w:lineRule="exact" w:before="65"/>
              <w:ind w:right="59"/>
              <w:rPr>
                <w:sz w:val="20"/>
              </w:rPr>
            </w:pPr>
            <w:r>
              <w:rPr>
                <w:spacing w:val="-2"/>
                <w:sz w:val="20"/>
              </w:rPr>
              <w:t>83.24</w:t>
            </w:r>
          </w:p>
        </w:tc>
        <w:tc>
          <w:tcPr>
            <w:tcW w:w="1179" w:type="dxa"/>
            <w:tcBorders>
              <w:bottom w:val="single" w:sz="4" w:space="0" w:color="000000"/>
            </w:tcBorders>
          </w:tcPr>
          <w:p>
            <w:pPr>
              <w:pStyle w:val="TableParagraph"/>
              <w:spacing w:line="210" w:lineRule="exact" w:before="65"/>
              <w:ind w:left="10"/>
              <w:rPr>
                <w:sz w:val="20"/>
              </w:rPr>
            </w:pPr>
            <w:r>
              <w:rPr>
                <w:spacing w:val="-2"/>
                <w:sz w:val="20"/>
              </w:rPr>
              <w:t>16.24</w:t>
            </w:r>
          </w:p>
        </w:tc>
      </w:tr>
    </w:tbl>
    <w:p>
      <w:pPr>
        <w:pStyle w:val="TableParagraph"/>
        <w:spacing w:after="0" w:line="210" w:lineRule="exact"/>
        <w:rPr>
          <w:sz w:val="20"/>
        </w:rPr>
        <w:sectPr>
          <w:pgSz w:w="12240" w:h="15840"/>
          <w:pgMar w:top="1440" w:bottom="1514" w:left="1080" w:right="1080"/>
        </w:sectPr>
      </w:pPr>
    </w:p>
    <w:tbl>
      <w:tblPr>
        <w:tblW w:w="0" w:type="auto"/>
        <w:jc w:val="left"/>
        <w:tblInd w:w="5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29"/>
        <w:gridCol w:w="1830"/>
        <w:gridCol w:w="1750"/>
        <w:gridCol w:w="988"/>
        <w:gridCol w:w="1480"/>
        <w:gridCol w:w="1126"/>
        <w:gridCol w:w="1179"/>
      </w:tblGrid>
      <w:tr>
        <w:trPr>
          <w:trHeight w:val="691" w:hRule="atLeast"/>
        </w:trPr>
        <w:tc>
          <w:tcPr>
            <w:tcW w:w="729" w:type="dxa"/>
            <w:tcBorders>
              <w:top w:val="single" w:sz="4" w:space="0" w:color="000000"/>
              <w:bottom w:val="single" w:sz="4" w:space="0" w:color="000000"/>
            </w:tcBorders>
          </w:tcPr>
          <w:p>
            <w:pPr>
              <w:pStyle w:val="TableParagraph"/>
              <w:ind w:left="24" w:right="4"/>
              <w:rPr>
                <w:b/>
                <w:sz w:val="20"/>
              </w:rPr>
            </w:pPr>
            <w:r>
              <w:rPr>
                <w:b/>
                <w:spacing w:val="-5"/>
                <w:sz w:val="20"/>
              </w:rPr>
              <w:t>Run</w:t>
            </w:r>
          </w:p>
        </w:tc>
        <w:tc>
          <w:tcPr>
            <w:tcW w:w="1830" w:type="dxa"/>
            <w:tcBorders>
              <w:top w:val="single" w:sz="4" w:space="0" w:color="000000"/>
              <w:bottom w:val="single" w:sz="4" w:space="0" w:color="000000"/>
            </w:tcBorders>
          </w:tcPr>
          <w:p>
            <w:pPr>
              <w:pStyle w:val="TableParagraph"/>
              <w:ind w:left="170" w:right="159" w:firstLine="237"/>
              <w:jc w:val="left"/>
              <w:rPr>
                <w:b/>
                <w:sz w:val="20"/>
              </w:rPr>
            </w:pPr>
            <w:r>
              <w:rPr>
                <w:b/>
                <w:sz w:val="20"/>
              </w:rPr>
              <w:t>A: Reaction temperature</w:t>
            </w:r>
            <w:r>
              <w:rPr>
                <w:b/>
                <w:spacing w:val="-13"/>
                <w:sz w:val="20"/>
              </w:rPr>
              <w:t> </w:t>
            </w:r>
            <w:r>
              <w:rPr>
                <w:b/>
                <w:sz w:val="20"/>
              </w:rPr>
              <w:t>(oC)</w:t>
            </w:r>
          </w:p>
        </w:tc>
        <w:tc>
          <w:tcPr>
            <w:tcW w:w="1750" w:type="dxa"/>
            <w:tcBorders>
              <w:top w:val="single" w:sz="4" w:space="0" w:color="000000"/>
              <w:bottom w:val="single" w:sz="4" w:space="0" w:color="000000"/>
            </w:tcBorders>
          </w:tcPr>
          <w:p>
            <w:pPr>
              <w:pStyle w:val="TableParagraph"/>
              <w:ind w:left="571" w:hanging="406"/>
              <w:jc w:val="left"/>
              <w:rPr>
                <w:b/>
                <w:sz w:val="20"/>
              </w:rPr>
            </w:pPr>
            <w:r>
              <w:rPr>
                <w:b/>
                <w:sz w:val="20"/>
              </w:rPr>
              <w:t>B:</w:t>
            </w:r>
            <w:r>
              <w:rPr>
                <w:b/>
                <w:spacing w:val="-13"/>
                <w:sz w:val="20"/>
              </w:rPr>
              <w:t> </w:t>
            </w:r>
            <w:r>
              <w:rPr>
                <w:b/>
                <w:sz w:val="20"/>
              </w:rPr>
              <w:t>Reaction</w:t>
            </w:r>
            <w:r>
              <w:rPr>
                <w:b/>
                <w:spacing w:val="-12"/>
                <w:sz w:val="20"/>
              </w:rPr>
              <w:t> </w:t>
            </w:r>
            <w:r>
              <w:rPr>
                <w:b/>
                <w:sz w:val="20"/>
              </w:rPr>
              <w:t>time </w:t>
            </w:r>
            <w:r>
              <w:rPr>
                <w:b/>
                <w:spacing w:val="-2"/>
                <w:sz w:val="20"/>
              </w:rPr>
              <w:t>(hours)</w:t>
            </w:r>
          </w:p>
        </w:tc>
        <w:tc>
          <w:tcPr>
            <w:tcW w:w="988" w:type="dxa"/>
            <w:tcBorders>
              <w:top w:val="single" w:sz="4" w:space="0" w:color="000000"/>
              <w:bottom w:val="single" w:sz="4" w:space="0" w:color="000000"/>
            </w:tcBorders>
          </w:tcPr>
          <w:p>
            <w:pPr>
              <w:pStyle w:val="TableParagraph"/>
              <w:ind w:left="27"/>
              <w:rPr>
                <w:b/>
                <w:sz w:val="20"/>
              </w:rPr>
            </w:pPr>
            <w:r>
              <w:rPr>
                <w:b/>
                <w:spacing w:val="-5"/>
                <w:sz w:val="20"/>
              </w:rPr>
              <w:t>C:</w:t>
            </w:r>
          </w:p>
          <w:p>
            <w:pPr>
              <w:pStyle w:val="TableParagraph"/>
              <w:spacing w:line="230" w:lineRule="atLeast"/>
              <w:ind w:left="150" w:right="123" w:hanging="1"/>
              <w:rPr>
                <w:b/>
                <w:sz w:val="20"/>
              </w:rPr>
            </w:pPr>
            <w:r>
              <w:rPr>
                <w:b/>
                <w:spacing w:val="-2"/>
                <w:sz w:val="20"/>
              </w:rPr>
              <w:t>Catalyst Loading</w:t>
            </w:r>
          </w:p>
        </w:tc>
        <w:tc>
          <w:tcPr>
            <w:tcW w:w="1480" w:type="dxa"/>
            <w:tcBorders>
              <w:top w:val="single" w:sz="4" w:space="0" w:color="000000"/>
              <w:bottom w:val="single" w:sz="4" w:space="0" w:color="000000"/>
            </w:tcBorders>
          </w:tcPr>
          <w:p>
            <w:pPr>
              <w:pStyle w:val="TableParagraph"/>
              <w:ind w:left="305" w:hanging="180"/>
              <w:jc w:val="left"/>
              <w:rPr>
                <w:b/>
                <w:sz w:val="20"/>
              </w:rPr>
            </w:pPr>
            <w:r>
              <w:rPr>
                <w:b/>
                <w:spacing w:val="-2"/>
                <w:sz w:val="20"/>
              </w:rPr>
              <w:t>Hydrocarbon </w:t>
            </w:r>
            <w:r>
              <w:rPr>
                <w:b/>
                <w:sz w:val="20"/>
              </w:rPr>
              <w:t>yield (%)</w:t>
            </w:r>
          </w:p>
        </w:tc>
        <w:tc>
          <w:tcPr>
            <w:tcW w:w="1126" w:type="dxa"/>
            <w:tcBorders>
              <w:top w:val="single" w:sz="4" w:space="0" w:color="000000"/>
              <w:bottom w:val="single" w:sz="4" w:space="0" w:color="000000"/>
            </w:tcBorders>
          </w:tcPr>
          <w:p>
            <w:pPr>
              <w:pStyle w:val="TableParagraph"/>
              <w:ind w:left="363" w:hanging="166"/>
              <w:jc w:val="left"/>
              <w:rPr>
                <w:b/>
                <w:sz w:val="20"/>
              </w:rPr>
            </w:pPr>
            <w:r>
              <w:rPr>
                <w:b/>
                <w:position w:val="1"/>
                <w:sz w:val="20"/>
              </w:rPr>
              <w:t>C</w:t>
            </w:r>
            <w:r>
              <w:rPr>
                <w:b/>
                <w:sz w:val="13"/>
              </w:rPr>
              <w:t>15</w:t>
            </w:r>
            <w:r>
              <w:rPr>
                <w:b/>
                <w:spacing w:val="-1"/>
                <w:sz w:val="13"/>
              </w:rPr>
              <w:t> </w:t>
            </w:r>
            <w:r>
              <w:rPr>
                <w:b/>
                <w:position w:val="1"/>
                <w:sz w:val="20"/>
              </w:rPr>
              <w:t>-</w:t>
            </w:r>
            <w:r>
              <w:rPr>
                <w:b/>
                <w:position w:val="1"/>
                <w:sz w:val="20"/>
              </w:rPr>
              <w:t>C</w:t>
            </w:r>
            <w:r>
              <w:rPr>
                <w:b/>
                <w:sz w:val="13"/>
              </w:rPr>
              <w:t>18</w:t>
            </w:r>
            <w:r>
              <w:rPr>
                <w:b/>
                <w:spacing w:val="40"/>
                <w:sz w:val="13"/>
              </w:rPr>
              <w:t> </w:t>
            </w:r>
            <w:r>
              <w:rPr>
                <w:b/>
                <w:spacing w:val="-4"/>
                <w:sz w:val="20"/>
              </w:rPr>
              <w:t>(%)</w:t>
            </w:r>
          </w:p>
        </w:tc>
        <w:tc>
          <w:tcPr>
            <w:tcW w:w="1179" w:type="dxa"/>
            <w:tcBorders>
              <w:top w:val="single" w:sz="4" w:space="0" w:color="000000"/>
              <w:bottom w:val="single" w:sz="4" w:space="0" w:color="000000"/>
            </w:tcBorders>
          </w:tcPr>
          <w:p>
            <w:pPr>
              <w:pStyle w:val="TableParagraph"/>
              <w:ind w:left="428" w:hanging="166"/>
              <w:jc w:val="left"/>
              <w:rPr>
                <w:b/>
                <w:sz w:val="20"/>
              </w:rPr>
            </w:pPr>
            <w:r>
              <w:rPr>
                <w:b/>
                <w:position w:val="1"/>
                <w:sz w:val="20"/>
              </w:rPr>
              <w:t>C</w:t>
            </w:r>
            <w:r>
              <w:rPr>
                <w:b/>
                <w:sz w:val="13"/>
              </w:rPr>
              <w:t>12</w:t>
            </w:r>
            <w:r>
              <w:rPr>
                <w:b/>
                <w:spacing w:val="-1"/>
                <w:sz w:val="13"/>
              </w:rPr>
              <w:t> </w:t>
            </w:r>
            <w:r>
              <w:rPr>
                <w:b/>
                <w:position w:val="1"/>
                <w:sz w:val="20"/>
              </w:rPr>
              <w:t>-</w:t>
            </w:r>
            <w:r>
              <w:rPr>
                <w:b/>
                <w:position w:val="1"/>
                <w:sz w:val="20"/>
              </w:rPr>
              <w:t>C</w:t>
            </w:r>
            <w:r>
              <w:rPr>
                <w:b/>
                <w:sz w:val="13"/>
              </w:rPr>
              <w:t>14</w:t>
            </w:r>
            <w:r>
              <w:rPr>
                <w:b/>
                <w:spacing w:val="40"/>
                <w:sz w:val="13"/>
              </w:rPr>
              <w:t> </w:t>
            </w:r>
            <w:r>
              <w:rPr>
                <w:b/>
                <w:spacing w:val="-4"/>
                <w:sz w:val="20"/>
              </w:rPr>
              <w:t>(%)</w:t>
            </w:r>
          </w:p>
        </w:tc>
      </w:tr>
      <w:tr>
        <w:trPr>
          <w:trHeight w:val="304" w:hRule="atLeast"/>
        </w:trPr>
        <w:tc>
          <w:tcPr>
            <w:tcW w:w="729" w:type="dxa"/>
            <w:tcBorders>
              <w:top w:val="single" w:sz="4" w:space="0" w:color="000000"/>
            </w:tcBorders>
          </w:tcPr>
          <w:p>
            <w:pPr>
              <w:pStyle w:val="TableParagraph"/>
              <w:ind w:left="24" w:right="1"/>
              <w:rPr>
                <w:sz w:val="20"/>
              </w:rPr>
            </w:pPr>
            <w:r>
              <w:rPr>
                <w:spacing w:val="-10"/>
                <w:sz w:val="20"/>
              </w:rPr>
              <w:t>9</w:t>
            </w:r>
          </w:p>
        </w:tc>
        <w:tc>
          <w:tcPr>
            <w:tcW w:w="1830" w:type="dxa"/>
            <w:tcBorders>
              <w:top w:val="single" w:sz="4" w:space="0" w:color="000000"/>
            </w:tcBorders>
          </w:tcPr>
          <w:p>
            <w:pPr>
              <w:pStyle w:val="TableParagraph"/>
              <w:ind w:left="4"/>
              <w:rPr>
                <w:sz w:val="20"/>
              </w:rPr>
            </w:pPr>
            <w:r>
              <w:rPr>
                <w:spacing w:val="-5"/>
                <w:sz w:val="20"/>
              </w:rPr>
              <w:t>275</w:t>
            </w:r>
          </w:p>
        </w:tc>
        <w:tc>
          <w:tcPr>
            <w:tcW w:w="1750" w:type="dxa"/>
            <w:tcBorders>
              <w:top w:val="single" w:sz="4" w:space="0" w:color="000000"/>
            </w:tcBorders>
          </w:tcPr>
          <w:p>
            <w:pPr>
              <w:pStyle w:val="TableParagraph"/>
              <w:ind w:left="15"/>
              <w:rPr>
                <w:sz w:val="20"/>
              </w:rPr>
            </w:pPr>
            <w:r>
              <w:rPr>
                <w:spacing w:val="-10"/>
                <w:sz w:val="20"/>
              </w:rPr>
              <w:t>3</w:t>
            </w:r>
          </w:p>
        </w:tc>
        <w:tc>
          <w:tcPr>
            <w:tcW w:w="988" w:type="dxa"/>
            <w:tcBorders>
              <w:top w:val="single" w:sz="4" w:space="0" w:color="000000"/>
            </w:tcBorders>
          </w:tcPr>
          <w:p>
            <w:pPr>
              <w:pStyle w:val="TableParagraph"/>
              <w:ind w:left="27"/>
              <w:rPr>
                <w:sz w:val="20"/>
              </w:rPr>
            </w:pPr>
            <w:r>
              <w:rPr>
                <w:spacing w:val="-10"/>
                <w:sz w:val="20"/>
              </w:rPr>
              <w:t>3</w:t>
            </w:r>
          </w:p>
        </w:tc>
        <w:tc>
          <w:tcPr>
            <w:tcW w:w="1480" w:type="dxa"/>
            <w:tcBorders>
              <w:top w:val="single" w:sz="4" w:space="0" w:color="000000"/>
            </w:tcBorders>
          </w:tcPr>
          <w:p>
            <w:pPr>
              <w:pStyle w:val="TableParagraph"/>
              <w:ind w:right="69"/>
              <w:rPr>
                <w:sz w:val="20"/>
              </w:rPr>
            </w:pPr>
            <w:r>
              <w:rPr>
                <w:spacing w:val="-4"/>
                <w:sz w:val="20"/>
              </w:rPr>
              <w:t>81.5</w:t>
            </w:r>
          </w:p>
        </w:tc>
        <w:tc>
          <w:tcPr>
            <w:tcW w:w="1126" w:type="dxa"/>
            <w:tcBorders>
              <w:top w:val="single" w:sz="4" w:space="0" w:color="000000"/>
            </w:tcBorders>
          </w:tcPr>
          <w:p>
            <w:pPr>
              <w:pStyle w:val="TableParagraph"/>
              <w:spacing w:line="215" w:lineRule="exact" w:before="70"/>
              <w:ind w:right="59"/>
              <w:rPr>
                <w:sz w:val="20"/>
              </w:rPr>
            </w:pPr>
            <w:r>
              <w:rPr>
                <w:spacing w:val="-2"/>
                <w:sz w:val="20"/>
              </w:rPr>
              <w:t>81.88</w:t>
            </w:r>
          </w:p>
        </w:tc>
        <w:tc>
          <w:tcPr>
            <w:tcW w:w="1179" w:type="dxa"/>
            <w:tcBorders>
              <w:top w:val="single" w:sz="4" w:space="0" w:color="000000"/>
            </w:tcBorders>
          </w:tcPr>
          <w:p>
            <w:pPr>
              <w:pStyle w:val="TableParagraph"/>
              <w:spacing w:line="215" w:lineRule="exact" w:before="70"/>
              <w:ind w:left="10"/>
              <w:rPr>
                <w:sz w:val="20"/>
              </w:rPr>
            </w:pPr>
            <w:r>
              <w:rPr>
                <w:spacing w:val="-2"/>
                <w:sz w:val="20"/>
              </w:rPr>
              <w:t>18.12</w:t>
            </w:r>
          </w:p>
        </w:tc>
      </w:tr>
      <w:tr>
        <w:trPr>
          <w:trHeight w:val="300" w:hRule="atLeast"/>
        </w:trPr>
        <w:tc>
          <w:tcPr>
            <w:tcW w:w="729" w:type="dxa"/>
          </w:tcPr>
          <w:p>
            <w:pPr>
              <w:pStyle w:val="TableParagraph"/>
              <w:spacing w:line="226" w:lineRule="exact"/>
              <w:ind w:left="24"/>
              <w:rPr>
                <w:sz w:val="20"/>
              </w:rPr>
            </w:pPr>
            <w:r>
              <w:rPr>
                <w:spacing w:val="-5"/>
                <w:sz w:val="20"/>
              </w:rPr>
              <w:t>10</w:t>
            </w:r>
          </w:p>
        </w:tc>
        <w:tc>
          <w:tcPr>
            <w:tcW w:w="1830" w:type="dxa"/>
          </w:tcPr>
          <w:p>
            <w:pPr>
              <w:pStyle w:val="TableParagraph"/>
              <w:spacing w:line="226" w:lineRule="exact"/>
              <w:ind w:left="4"/>
              <w:rPr>
                <w:sz w:val="20"/>
              </w:rPr>
            </w:pPr>
            <w:r>
              <w:rPr>
                <w:spacing w:val="-5"/>
                <w:sz w:val="20"/>
              </w:rPr>
              <w:t>275</w:t>
            </w:r>
          </w:p>
        </w:tc>
        <w:tc>
          <w:tcPr>
            <w:tcW w:w="1750" w:type="dxa"/>
          </w:tcPr>
          <w:p>
            <w:pPr>
              <w:pStyle w:val="TableParagraph"/>
              <w:spacing w:line="226" w:lineRule="exact"/>
              <w:ind w:left="15"/>
              <w:rPr>
                <w:sz w:val="20"/>
              </w:rPr>
            </w:pPr>
            <w:r>
              <w:rPr>
                <w:spacing w:val="-10"/>
                <w:sz w:val="20"/>
              </w:rPr>
              <w:t>5</w:t>
            </w:r>
          </w:p>
        </w:tc>
        <w:tc>
          <w:tcPr>
            <w:tcW w:w="988" w:type="dxa"/>
          </w:tcPr>
          <w:p>
            <w:pPr>
              <w:pStyle w:val="TableParagraph"/>
              <w:spacing w:line="226" w:lineRule="exact"/>
              <w:ind w:left="27"/>
              <w:rPr>
                <w:sz w:val="20"/>
              </w:rPr>
            </w:pPr>
            <w:r>
              <w:rPr>
                <w:spacing w:val="-10"/>
                <w:sz w:val="20"/>
              </w:rPr>
              <w:t>3</w:t>
            </w:r>
          </w:p>
        </w:tc>
        <w:tc>
          <w:tcPr>
            <w:tcW w:w="1480" w:type="dxa"/>
          </w:tcPr>
          <w:p>
            <w:pPr>
              <w:pStyle w:val="TableParagraph"/>
              <w:spacing w:line="226" w:lineRule="exact"/>
              <w:ind w:right="69"/>
              <w:rPr>
                <w:sz w:val="20"/>
              </w:rPr>
            </w:pPr>
            <w:r>
              <w:rPr>
                <w:spacing w:val="-2"/>
                <w:sz w:val="20"/>
              </w:rPr>
              <w:t>81.47</w:t>
            </w:r>
          </w:p>
        </w:tc>
        <w:tc>
          <w:tcPr>
            <w:tcW w:w="1126" w:type="dxa"/>
          </w:tcPr>
          <w:p>
            <w:pPr>
              <w:pStyle w:val="TableParagraph"/>
              <w:spacing w:line="215" w:lineRule="exact" w:before="65"/>
              <w:ind w:right="59"/>
              <w:rPr>
                <w:sz w:val="20"/>
              </w:rPr>
            </w:pPr>
            <w:r>
              <w:rPr>
                <w:spacing w:val="-2"/>
                <w:sz w:val="20"/>
              </w:rPr>
              <w:t>82.68</w:t>
            </w:r>
          </w:p>
        </w:tc>
        <w:tc>
          <w:tcPr>
            <w:tcW w:w="1179" w:type="dxa"/>
          </w:tcPr>
          <w:p>
            <w:pPr>
              <w:pStyle w:val="TableParagraph"/>
              <w:spacing w:line="215" w:lineRule="exact" w:before="65"/>
              <w:ind w:left="10"/>
              <w:rPr>
                <w:sz w:val="20"/>
              </w:rPr>
            </w:pPr>
            <w:r>
              <w:rPr>
                <w:spacing w:val="-2"/>
                <w:sz w:val="20"/>
              </w:rPr>
              <w:t>17.32</w:t>
            </w:r>
          </w:p>
        </w:tc>
      </w:tr>
      <w:tr>
        <w:trPr>
          <w:trHeight w:val="300" w:hRule="atLeast"/>
        </w:trPr>
        <w:tc>
          <w:tcPr>
            <w:tcW w:w="729" w:type="dxa"/>
          </w:tcPr>
          <w:p>
            <w:pPr>
              <w:pStyle w:val="TableParagraph"/>
              <w:spacing w:line="226" w:lineRule="exact"/>
              <w:ind w:left="24"/>
              <w:rPr>
                <w:sz w:val="20"/>
              </w:rPr>
            </w:pPr>
            <w:r>
              <w:rPr>
                <w:spacing w:val="-5"/>
                <w:sz w:val="20"/>
              </w:rPr>
              <w:t>11</w:t>
            </w:r>
          </w:p>
        </w:tc>
        <w:tc>
          <w:tcPr>
            <w:tcW w:w="1830" w:type="dxa"/>
          </w:tcPr>
          <w:p>
            <w:pPr>
              <w:pStyle w:val="TableParagraph"/>
              <w:spacing w:line="226" w:lineRule="exact"/>
              <w:ind w:left="4"/>
              <w:rPr>
                <w:sz w:val="20"/>
              </w:rPr>
            </w:pPr>
            <w:r>
              <w:rPr>
                <w:spacing w:val="-5"/>
                <w:sz w:val="20"/>
              </w:rPr>
              <w:t>275</w:t>
            </w:r>
          </w:p>
        </w:tc>
        <w:tc>
          <w:tcPr>
            <w:tcW w:w="1750" w:type="dxa"/>
          </w:tcPr>
          <w:p>
            <w:pPr>
              <w:pStyle w:val="TableParagraph"/>
              <w:spacing w:line="226" w:lineRule="exact"/>
              <w:ind w:left="15"/>
              <w:rPr>
                <w:sz w:val="20"/>
              </w:rPr>
            </w:pPr>
            <w:r>
              <w:rPr>
                <w:spacing w:val="-10"/>
                <w:sz w:val="20"/>
              </w:rPr>
              <w:t>3</w:t>
            </w:r>
          </w:p>
        </w:tc>
        <w:tc>
          <w:tcPr>
            <w:tcW w:w="988" w:type="dxa"/>
          </w:tcPr>
          <w:p>
            <w:pPr>
              <w:pStyle w:val="TableParagraph"/>
              <w:spacing w:line="226" w:lineRule="exact"/>
              <w:ind w:left="27"/>
              <w:rPr>
                <w:sz w:val="20"/>
              </w:rPr>
            </w:pPr>
            <w:r>
              <w:rPr>
                <w:spacing w:val="-10"/>
                <w:sz w:val="20"/>
              </w:rPr>
              <w:t>7</w:t>
            </w:r>
          </w:p>
        </w:tc>
        <w:tc>
          <w:tcPr>
            <w:tcW w:w="1480" w:type="dxa"/>
          </w:tcPr>
          <w:p>
            <w:pPr>
              <w:pStyle w:val="TableParagraph"/>
              <w:spacing w:line="226" w:lineRule="exact"/>
              <w:ind w:right="69"/>
              <w:rPr>
                <w:sz w:val="20"/>
              </w:rPr>
            </w:pPr>
            <w:r>
              <w:rPr>
                <w:spacing w:val="-2"/>
                <w:sz w:val="20"/>
              </w:rPr>
              <w:t>83.42</w:t>
            </w:r>
          </w:p>
        </w:tc>
        <w:tc>
          <w:tcPr>
            <w:tcW w:w="1126" w:type="dxa"/>
          </w:tcPr>
          <w:p>
            <w:pPr>
              <w:pStyle w:val="TableParagraph"/>
              <w:spacing w:line="215" w:lineRule="exact" w:before="65"/>
              <w:ind w:right="59"/>
              <w:rPr>
                <w:sz w:val="20"/>
              </w:rPr>
            </w:pPr>
            <w:r>
              <w:rPr>
                <w:spacing w:val="-2"/>
                <w:sz w:val="20"/>
              </w:rPr>
              <w:t>82.48</w:t>
            </w:r>
          </w:p>
        </w:tc>
        <w:tc>
          <w:tcPr>
            <w:tcW w:w="1179" w:type="dxa"/>
          </w:tcPr>
          <w:p>
            <w:pPr>
              <w:pStyle w:val="TableParagraph"/>
              <w:spacing w:line="215" w:lineRule="exact" w:before="65"/>
              <w:ind w:left="10"/>
              <w:rPr>
                <w:sz w:val="20"/>
              </w:rPr>
            </w:pPr>
            <w:r>
              <w:rPr>
                <w:spacing w:val="-2"/>
                <w:sz w:val="20"/>
              </w:rPr>
              <w:t>17.52</w:t>
            </w:r>
          </w:p>
        </w:tc>
      </w:tr>
      <w:tr>
        <w:trPr>
          <w:trHeight w:val="300" w:hRule="atLeast"/>
        </w:trPr>
        <w:tc>
          <w:tcPr>
            <w:tcW w:w="729" w:type="dxa"/>
          </w:tcPr>
          <w:p>
            <w:pPr>
              <w:pStyle w:val="TableParagraph"/>
              <w:spacing w:line="226" w:lineRule="exact"/>
              <w:ind w:left="24"/>
              <w:rPr>
                <w:sz w:val="20"/>
              </w:rPr>
            </w:pPr>
            <w:r>
              <w:rPr>
                <w:spacing w:val="-5"/>
                <w:sz w:val="20"/>
              </w:rPr>
              <w:t>12</w:t>
            </w:r>
          </w:p>
        </w:tc>
        <w:tc>
          <w:tcPr>
            <w:tcW w:w="1830" w:type="dxa"/>
          </w:tcPr>
          <w:p>
            <w:pPr>
              <w:pStyle w:val="TableParagraph"/>
              <w:spacing w:line="226" w:lineRule="exact"/>
              <w:ind w:left="4"/>
              <w:rPr>
                <w:sz w:val="20"/>
              </w:rPr>
            </w:pPr>
            <w:r>
              <w:rPr>
                <w:spacing w:val="-5"/>
                <w:sz w:val="20"/>
              </w:rPr>
              <w:t>275</w:t>
            </w:r>
          </w:p>
        </w:tc>
        <w:tc>
          <w:tcPr>
            <w:tcW w:w="1750" w:type="dxa"/>
          </w:tcPr>
          <w:p>
            <w:pPr>
              <w:pStyle w:val="TableParagraph"/>
              <w:spacing w:line="226" w:lineRule="exact"/>
              <w:ind w:left="15"/>
              <w:rPr>
                <w:sz w:val="20"/>
              </w:rPr>
            </w:pPr>
            <w:r>
              <w:rPr>
                <w:spacing w:val="-10"/>
                <w:sz w:val="20"/>
              </w:rPr>
              <w:t>5</w:t>
            </w:r>
          </w:p>
        </w:tc>
        <w:tc>
          <w:tcPr>
            <w:tcW w:w="988" w:type="dxa"/>
          </w:tcPr>
          <w:p>
            <w:pPr>
              <w:pStyle w:val="TableParagraph"/>
              <w:spacing w:line="226" w:lineRule="exact"/>
              <w:ind w:left="27"/>
              <w:rPr>
                <w:sz w:val="20"/>
              </w:rPr>
            </w:pPr>
            <w:r>
              <w:rPr>
                <w:spacing w:val="-10"/>
                <w:sz w:val="20"/>
              </w:rPr>
              <w:t>7</w:t>
            </w:r>
          </w:p>
        </w:tc>
        <w:tc>
          <w:tcPr>
            <w:tcW w:w="1480" w:type="dxa"/>
          </w:tcPr>
          <w:p>
            <w:pPr>
              <w:pStyle w:val="TableParagraph"/>
              <w:spacing w:line="226" w:lineRule="exact"/>
              <w:ind w:right="69"/>
              <w:rPr>
                <w:sz w:val="20"/>
              </w:rPr>
            </w:pPr>
            <w:r>
              <w:rPr>
                <w:spacing w:val="-4"/>
                <w:sz w:val="20"/>
              </w:rPr>
              <w:t>68.3</w:t>
            </w:r>
          </w:p>
        </w:tc>
        <w:tc>
          <w:tcPr>
            <w:tcW w:w="1126" w:type="dxa"/>
          </w:tcPr>
          <w:p>
            <w:pPr>
              <w:pStyle w:val="TableParagraph"/>
              <w:spacing w:line="215" w:lineRule="exact" w:before="65"/>
              <w:ind w:right="59"/>
              <w:rPr>
                <w:sz w:val="20"/>
              </w:rPr>
            </w:pPr>
            <w:r>
              <w:rPr>
                <w:spacing w:val="-2"/>
                <w:sz w:val="20"/>
              </w:rPr>
              <w:t>81.07</w:t>
            </w:r>
          </w:p>
        </w:tc>
        <w:tc>
          <w:tcPr>
            <w:tcW w:w="1179" w:type="dxa"/>
          </w:tcPr>
          <w:p>
            <w:pPr>
              <w:pStyle w:val="TableParagraph"/>
              <w:spacing w:line="215" w:lineRule="exact" w:before="65"/>
              <w:ind w:left="10"/>
              <w:rPr>
                <w:sz w:val="20"/>
              </w:rPr>
            </w:pPr>
            <w:r>
              <w:rPr>
                <w:spacing w:val="-2"/>
                <w:sz w:val="20"/>
              </w:rPr>
              <w:t>18.93</w:t>
            </w:r>
          </w:p>
        </w:tc>
      </w:tr>
      <w:tr>
        <w:trPr>
          <w:trHeight w:val="300" w:hRule="atLeast"/>
        </w:trPr>
        <w:tc>
          <w:tcPr>
            <w:tcW w:w="729" w:type="dxa"/>
          </w:tcPr>
          <w:p>
            <w:pPr>
              <w:pStyle w:val="TableParagraph"/>
              <w:spacing w:line="226" w:lineRule="exact"/>
              <w:ind w:left="24"/>
              <w:rPr>
                <w:sz w:val="20"/>
              </w:rPr>
            </w:pPr>
            <w:r>
              <w:rPr>
                <w:spacing w:val="-5"/>
                <w:sz w:val="20"/>
              </w:rPr>
              <w:t>13</w:t>
            </w:r>
          </w:p>
        </w:tc>
        <w:tc>
          <w:tcPr>
            <w:tcW w:w="1830" w:type="dxa"/>
          </w:tcPr>
          <w:p>
            <w:pPr>
              <w:pStyle w:val="TableParagraph"/>
              <w:spacing w:line="226" w:lineRule="exact"/>
              <w:ind w:left="4"/>
              <w:rPr>
                <w:sz w:val="20"/>
              </w:rPr>
            </w:pPr>
            <w:r>
              <w:rPr>
                <w:spacing w:val="-5"/>
                <w:sz w:val="20"/>
              </w:rPr>
              <w:t>275</w:t>
            </w:r>
          </w:p>
        </w:tc>
        <w:tc>
          <w:tcPr>
            <w:tcW w:w="1750" w:type="dxa"/>
          </w:tcPr>
          <w:p>
            <w:pPr>
              <w:pStyle w:val="TableParagraph"/>
              <w:spacing w:line="226" w:lineRule="exact"/>
              <w:ind w:left="15"/>
              <w:rPr>
                <w:sz w:val="20"/>
              </w:rPr>
            </w:pPr>
            <w:r>
              <w:rPr>
                <w:spacing w:val="-10"/>
                <w:sz w:val="20"/>
              </w:rPr>
              <w:t>4</w:t>
            </w:r>
          </w:p>
        </w:tc>
        <w:tc>
          <w:tcPr>
            <w:tcW w:w="988" w:type="dxa"/>
          </w:tcPr>
          <w:p>
            <w:pPr>
              <w:pStyle w:val="TableParagraph"/>
              <w:spacing w:line="226" w:lineRule="exact"/>
              <w:ind w:left="27"/>
              <w:rPr>
                <w:sz w:val="20"/>
              </w:rPr>
            </w:pPr>
            <w:r>
              <w:rPr>
                <w:spacing w:val="-10"/>
                <w:sz w:val="20"/>
              </w:rPr>
              <w:t>5</w:t>
            </w:r>
          </w:p>
        </w:tc>
        <w:tc>
          <w:tcPr>
            <w:tcW w:w="1480" w:type="dxa"/>
          </w:tcPr>
          <w:p>
            <w:pPr>
              <w:pStyle w:val="TableParagraph"/>
              <w:spacing w:line="226" w:lineRule="exact"/>
              <w:ind w:right="69"/>
              <w:rPr>
                <w:sz w:val="20"/>
              </w:rPr>
            </w:pPr>
            <w:r>
              <w:rPr>
                <w:spacing w:val="-2"/>
                <w:sz w:val="20"/>
              </w:rPr>
              <w:t>87.79</w:t>
            </w:r>
          </w:p>
        </w:tc>
        <w:tc>
          <w:tcPr>
            <w:tcW w:w="1126" w:type="dxa"/>
          </w:tcPr>
          <w:p>
            <w:pPr>
              <w:pStyle w:val="TableParagraph"/>
              <w:spacing w:line="215" w:lineRule="exact" w:before="65"/>
              <w:ind w:right="59"/>
              <w:rPr>
                <w:sz w:val="20"/>
              </w:rPr>
            </w:pPr>
            <w:r>
              <w:rPr>
                <w:spacing w:val="-2"/>
                <w:sz w:val="20"/>
              </w:rPr>
              <w:t>84.18</w:t>
            </w:r>
          </w:p>
        </w:tc>
        <w:tc>
          <w:tcPr>
            <w:tcW w:w="1179" w:type="dxa"/>
          </w:tcPr>
          <w:p>
            <w:pPr>
              <w:pStyle w:val="TableParagraph"/>
              <w:spacing w:line="215" w:lineRule="exact" w:before="65"/>
              <w:ind w:left="10"/>
              <w:rPr>
                <w:sz w:val="20"/>
              </w:rPr>
            </w:pPr>
            <w:r>
              <w:rPr>
                <w:spacing w:val="-2"/>
                <w:sz w:val="20"/>
              </w:rPr>
              <w:t>15.81</w:t>
            </w:r>
          </w:p>
        </w:tc>
      </w:tr>
      <w:tr>
        <w:trPr>
          <w:trHeight w:val="300" w:hRule="atLeast"/>
        </w:trPr>
        <w:tc>
          <w:tcPr>
            <w:tcW w:w="729" w:type="dxa"/>
          </w:tcPr>
          <w:p>
            <w:pPr>
              <w:pStyle w:val="TableParagraph"/>
              <w:spacing w:line="226" w:lineRule="exact"/>
              <w:ind w:left="24"/>
              <w:rPr>
                <w:sz w:val="20"/>
              </w:rPr>
            </w:pPr>
            <w:r>
              <w:rPr>
                <w:spacing w:val="-5"/>
                <w:sz w:val="20"/>
              </w:rPr>
              <w:t>14</w:t>
            </w:r>
          </w:p>
        </w:tc>
        <w:tc>
          <w:tcPr>
            <w:tcW w:w="1830" w:type="dxa"/>
          </w:tcPr>
          <w:p>
            <w:pPr>
              <w:pStyle w:val="TableParagraph"/>
              <w:spacing w:line="226" w:lineRule="exact"/>
              <w:ind w:left="4"/>
              <w:rPr>
                <w:sz w:val="20"/>
              </w:rPr>
            </w:pPr>
            <w:r>
              <w:rPr>
                <w:spacing w:val="-5"/>
                <w:sz w:val="20"/>
              </w:rPr>
              <w:t>275</w:t>
            </w:r>
          </w:p>
        </w:tc>
        <w:tc>
          <w:tcPr>
            <w:tcW w:w="1750" w:type="dxa"/>
          </w:tcPr>
          <w:p>
            <w:pPr>
              <w:pStyle w:val="TableParagraph"/>
              <w:spacing w:line="226" w:lineRule="exact"/>
              <w:ind w:left="15"/>
              <w:rPr>
                <w:sz w:val="20"/>
              </w:rPr>
            </w:pPr>
            <w:r>
              <w:rPr>
                <w:spacing w:val="-10"/>
                <w:sz w:val="20"/>
              </w:rPr>
              <w:t>4</w:t>
            </w:r>
          </w:p>
        </w:tc>
        <w:tc>
          <w:tcPr>
            <w:tcW w:w="988" w:type="dxa"/>
          </w:tcPr>
          <w:p>
            <w:pPr>
              <w:pStyle w:val="TableParagraph"/>
              <w:spacing w:line="226" w:lineRule="exact"/>
              <w:ind w:left="27"/>
              <w:rPr>
                <w:sz w:val="20"/>
              </w:rPr>
            </w:pPr>
            <w:r>
              <w:rPr>
                <w:spacing w:val="-10"/>
                <w:sz w:val="20"/>
              </w:rPr>
              <w:t>5</w:t>
            </w:r>
          </w:p>
        </w:tc>
        <w:tc>
          <w:tcPr>
            <w:tcW w:w="1480" w:type="dxa"/>
          </w:tcPr>
          <w:p>
            <w:pPr>
              <w:pStyle w:val="TableParagraph"/>
              <w:spacing w:line="226" w:lineRule="exact"/>
              <w:ind w:right="69"/>
              <w:rPr>
                <w:sz w:val="20"/>
              </w:rPr>
            </w:pPr>
            <w:r>
              <w:rPr>
                <w:spacing w:val="-2"/>
                <w:sz w:val="20"/>
              </w:rPr>
              <w:t>89.17</w:t>
            </w:r>
          </w:p>
        </w:tc>
        <w:tc>
          <w:tcPr>
            <w:tcW w:w="1126" w:type="dxa"/>
          </w:tcPr>
          <w:p>
            <w:pPr>
              <w:pStyle w:val="TableParagraph"/>
              <w:spacing w:line="215" w:lineRule="exact" w:before="65"/>
              <w:ind w:right="59"/>
              <w:rPr>
                <w:sz w:val="20"/>
              </w:rPr>
            </w:pPr>
            <w:r>
              <w:rPr>
                <w:spacing w:val="-2"/>
                <w:sz w:val="20"/>
              </w:rPr>
              <w:t>83.03</w:t>
            </w:r>
          </w:p>
        </w:tc>
        <w:tc>
          <w:tcPr>
            <w:tcW w:w="1179" w:type="dxa"/>
          </w:tcPr>
          <w:p>
            <w:pPr>
              <w:pStyle w:val="TableParagraph"/>
              <w:spacing w:line="215" w:lineRule="exact" w:before="65"/>
              <w:ind w:left="10"/>
              <w:rPr>
                <w:sz w:val="20"/>
              </w:rPr>
            </w:pPr>
            <w:r>
              <w:rPr>
                <w:spacing w:val="-2"/>
                <w:sz w:val="20"/>
              </w:rPr>
              <w:t>16.97</w:t>
            </w:r>
          </w:p>
        </w:tc>
      </w:tr>
      <w:tr>
        <w:trPr>
          <w:trHeight w:val="295" w:hRule="atLeast"/>
        </w:trPr>
        <w:tc>
          <w:tcPr>
            <w:tcW w:w="729" w:type="dxa"/>
            <w:tcBorders>
              <w:bottom w:val="single" w:sz="4" w:space="0" w:color="000000"/>
            </w:tcBorders>
          </w:tcPr>
          <w:p>
            <w:pPr>
              <w:pStyle w:val="TableParagraph"/>
              <w:spacing w:line="226" w:lineRule="exact"/>
              <w:ind w:left="24"/>
              <w:rPr>
                <w:sz w:val="20"/>
              </w:rPr>
            </w:pPr>
            <w:r>
              <w:rPr>
                <w:spacing w:val="-5"/>
                <w:sz w:val="20"/>
              </w:rPr>
              <w:t>15</w:t>
            </w:r>
          </w:p>
        </w:tc>
        <w:tc>
          <w:tcPr>
            <w:tcW w:w="1830" w:type="dxa"/>
            <w:tcBorders>
              <w:bottom w:val="single" w:sz="4" w:space="0" w:color="000000"/>
            </w:tcBorders>
          </w:tcPr>
          <w:p>
            <w:pPr>
              <w:pStyle w:val="TableParagraph"/>
              <w:spacing w:line="226" w:lineRule="exact"/>
              <w:ind w:left="4"/>
              <w:rPr>
                <w:sz w:val="20"/>
              </w:rPr>
            </w:pPr>
            <w:r>
              <w:rPr>
                <w:spacing w:val="-5"/>
                <w:sz w:val="20"/>
              </w:rPr>
              <w:t>275</w:t>
            </w:r>
          </w:p>
        </w:tc>
        <w:tc>
          <w:tcPr>
            <w:tcW w:w="1750" w:type="dxa"/>
            <w:tcBorders>
              <w:bottom w:val="single" w:sz="4" w:space="0" w:color="000000"/>
            </w:tcBorders>
          </w:tcPr>
          <w:p>
            <w:pPr>
              <w:pStyle w:val="TableParagraph"/>
              <w:spacing w:line="226" w:lineRule="exact"/>
              <w:ind w:left="15"/>
              <w:rPr>
                <w:sz w:val="20"/>
              </w:rPr>
            </w:pPr>
            <w:r>
              <w:rPr>
                <w:spacing w:val="-10"/>
                <w:sz w:val="20"/>
              </w:rPr>
              <w:t>4</w:t>
            </w:r>
          </w:p>
        </w:tc>
        <w:tc>
          <w:tcPr>
            <w:tcW w:w="988" w:type="dxa"/>
            <w:tcBorders>
              <w:bottom w:val="single" w:sz="4" w:space="0" w:color="000000"/>
            </w:tcBorders>
          </w:tcPr>
          <w:p>
            <w:pPr>
              <w:pStyle w:val="TableParagraph"/>
              <w:spacing w:line="226" w:lineRule="exact"/>
              <w:ind w:left="27"/>
              <w:rPr>
                <w:sz w:val="20"/>
              </w:rPr>
            </w:pPr>
            <w:r>
              <w:rPr>
                <w:spacing w:val="-10"/>
                <w:sz w:val="20"/>
              </w:rPr>
              <w:t>5</w:t>
            </w:r>
          </w:p>
        </w:tc>
        <w:tc>
          <w:tcPr>
            <w:tcW w:w="1480" w:type="dxa"/>
            <w:tcBorders>
              <w:bottom w:val="single" w:sz="4" w:space="0" w:color="000000"/>
            </w:tcBorders>
          </w:tcPr>
          <w:p>
            <w:pPr>
              <w:pStyle w:val="TableParagraph"/>
              <w:spacing w:line="226" w:lineRule="exact"/>
              <w:ind w:right="69"/>
              <w:rPr>
                <w:sz w:val="20"/>
              </w:rPr>
            </w:pPr>
            <w:r>
              <w:rPr>
                <w:spacing w:val="-2"/>
                <w:sz w:val="20"/>
              </w:rPr>
              <w:t>89.62</w:t>
            </w:r>
          </w:p>
        </w:tc>
        <w:tc>
          <w:tcPr>
            <w:tcW w:w="1126" w:type="dxa"/>
            <w:tcBorders>
              <w:bottom w:val="single" w:sz="4" w:space="0" w:color="000000"/>
            </w:tcBorders>
          </w:tcPr>
          <w:p>
            <w:pPr>
              <w:pStyle w:val="TableParagraph"/>
              <w:spacing w:line="210" w:lineRule="exact" w:before="65"/>
              <w:ind w:right="59"/>
              <w:rPr>
                <w:sz w:val="20"/>
              </w:rPr>
            </w:pPr>
            <w:r>
              <w:rPr>
                <w:spacing w:val="-2"/>
                <w:sz w:val="20"/>
              </w:rPr>
              <w:t>83.19</w:t>
            </w:r>
          </w:p>
        </w:tc>
        <w:tc>
          <w:tcPr>
            <w:tcW w:w="1179" w:type="dxa"/>
            <w:tcBorders>
              <w:bottom w:val="single" w:sz="4" w:space="0" w:color="000000"/>
            </w:tcBorders>
          </w:tcPr>
          <w:p>
            <w:pPr>
              <w:pStyle w:val="TableParagraph"/>
              <w:spacing w:line="210" w:lineRule="exact" w:before="65"/>
              <w:ind w:left="10"/>
              <w:rPr>
                <w:sz w:val="20"/>
              </w:rPr>
            </w:pPr>
            <w:r>
              <w:rPr>
                <w:spacing w:val="-2"/>
                <w:sz w:val="20"/>
              </w:rPr>
              <w:t>16.81</w:t>
            </w:r>
          </w:p>
        </w:tc>
      </w:tr>
    </w:tbl>
    <w:p>
      <w:pPr>
        <w:pStyle w:val="BodyText"/>
        <w:spacing w:before="21"/>
        <w:ind w:left="0"/>
        <w:jc w:val="left"/>
      </w:pPr>
    </w:p>
    <w:p>
      <w:pPr>
        <w:pStyle w:val="BodyText"/>
        <w:ind w:right="356" w:firstLine="283"/>
      </w:pPr>
      <w:r>
        <w:rPr/>
        <w:t>An optimization study was conducted using the RSM-BBD approach, and the responses of each experiment are presented in Table 4. The ANOVA analysis of the quadratic model of the response surface in Table 5 indicates that the F value of 68.85 is highly</w:t>
      </w:r>
      <w:r>
        <w:rPr>
          <w:spacing w:val="-1"/>
        </w:rPr>
        <w:t> </w:t>
      </w:r>
      <w:r>
        <w:rPr/>
        <w:t>significant. There is a 0% chance that an F value of this magnitude could occur due to error. In this model, the parameters A, B, C, B², C², and BC affect hydrocarbons' yield significantly. The analysis of variance (ANOVA) of the regression model demonstrated a coefficient of determination (R²) of 0.9920, indicating that the model explained 99.2% of the variability in the response, thereby demonstrating strong predictive power. The adjusted coefficient of determination (adjusted R²) was 97.76%, further reinforcing the significance of the model. The F value of 0.55 indicates that the discrepancy is not a significant contributor to the pure error (1.819). A residual analysis was conducted to assess the adequacy of the model. This involved</w:t>
      </w:r>
      <w:r>
        <w:rPr>
          <w:spacing w:val="18"/>
        </w:rPr>
        <w:t> </w:t>
      </w:r>
      <w:r>
        <w:rPr/>
        <w:t>using a normal probability plot of the residuals (Figure 5a) and a plot of the residuals versus the fitted values (Figure 5b). The normal probability plot indicates that the residuals are distributed normally along a straight line, suggesting that the errors are not statistically significant. Furthermore, the residuals are randomly distributed across the upper limit in relation to the predicted reaction, which indicates that the model accurately estimates the relationship between the variables [27].</w:t>
      </w:r>
    </w:p>
    <w:p>
      <w:pPr>
        <w:spacing w:before="121"/>
        <w:ind w:left="0" w:right="0" w:firstLine="0"/>
        <w:jc w:val="center"/>
        <w:rPr>
          <w:sz w:val="18"/>
        </w:rPr>
      </w:pPr>
      <w:r>
        <w:rPr>
          <w:b/>
          <w:sz w:val="18"/>
        </w:rPr>
        <w:t>Table</w:t>
      </w:r>
      <w:r>
        <w:rPr>
          <w:b/>
          <w:spacing w:val="-3"/>
          <w:sz w:val="18"/>
        </w:rPr>
        <w:t> </w:t>
      </w:r>
      <w:r>
        <w:rPr>
          <w:b/>
          <w:sz w:val="18"/>
        </w:rPr>
        <w:t>5. </w:t>
      </w:r>
      <w:r>
        <w:rPr>
          <w:sz w:val="18"/>
        </w:rPr>
        <w:t>ANOVA</w:t>
      </w:r>
      <w:r>
        <w:rPr>
          <w:spacing w:val="-1"/>
          <w:sz w:val="18"/>
        </w:rPr>
        <w:t> </w:t>
      </w:r>
      <w:r>
        <w:rPr>
          <w:sz w:val="18"/>
        </w:rPr>
        <w:t>analysis of</w:t>
      </w:r>
      <w:r>
        <w:rPr>
          <w:spacing w:val="-3"/>
          <w:sz w:val="18"/>
        </w:rPr>
        <w:t> </w:t>
      </w:r>
      <w:r>
        <w:rPr>
          <w:sz w:val="18"/>
        </w:rPr>
        <w:t>the</w:t>
      </w:r>
      <w:r>
        <w:rPr>
          <w:spacing w:val="-3"/>
          <w:sz w:val="18"/>
        </w:rPr>
        <w:t> </w:t>
      </w:r>
      <w:r>
        <w:rPr>
          <w:sz w:val="18"/>
        </w:rPr>
        <w:t>response</w:t>
      </w:r>
      <w:r>
        <w:rPr>
          <w:spacing w:val="-2"/>
          <w:sz w:val="18"/>
        </w:rPr>
        <w:t> </w:t>
      </w:r>
      <w:r>
        <w:rPr>
          <w:sz w:val="18"/>
        </w:rPr>
        <w:t>surface</w:t>
      </w:r>
      <w:r>
        <w:rPr>
          <w:spacing w:val="-2"/>
          <w:sz w:val="18"/>
        </w:rPr>
        <w:t> </w:t>
      </w:r>
      <w:r>
        <w:rPr>
          <w:sz w:val="18"/>
        </w:rPr>
        <w:t>mode</w:t>
      </w:r>
      <w:r>
        <w:rPr>
          <w:spacing w:val="-1"/>
          <w:sz w:val="18"/>
        </w:rPr>
        <w:t> </w:t>
      </w:r>
      <w:r>
        <w:rPr>
          <w:sz w:val="18"/>
        </w:rPr>
        <w:t>and each</w:t>
      </w:r>
      <w:r>
        <w:rPr>
          <w:spacing w:val="-2"/>
          <w:sz w:val="18"/>
        </w:rPr>
        <w:t> </w:t>
      </w:r>
      <w:r>
        <w:rPr>
          <w:sz w:val="18"/>
        </w:rPr>
        <w:t>model </w:t>
      </w:r>
      <w:r>
        <w:rPr>
          <w:spacing w:val="-2"/>
          <w:sz w:val="18"/>
        </w:rPr>
        <w:t>term.</w:t>
      </w:r>
    </w:p>
    <w:tbl>
      <w:tblPr>
        <w:tblW w:w="0" w:type="auto"/>
        <w:jc w:val="left"/>
        <w:tblInd w:w="9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88"/>
        <w:gridCol w:w="1114"/>
        <w:gridCol w:w="937"/>
        <w:gridCol w:w="1185"/>
        <w:gridCol w:w="1624"/>
        <w:gridCol w:w="949"/>
      </w:tblGrid>
      <w:tr>
        <w:trPr>
          <w:trHeight w:val="460" w:hRule="atLeast"/>
        </w:trPr>
        <w:tc>
          <w:tcPr>
            <w:tcW w:w="2388" w:type="dxa"/>
            <w:tcBorders>
              <w:top w:val="single" w:sz="4" w:space="0" w:color="000000"/>
              <w:bottom w:val="single" w:sz="4" w:space="0" w:color="000000"/>
            </w:tcBorders>
          </w:tcPr>
          <w:p>
            <w:pPr>
              <w:pStyle w:val="TableParagraph"/>
              <w:ind w:left="138"/>
              <w:rPr>
                <w:b/>
                <w:sz w:val="20"/>
              </w:rPr>
            </w:pPr>
            <w:r>
              <w:rPr>
                <w:b/>
                <w:spacing w:val="-2"/>
                <w:sz w:val="20"/>
              </w:rPr>
              <w:t>Source</w:t>
            </w:r>
          </w:p>
        </w:tc>
        <w:tc>
          <w:tcPr>
            <w:tcW w:w="1114" w:type="dxa"/>
            <w:tcBorders>
              <w:top w:val="single" w:sz="4" w:space="0" w:color="000000"/>
              <w:bottom w:val="single" w:sz="4" w:space="0" w:color="000000"/>
            </w:tcBorders>
          </w:tcPr>
          <w:p>
            <w:pPr>
              <w:pStyle w:val="TableParagraph"/>
              <w:ind w:left="106" w:right="6"/>
              <w:rPr>
                <w:b/>
                <w:sz w:val="20"/>
              </w:rPr>
            </w:pPr>
            <w:r>
              <w:rPr>
                <w:b/>
                <w:spacing w:val="-5"/>
                <w:sz w:val="20"/>
              </w:rPr>
              <w:t>df</w:t>
            </w:r>
          </w:p>
        </w:tc>
        <w:tc>
          <w:tcPr>
            <w:tcW w:w="937" w:type="dxa"/>
            <w:tcBorders>
              <w:top w:val="single" w:sz="4" w:space="0" w:color="000000"/>
              <w:bottom w:val="single" w:sz="4" w:space="0" w:color="000000"/>
            </w:tcBorders>
          </w:tcPr>
          <w:p>
            <w:pPr>
              <w:pStyle w:val="TableParagraph"/>
              <w:spacing w:line="230" w:lineRule="atLeast"/>
              <w:ind w:left="129" w:right="146" w:firstLine="24"/>
              <w:jc w:val="left"/>
              <w:rPr>
                <w:b/>
                <w:sz w:val="20"/>
              </w:rPr>
            </w:pPr>
            <w:r>
              <w:rPr>
                <w:b/>
                <w:sz w:val="20"/>
              </w:rPr>
              <w:t>Sum</w:t>
            </w:r>
            <w:r>
              <w:rPr>
                <w:b/>
                <w:spacing w:val="-13"/>
                <w:sz w:val="20"/>
              </w:rPr>
              <w:t> </w:t>
            </w:r>
            <w:r>
              <w:rPr>
                <w:b/>
                <w:sz w:val="20"/>
              </w:rPr>
              <w:t>of </w:t>
            </w:r>
            <w:r>
              <w:rPr>
                <w:b/>
                <w:spacing w:val="-2"/>
                <w:sz w:val="20"/>
              </w:rPr>
              <w:t>squares</w:t>
            </w:r>
          </w:p>
        </w:tc>
        <w:tc>
          <w:tcPr>
            <w:tcW w:w="1185" w:type="dxa"/>
            <w:tcBorders>
              <w:top w:val="single" w:sz="4" w:space="0" w:color="000000"/>
              <w:bottom w:val="single" w:sz="4" w:space="0" w:color="000000"/>
            </w:tcBorders>
          </w:tcPr>
          <w:p>
            <w:pPr>
              <w:pStyle w:val="TableParagraph"/>
              <w:spacing w:line="230" w:lineRule="atLeast"/>
              <w:ind w:left="191" w:right="408" w:firstLine="45"/>
              <w:jc w:val="left"/>
              <w:rPr>
                <w:b/>
                <w:sz w:val="20"/>
              </w:rPr>
            </w:pPr>
            <w:r>
              <w:rPr>
                <w:b/>
                <w:spacing w:val="-4"/>
                <w:sz w:val="20"/>
              </w:rPr>
              <w:t>Mean </w:t>
            </w:r>
            <w:r>
              <w:rPr>
                <w:b/>
                <w:spacing w:val="-2"/>
                <w:sz w:val="20"/>
              </w:rPr>
              <w:t>square</w:t>
            </w:r>
          </w:p>
        </w:tc>
        <w:tc>
          <w:tcPr>
            <w:tcW w:w="1624" w:type="dxa"/>
            <w:tcBorders>
              <w:top w:val="single" w:sz="4" w:space="0" w:color="000000"/>
              <w:bottom w:val="single" w:sz="4" w:space="0" w:color="000000"/>
            </w:tcBorders>
          </w:tcPr>
          <w:p>
            <w:pPr>
              <w:pStyle w:val="TableParagraph"/>
              <w:ind w:left="381"/>
              <w:jc w:val="left"/>
              <w:rPr>
                <w:b/>
                <w:sz w:val="20"/>
              </w:rPr>
            </w:pPr>
            <w:r>
              <w:rPr>
                <w:b/>
                <w:sz w:val="20"/>
              </w:rPr>
              <w:t>F</w:t>
            </w:r>
            <w:r>
              <w:rPr>
                <w:b/>
                <w:spacing w:val="-2"/>
                <w:sz w:val="20"/>
              </w:rPr>
              <w:t> value</w:t>
            </w:r>
          </w:p>
        </w:tc>
        <w:tc>
          <w:tcPr>
            <w:tcW w:w="949" w:type="dxa"/>
            <w:tcBorders>
              <w:top w:val="single" w:sz="4" w:space="0" w:color="000000"/>
              <w:bottom w:val="single" w:sz="4" w:space="0" w:color="000000"/>
            </w:tcBorders>
          </w:tcPr>
          <w:p>
            <w:pPr>
              <w:pStyle w:val="TableParagraph"/>
              <w:ind w:left="2" w:right="5"/>
              <w:rPr>
                <w:b/>
                <w:sz w:val="20"/>
              </w:rPr>
            </w:pPr>
            <w:r>
              <w:rPr>
                <w:b/>
                <w:spacing w:val="-2"/>
                <w:sz w:val="20"/>
              </w:rPr>
              <w:t>p-</w:t>
            </w:r>
            <w:r>
              <w:rPr>
                <w:b/>
                <w:spacing w:val="-4"/>
                <w:sz w:val="20"/>
              </w:rPr>
              <w:t>value</w:t>
            </w:r>
          </w:p>
        </w:tc>
      </w:tr>
      <w:tr>
        <w:trPr>
          <w:trHeight w:val="286" w:hRule="atLeast"/>
        </w:trPr>
        <w:tc>
          <w:tcPr>
            <w:tcW w:w="2388" w:type="dxa"/>
            <w:tcBorders>
              <w:top w:val="single" w:sz="4" w:space="0" w:color="000000"/>
            </w:tcBorders>
          </w:tcPr>
          <w:p>
            <w:pPr>
              <w:pStyle w:val="TableParagraph"/>
              <w:spacing w:before="34"/>
              <w:ind w:left="122"/>
              <w:jc w:val="left"/>
              <w:rPr>
                <w:sz w:val="20"/>
              </w:rPr>
            </w:pPr>
            <w:r>
              <w:rPr>
                <w:spacing w:val="-4"/>
                <w:sz w:val="20"/>
              </w:rPr>
              <w:t>Model</w:t>
            </w:r>
          </w:p>
        </w:tc>
        <w:tc>
          <w:tcPr>
            <w:tcW w:w="1114" w:type="dxa"/>
            <w:tcBorders>
              <w:top w:val="single" w:sz="4" w:space="0" w:color="000000"/>
            </w:tcBorders>
          </w:tcPr>
          <w:p>
            <w:pPr>
              <w:pStyle w:val="TableParagraph"/>
              <w:ind w:left="106" w:right="6"/>
              <w:rPr>
                <w:sz w:val="20"/>
              </w:rPr>
            </w:pPr>
            <w:r>
              <w:rPr>
                <w:spacing w:val="-10"/>
                <w:sz w:val="20"/>
              </w:rPr>
              <w:t>9</w:t>
            </w:r>
          </w:p>
        </w:tc>
        <w:tc>
          <w:tcPr>
            <w:tcW w:w="937" w:type="dxa"/>
            <w:tcBorders>
              <w:top w:val="single" w:sz="4" w:space="0" w:color="000000"/>
            </w:tcBorders>
          </w:tcPr>
          <w:p>
            <w:pPr>
              <w:pStyle w:val="TableParagraph"/>
              <w:ind w:right="20"/>
              <w:rPr>
                <w:sz w:val="20"/>
              </w:rPr>
            </w:pPr>
            <w:r>
              <w:rPr>
                <w:spacing w:val="-2"/>
                <w:sz w:val="20"/>
              </w:rPr>
              <w:t>411.974</w:t>
            </w:r>
          </w:p>
        </w:tc>
        <w:tc>
          <w:tcPr>
            <w:tcW w:w="1185" w:type="dxa"/>
            <w:tcBorders>
              <w:top w:val="single" w:sz="4" w:space="0" w:color="000000"/>
            </w:tcBorders>
          </w:tcPr>
          <w:p>
            <w:pPr>
              <w:pStyle w:val="TableParagraph"/>
              <w:ind w:right="221"/>
              <w:rPr>
                <w:sz w:val="20"/>
              </w:rPr>
            </w:pPr>
            <w:r>
              <w:rPr>
                <w:spacing w:val="-2"/>
                <w:sz w:val="20"/>
              </w:rPr>
              <w:t>45.775</w:t>
            </w:r>
          </w:p>
        </w:tc>
        <w:tc>
          <w:tcPr>
            <w:tcW w:w="1624" w:type="dxa"/>
            <w:tcBorders>
              <w:top w:val="single" w:sz="4" w:space="0" w:color="000000"/>
            </w:tcBorders>
          </w:tcPr>
          <w:p>
            <w:pPr>
              <w:pStyle w:val="TableParagraph"/>
              <w:ind w:left="470"/>
              <w:jc w:val="left"/>
              <w:rPr>
                <w:sz w:val="20"/>
              </w:rPr>
            </w:pPr>
            <w:r>
              <w:rPr>
                <w:spacing w:val="-2"/>
                <w:sz w:val="20"/>
              </w:rPr>
              <w:t>68.85</w:t>
            </w:r>
          </w:p>
        </w:tc>
        <w:tc>
          <w:tcPr>
            <w:tcW w:w="949" w:type="dxa"/>
            <w:tcBorders>
              <w:top w:val="single" w:sz="4" w:space="0" w:color="000000"/>
            </w:tcBorders>
          </w:tcPr>
          <w:p>
            <w:pPr>
              <w:pStyle w:val="TableParagraph"/>
              <w:ind w:left="1" w:right="5"/>
              <w:rPr>
                <w:sz w:val="20"/>
              </w:rPr>
            </w:pPr>
            <w:r>
              <w:rPr>
                <w:spacing w:val="-10"/>
                <w:sz w:val="20"/>
              </w:rPr>
              <w:t>0</w:t>
            </w:r>
          </w:p>
        </w:tc>
      </w:tr>
      <w:tr>
        <w:trPr>
          <w:trHeight w:val="300" w:hRule="atLeast"/>
        </w:trPr>
        <w:tc>
          <w:tcPr>
            <w:tcW w:w="2388" w:type="dxa"/>
          </w:tcPr>
          <w:p>
            <w:pPr>
              <w:pStyle w:val="TableParagraph"/>
              <w:spacing w:before="47"/>
              <w:ind w:left="122"/>
              <w:jc w:val="left"/>
              <w:rPr>
                <w:sz w:val="20"/>
              </w:rPr>
            </w:pPr>
            <w:r>
              <w:rPr>
                <w:sz w:val="20"/>
              </w:rPr>
              <w:t>A:</w:t>
            </w:r>
            <w:r>
              <w:rPr>
                <w:spacing w:val="-5"/>
                <w:sz w:val="20"/>
              </w:rPr>
              <w:t> </w:t>
            </w:r>
            <w:r>
              <w:rPr>
                <w:sz w:val="20"/>
              </w:rPr>
              <w:t>Reaction</w:t>
            </w:r>
            <w:r>
              <w:rPr>
                <w:spacing w:val="-4"/>
                <w:sz w:val="20"/>
              </w:rPr>
              <w:t> </w:t>
            </w:r>
            <w:r>
              <w:rPr>
                <w:spacing w:val="-2"/>
                <w:sz w:val="20"/>
              </w:rPr>
              <w:t>Temperature</w:t>
            </w:r>
          </w:p>
        </w:tc>
        <w:tc>
          <w:tcPr>
            <w:tcW w:w="1114" w:type="dxa"/>
          </w:tcPr>
          <w:p>
            <w:pPr>
              <w:pStyle w:val="TableParagraph"/>
              <w:spacing w:before="13"/>
              <w:ind w:left="106" w:right="6"/>
              <w:rPr>
                <w:sz w:val="20"/>
              </w:rPr>
            </w:pPr>
            <w:r>
              <w:rPr>
                <w:spacing w:val="-10"/>
                <w:sz w:val="20"/>
              </w:rPr>
              <w:t>1</w:t>
            </w:r>
          </w:p>
        </w:tc>
        <w:tc>
          <w:tcPr>
            <w:tcW w:w="937" w:type="dxa"/>
          </w:tcPr>
          <w:p>
            <w:pPr>
              <w:pStyle w:val="TableParagraph"/>
              <w:spacing w:before="13"/>
              <w:ind w:left="3" w:right="20"/>
              <w:rPr>
                <w:sz w:val="20"/>
              </w:rPr>
            </w:pPr>
            <w:r>
              <w:rPr>
                <w:spacing w:val="-2"/>
                <w:sz w:val="20"/>
              </w:rPr>
              <w:t>9.461</w:t>
            </w:r>
          </w:p>
        </w:tc>
        <w:tc>
          <w:tcPr>
            <w:tcW w:w="1185" w:type="dxa"/>
          </w:tcPr>
          <w:p>
            <w:pPr>
              <w:pStyle w:val="TableParagraph"/>
              <w:spacing w:before="13"/>
              <w:ind w:left="3" w:right="221"/>
              <w:rPr>
                <w:sz w:val="20"/>
              </w:rPr>
            </w:pPr>
            <w:r>
              <w:rPr>
                <w:spacing w:val="-2"/>
                <w:sz w:val="20"/>
              </w:rPr>
              <w:t>9.461</w:t>
            </w:r>
          </w:p>
        </w:tc>
        <w:tc>
          <w:tcPr>
            <w:tcW w:w="1624" w:type="dxa"/>
          </w:tcPr>
          <w:p>
            <w:pPr>
              <w:pStyle w:val="TableParagraph"/>
              <w:spacing w:before="13"/>
              <w:ind w:left="470"/>
              <w:jc w:val="left"/>
              <w:rPr>
                <w:sz w:val="20"/>
              </w:rPr>
            </w:pPr>
            <w:r>
              <w:rPr>
                <w:spacing w:val="-2"/>
                <w:sz w:val="20"/>
              </w:rPr>
              <w:t>14.23</w:t>
            </w:r>
          </w:p>
        </w:tc>
        <w:tc>
          <w:tcPr>
            <w:tcW w:w="949" w:type="dxa"/>
          </w:tcPr>
          <w:p>
            <w:pPr>
              <w:pStyle w:val="TableParagraph"/>
              <w:spacing w:before="13"/>
              <w:ind w:left="3" w:right="5"/>
              <w:rPr>
                <w:sz w:val="20"/>
              </w:rPr>
            </w:pPr>
            <w:r>
              <w:rPr>
                <w:spacing w:val="-2"/>
                <w:sz w:val="20"/>
              </w:rPr>
              <w:t>0.013</w:t>
            </w:r>
          </w:p>
        </w:tc>
      </w:tr>
      <w:tr>
        <w:trPr>
          <w:trHeight w:val="300" w:hRule="atLeast"/>
        </w:trPr>
        <w:tc>
          <w:tcPr>
            <w:tcW w:w="2388" w:type="dxa"/>
          </w:tcPr>
          <w:p>
            <w:pPr>
              <w:pStyle w:val="TableParagraph"/>
              <w:spacing w:before="47"/>
              <w:ind w:left="122"/>
              <w:jc w:val="left"/>
              <w:rPr>
                <w:sz w:val="20"/>
              </w:rPr>
            </w:pPr>
            <w:r>
              <w:rPr>
                <w:sz w:val="20"/>
              </w:rPr>
              <w:t>B:</w:t>
            </w:r>
            <w:r>
              <w:rPr>
                <w:spacing w:val="-6"/>
                <w:sz w:val="20"/>
              </w:rPr>
              <w:t> </w:t>
            </w:r>
            <w:r>
              <w:rPr>
                <w:sz w:val="20"/>
              </w:rPr>
              <w:t>Reaction</w:t>
            </w:r>
            <w:r>
              <w:rPr>
                <w:spacing w:val="-4"/>
                <w:sz w:val="20"/>
              </w:rPr>
              <w:t> Time</w:t>
            </w:r>
          </w:p>
        </w:tc>
        <w:tc>
          <w:tcPr>
            <w:tcW w:w="1114" w:type="dxa"/>
          </w:tcPr>
          <w:p>
            <w:pPr>
              <w:pStyle w:val="TableParagraph"/>
              <w:spacing w:before="13"/>
              <w:ind w:left="106" w:right="6"/>
              <w:rPr>
                <w:sz w:val="20"/>
              </w:rPr>
            </w:pPr>
            <w:r>
              <w:rPr>
                <w:spacing w:val="-10"/>
                <w:sz w:val="20"/>
              </w:rPr>
              <w:t>1</w:t>
            </w:r>
          </w:p>
        </w:tc>
        <w:tc>
          <w:tcPr>
            <w:tcW w:w="937" w:type="dxa"/>
          </w:tcPr>
          <w:p>
            <w:pPr>
              <w:pStyle w:val="TableParagraph"/>
              <w:spacing w:before="13"/>
              <w:ind w:right="20"/>
              <w:rPr>
                <w:sz w:val="20"/>
              </w:rPr>
            </w:pPr>
            <w:r>
              <w:rPr>
                <w:spacing w:val="-2"/>
                <w:sz w:val="20"/>
              </w:rPr>
              <w:t>118.272</w:t>
            </w:r>
          </w:p>
        </w:tc>
        <w:tc>
          <w:tcPr>
            <w:tcW w:w="1185" w:type="dxa"/>
          </w:tcPr>
          <w:p>
            <w:pPr>
              <w:pStyle w:val="TableParagraph"/>
              <w:spacing w:before="13"/>
              <w:ind w:right="221"/>
              <w:rPr>
                <w:sz w:val="20"/>
              </w:rPr>
            </w:pPr>
            <w:r>
              <w:rPr>
                <w:spacing w:val="-2"/>
                <w:sz w:val="20"/>
              </w:rPr>
              <w:t>118.272</w:t>
            </w:r>
          </w:p>
        </w:tc>
        <w:tc>
          <w:tcPr>
            <w:tcW w:w="1624" w:type="dxa"/>
          </w:tcPr>
          <w:p>
            <w:pPr>
              <w:pStyle w:val="TableParagraph"/>
              <w:spacing w:before="13"/>
              <w:ind w:left="422"/>
              <w:jc w:val="left"/>
              <w:rPr>
                <w:sz w:val="20"/>
              </w:rPr>
            </w:pPr>
            <w:r>
              <w:rPr>
                <w:spacing w:val="-2"/>
                <w:sz w:val="20"/>
              </w:rPr>
              <w:t>177.89</w:t>
            </w:r>
          </w:p>
        </w:tc>
        <w:tc>
          <w:tcPr>
            <w:tcW w:w="949" w:type="dxa"/>
          </w:tcPr>
          <w:p>
            <w:pPr>
              <w:pStyle w:val="TableParagraph"/>
              <w:spacing w:before="13"/>
              <w:ind w:left="1" w:right="5"/>
              <w:rPr>
                <w:sz w:val="20"/>
              </w:rPr>
            </w:pPr>
            <w:r>
              <w:rPr>
                <w:spacing w:val="-10"/>
                <w:sz w:val="20"/>
              </w:rPr>
              <w:t>0</w:t>
            </w:r>
          </w:p>
        </w:tc>
      </w:tr>
      <w:tr>
        <w:trPr>
          <w:trHeight w:val="300" w:hRule="atLeast"/>
        </w:trPr>
        <w:tc>
          <w:tcPr>
            <w:tcW w:w="2388" w:type="dxa"/>
          </w:tcPr>
          <w:p>
            <w:pPr>
              <w:pStyle w:val="TableParagraph"/>
              <w:spacing w:before="47"/>
              <w:ind w:left="122"/>
              <w:jc w:val="left"/>
              <w:rPr>
                <w:sz w:val="20"/>
              </w:rPr>
            </w:pPr>
            <w:r>
              <w:rPr>
                <w:sz w:val="20"/>
              </w:rPr>
              <w:t>C:</w:t>
            </w:r>
            <w:r>
              <w:rPr>
                <w:spacing w:val="-5"/>
                <w:sz w:val="20"/>
              </w:rPr>
              <w:t> </w:t>
            </w:r>
            <w:r>
              <w:rPr>
                <w:sz w:val="20"/>
              </w:rPr>
              <w:t>Catalyst</w:t>
            </w:r>
            <w:r>
              <w:rPr>
                <w:spacing w:val="-5"/>
                <w:sz w:val="20"/>
              </w:rPr>
              <w:t> </w:t>
            </w:r>
            <w:r>
              <w:rPr>
                <w:spacing w:val="-2"/>
                <w:sz w:val="20"/>
              </w:rPr>
              <w:t>Loading</w:t>
            </w:r>
          </w:p>
        </w:tc>
        <w:tc>
          <w:tcPr>
            <w:tcW w:w="1114" w:type="dxa"/>
          </w:tcPr>
          <w:p>
            <w:pPr>
              <w:pStyle w:val="TableParagraph"/>
              <w:spacing w:before="13"/>
              <w:ind w:left="106" w:right="6"/>
              <w:rPr>
                <w:sz w:val="20"/>
              </w:rPr>
            </w:pPr>
            <w:r>
              <w:rPr>
                <w:spacing w:val="-10"/>
                <w:sz w:val="20"/>
              </w:rPr>
              <w:t>1</w:t>
            </w:r>
          </w:p>
        </w:tc>
        <w:tc>
          <w:tcPr>
            <w:tcW w:w="937" w:type="dxa"/>
          </w:tcPr>
          <w:p>
            <w:pPr>
              <w:pStyle w:val="TableParagraph"/>
              <w:spacing w:before="13"/>
              <w:ind w:left="3" w:right="20"/>
              <w:rPr>
                <w:sz w:val="20"/>
              </w:rPr>
            </w:pPr>
            <w:r>
              <w:rPr>
                <w:spacing w:val="-2"/>
                <w:sz w:val="20"/>
              </w:rPr>
              <w:t>45.41</w:t>
            </w:r>
          </w:p>
        </w:tc>
        <w:tc>
          <w:tcPr>
            <w:tcW w:w="1185" w:type="dxa"/>
          </w:tcPr>
          <w:p>
            <w:pPr>
              <w:pStyle w:val="TableParagraph"/>
              <w:spacing w:before="13"/>
              <w:ind w:left="3" w:right="221"/>
              <w:rPr>
                <w:sz w:val="20"/>
              </w:rPr>
            </w:pPr>
            <w:r>
              <w:rPr>
                <w:spacing w:val="-2"/>
                <w:sz w:val="20"/>
              </w:rPr>
              <w:t>45.41</w:t>
            </w:r>
          </w:p>
        </w:tc>
        <w:tc>
          <w:tcPr>
            <w:tcW w:w="1624" w:type="dxa"/>
          </w:tcPr>
          <w:p>
            <w:pPr>
              <w:pStyle w:val="TableParagraph"/>
              <w:spacing w:before="13"/>
              <w:ind w:left="520"/>
              <w:jc w:val="left"/>
              <w:rPr>
                <w:sz w:val="20"/>
              </w:rPr>
            </w:pPr>
            <w:r>
              <w:rPr>
                <w:spacing w:val="-4"/>
                <w:sz w:val="20"/>
              </w:rPr>
              <w:t>68.3</w:t>
            </w:r>
          </w:p>
        </w:tc>
        <w:tc>
          <w:tcPr>
            <w:tcW w:w="949" w:type="dxa"/>
          </w:tcPr>
          <w:p>
            <w:pPr>
              <w:pStyle w:val="TableParagraph"/>
              <w:spacing w:before="13"/>
              <w:ind w:left="1" w:right="5"/>
              <w:rPr>
                <w:sz w:val="20"/>
              </w:rPr>
            </w:pPr>
            <w:r>
              <w:rPr>
                <w:spacing w:val="-10"/>
                <w:sz w:val="20"/>
              </w:rPr>
              <w:t>0</w:t>
            </w:r>
          </w:p>
        </w:tc>
      </w:tr>
      <w:tr>
        <w:trPr>
          <w:trHeight w:val="300" w:hRule="atLeast"/>
        </w:trPr>
        <w:tc>
          <w:tcPr>
            <w:tcW w:w="2388" w:type="dxa"/>
          </w:tcPr>
          <w:p>
            <w:pPr>
              <w:pStyle w:val="TableParagraph"/>
              <w:spacing w:before="47"/>
              <w:ind w:left="122"/>
              <w:jc w:val="left"/>
              <w:rPr>
                <w:sz w:val="20"/>
              </w:rPr>
            </w:pPr>
            <w:r>
              <w:rPr>
                <w:spacing w:val="-5"/>
                <w:sz w:val="20"/>
              </w:rPr>
              <w:t>A2</w:t>
            </w:r>
          </w:p>
        </w:tc>
        <w:tc>
          <w:tcPr>
            <w:tcW w:w="1114" w:type="dxa"/>
          </w:tcPr>
          <w:p>
            <w:pPr>
              <w:pStyle w:val="TableParagraph"/>
              <w:spacing w:before="13"/>
              <w:ind w:left="106" w:right="6"/>
              <w:rPr>
                <w:sz w:val="20"/>
              </w:rPr>
            </w:pPr>
            <w:r>
              <w:rPr>
                <w:spacing w:val="-10"/>
                <w:sz w:val="20"/>
              </w:rPr>
              <w:t>1</w:t>
            </w:r>
          </w:p>
        </w:tc>
        <w:tc>
          <w:tcPr>
            <w:tcW w:w="937" w:type="dxa"/>
          </w:tcPr>
          <w:p>
            <w:pPr>
              <w:pStyle w:val="TableParagraph"/>
              <w:spacing w:before="13"/>
              <w:ind w:left="3" w:right="20"/>
              <w:rPr>
                <w:sz w:val="20"/>
              </w:rPr>
            </w:pPr>
            <w:r>
              <w:rPr>
                <w:spacing w:val="-4"/>
                <w:sz w:val="20"/>
              </w:rPr>
              <w:t>0.01</w:t>
            </w:r>
          </w:p>
        </w:tc>
        <w:tc>
          <w:tcPr>
            <w:tcW w:w="1185" w:type="dxa"/>
          </w:tcPr>
          <w:p>
            <w:pPr>
              <w:pStyle w:val="TableParagraph"/>
              <w:spacing w:before="13"/>
              <w:ind w:left="3" w:right="221"/>
              <w:rPr>
                <w:sz w:val="20"/>
              </w:rPr>
            </w:pPr>
            <w:r>
              <w:rPr>
                <w:spacing w:val="-2"/>
                <w:sz w:val="20"/>
              </w:rPr>
              <w:t>2.239</w:t>
            </w:r>
          </w:p>
        </w:tc>
        <w:tc>
          <w:tcPr>
            <w:tcW w:w="1624" w:type="dxa"/>
          </w:tcPr>
          <w:p>
            <w:pPr>
              <w:pStyle w:val="TableParagraph"/>
              <w:spacing w:before="13"/>
              <w:ind w:left="520"/>
              <w:jc w:val="left"/>
              <w:rPr>
                <w:sz w:val="20"/>
              </w:rPr>
            </w:pPr>
            <w:r>
              <w:rPr>
                <w:spacing w:val="-4"/>
                <w:sz w:val="20"/>
              </w:rPr>
              <w:t>3.37</w:t>
            </w:r>
          </w:p>
        </w:tc>
        <w:tc>
          <w:tcPr>
            <w:tcW w:w="949" w:type="dxa"/>
          </w:tcPr>
          <w:p>
            <w:pPr>
              <w:pStyle w:val="TableParagraph"/>
              <w:spacing w:before="13"/>
              <w:ind w:left="3" w:right="5"/>
              <w:rPr>
                <w:sz w:val="20"/>
              </w:rPr>
            </w:pPr>
            <w:r>
              <w:rPr>
                <w:spacing w:val="-2"/>
                <w:sz w:val="20"/>
              </w:rPr>
              <w:t>0.126</w:t>
            </w:r>
          </w:p>
        </w:tc>
      </w:tr>
      <w:tr>
        <w:trPr>
          <w:trHeight w:val="300" w:hRule="atLeast"/>
        </w:trPr>
        <w:tc>
          <w:tcPr>
            <w:tcW w:w="2388" w:type="dxa"/>
          </w:tcPr>
          <w:p>
            <w:pPr>
              <w:pStyle w:val="TableParagraph"/>
              <w:spacing w:before="47"/>
              <w:ind w:left="122"/>
              <w:jc w:val="left"/>
              <w:rPr>
                <w:sz w:val="20"/>
              </w:rPr>
            </w:pPr>
            <w:r>
              <w:rPr>
                <w:spacing w:val="-5"/>
                <w:sz w:val="20"/>
              </w:rPr>
              <w:t>B2</w:t>
            </w:r>
          </w:p>
        </w:tc>
        <w:tc>
          <w:tcPr>
            <w:tcW w:w="1114" w:type="dxa"/>
          </w:tcPr>
          <w:p>
            <w:pPr>
              <w:pStyle w:val="TableParagraph"/>
              <w:spacing w:before="13"/>
              <w:ind w:left="106" w:right="6"/>
              <w:rPr>
                <w:sz w:val="20"/>
              </w:rPr>
            </w:pPr>
            <w:r>
              <w:rPr>
                <w:spacing w:val="-10"/>
                <w:sz w:val="20"/>
              </w:rPr>
              <w:t>1</w:t>
            </w:r>
          </w:p>
        </w:tc>
        <w:tc>
          <w:tcPr>
            <w:tcW w:w="937" w:type="dxa"/>
          </w:tcPr>
          <w:p>
            <w:pPr>
              <w:pStyle w:val="TableParagraph"/>
              <w:spacing w:before="13"/>
              <w:ind w:left="1" w:right="20"/>
              <w:rPr>
                <w:sz w:val="20"/>
              </w:rPr>
            </w:pPr>
            <w:r>
              <w:rPr>
                <w:spacing w:val="-2"/>
                <w:sz w:val="20"/>
              </w:rPr>
              <w:t>87.855</w:t>
            </w:r>
          </w:p>
        </w:tc>
        <w:tc>
          <w:tcPr>
            <w:tcW w:w="1185" w:type="dxa"/>
          </w:tcPr>
          <w:p>
            <w:pPr>
              <w:pStyle w:val="TableParagraph"/>
              <w:spacing w:before="13"/>
              <w:ind w:right="221"/>
              <w:rPr>
                <w:sz w:val="20"/>
              </w:rPr>
            </w:pPr>
            <w:r>
              <w:rPr>
                <w:spacing w:val="-2"/>
                <w:sz w:val="20"/>
              </w:rPr>
              <w:t>101.527</w:t>
            </w:r>
          </w:p>
        </w:tc>
        <w:tc>
          <w:tcPr>
            <w:tcW w:w="1624" w:type="dxa"/>
          </w:tcPr>
          <w:p>
            <w:pPr>
              <w:pStyle w:val="TableParagraph"/>
              <w:spacing w:before="13"/>
              <w:ind w:left="422"/>
              <w:jc w:val="left"/>
              <w:rPr>
                <w:sz w:val="20"/>
              </w:rPr>
            </w:pPr>
            <w:r>
              <w:rPr>
                <w:spacing w:val="-2"/>
                <w:sz w:val="20"/>
              </w:rPr>
              <w:t>152.71</w:t>
            </w:r>
          </w:p>
        </w:tc>
        <w:tc>
          <w:tcPr>
            <w:tcW w:w="949" w:type="dxa"/>
          </w:tcPr>
          <w:p>
            <w:pPr>
              <w:pStyle w:val="TableParagraph"/>
              <w:spacing w:before="13"/>
              <w:ind w:left="1" w:right="5"/>
              <w:rPr>
                <w:sz w:val="20"/>
              </w:rPr>
            </w:pPr>
            <w:r>
              <w:rPr>
                <w:spacing w:val="-10"/>
                <w:sz w:val="20"/>
              </w:rPr>
              <w:t>0</w:t>
            </w:r>
          </w:p>
        </w:tc>
      </w:tr>
      <w:tr>
        <w:trPr>
          <w:trHeight w:val="300" w:hRule="atLeast"/>
        </w:trPr>
        <w:tc>
          <w:tcPr>
            <w:tcW w:w="2388" w:type="dxa"/>
          </w:tcPr>
          <w:p>
            <w:pPr>
              <w:pStyle w:val="TableParagraph"/>
              <w:spacing w:before="47"/>
              <w:ind w:left="122"/>
              <w:jc w:val="left"/>
              <w:rPr>
                <w:sz w:val="20"/>
              </w:rPr>
            </w:pPr>
            <w:r>
              <w:rPr>
                <w:spacing w:val="-5"/>
                <w:sz w:val="20"/>
              </w:rPr>
              <w:t>C2</w:t>
            </w:r>
          </w:p>
        </w:tc>
        <w:tc>
          <w:tcPr>
            <w:tcW w:w="1114" w:type="dxa"/>
          </w:tcPr>
          <w:p>
            <w:pPr>
              <w:pStyle w:val="TableParagraph"/>
              <w:spacing w:before="13"/>
              <w:ind w:left="106" w:right="6"/>
              <w:rPr>
                <w:sz w:val="20"/>
              </w:rPr>
            </w:pPr>
            <w:r>
              <w:rPr>
                <w:spacing w:val="-10"/>
                <w:sz w:val="20"/>
              </w:rPr>
              <w:t>1</w:t>
            </w:r>
          </w:p>
        </w:tc>
        <w:tc>
          <w:tcPr>
            <w:tcW w:w="937" w:type="dxa"/>
          </w:tcPr>
          <w:p>
            <w:pPr>
              <w:pStyle w:val="TableParagraph"/>
              <w:spacing w:before="13"/>
              <w:ind w:left="1" w:right="20"/>
              <w:rPr>
                <w:sz w:val="20"/>
              </w:rPr>
            </w:pPr>
            <w:r>
              <w:rPr>
                <w:spacing w:val="-2"/>
                <w:sz w:val="20"/>
              </w:rPr>
              <w:t>90.242</w:t>
            </w:r>
          </w:p>
        </w:tc>
        <w:tc>
          <w:tcPr>
            <w:tcW w:w="1185" w:type="dxa"/>
          </w:tcPr>
          <w:p>
            <w:pPr>
              <w:pStyle w:val="TableParagraph"/>
              <w:spacing w:before="13"/>
              <w:ind w:right="221"/>
              <w:rPr>
                <w:sz w:val="20"/>
              </w:rPr>
            </w:pPr>
            <w:r>
              <w:rPr>
                <w:spacing w:val="-2"/>
                <w:sz w:val="20"/>
              </w:rPr>
              <w:t>90.242</w:t>
            </w:r>
          </w:p>
        </w:tc>
        <w:tc>
          <w:tcPr>
            <w:tcW w:w="1624" w:type="dxa"/>
          </w:tcPr>
          <w:p>
            <w:pPr>
              <w:pStyle w:val="TableParagraph"/>
              <w:spacing w:before="13"/>
              <w:ind w:left="422"/>
              <w:jc w:val="left"/>
              <w:rPr>
                <w:sz w:val="20"/>
              </w:rPr>
            </w:pPr>
            <w:r>
              <w:rPr>
                <w:spacing w:val="-2"/>
                <w:sz w:val="20"/>
              </w:rPr>
              <w:t>135.73</w:t>
            </w:r>
          </w:p>
        </w:tc>
        <w:tc>
          <w:tcPr>
            <w:tcW w:w="949" w:type="dxa"/>
          </w:tcPr>
          <w:p>
            <w:pPr>
              <w:pStyle w:val="TableParagraph"/>
              <w:spacing w:before="13"/>
              <w:ind w:left="1" w:right="5"/>
              <w:rPr>
                <w:sz w:val="20"/>
              </w:rPr>
            </w:pPr>
            <w:r>
              <w:rPr>
                <w:spacing w:val="-10"/>
                <w:sz w:val="20"/>
              </w:rPr>
              <w:t>0</w:t>
            </w:r>
          </w:p>
        </w:tc>
      </w:tr>
      <w:tr>
        <w:trPr>
          <w:trHeight w:val="299" w:hRule="atLeast"/>
        </w:trPr>
        <w:tc>
          <w:tcPr>
            <w:tcW w:w="2388" w:type="dxa"/>
          </w:tcPr>
          <w:p>
            <w:pPr>
              <w:pStyle w:val="TableParagraph"/>
              <w:spacing w:before="47"/>
              <w:ind w:left="122"/>
              <w:jc w:val="left"/>
              <w:rPr>
                <w:sz w:val="20"/>
              </w:rPr>
            </w:pPr>
            <w:r>
              <w:rPr>
                <w:spacing w:val="-5"/>
                <w:sz w:val="20"/>
              </w:rPr>
              <w:t>AB</w:t>
            </w:r>
          </w:p>
        </w:tc>
        <w:tc>
          <w:tcPr>
            <w:tcW w:w="1114" w:type="dxa"/>
          </w:tcPr>
          <w:p>
            <w:pPr>
              <w:pStyle w:val="TableParagraph"/>
              <w:spacing w:before="13"/>
              <w:ind w:left="106" w:right="6"/>
              <w:rPr>
                <w:sz w:val="20"/>
              </w:rPr>
            </w:pPr>
            <w:r>
              <w:rPr>
                <w:spacing w:val="-10"/>
                <w:sz w:val="20"/>
              </w:rPr>
              <w:t>1</w:t>
            </w:r>
          </w:p>
        </w:tc>
        <w:tc>
          <w:tcPr>
            <w:tcW w:w="937" w:type="dxa"/>
          </w:tcPr>
          <w:p>
            <w:pPr>
              <w:pStyle w:val="TableParagraph"/>
              <w:spacing w:before="13"/>
              <w:ind w:left="3" w:right="20"/>
              <w:rPr>
                <w:sz w:val="20"/>
              </w:rPr>
            </w:pPr>
            <w:r>
              <w:rPr>
                <w:spacing w:val="-4"/>
                <w:sz w:val="20"/>
              </w:rPr>
              <w:t>0.99</w:t>
            </w:r>
          </w:p>
        </w:tc>
        <w:tc>
          <w:tcPr>
            <w:tcW w:w="1185" w:type="dxa"/>
          </w:tcPr>
          <w:p>
            <w:pPr>
              <w:pStyle w:val="TableParagraph"/>
              <w:spacing w:before="13"/>
              <w:ind w:left="3" w:right="221"/>
              <w:rPr>
                <w:sz w:val="20"/>
              </w:rPr>
            </w:pPr>
            <w:r>
              <w:rPr>
                <w:spacing w:val="-4"/>
                <w:sz w:val="20"/>
              </w:rPr>
              <w:t>0.99</w:t>
            </w:r>
          </w:p>
        </w:tc>
        <w:tc>
          <w:tcPr>
            <w:tcW w:w="1624" w:type="dxa"/>
          </w:tcPr>
          <w:p>
            <w:pPr>
              <w:pStyle w:val="TableParagraph"/>
              <w:spacing w:before="13"/>
              <w:ind w:left="520"/>
              <w:jc w:val="left"/>
              <w:rPr>
                <w:sz w:val="20"/>
              </w:rPr>
            </w:pPr>
            <w:r>
              <w:rPr>
                <w:spacing w:val="-4"/>
                <w:sz w:val="20"/>
              </w:rPr>
              <w:t>1.49</w:t>
            </w:r>
          </w:p>
        </w:tc>
        <w:tc>
          <w:tcPr>
            <w:tcW w:w="949" w:type="dxa"/>
          </w:tcPr>
          <w:p>
            <w:pPr>
              <w:pStyle w:val="TableParagraph"/>
              <w:spacing w:before="13"/>
              <w:ind w:left="3" w:right="5"/>
              <w:rPr>
                <w:sz w:val="20"/>
              </w:rPr>
            </w:pPr>
            <w:r>
              <w:rPr>
                <w:spacing w:val="-2"/>
                <w:sz w:val="20"/>
              </w:rPr>
              <w:t>0.277</w:t>
            </w:r>
          </w:p>
        </w:tc>
      </w:tr>
      <w:tr>
        <w:trPr>
          <w:trHeight w:val="300" w:hRule="atLeast"/>
        </w:trPr>
        <w:tc>
          <w:tcPr>
            <w:tcW w:w="2388" w:type="dxa"/>
          </w:tcPr>
          <w:p>
            <w:pPr>
              <w:pStyle w:val="TableParagraph"/>
              <w:spacing w:before="47"/>
              <w:ind w:left="122"/>
              <w:jc w:val="left"/>
              <w:rPr>
                <w:sz w:val="20"/>
              </w:rPr>
            </w:pPr>
            <w:r>
              <w:rPr>
                <w:spacing w:val="-5"/>
                <w:sz w:val="20"/>
              </w:rPr>
              <w:t>Ac</w:t>
            </w:r>
          </w:p>
        </w:tc>
        <w:tc>
          <w:tcPr>
            <w:tcW w:w="1114" w:type="dxa"/>
          </w:tcPr>
          <w:p>
            <w:pPr>
              <w:pStyle w:val="TableParagraph"/>
              <w:spacing w:before="13"/>
              <w:ind w:left="106" w:right="6"/>
              <w:rPr>
                <w:sz w:val="20"/>
              </w:rPr>
            </w:pPr>
            <w:r>
              <w:rPr>
                <w:spacing w:val="-10"/>
                <w:sz w:val="20"/>
              </w:rPr>
              <w:t>1</w:t>
            </w:r>
          </w:p>
        </w:tc>
        <w:tc>
          <w:tcPr>
            <w:tcW w:w="937" w:type="dxa"/>
          </w:tcPr>
          <w:p>
            <w:pPr>
              <w:pStyle w:val="TableParagraph"/>
              <w:spacing w:before="13"/>
              <w:ind w:left="3" w:right="20"/>
              <w:rPr>
                <w:sz w:val="20"/>
              </w:rPr>
            </w:pPr>
            <w:r>
              <w:rPr>
                <w:spacing w:val="-2"/>
                <w:sz w:val="20"/>
              </w:rPr>
              <w:t>2.806</w:t>
            </w:r>
          </w:p>
        </w:tc>
        <w:tc>
          <w:tcPr>
            <w:tcW w:w="1185" w:type="dxa"/>
          </w:tcPr>
          <w:p>
            <w:pPr>
              <w:pStyle w:val="TableParagraph"/>
              <w:spacing w:before="13"/>
              <w:ind w:left="3" w:right="221"/>
              <w:rPr>
                <w:sz w:val="20"/>
              </w:rPr>
            </w:pPr>
            <w:r>
              <w:rPr>
                <w:spacing w:val="-2"/>
                <w:sz w:val="20"/>
              </w:rPr>
              <w:t>2.806</w:t>
            </w:r>
          </w:p>
        </w:tc>
        <w:tc>
          <w:tcPr>
            <w:tcW w:w="1624" w:type="dxa"/>
          </w:tcPr>
          <w:p>
            <w:pPr>
              <w:pStyle w:val="TableParagraph"/>
              <w:spacing w:before="13"/>
              <w:ind w:left="520"/>
              <w:jc w:val="left"/>
              <w:rPr>
                <w:sz w:val="20"/>
              </w:rPr>
            </w:pPr>
            <w:r>
              <w:rPr>
                <w:spacing w:val="-4"/>
                <w:sz w:val="20"/>
              </w:rPr>
              <w:t>4.22</w:t>
            </w:r>
          </w:p>
        </w:tc>
        <w:tc>
          <w:tcPr>
            <w:tcW w:w="949" w:type="dxa"/>
          </w:tcPr>
          <w:p>
            <w:pPr>
              <w:pStyle w:val="TableParagraph"/>
              <w:spacing w:before="13"/>
              <w:ind w:left="3" w:right="5"/>
              <w:rPr>
                <w:sz w:val="20"/>
              </w:rPr>
            </w:pPr>
            <w:r>
              <w:rPr>
                <w:spacing w:val="-2"/>
                <w:sz w:val="20"/>
              </w:rPr>
              <w:t>0.095</w:t>
            </w:r>
          </w:p>
        </w:tc>
      </w:tr>
      <w:tr>
        <w:trPr>
          <w:trHeight w:val="300" w:hRule="atLeast"/>
        </w:trPr>
        <w:tc>
          <w:tcPr>
            <w:tcW w:w="2388" w:type="dxa"/>
          </w:tcPr>
          <w:p>
            <w:pPr>
              <w:pStyle w:val="TableParagraph"/>
              <w:spacing w:before="47"/>
              <w:ind w:left="122"/>
              <w:jc w:val="left"/>
              <w:rPr>
                <w:sz w:val="20"/>
              </w:rPr>
            </w:pPr>
            <w:r>
              <w:rPr>
                <w:spacing w:val="-5"/>
                <w:sz w:val="20"/>
              </w:rPr>
              <w:t>SM</w:t>
            </w:r>
          </w:p>
        </w:tc>
        <w:tc>
          <w:tcPr>
            <w:tcW w:w="1114" w:type="dxa"/>
          </w:tcPr>
          <w:p>
            <w:pPr>
              <w:pStyle w:val="TableParagraph"/>
              <w:spacing w:before="13"/>
              <w:ind w:left="106" w:right="6"/>
              <w:rPr>
                <w:sz w:val="20"/>
              </w:rPr>
            </w:pPr>
            <w:r>
              <w:rPr>
                <w:spacing w:val="-10"/>
                <w:sz w:val="20"/>
              </w:rPr>
              <w:t>1</w:t>
            </w:r>
          </w:p>
        </w:tc>
        <w:tc>
          <w:tcPr>
            <w:tcW w:w="937" w:type="dxa"/>
          </w:tcPr>
          <w:p>
            <w:pPr>
              <w:pStyle w:val="TableParagraph"/>
              <w:spacing w:before="13"/>
              <w:ind w:left="1" w:right="20"/>
              <w:rPr>
                <w:sz w:val="20"/>
              </w:rPr>
            </w:pPr>
            <w:r>
              <w:rPr>
                <w:spacing w:val="-2"/>
                <w:sz w:val="20"/>
              </w:rPr>
              <w:t>56.927</w:t>
            </w:r>
          </w:p>
        </w:tc>
        <w:tc>
          <w:tcPr>
            <w:tcW w:w="1185" w:type="dxa"/>
          </w:tcPr>
          <w:p>
            <w:pPr>
              <w:pStyle w:val="TableParagraph"/>
              <w:spacing w:before="13"/>
              <w:ind w:right="221"/>
              <w:rPr>
                <w:sz w:val="20"/>
              </w:rPr>
            </w:pPr>
            <w:r>
              <w:rPr>
                <w:spacing w:val="-2"/>
                <w:sz w:val="20"/>
              </w:rPr>
              <w:t>56.927</w:t>
            </w:r>
          </w:p>
        </w:tc>
        <w:tc>
          <w:tcPr>
            <w:tcW w:w="1624" w:type="dxa"/>
          </w:tcPr>
          <w:p>
            <w:pPr>
              <w:pStyle w:val="TableParagraph"/>
              <w:spacing w:before="13"/>
              <w:ind w:left="470"/>
              <w:jc w:val="left"/>
              <w:rPr>
                <w:sz w:val="20"/>
              </w:rPr>
            </w:pPr>
            <w:r>
              <w:rPr>
                <w:spacing w:val="-2"/>
                <w:sz w:val="20"/>
              </w:rPr>
              <w:t>85.62</w:t>
            </w:r>
          </w:p>
        </w:tc>
        <w:tc>
          <w:tcPr>
            <w:tcW w:w="949" w:type="dxa"/>
          </w:tcPr>
          <w:p>
            <w:pPr>
              <w:pStyle w:val="TableParagraph"/>
              <w:spacing w:before="13"/>
              <w:ind w:left="1" w:right="5"/>
              <w:rPr>
                <w:sz w:val="20"/>
              </w:rPr>
            </w:pPr>
            <w:r>
              <w:rPr>
                <w:spacing w:val="-10"/>
                <w:sz w:val="20"/>
              </w:rPr>
              <w:t>0</w:t>
            </w:r>
          </w:p>
        </w:tc>
      </w:tr>
      <w:tr>
        <w:trPr>
          <w:trHeight w:val="300" w:hRule="atLeast"/>
        </w:trPr>
        <w:tc>
          <w:tcPr>
            <w:tcW w:w="2388" w:type="dxa"/>
          </w:tcPr>
          <w:p>
            <w:pPr>
              <w:pStyle w:val="TableParagraph"/>
              <w:spacing w:before="47"/>
              <w:ind w:left="122"/>
              <w:jc w:val="left"/>
              <w:rPr>
                <w:sz w:val="20"/>
              </w:rPr>
            </w:pPr>
            <w:r>
              <w:rPr>
                <w:spacing w:val="-2"/>
                <w:sz w:val="20"/>
              </w:rPr>
              <w:t>Error</w:t>
            </w:r>
          </w:p>
        </w:tc>
        <w:tc>
          <w:tcPr>
            <w:tcW w:w="1114" w:type="dxa"/>
          </w:tcPr>
          <w:p>
            <w:pPr>
              <w:pStyle w:val="TableParagraph"/>
              <w:spacing w:before="13"/>
              <w:ind w:left="106" w:right="6"/>
              <w:rPr>
                <w:sz w:val="20"/>
              </w:rPr>
            </w:pPr>
            <w:r>
              <w:rPr>
                <w:spacing w:val="-10"/>
                <w:sz w:val="20"/>
              </w:rPr>
              <w:t>5</w:t>
            </w:r>
          </w:p>
        </w:tc>
        <w:tc>
          <w:tcPr>
            <w:tcW w:w="937" w:type="dxa"/>
          </w:tcPr>
          <w:p>
            <w:pPr>
              <w:pStyle w:val="TableParagraph"/>
              <w:spacing w:before="13"/>
              <w:ind w:left="3" w:right="20"/>
              <w:rPr>
                <w:sz w:val="20"/>
              </w:rPr>
            </w:pPr>
            <w:r>
              <w:rPr>
                <w:spacing w:val="-2"/>
                <w:sz w:val="20"/>
              </w:rPr>
              <w:t>3.324</w:t>
            </w:r>
          </w:p>
        </w:tc>
        <w:tc>
          <w:tcPr>
            <w:tcW w:w="1185" w:type="dxa"/>
          </w:tcPr>
          <w:p>
            <w:pPr>
              <w:pStyle w:val="TableParagraph"/>
              <w:spacing w:before="13"/>
              <w:ind w:left="3" w:right="221"/>
              <w:rPr>
                <w:sz w:val="20"/>
              </w:rPr>
            </w:pPr>
            <w:r>
              <w:rPr>
                <w:spacing w:val="-2"/>
                <w:sz w:val="20"/>
              </w:rPr>
              <w:t>0.665</w:t>
            </w:r>
          </w:p>
        </w:tc>
        <w:tc>
          <w:tcPr>
            <w:tcW w:w="1624" w:type="dxa"/>
          </w:tcPr>
          <w:p>
            <w:pPr>
              <w:pStyle w:val="TableParagraph"/>
              <w:jc w:val="left"/>
              <w:rPr>
                <w:sz w:val="18"/>
              </w:rPr>
            </w:pPr>
          </w:p>
        </w:tc>
        <w:tc>
          <w:tcPr>
            <w:tcW w:w="949" w:type="dxa"/>
          </w:tcPr>
          <w:p>
            <w:pPr>
              <w:pStyle w:val="TableParagraph"/>
              <w:jc w:val="left"/>
              <w:rPr>
                <w:sz w:val="18"/>
              </w:rPr>
            </w:pPr>
          </w:p>
        </w:tc>
      </w:tr>
      <w:tr>
        <w:trPr>
          <w:trHeight w:val="300" w:hRule="atLeast"/>
        </w:trPr>
        <w:tc>
          <w:tcPr>
            <w:tcW w:w="2388" w:type="dxa"/>
          </w:tcPr>
          <w:p>
            <w:pPr>
              <w:pStyle w:val="TableParagraph"/>
              <w:spacing w:before="47"/>
              <w:ind w:left="122"/>
              <w:jc w:val="left"/>
              <w:rPr>
                <w:sz w:val="20"/>
              </w:rPr>
            </w:pPr>
            <w:r>
              <w:rPr>
                <w:sz w:val="20"/>
              </w:rPr>
              <w:t>Lack</w:t>
            </w:r>
            <w:r>
              <w:rPr>
                <w:spacing w:val="-2"/>
                <w:sz w:val="20"/>
              </w:rPr>
              <w:t> </w:t>
            </w:r>
            <w:r>
              <w:rPr>
                <w:sz w:val="20"/>
              </w:rPr>
              <w:t>of</w:t>
            </w:r>
            <w:r>
              <w:rPr>
                <w:spacing w:val="-4"/>
                <w:sz w:val="20"/>
              </w:rPr>
              <w:t> </w:t>
            </w:r>
            <w:r>
              <w:rPr>
                <w:spacing w:val="-5"/>
                <w:sz w:val="20"/>
              </w:rPr>
              <w:t>fit</w:t>
            </w:r>
          </w:p>
        </w:tc>
        <w:tc>
          <w:tcPr>
            <w:tcW w:w="1114" w:type="dxa"/>
          </w:tcPr>
          <w:p>
            <w:pPr>
              <w:pStyle w:val="TableParagraph"/>
              <w:spacing w:before="14"/>
              <w:ind w:left="106" w:right="6"/>
              <w:rPr>
                <w:sz w:val="20"/>
              </w:rPr>
            </w:pPr>
            <w:r>
              <w:rPr>
                <w:spacing w:val="-10"/>
                <w:sz w:val="20"/>
              </w:rPr>
              <w:t>3</w:t>
            </w:r>
          </w:p>
        </w:tc>
        <w:tc>
          <w:tcPr>
            <w:tcW w:w="937" w:type="dxa"/>
          </w:tcPr>
          <w:p>
            <w:pPr>
              <w:pStyle w:val="TableParagraph"/>
              <w:spacing w:before="14"/>
              <w:ind w:left="3" w:right="20"/>
              <w:rPr>
                <w:sz w:val="20"/>
              </w:rPr>
            </w:pPr>
            <w:r>
              <w:rPr>
                <w:spacing w:val="-2"/>
                <w:sz w:val="20"/>
              </w:rPr>
              <w:t>1.506</w:t>
            </w:r>
          </w:p>
        </w:tc>
        <w:tc>
          <w:tcPr>
            <w:tcW w:w="1185" w:type="dxa"/>
          </w:tcPr>
          <w:p>
            <w:pPr>
              <w:pStyle w:val="TableParagraph"/>
              <w:spacing w:before="14"/>
              <w:ind w:left="3" w:right="221"/>
              <w:rPr>
                <w:sz w:val="20"/>
              </w:rPr>
            </w:pPr>
            <w:r>
              <w:rPr>
                <w:spacing w:val="-2"/>
                <w:sz w:val="20"/>
              </w:rPr>
              <w:t>0.502</w:t>
            </w:r>
          </w:p>
        </w:tc>
        <w:tc>
          <w:tcPr>
            <w:tcW w:w="1624" w:type="dxa"/>
          </w:tcPr>
          <w:p>
            <w:pPr>
              <w:pStyle w:val="TableParagraph"/>
              <w:spacing w:before="14"/>
              <w:ind w:left="520"/>
              <w:jc w:val="left"/>
              <w:rPr>
                <w:sz w:val="20"/>
              </w:rPr>
            </w:pPr>
            <w:r>
              <w:rPr>
                <w:spacing w:val="-4"/>
                <w:sz w:val="20"/>
              </w:rPr>
              <w:t>0.55</w:t>
            </w:r>
          </w:p>
        </w:tc>
        <w:tc>
          <w:tcPr>
            <w:tcW w:w="949" w:type="dxa"/>
          </w:tcPr>
          <w:p>
            <w:pPr>
              <w:pStyle w:val="TableParagraph"/>
              <w:spacing w:before="14"/>
              <w:ind w:left="3" w:right="5"/>
              <w:rPr>
                <w:sz w:val="20"/>
              </w:rPr>
            </w:pPr>
            <w:r>
              <w:rPr>
                <w:spacing w:val="-2"/>
                <w:sz w:val="20"/>
              </w:rPr>
              <w:t>0.695</w:t>
            </w:r>
          </w:p>
        </w:tc>
      </w:tr>
      <w:tr>
        <w:trPr>
          <w:trHeight w:val="300" w:hRule="atLeast"/>
        </w:trPr>
        <w:tc>
          <w:tcPr>
            <w:tcW w:w="2388" w:type="dxa"/>
          </w:tcPr>
          <w:p>
            <w:pPr>
              <w:pStyle w:val="TableParagraph"/>
              <w:spacing w:before="47"/>
              <w:ind w:left="122"/>
              <w:jc w:val="left"/>
              <w:rPr>
                <w:sz w:val="20"/>
              </w:rPr>
            </w:pPr>
            <w:r>
              <w:rPr>
                <w:sz w:val="20"/>
              </w:rPr>
              <w:t>Pure</w:t>
            </w:r>
            <w:r>
              <w:rPr>
                <w:spacing w:val="-4"/>
                <w:sz w:val="20"/>
              </w:rPr>
              <w:t> </w:t>
            </w:r>
            <w:r>
              <w:rPr>
                <w:spacing w:val="-2"/>
                <w:sz w:val="20"/>
              </w:rPr>
              <w:t>Error</w:t>
            </w:r>
          </w:p>
        </w:tc>
        <w:tc>
          <w:tcPr>
            <w:tcW w:w="1114" w:type="dxa"/>
          </w:tcPr>
          <w:p>
            <w:pPr>
              <w:pStyle w:val="TableParagraph"/>
              <w:spacing w:before="13"/>
              <w:ind w:left="106" w:right="6"/>
              <w:rPr>
                <w:sz w:val="20"/>
              </w:rPr>
            </w:pPr>
            <w:r>
              <w:rPr>
                <w:spacing w:val="-10"/>
                <w:sz w:val="20"/>
              </w:rPr>
              <w:t>2</w:t>
            </w:r>
          </w:p>
        </w:tc>
        <w:tc>
          <w:tcPr>
            <w:tcW w:w="937" w:type="dxa"/>
          </w:tcPr>
          <w:p>
            <w:pPr>
              <w:pStyle w:val="TableParagraph"/>
              <w:spacing w:before="13"/>
              <w:ind w:left="3" w:right="20"/>
              <w:rPr>
                <w:sz w:val="20"/>
              </w:rPr>
            </w:pPr>
            <w:r>
              <w:rPr>
                <w:spacing w:val="-2"/>
                <w:sz w:val="20"/>
              </w:rPr>
              <w:t>1.819</w:t>
            </w:r>
          </w:p>
        </w:tc>
        <w:tc>
          <w:tcPr>
            <w:tcW w:w="1185" w:type="dxa"/>
          </w:tcPr>
          <w:p>
            <w:pPr>
              <w:pStyle w:val="TableParagraph"/>
              <w:spacing w:before="13"/>
              <w:ind w:left="3" w:right="221"/>
              <w:rPr>
                <w:sz w:val="20"/>
              </w:rPr>
            </w:pPr>
            <w:r>
              <w:rPr>
                <w:spacing w:val="-2"/>
                <w:sz w:val="20"/>
              </w:rPr>
              <w:t>0.909</w:t>
            </w:r>
          </w:p>
        </w:tc>
        <w:tc>
          <w:tcPr>
            <w:tcW w:w="1624" w:type="dxa"/>
          </w:tcPr>
          <w:p>
            <w:pPr>
              <w:pStyle w:val="TableParagraph"/>
              <w:jc w:val="left"/>
              <w:rPr>
                <w:sz w:val="18"/>
              </w:rPr>
            </w:pPr>
          </w:p>
        </w:tc>
        <w:tc>
          <w:tcPr>
            <w:tcW w:w="949" w:type="dxa"/>
          </w:tcPr>
          <w:p>
            <w:pPr>
              <w:pStyle w:val="TableParagraph"/>
              <w:jc w:val="left"/>
              <w:rPr>
                <w:sz w:val="18"/>
              </w:rPr>
            </w:pPr>
          </w:p>
        </w:tc>
      </w:tr>
      <w:tr>
        <w:trPr>
          <w:trHeight w:val="300" w:hRule="atLeast"/>
        </w:trPr>
        <w:tc>
          <w:tcPr>
            <w:tcW w:w="2388" w:type="dxa"/>
          </w:tcPr>
          <w:p>
            <w:pPr>
              <w:pStyle w:val="TableParagraph"/>
              <w:spacing w:before="47"/>
              <w:ind w:left="122"/>
              <w:jc w:val="left"/>
              <w:rPr>
                <w:sz w:val="20"/>
              </w:rPr>
            </w:pPr>
            <w:r>
              <w:rPr>
                <w:spacing w:val="-2"/>
                <w:sz w:val="20"/>
              </w:rPr>
              <w:t>Total</w:t>
            </w:r>
          </w:p>
        </w:tc>
        <w:tc>
          <w:tcPr>
            <w:tcW w:w="1114" w:type="dxa"/>
          </w:tcPr>
          <w:p>
            <w:pPr>
              <w:pStyle w:val="TableParagraph"/>
              <w:spacing w:before="13"/>
              <w:ind w:left="106"/>
              <w:rPr>
                <w:sz w:val="20"/>
              </w:rPr>
            </w:pPr>
            <w:r>
              <w:rPr>
                <w:spacing w:val="-5"/>
                <w:sz w:val="20"/>
              </w:rPr>
              <w:t>14</w:t>
            </w:r>
          </w:p>
        </w:tc>
        <w:tc>
          <w:tcPr>
            <w:tcW w:w="937" w:type="dxa"/>
          </w:tcPr>
          <w:p>
            <w:pPr>
              <w:pStyle w:val="TableParagraph"/>
              <w:spacing w:before="13"/>
              <w:ind w:right="20"/>
              <w:rPr>
                <w:sz w:val="20"/>
              </w:rPr>
            </w:pPr>
            <w:r>
              <w:rPr>
                <w:spacing w:val="-2"/>
                <w:sz w:val="20"/>
              </w:rPr>
              <w:t>415.298</w:t>
            </w:r>
          </w:p>
        </w:tc>
        <w:tc>
          <w:tcPr>
            <w:tcW w:w="1185" w:type="dxa"/>
          </w:tcPr>
          <w:p>
            <w:pPr>
              <w:pStyle w:val="TableParagraph"/>
              <w:jc w:val="left"/>
              <w:rPr>
                <w:sz w:val="18"/>
              </w:rPr>
            </w:pPr>
          </w:p>
        </w:tc>
        <w:tc>
          <w:tcPr>
            <w:tcW w:w="1624" w:type="dxa"/>
          </w:tcPr>
          <w:p>
            <w:pPr>
              <w:pStyle w:val="TableParagraph"/>
              <w:spacing w:before="13"/>
              <w:ind w:left="194"/>
              <w:jc w:val="left"/>
              <w:rPr>
                <w:sz w:val="20"/>
              </w:rPr>
            </w:pPr>
            <w:r>
              <w:rPr>
                <w:sz w:val="20"/>
              </w:rPr>
              <w:t>Adjusted</w:t>
            </w:r>
            <w:r>
              <w:rPr>
                <w:spacing w:val="-7"/>
                <w:sz w:val="20"/>
              </w:rPr>
              <w:t> </w:t>
            </w:r>
            <w:r>
              <w:rPr>
                <w:spacing w:val="-5"/>
                <w:sz w:val="20"/>
              </w:rPr>
              <w:t>R2</w:t>
            </w:r>
          </w:p>
        </w:tc>
        <w:tc>
          <w:tcPr>
            <w:tcW w:w="949" w:type="dxa"/>
          </w:tcPr>
          <w:p>
            <w:pPr>
              <w:pStyle w:val="TableParagraph"/>
              <w:spacing w:before="13"/>
              <w:ind w:left="2" w:right="5"/>
              <w:rPr>
                <w:sz w:val="20"/>
              </w:rPr>
            </w:pPr>
            <w:r>
              <w:rPr>
                <w:spacing w:val="-2"/>
                <w:sz w:val="20"/>
              </w:rPr>
              <w:t>97.76%</w:t>
            </w:r>
          </w:p>
        </w:tc>
      </w:tr>
      <w:tr>
        <w:trPr>
          <w:trHeight w:val="300" w:hRule="atLeast"/>
        </w:trPr>
        <w:tc>
          <w:tcPr>
            <w:tcW w:w="2388" w:type="dxa"/>
          </w:tcPr>
          <w:p>
            <w:pPr>
              <w:pStyle w:val="TableParagraph"/>
              <w:spacing w:before="47"/>
              <w:ind w:left="122"/>
              <w:jc w:val="left"/>
              <w:rPr>
                <w:sz w:val="20"/>
              </w:rPr>
            </w:pPr>
            <w:r>
              <w:rPr>
                <w:sz w:val="20"/>
              </w:rPr>
              <w:t>Standard</w:t>
            </w:r>
            <w:r>
              <w:rPr>
                <w:spacing w:val="-5"/>
                <w:sz w:val="20"/>
              </w:rPr>
              <w:t> </w:t>
            </w:r>
            <w:r>
              <w:rPr>
                <w:spacing w:val="-2"/>
                <w:sz w:val="20"/>
              </w:rPr>
              <w:t>deviation</w:t>
            </w:r>
          </w:p>
        </w:tc>
        <w:tc>
          <w:tcPr>
            <w:tcW w:w="1114" w:type="dxa"/>
          </w:tcPr>
          <w:p>
            <w:pPr>
              <w:pStyle w:val="TableParagraph"/>
              <w:spacing w:before="13"/>
              <w:ind w:left="106" w:right="3"/>
              <w:rPr>
                <w:sz w:val="20"/>
              </w:rPr>
            </w:pPr>
            <w:r>
              <w:rPr>
                <w:spacing w:val="-2"/>
                <w:sz w:val="20"/>
              </w:rPr>
              <w:t>0.815383</w:t>
            </w:r>
          </w:p>
        </w:tc>
        <w:tc>
          <w:tcPr>
            <w:tcW w:w="937" w:type="dxa"/>
          </w:tcPr>
          <w:p>
            <w:pPr>
              <w:pStyle w:val="TableParagraph"/>
              <w:jc w:val="left"/>
              <w:rPr>
                <w:sz w:val="18"/>
              </w:rPr>
            </w:pPr>
          </w:p>
        </w:tc>
        <w:tc>
          <w:tcPr>
            <w:tcW w:w="1185" w:type="dxa"/>
          </w:tcPr>
          <w:p>
            <w:pPr>
              <w:pStyle w:val="TableParagraph"/>
              <w:jc w:val="left"/>
              <w:rPr>
                <w:sz w:val="18"/>
              </w:rPr>
            </w:pPr>
          </w:p>
        </w:tc>
        <w:tc>
          <w:tcPr>
            <w:tcW w:w="1624" w:type="dxa"/>
          </w:tcPr>
          <w:p>
            <w:pPr>
              <w:pStyle w:val="TableParagraph"/>
              <w:spacing w:before="13"/>
              <w:ind w:left="144"/>
              <w:jc w:val="left"/>
              <w:rPr>
                <w:sz w:val="20"/>
              </w:rPr>
            </w:pPr>
            <w:r>
              <w:rPr>
                <w:sz w:val="20"/>
              </w:rPr>
              <w:t>R2</w:t>
            </w:r>
            <w:r>
              <w:rPr>
                <w:spacing w:val="-3"/>
                <w:sz w:val="20"/>
              </w:rPr>
              <w:t> </w:t>
            </w:r>
            <w:r>
              <w:rPr>
                <w:spacing w:val="-2"/>
                <w:sz w:val="20"/>
              </w:rPr>
              <w:t>Prediction</w:t>
            </w:r>
          </w:p>
        </w:tc>
        <w:tc>
          <w:tcPr>
            <w:tcW w:w="949" w:type="dxa"/>
          </w:tcPr>
          <w:p>
            <w:pPr>
              <w:pStyle w:val="TableParagraph"/>
              <w:spacing w:before="13"/>
              <w:ind w:left="2" w:right="5"/>
              <w:rPr>
                <w:sz w:val="20"/>
              </w:rPr>
            </w:pPr>
            <w:r>
              <w:rPr>
                <w:spacing w:val="-2"/>
                <w:sz w:val="20"/>
              </w:rPr>
              <w:t>93.21%</w:t>
            </w:r>
          </w:p>
        </w:tc>
      </w:tr>
      <w:tr>
        <w:trPr>
          <w:trHeight w:val="313" w:hRule="atLeast"/>
        </w:trPr>
        <w:tc>
          <w:tcPr>
            <w:tcW w:w="2388" w:type="dxa"/>
            <w:tcBorders>
              <w:bottom w:val="single" w:sz="4" w:space="0" w:color="000000"/>
            </w:tcBorders>
          </w:tcPr>
          <w:p>
            <w:pPr>
              <w:pStyle w:val="TableParagraph"/>
              <w:spacing w:before="47"/>
              <w:ind w:left="122"/>
              <w:jc w:val="left"/>
              <w:rPr>
                <w:sz w:val="20"/>
              </w:rPr>
            </w:pPr>
            <w:r>
              <w:rPr>
                <w:spacing w:val="-5"/>
                <w:sz w:val="20"/>
              </w:rPr>
              <w:t>R2</w:t>
            </w:r>
          </w:p>
        </w:tc>
        <w:tc>
          <w:tcPr>
            <w:tcW w:w="1114" w:type="dxa"/>
            <w:tcBorders>
              <w:bottom w:val="single" w:sz="4" w:space="0" w:color="000000"/>
            </w:tcBorders>
          </w:tcPr>
          <w:p>
            <w:pPr>
              <w:pStyle w:val="TableParagraph"/>
              <w:spacing w:before="13"/>
              <w:ind w:left="106" w:right="1"/>
              <w:rPr>
                <w:sz w:val="20"/>
              </w:rPr>
            </w:pPr>
            <w:r>
              <w:rPr>
                <w:spacing w:val="-2"/>
                <w:sz w:val="20"/>
              </w:rPr>
              <w:t>99.20%</w:t>
            </w:r>
          </w:p>
        </w:tc>
        <w:tc>
          <w:tcPr>
            <w:tcW w:w="937" w:type="dxa"/>
            <w:tcBorders>
              <w:bottom w:val="single" w:sz="4" w:space="0" w:color="000000"/>
            </w:tcBorders>
          </w:tcPr>
          <w:p>
            <w:pPr>
              <w:pStyle w:val="TableParagraph"/>
              <w:jc w:val="left"/>
              <w:rPr>
                <w:sz w:val="18"/>
              </w:rPr>
            </w:pPr>
          </w:p>
        </w:tc>
        <w:tc>
          <w:tcPr>
            <w:tcW w:w="2809" w:type="dxa"/>
            <w:gridSpan w:val="2"/>
            <w:tcBorders>
              <w:bottom w:val="single" w:sz="4" w:space="0" w:color="000000"/>
            </w:tcBorders>
          </w:tcPr>
          <w:p>
            <w:pPr>
              <w:pStyle w:val="TableParagraph"/>
              <w:spacing w:before="13"/>
              <w:ind w:left="1096"/>
              <w:jc w:val="left"/>
              <w:rPr>
                <w:sz w:val="20"/>
              </w:rPr>
            </w:pPr>
            <w:r>
              <w:rPr>
                <w:sz w:val="20"/>
              </w:rPr>
              <w:t>Sufficient</w:t>
            </w:r>
            <w:r>
              <w:rPr>
                <w:spacing w:val="-8"/>
                <w:sz w:val="20"/>
              </w:rPr>
              <w:t> </w:t>
            </w:r>
            <w:r>
              <w:rPr>
                <w:spacing w:val="-2"/>
                <w:sz w:val="20"/>
              </w:rPr>
              <w:t>precision</w:t>
            </w:r>
          </w:p>
        </w:tc>
        <w:tc>
          <w:tcPr>
            <w:tcW w:w="949" w:type="dxa"/>
            <w:tcBorders>
              <w:bottom w:val="single" w:sz="4" w:space="0" w:color="000000"/>
            </w:tcBorders>
          </w:tcPr>
          <w:p>
            <w:pPr>
              <w:pStyle w:val="TableParagraph"/>
              <w:spacing w:before="13"/>
              <w:ind w:right="5"/>
              <w:rPr>
                <w:sz w:val="20"/>
              </w:rPr>
            </w:pPr>
            <w:r>
              <w:rPr>
                <w:spacing w:val="-2"/>
                <w:sz w:val="20"/>
              </w:rPr>
              <w:t>28.1822</w:t>
            </w:r>
          </w:p>
        </w:tc>
      </w:tr>
    </w:tbl>
    <w:p>
      <w:pPr>
        <w:pStyle w:val="TableParagraph"/>
        <w:spacing w:after="0"/>
        <w:rPr>
          <w:sz w:val="20"/>
        </w:rPr>
        <w:sectPr>
          <w:type w:val="continuous"/>
          <w:pgSz w:w="12240" w:h="15840"/>
          <w:pgMar w:top="1420" w:bottom="280" w:left="1080" w:right="1080"/>
        </w:sectPr>
      </w:pPr>
    </w:p>
    <w:p>
      <w:pPr>
        <w:pStyle w:val="BodyText"/>
        <w:jc w:val="left"/>
      </w:pPr>
      <w:r>
        <w:rPr/>
        <w:drawing>
          <wp:inline distT="0" distB="0" distL="0" distR="0">
            <wp:extent cx="5945387" cy="2197227"/>
            <wp:effectExtent l="0" t="0" r="0" b="0"/>
            <wp:docPr id="5" name="Image 5" descr="A screenshot of a graph  Description automatically generated"/>
            <wp:cNvGraphicFramePr>
              <a:graphicFrameLocks/>
            </wp:cNvGraphicFramePr>
            <a:graphic>
              <a:graphicData uri="http://schemas.openxmlformats.org/drawingml/2006/picture">
                <pic:pic>
                  <pic:nvPicPr>
                    <pic:cNvPr id="5" name="Image 5" descr="A screenshot of a graph  Description automatically generated"/>
                    <pic:cNvPicPr/>
                  </pic:nvPicPr>
                  <pic:blipFill>
                    <a:blip r:embed="rId10" cstate="print"/>
                    <a:stretch>
                      <a:fillRect/>
                    </a:stretch>
                  </pic:blipFill>
                  <pic:spPr>
                    <a:xfrm>
                      <a:off x="0" y="0"/>
                      <a:ext cx="5945387" cy="2197227"/>
                    </a:xfrm>
                    <a:prstGeom prst="rect">
                      <a:avLst/>
                    </a:prstGeom>
                  </pic:spPr>
                </pic:pic>
              </a:graphicData>
            </a:graphic>
          </wp:inline>
        </w:drawing>
      </w:r>
      <w:r>
        <w:rPr/>
      </w:r>
    </w:p>
    <w:p>
      <w:pPr>
        <w:spacing w:before="152"/>
        <w:ind w:left="1" w:right="0" w:firstLine="0"/>
        <w:jc w:val="center"/>
        <w:rPr>
          <w:sz w:val="18"/>
        </w:rPr>
      </w:pPr>
      <w:r>
        <w:rPr>
          <w:b/>
          <w:sz w:val="18"/>
        </w:rPr>
        <w:t>Image</w:t>
      </w:r>
      <w:r>
        <w:rPr>
          <w:b/>
          <w:spacing w:val="-6"/>
          <w:sz w:val="18"/>
        </w:rPr>
        <w:t> </w:t>
      </w:r>
      <w:r>
        <w:rPr>
          <w:b/>
          <w:sz w:val="18"/>
        </w:rPr>
        <w:t>5.</w:t>
      </w:r>
      <w:r>
        <w:rPr>
          <w:b/>
          <w:spacing w:val="1"/>
          <w:sz w:val="18"/>
        </w:rPr>
        <w:t> </w:t>
      </w:r>
      <w:r>
        <w:rPr>
          <w:sz w:val="18"/>
        </w:rPr>
        <w:t>(a)</w:t>
      </w:r>
      <w:r>
        <w:rPr>
          <w:spacing w:val="-1"/>
          <w:sz w:val="18"/>
        </w:rPr>
        <w:t> </w:t>
      </w:r>
      <w:r>
        <w:rPr>
          <w:sz w:val="18"/>
        </w:rPr>
        <w:t>Normal</w:t>
      </w:r>
      <w:r>
        <w:rPr>
          <w:spacing w:val="-1"/>
          <w:sz w:val="18"/>
        </w:rPr>
        <w:t> </w:t>
      </w:r>
      <w:r>
        <w:rPr>
          <w:sz w:val="18"/>
        </w:rPr>
        <w:t>probability</w:t>
      </w:r>
      <w:r>
        <w:rPr>
          <w:spacing w:val="-4"/>
          <w:sz w:val="18"/>
        </w:rPr>
        <w:t> </w:t>
      </w:r>
      <w:r>
        <w:rPr>
          <w:sz w:val="18"/>
        </w:rPr>
        <w:t>plot</w:t>
      </w:r>
      <w:r>
        <w:rPr>
          <w:spacing w:val="-2"/>
          <w:sz w:val="18"/>
        </w:rPr>
        <w:t> </w:t>
      </w:r>
      <w:r>
        <w:rPr>
          <w:sz w:val="18"/>
        </w:rPr>
        <w:t>of</w:t>
      </w:r>
      <w:r>
        <w:rPr>
          <w:spacing w:val="-1"/>
          <w:sz w:val="18"/>
        </w:rPr>
        <w:t> </w:t>
      </w:r>
      <w:r>
        <w:rPr>
          <w:sz w:val="18"/>
        </w:rPr>
        <w:t>hydrocarbon</w:t>
      </w:r>
      <w:r>
        <w:rPr>
          <w:spacing w:val="-1"/>
          <w:sz w:val="18"/>
        </w:rPr>
        <w:t> </w:t>
      </w:r>
      <w:r>
        <w:rPr>
          <w:sz w:val="18"/>
        </w:rPr>
        <w:t>yield residuals (b)</w:t>
      </w:r>
      <w:r>
        <w:rPr>
          <w:spacing w:val="-1"/>
          <w:sz w:val="18"/>
        </w:rPr>
        <w:t> </w:t>
      </w:r>
      <w:r>
        <w:rPr>
          <w:sz w:val="18"/>
        </w:rPr>
        <w:t>plot</w:t>
      </w:r>
      <w:r>
        <w:rPr>
          <w:spacing w:val="-2"/>
          <w:sz w:val="18"/>
        </w:rPr>
        <w:t> </w:t>
      </w:r>
      <w:r>
        <w:rPr>
          <w:sz w:val="18"/>
        </w:rPr>
        <w:t>of</w:t>
      </w:r>
      <w:r>
        <w:rPr>
          <w:spacing w:val="-3"/>
          <w:sz w:val="18"/>
        </w:rPr>
        <w:t> </w:t>
      </w:r>
      <w:r>
        <w:rPr>
          <w:sz w:val="18"/>
        </w:rPr>
        <w:t>hydrocarbon</w:t>
      </w:r>
      <w:r>
        <w:rPr>
          <w:spacing w:val="-1"/>
          <w:sz w:val="18"/>
        </w:rPr>
        <w:t> </w:t>
      </w:r>
      <w:r>
        <w:rPr>
          <w:sz w:val="18"/>
        </w:rPr>
        <w:t>yield</w:t>
      </w:r>
      <w:r>
        <w:rPr>
          <w:spacing w:val="-1"/>
          <w:sz w:val="18"/>
        </w:rPr>
        <w:t> </w:t>
      </w:r>
      <w:r>
        <w:rPr>
          <w:sz w:val="18"/>
        </w:rPr>
        <w:t>residuals vs.</w:t>
      </w:r>
      <w:r>
        <w:rPr>
          <w:spacing w:val="-2"/>
          <w:sz w:val="18"/>
        </w:rPr>
        <w:t> </w:t>
      </w:r>
      <w:r>
        <w:rPr>
          <w:sz w:val="18"/>
        </w:rPr>
        <w:t>matched</w:t>
      </w:r>
      <w:r>
        <w:rPr>
          <w:spacing w:val="1"/>
          <w:sz w:val="18"/>
        </w:rPr>
        <w:t> </w:t>
      </w:r>
      <w:r>
        <w:rPr>
          <w:spacing w:val="-2"/>
          <w:sz w:val="18"/>
        </w:rPr>
        <w:t>values</w:t>
      </w:r>
    </w:p>
    <w:p>
      <w:pPr>
        <w:pStyle w:val="BodyText"/>
        <w:spacing w:before="31"/>
        <w:ind w:left="0"/>
        <w:jc w:val="left"/>
        <w:rPr>
          <w:sz w:val="18"/>
        </w:rPr>
      </w:pPr>
    </w:p>
    <w:p>
      <w:pPr>
        <w:pStyle w:val="Heading2"/>
      </w:pPr>
      <w:r>
        <w:rPr/>
        <w:t>Influence</w:t>
      </w:r>
      <w:r>
        <w:rPr>
          <w:spacing w:val="-2"/>
        </w:rPr>
        <w:t> </w:t>
      </w:r>
      <w:r>
        <w:rPr/>
        <w:t>of</w:t>
      </w:r>
      <w:r>
        <w:rPr>
          <w:spacing w:val="-1"/>
        </w:rPr>
        <w:t> </w:t>
      </w:r>
      <w:r>
        <w:rPr/>
        <w:t>variables</w:t>
      </w:r>
      <w:r>
        <w:rPr>
          <w:spacing w:val="-1"/>
        </w:rPr>
        <w:t> </w:t>
      </w:r>
      <w:r>
        <w:rPr/>
        <w:t>on</w:t>
      </w:r>
      <w:r>
        <w:rPr>
          <w:spacing w:val="-1"/>
        </w:rPr>
        <w:t> </w:t>
      </w:r>
      <w:r>
        <w:rPr/>
        <w:t>hydrocarbon</w:t>
      </w:r>
      <w:r>
        <w:rPr>
          <w:spacing w:val="-1"/>
        </w:rPr>
        <w:t> </w:t>
      </w:r>
      <w:r>
        <w:rPr>
          <w:spacing w:val="-2"/>
        </w:rPr>
        <w:t>yield</w:t>
      </w:r>
    </w:p>
    <w:p>
      <w:pPr>
        <w:pStyle w:val="BodyText"/>
        <w:spacing w:before="242"/>
        <w:ind w:right="354" w:firstLine="283"/>
      </w:pPr>
      <w:r>
        <w:rPr/>
        <w:t>An optimization study was conducted using the Box-Behnken design to maximize the yield of hydrocarbons</w:t>
      </w:r>
      <w:r>
        <w:rPr>
          <w:spacing w:val="40"/>
        </w:rPr>
        <w:t> </w:t>
      </w:r>
      <w:r>
        <w:rPr/>
        <w:t>from oil sludge. This entailed examining the effects of three distinct combinations of variables. Two-dimensional (2D) contour plots and three-dimensional (3D) response surface plots were employed to illustrate the influence of</w:t>
      </w:r>
      <w:r>
        <w:rPr>
          <w:spacing w:val="40"/>
        </w:rPr>
        <w:t> </w:t>
      </w:r>
      <w:r>
        <w:rPr/>
        <w:t>the three parameters on the hydrocarbon yield. To illustrate the optimal hydrocarbon yields under varying</w:t>
      </w:r>
      <w:r>
        <w:rPr>
          <w:spacing w:val="40"/>
        </w:rPr>
        <w:t> </w:t>
      </w:r>
      <w:r>
        <w:rPr/>
        <w:t>conditions,</w:t>
      </w:r>
      <w:r>
        <w:rPr>
          <w:spacing w:val="-3"/>
        </w:rPr>
        <w:t> </w:t>
      </w:r>
      <w:r>
        <w:rPr/>
        <w:t>plots</w:t>
      </w:r>
      <w:r>
        <w:rPr>
          <w:spacing w:val="-2"/>
        </w:rPr>
        <w:t> </w:t>
      </w:r>
      <w:r>
        <w:rPr/>
        <w:t>were</w:t>
      </w:r>
      <w:r>
        <w:rPr>
          <w:spacing w:val="-3"/>
        </w:rPr>
        <w:t> </w:t>
      </w:r>
      <w:r>
        <w:rPr/>
        <w:t>constructed for</w:t>
      </w:r>
      <w:r>
        <w:rPr>
          <w:spacing w:val="-3"/>
        </w:rPr>
        <w:t> </w:t>
      </w:r>
      <w:r>
        <w:rPr/>
        <w:t>reaction</w:t>
      </w:r>
      <w:r>
        <w:rPr>
          <w:spacing w:val="-2"/>
        </w:rPr>
        <w:t> </w:t>
      </w:r>
      <w:r>
        <w:rPr/>
        <w:t>time</w:t>
      </w:r>
      <w:r>
        <w:rPr>
          <w:spacing w:val="-1"/>
        </w:rPr>
        <w:t> </w:t>
      </w:r>
      <w:r>
        <w:rPr/>
        <w:t>and</w:t>
      </w:r>
      <w:r>
        <w:rPr>
          <w:spacing w:val="-2"/>
        </w:rPr>
        <w:t> </w:t>
      </w:r>
      <w:r>
        <w:rPr/>
        <w:t>reaction temperature,</w:t>
      </w:r>
      <w:r>
        <w:rPr>
          <w:spacing w:val="-2"/>
        </w:rPr>
        <w:t> </w:t>
      </w:r>
      <w:r>
        <w:rPr/>
        <w:t>catalyst</w:t>
      </w:r>
      <w:r>
        <w:rPr>
          <w:spacing w:val="-1"/>
        </w:rPr>
        <w:t> </w:t>
      </w:r>
      <w:r>
        <w:rPr/>
        <w:t>loading and</w:t>
      </w:r>
      <w:r>
        <w:rPr>
          <w:spacing w:val="-2"/>
        </w:rPr>
        <w:t> </w:t>
      </w:r>
      <w:r>
        <w:rPr/>
        <w:t>reaction</w:t>
      </w:r>
      <w:r>
        <w:rPr>
          <w:spacing w:val="-2"/>
        </w:rPr>
        <w:t> </w:t>
      </w:r>
      <w:r>
        <w:rPr/>
        <w:t>time, and catalyst loading and reaction temperature. Figure 6a-b illustrates the interaction between reaction temperature (A) and reaction time (B) on the hydrocarbon yield using a 3D response surface plot and a 2D contour plot, with a constant catalyst loading of 5 g. It can be observed that an increase in reaction temperature and a reduction in reaction time</w:t>
      </w:r>
      <w:r>
        <w:rPr>
          <w:spacing w:val="-1"/>
        </w:rPr>
        <w:t> </w:t>
      </w:r>
      <w:r>
        <w:rPr/>
        <w:t>have</w:t>
      </w:r>
      <w:r>
        <w:rPr>
          <w:spacing w:val="-1"/>
        </w:rPr>
        <w:t> </w:t>
      </w:r>
      <w:r>
        <w:rPr/>
        <w:t>a</w:t>
      </w:r>
      <w:r>
        <w:rPr>
          <w:spacing w:val="-1"/>
        </w:rPr>
        <w:t> </w:t>
      </w:r>
      <w:r>
        <w:rPr/>
        <w:t>beneficial</w:t>
      </w:r>
      <w:r>
        <w:rPr>
          <w:spacing w:val="-2"/>
        </w:rPr>
        <w:t> </w:t>
      </w:r>
      <w:r>
        <w:rPr/>
        <w:t>effect</w:t>
      </w:r>
      <w:r>
        <w:rPr>
          <w:spacing w:val="-2"/>
        </w:rPr>
        <w:t> </w:t>
      </w:r>
      <w:r>
        <w:rPr/>
        <w:t>on the</w:t>
      </w:r>
      <w:r>
        <w:rPr>
          <w:spacing w:val="-1"/>
        </w:rPr>
        <w:t> </w:t>
      </w:r>
      <w:r>
        <w:rPr/>
        <w:t>reaction.</w:t>
      </w:r>
      <w:r>
        <w:rPr>
          <w:spacing w:val="-1"/>
        </w:rPr>
        <w:t> </w:t>
      </w:r>
      <w:r>
        <w:rPr/>
        <w:t>It</w:t>
      </w:r>
      <w:r>
        <w:rPr>
          <w:spacing w:val="-2"/>
        </w:rPr>
        <w:t> </w:t>
      </w:r>
      <w:r>
        <w:rPr/>
        <w:t>can be</w:t>
      </w:r>
      <w:r>
        <w:rPr>
          <w:spacing w:val="-1"/>
        </w:rPr>
        <w:t> </w:t>
      </w:r>
      <w:r>
        <w:rPr/>
        <w:t>observed that</w:t>
      </w:r>
      <w:r>
        <w:rPr>
          <w:spacing w:val="-1"/>
        </w:rPr>
        <w:t> </w:t>
      </w:r>
      <w:r>
        <w:rPr/>
        <w:t>the</w:t>
      </w:r>
      <w:r>
        <w:rPr>
          <w:spacing w:val="-1"/>
        </w:rPr>
        <w:t> </w:t>
      </w:r>
      <w:r>
        <w:rPr/>
        <w:t>hydrocarbon yield does</w:t>
      </w:r>
      <w:r>
        <w:rPr>
          <w:spacing w:val="-2"/>
        </w:rPr>
        <w:t> </w:t>
      </w:r>
      <w:r>
        <w:rPr/>
        <w:t>not</w:t>
      </w:r>
      <w:r>
        <w:rPr>
          <w:spacing w:val="-2"/>
        </w:rPr>
        <w:t> </w:t>
      </w:r>
      <w:r>
        <w:rPr/>
        <w:t>increase with an extension of the reaction time in the process.</w:t>
      </w:r>
    </w:p>
    <w:p>
      <w:pPr>
        <w:pStyle w:val="BodyText"/>
        <w:ind w:right="356" w:firstLine="283"/>
      </w:pPr>
      <w:r>
        <w:rPr/>
        <w:t>Conversely,</w:t>
      </w:r>
      <w:r>
        <w:rPr>
          <w:spacing w:val="-2"/>
        </w:rPr>
        <w:t> </w:t>
      </w:r>
      <w:r>
        <w:rPr/>
        <w:t>the</w:t>
      </w:r>
      <w:r>
        <w:rPr>
          <w:spacing w:val="-2"/>
        </w:rPr>
        <w:t> </w:t>
      </w:r>
      <w:r>
        <w:rPr/>
        <w:t>rapid</w:t>
      </w:r>
      <w:r>
        <w:rPr>
          <w:spacing w:val="-2"/>
        </w:rPr>
        <w:t> </w:t>
      </w:r>
      <w:r>
        <w:rPr/>
        <w:t>increase</w:t>
      </w:r>
      <w:r>
        <w:rPr>
          <w:spacing w:val="-2"/>
        </w:rPr>
        <w:t> </w:t>
      </w:r>
      <w:r>
        <w:rPr/>
        <w:t>in</w:t>
      </w:r>
      <w:r>
        <w:rPr>
          <w:spacing w:val="-2"/>
        </w:rPr>
        <w:t> </w:t>
      </w:r>
      <w:r>
        <w:rPr/>
        <w:t>reaction</w:t>
      </w:r>
      <w:r>
        <w:rPr>
          <w:spacing w:val="-2"/>
        </w:rPr>
        <w:t> </w:t>
      </w:r>
      <w:r>
        <w:rPr/>
        <w:t>activity</w:t>
      </w:r>
      <w:r>
        <w:rPr>
          <w:spacing w:val="-2"/>
        </w:rPr>
        <w:t> </w:t>
      </w:r>
      <w:r>
        <w:rPr/>
        <w:t>is</w:t>
      </w:r>
      <w:r>
        <w:rPr>
          <w:spacing w:val="-3"/>
        </w:rPr>
        <w:t> </w:t>
      </w:r>
      <w:r>
        <w:rPr/>
        <w:t>largely</w:t>
      </w:r>
      <w:r>
        <w:rPr>
          <w:spacing w:val="-3"/>
        </w:rPr>
        <w:t> </w:t>
      </w:r>
      <w:r>
        <w:rPr/>
        <w:t>attributable</w:t>
      </w:r>
      <w:r>
        <w:rPr>
          <w:spacing w:val="-2"/>
        </w:rPr>
        <w:t> </w:t>
      </w:r>
      <w:r>
        <w:rPr/>
        <w:t>to</w:t>
      </w:r>
      <w:r>
        <w:rPr>
          <w:spacing w:val="-2"/>
        </w:rPr>
        <w:t> </w:t>
      </w:r>
      <w:r>
        <w:rPr/>
        <w:t>the</w:t>
      </w:r>
      <w:r>
        <w:rPr>
          <w:spacing w:val="-2"/>
        </w:rPr>
        <w:t> </w:t>
      </w:r>
      <w:r>
        <w:rPr/>
        <w:t>elevated</w:t>
      </w:r>
      <w:r>
        <w:rPr>
          <w:spacing w:val="-2"/>
        </w:rPr>
        <w:t> </w:t>
      </w:r>
      <w:r>
        <w:rPr/>
        <w:t>reaction</w:t>
      </w:r>
      <w:r>
        <w:rPr>
          <w:spacing w:val="-2"/>
        </w:rPr>
        <w:t> </w:t>
      </w:r>
      <w:r>
        <w:rPr/>
        <w:t>temperature</w:t>
      </w:r>
      <w:r>
        <w:rPr>
          <w:spacing w:val="-4"/>
        </w:rPr>
        <w:t> </w:t>
      </w:r>
      <w:r>
        <w:rPr/>
        <w:t>[28]. Furthermore, elevated temperatures can facilitate cracking events by inducing the cleavage of C-C bonds, resulting</w:t>
      </w:r>
      <w:r>
        <w:rPr>
          <w:spacing w:val="40"/>
        </w:rPr>
        <w:t> </w:t>
      </w:r>
      <w:r>
        <w:rPr/>
        <w:t>in the formation of shorter hydrocarbon chains [29]. The results from the Box-Behnken design indicate that a reaction temperature of 250-298°C, a catalyst loading of 5 g, and a reaction period of 3.1-4.2 hours are optimal for achieving hydrocarbon yields exceeding 88%.</w:t>
      </w:r>
    </w:p>
    <w:p>
      <w:pPr>
        <w:pStyle w:val="BodyText"/>
        <w:ind w:right="354" w:firstLine="283"/>
      </w:pPr>
      <w:r>
        <w:rPr/>
        <w:t>Figures 6c and 6d illustrate the 3D response plots and 2D contour plots, respectively, for the interaction of reaction time (B) and catalyst loading (C) on hydrocarbon yield, with the temperature set to 275°C. The results demonstrate that the maximum hydrocarbon yield exceeds 85% when the catalyst loading is within the range of 3.9 to 6.7</w:t>
      </w:r>
      <w:r>
        <w:rPr>
          <w:spacing w:val="-1"/>
        </w:rPr>
        <w:t> </w:t>
      </w:r>
      <w:r>
        <w:rPr/>
        <w:t>grams and</w:t>
      </w:r>
      <w:r>
        <w:rPr>
          <w:spacing w:val="-1"/>
        </w:rPr>
        <w:t> </w:t>
      </w:r>
      <w:r>
        <w:rPr/>
        <w:t>the</w:t>
      </w:r>
      <w:r>
        <w:rPr>
          <w:spacing w:val="-2"/>
        </w:rPr>
        <w:t> </w:t>
      </w:r>
      <w:r>
        <w:rPr/>
        <w:t>reaction</w:t>
      </w:r>
      <w:r>
        <w:rPr>
          <w:spacing w:val="-1"/>
        </w:rPr>
        <w:t> </w:t>
      </w:r>
      <w:r>
        <w:rPr/>
        <w:t>time is</w:t>
      </w:r>
      <w:r>
        <w:rPr>
          <w:spacing w:val="-1"/>
        </w:rPr>
        <w:t> </w:t>
      </w:r>
      <w:r>
        <w:rPr/>
        <w:t>between</w:t>
      </w:r>
      <w:r>
        <w:rPr>
          <w:spacing w:val="-1"/>
        </w:rPr>
        <w:t> </w:t>
      </w:r>
      <w:r>
        <w:rPr/>
        <w:t>3.5</w:t>
      </w:r>
      <w:r>
        <w:rPr>
          <w:spacing w:val="-1"/>
        </w:rPr>
        <w:t> </w:t>
      </w:r>
      <w:r>
        <w:rPr/>
        <w:t>and</w:t>
      </w:r>
      <w:r>
        <w:rPr>
          <w:spacing w:val="-1"/>
        </w:rPr>
        <w:t> </w:t>
      </w:r>
      <w:r>
        <w:rPr/>
        <w:t>4.6</w:t>
      </w:r>
      <w:r>
        <w:rPr>
          <w:spacing w:val="-1"/>
        </w:rPr>
        <w:t> </w:t>
      </w:r>
      <w:r>
        <w:rPr/>
        <w:t>hours.</w:t>
      </w:r>
      <w:r>
        <w:rPr>
          <w:spacing w:val="-2"/>
        </w:rPr>
        <w:t> </w:t>
      </w:r>
      <w:r>
        <w:rPr/>
        <w:t>Nevertheless,</w:t>
      </w:r>
      <w:r>
        <w:rPr>
          <w:spacing w:val="-2"/>
        </w:rPr>
        <w:t> </w:t>
      </w:r>
      <w:r>
        <w:rPr/>
        <w:t>an</w:t>
      </w:r>
      <w:r>
        <w:rPr>
          <w:spacing w:val="-1"/>
        </w:rPr>
        <w:t> </w:t>
      </w:r>
      <w:r>
        <w:rPr/>
        <w:t>increase in</w:t>
      </w:r>
      <w:r>
        <w:rPr>
          <w:spacing w:val="-1"/>
        </w:rPr>
        <w:t> </w:t>
      </w:r>
      <w:r>
        <w:rPr/>
        <w:t>the</w:t>
      </w:r>
      <w:r>
        <w:rPr>
          <w:spacing w:val="-2"/>
        </w:rPr>
        <w:t> </w:t>
      </w:r>
      <w:r>
        <w:rPr/>
        <w:t>catalyst</w:t>
      </w:r>
      <w:r>
        <w:rPr>
          <w:spacing w:val="-3"/>
        </w:rPr>
        <w:t> </w:t>
      </w:r>
      <w:r>
        <w:rPr/>
        <w:t>loading</w:t>
      </w:r>
      <w:r>
        <w:rPr>
          <w:spacing w:val="-1"/>
        </w:rPr>
        <w:t> </w:t>
      </w:r>
      <w:r>
        <w:rPr/>
        <w:t>and reaction time reduced the hydrocarbon yield. This finding is consistent with the negative interaction of BC in Equation (4), which indicates that increasing both parameters simultaneously will reduce hydrocarbon yield. The reduction</w:t>
      </w:r>
      <w:r>
        <w:rPr>
          <w:spacing w:val="-3"/>
        </w:rPr>
        <w:t> </w:t>
      </w:r>
      <w:r>
        <w:rPr/>
        <w:t>in</w:t>
      </w:r>
      <w:r>
        <w:rPr>
          <w:spacing w:val="-3"/>
        </w:rPr>
        <w:t> </w:t>
      </w:r>
      <w:r>
        <w:rPr/>
        <w:t>hydrocarbon</w:t>
      </w:r>
      <w:r>
        <w:rPr>
          <w:spacing w:val="-3"/>
        </w:rPr>
        <w:t> </w:t>
      </w:r>
      <w:r>
        <w:rPr/>
        <w:t>yield</w:t>
      </w:r>
      <w:r>
        <w:rPr>
          <w:spacing w:val="-3"/>
        </w:rPr>
        <w:t> </w:t>
      </w:r>
      <w:r>
        <w:rPr/>
        <w:t>with</w:t>
      </w:r>
      <w:r>
        <w:rPr>
          <w:spacing w:val="-3"/>
        </w:rPr>
        <w:t> </w:t>
      </w:r>
      <w:r>
        <w:rPr/>
        <w:t>increasing</w:t>
      </w:r>
      <w:r>
        <w:rPr>
          <w:spacing w:val="-3"/>
        </w:rPr>
        <w:t> </w:t>
      </w:r>
      <w:r>
        <w:rPr/>
        <w:t>reaction</w:t>
      </w:r>
      <w:r>
        <w:rPr>
          <w:spacing w:val="-3"/>
        </w:rPr>
        <w:t> </w:t>
      </w:r>
      <w:r>
        <w:rPr/>
        <w:t>time</w:t>
      </w:r>
      <w:r>
        <w:rPr>
          <w:spacing w:val="-4"/>
        </w:rPr>
        <w:t> </w:t>
      </w:r>
      <w:r>
        <w:rPr/>
        <w:t>is</w:t>
      </w:r>
      <w:r>
        <w:rPr>
          <w:spacing w:val="-5"/>
        </w:rPr>
        <w:t> </w:t>
      </w:r>
      <w:r>
        <w:rPr/>
        <w:t>attributed</w:t>
      </w:r>
      <w:r>
        <w:rPr>
          <w:spacing w:val="-3"/>
        </w:rPr>
        <w:t> </w:t>
      </w:r>
      <w:r>
        <w:rPr/>
        <w:t>to unfavorable</w:t>
      </w:r>
      <w:r>
        <w:rPr>
          <w:spacing w:val="-4"/>
        </w:rPr>
        <w:t> </w:t>
      </w:r>
      <w:r>
        <w:rPr/>
        <w:t>side</w:t>
      </w:r>
      <w:r>
        <w:rPr>
          <w:spacing w:val="-4"/>
        </w:rPr>
        <w:t> </w:t>
      </w:r>
      <w:r>
        <w:rPr/>
        <w:t>reactions,</w:t>
      </w:r>
      <w:r>
        <w:rPr>
          <w:spacing w:val="-4"/>
        </w:rPr>
        <w:t> </w:t>
      </w:r>
      <w:r>
        <w:rPr/>
        <w:t>such</w:t>
      </w:r>
      <w:r>
        <w:rPr>
          <w:spacing w:val="-3"/>
        </w:rPr>
        <w:t> </w:t>
      </w:r>
      <w:r>
        <w:rPr/>
        <w:t>as</w:t>
      </w:r>
      <w:r>
        <w:rPr>
          <w:spacing w:val="-5"/>
        </w:rPr>
        <w:t> </w:t>
      </w:r>
      <w:r>
        <w:rPr/>
        <w:t>over- cracking into lighter fractions that become</w:t>
      </w:r>
      <w:r>
        <w:rPr>
          <w:spacing w:val="-1"/>
        </w:rPr>
        <w:t> </w:t>
      </w:r>
      <w:r>
        <w:rPr/>
        <w:t>gaseous instead of liquid hydrocarbons. In addition, an extended reaction time results in the catalyst's deactivation due to coke deposition, which reduces the reaction activity [30].</w:t>
      </w:r>
    </w:p>
    <w:p>
      <w:pPr>
        <w:pStyle w:val="BodyText"/>
        <w:ind w:left="0"/>
        <w:jc w:val="left"/>
      </w:pPr>
    </w:p>
    <w:p>
      <w:pPr>
        <w:spacing w:before="0"/>
        <w:ind w:left="2" w:right="0" w:firstLine="0"/>
        <w:jc w:val="center"/>
        <w:rPr>
          <w:sz w:val="20"/>
        </w:rPr>
      </w:pPr>
      <w:r>
        <w:rPr>
          <w:sz w:val="24"/>
        </w:rPr>
        <w:t>Hydrocarbon</w:t>
      </w:r>
      <w:r>
        <w:rPr>
          <w:spacing w:val="-4"/>
          <w:sz w:val="24"/>
        </w:rPr>
        <w:t> </w:t>
      </w:r>
      <w:r>
        <w:rPr>
          <w:sz w:val="24"/>
        </w:rPr>
        <w:t>yield</w:t>
      </w:r>
      <w:r>
        <w:rPr>
          <w:spacing w:val="-3"/>
          <w:sz w:val="24"/>
        </w:rPr>
        <w:t> </w:t>
      </w:r>
      <w:r>
        <w:rPr>
          <w:sz w:val="24"/>
        </w:rPr>
        <w:t>=</w:t>
      </w:r>
      <w:r>
        <w:rPr>
          <w:spacing w:val="-2"/>
          <w:sz w:val="24"/>
        </w:rPr>
        <w:t> </w:t>
      </w:r>
      <w:r>
        <w:rPr>
          <w:sz w:val="20"/>
        </w:rPr>
        <w:t>-169.5</w:t>
      </w:r>
      <w:r>
        <w:rPr>
          <w:spacing w:val="-2"/>
          <w:sz w:val="20"/>
        </w:rPr>
        <w:t> </w:t>
      </w:r>
      <w:r>
        <w:rPr>
          <w:sz w:val="20"/>
        </w:rPr>
        <w:t>+</w:t>
      </w:r>
      <w:r>
        <w:rPr>
          <w:spacing w:val="-2"/>
          <w:sz w:val="20"/>
        </w:rPr>
        <w:t> </w:t>
      </w:r>
      <w:r>
        <w:rPr>
          <w:sz w:val="20"/>
        </w:rPr>
        <w:t>0.805</w:t>
      </w:r>
      <w:r>
        <w:rPr>
          <w:spacing w:val="-1"/>
          <w:sz w:val="20"/>
        </w:rPr>
        <w:t> </w:t>
      </w:r>
      <w:r>
        <w:rPr>
          <w:sz w:val="20"/>
        </w:rPr>
        <w:t>A</w:t>
      </w:r>
      <w:r>
        <w:rPr>
          <w:spacing w:val="-2"/>
          <w:sz w:val="20"/>
        </w:rPr>
        <w:t> </w:t>
      </w:r>
      <w:r>
        <w:rPr>
          <w:sz w:val="20"/>
        </w:rPr>
        <w:t>+</w:t>
      </w:r>
      <w:r>
        <w:rPr>
          <w:spacing w:val="-4"/>
          <w:sz w:val="20"/>
        </w:rPr>
        <w:t> </w:t>
      </w:r>
      <w:r>
        <w:rPr>
          <w:sz w:val="20"/>
        </w:rPr>
        <w:t>53.01</w:t>
      </w:r>
      <w:r>
        <w:rPr>
          <w:spacing w:val="-2"/>
          <w:sz w:val="20"/>
        </w:rPr>
        <w:t> </w:t>
      </w:r>
      <w:r>
        <w:rPr>
          <w:sz w:val="20"/>
        </w:rPr>
        <w:t>B</w:t>
      </w:r>
      <w:r>
        <w:rPr>
          <w:spacing w:val="-3"/>
          <w:sz w:val="20"/>
        </w:rPr>
        <w:t> </w:t>
      </w:r>
      <w:r>
        <w:rPr>
          <w:sz w:val="20"/>
        </w:rPr>
        <w:t>+</w:t>
      </w:r>
      <w:r>
        <w:rPr>
          <w:spacing w:val="-2"/>
          <w:sz w:val="20"/>
        </w:rPr>
        <w:t> </w:t>
      </w:r>
      <w:r>
        <w:rPr>
          <w:sz w:val="20"/>
        </w:rPr>
        <w:t>23.32</w:t>
      </w:r>
      <w:r>
        <w:rPr>
          <w:spacing w:val="-1"/>
          <w:sz w:val="20"/>
        </w:rPr>
        <w:t> </w:t>
      </w:r>
      <w:r>
        <w:rPr>
          <w:sz w:val="20"/>
        </w:rPr>
        <w:t>C</w:t>
      </w:r>
      <w:r>
        <w:rPr>
          <w:spacing w:val="2"/>
          <w:sz w:val="20"/>
        </w:rPr>
        <w:t> </w:t>
      </w:r>
      <w:r>
        <w:rPr>
          <w:sz w:val="20"/>
        </w:rPr>
        <w:t>–</w:t>
      </w:r>
      <w:r>
        <w:rPr>
          <w:spacing w:val="-1"/>
          <w:sz w:val="20"/>
        </w:rPr>
        <w:t> </w:t>
      </w:r>
      <w:r>
        <w:rPr>
          <w:sz w:val="20"/>
        </w:rPr>
        <w:t>0.001246</w:t>
      </w:r>
      <w:r>
        <w:rPr>
          <w:spacing w:val="-1"/>
          <w:sz w:val="20"/>
        </w:rPr>
        <w:t> </w:t>
      </w:r>
      <w:r>
        <w:rPr>
          <w:sz w:val="20"/>
        </w:rPr>
        <w:t>A</w:t>
      </w:r>
      <w:r>
        <w:rPr>
          <w:sz w:val="20"/>
          <w:vertAlign w:val="superscript"/>
        </w:rPr>
        <w:t>2</w:t>
      </w:r>
      <w:r>
        <w:rPr>
          <w:spacing w:val="-2"/>
          <w:sz w:val="20"/>
          <w:vertAlign w:val="baseline"/>
        </w:rPr>
        <w:t> </w:t>
      </w:r>
      <w:r>
        <w:rPr>
          <w:sz w:val="20"/>
          <w:vertAlign w:val="baseline"/>
        </w:rPr>
        <w:t>–</w:t>
      </w:r>
      <w:r>
        <w:rPr>
          <w:spacing w:val="-4"/>
          <w:sz w:val="20"/>
          <w:vertAlign w:val="baseline"/>
        </w:rPr>
        <w:t> </w:t>
      </w:r>
      <w:r>
        <w:rPr>
          <w:sz w:val="20"/>
          <w:vertAlign w:val="baseline"/>
        </w:rPr>
        <w:t>5.244</w:t>
      </w:r>
      <w:r>
        <w:rPr>
          <w:spacing w:val="-1"/>
          <w:sz w:val="20"/>
          <w:vertAlign w:val="baseline"/>
        </w:rPr>
        <w:t> </w:t>
      </w:r>
      <w:r>
        <w:rPr>
          <w:spacing w:val="-5"/>
          <w:sz w:val="20"/>
          <w:vertAlign w:val="baseline"/>
        </w:rPr>
        <w:t>B</w:t>
      </w:r>
      <w:r>
        <w:rPr>
          <w:spacing w:val="-5"/>
          <w:sz w:val="20"/>
          <w:vertAlign w:val="superscript"/>
        </w:rPr>
        <w:t>2</w:t>
      </w:r>
    </w:p>
    <w:p>
      <w:pPr>
        <w:pStyle w:val="BodyText"/>
        <w:tabs>
          <w:tab w:pos="9012" w:val="left" w:leader="none"/>
        </w:tabs>
        <w:spacing w:before="2"/>
        <w:ind w:left="3105"/>
        <w:jc w:val="center"/>
      </w:pPr>
      <w:r>
        <w:rPr/>
        <w:t>-</w:t>
      </w:r>
      <w:r>
        <w:rPr>
          <w:spacing w:val="-5"/>
        </w:rPr>
        <w:t> </w:t>
      </w:r>
      <w:r>
        <w:rPr/>
        <w:t>1.236</w:t>
      </w:r>
      <w:r>
        <w:rPr>
          <w:spacing w:val="-2"/>
        </w:rPr>
        <w:t> </w:t>
      </w:r>
      <w:r>
        <w:rPr/>
        <w:t>C</w:t>
      </w:r>
      <w:r>
        <w:rPr>
          <w:vertAlign w:val="superscript"/>
        </w:rPr>
        <w:t>2</w:t>
      </w:r>
      <w:r>
        <w:rPr>
          <w:spacing w:val="-3"/>
          <w:vertAlign w:val="baseline"/>
        </w:rPr>
        <w:t> </w:t>
      </w:r>
      <w:r>
        <w:rPr>
          <w:vertAlign w:val="baseline"/>
        </w:rPr>
        <w:t>–</w:t>
      </w:r>
      <w:r>
        <w:rPr>
          <w:spacing w:val="-4"/>
          <w:vertAlign w:val="baseline"/>
        </w:rPr>
        <w:t> </w:t>
      </w:r>
      <w:r>
        <w:rPr>
          <w:vertAlign w:val="baseline"/>
        </w:rPr>
        <w:t>0.0199</w:t>
      </w:r>
      <w:r>
        <w:rPr>
          <w:spacing w:val="-2"/>
          <w:vertAlign w:val="baseline"/>
        </w:rPr>
        <w:t> </w:t>
      </w:r>
      <w:r>
        <w:rPr>
          <w:vertAlign w:val="baseline"/>
        </w:rPr>
        <w:t>AB</w:t>
      </w:r>
      <w:r>
        <w:rPr>
          <w:spacing w:val="-2"/>
          <w:vertAlign w:val="baseline"/>
        </w:rPr>
        <w:t> </w:t>
      </w:r>
      <w:r>
        <w:rPr>
          <w:vertAlign w:val="baseline"/>
        </w:rPr>
        <w:t>–</w:t>
      </w:r>
      <w:r>
        <w:rPr>
          <w:spacing w:val="-2"/>
          <w:vertAlign w:val="baseline"/>
        </w:rPr>
        <w:t> </w:t>
      </w:r>
      <w:r>
        <w:rPr>
          <w:vertAlign w:val="baseline"/>
        </w:rPr>
        <w:t>0.01675</w:t>
      </w:r>
      <w:r>
        <w:rPr>
          <w:spacing w:val="-2"/>
          <w:vertAlign w:val="baseline"/>
        </w:rPr>
        <w:t> </w:t>
      </w:r>
      <w:r>
        <w:rPr>
          <w:vertAlign w:val="baseline"/>
        </w:rPr>
        <w:t>AC</w:t>
      </w:r>
      <w:r>
        <w:rPr>
          <w:spacing w:val="-2"/>
          <w:vertAlign w:val="baseline"/>
        </w:rPr>
        <w:t> </w:t>
      </w:r>
      <w:r>
        <w:rPr>
          <w:vertAlign w:val="baseline"/>
        </w:rPr>
        <w:t>–</w:t>
      </w:r>
      <w:r>
        <w:rPr>
          <w:spacing w:val="-4"/>
          <w:vertAlign w:val="baseline"/>
        </w:rPr>
        <w:t> </w:t>
      </w:r>
      <w:r>
        <w:rPr>
          <w:vertAlign w:val="baseline"/>
        </w:rPr>
        <w:t>1.886</w:t>
      </w:r>
      <w:r>
        <w:rPr>
          <w:spacing w:val="-1"/>
          <w:vertAlign w:val="baseline"/>
        </w:rPr>
        <w:t> </w:t>
      </w:r>
      <w:r>
        <w:rPr>
          <w:spacing w:val="-5"/>
          <w:vertAlign w:val="baseline"/>
        </w:rPr>
        <w:t>BC</w:t>
      </w:r>
      <w:r>
        <w:rPr>
          <w:vertAlign w:val="baseline"/>
        </w:rPr>
        <w:tab/>
      </w:r>
      <w:r>
        <w:rPr>
          <w:spacing w:val="-5"/>
          <w:vertAlign w:val="baseline"/>
        </w:rPr>
        <w:t>(4)</w:t>
      </w:r>
    </w:p>
    <w:p>
      <w:pPr>
        <w:pStyle w:val="BodyText"/>
        <w:spacing w:before="228"/>
        <w:ind w:right="369" w:firstLine="283"/>
      </w:pPr>
      <w:r>
        <w:rPr/>
        <w:t>Figures</w:t>
      </w:r>
      <w:r>
        <w:rPr>
          <w:spacing w:val="-1"/>
        </w:rPr>
        <w:t> </w:t>
      </w:r>
      <w:r>
        <w:rPr/>
        <w:t>6e-f illustrate the</w:t>
      </w:r>
      <w:r>
        <w:rPr>
          <w:spacing w:val="-1"/>
        </w:rPr>
        <w:t> </w:t>
      </w:r>
      <w:r>
        <w:rPr/>
        <w:t>effects</w:t>
      </w:r>
      <w:r>
        <w:rPr>
          <w:spacing w:val="-2"/>
        </w:rPr>
        <w:t> </w:t>
      </w:r>
      <w:r>
        <w:rPr/>
        <w:t>of reaction temperature</w:t>
      </w:r>
      <w:r>
        <w:rPr>
          <w:spacing w:val="-1"/>
        </w:rPr>
        <w:t> </w:t>
      </w:r>
      <w:r>
        <w:rPr/>
        <w:t>(A) and catalyst</w:t>
      </w:r>
      <w:r>
        <w:rPr>
          <w:spacing w:val="-1"/>
        </w:rPr>
        <w:t> </w:t>
      </w:r>
      <w:r>
        <w:rPr/>
        <w:t>loading (C) on hydrocarbon</w:t>
      </w:r>
      <w:r>
        <w:rPr>
          <w:spacing w:val="-2"/>
        </w:rPr>
        <w:t> </w:t>
      </w:r>
      <w:r>
        <w:rPr/>
        <w:t>yield,</w:t>
      </w:r>
      <w:r>
        <w:rPr>
          <w:spacing w:val="-1"/>
        </w:rPr>
        <w:t> </w:t>
      </w:r>
      <w:r>
        <w:rPr/>
        <w:t>with a constant reaction time of 4 hours, as depicted in 3D response surface plots and 2D contour plots. The results demonstrate</w:t>
      </w:r>
      <w:r>
        <w:rPr>
          <w:spacing w:val="7"/>
        </w:rPr>
        <w:t> </w:t>
      </w:r>
      <w:r>
        <w:rPr/>
        <w:t>a</w:t>
      </w:r>
      <w:r>
        <w:rPr>
          <w:spacing w:val="7"/>
        </w:rPr>
        <w:t> </w:t>
      </w:r>
      <w:r>
        <w:rPr/>
        <w:t>positive</w:t>
      </w:r>
      <w:r>
        <w:rPr>
          <w:spacing w:val="7"/>
        </w:rPr>
        <w:t> </w:t>
      </w:r>
      <w:r>
        <w:rPr/>
        <w:t>correlation</w:t>
      </w:r>
      <w:r>
        <w:rPr>
          <w:spacing w:val="8"/>
        </w:rPr>
        <w:t> </w:t>
      </w:r>
      <w:r>
        <w:rPr/>
        <w:t>between</w:t>
      </w:r>
      <w:r>
        <w:rPr>
          <w:spacing w:val="8"/>
        </w:rPr>
        <w:t> </w:t>
      </w:r>
      <w:r>
        <w:rPr/>
        <w:t>hydrocarbon</w:t>
      </w:r>
      <w:r>
        <w:rPr>
          <w:spacing w:val="8"/>
        </w:rPr>
        <w:t> </w:t>
      </w:r>
      <w:r>
        <w:rPr/>
        <w:t>yield</w:t>
      </w:r>
      <w:r>
        <w:rPr>
          <w:spacing w:val="7"/>
        </w:rPr>
        <w:t> </w:t>
      </w:r>
      <w:r>
        <w:rPr/>
        <w:t>and</w:t>
      </w:r>
      <w:r>
        <w:rPr>
          <w:spacing w:val="8"/>
        </w:rPr>
        <w:t> </w:t>
      </w:r>
      <w:r>
        <w:rPr/>
        <w:t>catalyst</w:t>
      </w:r>
      <w:r>
        <w:rPr>
          <w:spacing w:val="6"/>
        </w:rPr>
        <w:t> </w:t>
      </w:r>
      <w:r>
        <w:rPr/>
        <w:t>loading,</w:t>
      </w:r>
      <w:r>
        <w:rPr>
          <w:spacing w:val="7"/>
        </w:rPr>
        <w:t> </w:t>
      </w:r>
      <w:r>
        <w:rPr/>
        <w:t>with</w:t>
      </w:r>
      <w:r>
        <w:rPr>
          <w:spacing w:val="5"/>
        </w:rPr>
        <w:t> </w:t>
      </w:r>
      <w:r>
        <w:rPr/>
        <w:t>an</w:t>
      </w:r>
      <w:r>
        <w:rPr>
          <w:spacing w:val="8"/>
        </w:rPr>
        <w:t> </w:t>
      </w:r>
      <w:r>
        <w:rPr/>
        <w:t>optimal</w:t>
      </w:r>
      <w:r>
        <w:rPr>
          <w:spacing w:val="7"/>
        </w:rPr>
        <w:t> </w:t>
      </w:r>
      <w:r>
        <w:rPr/>
        <w:t>range</w:t>
      </w:r>
      <w:r>
        <w:rPr>
          <w:spacing w:val="7"/>
        </w:rPr>
        <w:t> </w:t>
      </w:r>
      <w:r>
        <w:rPr/>
        <w:t>of</w:t>
      </w:r>
      <w:r>
        <w:rPr>
          <w:spacing w:val="5"/>
        </w:rPr>
        <w:t> </w:t>
      </w:r>
      <w:r>
        <w:rPr/>
        <w:t>3.7</w:t>
      </w:r>
      <w:r>
        <w:rPr>
          <w:spacing w:val="8"/>
        </w:rPr>
        <w:t> </w:t>
      </w:r>
      <w:r>
        <w:rPr>
          <w:spacing w:val="-5"/>
        </w:rPr>
        <w:t>to</w:t>
      </w:r>
    </w:p>
    <w:p>
      <w:pPr>
        <w:pStyle w:val="BodyText"/>
        <w:spacing w:before="1"/>
        <w:ind w:right="362"/>
      </w:pPr>
      <w:r>
        <w:rPr/>
        <w:t>5.8 g at elevated temperatures. However, the hydrocarbon yield decreased when the catalyst loading exceeded 6 g and the temperature exceeded 295°C. While an increased catalyst loading should provide more active sites for the reaction, this may result in mass transfer constraints between the oil and catalyst, limiting mixing and reducing the reaction</w:t>
      </w:r>
      <w:r>
        <w:rPr>
          <w:spacing w:val="20"/>
        </w:rPr>
        <w:t> </w:t>
      </w:r>
      <w:r>
        <w:rPr/>
        <w:t>rate.</w:t>
      </w:r>
      <w:r>
        <w:rPr>
          <w:spacing w:val="22"/>
        </w:rPr>
        <w:t> </w:t>
      </w:r>
      <w:r>
        <w:rPr/>
        <w:t>Furthermore,</w:t>
      </w:r>
      <w:r>
        <w:rPr>
          <w:spacing w:val="22"/>
        </w:rPr>
        <w:t> </w:t>
      </w:r>
      <w:r>
        <w:rPr/>
        <w:t>excess</w:t>
      </w:r>
      <w:r>
        <w:rPr>
          <w:spacing w:val="20"/>
        </w:rPr>
        <w:t> </w:t>
      </w:r>
      <w:r>
        <w:rPr/>
        <w:t>active</w:t>
      </w:r>
      <w:r>
        <w:rPr>
          <w:spacing w:val="19"/>
        </w:rPr>
        <w:t> </w:t>
      </w:r>
      <w:r>
        <w:rPr/>
        <w:t>sites</w:t>
      </w:r>
      <w:r>
        <w:rPr>
          <w:spacing w:val="19"/>
        </w:rPr>
        <w:t> </w:t>
      </w:r>
      <w:r>
        <w:rPr/>
        <w:t>can</w:t>
      </w:r>
      <w:r>
        <w:rPr>
          <w:spacing w:val="20"/>
        </w:rPr>
        <w:t> </w:t>
      </w:r>
      <w:r>
        <w:rPr/>
        <w:t>give</w:t>
      </w:r>
      <w:r>
        <w:rPr>
          <w:spacing w:val="20"/>
        </w:rPr>
        <w:t> </w:t>
      </w:r>
      <w:r>
        <w:rPr/>
        <w:t>rise</w:t>
      </w:r>
      <w:r>
        <w:rPr>
          <w:spacing w:val="20"/>
        </w:rPr>
        <w:t> </w:t>
      </w:r>
      <w:r>
        <w:rPr/>
        <w:t>to</w:t>
      </w:r>
      <w:r>
        <w:rPr>
          <w:spacing w:val="19"/>
        </w:rPr>
        <w:t> </w:t>
      </w:r>
      <w:r>
        <w:rPr/>
        <w:t>side</w:t>
      </w:r>
      <w:r>
        <w:rPr>
          <w:spacing w:val="20"/>
        </w:rPr>
        <w:t> </w:t>
      </w:r>
      <w:r>
        <w:rPr/>
        <w:t>reactions,</w:t>
      </w:r>
      <w:r>
        <w:rPr>
          <w:spacing w:val="19"/>
        </w:rPr>
        <w:t> </w:t>
      </w:r>
      <w:r>
        <w:rPr/>
        <w:t>such</w:t>
      </w:r>
      <w:r>
        <w:rPr>
          <w:spacing w:val="21"/>
        </w:rPr>
        <w:t> </w:t>
      </w:r>
      <w:r>
        <w:rPr/>
        <w:t>as</w:t>
      </w:r>
      <w:r>
        <w:rPr>
          <w:spacing w:val="21"/>
        </w:rPr>
        <w:t> </w:t>
      </w:r>
      <w:r>
        <w:rPr/>
        <w:t>polymerization,</w:t>
      </w:r>
      <w:r>
        <w:rPr>
          <w:spacing w:val="20"/>
        </w:rPr>
        <w:t> </w:t>
      </w:r>
      <w:r>
        <w:rPr/>
        <w:t>at</w:t>
      </w:r>
      <w:r>
        <w:rPr>
          <w:spacing w:val="20"/>
        </w:rPr>
        <w:t> </w:t>
      </w:r>
      <w:r>
        <w:rPr>
          <w:spacing w:val="-2"/>
        </w:rPr>
        <w:t>elevated</w:t>
      </w:r>
    </w:p>
    <w:p>
      <w:pPr>
        <w:pStyle w:val="BodyText"/>
        <w:spacing w:after="0"/>
        <w:sectPr>
          <w:pgSz w:w="12240" w:h="15840"/>
          <w:pgMar w:top="1440" w:bottom="280" w:left="1080" w:right="1080"/>
        </w:sectPr>
      </w:pPr>
    </w:p>
    <w:p>
      <w:pPr>
        <w:pStyle w:val="BodyText"/>
        <w:spacing w:before="80"/>
        <w:ind w:right="365"/>
      </w:pPr>
      <w:r>
        <w:rPr/>
        <w:t>temperatures, resulting in coke production and catalyst deactivation [31]. The 2D contour plot indicates that the maximum hydrocarbon yield (88%) was achieved with a catalyst load of 4.5 g and a reaction temperature of 295°C over four hours.</w:t>
      </w:r>
    </w:p>
    <w:p>
      <w:pPr>
        <w:pStyle w:val="BodyText"/>
        <w:spacing w:before="10"/>
        <w:ind w:left="0"/>
        <w:jc w:val="left"/>
        <w:rPr>
          <w:sz w:val="17"/>
        </w:rPr>
      </w:pPr>
      <w:r>
        <w:rPr>
          <w:sz w:val="17"/>
        </w:rPr>
        <w:drawing>
          <wp:anchor distT="0" distB="0" distL="0" distR="0" allowOverlap="1" layoutInCell="1" locked="0" behindDoc="1" simplePos="0" relativeHeight="487588864">
            <wp:simplePos x="0" y="0"/>
            <wp:positionH relativeFrom="page">
              <wp:posOffset>914400</wp:posOffset>
            </wp:positionH>
            <wp:positionV relativeFrom="paragraph">
              <wp:posOffset>146087</wp:posOffset>
            </wp:positionV>
            <wp:extent cx="5921797" cy="6795516"/>
            <wp:effectExtent l="0" t="0" r="0" b="0"/>
            <wp:wrapTopAndBottom/>
            <wp:docPr id="6" name="Image 6"/>
            <wp:cNvGraphicFramePr>
              <a:graphicFrameLocks/>
            </wp:cNvGraphicFramePr>
            <a:graphic>
              <a:graphicData uri="http://schemas.openxmlformats.org/drawingml/2006/picture">
                <pic:pic>
                  <pic:nvPicPr>
                    <pic:cNvPr id="6" name="Image 6"/>
                    <pic:cNvPicPr/>
                  </pic:nvPicPr>
                  <pic:blipFill>
                    <a:blip r:embed="rId11" cstate="print"/>
                    <a:stretch>
                      <a:fillRect/>
                    </a:stretch>
                  </pic:blipFill>
                  <pic:spPr>
                    <a:xfrm>
                      <a:off x="0" y="0"/>
                      <a:ext cx="5921797" cy="6795516"/>
                    </a:xfrm>
                    <a:prstGeom prst="rect">
                      <a:avLst/>
                    </a:prstGeom>
                  </pic:spPr>
                </pic:pic>
              </a:graphicData>
            </a:graphic>
          </wp:anchor>
        </w:drawing>
      </w:r>
    </w:p>
    <w:p>
      <w:pPr>
        <w:spacing w:before="162"/>
        <w:ind w:left="835" w:right="451" w:hanging="389"/>
        <w:jc w:val="left"/>
        <w:rPr>
          <w:sz w:val="18"/>
        </w:rPr>
      </w:pPr>
      <w:r>
        <w:rPr>
          <w:b/>
          <w:sz w:val="18"/>
        </w:rPr>
        <w:t>Image</w:t>
      </w:r>
      <w:r>
        <w:rPr>
          <w:b/>
          <w:spacing w:val="-5"/>
          <w:sz w:val="18"/>
        </w:rPr>
        <w:t> </w:t>
      </w:r>
      <w:r>
        <w:rPr>
          <w:b/>
          <w:sz w:val="18"/>
        </w:rPr>
        <w:t>6.</w:t>
      </w:r>
      <w:r>
        <w:rPr>
          <w:b/>
          <w:spacing w:val="-4"/>
          <w:sz w:val="18"/>
        </w:rPr>
        <w:t> </w:t>
      </w:r>
      <w:r>
        <w:rPr>
          <w:sz w:val="18"/>
        </w:rPr>
        <w:t>2D</w:t>
      </w:r>
      <w:r>
        <w:rPr>
          <w:spacing w:val="-2"/>
          <w:sz w:val="18"/>
        </w:rPr>
        <w:t> </w:t>
      </w:r>
      <w:r>
        <w:rPr>
          <w:sz w:val="18"/>
        </w:rPr>
        <w:t>contour</w:t>
      </w:r>
      <w:r>
        <w:rPr>
          <w:spacing w:val="-2"/>
          <w:sz w:val="18"/>
        </w:rPr>
        <w:t> </w:t>
      </w:r>
      <w:r>
        <w:rPr>
          <w:sz w:val="18"/>
        </w:rPr>
        <w:t>plots</w:t>
      </w:r>
      <w:r>
        <w:rPr>
          <w:spacing w:val="-2"/>
          <w:sz w:val="18"/>
        </w:rPr>
        <w:t> </w:t>
      </w:r>
      <w:r>
        <w:rPr>
          <w:sz w:val="18"/>
        </w:rPr>
        <w:t>and</w:t>
      </w:r>
      <w:r>
        <w:rPr>
          <w:spacing w:val="-3"/>
          <w:sz w:val="18"/>
        </w:rPr>
        <w:t> </w:t>
      </w:r>
      <w:r>
        <w:rPr>
          <w:sz w:val="18"/>
        </w:rPr>
        <w:t>3D</w:t>
      </w:r>
      <w:r>
        <w:rPr>
          <w:spacing w:val="-2"/>
          <w:sz w:val="18"/>
        </w:rPr>
        <w:t> </w:t>
      </w:r>
      <w:r>
        <w:rPr>
          <w:sz w:val="18"/>
        </w:rPr>
        <w:t>response</w:t>
      </w:r>
      <w:r>
        <w:rPr>
          <w:spacing w:val="-3"/>
          <w:sz w:val="18"/>
        </w:rPr>
        <w:t> </w:t>
      </w:r>
      <w:r>
        <w:rPr>
          <w:sz w:val="18"/>
        </w:rPr>
        <w:t>surface</w:t>
      </w:r>
      <w:r>
        <w:rPr>
          <w:spacing w:val="-3"/>
          <w:sz w:val="18"/>
        </w:rPr>
        <w:t> </w:t>
      </w:r>
      <w:r>
        <w:rPr>
          <w:sz w:val="18"/>
        </w:rPr>
        <w:t>plots</w:t>
      </w:r>
      <w:r>
        <w:rPr>
          <w:spacing w:val="-2"/>
          <w:sz w:val="18"/>
        </w:rPr>
        <w:t> </w:t>
      </w:r>
      <w:r>
        <w:rPr>
          <w:sz w:val="18"/>
        </w:rPr>
        <w:t>for</w:t>
      </w:r>
      <w:r>
        <w:rPr>
          <w:spacing w:val="-2"/>
          <w:sz w:val="18"/>
        </w:rPr>
        <w:t> </w:t>
      </w:r>
      <w:r>
        <w:rPr>
          <w:sz w:val="18"/>
        </w:rPr>
        <w:t>(a-b)</w:t>
      </w:r>
      <w:r>
        <w:rPr>
          <w:spacing w:val="-4"/>
          <w:sz w:val="18"/>
        </w:rPr>
        <w:t> </w:t>
      </w:r>
      <w:r>
        <w:rPr>
          <w:sz w:val="18"/>
        </w:rPr>
        <w:t>interaction</w:t>
      </w:r>
      <w:r>
        <w:rPr>
          <w:spacing w:val="-1"/>
          <w:sz w:val="18"/>
        </w:rPr>
        <w:t> </w:t>
      </w:r>
      <w:r>
        <w:rPr>
          <w:sz w:val="18"/>
        </w:rPr>
        <w:t>of</w:t>
      </w:r>
      <w:r>
        <w:rPr>
          <w:spacing w:val="-4"/>
          <w:sz w:val="18"/>
        </w:rPr>
        <w:t> </w:t>
      </w:r>
      <w:r>
        <w:rPr>
          <w:sz w:val="18"/>
        </w:rPr>
        <w:t>reaction</w:t>
      </w:r>
      <w:r>
        <w:rPr>
          <w:spacing w:val="-1"/>
          <w:sz w:val="18"/>
        </w:rPr>
        <w:t> </w:t>
      </w:r>
      <w:r>
        <w:rPr>
          <w:sz w:val="18"/>
        </w:rPr>
        <w:t>temperature</w:t>
      </w:r>
      <w:r>
        <w:rPr>
          <w:spacing w:val="-3"/>
          <w:sz w:val="18"/>
        </w:rPr>
        <w:t> </w:t>
      </w:r>
      <w:r>
        <w:rPr>
          <w:sz w:val="18"/>
        </w:rPr>
        <w:t>(A)</w:t>
      </w:r>
      <w:r>
        <w:rPr>
          <w:spacing w:val="-2"/>
          <w:sz w:val="18"/>
        </w:rPr>
        <w:t> </w:t>
      </w:r>
      <w:r>
        <w:rPr>
          <w:sz w:val="18"/>
        </w:rPr>
        <w:t>and</w:t>
      </w:r>
      <w:r>
        <w:rPr>
          <w:spacing w:val="-1"/>
          <w:sz w:val="18"/>
        </w:rPr>
        <w:t> </w:t>
      </w:r>
      <w:r>
        <w:rPr>
          <w:sz w:val="18"/>
        </w:rPr>
        <w:t>reaction</w:t>
      </w:r>
      <w:r>
        <w:rPr>
          <w:spacing w:val="-1"/>
          <w:sz w:val="18"/>
        </w:rPr>
        <w:t> </w:t>
      </w:r>
      <w:r>
        <w:rPr>
          <w:sz w:val="18"/>
        </w:rPr>
        <w:t>time</w:t>
      </w:r>
      <w:r>
        <w:rPr>
          <w:spacing w:val="-3"/>
          <w:sz w:val="18"/>
        </w:rPr>
        <w:t> </w:t>
      </w:r>
      <w:r>
        <w:rPr>
          <w:sz w:val="18"/>
        </w:rPr>
        <w:t>(B) (c-d) interaction of reaction time (B) and catalyst loading (C) (e-f) reaction temperature (A) and catalyst loading (C).</w:t>
      </w:r>
    </w:p>
    <w:p>
      <w:pPr>
        <w:spacing w:after="0"/>
        <w:jc w:val="left"/>
        <w:rPr>
          <w:sz w:val="18"/>
        </w:rPr>
        <w:sectPr>
          <w:pgSz w:w="12240" w:h="15840"/>
          <w:pgMar w:top="1360" w:bottom="280" w:left="1080" w:right="1080"/>
        </w:sectPr>
      </w:pPr>
    </w:p>
    <w:p>
      <w:pPr>
        <w:pStyle w:val="BodyText"/>
        <w:jc w:val="left"/>
      </w:pPr>
      <w:r>
        <w:rPr/>
        <w:drawing>
          <wp:inline distT="0" distB="0" distL="0" distR="0">
            <wp:extent cx="5997498" cy="2124075"/>
            <wp:effectExtent l="0" t="0" r="0" b="0"/>
            <wp:docPr id="7" name="Image 7" descr="A screenshot of a graph  Description automatically generated"/>
            <wp:cNvGraphicFramePr>
              <a:graphicFrameLocks/>
            </wp:cNvGraphicFramePr>
            <a:graphic>
              <a:graphicData uri="http://schemas.openxmlformats.org/drawingml/2006/picture">
                <pic:pic>
                  <pic:nvPicPr>
                    <pic:cNvPr id="7" name="Image 7" descr="A screenshot of a graph  Description automatically generated"/>
                    <pic:cNvPicPr/>
                  </pic:nvPicPr>
                  <pic:blipFill>
                    <a:blip r:embed="rId12" cstate="print"/>
                    <a:stretch>
                      <a:fillRect/>
                    </a:stretch>
                  </pic:blipFill>
                  <pic:spPr>
                    <a:xfrm>
                      <a:off x="0" y="0"/>
                      <a:ext cx="5997498" cy="2124075"/>
                    </a:xfrm>
                    <a:prstGeom prst="rect">
                      <a:avLst/>
                    </a:prstGeom>
                  </pic:spPr>
                </pic:pic>
              </a:graphicData>
            </a:graphic>
          </wp:inline>
        </w:drawing>
      </w:r>
      <w:r>
        <w:rPr/>
      </w:r>
    </w:p>
    <w:p>
      <w:pPr>
        <w:spacing w:before="150"/>
        <w:ind w:left="0" w:right="1" w:firstLine="0"/>
        <w:jc w:val="center"/>
        <w:rPr>
          <w:sz w:val="18"/>
        </w:rPr>
      </w:pPr>
      <w:r>
        <w:rPr>
          <w:b/>
          <w:sz w:val="18"/>
        </w:rPr>
        <w:t>Image</w:t>
      </w:r>
      <w:r>
        <w:rPr>
          <w:b/>
          <w:spacing w:val="-3"/>
          <w:sz w:val="18"/>
        </w:rPr>
        <w:t> </w:t>
      </w:r>
      <w:r>
        <w:rPr>
          <w:b/>
          <w:sz w:val="18"/>
        </w:rPr>
        <w:t>7</w:t>
      </w:r>
      <w:r>
        <w:rPr>
          <w:sz w:val="18"/>
        </w:rPr>
        <w:t>.</w:t>
      </w:r>
      <w:r>
        <w:rPr>
          <w:spacing w:val="-1"/>
          <w:sz w:val="18"/>
        </w:rPr>
        <w:t> </w:t>
      </w:r>
      <w:r>
        <w:rPr>
          <w:sz w:val="18"/>
        </w:rPr>
        <w:t>(a)</w:t>
      </w:r>
      <w:r>
        <w:rPr>
          <w:spacing w:val="-2"/>
          <w:sz w:val="18"/>
        </w:rPr>
        <w:t> </w:t>
      </w:r>
      <w:r>
        <w:rPr>
          <w:sz w:val="18"/>
        </w:rPr>
        <w:t>Standard effect</w:t>
      </w:r>
      <w:r>
        <w:rPr>
          <w:spacing w:val="-1"/>
          <w:sz w:val="18"/>
        </w:rPr>
        <w:t> </w:t>
      </w:r>
      <w:r>
        <w:rPr>
          <w:sz w:val="18"/>
        </w:rPr>
        <w:t>chart</w:t>
      </w:r>
      <w:r>
        <w:rPr>
          <w:spacing w:val="-2"/>
          <w:sz w:val="18"/>
        </w:rPr>
        <w:t> </w:t>
      </w:r>
      <w:r>
        <w:rPr>
          <w:sz w:val="18"/>
        </w:rPr>
        <w:t>(b)</w:t>
      </w:r>
      <w:r>
        <w:rPr>
          <w:spacing w:val="-3"/>
          <w:sz w:val="18"/>
        </w:rPr>
        <w:t> </w:t>
      </w:r>
      <w:r>
        <w:rPr>
          <w:sz w:val="18"/>
        </w:rPr>
        <w:t>optimal</w:t>
      </w:r>
      <w:r>
        <w:rPr>
          <w:spacing w:val="-3"/>
          <w:sz w:val="18"/>
        </w:rPr>
        <w:t> </w:t>
      </w:r>
      <w:r>
        <w:rPr>
          <w:sz w:val="18"/>
        </w:rPr>
        <w:t>operating</w:t>
      </w:r>
      <w:r>
        <w:rPr>
          <w:spacing w:val="1"/>
          <w:sz w:val="18"/>
        </w:rPr>
        <w:t> </w:t>
      </w:r>
      <w:r>
        <w:rPr>
          <w:spacing w:val="-2"/>
          <w:sz w:val="18"/>
        </w:rPr>
        <w:t>conditions.</w:t>
      </w:r>
    </w:p>
    <w:p>
      <w:pPr>
        <w:pStyle w:val="BodyText"/>
        <w:spacing w:before="23"/>
        <w:ind w:left="0"/>
        <w:jc w:val="left"/>
        <w:rPr>
          <w:sz w:val="18"/>
        </w:rPr>
      </w:pPr>
    </w:p>
    <w:p>
      <w:pPr>
        <w:pStyle w:val="BodyText"/>
        <w:ind w:right="359" w:firstLine="283"/>
      </w:pPr>
      <w:r>
        <w:rPr/>
        <w:t>The results demonstrate that the interaction between reaction time (B) and catalyst loading (C) is more pronounced than the interaction between reaction temperature (A) and catalyst loading (C) and between reaction temperature</w:t>
      </w:r>
      <w:r>
        <w:rPr>
          <w:spacing w:val="-2"/>
        </w:rPr>
        <w:t> </w:t>
      </w:r>
      <w:r>
        <w:rPr/>
        <w:t>(A)</w:t>
      </w:r>
      <w:r>
        <w:rPr>
          <w:spacing w:val="-4"/>
        </w:rPr>
        <w:t> </w:t>
      </w:r>
      <w:r>
        <w:rPr/>
        <w:t>and</w:t>
      </w:r>
      <w:r>
        <w:rPr>
          <w:spacing w:val="-3"/>
        </w:rPr>
        <w:t> </w:t>
      </w:r>
      <w:r>
        <w:rPr/>
        <w:t>reaction</w:t>
      </w:r>
      <w:r>
        <w:rPr>
          <w:spacing w:val="-1"/>
        </w:rPr>
        <w:t> </w:t>
      </w:r>
      <w:r>
        <w:rPr/>
        <w:t>time</w:t>
      </w:r>
      <w:r>
        <w:rPr>
          <w:spacing w:val="-2"/>
        </w:rPr>
        <w:t> </w:t>
      </w:r>
      <w:r>
        <w:rPr/>
        <w:t>(B).</w:t>
      </w:r>
      <w:r>
        <w:rPr>
          <w:spacing w:val="-2"/>
        </w:rPr>
        <w:t> </w:t>
      </w:r>
      <w:r>
        <w:rPr/>
        <w:t>This</w:t>
      </w:r>
      <w:r>
        <w:rPr>
          <w:spacing w:val="-3"/>
        </w:rPr>
        <w:t> </w:t>
      </w:r>
      <w:r>
        <w:rPr/>
        <w:t>is</w:t>
      </w:r>
      <w:r>
        <w:rPr>
          <w:spacing w:val="-3"/>
        </w:rPr>
        <w:t> </w:t>
      </w:r>
      <w:r>
        <w:rPr/>
        <w:t>evident</w:t>
      </w:r>
      <w:r>
        <w:rPr>
          <w:spacing w:val="-3"/>
        </w:rPr>
        <w:t> </w:t>
      </w:r>
      <w:r>
        <w:rPr/>
        <w:t>from</w:t>
      </w:r>
      <w:r>
        <w:rPr>
          <w:spacing w:val="-1"/>
        </w:rPr>
        <w:t> </w:t>
      </w:r>
      <w:r>
        <w:rPr/>
        <w:t>the</w:t>
      </w:r>
      <w:r>
        <w:rPr>
          <w:spacing w:val="-2"/>
        </w:rPr>
        <w:t> </w:t>
      </w:r>
      <w:r>
        <w:rPr/>
        <w:t>3D</w:t>
      </w:r>
      <w:r>
        <w:rPr>
          <w:spacing w:val="-2"/>
        </w:rPr>
        <w:t> </w:t>
      </w:r>
      <w:r>
        <w:rPr/>
        <w:t>surface</w:t>
      </w:r>
      <w:r>
        <w:rPr>
          <w:spacing w:val="-2"/>
        </w:rPr>
        <w:t> </w:t>
      </w:r>
      <w:r>
        <w:rPr/>
        <w:t>curvature</w:t>
      </w:r>
      <w:r>
        <w:rPr>
          <w:spacing w:val="-2"/>
        </w:rPr>
        <w:t> </w:t>
      </w:r>
      <w:r>
        <w:rPr/>
        <w:t>in</w:t>
      </w:r>
      <w:r>
        <w:rPr>
          <w:spacing w:val="-1"/>
        </w:rPr>
        <w:t> </w:t>
      </w:r>
      <w:r>
        <w:rPr/>
        <w:t>Figures</w:t>
      </w:r>
      <w:r>
        <w:rPr>
          <w:spacing w:val="-2"/>
        </w:rPr>
        <w:t> </w:t>
      </w:r>
      <w:r>
        <w:rPr/>
        <w:t>6b,</w:t>
      </w:r>
      <w:r>
        <w:rPr>
          <w:spacing w:val="-4"/>
        </w:rPr>
        <w:t> </w:t>
      </w:r>
      <w:r>
        <w:rPr/>
        <w:t>d,</w:t>
      </w:r>
      <w:r>
        <w:rPr>
          <w:spacing w:val="-2"/>
        </w:rPr>
        <w:t> </w:t>
      </w:r>
      <w:r>
        <w:rPr/>
        <w:t>and</w:t>
      </w:r>
      <w:r>
        <w:rPr>
          <w:spacing w:val="-1"/>
        </w:rPr>
        <w:t> </w:t>
      </w:r>
      <w:r>
        <w:rPr/>
        <w:t>f,</w:t>
      </w:r>
      <w:r>
        <w:rPr>
          <w:spacing w:val="-2"/>
        </w:rPr>
        <w:t> </w:t>
      </w:r>
      <w:r>
        <w:rPr/>
        <w:t>which</w:t>
      </w:r>
      <w:r>
        <w:rPr>
          <w:spacing w:val="-1"/>
        </w:rPr>
        <w:t> </w:t>
      </w:r>
      <w:r>
        <w:rPr/>
        <w:t>is also corroborated by Figure 7a. Furthermore, it was determined that the optimal set of parameters for the reaction was 261°C, 3.67 h, and 4.86 g of catalyst loading (Figure 7b).</w:t>
      </w:r>
    </w:p>
    <w:p>
      <w:pPr>
        <w:pStyle w:val="BodyText"/>
        <w:spacing w:before="9"/>
        <w:ind w:left="0"/>
        <w:jc w:val="left"/>
      </w:pPr>
    </w:p>
    <w:p>
      <w:pPr>
        <w:pStyle w:val="Heading1"/>
      </w:pPr>
      <w:r>
        <w:rPr>
          <w:spacing w:val="-2"/>
        </w:rPr>
        <w:t>CONCLUSIONS</w:t>
      </w:r>
    </w:p>
    <w:p>
      <w:pPr>
        <w:pStyle w:val="BodyText"/>
        <w:spacing w:before="241"/>
        <w:ind w:right="357" w:firstLine="283"/>
      </w:pPr>
      <w:r>
        <w:rPr>
          <w:position w:val="1"/>
        </w:rPr>
        <w:t>This research successfully produced a 7% Ni/SiO</w:t>
      </w:r>
      <w:r>
        <w:rPr>
          <w:b/>
          <w:sz w:val="13"/>
        </w:rPr>
        <w:t>2</w:t>
      </w:r>
      <w:r>
        <w:rPr>
          <w:b/>
          <w:spacing w:val="36"/>
          <w:sz w:val="13"/>
        </w:rPr>
        <w:t> </w:t>
      </w:r>
      <w:r>
        <w:rPr>
          <w:position w:val="1"/>
        </w:rPr>
        <w:t>catalyst using a commercial nickel source and 91.8% SiO</w:t>
      </w:r>
      <w:r>
        <w:rPr>
          <w:b/>
          <w:sz w:val="13"/>
        </w:rPr>
        <w:t>2</w:t>
      </w:r>
      <w:r>
        <w:rPr>
          <w:b/>
          <w:spacing w:val="40"/>
          <w:sz w:val="13"/>
        </w:rPr>
        <w:t> </w:t>
      </w:r>
      <w:r>
        <w:rPr/>
        <w:t>from rice husk ash. Furthermore, the research employed the RSM-Box-Behnken experimental method to investigate the influence of various parameters on the hydrocarbon yield from sludge oil. The model identified reaction time</w:t>
      </w:r>
      <w:r>
        <w:rPr>
          <w:spacing w:val="40"/>
        </w:rPr>
        <w:t> </w:t>
      </w:r>
      <w:r>
        <w:rPr/>
        <w:t>and catalyst</w:t>
      </w:r>
      <w:r>
        <w:rPr>
          <w:spacing w:val="-1"/>
        </w:rPr>
        <w:t> </w:t>
      </w:r>
      <w:r>
        <w:rPr/>
        <w:t>loading as</w:t>
      </w:r>
      <w:r>
        <w:rPr>
          <w:spacing w:val="-1"/>
        </w:rPr>
        <w:t> </w:t>
      </w:r>
      <w:r>
        <w:rPr/>
        <w:t>the</w:t>
      </w:r>
      <w:r>
        <w:rPr>
          <w:spacing w:val="-1"/>
        </w:rPr>
        <w:t> </w:t>
      </w:r>
      <w:r>
        <w:rPr/>
        <w:t>most</w:t>
      </w:r>
      <w:r>
        <w:rPr>
          <w:spacing w:val="-1"/>
        </w:rPr>
        <w:t> </w:t>
      </w:r>
      <w:r>
        <w:rPr/>
        <w:t>influential</w:t>
      </w:r>
      <w:r>
        <w:rPr>
          <w:spacing w:val="-1"/>
        </w:rPr>
        <w:t> </w:t>
      </w:r>
      <w:r>
        <w:rPr/>
        <w:t>variables</w:t>
      </w:r>
      <w:r>
        <w:rPr>
          <w:spacing w:val="-1"/>
        </w:rPr>
        <w:t> </w:t>
      </w:r>
      <w:r>
        <w:rPr/>
        <w:t>affecting the</w:t>
      </w:r>
      <w:r>
        <w:rPr>
          <w:spacing w:val="-1"/>
        </w:rPr>
        <w:t> </w:t>
      </w:r>
      <w:r>
        <w:rPr/>
        <w:t>reactivity</w:t>
      </w:r>
      <w:r>
        <w:rPr>
          <w:spacing w:val="-2"/>
        </w:rPr>
        <w:t> </w:t>
      </w:r>
      <w:r>
        <w:rPr/>
        <w:t>of the</w:t>
      </w:r>
      <w:r>
        <w:rPr>
          <w:spacing w:val="-1"/>
        </w:rPr>
        <w:t> </w:t>
      </w:r>
      <w:r>
        <w:rPr/>
        <w:t>process.</w:t>
      </w:r>
      <w:r>
        <w:rPr>
          <w:spacing w:val="-1"/>
        </w:rPr>
        <w:t> </w:t>
      </w:r>
      <w:r>
        <w:rPr/>
        <w:t>The</w:t>
      </w:r>
      <w:r>
        <w:rPr>
          <w:spacing w:val="-1"/>
        </w:rPr>
        <w:t> </w:t>
      </w:r>
      <w:r>
        <w:rPr/>
        <w:t>results</w:t>
      </w:r>
      <w:r>
        <w:rPr>
          <w:spacing w:val="-2"/>
        </w:rPr>
        <w:t> </w:t>
      </w:r>
      <w:r>
        <w:rPr/>
        <w:t>demonstrated </w:t>
      </w:r>
      <w:r>
        <w:rPr>
          <w:position w:val="1"/>
        </w:rPr>
        <w:t>a hydrocarbon yield of 98.63%, comprising 83.16% diesel-like hydrocarbons (C</w:t>
      </w:r>
      <w:r>
        <w:rPr>
          <w:b/>
          <w:sz w:val="13"/>
        </w:rPr>
        <w:t>15</w:t>
      </w:r>
      <w:r>
        <w:rPr>
          <w:position w:val="1"/>
        </w:rPr>
        <w:t>-C</w:t>
      </w:r>
      <w:r>
        <w:rPr>
          <w:b/>
          <w:sz w:val="13"/>
        </w:rPr>
        <w:t>18</w:t>
      </w:r>
      <w:r>
        <w:rPr>
          <w:position w:val="1"/>
        </w:rPr>
        <w:t>) and 16.81% lighter hydrocarbons (C</w:t>
      </w:r>
      <w:r>
        <w:rPr>
          <w:b/>
          <w:sz w:val="13"/>
        </w:rPr>
        <w:t>12</w:t>
      </w:r>
      <w:r>
        <w:rPr>
          <w:position w:val="1"/>
        </w:rPr>
        <w:t>-C</w:t>
      </w:r>
      <w:r>
        <w:rPr>
          <w:b/>
          <w:sz w:val="13"/>
        </w:rPr>
        <w:t>14</w:t>
      </w:r>
      <w:r>
        <w:rPr>
          <w:position w:val="1"/>
        </w:rPr>
        <w:t>), under conditions of 275°C, 4 h, 5 g catalyst loading, and 5 MPa H</w:t>
      </w:r>
      <w:r>
        <w:rPr>
          <w:b/>
          <w:sz w:val="13"/>
        </w:rPr>
        <w:t>2</w:t>
      </w:r>
      <w:r>
        <w:rPr>
          <w:b/>
          <w:spacing w:val="37"/>
          <w:sz w:val="13"/>
        </w:rPr>
        <w:t> </w:t>
      </w:r>
      <w:r>
        <w:rPr>
          <w:position w:val="1"/>
        </w:rPr>
        <w:t>gas. This reaction is </w:t>
      </w:r>
      <w:r>
        <w:rPr/>
        <w:t>conducive to a high HDO pathway. RSM-Box-Behnken analysis indicated that the optimal conditions for the reaction were a temperature of 261°C, a reaction time of 3.67 h, and a catalyst loading of 4.86 g.</w:t>
      </w:r>
    </w:p>
    <w:p>
      <w:pPr>
        <w:pStyle w:val="BodyText"/>
        <w:spacing w:before="10"/>
        <w:ind w:left="0"/>
        <w:jc w:val="left"/>
      </w:pPr>
    </w:p>
    <w:p>
      <w:pPr>
        <w:pStyle w:val="Heading1"/>
        <w:ind w:left="0" w:right="1"/>
      </w:pPr>
      <w:r>
        <w:rPr>
          <w:spacing w:val="-2"/>
        </w:rPr>
        <w:t>REFERENCE</w:t>
      </w:r>
    </w:p>
    <w:p>
      <w:pPr>
        <w:pStyle w:val="ListParagraph"/>
        <w:numPr>
          <w:ilvl w:val="0"/>
          <w:numId w:val="1"/>
        </w:numPr>
        <w:tabs>
          <w:tab w:pos="785" w:val="left" w:leader="none"/>
          <w:tab w:pos="787" w:val="left" w:leader="none"/>
        </w:tabs>
        <w:spacing w:line="240" w:lineRule="auto" w:before="242" w:after="0"/>
        <w:ind w:left="787" w:right="354" w:hanging="428"/>
        <w:jc w:val="both"/>
        <w:rPr>
          <w:sz w:val="20"/>
        </w:rPr>
      </w:pPr>
      <w:r>
        <w:rPr>
          <w:sz w:val="20"/>
        </w:rPr>
        <w:t>S. Chen, "Green Oil Production by Hydroprocessing," Int. J. Clean Coal Energy, vol. 01, no. 04, pp. 43-55, 2012, doi: 10.4236/ijcce.2012.14005.</w:t>
      </w:r>
    </w:p>
    <w:p>
      <w:pPr>
        <w:pStyle w:val="ListParagraph"/>
        <w:numPr>
          <w:ilvl w:val="0"/>
          <w:numId w:val="1"/>
        </w:numPr>
        <w:tabs>
          <w:tab w:pos="785" w:val="left" w:leader="none"/>
          <w:tab w:pos="787" w:val="left" w:leader="none"/>
        </w:tabs>
        <w:spacing w:line="240" w:lineRule="auto" w:before="0" w:after="0"/>
        <w:ind w:left="787" w:right="367" w:hanging="428"/>
        <w:jc w:val="both"/>
        <w:rPr>
          <w:sz w:val="20"/>
        </w:rPr>
      </w:pPr>
      <w:r>
        <w:rPr>
          <w:sz w:val="20"/>
        </w:rPr>
        <w:t>F. Wang et al, "Hydrotreatment of vegetable oil for green diesel over activated carbon supported molybdenum carbide catalyst," Fuel, vol. 216, no. November 2017, pp. 738-746, 2018, doi: 10.1016/j.fuel.2017.12.059.</w:t>
      </w:r>
    </w:p>
    <w:p>
      <w:pPr>
        <w:pStyle w:val="ListParagraph"/>
        <w:numPr>
          <w:ilvl w:val="0"/>
          <w:numId w:val="1"/>
        </w:numPr>
        <w:tabs>
          <w:tab w:pos="785" w:val="left" w:leader="none"/>
          <w:tab w:pos="787" w:val="left" w:leader="none"/>
        </w:tabs>
        <w:spacing w:line="240" w:lineRule="auto" w:before="0" w:after="0"/>
        <w:ind w:left="787" w:right="367" w:hanging="428"/>
        <w:jc w:val="both"/>
        <w:rPr>
          <w:sz w:val="20"/>
        </w:rPr>
      </w:pPr>
      <w:r>
        <w:rPr>
          <w:sz w:val="20"/>
        </w:rPr>
        <w:t>T. J. Hilbers, L. M. J. Sprakel, L. B. J. van den Enk, B. Zaalberg, H. van den Berg, and L. G. J. van der Ham, "Green Diesel from Hydrotreated</w:t>
      </w:r>
      <w:r>
        <w:rPr>
          <w:spacing w:val="12"/>
          <w:sz w:val="20"/>
        </w:rPr>
        <w:t> </w:t>
      </w:r>
      <w:r>
        <w:rPr>
          <w:sz w:val="20"/>
        </w:rPr>
        <w:t>Vegetable Oil Process Design Study," Chem. Eng. Technol., vol. 38, no. 4,</w:t>
      </w:r>
    </w:p>
    <w:p>
      <w:pPr>
        <w:pStyle w:val="BodyText"/>
        <w:ind w:left="787"/>
      </w:pPr>
      <w:r>
        <w:rPr/>
        <w:t>pp.</w:t>
      </w:r>
      <w:r>
        <w:rPr>
          <w:spacing w:val="-3"/>
        </w:rPr>
        <w:t> </w:t>
      </w:r>
      <w:r>
        <w:rPr/>
        <w:t>651-657,</w:t>
      </w:r>
      <w:r>
        <w:rPr>
          <w:spacing w:val="-5"/>
        </w:rPr>
        <w:t> </w:t>
      </w:r>
      <w:r>
        <w:rPr/>
        <w:t>2015,</w:t>
      </w:r>
      <w:r>
        <w:rPr>
          <w:spacing w:val="-4"/>
        </w:rPr>
        <w:t> </w:t>
      </w:r>
      <w:r>
        <w:rPr/>
        <w:t>doi:</w:t>
      </w:r>
      <w:r>
        <w:rPr>
          <w:spacing w:val="-4"/>
        </w:rPr>
        <w:t> </w:t>
      </w:r>
      <w:r>
        <w:rPr>
          <w:spacing w:val="-2"/>
        </w:rPr>
        <w:t>10.1002/ceat.201400648.</w:t>
      </w:r>
    </w:p>
    <w:p>
      <w:pPr>
        <w:pStyle w:val="ListParagraph"/>
        <w:numPr>
          <w:ilvl w:val="0"/>
          <w:numId w:val="1"/>
        </w:numPr>
        <w:tabs>
          <w:tab w:pos="785" w:val="left" w:leader="none"/>
          <w:tab w:pos="787" w:val="left" w:leader="none"/>
        </w:tabs>
        <w:spacing w:line="240" w:lineRule="auto" w:before="0" w:after="0"/>
        <w:ind w:left="787" w:right="367" w:hanging="428"/>
        <w:jc w:val="both"/>
        <w:rPr>
          <w:sz w:val="20"/>
        </w:rPr>
      </w:pPr>
      <w:r>
        <w:rPr>
          <w:sz w:val="20"/>
        </w:rPr>
        <w:t>V.</w:t>
      </w:r>
      <w:r>
        <w:rPr>
          <w:spacing w:val="-1"/>
          <w:sz w:val="20"/>
        </w:rPr>
        <w:t> </w:t>
      </w:r>
      <w:r>
        <w:rPr>
          <w:sz w:val="20"/>
        </w:rPr>
        <w:t>B.</w:t>
      </w:r>
      <w:r>
        <w:rPr>
          <w:spacing w:val="-2"/>
          <w:sz w:val="20"/>
        </w:rPr>
        <w:t> </w:t>
      </w:r>
      <w:r>
        <w:rPr>
          <w:sz w:val="20"/>
        </w:rPr>
        <w:t>Borugadda</w:t>
      </w:r>
      <w:r>
        <w:rPr>
          <w:spacing w:val="-2"/>
          <w:sz w:val="20"/>
        </w:rPr>
        <w:t> </w:t>
      </w:r>
      <w:r>
        <w:rPr>
          <w:sz w:val="20"/>
        </w:rPr>
        <w:t>and</w:t>
      </w:r>
      <w:r>
        <w:rPr>
          <w:spacing w:val="-1"/>
          <w:sz w:val="20"/>
        </w:rPr>
        <w:t> </w:t>
      </w:r>
      <w:r>
        <w:rPr>
          <w:sz w:val="20"/>
        </w:rPr>
        <w:t>V.</w:t>
      </w:r>
      <w:r>
        <w:rPr>
          <w:spacing w:val="-1"/>
          <w:sz w:val="20"/>
        </w:rPr>
        <w:t> </w:t>
      </w:r>
      <w:r>
        <w:rPr>
          <w:sz w:val="20"/>
        </w:rPr>
        <w:t>V.</w:t>
      </w:r>
      <w:r>
        <w:rPr>
          <w:spacing w:val="-3"/>
          <w:sz w:val="20"/>
        </w:rPr>
        <w:t> </w:t>
      </w:r>
      <w:r>
        <w:rPr>
          <w:sz w:val="20"/>
        </w:rPr>
        <w:t>Goud,</w:t>
      </w:r>
      <w:r>
        <w:rPr>
          <w:spacing w:val="-2"/>
          <w:sz w:val="20"/>
        </w:rPr>
        <w:t> </w:t>
      </w:r>
      <w:r>
        <w:rPr>
          <w:sz w:val="20"/>
        </w:rPr>
        <w:t>"Biodiesel</w:t>
      </w:r>
      <w:r>
        <w:rPr>
          <w:spacing w:val="-2"/>
          <w:sz w:val="20"/>
        </w:rPr>
        <w:t> </w:t>
      </w:r>
      <w:r>
        <w:rPr>
          <w:sz w:val="20"/>
        </w:rPr>
        <w:t>production</w:t>
      </w:r>
      <w:r>
        <w:rPr>
          <w:spacing w:val="-3"/>
          <w:sz w:val="20"/>
        </w:rPr>
        <w:t> </w:t>
      </w:r>
      <w:r>
        <w:rPr>
          <w:sz w:val="20"/>
        </w:rPr>
        <w:t>from</w:t>
      </w:r>
      <w:r>
        <w:rPr>
          <w:spacing w:val="-1"/>
          <w:sz w:val="20"/>
        </w:rPr>
        <w:t> </w:t>
      </w:r>
      <w:r>
        <w:rPr>
          <w:sz w:val="20"/>
        </w:rPr>
        <w:t>renewable</w:t>
      </w:r>
      <w:r>
        <w:rPr>
          <w:spacing w:val="-4"/>
          <w:sz w:val="20"/>
        </w:rPr>
        <w:t> </w:t>
      </w:r>
      <w:r>
        <w:rPr>
          <w:sz w:val="20"/>
        </w:rPr>
        <w:t>feedstocks:</w:t>
      </w:r>
      <w:r>
        <w:rPr>
          <w:spacing w:val="-2"/>
          <w:sz w:val="20"/>
        </w:rPr>
        <w:t> </w:t>
      </w:r>
      <w:r>
        <w:rPr>
          <w:sz w:val="20"/>
        </w:rPr>
        <w:t>Status</w:t>
      </w:r>
      <w:r>
        <w:rPr>
          <w:spacing w:val="-2"/>
          <w:sz w:val="20"/>
        </w:rPr>
        <w:t> </w:t>
      </w:r>
      <w:r>
        <w:rPr>
          <w:sz w:val="20"/>
        </w:rPr>
        <w:t>and</w:t>
      </w:r>
      <w:r>
        <w:rPr>
          <w:spacing w:val="-1"/>
          <w:sz w:val="20"/>
        </w:rPr>
        <w:t> </w:t>
      </w:r>
      <w:r>
        <w:rPr>
          <w:sz w:val="20"/>
        </w:rPr>
        <w:t>opportunities," Renew. Sustain. Energy Rev. vol. 16, no. 7, pp. 4763-4784, 2012, doi: 10.1016/j.rser.2012.04.010.</w:t>
      </w:r>
    </w:p>
    <w:p>
      <w:pPr>
        <w:pStyle w:val="ListParagraph"/>
        <w:numPr>
          <w:ilvl w:val="0"/>
          <w:numId w:val="1"/>
        </w:numPr>
        <w:tabs>
          <w:tab w:pos="785" w:val="left" w:leader="none"/>
          <w:tab w:pos="787" w:val="left" w:leader="none"/>
        </w:tabs>
        <w:spacing w:line="240" w:lineRule="auto" w:before="0" w:after="0"/>
        <w:ind w:left="787" w:right="357" w:hanging="428"/>
        <w:jc w:val="both"/>
        <w:rPr>
          <w:sz w:val="20"/>
        </w:rPr>
      </w:pPr>
      <w:r>
        <w:rPr>
          <w:sz w:val="20"/>
        </w:rPr>
        <w:t>F. Wang et al, "Hydrotreatment of vegetable oil for green diesel over activated carbon-supported molybdenum carbide catalyst," Fuel, vol. 216, pp. 738-746, March 2018, doi: 10.1016/J.FUEL.2017.12.059.</w:t>
      </w:r>
    </w:p>
    <w:p>
      <w:pPr>
        <w:pStyle w:val="ListParagraph"/>
        <w:numPr>
          <w:ilvl w:val="0"/>
          <w:numId w:val="1"/>
        </w:numPr>
        <w:tabs>
          <w:tab w:pos="785" w:val="left" w:leader="none"/>
          <w:tab w:pos="787" w:val="left" w:leader="none"/>
        </w:tabs>
        <w:spacing w:line="240" w:lineRule="auto" w:before="0" w:after="0"/>
        <w:ind w:left="787" w:right="363" w:hanging="428"/>
        <w:jc w:val="both"/>
        <w:rPr>
          <w:sz w:val="20"/>
        </w:rPr>
      </w:pPr>
      <w:r>
        <w:rPr>
          <w:sz w:val="20"/>
        </w:rPr>
        <w:t>M. Snåre, P. Mäki-Arvela, I. L. Simakova, J. Myllyoja, and D. Y. Murzin, "Review of catalytic methods for next-generation biodiesel production from natural oils and fats," Russ. J. Phys. Chem. B, vol. 3, no. 7, pp. 1035-1043, 2009, doi: 10.1134/S1990793109070021.</w:t>
      </w:r>
    </w:p>
    <w:p>
      <w:pPr>
        <w:pStyle w:val="ListParagraph"/>
        <w:numPr>
          <w:ilvl w:val="0"/>
          <w:numId w:val="1"/>
        </w:numPr>
        <w:tabs>
          <w:tab w:pos="785" w:val="left" w:leader="none"/>
          <w:tab w:pos="787" w:val="left" w:leader="none"/>
        </w:tabs>
        <w:spacing w:line="240" w:lineRule="auto" w:before="0" w:after="0"/>
        <w:ind w:left="787" w:right="364" w:hanging="428"/>
        <w:jc w:val="both"/>
        <w:rPr>
          <w:sz w:val="20"/>
        </w:rPr>
      </w:pPr>
      <w:r>
        <w:rPr>
          <w:sz w:val="20"/>
        </w:rPr>
        <w:t>V. Itthibenchapong, A. Srifa, and K. Faungnawakij, "Heterogeneous Catalysts for Advanced Biofuel Production," pp. 231-254, 2017, doi: 10.1007/978-3-319-45459-7_11.</w:t>
      </w:r>
    </w:p>
    <w:p>
      <w:pPr>
        <w:pStyle w:val="ListParagraph"/>
        <w:numPr>
          <w:ilvl w:val="0"/>
          <w:numId w:val="1"/>
        </w:numPr>
        <w:tabs>
          <w:tab w:pos="785" w:val="left" w:leader="none"/>
          <w:tab w:pos="787" w:val="left" w:leader="none"/>
        </w:tabs>
        <w:spacing w:line="240" w:lineRule="auto" w:before="0" w:after="0"/>
        <w:ind w:left="787" w:right="367" w:hanging="428"/>
        <w:jc w:val="both"/>
        <w:rPr>
          <w:sz w:val="20"/>
        </w:rPr>
      </w:pPr>
      <w:r>
        <w:rPr>
          <w:sz w:val="20"/>
        </w:rPr>
        <w:t>B. Veriansyah et al., "Renewable diesel production by soybean oil hydroprocessing: Effect of catalysts," Fuel, vol. 94, pp. 578-585, 2012, doi: 10.1016/j.fuel.2011.10.057.</w:t>
      </w:r>
    </w:p>
    <w:p>
      <w:pPr>
        <w:pStyle w:val="ListParagraph"/>
        <w:spacing w:after="0" w:line="240" w:lineRule="auto"/>
        <w:jc w:val="both"/>
        <w:rPr>
          <w:sz w:val="20"/>
        </w:rPr>
        <w:sectPr>
          <w:pgSz w:w="12240" w:h="15840"/>
          <w:pgMar w:top="1440" w:bottom="280" w:left="1080" w:right="1080"/>
        </w:sectPr>
      </w:pPr>
    </w:p>
    <w:p>
      <w:pPr>
        <w:pStyle w:val="ListParagraph"/>
        <w:numPr>
          <w:ilvl w:val="0"/>
          <w:numId w:val="1"/>
        </w:numPr>
        <w:tabs>
          <w:tab w:pos="785" w:val="left" w:leader="none"/>
          <w:tab w:pos="787" w:val="left" w:leader="none"/>
        </w:tabs>
        <w:spacing w:line="240" w:lineRule="auto" w:before="80" w:after="0"/>
        <w:ind w:left="787" w:right="365" w:hanging="428"/>
        <w:jc w:val="both"/>
        <w:rPr>
          <w:sz w:val="20"/>
        </w:rPr>
      </w:pPr>
      <w:r>
        <w:rPr>
          <w:sz w:val="20"/>
        </w:rPr>
        <w:t>L.</w:t>
      </w:r>
      <w:r>
        <w:rPr>
          <w:spacing w:val="-1"/>
          <w:sz w:val="20"/>
        </w:rPr>
        <w:t> </w:t>
      </w:r>
      <w:r>
        <w:rPr>
          <w:sz w:val="20"/>
        </w:rPr>
        <w:t>N. Silva,</w:t>
      </w:r>
      <w:r>
        <w:rPr>
          <w:spacing w:val="-2"/>
          <w:sz w:val="20"/>
        </w:rPr>
        <w:t> </w:t>
      </w:r>
      <w:r>
        <w:rPr>
          <w:sz w:val="20"/>
        </w:rPr>
        <w:t>I.</w:t>
      </w:r>
      <w:r>
        <w:rPr>
          <w:spacing w:val="-3"/>
          <w:sz w:val="20"/>
        </w:rPr>
        <w:t> </w:t>
      </w:r>
      <w:r>
        <w:rPr>
          <w:sz w:val="20"/>
        </w:rPr>
        <w:t>C.</w:t>
      </w:r>
      <w:r>
        <w:rPr>
          <w:spacing w:val="-1"/>
          <w:sz w:val="20"/>
        </w:rPr>
        <w:t> </w:t>
      </w:r>
      <w:r>
        <w:rPr>
          <w:sz w:val="20"/>
        </w:rPr>
        <w:t>P.</w:t>
      </w:r>
      <w:r>
        <w:rPr>
          <w:spacing w:val="-1"/>
          <w:sz w:val="20"/>
        </w:rPr>
        <w:t> </w:t>
      </w:r>
      <w:r>
        <w:rPr>
          <w:sz w:val="20"/>
        </w:rPr>
        <w:t>Fortes,</w:t>
      </w:r>
      <w:r>
        <w:rPr>
          <w:spacing w:val="-1"/>
          <w:sz w:val="20"/>
        </w:rPr>
        <w:t> </w:t>
      </w:r>
      <w:r>
        <w:rPr>
          <w:sz w:val="20"/>
        </w:rPr>
        <w:t>F.</w:t>
      </w:r>
      <w:r>
        <w:rPr>
          <w:spacing w:val="-3"/>
          <w:sz w:val="20"/>
        </w:rPr>
        <w:t> </w:t>
      </w:r>
      <w:r>
        <w:rPr>
          <w:sz w:val="20"/>
        </w:rPr>
        <w:t>P.</w:t>
      </w:r>
      <w:r>
        <w:rPr>
          <w:spacing w:val="-1"/>
          <w:sz w:val="20"/>
        </w:rPr>
        <w:t> </w:t>
      </w:r>
      <w:r>
        <w:rPr>
          <w:sz w:val="20"/>
        </w:rPr>
        <w:t>De Sousa, and</w:t>
      </w:r>
      <w:r>
        <w:rPr>
          <w:spacing w:val="-2"/>
          <w:sz w:val="20"/>
        </w:rPr>
        <w:t> </w:t>
      </w:r>
      <w:r>
        <w:rPr>
          <w:sz w:val="20"/>
        </w:rPr>
        <w:t>V. M.</w:t>
      </w:r>
      <w:r>
        <w:rPr>
          <w:spacing w:val="-2"/>
          <w:sz w:val="20"/>
        </w:rPr>
        <w:t> </w:t>
      </w:r>
      <w:r>
        <w:rPr>
          <w:sz w:val="20"/>
        </w:rPr>
        <w:t>D. Pasa, "Biokerosine</w:t>
      </w:r>
      <w:r>
        <w:rPr>
          <w:spacing w:val="-1"/>
          <w:sz w:val="20"/>
        </w:rPr>
        <w:t> </w:t>
      </w:r>
      <w:r>
        <w:rPr>
          <w:sz w:val="20"/>
        </w:rPr>
        <w:t>and</w:t>
      </w:r>
      <w:r>
        <w:rPr>
          <w:spacing w:val="-2"/>
          <w:sz w:val="20"/>
        </w:rPr>
        <w:t> </w:t>
      </w:r>
      <w:r>
        <w:rPr>
          <w:sz w:val="20"/>
        </w:rPr>
        <w:t>green</w:t>
      </w:r>
      <w:r>
        <w:rPr>
          <w:spacing w:val="-2"/>
          <w:sz w:val="20"/>
        </w:rPr>
        <w:t> </w:t>
      </w:r>
      <w:r>
        <w:rPr>
          <w:sz w:val="20"/>
        </w:rPr>
        <w:t>diesel</w:t>
      </w:r>
      <w:r>
        <w:rPr>
          <w:spacing w:val="-1"/>
          <w:sz w:val="20"/>
        </w:rPr>
        <w:t> </w:t>
      </w:r>
      <w:r>
        <w:rPr>
          <w:sz w:val="20"/>
        </w:rPr>
        <w:t>from</w:t>
      </w:r>
      <w:r>
        <w:rPr>
          <w:spacing w:val="-2"/>
          <w:sz w:val="20"/>
        </w:rPr>
        <w:t> </w:t>
      </w:r>
      <w:r>
        <w:rPr>
          <w:sz w:val="20"/>
        </w:rPr>
        <w:t>macauba</w:t>
      </w:r>
      <w:r>
        <w:rPr>
          <w:spacing w:val="-3"/>
          <w:sz w:val="20"/>
        </w:rPr>
        <w:t> </w:t>
      </w:r>
      <w:r>
        <w:rPr>
          <w:sz w:val="20"/>
        </w:rPr>
        <w:t>oil via catalytic deoxygenation over Pd/C," Fuel, vol. 164, pp. 329-338, 2016, doi: 10.1016/j.fuel.2015.09.081.</w:t>
      </w:r>
    </w:p>
    <w:p>
      <w:pPr>
        <w:pStyle w:val="ListParagraph"/>
        <w:numPr>
          <w:ilvl w:val="0"/>
          <w:numId w:val="1"/>
        </w:numPr>
        <w:tabs>
          <w:tab w:pos="785" w:val="left" w:leader="none"/>
          <w:tab w:pos="787" w:val="left" w:leader="none"/>
        </w:tabs>
        <w:spacing w:line="240" w:lineRule="auto" w:before="0" w:after="0"/>
        <w:ind w:left="787" w:right="361" w:hanging="428"/>
        <w:jc w:val="both"/>
        <w:rPr>
          <w:sz w:val="20"/>
        </w:rPr>
      </w:pPr>
      <w:r>
        <w:rPr>
          <w:sz w:val="20"/>
        </w:rPr>
        <w:t>A. E. Coumans and E.J.M. Hensen, "Study of model compound (methyl oleate, oleic acid, triolein) hydrodeoxygenation</w:t>
      </w:r>
      <w:r>
        <w:rPr>
          <w:spacing w:val="-1"/>
          <w:sz w:val="20"/>
        </w:rPr>
        <w:t> </w:t>
      </w:r>
      <w:r>
        <w:rPr>
          <w:sz w:val="20"/>
        </w:rPr>
        <w:t>of</w:t>
      </w:r>
      <w:r>
        <w:rPr>
          <w:spacing w:val="-1"/>
          <w:sz w:val="20"/>
        </w:rPr>
        <w:t> </w:t>
      </w:r>
      <w:r>
        <w:rPr>
          <w:sz w:val="20"/>
        </w:rPr>
        <w:t>triglycerides</w:t>
      </w:r>
      <w:r>
        <w:rPr>
          <w:spacing w:val="-2"/>
          <w:sz w:val="20"/>
        </w:rPr>
        <w:t> </w:t>
      </w:r>
      <w:r>
        <w:rPr>
          <w:sz w:val="20"/>
        </w:rPr>
        <w:t>over</w:t>
      </w:r>
      <w:r>
        <w:rPr>
          <w:spacing w:val="-1"/>
          <w:sz w:val="20"/>
        </w:rPr>
        <w:t> </w:t>
      </w:r>
      <w:r>
        <w:rPr>
          <w:sz w:val="20"/>
        </w:rPr>
        <w:t>alumina-supported</w:t>
      </w:r>
      <w:r>
        <w:rPr>
          <w:spacing w:val="-3"/>
          <w:sz w:val="20"/>
        </w:rPr>
        <w:t> </w:t>
      </w:r>
      <w:r>
        <w:rPr>
          <w:sz w:val="20"/>
        </w:rPr>
        <w:t>NiMo sulfides,"</w:t>
      </w:r>
      <w:r>
        <w:rPr>
          <w:spacing w:val="-1"/>
          <w:sz w:val="20"/>
        </w:rPr>
        <w:t> </w:t>
      </w:r>
      <w:r>
        <w:rPr>
          <w:sz w:val="20"/>
        </w:rPr>
        <w:t>Appl.</w:t>
      </w:r>
      <w:r>
        <w:rPr>
          <w:spacing w:val="-2"/>
          <w:sz w:val="20"/>
        </w:rPr>
        <w:t> </w:t>
      </w:r>
      <w:r>
        <w:rPr>
          <w:sz w:val="20"/>
        </w:rPr>
        <w:t>Opt.</w:t>
      </w:r>
      <w:r>
        <w:rPr>
          <w:spacing w:val="-2"/>
          <w:sz w:val="20"/>
        </w:rPr>
        <w:t> </w:t>
      </w:r>
      <w:r>
        <w:rPr>
          <w:sz w:val="20"/>
        </w:rPr>
        <w:t>Catal.</w:t>
      </w:r>
      <w:r>
        <w:rPr>
          <w:spacing w:val="-1"/>
          <w:sz w:val="20"/>
        </w:rPr>
        <w:t> </w:t>
      </w:r>
      <w:r>
        <w:rPr>
          <w:sz w:val="20"/>
        </w:rPr>
        <w:t>B</w:t>
      </w:r>
      <w:r>
        <w:rPr>
          <w:spacing w:val="-3"/>
          <w:sz w:val="20"/>
        </w:rPr>
        <w:t> </w:t>
      </w:r>
      <w:r>
        <w:rPr>
          <w:sz w:val="20"/>
        </w:rPr>
        <w:t>Environ,</w:t>
      </w:r>
      <w:r>
        <w:rPr>
          <w:spacing w:val="-2"/>
          <w:sz w:val="20"/>
        </w:rPr>
        <w:t> </w:t>
      </w:r>
      <w:r>
        <w:rPr>
          <w:sz w:val="20"/>
        </w:rPr>
        <w:t>vol. 201, pp. 290-301, 2017, doi: 10.1016/j.apcatb.2016.08.036.</w:t>
      </w:r>
    </w:p>
    <w:p>
      <w:pPr>
        <w:pStyle w:val="ListParagraph"/>
        <w:numPr>
          <w:ilvl w:val="0"/>
          <w:numId w:val="1"/>
        </w:numPr>
        <w:tabs>
          <w:tab w:pos="785" w:val="left" w:leader="none"/>
          <w:tab w:pos="787" w:val="left" w:leader="none"/>
        </w:tabs>
        <w:spacing w:line="240" w:lineRule="auto" w:before="0" w:after="0"/>
        <w:ind w:left="787" w:right="368" w:hanging="428"/>
        <w:jc w:val="both"/>
        <w:rPr>
          <w:sz w:val="20"/>
        </w:rPr>
      </w:pPr>
      <w:r>
        <w:rPr>
          <w:sz w:val="20"/>
        </w:rPr>
        <w:t>S. A. W. Hollak, R. W. Gosselink, V. D. S. Es, and J. H. Bitter, "Comparison of Tungsten and Molybdenum carbide catalysts for HDO of oleic acid," ACS Catal.</w:t>
      </w:r>
    </w:p>
    <w:p>
      <w:pPr>
        <w:pStyle w:val="ListParagraph"/>
        <w:numPr>
          <w:ilvl w:val="0"/>
          <w:numId w:val="1"/>
        </w:numPr>
        <w:tabs>
          <w:tab w:pos="785" w:val="left" w:leader="none"/>
          <w:tab w:pos="787" w:val="left" w:leader="none"/>
        </w:tabs>
        <w:spacing w:line="240" w:lineRule="auto" w:before="1" w:after="0"/>
        <w:ind w:left="787" w:right="359" w:hanging="428"/>
        <w:jc w:val="both"/>
        <w:rPr>
          <w:sz w:val="20"/>
        </w:rPr>
      </w:pPr>
      <w:r>
        <w:rPr>
          <w:sz w:val="20"/>
        </w:rPr>
        <w:t>J.</w:t>
      </w:r>
      <w:r>
        <w:rPr>
          <w:spacing w:val="-2"/>
          <w:sz w:val="20"/>
        </w:rPr>
        <w:t> </w:t>
      </w:r>
      <w:r>
        <w:rPr>
          <w:sz w:val="20"/>
        </w:rPr>
        <w:t>Han,</w:t>
      </w:r>
      <w:r>
        <w:rPr>
          <w:spacing w:val="-2"/>
          <w:sz w:val="20"/>
        </w:rPr>
        <w:t> </w:t>
      </w:r>
      <w:r>
        <w:rPr>
          <w:sz w:val="20"/>
        </w:rPr>
        <w:t>J.</w:t>
      </w:r>
      <w:r>
        <w:rPr>
          <w:spacing w:val="-2"/>
          <w:sz w:val="20"/>
        </w:rPr>
        <w:t> </w:t>
      </w:r>
      <w:r>
        <w:rPr>
          <w:sz w:val="20"/>
        </w:rPr>
        <w:t>Duan,</w:t>
      </w:r>
      <w:r>
        <w:rPr>
          <w:spacing w:val="-2"/>
          <w:sz w:val="20"/>
        </w:rPr>
        <w:t> </w:t>
      </w:r>
      <w:r>
        <w:rPr>
          <w:sz w:val="20"/>
        </w:rPr>
        <w:t>P.</w:t>
      </w:r>
      <w:r>
        <w:rPr>
          <w:spacing w:val="-2"/>
          <w:sz w:val="20"/>
        </w:rPr>
        <w:t> </w:t>
      </w:r>
      <w:r>
        <w:rPr>
          <w:sz w:val="20"/>
        </w:rPr>
        <w:t>Chen,</w:t>
      </w:r>
      <w:r>
        <w:rPr>
          <w:spacing w:val="-2"/>
          <w:sz w:val="20"/>
        </w:rPr>
        <w:t> </w:t>
      </w:r>
      <w:r>
        <w:rPr>
          <w:sz w:val="20"/>
        </w:rPr>
        <w:t>H.</w:t>
      </w:r>
      <w:r>
        <w:rPr>
          <w:spacing w:val="-2"/>
          <w:sz w:val="20"/>
        </w:rPr>
        <w:t> </w:t>
      </w:r>
      <w:r>
        <w:rPr>
          <w:sz w:val="20"/>
        </w:rPr>
        <w:t>Lou,</w:t>
      </w:r>
      <w:r>
        <w:rPr>
          <w:spacing w:val="-2"/>
          <w:sz w:val="20"/>
        </w:rPr>
        <w:t> </w:t>
      </w:r>
      <w:r>
        <w:rPr>
          <w:sz w:val="20"/>
        </w:rPr>
        <w:t>X.</w:t>
      </w:r>
      <w:r>
        <w:rPr>
          <w:spacing w:val="-2"/>
          <w:sz w:val="20"/>
        </w:rPr>
        <w:t> </w:t>
      </w:r>
      <w:r>
        <w:rPr>
          <w:sz w:val="20"/>
        </w:rPr>
        <w:t>Zheng,</w:t>
      </w:r>
      <w:r>
        <w:rPr>
          <w:spacing w:val="-2"/>
          <w:sz w:val="20"/>
        </w:rPr>
        <w:t> </w:t>
      </w:r>
      <w:r>
        <w:rPr>
          <w:sz w:val="20"/>
        </w:rPr>
        <w:t>and</w:t>
      </w:r>
      <w:r>
        <w:rPr>
          <w:spacing w:val="-1"/>
          <w:sz w:val="20"/>
        </w:rPr>
        <w:t> </w:t>
      </w:r>
      <w:r>
        <w:rPr>
          <w:sz w:val="20"/>
        </w:rPr>
        <w:t>H.</w:t>
      </w:r>
      <w:r>
        <w:rPr>
          <w:spacing w:val="-2"/>
          <w:sz w:val="20"/>
        </w:rPr>
        <w:t> </w:t>
      </w:r>
      <w:r>
        <w:rPr>
          <w:sz w:val="20"/>
        </w:rPr>
        <w:t>Hong,</w:t>
      </w:r>
      <w:r>
        <w:rPr>
          <w:spacing w:val="-2"/>
          <w:sz w:val="20"/>
        </w:rPr>
        <w:t> </w:t>
      </w:r>
      <w:r>
        <w:rPr>
          <w:sz w:val="20"/>
        </w:rPr>
        <w:t>"Carbon-supported</w:t>
      </w:r>
      <w:r>
        <w:rPr>
          <w:spacing w:val="-1"/>
          <w:sz w:val="20"/>
        </w:rPr>
        <w:t> </w:t>
      </w:r>
      <w:r>
        <w:rPr>
          <w:sz w:val="20"/>
        </w:rPr>
        <w:t>molybdenum</w:t>
      </w:r>
      <w:r>
        <w:rPr>
          <w:spacing w:val="-1"/>
          <w:sz w:val="20"/>
        </w:rPr>
        <w:t> </w:t>
      </w:r>
      <w:r>
        <w:rPr>
          <w:sz w:val="20"/>
        </w:rPr>
        <w:t>carbide</w:t>
      </w:r>
      <w:r>
        <w:rPr>
          <w:spacing w:val="-2"/>
          <w:sz w:val="20"/>
        </w:rPr>
        <w:t> </w:t>
      </w:r>
      <w:r>
        <w:rPr>
          <w:sz w:val="20"/>
        </w:rPr>
        <w:t>catalyst</w:t>
      </w:r>
      <w:r>
        <w:rPr>
          <w:spacing w:val="-3"/>
          <w:sz w:val="20"/>
        </w:rPr>
        <w:t> </w:t>
      </w:r>
      <w:r>
        <w:rPr>
          <w:sz w:val="20"/>
        </w:rPr>
        <w:t>for vegetable oil conversion," ChemSusChem, vol. 5, no. 4, pp. 727-733, 2012, doi: 10.1002/cssc.201100476.</w:t>
      </w:r>
    </w:p>
    <w:p>
      <w:pPr>
        <w:pStyle w:val="ListParagraph"/>
        <w:numPr>
          <w:ilvl w:val="0"/>
          <w:numId w:val="1"/>
        </w:numPr>
        <w:tabs>
          <w:tab w:pos="785" w:val="left" w:leader="none"/>
          <w:tab w:pos="787" w:val="left" w:leader="none"/>
        </w:tabs>
        <w:spacing w:line="240" w:lineRule="auto" w:before="0" w:after="0"/>
        <w:ind w:left="787" w:right="362" w:hanging="428"/>
        <w:jc w:val="both"/>
        <w:rPr>
          <w:sz w:val="20"/>
        </w:rPr>
      </w:pPr>
      <w:r>
        <w:rPr>
          <w:sz w:val="20"/>
        </w:rPr>
        <w:t>J. H. Bitter, Daniel R. Stellwagen, "Structure-performance relationships of molybdenum and tungsten carbide catalysts for deoxygenation," JGreen Chem, 2014, doi: 10.1039/b000000x.</w:t>
      </w:r>
    </w:p>
    <w:p>
      <w:pPr>
        <w:pStyle w:val="ListParagraph"/>
        <w:numPr>
          <w:ilvl w:val="0"/>
          <w:numId w:val="1"/>
        </w:numPr>
        <w:tabs>
          <w:tab w:pos="785" w:val="left" w:leader="none"/>
          <w:tab w:pos="787" w:val="left" w:leader="none"/>
        </w:tabs>
        <w:spacing w:line="240" w:lineRule="auto" w:before="0" w:after="0"/>
        <w:ind w:left="787" w:right="366" w:hanging="428"/>
        <w:jc w:val="both"/>
        <w:rPr>
          <w:sz w:val="20"/>
        </w:rPr>
      </w:pPr>
      <w:r>
        <w:rPr>
          <w:sz w:val="20"/>
        </w:rPr>
        <w:t>Y. Yunardi, H. Meilina, U. Fathanah, R. Mahadina, A. Rinaldi, and J. Jauharlina, "Potential of vegetable oil production from rice bran in Indonesia: A review," IOP Conf. Ser. Mater. Sci. Eng, vol. 845, no. 1, 2020, doi: </w:t>
      </w:r>
      <w:r>
        <w:rPr>
          <w:spacing w:val="-2"/>
          <w:sz w:val="20"/>
        </w:rPr>
        <w:t>10.1088/1757-899X/845/1/012030.</w:t>
      </w:r>
    </w:p>
    <w:p>
      <w:pPr>
        <w:pStyle w:val="ListParagraph"/>
        <w:numPr>
          <w:ilvl w:val="0"/>
          <w:numId w:val="1"/>
        </w:numPr>
        <w:tabs>
          <w:tab w:pos="785" w:val="left" w:leader="none"/>
          <w:tab w:pos="787" w:val="left" w:leader="none"/>
        </w:tabs>
        <w:spacing w:line="240" w:lineRule="auto" w:before="0" w:after="0"/>
        <w:ind w:left="787" w:right="365" w:hanging="428"/>
        <w:jc w:val="both"/>
        <w:rPr>
          <w:sz w:val="20"/>
        </w:rPr>
      </w:pPr>
      <w:r>
        <w:rPr>
          <w:sz w:val="20"/>
        </w:rPr>
        <w:t>V. P.</w:t>
      </w:r>
      <w:r>
        <w:rPr>
          <w:spacing w:val="-1"/>
          <w:sz w:val="20"/>
        </w:rPr>
        <w:t> </w:t>
      </w:r>
      <w:r>
        <w:rPr>
          <w:sz w:val="20"/>
        </w:rPr>
        <w:t>Della, I.</w:t>
      </w:r>
      <w:r>
        <w:rPr>
          <w:spacing w:val="-1"/>
          <w:sz w:val="20"/>
        </w:rPr>
        <w:t> </w:t>
      </w:r>
      <w:r>
        <w:rPr>
          <w:sz w:val="20"/>
        </w:rPr>
        <w:t>Kühn,</w:t>
      </w:r>
      <w:r>
        <w:rPr>
          <w:spacing w:val="-1"/>
          <w:sz w:val="20"/>
        </w:rPr>
        <w:t> </w:t>
      </w:r>
      <w:r>
        <w:rPr>
          <w:sz w:val="20"/>
        </w:rPr>
        <w:t>and D. Hotza, "Rice husk ash as</w:t>
      </w:r>
      <w:r>
        <w:rPr>
          <w:spacing w:val="-1"/>
          <w:sz w:val="20"/>
        </w:rPr>
        <w:t> </w:t>
      </w:r>
      <w:r>
        <w:rPr>
          <w:sz w:val="20"/>
        </w:rPr>
        <w:t>an alternative</w:t>
      </w:r>
      <w:r>
        <w:rPr>
          <w:spacing w:val="-1"/>
          <w:sz w:val="20"/>
        </w:rPr>
        <w:t> </w:t>
      </w:r>
      <w:r>
        <w:rPr>
          <w:sz w:val="20"/>
        </w:rPr>
        <w:t>source for active</w:t>
      </w:r>
      <w:r>
        <w:rPr>
          <w:spacing w:val="-1"/>
          <w:sz w:val="20"/>
        </w:rPr>
        <w:t> </w:t>
      </w:r>
      <w:r>
        <w:rPr>
          <w:sz w:val="20"/>
        </w:rPr>
        <w:t>silica</w:t>
      </w:r>
      <w:r>
        <w:rPr>
          <w:spacing w:val="-1"/>
          <w:sz w:val="20"/>
        </w:rPr>
        <w:t> </w:t>
      </w:r>
      <w:r>
        <w:rPr>
          <w:sz w:val="20"/>
        </w:rPr>
        <w:t>production,"</w:t>
      </w:r>
      <w:r>
        <w:rPr>
          <w:spacing w:val="-1"/>
          <w:sz w:val="20"/>
        </w:rPr>
        <w:t> </w:t>
      </w:r>
      <w:r>
        <w:rPr>
          <w:sz w:val="20"/>
        </w:rPr>
        <w:t>Mater. Lett. vol. 57, no. 4, pp. 818-821, 2002, doi: 10.1016/S0167-577X(02)00879-0.</w:t>
      </w:r>
    </w:p>
    <w:p>
      <w:pPr>
        <w:pStyle w:val="ListParagraph"/>
        <w:numPr>
          <w:ilvl w:val="0"/>
          <w:numId w:val="1"/>
        </w:numPr>
        <w:tabs>
          <w:tab w:pos="785" w:val="left" w:leader="none"/>
          <w:tab w:pos="787" w:val="left" w:leader="none"/>
        </w:tabs>
        <w:spacing w:line="240" w:lineRule="auto" w:before="0" w:after="0"/>
        <w:ind w:left="787" w:right="356" w:hanging="428"/>
        <w:jc w:val="both"/>
        <w:rPr>
          <w:sz w:val="20"/>
        </w:rPr>
      </w:pPr>
      <w:r>
        <w:rPr>
          <w:sz w:val="20"/>
        </w:rPr>
        <w:t>C. Chen et al, "Vapor phase hydrodeoxygenation and hydrogenation of m-cresol on silica-supported Ni, Pd,</w:t>
      </w:r>
      <w:r>
        <w:rPr>
          <w:spacing w:val="40"/>
          <w:sz w:val="20"/>
        </w:rPr>
        <w:t> </w:t>
      </w:r>
      <w:r>
        <w:rPr>
          <w:sz w:val="20"/>
        </w:rPr>
        <w:t>and Pt catalysts," Chem. Eng. Sci., vol. 135, pp. 145-154, 2015, doi: 10.1016/j.ces.2015.04.054.</w:t>
      </w:r>
    </w:p>
    <w:p>
      <w:pPr>
        <w:pStyle w:val="ListParagraph"/>
        <w:numPr>
          <w:ilvl w:val="0"/>
          <w:numId w:val="1"/>
        </w:numPr>
        <w:tabs>
          <w:tab w:pos="785" w:val="left" w:leader="none"/>
          <w:tab w:pos="787" w:val="left" w:leader="none"/>
        </w:tabs>
        <w:spacing w:line="240" w:lineRule="auto" w:before="1" w:after="0"/>
        <w:ind w:left="787" w:right="355" w:hanging="428"/>
        <w:jc w:val="both"/>
        <w:rPr>
          <w:sz w:val="20"/>
        </w:rPr>
      </w:pPr>
      <w:r>
        <w:rPr>
          <w:sz w:val="20"/>
        </w:rPr>
        <w:t>P. P. Nayak and A. K. Datta, "Synthesis of SiO2-Nanoparticles from Rice Husk Ash and Comparison with Commercial Amorphous Silica through Material Characterization," silicon, vol. 13, no. 4, pp. 1209-1214, Apr. 2021, doi: 10.1007/S12633-020-00509-Y/METRICS.</w:t>
      </w:r>
    </w:p>
    <w:p>
      <w:pPr>
        <w:pStyle w:val="ListParagraph"/>
        <w:numPr>
          <w:ilvl w:val="0"/>
          <w:numId w:val="1"/>
        </w:numPr>
        <w:tabs>
          <w:tab w:pos="785" w:val="left" w:leader="none"/>
          <w:tab w:pos="787" w:val="left" w:leader="none"/>
        </w:tabs>
        <w:spacing w:line="240" w:lineRule="auto" w:before="0" w:after="0"/>
        <w:ind w:left="787" w:right="355" w:hanging="428"/>
        <w:jc w:val="both"/>
        <w:rPr>
          <w:sz w:val="20"/>
        </w:rPr>
      </w:pPr>
      <w:r>
        <w:rPr>
          <w:sz w:val="20"/>
        </w:rPr>
        <w:t>M. Thiedeitz, W. Schmidt, M. Härder, and T. Kränkel, "Performance of rice husk ash as an additional cementitious material after field and laboratory production," Materials (Basel), vol. 13, no. 19, pp. 1-17, 2020, doi: 10.3390/ma13194319.</w:t>
      </w:r>
    </w:p>
    <w:p>
      <w:pPr>
        <w:pStyle w:val="ListParagraph"/>
        <w:numPr>
          <w:ilvl w:val="0"/>
          <w:numId w:val="1"/>
        </w:numPr>
        <w:tabs>
          <w:tab w:pos="785" w:val="left" w:leader="none"/>
          <w:tab w:pos="787" w:val="left" w:leader="none"/>
        </w:tabs>
        <w:spacing w:line="240" w:lineRule="auto" w:before="0" w:after="0"/>
        <w:ind w:left="787" w:right="365" w:hanging="428"/>
        <w:jc w:val="both"/>
        <w:rPr>
          <w:sz w:val="20"/>
        </w:rPr>
      </w:pPr>
      <w:r>
        <w:rPr>
          <w:sz w:val="20"/>
        </w:rPr>
        <w:t>Bakri,</w:t>
      </w:r>
      <w:r>
        <w:rPr>
          <w:spacing w:val="-2"/>
          <w:sz w:val="20"/>
        </w:rPr>
        <w:t> </w:t>
      </w:r>
      <w:r>
        <w:rPr>
          <w:sz w:val="20"/>
        </w:rPr>
        <w:t>"Chemical</w:t>
      </w:r>
      <w:r>
        <w:rPr>
          <w:spacing w:val="-2"/>
          <w:sz w:val="20"/>
        </w:rPr>
        <w:t> </w:t>
      </w:r>
      <w:r>
        <w:rPr>
          <w:sz w:val="20"/>
        </w:rPr>
        <w:t>and</w:t>
      </w:r>
      <w:r>
        <w:rPr>
          <w:spacing w:val="-3"/>
          <w:sz w:val="20"/>
        </w:rPr>
        <w:t> </w:t>
      </w:r>
      <w:r>
        <w:rPr>
          <w:sz w:val="20"/>
        </w:rPr>
        <w:t>Physical</w:t>
      </w:r>
      <w:r>
        <w:rPr>
          <w:spacing w:val="-2"/>
          <w:sz w:val="20"/>
        </w:rPr>
        <w:t> </w:t>
      </w:r>
      <w:r>
        <w:rPr>
          <w:sz w:val="20"/>
        </w:rPr>
        <w:t>Components</w:t>
      </w:r>
      <w:r>
        <w:rPr>
          <w:spacing w:val="-3"/>
          <w:sz w:val="20"/>
        </w:rPr>
        <w:t> </w:t>
      </w:r>
      <w:r>
        <w:rPr>
          <w:sz w:val="20"/>
        </w:rPr>
        <w:t>of</w:t>
      </w:r>
      <w:r>
        <w:rPr>
          <w:spacing w:val="-3"/>
          <w:sz w:val="20"/>
        </w:rPr>
        <w:t> </w:t>
      </w:r>
      <w:r>
        <w:rPr>
          <w:sz w:val="20"/>
        </w:rPr>
        <w:t>Rice</w:t>
      </w:r>
      <w:r>
        <w:rPr>
          <w:spacing w:val="-1"/>
          <w:sz w:val="20"/>
        </w:rPr>
        <w:t> </w:t>
      </w:r>
      <w:r>
        <w:rPr>
          <w:sz w:val="20"/>
        </w:rPr>
        <w:t>Husk</w:t>
      </w:r>
      <w:r>
        <w:rPr>
          <w:spacing w:val="-1"/>
          <w:sz w:val="20"/>
        </w:rPr>
        <w:t> </w:t>
      </w:r>
      <w:r>
        <w:rPr>
          <w:sz w:val="20"/>
        </w:rPr>
        <w:t>Ash</w:t>
      </w:r>
      <w:r>
        <w:rPr>
          <w:spacing w:val="-1"/>
          <w:sz w:val="20"/>
        </w:rPr>
        <w:t> </w:t>
      </w:r>
      <w:r>
        <w:rPr>
          <w:sz w:val="20"/>
        </w:rPr>
        <w:t>as</w:t>
      </w:r>
      <w:r>
        <w:rPr>
          <w:spacing w:val="-2"/>
          <w:sz w:val="20"/>
        </w:rPr>
        <w:t> </w:t>
      </w:r>
      <w:r>
        <w:rPr>
          <w:sz w:val="20"/>
        </w:rPr>
        <w:t>Scm</w:t>
      </w:r>
      <w:r>
        <w:rPr>
          <w:spacing w:val="-1"/>
          <w:sz w:val="20"/>
        </w:rPr>
        <w:t> </w:t>
      </w:r>
      <w:r>
        <w:rPr>
          <w:sz w:val="20"/>
        </w:rPr>
        <w:t>for</w:t>
      </w:r>
      <w:r>
        <w:rPr>
          <w:spacing w:val="-1"/>
          <w:sz w:val="20"/>
        </w:rPr>
        <w:t> </w:t>
      </w:r>
      <w:r>
        <w:rPr>
          <w:sz w:val="20"/>
        </w:rPr>
        <w:t>Cement</w:t>
      </w:r>
      <w:r>
        <w:rPr>
          <w:spacing w:val="-4"/>
          <w:sz w:val="20"/>
        </w:rPr>
        <w:t> </w:t>
      </w:r>
      <w:r>
        <w:rPr>
          <w:sz w:val="20"/>
        </w:rPr>
        <w:t>Composites,"</w:t>
      </w:r>
      <w:r>
        <w:rPr>
          <w:spacing w:val="-2"/>
          <w:sz w:val="20"/>
        </w:rPr>
        <w:t> </w:t>
      </w:r>
      <w:r>
        <w:rPr>
          <w:sz w:val="20"/>
        </w:rPr>
        <w:t>Perennial,</w:t>
      </w:r>
      <w:r>
        <w:rPr>
          <w:spacing w:val="-2"/>
          <w:sz w:val="20"/>
        </w:rPr>
        <w:t> </w:t>
      </w:r>
      <w:r>
        <w:rPr>
          <w:sz w:val="20"/>
        </w:rPr>
        <w:t>vol. 5, no. 1, pp. 9, 2009, doi: 10.24259/perennial.v5i1.184.</w:t>
      </w:r>
    </w:p>
    <w:p>
      <w:pPr>
        <w:pStyle w:val="ListParagraph"/>
        <w:numPr>
          <w:ilvl w:val="0"/>
          <w:numId w:val="1"/>
        </w:numPr>
        <w:tabs>
          <w:tab w:pos="785" w:val="left" w:leader="none"/>
          <w:tab w:pos="787" w:val="left" w:leader="none"/>
        </w:tabs>
        <w:spacing w:line="240" w:lineRule="auto" w:before="0" w:after="0"/>
        <w:ind w:left="787" w:right="368" w:hanging="428"/>
        <w:jc w:val="both"/>
        <w:rPr>
          <w:sz w:val="20"/>
        </w:rPr>
      </w:pPr>
      <w:r>
        <w:rPr>
          <w:sz w:val="20"/>
        </w:rPr>
        <w:t>K. Kartini, H. B. Mahmud, and M. S. Hamidah, "Absorption and permeability performance of selangor rice husk ash mixture in high strength concrete," J. Eng. Sci. Technol., vol. 5, no. 1, pp. 1-16, 2010.</w:t>
      </w:r>
    </w:p>
    <w:p>
      <w:pPr>
        <w:pStyle w:val="ListParagraph"/>
        <w:numPr>
          <w:ilvl w:val="0"/>
          <w:numId w:val="1"/>
        </w:numPr>
        <w:tabs>
          <w:tab w:pos="785" w:val="left" w:leader="none"/>
          <w:tab w:pos="787" w:val="left" w:leader="none"/>
        </w:tabs>
        <w:spacing w:line="240" w:lineRule="auto" w:before="0" w:after="0"/>
        <w:ind w:left="787" w:right="355" w:hanging="428"/>
        <w:jc w:val="both"/>
        <w:rPr>
          <w:sz w:val="20"/>
        </w:rPr>
      </w:pPr>
      <w:r>
        <w:rPr>
          <w:sz w:val="20"/>
        </w:rPr>
        <w:t>B. Peng, X. Yuan, C. Zhao, and J.A. Lercher, "Stabilizing catalytic pathways through redundancy: Selective reduction of microalgal oils to alkanes," J. Am. Chem. Soc, vol. 134, no. 22, pp. 9400-9405, 2012, doi: </w:t>
      </w:r>
      <w:r>
        <w:rPr>
          <w:spacing w:val="-2"/>
          <w:sz w:val="20"/>
        </w:rPr>
        <w:t>10.1021/ja302436q.</w:t>
      </w:r>
    </w:p>
    <w:p>
      <w:pPr>
        <w:pStyle w:val="ListParagraph"/>
        <w:numPr>
          <w:ilvl w:val="0"/>
          <w:numId w:val="1"/>
        </w:numPr>
        <w:tabs>
          <w:tab w:pos="785" w:val="left" w:leader="none"/>
          <w:tab w:pos="787" w:val="left" w:leader="none"/>
        </w:tabs>
        <w:spacing w:line="240" w:lineRule="auto" w:before="0" w:after="0"/>
        <w:ind w:left="787" w:right="354" w:hanging="428"/>
        <w:jc w:val="both"/>
        <w:rPr>
          <w:sz w:val="20"/>
        </w:rPr>
      </w:pPr>
      <w:r>
        <w:rPr>
          <w:sz w:val="20"/>
        </w:rPr>
        <w:t>B. Peng, C. Zhao, S. Kasakov, S. Foraita, and J.A. Lercher, "Manipulating the catalytic pathway: Deoxygenation of palmitic acid on multifunctional catalysts," Chem. - A Eur. J., vol. 19, no. 15, pp. 4732- 4741, 2013, doi: 10.1002/chem.201203110.</w:t>
      </w:r>
    </w:p>
    <w:p>
      <w:pPr>
        <w:pStyle w:val="ListParagraph"/>
        <w:numPr>
          <w:ilvl w:val="0"/>
          <w:numId w:val="1"/>
        </w:numPr>
        <w:tabs>
          <w:tab w:pos="785" w:val="left" w:leader="none"/>
          <w:tab w:pos="787" w:val="left" w:leader="none"/>
        </w:tabs>
        <w:spacing w:line="240" w:lineRule="auto" w:before="0" w:after="0"/>
        <w:ind w:left="787" w:right="363" w:hanging="428"/>
        <w:jc w:val="both"/>
        <w:rPr>
          <w:sz w:val="20"/>
        </w:rPr>
      </w:pPr>
      <w:r>
        <w:rPr>
          <w:sz w:val="20"/>
        </w:rPr>
        <w:t>A. J. Majewski and J. Wood, "Tri-reformation of methane over Ni@SiO2 catalysts," Int. J. Hydrogen Energy, vol. 39, no. 24, pp. 12578-12585, 2014, doi: 10.1016/j.ijhydene.2014.06.071.</w:t>
      </w:r>
    </w:p>
    <w:p>
      <w:pPr>
        <w:pStyle w:val="ListParagraph"/>
        <w:numPr>
          <w:ilvl w:val="0"/>
          <w:numId w:val="1"/>
        </w:numPr>
        <w:tabs>
          <w:tab w:pos="785" w:val="left" w:leader="none"/>
          <w:tab w:pos="787" w:val="left" w:leader="none"/>
        </w:tabs>
        <w:spacing w:line="240" w:lineRule="auto" w:before="0" w:after="0"/>
        <w:ind w:left="787" w:right="366" w:hanging="428"/>
        <w:jc w:val="both"/>
        <w:rPr>
          <w:sz w:val="20"/>
        </w:rPr>
      </w:pPr>
      <w:r>
        <w:rPr>
          <w:sz w:val="20"/>
        </w:rPr>
        <w:t>L. Li et al, "Catalytic hydroconversion of organic waster oil to cyclane over Ni/SiO2," Fuel, vol. 331, no. August 2022, 2023, doi: 10.1016/j.fuel.2022.125697.</w:t>
      </w:r>
    </w:p>
    <w:p>
      <w:pPr>
        <w:pStyle w:val="ListParagraph"/>
        <w:numPr>
          <w:ilvl w:val="0"/>
          <w:numId w:val="1"/>
        </w:numPr>
        <w:tabs>
          <w:tab w:pos="785" w:val="left" w:leader="none"/>
          <w:tab w:pos="787" w:val="left" w:leader="none"/>
        </w:tabs>
        <w:spacing w:line="240" w:lineRule="auto" w:before="0" w:after="0"/>
        <w:ind w:left="787" w:right="366" w:hanging="428"/>
        <w:jc w:val="both"/>
        <w:rPr>
          <w:sz w:val="20"/>
        </w:rPr>
      </w:pPr>
      <w:r>
        <w:rPr>
          <w:sz w:val="20"/>
        </w:rPr>
        <w:t>A. S. Lanje, S. J. Sharma, and R. B. Pode, "Magnetic and Electrical Properties of Nickel</w:t>
      </w:r>
      <w:r>
        <w:rPr>
          <w:spacing w:val="-1"/>
          <w:sz w:val="20"/>
        </w:rPr>
        <w:t> </w:t>
      </w:r>
      <w:r>
        <w:rPr>
          <w:sz w:val="20"/>
        </w:rPr>
        <w:t>Nanoparticles," Phys. Rev. Res. vol. 1, no. 1, pp. 49-56, 2010.</w:t>
      </w:r>
    </w:p>
    <w:p>
      <w:pPr>
        <w:pStyle w:val="ListParagraph"/>
        <w:numPr>
          <w:ilvl w:val="0"/>
          <w:numId w:val="1"/>
        </w:numPr>
        <w:tabs>
          <w:tab w:pos="785" w:val="left" w:leader="none"/>
          <w:tab w:pos="787" w:val="left" w:leader="none"/>
        </w:tabs>
        <w:spacing w:line="240" w:lineRule="auto" w:before="0" w:after="0"/>
        <w:ind w:left="787" w:right="367" w:hanging="428"/>
        <w:jc w:val="both"/>
        <w:rPr>
          <w:sz w:val="20"/>
        </w:rPr>
      </w:pPr>
      <w:r>
        <w:rPr>
          <w:sz w:val="20"/>
        </w:rPr>
        <w:t>L. Boda, G. Onyestyák, H. Solt, F. Lónyi, J. Valyon, and A. Thernesz, "Catalytic hydroconversion of tricaprylin and caprylic</w:t>
      </w:r>
      <w:r>
        <w:rPr>
          <w:spacing w:val="-1"/>
          <w:sz w:val="20"/>
        </w:rPr>
        <w:t> </w:t>
      </w:r>
      <w:r>
        <w:rPr>
          <w:sz w:val="20"/>
        </w:rPr>
        <w:t>acid</w:t>
      </w:r>
      <w:r>
        <w:rPr>
          <w:spacing w:val="-2"/>
          <w:sz w:val="20"/>
        </w:rPr>
        <w:t> </w:t>
      </w:r>
      <w:r>
        <w:rPr>
          <w:sz w:val="20"/>
        </w:rPr>
        <w:t>as</w:t>
      </w:r>
      <w:r>
        <w:rPr>
          <w:spacing w:val="-1"/>
          <w:sz w:val="20"/>
        </w:rPr>
        <w:t> </w:t>
      </w:r>
      <w:r>
        <w:rPr>
          <w:sz w:val="20"/>
        </w:rPr>
        <w:t>a</w:t>
      </w:r>
      <w:r>
        <w:rPr>
          <w:spacing w:val="-1"/>
          <w:sz w:val="20"/>
        </w:rPr>
        <w:t> </w:t>
      </w:r>
      <w:r>
        <w:rPr>
          <w:sz w:val="20"/>
        </w:rPr>
        <w:t>model</w:t>
      </w:r>
      <w:r>
        <w:rPr>
          <w:spacing w:val="-1"/>
          <w:sz w:val="20"/>
        </w:rPr>
        <w:t> </w:t>
      </w:r>
      <w:r>
        <w:rPr>
          <w:sz w:val="20"/>
        </w:rPr>
        <w:t>reaction for</w:t>
      </w:r>
      <w:r>
        <w:rPr>
          <w:spacing w:val="-3"/>
          <w:sz w:val="20"/>
        </w:rPr>
        <w:t> </w:t>
      </w:r>
      <w:r>
        <w:rPr>
          <w:sz w:val="20"/>
        </w:rPr>
        <w:t>biofuel</w:t>
      </w:r>
      <w:r>
        <w:rPr>
          <w:spacing w:val="-3"/>
          <w:sz w:val="20"/>
        </w:rPr>
        <w:t> </w:t>
      </w:r>
      <w:r>
        <w:rPr>
          <w:sz w:val="20"/>
        </w:rPr>
        <w:t>production from</w:t>
      </w:r>
      <w:r>
        <w:rPr>
          <w:spacing w:val="-2"/>
          <w:sz w:val="20"/>
        </w:rPr>
        <w:t> </w:t>
      </w:r>
      <w:r>
        <w:rPr>
          <w:sz w:val="20"/>
        </w:rPr>
        <w:t>triglycerides,"</w:t>
      </w:r>
      <w:r>
        <w:rPr>
          <w:spacing w:val="-1"/>
          <w:sz w:val="20"/>
        </w:rPr>
        <w:t> </w:t>
      </w:r>
      <w:r>
        <w:rPr>
          <w:sz w:val="20"/>
        </w:rPr>
        <w:t>Appl.</w:t>
      </w:r>
      <w:r>
        <w:rPr>
          <w:spacing w:val="-1"/>
          <w:sz w:val="20"/>
        </w:rPr>
        <w:t> </w:t>
      </w:r>
      <w:r>
        <w:rPr>
          <w:sz w:val="20"/>
        </w:rPr>
        <w:t>Opt.</w:t>
      </w:r>
      <w:r>
        <w:rPr>
          <w:spacing w:val="-3"/>
          <w:sz w:val="20"/>
        </w:rPr>
        <w:t> </w:t>
      </w:r>
      <w:r>
        <w:rPr>
          <w:sz w:val="20"/>
        </w:rPr>
        <w:t>Catal. A Gen, vol. 374, no. 1-2, pp. 158-169, Feb. 2010, doi: 10.1016/J.APCATA.2009.12.005.</w:t>
      </w:r>
    </w:p>
    <w:p>
      <w:pPr>
        <w:pStyle w:val="ListParagraph"/>
        <w:numPr>
          <w:ilvl w:val="0"/>
          <w:numId w:val="1"/>
        </w:numPr>
        <w:tabs>
          <w:tab w:pos="785" w:val="left" w:leader="none"/>
          <w:tab w:pos="787" w:val="left" w:leader="none"/>
        </w:tabs>
        <w:spacing w:line="240" w:lineRule="auto" w:before="0" w:after="0"/>
        <w:ind w:left="787" w:right="367" w:hanging="428"/>
        <w:jc w:val="both"/>
        <w:rPr>
          <w:sz w:val="20"/>
        </w:rPr>
      </w:pPr>
      <w:r>
        <w:rPr>
          <w:sz w:val="20"/>
        </w:rPr>
        <w:t>J. J. A. Oyebanji, P. O. Okekunle, and O. E. Itabiyi, "Application of Box Behnken design for optimization of edible oil yield from catalytic pyrolysis of agro residues," Fuel Commun, vol. 16, no. February, pp. 100091, 2023, doi: 10.1016/j.jfueco.2023.100091.</w:t>
      </w:r>
    </w:p>
    <w:p>
      <w:pPr>
        <w:pStyle w:val="ListParagraph"/>
        <w:numPr>
          <w:ilvl w:val="0"/>
          <w:numId w:val="1"/>
        </w:numPr>
        <w:tabs>
          <w:tab w:pos="785" w:val="left" w:leader="none"/>
          <w:tab w:pos="787" w:val="left" w:leader="none"/>
        </w:tabs>
        <w:spacing w:line="240" w:lineRule="auto" w:before="0" w:after="0"/>
        <w:ind w:left="787" w:right="359" w:hanging="428"/>
        <w:jc w:val="both"/>
        <w:rPr>
          <w:sz w:val="20"/>
        </w:rPr>
      </w:pPr>
      <w:r>
        <w:rPr>
          <w:sz w:val="20"/>
        </w:rPr>
        <w:t>M. Y. Choo et al, "Deoxygenation of triolein to green diesel under H2-free conditions: Effect of transition metal oxides supported on zeolite Y," J. Anal. Appl. Pyrolysis, vol. 147, no. February, pp. 104797, 2020, doi: </w:t>
      </w:r>
      <w:r>
        <w:rPr>
          <w:spacing w:val="-2"/>
          <w:sz w:val="20"/>
        </w:rPr>
        <w:t>10.1016/j.jaap.2020.104797.</w:t>
      </w:r>
    </w:p>
    <w:p>
      <w:pPr>
        <w:pStyle w:val="ListParagraph"/>
        <w:numPr>
          <w:ilvl w:val="0"/>
          <w:numId w:val="1"/>
        </w:numPr>
        <w:tabs>
          <w:tab w:pos="785" w:val="left" w:leader="none"/>
          <w:tab w:pos="787" w:val="left" w:leader="none"/>
        </w:tabs>
        <w:spacing w:line="240" w:lineRule="auto" w:before="0" w:after="0"/>
        <w:ind w:left="787" w:right="355" w:hanging="428"/>
        <w:jc w:val="both"/>
        <w:rPr>
          <w:sz w:val="20"/>
        </w:rPr>
      </w:pPr>
      <w:r>
        <w:rPr>
          <w:sz w:val="20"/>
        </w:rPr>
        <w:t>U. Kanbur et al, "Catalytic carbon-carbon</w:t>
      </w:r>
      <w:r>
        <w:rPr>
          <w:spacing w:val="-1"/>
          <w:sz w:val="20"/>
        </w:rPr>
        <w:t> </w:t>
      </w:r>
      <w:r>
        <w:rPr>
          <w:sz w:val="20"/>
        </w:rPr>
        <w:t>bond breaking and elemental carbon bond formation give new life to polyolefins as biodegradable surfactants," Chem, vol. 7, no. 5, pp. 1347-1362, 2021, doi: </w:t>
      </w:r>
      <w:r>
        <w:rPr>
          <w:spacing w:val="-2"/>
          <w:sz w:val="20"/>
        </w:rPr>
        <w:t>10.1016/j.chempr.2021.03.007.</w:t>
      </w:r>
    </w:p>
    <w:p>
      <w:pPr>
        <w:pStyle w:val="ListParagraph"/>
        <w:numPr>
          <w:ilvl w:val="0"/>
          <w:numId w:val="1"/>
        </w:numPr>
        <w:tabs>
          <w:tab w:pos="785" w:val="left" w:leader="none"/>
          <w:tab w:pos="787" w:val="left" w:leader="none"/>
        </w:tabs>
        <w:spacing w:line="240" w:lineRule="auto" w:before="0" w:after="0"/>
        <w:ind w:left="787" w:right="364" w:hanging="428"/>
        <w:jc w:val="both"/>
        <w:rPr>
          <w:sz w:val="20"/>
        </w:rPr>
      </w:pPr>
      <w:r>
        <w:rPr>
          <w:sz w:val="20"/>
        </w:rPr>
        <w:t>B. B. P. Pattanaik and R. D. Misra, "Effect of reaction pathway and operating parameters on deoxygenation of vegetable oils to produce diesel-type hydrocarbon fuels: A review," Renew. Sustain. Energy Rev. vol. 73, no. November 2016, pp. 545-557, 2017, doi: 10.1016/j.rser.2017.01.018.</w:t>
      </w:r>
    </w:p>
    <w:p>
      <w:pPr>
        <w:pStyle w:val="ListParagraph"/>
        <w:spacing w:after="0" w:line="240" w:lineRule="auto"/>
        <w:jc w:val="both"/>
        <w:rPr>
          <w:sz w:val="20"/>
        </w:rPr>
        <w:sectPr>
          <w:pgSz w:w="12240" w:h="15840"/>
          <w:pgMar w:top="1360" w:bottom="280" w:left="1080" w:right="1080"/>
        </w:sectPr>
      </w:pPr>
    </w:p>
    <w:p>
      <w:pPr>
        <w:pStyle w:val="ListParagraph"/>
        <w:numPr>
          <w:ilvl w:val="0"/>
          <w:numId w:val="1"/>
        </w:numPr>
        <w:tabs>
          <w:tab w:pos="785" w:val="left" w:leader="none"/>
          <w:tab w:pos="787" w:val="left" w:leader="none"/>
        </w:tabs>
        <w:spacing w:line="240" w:lineRule="auto" w:before="80" w:after="0"/>
        <w:ind w:left="787" w:right="364" w:hanging="428"/>
        <w:jc w:val="both"/>
        <w:rPr>
          <w:sz w:val="20"/>
        </w:rPr>
      </w:pPr>
      <w:r>
        <w:rPr>
          <w:sz w:val="20"/>
        </w:rPr>
        <w:t>P. P. Maneechakr and S. Karnjanakom, "Improving Vegetable Oil Quality through Effective Pyrolysis/Deoxygenation of Palm Kernel Meal via Metal (Cu, Ni, or Fe) Doped Carbon Catalyst," ACS Omega, vol. 6, no. 30, pp. 20006-20014, 2021, doi: 10.1021/acsomega.1c02999.</w:t>
      </w:r>
    </w:p>
    <w:sectPr>
      <w:pgSz w:w="12240" w:h="15840"/>
      <w:pgMar w:top="1360" w:bottom="280" w:left="1080" w:right="10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w:altName w:val="Arial"/>
    <w:charset w:val="1"/>
    <w:family w:val="swiss"/>
    <w:pitch w:val="variable"/>
  </w:font>
  <w:font w:name="Arial MT">
    <w:altName w:val="Arial MT"/>
    <w:charset w:val="1"/>
    <w:family w:val="swiss"/>
    <w:pitch w:val="variable"/>
  </w:font>
  <w:font w:name="Cambria Math">
    <w:altName w:val="Cambria Math"/>
    <w:charset w:val="1"/>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decimal"/>
      <w:lvlText w:val="%1."/>
      <w:lvlJc w:val="left"/>
      <w:pPr>
        <w:ind w:left="787" w:hanging="428"/>
        <w:jc w:val="left"/>
      </w:pPr>
      <w:rPr>
        <w:rFonts w:hint="default" w:ascii="Times New Roman" w:hAnsi="Times New Roman" w:eastAsia="Times New Roman" w:cs="Times New Roman"/>
        <w:b w:val="0"/>
        <w:bCs w:val="0"/>
        <w:i w:val="0"/>
        <w:iCs w:val="0"/>
        <w:spacing w:val="0"/>
        <w:w w:val="99"/>
        <w:sz w:val="20"/>
        <w:szCs w:val="20"/>
        <w:lang w:val="en-US" w:eastAsia="en-US" w:bidi="ar-SA"/>
      </w:rPr>
    </w:lvl>
    <w:lvl w:ilvl="1">
      <w:start w:val="0"/>
      <w:numFmt w:val="bullet"/>
      <w:lvlText w:val="•"/>
      <w:lvlJc w:val="left"/>
      <w:pPr>
        <w:ind w:left="1710" w:hanging="428"/>
      </w:pPr>
      <w:rPr>
        <w:rFonts w:hint="default"/>
        <w:lang w:val="en-US" w:eastAsia="en-US" w:bidi="ar-SA"/>
      </w:rPr>
    </w:lvl>
    <w:lvl w:ilvl="2">
      <w:start w:val="0"/>
      <w:numFmt w:val="bullet"/>
      <w:lvlText w:val="•"/>
      <w:lvlJc w:val="left"/>
      <w:pPr>
        <w:ind w:left="2640" w:hanging="428"/>
      </w:pPr>
      <w:rPr>
        <w:rFonts w:hint="default"/>
        <w:lang w:val="en-US" w:eastAsia="en-US" w:bidi="ar-SA"/>
      </w:rPr>
    </w:lvl>
    <w:lvl w:ilvl="3">
      <w:start w:val="0"/>
      <w:numFmt w:val="bullet"/>
      <w:lvlText w:val="•"/>
      <w:lvlJc w:val="left"/>
      <w:pPr>
        <w:ind w:left="3570" w:hanging="428"/>
      </w:pPr>
      <w:rPr>
        <w:rFonts w:hint="default"/>
        <w:lang w:val="en-US" w:eastAsia="en-US" w:bidi="ar-SA"/>
      </w:rPr>
    </w:lvl>
    <w:lvl w:ilvl="4">
      <w:start w:val="0"/>
      <w:numFmt w:val="bullet"/>
      <w:lvlText w:val="•"/>
      <w:lvlJc w:val="left"/>
      <w:pPr>
        <w:ind w:left="4500" w:hanging="428"/>
      </w:pPr>
      <w:rPr>
        <w:rFonts w:hint="default"/>
        <w:lang w:val="en-US" w:eastAsia="en-US" w:bidi="ar-SA"/>
      </w:rPr>
    </w:lvl>
    <w:lvl w:ilvl="5">
      <w:start w:val="0"/>
      <w:numFmt w:val="bullet"/>
      <w:lvlText w:val="•"/>
      <w:lvlJc w:val="left"/>
      <w:pPr>
        <w:ind w:left="5430" w:hanging="428"/>
      </w:pPr>
      <w:rPr>
        <w:rFonts w:hint="default"/>
        <w:lang w:val="en-US" w:eastAsia="en-US" w:bidi="ar-SA"/>
      </w:rPr>
    </w:lvl>
    <w:lvl w:ilvl="6">
      <w:start w:val="0"/>
      <w:numFmt w:val="bullet"/>
      <w:lvlText w:val="•"/>
      <w:lvlJc w:val="left"/>
      <w:pPr>
        <w:ind w:left="6360" w:hanging="428"/>
      </w:pPr>
      <w:rPr>
        <w:rFonts w:hint="default"/>
        <w:lang w:val="en-US" w:eastAsia="en-US" w:bidi="ar-SA"/>
      </w:rPr>
    </w:lvl>
    <w:lvl w:ilvl="7">
      <w:start w:val="0"/>
      <w:numFmt w:val="bullet"/>
      <w:lvlText w:val="•"/>
      <w:lvlJc w:val="left"/>
      <w:pPr>
        <w:ind w:left="7290" w:hanging="428"/>
      </w:pPr>
      <w:rPr>
        <w:rFonts w:hint="default"/>
        <w:lang w:val="en-US" w:eastAsia="en-US" w:bidi="ar-SA"/>
      </w:rPr>
    </w:lvl>
    <w:lvl w:ilvl="8">
      <w:start w:val="0"/>
      <w:numFmt w:val="bullet"/>
      <w:lvlText w:val="•"/>
      <w:lvlJc w:val="left"/>
      <w:pPr>
        <w:ind w:left="8220" w:hanging="428"/>
      </w:pPr>
      <w:rPr>
        <w:rFonts w:hint="default"/>
        <w:lang w:val="en-US"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ind w:left="360"/>
      <w:jc w:val="both"/>
    </w:pPr>
    <w:rPr>
      <w:rFonts w:ascii="Times New Roman" w:hAnsi="Times New Roman" w:eastAsia="Times New Roman" w:cs="Times New Roman"/>
      <w:sz w:val="20"/>
      <w:szCs w:val="20"/>
      <w:lang w:val="en-US" w:eastAsia="en-US" w:bidi="ar-SA"/>
    </w:rPr>
  </w:style>
  <w:style w:styleId="Heading1" w:type="paragraph">
    <w:name w:val="Heading 1"/>
    <w:basedOn w:val="Normal"/>
    <w:uiPriority w:val="1"/>
    <w:qFormat/>
    <w:pPr>
      <w:ind w:left="1"/>
      <w:jc w:val="center"/>
      <w:outlineLvl w:val="1"/>
    </w:pPr>
    <w:rPr>
      <w:rFonts w:ascii="Times New Roman" w:hAnsi="Times New Roman" w:eastAsia="Times New Roman" w:cs="Times New Roman"/>
      <w:b/>
      <w:bCs/>
      <w:sz w:val="24"/>
      <w:szCs w:val="24"/>
      <w:lang w:val="en-US" w:eastAsia="en-US" w:bidi="ar-SA"/>
    </w:rPr>
  </w:style>
  <w:style w:styleId="Heading2" w:type="paragraph">
    <w:name w:val="Heading 2"/>
    <w:basedOn w:val="Normal"/>
    <w:uiPriority w:val="1"/>
    <w:qFormat/>
    <w:pPr>
      <w:jc w:val="center"/>
      <w:outlineLvl w:val="2"/>
    </w:pPr>
    <w:rPr>
      <w:rFonts w:ascii="Times New Roman" w:hAnsi="Times New Roman" w:eastAsia="Times New Roman" w:cs="Times New Roman"/>
      <w:b/>
      <w:bCs/>
      <w:sz w:val="24"/>
      <w:szCs w:val="24"/>
      <w:lang w:val="en-US" w:eastAsia="en-US" w:bidi="ar-SA"/>
    </w:rPr>
  </w:style>
  <w:style w:styleId="Title" w:type="paragraph">
    <w:name w:val="Title"/>
    <w:basedOn w:val="Normal"/>
    <w:uiPriority w:val="1"/>
    <w:qFormat/>
    <w:pPr>
      <w:ind w:left="720" w:right="717"/>
      <w:jc w:val="center"/>
    </w:pPr>
    <w:rPr>
      <w:rFonts w:ascii="Times New Roman" w:hAnsi="Times New Roman" w:eastAsia="Times New Roman" w:cs="Times New Roman"/>
      <w:b/>
      <w:bCs/>
      <w:sz w:val="36"/>
      <w:szCs w:val="36"/>
      <w:lang w:val="en-US" w:eastAsia="en-US" w:bidi="ar-SA"/>
    </w:rPr>
  </w:style>
  <w:style w:styleId="ListParagraph" w:type="paragraph">
    <w:name w:val="List Paragraph"/>
    <w:basedOn w:val="Normal"/>
    <w:uiPriority w:val="1"/>
    <w:qFormat/>
    <w:pPr>
      <w:ind w:left="787" w:right="367" w:hanging="428"/>
      <w:jc w:val="both"/>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jc w:val="center"/>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mailto:s.zullaikah@its.ac.id" TargetMode="Externa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image" Target="media/image3.jpeg"/><Relationship Id="rId9" Type="http://schemas.openxmlformats.org/officeDocument/2006/relationships/image" Target="media/image4.jpeg"/><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Ruth Levins</dc:creator>
  <cp:keywords>docId:5D3B7C2A44C14B1F66AFD0A9741084AF</cp:keywords>
  <dc:title>Title Goes Here</dc:title>
  <dcterms:created xsi:type="dcterms:W3CDTF">2025-10-15T14:24:26Z</dcterms:created>
  <dcterms:modified xsi:type="dcterms:W3CDTF">2025-10-15T14:24:26Z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2024-06-30T00:00:00Z</vt:filetime>
  </property>
  <property fmtid="{D5CDD505-2E9C-101B-9397-08002B2CF9AE}" pid="3" name="Creator">
    <vt:lpwstr>Microsoft® Word for Microsoft 365</vt:lpwstr>
  </property>
  <property fmtid="{D5CDD505-2E9C-101B-9397-08002B2CF9AE}" pid="4" name="LastSaved">
    <vt:filetime>2025-10-15T00:00:00Z</vt:filetime>
  </property>
  <property fmtid="{D5CDD505-2E9C-101B-9397-08002B2CF9AE}" pid="5" name="Producer">
    <vt:lpwstr>Microsoft® Word for Microsoft 365</vt:lpwstr>
  </property>
</Properties>
</file>