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864012" w14:textId="6732939A" w:rsidR="00314357" w:rsidRPr="00370BFA" w:rsidRDefault="00314357" w:rsidP="00314357">
      <w:pPr>
        <w:jc w:val="center"/>
        <w:rPr>
          <w:b/>
          <w:bCs/>
          <w:sz w:val="36"/>
          <w:szCs w:val="36"/>
        </w:rPr>
      </w:pPr>
      <w:r w:rsidRPr="00370BFA">
        <w:rPr>
          <w:b/>
          <w:bCs/>
          <w:sz w:val="36"/>
          <w:szCs w:val="36"/>
        </w:rPr>
        <w:t>Effect of Polyethylene Terephthalate (PET) Addition to Crude Palm Oil (CPO) Catalytic Pyrolisis</w:t>
      </w:r>
    </w:p>
    <w:p w14:paraId="3BFC4454" w14:textId="77777777" w:rsidR="005D4BB7" w:rsidRPr="00370BFA" w:rsidRDefault="005D4BB7" w:rsidP="00314357">
      <w:pPr>
        <w:jc w:val="center"/>
        <w:rPr>
          <w:b/>
          <w:bCs/>
          <w:sz w:val="28"/>
          <w:szCs w:val="28"/>
        </w:rPr>
      </w:pPr>
    </w:p>
    <w:p w14:paraId="1A555815" w14:textId="7976B332" w:rsidR="005D4BB7" w:rsidRPr="00370BFA" w:rsidRDefault="005D4BB7" w:rsidP="00314357">
      <w:pPr>
        <w:jc w:val="center"/>
        <w:rPr>
          <w:sz w:val="28"/>
          <w:szCs w:val="28"/>
        </w:rPr>
      </w:pPr>
      <w:r w:rsidRPr="00370BFA">
        <w:rPr>
          <w:sz w:val="28"/>
          <w:szCs w:val="28"/>
        </w:rPr>
        <w:t xml:space="preserve"> Juwono</w:t>
      </w:r>
      <w:r w:rsidR="0008465E" w:rsidRPr="00370BFA">
        <w:rPr>
          <w:sz w:val="28"/>
          <w:szCs w:val="28"/>
        </w:rPr>
        <w:t>, Hendro</w:t>
      </w:r>
      <w:r w:rsidRPr="00370BFA">
        <w:rPr>
          <w:sz w:val="28"/>
          <w:szCs w:val="28"/>
          <w:vertAlign w:val="superscript"/>
        </w:rPr>
        <w:t>1</w:t>
      </w:r>
      <w:r w:rsidR="00361A1A" w:rsidRPr="00370BFA">
        <w:rPr>
          <w:sz w:val="28"/>
          <w:szCs w:val="28"/>
          <w:vertAlign w:val="superscript"/>
        </w:rPr>
        <w:t>,</w:t>
      </w:r>
      <w:r w:rsidRPr="00370BFA">
        <w:rPr>
          <w:sz w:val="28"/>
          <w:szCs w:val="28"/>
          <w:vertAlign w:val="superscript"/>
        </w:rPr>
        <w:t>a</w:t>
      </w:r>
      <w:r w:rsidR="00361A1A" w:rsidRPr="00370BFA">
        <w:rPr>
          <w:sz w:val="28"/>
          <w:szCs w:val="28"/>
          <w:vertAlign w:val="superscript"/>
        </w:rPr>
        <w:t>)</w:t>
      </w:r>
      <w:r w:rsidRPr="00370BFA">
        <w:rPr>
          <w:sz w:val="28"/>
          <w:szCs w:val="28"/>
        </w:rPr>
        <w:t>,  Imron</w:t>
      </w:r>
      <w:r w:rsidR="00361A1A" w:rsidRPr="00370BFA">
        <w:rPr>
          <w:sz w:val="28"/>
          <w:szCs w:val="28"/>
        </w:rPr>
        <w:t>, Anas</w:t>
      </w:r>
      <w:r w:rsidRPr="00370BFA">
        <w:rPr>
          <w:sz w:val="28"/>
          <w:szCs w:val="28"/>
        </w:rPr>
        <w:t xml:space="preserve"> </w:t>
      </w:r>
      <w:r w:rsidRPr="00370BFA">
        <w:rPr>
          <w:sz w:val="28"/>
          <w:szCs w:val="28"/>
          <w:vertAlign w:val="superscript"/>
        </w:rPr>
        <w:t>2</w:t>
      </w:r>
      <w:r w:rsidR="00361A1A" w:rsidRPr="00370BFA">
        <w:rPr>
          <w:sz w:val="28"/>
          <w:szCs w:val="28"/>
          <w:vertAlign w:val="superscript"/>
        </w:rPr>
        <w:t>,</w:t>
      </w:r>
      <w:r w:rsidRPr="00370BFA">
        <w:rPr>
          <w:sz w:val="28"/>
          <w:szCs w:val="28"/>
          <w:vertAlign w:val="superscript"/>
        </w:rPr>
        <w:t>b</w:t>
      </w:r>
      <w:r w:rsidR="00361A1A" w:rsidRPr="00370BFA">
        <w:rPr>
          <w:sz w:val="28"/>
          <w:szCs w:val="28"/>
          <w:vertAlign w:val="superscript"/>
        </w:rPr>
        <w:t>)</w:t>
      </w:r>
      <w:r w:rsidRPr="00370BFA">
        <w:rPr>
          <w:sz w:val="28"/>
          <w:szCs w:val="28"/>
          <w:vertAlign w:val="superscript"/>
        </w:rPr>
        <w:t xml:space="preserve"> </w:t>
      </w:r>
      <w:r w:rsidRPr="00370BFA">
        <w:rPr>
          <w:sz w:val="28"/>
          <w:szCs w:val="28"/>
        </w:rPr>
        <w:t>,  Kusumawati</w:t>
      </w:r>
      <w:r w:rsidR="00361A1A" w:rsidRPr="00370BFA">
        <w:rPr>
          <w:sz w:val="28"/>
          <w:szCs w:val="28"/>
        </w:rPr>
        <w:t xml:space="preserve">, Yuly </w:t>
      </w:r>
      <w:r w:rsidR="00361A1A" w:rsidRPr="00370BFA">
        <w:rPr>
          <w:sz w:val="28"/>
          <w:szCs w:val="28"/>
          <w:vertAlign w:val="superscript"/>
        </w:rPr>
        <w:t>3,</w:t>
      </w:r>
      <w:r w:rsidR="0008465E" w:rsidRPr="00370BFA">
        <w:rPr>
          <w:sz w:val="28"/>
          <w:szCs w:val="28"/>
          <w:vertAlign w:val="superscript"/>
        </w:rPr>
        <w:t>c</w:t>
      </w:r>
      <w:r w:rsidR="00361A1A" w:rsidRPr="00370BFA">
        <w:rPr>
          <w:sz w:val="28"/>
          <w:szCs w:val="28"/>
          <w:vertAlign w:val="superscript"/>
        </w:rPr>
        <w:t>)</w:t>
      </w:r>
    </w:p>
    <w:p w14:paraId="2710BB17" w14:textId="77777777" w:rsidR="00025AB2" w:rsidRDefault="00025AB2" w:rsidP="005D4BB7">
      <w:pPr>
        <w:pStyle w:val="AuthorName"/>
        <w:spacing w:before="0" w:after="0"/>
        <w:rPr>
          <w:sz w:val="20"/>
          <w:lang w:val="en-GB" w:eastAsia="en-GB"/>
        </w:rPr>
      </w:pPr>
    </w:p>
    <w:p w14:paraId="5FBD2580" w14:textId="7DB86BE9" w:rsidR="005D4BB7" w:rsidRPr="003E0637" w:rsidRDefault="005D4BB7" w:rsidP="005D4BB7">
      <w:pPr>
        <w:pStyle w:val="AuthorName"/>
        <w:spacing w:before="0" w:after="0"/>
        <w:rPr>
          <w:sz w:val="20"/>
          <w:lang w:val="en-GB" w:eastAsia="en-GB"/>
        </w:rPr>
      </w:pPr>
      <w:r w:rsidRPr="003E0637">
        <w:rPr>
          <w:sz w:val="20"/>
          <w:lang w:val="en-GB" w:eastAsia="en-GB"/>
        </w:rPr>
        <w:t xml:space="preserve">Author Affiliations </w:t>
      </w:r>
    </w:p>
    <w:p w14:paraId="143050A9" w14:textId="7B4931C8" w:rsidR="0008465E" w:rsidRPr="00025AB2" w:rsidRDefault="00361A1A" w:rsidP="00314357">
      <w:pPr>
        <w:jc w:val="center"/>
        <w:rPr>
          <w:i/>
          <w:iCs/>
          <w:sz w:val="20"/>
        </w:rPr>
      </w:pPr>
      <w:r w:rsidRPr="00025AB2">
        <w:rPr>
          <w:i/>
          <w:iCs/>
          <w:sz w:val="20"/>
          <w:vertAlign w:val="superscript"/>
        </w:rPr>
        <w:t>1,3</w:t>
      </w:r>
      <w:r w:rsidR="005D4BB7" w:rsidRPr="00025AB2">
        <w:rPr>
          <w:i/>
          <w:iCs/>
          <w:sz w:val="20"/>
        </w:rPr>
        <w:t>Chemistry Department,</w:t>
      </w:r>
      <w:r w:rsidR="0008465E" w:rsidRPr="00025AB2">
        <w:rPr>
          <w:i/>
          <w:iCs/>
          <w:sz w:val="20"/>
        </w:rPr>
        <w:t xml:space="preserve"> Sepuluh Nopember Institute of Technology, Sukolilo, Surabaya </w:t>
      </w:r>
      <w:proofErr w:type="gramStart"/>
      <w:r w:rsidR="0008465E" w:rsidRPr="00025AB2">
        <w:rPr>
          <w:i/>
          <w:iCs/>
          <w:sz w:val="20"/>
        </w:rPr>
        <w:t>60111,Indonesia</w:t>
      </w:r>
      <w:proofErr w:type="gramEnd"/>
    </w:p>
    <w:p w14:paraId="5AFFDF67" w14:textId="62B3D230" w:rsidR="005D4BB7" w:rsidRPr="00025AB2" w:rsidRDefault="005D4BB7" w:rsidP="00314357">
      <w:pPr>
        <w:jc w:val="center"/>
        <w:rPr>
          <w:i/>
          <w:iCs/>
          <w:sz w:val="20"/>
        </w:rPr>
      </w:pPr>
      <w:r w:rsidRPr="00025AB2">
        <w:rPr>
          <w:i/>
          <w:iCs/>
          <w:sz w:val="20"/>
        </w:rPr>
        <w:t xml:space="preserve"> </w:t>
      </w:r>
      <w:r w:rsidRPr="00025AB2">
        <w:rPr>
          <w:i/>
          <w:iCs/>
          <w:sz w:val="20"/>
          <w:vertAlign w:val="superscript"/>
        </w:rPr>
        <w:t>2</w:t>
      </w:r>
      <w:r w:rsidRPr="00025AB2">
        <w:rPr>
          <w:i/>
          <w:iCs/>
          <w:sz w:val="20"/>
        </w:rPr>
        <w:t xml:space="preserve"> B</w:t>
      </w:r>
      <w:r w:rsidR="00361A1A" w:rsidRPr="00025AB2">
        <w:rPr>
          <w:i/>
          <w:iCs/>
          <w:sz w:val="20"/>
        </w:rPr>
        <w:t xml:space="preserve">adan </w:t>
      </w:r>
      <w:r w:rsidRPr="00025AB2">
        <w:rPr>
          <w:i/>
          <w:iCs/>
          <w:sz w:val="20"/>
        </w:rPr>
        <w:t>R</w:t>
      </w:r>
      <w:r w:rsidR="00361A1A" w:rsidRPr="00025AB2">
        <w:rPr>
          <w:i/>
          <w:iCs/>
          <w:sz w:val="20"/>
        </w:rPr>
        <w:t xml:space="preserve">iset dan </w:t>
      </w:r>
      <w:r w:rsidRPr="00025AB2">
        <w:rPr>
          <w:i/>
          <w:iCs/>
          <w:sz w:val="20"/>
        </w:rPr>
        <w:t>I</w:t>
      </w:r>
      <w:r w:rsidR="00361A1A" w:rsidRPr="00025AB2">
        <w:rPr>
          <w:i/>
          <w:iCs/>
          <w:sz w:val="20"/>
        </w:rPr>
        <w:t xml:space="preserve">novasi </w:t>
      </w:r>
      <w:r w:rsidRPr="00025AB2">
        <w:rPr>
          <w:i/>
          <w:iCs/>
          <w:sz w:val="20"/>
        </w:rPr>
        <w:t>N</w:t>
      </w:r>
      <w:r w:rsidR="00361A1A" w:rsidRPr="00025AB2">
        <w:rPr>
          <w:i/>
          <w:iCs/>
          <w:sz w:val="20"/>
        </w:rPr>
        <w:t>asional</w:t>
      </w:r>
    </w:p>
    <w:p w14:paraId="0095610A" w14:textId="77777777" w:rsidR="00025AB2" w:rsidRDefault="00025AB2" w:rsidP="005D4BB7">
      <w:pPr>
        <w:pStyle w:val="AuthorAffiliation"/>
      </w:pPr>
    </w:p>
    <w:p w14:paraId="07E1FB18" w14:textId="59006E54" w:rsidR="005D4BB7" w:rsidRPr="003E0637" w:rsidRDefault="005D4BB7" w:rsidP="005D4BB7">
      <w:pPr>
        <w:pStyle w:val="AuthorAffiliation"/>
        <w:rPr>
          <w:i w:val="0"/>
          <w:iCs/>
        </w:rPr>
      </w:pPr>
      <w:r w:rsidRPr="003E0637">
        <w:rPr>
          <w:i w:val="0"/>
          <w:iCs/>
        </w:rPr>
        <w:t>Author Emails</w:t>
      </w:r>
    </w:p>
    <w:p w14:paraId="58357808" w14:textId="1EE705DD" w:rsidR="0008465E" w:rsidRPr="00025AB2" w:rsidRDefault="0008465E" w:rsidP="005D4BB7">
      <w:pPr>
        <w:pStyle w:val="AuthorAffiliation"/>
      </w:pPr>
      <w:hyperlink r:id="rId9" w:history="1">
        <w:r w:rsidRPr="00025AB2">
          <w:rPr>
            <w:rStyle w:val="Hyperlink"/>
            <w:color w:val="auto"/>
            <w:u w:val="none"/>
            <w:vertAlign w:val="superscript"/>
          </w:rPr>
          <w:t>a</w:t>
        </w:r>
        <w:r w:rsidRPr="00025AB2">
          <w:rPr>
            <w:rStyle w:val="Hyperlink"/>
            <w:color w:val="auto"/>
            <w:u w:val="none"/>
          </w:rPr>
          <w:t>hjachmad@gmail.com</w:t>
        </w:r>
      </w:hyperlink>
    </w:p>
    <w:p w14:paraId="11DBDDAE" w14:textId="0D145762" w:rsidR="0008465E" w:rsidRPr="00025AB2" w:rsidRDefault="0008465E" w:rsidP="005D4BB7">
      <w:pPr>
        <w:pStyle w:val="AuthorAffiliation"/>
        <w:rPr>
          <w:vertAlign w:val="superscript"/>
        </w:rPr>
      </w:pPr>
      <w:hyperlink r:id="rId10" w:history="1">
        <w:r w:rsidRPr="00025AB2">
          <w:rPr>
            <w:rStyle w:val="Hyperlink"/>
            <w:color w:val="auto"/>
            <w:u w:val="none"/>
            <w:vertAlign w:val="superscript"/>
          </w:rPr>
          <w:t>b</w:t>
        </w:r>
        <w:r w:rsidRPr="00025AB2">
          <w:rPr>
            <w:rStyle w:val="Hyperlink"/>
            <w:color w:val="auto"/>
            <w:u w:val="none"/>
          </w:rPr>
          <w:t>anas.imron305@gmail.com</w:t>
        </w:r>
      </w:hyperlink>
    </w:p>
    <w:p w14:paraId="3CA37D06" w14:textId="6DC5F3D3" w:rsidR="0008465E" w:rsidRPr="00025AB2" w:rsidRDefault="0008465E" w:rsidP="005D4BB7">
      <w:pPr>
        <w:pStyle w:val="AuthorAffiliation"/>
      </w:pPr>
      <w:hyperlink r:id="rId11" w:history="1">
        <w:r w:rsidRPr="00025AB2">
          <w:rPr>
            <w:rStyle w:val="Hyperlink"/>
            <w:color w:val="auto"/>
            <w:u w:val="none"/>
            <w:vertAlign w:val="superscript"/>
          </w:rPr>
          <w:t>c</w:t>
        </w:r>
        <w:r w:rsidRPr="00025AB2">
          <w:rPr>
            <w:rStyle w:val="Hyperlink"/>
            <w:color w:val="auto"/>
            <w:u w:val="none"/>
          </w:rPr>
          <w:t>yuly.adiyasa@gmail.com</w:t>
        </w:r>
      </w:hyperlink>
    </w:p>
    <w:p w14:paraId="0C4D4412" w14:textId="77777777" w:rsidR="0008465E" w:rsidRPr="00025AB2" w:rsidRDefault="0008465E" w:rsidP="005D4BB7">
      <w:pPr>
        <w:pStyle w:val="AuthorAffiliation"/>
      </w:pPr>
    </w:p>
    <w:p w14:paraId="252BF3C6" w14:textId="5263C81A" w:rsidR="0008465E" w:rsidRPr="00025AB2" w:rsidRDefault="00BB4E3D" w:rsidP="00BB4E3D">
      <w:pPr>
        <w:pStyle w:val="AuthorAffiliation"/>
        <w:rPr>
          <w:i w:val="0"/>
          <w:iCs/>
        </w:rPr>
      </w:pPr>
      <w:r w:rsidRPr="00025AB2">
        <w:rPr>
          <w:i w:val="0"/>
          <w:iCs/>
          <w:vertAlign w:val="superscript"/>
        </w:rPr>
        <w:t xml:space="preserve">a) </w:t>
      </w:r>
      <w:r w:rsidR="0008465E" w:rsidRPr="00025AB2">
        <w:rPr>
          <w:i w:val="0"/>
          <w:iCs/>
        </w:rPr>
        <w:t>Corresponding author</w:t>
      </w:r>
      <w:r w:rsidR="00025AB2" w:rsidRPr="00025AB2">
        <w:rPr>
          <w:i w:val="0"/>
          <w:iCs/>
        </w:rPr>
        <w:t xml:space="preserve">: </w:t>
      </w:r>
      <w:hyperlink r:id="rId12" w:history="1">
        <w:r w:rsidR="00025AB2" w:rsidRPr="00025AB2">
          <w:rPr>
            <w:rStyle w:val="Hyperlink"/>
            <w:i w:val="0"/>
            <w:iCs/>
            <w:color w:val="auto"/>
            <w:u w:val="none"/>
          </w:rPr>
          <w:t>hjachmad@gmail.com</w:t>
        </w:r>
      </w:hyperlink>
    </w:p>
    <w:p w14:paraId="07BA2E6C" w14:textId="77777777" w:rsidR="00361A1A" w:rsidRPr="00370BFA" w:rsidRDefault="00361A1A" w:rsidP="001A2EEE">
      <w:pPr>
        <w:pStyle w:val="AbstracttitleDERJournal"/>
        <w:spacing w:before="0"/>
        <w:jc w:val="both"/>
        <w:rPr>
          <w:bCs/>
          <w:sz w:val="18"/>
          <w:szCs w:val="18"/>
        </w:rPr>
      </w:pPr>
    </w:p>
    <w:p w14:paraId="0982FACD" w14:textId="59C578DA" w:rsidR="001A2EEE" w:rsidRPr="00370BFA" w:rsidRDefault="0016385D" w:rsidP="00BB4E3D">
      <w:pPr>
        <w:pStyle w:val="AbstracttitleDERJournal"/>
        <w:spacing w:before="0"/>
        <w:ind w:left="284" w:right="288"/>
        <w:jc w:val="both"/>
        <w:rPr>
          <w:b w:val="0"/>
          <w:sz w:val="18"/>
          <w:szCs w:val="18"/>
        </w:rPr>
      </w:pPr>
      <w:r w:rsidRPr="00370BFA">
        <w:rPr>
          <w:bCs/>
          <w:sz w:val="18"/>
          <w:szCs w:val="18"/>
        </w:rPr>
        <w:t>Abstract.</w:t>
      </w:r>
      <w:r w:rsidRPr="00370BFA">
        <w:rPr>
          <w:sz w:val="18"/>
          <w:szCs w:val="18"/>
        </w:rPr>
        <w:t xml:space="preserve"> </w:t>
      </w:r>
      <w:r w:rsidR="001A2EEE" w:rsidRPr="00370BFA">
        <w:rPr>
          <w:b w:val="0"/>
          <w:sz w:val="18"/>
          <w:szCs w:val="18"/>
        </w:rPr>
        <w:t>The growth of global population has also raised global energy need, but the availability of fossil fuel as the primary energy source has also been decreasing and it is predicted to be run out in the near future. Additionally, the problem of plastic waste has also been a global issue because of its nonbiodegradability. Crude palm oil and polyethylene terephthalate (PET) can be used as raw materials for catalytic co-cracking, as the method has been studied intensively and been proved to be able to produce bio-gasoline with optimum quality and quantity. Nevertheless, the optimum CPO and PET ratio for the co-cracking process has not been studied. This research was conducted to identify the optimum ratio of CPO:PET with Ni/Al-MCM-41 catalyst to produce liquid bio-gasoline. The CPO:PET ratio were 1:0, 2:1, 1:1, 1:2, and 0:1. The Ni/Al-MCM-41 catalyst was characterized using XRD, N2 adsorption-desorption (BET), and TPD-NH3. From GC-MS analysis, it is concluded that the optimum ratio for biogasoline production was 1:1, which yielded the highhest aliphatic C7-12 fraction at 25,529%. The produced biogasoline from this research cannot be used for the internal combustion per se, since the physical parameter of density do not meet the SNI 3506:2007 standards. However, the produced biogasoline can be used as an additive to the fossil gasoline for its high average octane number (RON) of 101,9.</w:t>
      </w:r>
    </w:p>
    <w:p w14:paraId="4512D39B" w14:textId="77777777" w:rsidR="00370BFA" w:rsidRDefault="00370BFA" w:rsidP="00370BFA">
      <w:pPr>
        <w:pStyle w:val="Text"/>
        <w:tabs>
          <w:tab w:val="left" w:pos="426"/>
        </w:tabs>
        <w:spacing w:line="240" w:lineRule="auto"/>
        <w:ind w:firstLine="0"/>
        <w:rPr>
          <w:rFonts w:ascii="Times New Roman" w:hAnsi="Times New Roman"/>
          <w:b/>
          <w:bCs/>
          <w:kern w:val="28"/>
          <w:sz w:val="22"/>
          <w:szCs w:val="22"/>
        </w:rPr>
      </w:pPr>
    </w:p>
    <w:p w14:paraId="5EFCA643" w14:textId="1C2B1528" w:rsidR="00370BFA" w:rsidRPr="00370BFA" w:rsidRDefault="00370BFA" w:rsidP="00370BFA">
      <w:pPr>
        <w:pStyle w:val="Text"/>
        <w:tabs>
          <w:tab w:val="left" w:pos="426"/>
        </w:tabs>
        <w:spacing w:before="240" w:after="240" w:line="240" w:lineRule="auto"/>
        <w:ind w:firstLine="0"/>
        <w:jc w:val="center"/>
        <w:rPr>
          <w:rFonts w:ascii="Times New Roman" w:hAnsi="Times New Roman"/>
          <w:b/>
          <w:bCs/>
          <w:kern w:val="28"/>
          <w:sz w:val="24"/>
          <w:szCs w:val="24"/>
        </w:rPr>
      </w:pPr>
      <w:r w:rsidRPr="00370BFA">
        <w:rPr>
          <w:rFonts w:ascii="Times New Roman" w:hAnsi="Times New Roman"/>
          <w:b/>
          <w:bCs/>
          <w:kern w:val="28"/>
          <w:sz w:val="24"/>
          <w:szCs w:val="24"/>
        </w:rPr>
        <w:t>INTRODUCTION</w:t>
      </w:r>
    </w:p>
    <w:p w14:paraId="185FB339" w14:textId="5F96A1C6" w:rsidR="001A2EEE" w:rsidRPr="00665D5A" w:rsidRDefault="00370BFA" w:rsidP="00370BFA">
      <w:pPr>
        <w:pStyle w:val="Text"/>
        <w:tabs>
          <w:tab w:val="left" w:pos="426"/>
        </w:tabs>
        <w:spacing w:line="240" w:lineRule="auto"/>
        <w:ind w:firstLine="0"/>
        <w:rPr>
          <w:rFonts w:ascii="Times New Roman" w:hAnsi="Times New Roman"/>
        </w:rPr>
      </w:pPr>
      <w:r>
        <w:rPr>
          <w:rFonts w:ascii="Times New Roman" w:hAnsi="Times New Roman"/>
          <w:b/>
          <w:bCs/>
          <w:kern w:val="28"/>
          <w:sz w:val="22"/>
          <w:szCs w:val="22"/>
        </w:rPr>
        <w:tab/>
      </w:r>
      <w:r w:rsidR="001A2EEE" w:rsidRPr="00665D5A">
        <w:rPr>
          <w:rFonts w:ascii="Times New Roman" w:hAnsi="Times New Roman"/>
        </w:rPr>
        <w:t>As the global population grows, the global energy need grows as well. Fossil fuels (oil, gas, and coal) were the main supply with more than 80 % of total energy usage globally</w:t>
      </w:r>
      <w:r w:rsidR="00665D5A" w:rsidRPr="00665D5A">
        <w:rPr>
          <w:rFonts w:ascii="Times New Roman" w:hAnsi="Times New Roman"/>
        </w:rPr>
        <w:t xml:space="preserve"> [13]. </w:t>
      </w:r>
      <w:r w:rsidR="001A2EEE" w:rsidRPr="00665D5A">
        <w:rPr>
          <w:rFonts w:ascii="Times New Roman" w:hAnsi="Times New Roman"/>
        </w:rPr>
        <w:t>On the other hand, the fossil fuel supply is increasing because of its non-renewable properties. One study predicts that oil and gas will be unavailable in 50 years, while coal will be scarce in 100 years</w:t>
      </w:r>
      <w:r w:rsidR="00665D5A" w:rsidRPr="00665D5A">
        <w:rPr>
          <w:rFonts w:ascii="Times New Roman" w:hAnsi="Times New Roman"/>
        </w:rPr>
        <w:t xml:space="preserve"> [12].</w:t>
      </w:r>
    </w:p>
    <w:p w14:paraId="2A6B44BC" w14:textId="3C428936" w:rsidR="001A2EEE" w:rsidRPr="00665D5A" w:rsidRDefault="001A2EEE" w:rsidP="00370BFA">
      <w:pPr>
        <w:snapToGrid w:val="0"/>
        <w:ind w:firstLine="448"/>
        <w:jc w:val="both"/>
        <w:rPr>
          <w:sz w:val="20"/>
        </w:rPr>
      </w:pPr>
      <w:r w:rsidRPr="00665D5A">
        <w:rPr>
          <w:bCs/>
          <w:sz w:val="20"/>
        </w:rPr>
        <w:t xml:space="preserve">Renewable and sustainable alternative fuels are needed to overcome the upcoming energy crisis, as well as to decrease our dependence </w:t>
      </w:r>
      <w:proofErr w:type="gramStart"/>
      <w:r w:rsidRPr="00665D5A">
        <w:rPr>
          <w:bCs/>
          <w:sz w:val="20"/>
        </w:rPr>
        <w:t>with</w:t>
      </w:r>
      <w:proofErr w:type="gramEnd"/>
      <w:r w:rsidRPr="00665D5A">
        <w:rPr>
          <w:bCs/>
          <w:sz w:val="20"/>
        </w:rPr>
        <w:t xml:space="preserve"> fossil fuels. Crude palm oil (CPO) is one potential raw material for the purpose. CPO contains many kinds of triglyceride with fatty acid composition ranging from C</w:t>
      </w:r>
      <w:r w:rsidRPr="00665D5A">
        <w:rPr>
          <w:bCs/>
          <w:sz w:val="20"/>
          <w:vertAlign w:val="subscript"/>
        </w:rPr>
        <w:t>12</w:t>
      </w:r>
      <w:r w:rsidRPr="00665D5A">
        <w:rPr>
          <w:bCs/>
          <w:sz w:val="20"/>
        </w:rPr>
        <w:t xml:space="preserve"> and C</w:t>
      </w:r>
      <w:r w:rsidRPr="00665D5A">
        <w:rPr>
          <w:bCs/>
          <w:sz w:val="20"/>
          <w:vertAlign w:val="subscript"/>
        </w:rPr>
        <w:t>20</w:t>
      </w:r>
      <w:r w:rsidR="00665D5A" w:rsidRPr="00665D5A">
        <w:rPr>
          <w:bCs/>
          <w:sz w:val="20"/>
        </w:rPr>
        <w:t xml:space="preserve"> [6]</w:t>
      </w:r>
      <w:r w:rsidRPr="00665D5A">
        <w:rPr>
          <w:bCs/>
          <w:sz w:val="20"/>
        </w:rPr>
        <w:t>. CPO can be cracked at 400-500°C to obtain gasoline-like biofuel fraction of C</w:t>
      </w:r>
      <w:r w:rsidRPr="00665D5A">
        <w:rPr>
          <w:bCs/>
          <w:sz w:val="20"/>
          <w:vertAlign w:val="subscript"/>
        </w:rPr>
        <w:t>6</w:t>
      </w:r>
      <w:r w:rsidRPr="00665D5A">
        <w:rPr>
          <w:bCs/>
          <w:sz w:val="20"/>
        </w:rPr>
        <w:t>-C</w:t>
      </w:r>
      <w:r w:rsidRPr="00665D5A">
        <w:rPr>
          <w:bCs/>
          <w:sz w:val="20"/>
          <w:vertAlign w:val="subscript"/>
        </w:rPr>
        <w:t>12</w:t>
      </w:r>
      <w:r w:rsidR="00665D5A" w:rsidRPr="00665D5A">
        <w:rPr>
          <w:bCs/>
          <w:sz w:val="20"/>
        </w:rPr>
        <w:t xml:space="preserve"> [1,2]</w:t>
      </w:r>
      <w:r w:rsidRPr="00665D5A">
        <w:rPr>
          <w:sz w:val="20"/>
        </w:rPr>
        <w:t>.</w:t>
      </w:r>
    </w:p>
    <w:p w14:paraId="7038AE85" w14:textId="58A2E03B" w:rsidR="001A2EEE" w:rsidRPr="00665D5A" w:rsidRDefault="001A2EEE" w:rsidP="00370BFA">
      <w:pPr>
        <w:snapToGrid w:val="0"/>
        <w:ind w:firstLine="448"/>
        <w:jc w:val="both"/>
        <w:rPr>
          <w:sz w:val="20"/>
        </w:rPr>
      </w:pPr>
      <w:r w:rsidRPr="00665D5A">
        <w:rPr>
          <w:sz w:val="20"/>
        </w:rPr>
        <w:t>In addition to energy crisis, environmental problems pose the same threat. Plastic waste is a very crucial problem because of its non-biodegradability. According to data from the Ministry of Environment and Forestry, the citizens of Indonesia dispose 38.4 tons of plastic waste per day</w:t>
      </w:r>
      <w:r w:rsidR="00665D5A">
        <w:rPr>
          <w:sz w:val="20"/>
        </w:rPr>
        <w:t xml:space="preserve"> [17]</w:t>
      </w:r>
      <w:r w:rsidRPr="00665D5A">
        <w:rPr>
          <w:sz w:val="20"/>
        </w:rPr>
        <w:t>. One type of common plastic is polyethylene terephthalate (PET), which is mainly used for polyester production and beverage bottle [Li-Na 2013]. One way of reducing the plastic waste is by incineration, but it will pose another environmental problem as well as health problems</w:t>
      </w:r>
      <w:r w:rsidR="00665D5A">
        <w:rPr>
          <w:sz w:val="20"/>
        </w:rPr>
        <w:t xml:space="preserve"> [16]</w:t>
      </w:r>
      <w:r w:rsidRPr="00665D5A">
        <w:rPr>
          <w:sz w:val="20"/>
        </w:rPr>
        <w:t>. Thus, another effort is necessary.</w:t>
      </w:r>
    </w:p>
    <w:p w14:paraId="498C166F" w14:textId="12FDF58A" w:rsidR="001A2EEE" w:rsidRPr="00665D5A" w:rsidRDefault="001A2EEE" w:rsidP="00370BFA">
      <w:pPr>
        <w:snapToGrid w:val="0"/>
        <w:ind w:firstLine="448"/>
        <w:jc w:val="both"/>
        <w:rPr>
          <w:sz w:val="20"/>
        </w:rPr>
      </w:pPr>
      <w:r w:rsidRPr="00665D5A">
        <w:rPr>
          <w:sz w:val="20"/>
        </w:rPr>
        <w:t xml:space="preserve">The PET waste can be used as a raw material for fuel production, as many studies suggested. Catalytic cracking on phenol dissolved PET with Ni-Pt/Al-Ti catalyst produced many kinds of light hydrocarbons such as styrene, acetic acid, benzene, and other compounds </w:t>
      </w:r>
      <w:r w:rsidR="00FB1D89">
        <w:rPr>
          <w:sz w:val="20"/>
        </w:rPr>
        <w:t xml:space="preserve">[9]. </w:t>
      </w:r>
      <w:r w:rsidRPr="00665D5A">
        <w:rPr>
          <w:sz w:val="20"/>
        </w:rPr>
        <w:t>Cracking of PET with Carbon supported Pd catalyst at 400 – 700°C induced ring cleavage of the cyclic hydrocarbons and reducing many hazardous compounds as a result</w:t>
      </w:r>
      <w:r w:rsidR="00665D5A">
        <w:rPr>
          <w:sz w:val="20"/>
        </w:rPr>
        <w:t xml:space="preserve"> [11]. </w:t>
      </w:r>
    </w:p>
    <w:p w14:paraId="2FF9F069" w14:textId="48192A8A" w:rsidR="00370BFA" w:rsidRPr="00111EF5" w:rsidRDefault="001A2EEE" w:rsidP="00111EF5">
      <w:pPr>
        <w:snapToGrid w:val="0"/>
        <w:ind w:firstLine="448"/>
        <w:jc w:val="both"/>
        <w:rPr>
          <w:sz w:val="20"/>
        </w:rPr>
      </w:pPr>
      <w:r w:rsidRPr="00665D5A">
        <w:rPr>
          <w:sz w:val="20"/>
        </w:rPr>
        <w:t xml:space="preserve">In this study, mixture of CPO and PET were pyrolyzed with Ni/Al-MCM-41 catalyst to produce biogasoline. In this study, the CPO:PET mass ratio was varied and investigated to get the optimal mass ratio for biogasoline </w:t>
      </w:r>
      <w:r w:rsidRPr="00665D5A">
        <w:rPr>
          <w:sz w:val="20"/>
        </w:rPr>
        <w:lastRenderedPageBreak/>
        <w:t xml:space="preserve">production. The obtained fuels were then analyzed their chemical and physical </w:t>
      </w:r>
      <w:proofErr w:type="gramStart"/>
      <w:r w:rsidRPr="00665D5A">
        <w:rPr>
          <w:sz w:val="20"/>
        </w:rPr>
        <w:t>parameters, and</w:t>
      </w:r>
      <w:proofErr w:type="gramEnd"/>
      <w:r w:rsidRPr="00665D5A">
        <w:rPr>
          <w:sz w:val="20"/>
        </w:rPr>
        <w:t xml:space="preserve"> then compared to the gasoline standard SNI 3506:2017 which includes the parameters of density, viscosity, calorific value, and octane number.</w:t>
      </w:r>
    </w:p>
    <w:p w14:paraId="126AA553" w14:textId="0B2E2E49" w:rsidR="00370BFA" w:rsidRDefault="00370BFA" w:rsidP="00370BFA">
      <w:pPr>
        <w:pStyle w:val="TEXTs"/>
        <w:tabs>
          <w:tab w:val="left" w:pos="450"/>
        </w:tabs>
        <w:spacing w:before="240" w:after="240" w:line="240" w:lineRule="auto"/>
        <w:ind w:firstLine="0"/>
        <w:jc w:val="center"/>
        <w:rPr>
          <w:i/>
          <w:sz w:val="22"/>
          <w:szCs w:val="22"/>
        </w:rPr>
      </w:pPr>
      <w:r w:rsidRPr="00370BFA">
        <w:rPr>
          <w:b/>
          <w:bCs/>
          <w:kern w:val="2"/>
          <w:sz w:val="22"/>
          <w:szCs w:val="22"/>
        </w:rPr>
        <w:t>METHODS</w:t>
      </w:r>
    </w:p>
    <w:p w14:paraId="1A17DB9C" w14:textId="75C7D12E" w:rsidR="00E9052D" w:rsidRPr="004B218A" w:rsidRDefault="00E9052D" w:rsidP="00370BFA">
      <w:pPr>
        <w:pStyle w:val="TEXTs"/>
        <w:tabs>
          <w:tab w:val="left" w:pos="450"/>
        </w:tabs>
        <w:spacing w:before="240" w:after="240" w:line="240" w:lineRule="auto"/>
        <w:ind w:firstLine="0"/>
        <w:jc w:val="center"/>
        <w:rPr>
          <w:iCs/>
          <w:sz w:val="24"/>
        </w:rPr>
      </w:pPr>
      <w:r w:rsidRPr="004B218A">
        <w:rPr>
          <w:b/>
          <w:bCs/>
          <w:iCs/>
          <w:sz w:val="24"/>
          <w:lang w:eastAsia="id-ID"/>
        </w:rPr>
        <w:t>Catalyst Preparation</w:t>
      </w:r>
    </w:p>
    <w:p w14:paraId="7DC1F53D" w14:textId="0881DEA8" w:rsidR="00370BFA" w:rsidRPr="00111EF5" w:rsidRDefault="00E9052D" w:rsidP="00111EF5">
      <w:pPr>
        <w:snapToGrid w:val="0"/>
        <w:ind w:firstLine="448"/>
        <w:jc w:val="both"/>
        <w:rPr>
          <w:sz w:val="20"/>
          <w:szCs w:val="16"/>
        </w:rPr>
      </w:pPr>
      <w:r w:rsidRPr="004B218A">
        <w:rPr>
          <w:sz w:val="20"/>
          <w:szCs w:val="16"/>
        </w:rPr>
        <w:t>The Ni/Al-MCM-41 catalyst was prepared by wet impregnation method</w:t>
      </w:r>
      <w:r w:rsidR="00665D5A">
        <w:rPr>
          <w:sz w:val="20"/>
          <w:szCs w:val="16"/>
        </w:rPr>
        <w:t xml:space="preserve"> [10]</w:t>
      </w:r>
      <w:r w:rsidRPr="004B218A">
        <w:rPr>
          <w:sz w:val="20"/>
          <w:szCs w:val="16"/>
        </w:rPr>
        <w:t>. The Al-MCM-41 support was impregnated with Ni solution 5 % w/v, which was prepared by mixing 61 grams of NiCl</w:t>
      </w:r>
      <w:r w:rsidRPr="004B218A">
        <w:rPr>
          <w:sz w:val="20"/>
          <w:szCs w:val="16"/>
          <w:vertAlign w:val="subscript"/>
        </w:rPr>
        <w:t>2</w:t>
      </w:r>
      <w:r w:rsidRPr="004B218A">
        <w:rPr>
          <w:sz w:val="20"/>
          <w:szCs w:val="16"/>
        </w:rPr>
        <w:t>.6H</w:t>
      </w:r>
      <w:r w:rsidRPr="004B218A">
        <w:rPr>
          <w:sz w:val="20"/>
          <w:szCs w:val="16"/>
          <w:vertAlign w:val="subscript"/>
        </w:rPr>
        <w:t>2</w:t>
      </w:r>
      <w:r w:rsidRPr="004B218A">
        <w:rPr>
          <w:sz w:val="20"/>
          <w:szCs w:val="16"/>
        </w:rPr>
        <w:t>O to 300 mL of water. As the solution was formed, 30 grams of Al-MCM-41 support was added to the solution and stirred at 250 rpm, while being heated to 120°C. The obtained paste was then dried over night at 80°C. The solid was then heated at 120°C for 2 hours and calcinated at 550°C for 4 hours.</w:t>
      </w:r>
    </w:p>
    <w:p w14:paraId="10E2F5F6" w14:textId="546BE494" w:rsidR="00E9052D" w:rsidRPr="004B218A" w:rsidRDefault="00E9052D" w:rsidP="00370BFA">
      <w:pPr>
        <w:snapToGrid w:val="0"/>
        <w:spacing w:before="240" w:after="240"/>
        <w:jc w:val="center"/>
        <w:rPr>
          <w:iCs/>
        </w:rPr>
      </w:pPr>
      <w:r w:rsidRPr="004B218A">
        <w:rPr>
          <w:b/>
          <w:bCs/>
          <w:iCs/>
          <w:lang w:eastAsia="id-ID"/>
        </w:rPr>
        <w:t>Catalytic Pyrol</w:t>
      </w:r>
      <w:r w:rsidR="00370BFA" w:rsidRPr="004B218A">
        <w:rPr>
          <w:b/>
          <w:bCs/>
          <w:iCs/>
          <w:lang w:eastAsia="id-ID"/>
        </w:rPr>
        <w:t>y</w:t>
      </w:r>
      <w:r w:rsidRPr="004B218A">
        <w:rPr>
          <w:b/>
          <w:bCs/>
          <w:iCs/>
          <w:lang w:eastAsia="id-ID"/>
        </w:rPr>
        <w:t>sis</w:t>
      </w:r>
    </w:p>
    <w:p w14:paraId="6E028DA5" w14:textId="77777777" w:rsidR="00E9052D" w:rsidRDefault="00E9052D" w:rsidP="00370BFA">
      <w:pPr>
        <w:snapToGrid w:val="0"/>
        <w:ind w:firstLine="540"/>
        <w:jc w:val="both"/>
        <w:rPr>
          <w:sz w:val="20"/>
          <w:szCs w:val="16"/>
        </w:rPr>
      </w:pPr>
      <w:r w:rsidRPr="007B7A1F">
        <w:rPr>
          <w:sz w:val="20"/>
          <w:szCs w:val="16"/>
        </w:rPr>
        <w:t>The obtained Ni/Al-MCM-41 was activated before use. Three grams of catalyst was heated at 80°C for 15 minutes then was pressed to form pellets. The pellets of catalyst were then assembled in the fixed bed column as seen on Fig 1. On the other hand, 200 grams of CPO was filled to the reactor tank (for CPO:PET = 1:0 ratio). Then, 2 kg/cm</w:t>
      </w:r>
      <w:r w:rsidRPr="007B7A1F">
        <w:rPr>
          <w:sz w:val="20"/>
          <w:szCs w:val="16"/>
          <w:vertAlign w:val="superscript"/>
        </w:rPr>
        <w:t>2</w:t>
      </w:r>
      <w:r w:rsidRPr="007B7A1F">
        <w:rPr>
          <w:sz w:val="20"/>
          <w:szCs w:val="16"/>
        </w:rPr>
        <w:t xml:space="preserve"> of nitrogen was injected to the tank to </w:t>
      </w:r>
      <w:r w:rsidRPr="007B7A1F">
        <w:rPr>
          <w:i/>
          <w:iCs/>
          <w:sz w:val="20"/>
          <w:szCs w:val="16"/>
        </w:rPr>
        <w:t xml:space="preserve">flush </w:t>
      </w:r>
      <w:r w:rsidRPr="007B7A1F">
        <w:rPr>
          <w:sz w:val="20"/>
          <w:szCs w:val="16"/>
        </w:rPr>
        <w:t>the air content. The valve was opened to purge the nitrogen out of the tank and 2 kg/cm</w:t>
      </w:r>
      <w:r w:rsidRPr="007B7A1F">
        <w:rPr>
          <w:sz w:val="20"/>
          <w:szCs w:val="16"/>
          <w:vertAlign w:val="superscript"/>
        </w:rPr>
        <w:t>2</w:t>
      </w:r>
      <w:r w:rsidRPr="007B7A1F">
        <w:rPr>
          <w:sz w:val="20"/>
          <w:szCs w:val="16"/>
        </w:rPr>
        <w:t xml:space="preserve"> of hydrogen was injected. The co-pyrolysis reaction was held in a semi-continuous system. The reaction system is illustrated on Figure 1.</w:t>
      </w:r>
    </w:p>
    <w:p w14:paraId="6B360F46" w14:textId="77777777" w:rsidR="00665D5A" w:rsidRPr="007B7A1F" w:rsidRDefault="00665D5A" w:rsidP="00370BFA">
      <w:pPr>
        <w:snapToGrid w:val="0"/>
        <w:ind w:firstLine="540"/>
        <w:jc w:val="both"/>
        <w:rPr>
          <w:sz w:val="20"/>
          <w:szCs w:val="16"/>
        </w:rPr>
      </w:pPr>
    </w:p>
    <w:p w14:paraId="17D2F301" w14:textId="37645326" w:rsidR="00E9052D" w:rsidRPr="00370BFA" w:rsidRDefault="00E9052D" w:rsidP="000231C5">
      <w:pPr>
        <w:snapToGrid w:val="0"/>
        <w:ind w:firstLine="448"/>
        <w:jc w:val="center"/>
        <w:rPr>
          <w:szCs w:val="24"/>
        </w:rPr>
      </w:pPr>
      <w:r w:rsidRPr="00370BFA">
        <w:rPr>
          <w:rFonts w:ascii="Century Schoolbook" w:hAnsi="Century Schoolbook"/>
          <w:noProof/>
          <w:lang w:eastAsia="ja-JP"/>
        </w:rPr>
        <w:drawing>
          <wp:inline distT="0" distB="0" distL="0" distR="0" wp14:anchorId="641FE16C" wp14:editId="3617D2F6">
            <wp:extent cx="3200400" cy="2476500"/>
            <wp:effectExtent l="0" t="0" r="0" b="0"/>
            <wp:docPr id="8" name="Picture 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Diagram&#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00400" cy="2476500"/>
                    </a:xfrm>
                    <a:prstGeom prst="rect">
                      <a:avLst/>
                    </a:prstGeom>
                    <a:noFill/>
                    <a:ln>
                      <a:noFill/>
                    </a:ln>
                  </pic:spPr>
                </pic:pic>
              </a:graphicData>
            </a:graphic>
          </wp:inline>
        </w:drawing>
      </w:r>
    </w:p>
    <w:p w14:paraId="2B798DAB" w14:textId="77777777" w:rsidR="00E9052D" w:rsidRPr="00665D5A" w:rsidRDefault="00E9052D" w:rsidP="000231C5">
      <w:pPr>
        <w:snapToGrid w:val="0"/>
        <w:jc w:val="center"/>
        <w:rPr>
          <w:sz w:val="20"/>
        </w:rPr>
      </w:pPr>
      <w:r w:rsidRPr="00665D5A">
        <w:rPr>
          <w:b/>
          <w:sz w:val="20"/>
        </w:rPr>
        <w:t>Figure 1</w:t>
      </w:r>
      <w:r w:rsidRPr="00665D5A">
        <w:rPr>
          <w:sz w:val="20"/>
        </w:rPr>
        <w:t xml:space="preserve"> Experiment set-up and apparatus</w:t>
      </w:r>
    </w:p>
    <w:p w14:paraId="06C965B1" w14:textId="77777777" w:rsidR="00EF6D3A" w:rsidRDefault="00EF6D3A" w:rsidP="00EF6D3A">
      <w:pPr>
        <w:tabs>
          <w:tab w:val="left" w:pos="630"/>
        </w:tabs>
        <w:snapToGrid w:val="0"/>
        <w:spacing w:before="60"/>
        <w:ind w:firstLine="720"/>
        <w:jc w:val="both"/>
        <w:rPr>
          <w:sz w:val="20"/>
        </w:rPr>
      </w:pPr>
    </w:p>
    <w:p w14:paraId="713CB1C2" w14:textId="0E7A5988" w:rsidR="00E9052D" w:rsidRPr="00EF6D3A" w:rsidRDefault="00E9052D" w:rsidP="00EF6D3A">
      <w:pPr>
        <w:tabs>
          <w:tab w:val="left" w:pos="630"/>
        </w:tabs>
        <w:snapToGrid w:val="0"/>
        <w:spacing w:before="60"/>
        <w:ind w:firstLine="720"/>
        <w:jc w:val="both"/>
        <w:rPr>
          <w:sz w:val="20"/>
        </w:rPr>
      </w:pPr>
      <w:r w:rsidRPr="00EF6D3A">
        <w:rPr>
          <w:sz w:val="20"/>
        </w:rPr>
        <w:t>After purging air and injection of hydrogen to the reaction chamber, the chamber was heated to the reaction temperature (400°C) with a heating rate of 10°C/min. When gas was formed inside the reactor chamber (indicated by an increase in the pressure gauge), the valve to the tubular reactor was opened so that the gas flowed through the catalyst bed. Table 1 presents the composition of each CPO:PET variation.</w:t>
      </w:r>
    </w:p>
    <w:p w14:paraId="407C5B1C" w14:textId="77777777" w:rsidR="00E9052D" w:rsidRPr="00370BFA" w:rsidRDefault="00E9052D" w:rsidP="000231C5">
      <w:pPr>
        <w:tabs>
          <w:tab w:val="left" w:pos="630"/>
        </w:tabs>
        <w:snapToGrid w:val="0"/>
        <w:spacing w:before="60"/>
        <w:ind w:firstLine="720"/>
        <w:jc w:val="center"/>
        <w:rPr>
          <w:szCs w:val="24"/>
        </w:rPr>
      </w:pPr>
    </w:p>
    <w:p w14:paraId="7DC00FEB" w14:textId="01A4ADCC" w:rsidR="00E9052D" w:rsidRPr="00665D5A" w:rsidRDefault="00E9052D" w:rsidP="000231C5">
      <w:pPr>
        <w:tabs>
          <w:tab w:val="left" w:pos="450"/>
        </w:tabs>
        <w:jc w:val="center"/>
        <w:rPr>
          <w:sz w:val="20"/>
        </w:rPr>
      </w:pPr>
      <w:r w:rsidRPr="00665D5A">
        <w:rPr>
          <w:b/>
          <w:sz w:val="20"/>
        </w:rPr>
        <w:t>Table 1</w:t>
      </w:r>
      <w:r w:rsidRPr="00665D5A">
        <w:rPr>
          <w:sz w:val="20"/>
        </w:rPr>
        <w:t xml:space="preserve"> CPO : PET mass ratio variations</w:t>
      </w:r>
    </w:p>
    <w:tbl>
      <w:tblPr>
        <w:tblW w:w="0" w:type="auto"/>
        <w:jc w:val="center"/>
        <w:tblBorders>
          <w:top w:val="single" w:sz="4" w:space="0" w:color="auto"/>
        </w:tblBorders>
        <w:tblLook w:val="04A0" w:firstRow="1" w:lastRow="0" w:firstColumn="1" w:lastColumn="0" w:noHBand="0" w:noVBand="1"/>
      </w:tblPr>
      <w:tblGrid>
        <w:gridCol w:w="1566"/>
        <w:gridCol w:w="1502"/>
        <w:gridCol w:w="1423"/>
        <w:gridCol w:w="1423"/>
        <w:gridCol w:w="1423"/>
      </w:tblGrid>
      <w:tr w:rsidR="00370BFA" w:rsidRPr="00665D5A" w14:paraId="6C89176C" w14:textId="77777777" w:rsidTr="00FE7631">
        <w:trPr>
          <w:trHeight w:val="277"/>
          <w:jc w:val="center"/>
        </w:trPr>
        <w:tc>
          <w:tcPr>
            <w:tcW w:w="1566" w:type="dxa"/>
            <w:tcBorders>
              <w:top w:val="single" w:sz="12" w:space="0" w:color="auto"/>
              <w:left w:val="nil"/>
              <w:bottom w:val="single" w:sz="12" w:space="0" w:color="auto"/>
              <w:right w:val="nil"/>
            </w:tcBorders>
            <w:vAlign w:val="center"/>
            <w:hideMark/>
          </w:tcPr>
          <w:p w14:paraId="555246DB" w14:textId="77777777" w:rsidR="000231C5" w:rsidRPr="00665D5A" w:rsidRDefault="000231C5" w:rsidP="00FE7631">
            <w:pPr>
              <w:pStyle w:val="BodyText"/>
              <w:jc w:val="center"/>
              <w:rPr>
                <w:i/>
                <w:sz w:val="20"/>
                <w:szCs w:val="16"/>
              </w:rPr>
            </w:pPr>
            <w:r w:rsidRPr="00665D5A">
              <w:rPr>
                <w:sz w:val="20"/>
                <w:szCs w:val="16"/>
              </w:rPr>
              <w:t xml:space="preserve">No. </w:t>
            </w:r>
          </w:p>
        </w:tc>
        <w:tc>
          <w:tcPr>
            <w:tcW w:w="1502" w:type="dxa"/>
            <w:tcBorders>
              <w:top w:val="single" w:sz="12" w:space="0" w:color="auto"/>
              <w:left w:val="nil"/>
              <w:bottom w:val="single" w:sz="12" w:space="0" w:color="auto"/>
              <w:right w:val="nil"/>
            </w:tcBorders>
            <w:vAlign w:val="center"/>
            <w:hideMark/>
          </w:tcPr>
          <w:p w14:paraId="50752BA4" w14:textId="77777777" w:rsidR="000231C5" w:rsidRPr="00665D5A" w:rsidRDefault="000231C5" w:rsidP="00FE7631">
            <w:pPr>
              <w:pStyle w:val="BodyText"/>
              <w:jc w:val="center"/>
              <w:rPr>
                <w:i/>
                <w:sz w:val="20"/>
                <w:szCs w:val="16"/>
              </w:rPr>
            </w:pPr>
            <w:r w:rsidRPr="00665D5A">
              <w:rPr>
                <w:sz w:val="20"/>
                <w:szCs w:val="16"/>
              </w:rPr>
              <w:t>Sample Code</w:t>
            </w:r>
          </w:p>
        </w:tc>
        <w:tc>
          <w:tcPr>
            <w:tcW w:w="1423" w:type="dxa"/>
            <w:tcBorders>
              <w:top w:val="single" w:sz="12" w:space="0" w:color="auto"/>
              <w:left w:val="nil"/>
              <w:bottom w:val="single" w:sz="12" w:space="0" w:color="auto"/>
              <w:right w:val="nil"/>
            </w:tcBorders>
            <w:vAlign w:val="center"/>
            <w:hideMark/>
          </w:tcPr>
          <w:p w14:paraId="3A182046" w14:textId="77777777" w:rsidR="000231C5" w:rsidRPr="00665D5A" w:rsidRDefault="000231C5" w:rsidP="00FE7631">
            <w:pPr>
              <w:pStyle w:val="BodyText"/>
              <w:jc w:val="center"/>
              <w:rPr>
                <w:i/>
                <w:sz w:val="20"/>
                <w:szCs w:val="16"/>
              </w:rPr>
            </w:pPr>
            <w:r w:rsidRPr="00665D5A">
              <w:rPr>
                <w:sz w:val="20"/>
                <w:szCs w:val="16"/>
              </w:rPr>
              <w:t>CPO:PET Mass ratio</w:t>
            </w:r>
          </w:p>
        </w:tc>
        <w:tc>
          <w:tcPr>
            <w:tcW w:w="1423" w:type="dxa"/>
            <w:tcBorders>
              <w:top w:val="single" w:sz="12" w:space="0" w:color="auto"/>
              <w:left w:val="nil"/>
              <w:bottom w:val="single" w:sz="12" w:space="0" w:color="auto"/>
              <w:right w:val="nil"/>
            </w:tcBorders>
            <w:hideMark/>
          </w:tcPr>
          <w:p w14:paraId="4A9AF445" w14:textId="77777777" w:rsidR="000231C5" w:rsidRPr="00665D5A" w:rsidRDefault="000231C5" w:rsidP="00FE7631">
            <w:pPr>
              <w:pStyle w:val="BodyText"/>
              <w:jc w:val="center"/>
              <w:rPr>
                <w:i/>
                <w:sz w:val="20"/>
                <w:szCs w:val="16"/>
              </w:rPr>
            </w:pPr>
            <w:r w:rsidRPr="00665D5A">
              <w:rPr>
                <w:sz w:val="20"/>
                <w:szCs w:val="16"/>
              </w:rPr>
              <w:t>CPO mass (gram)</w:t>
            </w:r>
          </w:p>
        </w:tc>
        <w:tc>
          <w:tcPr>
            <w:tcW w:w="1423" w:type="dxa"/>
            <w:tcBorders>
              <w:top w:val="single" w:sz="12" w:space="0" w:color="auto"/>
              <w:left w:val="nil"/>
              <w:bottom w:val="single" w:sz="12" w:space="0" w:color="auto"/>
              <w:right w:val="nil"/>
            </w:tcBorders>
            <w:hideMark/>
          </w:tcPr>
          <w:p w14:paraId="3599E8EA" w14:textId="77777777" w:rsidR="000231C5" w:rsidRPr="00665D5A" w:rsidRDefault="000231C5" w:rsidP="00FE7631">
            <w:pPr>
              <w:pStyle w:val="BodyText"/>
              <w:jc w:val="center"/>
              <w:rPr>
                <w:i/>
                <w:sz w:val="20"/>
                <w:szCs w:val="16"/>
              </w:rPr>
            </w:pPr>
            <w:r w:rsidRPr="00665D5A">
              <w:rPr>
                <w:sz w:val="20"/>
                <w:szCs w:val="16"/>
              </w:rPr>
              <w:t>PET mass (gram)</w:t>
            </w:r>
          </w:p>
        </w:tc>
      </w:tr>
      <w:tr w:rsidR="00370BFA" w:rsidRPr="00665D5A" w14:paraId="1D9BADE9" w14:textId="77777777" w:rsidTr="00FE7631">
        <w:trPr>
          <w:trHeight w:val="112"/>
          <w:jc w:val="center"/>
        </w:trPr>
        <w:tc>
          <w:tcPr>
            <w:tcW w:w="1566" w:type="dxa"/>
            <w:tcBorders>
              <w:top w:val="single" w:sz="12" w:space="0" w:color="auto"/>
              <w:left w:val="nil"/>
              <w:bottom w:val="nil"/>
              <w:right w:val="nil"/>
            </w:tcBorders>
            <w:vAlign w:val="center"/>
            <w:hideMark/>
          </w:tcPr>
          <w:p w14:paraId="62546FD6" w14:textId="77777777" w:rsidR="000231C5" w:rsidRPr="00665D5A" w:rsidRDefault="000231C5" w:rsidP="00FE7631">
            <w:pPr>
              <w:pStyle w:val="BodyText"/>
              <w:jc w:val="center"/>
              <w:rPr>
                <w:i/>
                <w:sz w:val="20"/>
                <w:szCs w:val="16"/>
              </w:rPr>
            </w:pPr>
            <w:r w:rsidRPr="00665D5A">
              <w:rPr>
                <w:sz w:val="20"/>
                <w:szCs w:val="16"/>
              </w:rPr>
              <w:t>1</w:t>
            </w:r>
          </w:p>
        </w:tc>
        <w:tc>
          <w:tcPr>
            <w:tcW w:w="1502" w:type="dxa"/>
            <w:tcBorders>
              <w:top w:val="single" w:sz="12" w:space="0" w:color="auto"/>
              <w:left w:val="nil"/>
              <w:bottom w:val="nil"/>
              <w:right w:val="nil"/>
            </w:tcBorders>
            <w:vAlign w:val="center"/>
            <w:hideMark/>
          </w:tcPr>
          <w:p w14:paraId="5C534A45" w14:textId="77777777" w:rsidR="000231C5" w:rsidRPr="00665D5A" w:rsidRDefault="000231C5" w:rsidP="00FE7631">
            <w:pPr>
              <w:pStyle w:val="BodyText"/>
              <w:jc w:val="center"/>
              <w:rPr>
                <w:i/>
                <w:sz w:val="20"/>
                <w:szCs w:val="16"/>
              </w:rPr>
            </w:pPr>
            <w:r w:rsidRPr="00665D5A">
              <w:rPr>
                <w:sz w:val="20"/>
                <w:szCs w:val="16"/>
              </w:rPr>
              <w:t>A</w:t>
            </w:r>
          </w:p>
        </w:tc>
        <w:tc>
          <w:tcPr>
            <w:tcW w:w="1423" w:type="dxa"/>
            <w:tcBorders>
              <w:top w:val="single" w:sz="12" w:space="0" w:color="auto"/>
              <w:left w:val="nil"/>
              <w:bottom w:val="nil"/>
              <w:right w:val="nil"/>
            </w:tcBorders>
            <w:vAlign w:val="center"/>
            <w:hideMark/>
          </w:tcPr>
          <w:p w14:paraId="025517A1" w14:textId="77777777" w:rsidR="000231C5" w:rsidRPr="00665D5A" w:rsidRDefault="000231C5" w:rsidP="00FE7631">
            <w:pPr>
              <w:pStyle w:val="BodyText"/>
              <w:jc w:val="center"/>
              <w:rPr>
                <w:i/>
                <w:sz w:val="20"/>
                <w:szCs w:val="16"/>
              </w:rPr>
            </w:pPr>
            <w:r w:rsidRPr="00665D5A">
              <w:rPr>
                <w:sz w:val="20"/>
                <w:szCs w:val="16"/>
              </w:rPr>
              <w:t>1 : 0</w:t>
            </w:r>
          </w:p>
        </w:tc>
        <w:tc>
          <w:tcPr>
            <w:tcW w:w="1423" w:type="dxa"/>
            <w:tcBorders>
              <w:top w:val="single" w:sz="12" w:space="0" w:color="auto"/>
              <w:left w:val="nil"/>
              <w:bottom w:val="nil"/>
              <w:right w:val="nil"/>
            </w:tcBorders>
            <w:hideMark/>
          </w:tcPr>
          <w:p w14:paraId="157837CF" w14:textId="77777777" w:rsidR="000231C5" w:rsidRPr="00665D5A" w:rsidRDefault="000231C5" w:rsidP="00FE7631">
            <w:pPr>
              <w:pStyle w:val="BodyText"/>
              <w:jc w:val="center"/>
              <w:rPr>
                <w:i/>
                <w:sz w:val="20"/>
                <w:szCs w:val="16"/>
              </w:rPr>
            </w:pPr>
            <w:r w:rsidRPr="00665D5A">
              <w:rPr>
                <w:sz w:val="20"/>
                <w:szCs w:val="16"/>
              </w:rPr>
              <w:t>200</w:t>
            </w:r>
          </w:p>
        </w:tc>
        <w:tc>
          <w:tcPr>
            <w:tcW w:w="1423" w:type="dxa"/>
            <w:tcBorders>
              <w:top w:val="single" w:sz="12" w:space="0" w:color="auto"/>
              <w:left w:val="nil"/>
              <w:bottom w:val="nil"/>
              <w:right w:val="nil"/>
            </w:tcBorders>
            <w:hideMark/>
          </w:tcPr>
          <w:p w14:paraId="4001BC25" w14:textId="77777777" w:rsidR="000231C5" w:rsidRPr="00665D5A" w:rsidRDefault="000231C5" w:rsidP="00FE7631">
            <w:pPr>
              <w:pStyle w:val="BodyText"/>
              <w:jc w:val="center"/>
              <w:rPr>
                <w:i/>
                <w:sz w:val="20"/>
                <w:szCs w:val="16"/>
              </w:rPr>
            </w:pPr>
            <w:r w:rsidRPr="00665D5A">
              <w:rPr>
                <w:sz w:val="20"/>
                <w:szCs w:val="16"/>
              </w:rPr>
              <w:t>0</w:t>
            </w:r>
          </w:p>
        </w:tc>
      </w:tr>
      <w:tr w:rsidR="00370BFA" w:rsidRPr="00665D5A" w14:paraId="67D9D111" w14:textId="77777777" w:rsidTr="00FE7631">
        <w:trPr>
          <w:trHeight w:val="112"/>
          <w:jc w:val="center"/>
        </w:trPr>
        <w:tc>
          <w:tcPr>
            <w:tcW w:w="1566" w:type="dxa"/>
            <w:tcBorders>
              <w:top w:val="nil"/>
              <w:left w:val="nil"/>
              <w:bottom w:val="nil"/>
              <w:right w:val="nil"/>
            </w:tcBorders>
            <w:vAlign w:val="center"/>
            <w:hideMark/>
          </w:tcPr>
          <w:p w14:paraId="786B8EA5" w14:textId="77777777" w:rsidR="000231C5" w:rsidRPr="00665D5A" w:rsidRDefault="000231C5" w:rsidP="00FE7631">
            <w:pPr>
              <w:pStyle w:val="BodyText"/>
              <w:jc w:val="center"/>
              <w:rPr>
                <w:i/>
                <w:sz w:val="20"/>
                <w:szCs w:val="16"/>
              </w:rPr>
            </w:pPr>
            <w:r w:rsidRPr="00665D5A">
              <w:rPr>
                <w:sz w:val="20"/>
                <w:szCs w:val="16"/>
              </w:rPr>
              <w:lastRenderedPageBreak/>
              <w:t>2</w:t>
            </w:r>
          </w:p>
        </w:tc>
        <w:tc>
          <w:tcPr>
            <w:tcW w:w="1502" w:type="dxa"/>
            <w:tcBorders>
              <w:top w:val="nil"/>
              <w:left w:val="nil"/>
              <w:bottom w:val="nil"/>
              <w:right w:val="nil"/>
            </w:tcBorders>
            <w:vAlign w:val="center"/>
            <w:hideMark/>
          </w:tcPr>
          <w:p w14:paraId="514C4953" w14:textId="77777777" w:rsidR="000231C5" w:rsidRPr="00665D5A" w:rsidRDefault="000231C5" w:rsidP="00FE7631">
            <w:pPr>
              <w:pStyle w:val="BodyText"/>
              <w:jc w:val="center"/>
              <w:rPr>
                <w:i/>
                <w:sz w:val="20"/>
                <w:szCs w:val="16"/>
              </w:rPr>
            </w:pPr>
            <w:r w:rsidRPr="00665D5A">
              <w:rPr>
                <w:sz w:val="20"/>
                <w:szCs w:val="16"/>
              </w:rPr>
              <w:t>B</w:t>
            </w:r>
          </w:p>
        </w:tc>
        <w:tc>
          <w:tcPr>
            <w:tcW w:w="1423" w:type="dxa"/>
            <w:tcBorders>
              <w:top w:val="nil"/>
              <w:left w:val="nil"/>
              <w:bottom w:val="nil"/>
              <w:right w:val="nil"/>
            </w:tcBorders>
            <w:vAlign w:val="center"/>
            <w:hideMark/>
          </w:tcPr>
          <w:p w14:paraId="76A5D8E1" w14:textId="77777777" w:rsidR="000231C5" w:rsidRPr="00665D5A" w:rsidRDefault="000231C5" w:rsidP="00FE7631">
            <w:pPr>
              <w:pStyle w:val="BodyText"/>
              <w:jc w:val="center"/>
              <w:rPr>
                <w:i/>
                <w:sz w:val="20"/>
                <w:szCs w:val="16"/>
              </w:rPr>
            </w:pPr>
            <w:r w:rsidRPr="00665D5A">
              <w:rPr>
                <w:sz w:val="20"/>
                <w:szCs w:val="16"/>
              </w:rPr>
              <w:t>2 : 1</w:t>
            </w:r>
          </w:p>
        </w:tc>
        <w:tc>
          <w:tcPr>
            <w:tcW w:w="1423" w:type="dxa"/>
            <w:tcBorders>
              <w:top w:val="nil"/>
              <w:left w:val="nil"/>
              <w:bottom w:val="nil"/>
              <w:right w:val="nil"/>
            </w:tcBorders>
            <w:hideMark/>
          </w:tcPr>
          <w:p w14:paraId="537E26E0" w14:textId="77777777" w:rsidR="000231C5" w:rsidRPr="00665D5A" w:rsidRDefault="000231C5" w:rsidP="00FE7631">
            <w:pPr>
              <w:pStyle w:val="BodyText"/>
              <w:jc w:val="center"/>
              <w:rPr>
                <w:i/>
                <w:sz w:val="20"/>
                <w:szCs w:val="16"/>
              </w:rPr>
            </w:pPr>
            <w:r w:rsidRPr="00665D5A">
              <w:rPr>
                <w:sz w:val="20"/>
                <w:szCs w:val="16"/>
              </w:rPr>
              <w:t>200</w:t>
            </w:r>
          </w:p>
        </w:tc>
        <w:tc>
          <w:tcPr>
            <w:tcW w:w="1423" w:type="dxa"/>
            <w:tcBorders>
              <w:top w:val="nil"/>
              <w:left w:val="nil"/>
              <w:bottom w:val="nil"/>
              <w:right w:val="nil"/>
            </w:tcBorders>
            <w:hideMark/>
          </w:tcPr>
          <w:p w14:paraId="29A63206" w14:textId="77777777" w:rsidR="000231C5" w:rsidRPr="00665D5A" w:rsidRDefault="000231C5" w:rsidP="00FE7631">
            <w:pPr>
              <w:pStyle w:val="BodyText"/>
              <w:jc w:val="center"/>
              <w:rPr>
                <w:i/>
                <w:sz w:val="20"/>
                <w:szCs w:val="16"/>
              </w:rPr>
            </w:pPr>
            <w:r w:rsidRPr="00665D5A">
              <w:rPr>
                <w:sz w:val="20"/>
                <w:szCs w:val="16"/>
              </w:rPr>
              <w:t>100</w:t>
            </w:r>
          </w:p>
        </w:tc>
      </w:tr>
      <w:tr w:rsidR="00370BFA" w:rsidRPr="00665D5A" w14:paraId="584F5777" w14:textId="77777777" w:rsidTr="00FE7631">
        <w:trPr>
          <w:trHeight w:val="112"/>
          <w:jc w:val="center"/>
        </w:trPr>
        <w:tc>
          <w:tcPr>
            <w:tcW w:w="1566" w:type="dxa"/>
            <w:tcBorders>
              <w:top w:val="nil"/>
              <w:left w:val="nil"/>
              <w:bottom w:val="nil"/>
              <w:right w:val="nil"/>
            </w:tcBorders>
            <w:vAlign w:val="center"/>
            <w:hideMark/>
          </w:tcPr>
          <w:p w14:paraId="2A365E8E" w14:textId="77777777" w:rsidR="000231C5" w:rsidRPr="00665D5A" w:rsidRDefault="000231C5" w:rsidP="00FE7631">
            <w:pPr>
              <w:pStyle w:val="BodyText"/>
              <w:jc w:val="center"/>
              <w:rPr>
                <w:i/>
                <w:sz w:val="20"/>
                <w:szCs w:val="16"/>
              </w:rPr>
            </w:pPr>
            <w:r w:rsidRPr="00665D5A">
              <w:rPr>
                <w:sz w:val="20"/>
                <w:szCs w:val="16"/>
              </w:rPr>
              <w:t>3</w:t>
            </w:r>
          </w:p>
        </w:tc>
        <w:tc>
          <w:tcPr>
            <w:tcW w:w="1502" w:type="dxa"/>
            <w:tcBorders>
              <w:top w:val="nil"/>
              <w:left w:val="nil"/>
              <w:bottom w:val="nil"/>
              <w:right w:val="nil"/>
            </w:tcBorders>
            <w:vAlign w:val="center"/>
            <w:hideMark/>
          </w:tcPr>
          <w:p w14:paraId="02D63E36" w14:textId="77777777" w:rsidR="000231C5" w:rsidRPr="00665D5A" w:rsidRDefault="000231C5" w:rsidP="00FE7631">
            <w:pPr>
              <w:pStyle w:val="BodyText"/>
              <w:jc w:val="center"/>
              <w:rPr>
                <w:i/>
                <w:sz w:val="20"/>
                <w:szCs w:val="16"/>
              </w:rPr>
            </w:pPr>
            <w:r w:rsidRPr="00665D5A">
              <w:rPr>
                <w:sz w:val="20"/>
                <w:szCs w:val="16"/>
              </w:rPr>
              <w:t>C</w:t>
            </w:r>
          </w:p>
        </w:tc>
        <w:tc>
          <w:tcPr>
            <w:tcW w:w="1423" w:type="dxa"/>
            <w:tcBorders>
              <w:top w:val="nil"/>
              <w:left w:val="nil"/>
              <w:bottom w:val="nil"/>
              <w:right w:val="nil"/>
            </w:tcBorders>
            <w:vAlign w:val="center"/>
            <w:hideMark/>
          </w:tcPr>
          <w:p w14:paraId="701D622D" w14:textId="77777777" w:rsidR="000231C5" w:rsidRPr="00665D5A" w:rsidRDefault="000231C5" w:rsidP="00FE7631">
            <w:pPr>
              <w:pStyle w:val="BodyText"/>
              <w:jc w:val="center"/>
              <w:rPr>
                <w:i/>
                <w:sz w:val="20"/>
                <w:szCs w:val="16"/>
              </w:rPr>
            </w:pPr>
            <w:r w:rsidRPr="00665D5A">
              <w:rPr>
                <w:sz w:val="20"/>
                <w:szCs w:val="16"/>
              </w:rPr>
              <w:t>1 : 1</w:t>
            </w:r>
          </w:p>
        </w:tc>
        <w:tc>
          <w:tcPr>
            <w:tcW w:w="1423" w:type="dxa"/>
            <w:tcBorders>
              <w:top w:val="nil"/>
              <w:left w:val="nil"/>
              <w:bottom w:val="nil"/>
              <w:right w:val="nil"/>
            </w:tcBorders>
            <w:hideMark/>
          </w:tcPr>
          <w:p w14:paraId="324C39E8" w14:textId="77777777" w:rsidR="000231C5" w:rsidRPr="00665D5A" w:rsidRDefault="000231C5" w:rsidP="00FE7631">
            <w:pPr>
              <w:pStyle w:val="BodyText"/>
              <w:jc w:val="center"/>
              <w:rPr>
                <w:i/>
                <w:sz w:val="20"/>
                <w:szCs w:val="16"/>
              </w:rPr>
            </w:pPr>
            <w:r w:rsidRPr="00665D5A">
              <w:rPr>
                <w:sz w:val="20"/>
                <w:szCs w:val="16"/>
              </w:rPr>
              <w:t>100</w:t>
            </w:r>
          </w:p>
        </w:tc>
        <w:tc>
          <w:tcPr>
            <w:tcW w:w="1423" w:type="dxa"/>
            <w:tcBorders>
              <w:top w:val="nil"/>
              <w:left w:val="nil"/>
              <w:bottom w:val="nil"/>
              <w:right w:val="nil"/>
            </w:tcBorders>
            <w:hideMark/>
          </w:tcPr>
          <w:p w14:paraId="315656DE" w14:textId="77777777" w:rsidR="000231C5" w:rsidRPr="00665D5A" w:rsidRDefault="000231C5" w:rsidP="00FE7631">
            <w:pPr>
              <w:pStyle w:val="BodyText"/>
              <w:jc w:val="center"/>
              <w:rPr>
                <w:i/>
                <w:sz w:val="20"/>
                <w:szCs w:val="16"/>
              </w:rPr>
            </w:pPr>
            <w:r w:rsidRPr="00665D5A">
              <w:rPr>
                <w:sz w:val="20"/>
                <w:szCs w:val="16"/>
              </w:rPr>
              <w:t>100</w:t>
            </w:r>
          </w:p>
        </w:tc>
      </w:tr>
      <w:tr w:rsidR="00370BFA" w:rsidRPr="00665D5A" w14:paraId="3FD3F696" w14:textId="77777777" w:rsidTr="00FE7631">
        <w:trPr>
          <w:trHeight w:val="123"/>
          <w:jc w:val="center"/>
        </w:trPr>
        <w:tc>
          <w:tcPr>
            <w:tcW w:w="1566" w:type="dxa"/>
            <w:tcBorders>
              <w:top w:val="nil"/>
              <w:left w:val="nil"/>
              <w:bottom w:val="nil"/>
              <w:right w:val="nil"/>
            </w:tcBorders>
            <w:vAlign w:val="center"/>
            <w:hideMark/>
          </w:tcPr>
          <w:p w14:paraId="76DB61BE" w14:textId="77777777" w:rsidR="000231C5" w:rsidRPr="00665D5A" w:rsidRDefault="000231C5" w:rsidP="00FE7631">
            <w:pPr>
              <w:pStyle w:val="BodyText"/>
              <w:jc w:val="center"/>
              <w:rPr>
                <w:i/>
                <w:sz w:val="20"/>
                <w:szCs w:val="16"/>
              </w:rPr>
            </w:pPr>
            <w:r w:rsidRPr="00665D5A">
              <w:rPr>
                <w:sz w:val="20"/>
                <w:szCs w:val="16"/>
              </w:rPr>
              <w:t>4</w:t>
            </w:r>
          </w:p>
        </w:tc>
        <w:tc>
          <w:tcPr>
            <w:tcW w:w="1502" w:type="dxa"/>
            <w:tcBorders>
              <w:top w:val="nil"/>
              <w:left w:val="nil"/>
              <w:bottom w:val="nil"/>
              <w:right w:val="nil"/>
            </w:tcBorders>
            <w:vAlign w:val="center"/>
            <w:hideMark/>
          </w:tcPr>
          <w:p w14:paraId="5941BD58" w14:textId="77777777" w:rsidR="000231C5" w:rsidRPr="00665D5A" w:rsidRDefault="000231C5" w:rsidP="00FE7631">
            <w:pPr>
              <w:pStyle w:val="BodyText"/>
              <w:jc w:val="center"/>
              <w:rPr>
                <w:i/>
                <w:sz w:val="20"/>
                <w:szCs w:val="16"/>
              </w:rPr>
            </w:pPr>
            <w:r w:rsidRPr="00665D5A">
              <w:rPr>
                <w:sz w:val="20"/>
                <w:szCs w:val="16"/>
              </w:rPr>
              <w:t>D</w:t>
            </w:r>
          </w:p>
        </w:tc>
        <w:tc>
          <w:tcPr>
            <w:tcW w:w="1423" w:type="dxa"/>
            <w:tcBorders>
              <w:top w:val="nil"/>
              <w:left w:val="nil"/>
              <w:bottom w:val="nil"/>
              <w:right w:val="nil"/>
            </w:tcBorders>
            <w:vAlign w:val="center"/>
            <w:hideMark/>
          </w:tcPr>
          <w:p w14:paraId="4A09B49B" w14:textId="77777777" w:rsidR="000231C5" w:rsidRPr="00665D5A" w:rsidRDefault="000231C5" w:rsidP="00FE7631">
            <w:pPr>
              <w:pStyle w:val="BodyText"/>
              <w:jc w:val="center"/>
              <w:rPr>
                <w:i/>
                <w:sz w:val="20"/>
                <w:szCs w:val="16"/>
              </w:rPr>
            </w:pPr>
            <w:r w:rsidRPr="00665D5A">
              <w:rPr>
                <w:sz w:val="20"/>
                <w:szCs w:val="16"/>
              </w:rPr>
              <w:t>1 : 2</w:t>
            </w:r>
          </w:p>
        </w:tc>
        <w:tc>
          <w:tcPr>
            <w:tcW w:w="1423" w:type="dxa"/>
            <w:tcBorders>
              <w:top w:val="nil"/>
              <w:left w:val="nil"/>
              <w:bottom w:val="nil"/>
              <w:right w:val="nil"/>
            </w:tcBorders>
            <w:hideMark/>
          </w:tcPr>
          <w:p w14:paraId="71627DC4" w14:textId="77777777" w:rsidR="000231C5" w:rsidRPr="00665D5A" w:rsidRDefault="000231C5" w:rsidP="00FE7631">
            <w:pPr>
              <w:pStyle w:val="BodyText"/>
              <w:jc w:val="center"/>
              <w:rPr>
                <w:i/>
                <w:sz w:val="20"/>
                <w:szCs w:val="16"/>
              </w:rPr>
            </w:pPr>
            <w:r w:rsidRPr="00665D5A">
              <w:rPr>
                <w:sz w:val="20"/>
                <w:szCs w:val="16"/>
              </w:rPr>
              <w:t>100</w:t>
            </w:r>
          </w:p>
        </w:tc>
        <w:tc>
          <w:tcPr>
            <w:tcW w:w="1423" w:type="dxa"/>
            <w:tcBorders>
              <w:top w:val="nil"/>
              <w:left w:val="nil"/>
              <w:bottom w:val="nil"/>
              <w:right w:val="nil"/>
            </w:tcBorders>
            <w:hideMark/>
          </w:tcPr>
          <w:p w14:paraId="6A7FB1C6" w14:textId="77777777" w:rsidR="000231C5" w:rsidRPr="00665D5A" w:rsidRDefault="000231C5" w:rsidP="00FE7631">
            <w:pPr>
              <w:pStyle w:val="BodyText"/>
              <w:jc w:val="center"/>
              <w:rPr>
                <w:i/>
                <w:sz w:val="20"/>
                <w:szCs w:val="16"/>
              </w:rPr>
            </w:pPr>
            <w:r w:rsidRPr="00665D5A">
              <w:rPr>
                <w:sz w:val="20"/>
                <w:szCs w:val="16"/>
              </w:rPr>
              <w:t>200</w:t>
            </w:r>
          </w:p>
        </w:tc>
      </w:tr>
      <w:tr w:rsidR="007B7A1F" w:rsidRPr="00370BFA" w14:paraId="4FDA7750" w14:textId="77777777" w:rsidTr="00FE7631">
        <w:trPr>
          <w:trHeight w:val="112"/>
          <w:jc w:val="center"/>
        </w:trPr>
        <w:tc>
          <w:tcPr>
            <w:tcW w:w="1566" w:type="dxa"/>
            <w:tcBorders>
              <w:top w:val="nil"/>
              <w:left w:val="nil"/>
              <w:bottom w:val="single" w:sz="12" w:space="0" w:color="auto"/>
              <w:right w:val="nil"/>
            </w:tcBorders>
            <w:vAlign w:val="center"/>
            <w:hideMark/>
          </w:tcPr>
          <w:p w14:paraId="41A7A36C" w14:textId="77777777" w:rsidR="000231C5" w:rsidRPr="00370BFA" w:rsidRDefault="000231C5" w:rsidP="00FE7631">
            <w:pPr>
              <w:pStyle w:val="BodyText"/>
              <w:jc w:val="center"/>
              <w:rPr>
                <w:i/>
              </w:rPr>
            </w:pPr>
            <w:r w:rsidRPr="00370BFA">
              <w:t>5</w:t>
            </w:r>
          </w:p>
        </w:tc>
        <w:tc>
          <w:tcPr>
            <w:tcW w:w="1502" w:type="dxa"/>
            <w:tcBorders>
              <w:top w:val="nil"/>
              <w:left w:val="nil"/>
              <w:bottom w:val="single" w:sz="12" w:space="0" w:color="auto"/>
              <w:right w:val="nil"/>
            </w:tcBorders>
            <w:vAlign w:val="center"/>
            <w:hideMark/>
          </w:tcPr>
          <w:p w14:paraId="57353249" w14:textId="77777777" w:rsidR="000231C5" w:rsidRPr="00370BFA" w:rsidRDefault="000231C5" w:rsidP="00FE7631">
            <w:pPr>
              <w:pStyle w:val="BodyText"/>
              <w:jc w:val="center"/>
              <w:rPr>
                <w:i/>
              </w:rPr>
            </w:pPr>
            <w:r w:rsidRPr="00370BFA">
              <w:t>E</w:t>
            </w:r>
          </w:p>
        </w:tc>
        <w:tc>
          <w:tcPr>
            <w:tcW w:w="1423" w:type="dxa"/>
            <w:tcBorders>
              <w:top w:val="nil"/>
              <w:left w:val="nil"/>
              <w:bottom w:val="single" w:sz="12" w:space="0" w:color="auto"/>
              <w:right w:val="nil"/>
            </w:tcBorders>
            <w:vAlign w:val="center"/>
            <w:hideMark/>
          </w:tcPr>
          <w:p w14:paraId="2ED7025F" w14:textId="77777777" w:rsidR="000231C5" w:rsidRPr="00370BFA" w:rsidRDefault="000231C5" w:rsidP="00FE7631">
            <w:pPr>
              <w:pStyle w:val="BodyText"/>
              <w:jc w:val="center"/>
              <w:rPr>
                <w:i/>
              </w:rPr>
            </w:pPr>
            <w:r w:rsidRPr="00370BFA">
              <w:t>0 : 1</w:t>
            </w:r>
          </w:p>
        </w:tc>
        <w:tc>
          <w:tcPr>
            <w:tcW w:w="1423" w:type="dxa"/>
            <w:tcBorders>
              <w:top w:val="nil"/>
              <w:left w:val="nil"/>
              <w:bottom w:val="single" w:sz="12" w:space="0" w:color="auto"/>
              <w:right w:val="nil"/>
            </w:tcBorders>
            <w:hideMark/>
          </w:tcPr>
          <w:p w14:paraId="0982C6EA" w14:textId="77777777" w:rsidR="000231C5" w:rsidRPr="00370BFA" w:rsidRDefault="000231C5" w:rsidP="00FE7631">
            <w:pPr>
              <w:pStyle w:val="BodyText"/>
              <w:jc w:val="center"/>
              <w:rPr>
                <w:i/>
              </w:rPr>
            </w:pPr>
            <w:r w:rsidRPr="00370BFA">
              <w:t>0</w:t>
            </w:r>
          </w:p>
        </w:tc>
        <w:tc>
          <w:tcPr>
            <w:tcW w:w="1423" w:type="dxa"/>
            <w:tcBorders>
              <w:top w:val="nil"/>
              <w:left w:val="nil"/>
              <w:bottom w:val="single" w:sz="12" w:space="0" w:color="auto"/>
              <w:right w:val="nil"/>
            </w:tcBorders>
            <w:hideMark/>
          </w:tcPr>
          <w:p w14:paraId="7915AEA9" w14:textId="77777777" w:rsidR="000231C5" w:rsidRPr="00370BFA" w:rsidRDefault="000231C5" w:rsidP="00FE7631">
            <w:pPr>
              <w:pStyle w:val="BodyText"/>
              <w:jc w:val="center"/>
              <w:rPr>
                <w:i/>
              </w:rPr>
            </w:pPr>
            <w:r w:rsidRPr="00370BFA">
              <w:t>200</w:t>
            </w:r>
          </w:p>
        </w:tc>
      </w:tr>
    </w:tbl>
    <w:p w14:paraId="5B22C18F" w14:textId="36980A69" w:rsidR="00E9052D" w:rsidRPr="00665D5A" w:rsidRDefault="00665D5A" w:rsidP="00EF6D3A">
      <w:pPr>
        <w:tabs>
          <w:tab w:val="left" w:pos="450"/>
        </w:tabs>
        <w:spacing w:before="240" w:after="240"/>
        <w:jc w:val="center"/>
        <w:rPr>
          <w:b/>
          <w:bCs/>
          <w:iCs/>
          <w:szCs w:val="24"/>
          <w:lang w:eastAsia="id-ID"/>
        </w:rPr>
      </w:pPr>
      <w:r w:rsidRPr="00665D5A">
        <w:rPr>
          <w:b/>
          <w:bCs/>
          <w:iCs/>
          <w:szCs w:val="24"/>
          <w:lang w:eastAsia="id-ID"/>
        </w:rPr>
        <w:t>Liquid Fuel Characterization</w:t>
      </w:r>
    </w:p>
    <w:p w14:paraId="268F1D09" w14:textId="4CFCC53A" w:rsidR="00E9052D" w:rsidRPr="00EF6D3A" w:rsidRDefault="00E9052D" w:rsidP="00EF6D3A">
      <w:pPr>
        <w:tabs>
          <w:tab w:val="left" w:pos="450"/>
        </w:tabs>
        <w:spacing w:before="120"/>
        <w:ind w:firstLine="810"/>
        <w:jc w:val="both"/>
        <w:rPr>
          <w:iCs/>
          <w:sz w:val="20"/>
        </w:rPr>
      </w:pPr>
      <w:r w:rsidRPr="00EF6D3A">
        <w:rPr>
          <w:iCs/>
          <w:sz w:val="20"/>
        </w:rPr>
        <w:t xml:space="preserve">The </w:t>
      </w:r>
      <w:proofErr w:type="gramStart"/>
      <w:r w:rsidRPr="00EF6D3A">
        <w:rPr>
          <w:iCs/>
          <w:sz w:val="20"/>
        </w:rPr>
        <w:t>obtained fuels</w:t>
      </w:r>
      <w:proofErr w:type="gramEnd"/>
      <w:r w:rsidRPr="00EF6D3A">
        <w:rPr>
          <w:iCs/>
          <w:sz w:val="20"/>
        </w:rPr>
        <w:t xml:space="preserve"> were characterized chemically as well as physically. The fuel samples were analysed chemically using GC-MS. The physical analysis </w:t>
      </w:r>
      <w:proofErr w:type="gramStart"/>
      <w:r w:rsidRPr="00EF6D3A">
        <w:rPr>
          <w:iCs/>
          <w:sz w:val="20"/>
        </w:rPr>
        <w:t>were</w:t>
      </w:r>
      <w:proofErr w:type="gramEnd"/>
      <w:r w:rsidRPr="00EF6D3A">
        <w:rPr>
          <w:iCs/>
          <w:sz w:val="20"/>
        </w:rPr>
        <w:t xml:space="preserve"> density, viscosity, calorific value, and average octane number (RON).</w:t>
      </w:r>
    </w:p>
    <w:p w14:paraId="5B59B36A" w14:textId="45B31549" w:rsidR="00E9052D" w:rsidRPr="00370BFA" w:rsidRDefault="00EF6D3A" w:rsidP="00EF6D3A">
      <w:pPr>
        <w:tabs>
          <w:tab w:val="left" w:pos="450"/>
        </w:tabs>
        <w:spacing w:before="240" w:after="240"/>
        <w:jc w:val="center"/>
        <w:rPr>
          <w:b/>
          <w:bCs/>
          <w:iCs/>
          <w:szCs w:val="24"/>
        </w:rPr>
      </w:pPr>
      <w:r w:rsidRPr="00370BFA">
        <w:rPr>
          <w:b/>
          <w:bCs/>
          <w:iCs/>
          <w:szCs w:val="24"/>
        </w:rPr>
        <w:t>R</w:t>
      </w:r>
      <w:r w:rsidRPr="00370BFA">
        <w:rPr>
          <w:b/>
          <w:bCs/>
          <w:iCs/>
          <w:szCs w:val="24"/>
          <w:lang w:val="id-ID"/>
        </w:rPr>
        <w:t xml:space="preserve">ESULTS </w:t>
      </w:r>
      <w:r w:rsidRPr="00370BFA">
        <w:rPr>
          <w:b/>
          <w:bCs/>
          <w:iCs/>
          <w:szCs w:val="24"/>
        </w:rPr>
        <w:t>AND DISCUSSION</w:t>
      </w:r>
    </w:p>
    <w:p w14:paraId="1B44DED9" w14:textId="3B29DAEB" w:rsidR="00E9052D" w:rsidRPr="00EF6D3A" w:rsidRDefault="00EF6D3A" w:rsidP="00EF6D3A">
      <w:pPr>
        <w:tabs>
          <w:tab w:val="left" w:pos="450"/>
        </w:tabs>
        <w:spacing w:before="240" w:after="240"/>
        <w:jc w:val="center"/>
        <w:rPr>
          <w:b/>
          <w:bCs/>
          <w:iCs/>
          <w:szCs w:val="24"/>
        </w:rPr>
      </w:pPr>
      <w:r w:rsidRPr="00EF6D3A">
        <w:rPr>
          <w:b/>
          <w:bCs/>
          <w:iCs/>
          <w:szCs w:val="24"/>
        </w:rPr>
        <w:t>Catalyst Characterization</w:t>
      </w:r>
    </w:p>
    <w:p w14:paraId="3C25EF8B" w14:textId="0FB4FDE5" w:rsidR="00E9052D" w:rsidRPr="00370BFA" w:rsidRDefault="00EF6D3A" w:rsidP="00EF6D3A">
      <w:pPr>
        <w:tabs>
          <w:tab w:val="left" w:pos="450"/>
        </w:tabs>
        <w:jc w:val="both"/>
        <w:rPr>
          <w:bCs/>
          <w:kern w:val="28"/>
          <w:szCs w:val="24"/>
        </w:rPr>
      </w:pPr>
      <w:r>
        <w:rPr>
          <w:bCs/>
          <w:kern w:val="28"/>
          <w:sz w:val="20"/>
        </w:rPr>
        <w:tab/>
      </w:r>
      <w:r w:rsidR="00E9052D" w:rsidRPr="00EF6D3A">
        <w:rPr>
          <w:bCs/>
          <w:kern w:val="28"/>
          <w:sz w:val="20"/>
        </w:rPr>
        <w:t xml:space="preserve">The diffractograms of the catalyst and the Al-MCM-41 support can be seen on Figure 2. The diffractogram of the support shows a broad peak at 20-35°. The broad peak shows the amorphous phase of the Al-MCM-41 material </w:t>
      </w:r>
      <w:r w:rsidR="00665D5A">
        <w:rPr>
          <w:bCs/>
          <w:kern w:val="28"/>
          <w:sz w:val="20"/>
        </w:rPr>
        <w:t xml:space="preserve">[10]. </w:t>
      </w:r>
      <w:r w:rsidR="00E9052D" w:rsidRPr="00EF6D3A">
        <w:rPr>
          <w:bCs/>
          <w:kern w:val="28"/>
          <w:sz w:val="20"/>
        </w:rPr>
        <w:t>On the other hand, the XRD spectrum for Ni/Al-MCM-41 catalyst shows additional sharper peaks at 37.26°, 43.29°, and 62.86° which corresponds to the (111), (200), and (220) index of the NiO face-centered cubic structure. The Ni composition of the catalyst was also indicated on the XRF analysis as presented on Table 2. This shows a successful impregnation process on the surface of the support.</w:t>
      </w:r>
      <w:r w:rsidR="00E9052D" w:rsidRPr="00370BFA">
        <w:rPr>
          <w:bCs/>
          <w:kern w:val="28"/>
          <w:szCs w:val="24"/>
        </w:rPr>
        <w:br/>
      </w:r>
    </w:p>
    <w:p w14:paraId="166370A1" w14:textId="747C3AA0" w:rsidR="00E9052D" w:rsidRPr="00EF6D3A" w:rsidRDefault="000231C5" w:rsidP="000231C5">
      <w:pPr>
        <w:tabs>
          <w:tab w:val="left" w:pos="450"/>
        </w:tabs>
        <w:jc w:val="center"/>
        <w:rPr>
          <w:bCs/>
          <w:kern w:val="28"/>
          <w:sz w:val="20"/>
        </w:rPr>
      </w:pPr>
      <w:r w:rsidRPr="00EF6D3A">
        <w:rPr>
          <w:rFonts w:ascii="Century Schoolbook" w:hAnsi="Century Schoolbook"/>
          <w:noProof/>
          <w:kern w:val="28"/>
          <w:sz w:val="20"/>
          <w:szCs w:val="16"/>
          <w:lang w:eastAsia="ja-JP"/>
        </w:rPr>
        <w:drawing>
          <wp:inline distT="0" distB="0" distL="0" distR="0" wp14:anchorId="5CE20715" wp14:editId="66368D50">
            <wp:extent cx="3200400" cy="1990725"/>
            <wp:effectExtent l="0" t="0" r="0" b="9525"/>
            <wp:docPr id="3" name="Picture 3" descr="A graph with numbers and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graph with numbers and lines&#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00400" cy="1990725"/>
                    </a:xfrm>
                    <a:prstGeom prst="rect">
                      <a:avLst/>
                    </a:prstGeom>
                    <a:noFill/>
                    <a:ln>
                      <a:noFill/>
                    </a:ln>
                  </pic:spPr>
                </pic:pic>
              </a:graphicData>
            </a:graphic>
          </wp:inline>
        </w:drawing>
      </w:r>
    </w:p>
    <w:p w14:paraId="7FE48EC0" w14:textId="77777777" w:rsidR="00E9052D" w:rsidRPr="00EF6D3A" w:rsidRDefault="00E9052D" w:rsidP="000231C5">
      <w:pPr>
        <w:snapToGrid w:val="0"/>
        <w:jc w:val="center"/>
        <w:rPr>
          <w:sz w:val="20"/>
        </w:rPr>
      </w:pPr>
      <w:r w:rsidRPr="00EF6D3A">
        <w:rPr>
          <w:b/>
          <w:sz w:val="20"/>
        </w:rPr>
        <w:t>Figure 2</w:t>
      </w:r>
      <w:r w:rsidRPr="00EF6D3A">
        <w:rPr>
          <w:sz w:val="20"/>
        </w:rPr>
        <w:t xml:space="preserve"> Diffractogram of the Al-MCM-41 support and the catalyst</w:t>
      </w:r>
    </w:p>
    <w:p w14:paraId="7E4559C7" w14:textId="77777777" w:rsidR="00E9052D" w:rsidRPr="00EF6D3A" w:rsidRDefault="00E9052D" w:rsidP="000231C5">
      <w:pPr>
        <w:tabs>
          <w:tab w:val="left" w:pos="630"/>
        </w:tabs>
        <w:snapToGrid w:val="0"/>
        <w:spacing w:before="60"/>
        <w:jc w:val="center"/>
        <w:rPr>
          <w:sz w:val="20"/>
        </w:rPr>
      </w:pPr>
    </w:p>
    <w:p w14:paraId="45921536" w14:textId="02DAAE79" w:rsidR="00E9052D" w:rsidRPr="00EF6D3A" w:rsidRDefault="00E9052D" w:rsidP="000231C5">
      <w:pPr>
        <w:tabs>
          <w:tab w:val="left" w:pos="450"/>
        </w:tabs>
        <w:jc w:val="center"/>
        <w:rPr>
          <w:b/>
          <w:sz w:val="20"/>
        </w:rPr>
      </w:pPr>
      <w:r w:rsidRPr="00EF6D3A">
        <w:rPr>
          <w:b/>
          <w:sz w:val="20"/>
        </w:rPr>
        <w:t>Table 2</w:t>
      </w:r>
      <w:r w:rsidR="000231C5" w:rsidRPr="00EF6D3A">
        <w:rPr>
          <w:b/>
          <w:sz w:val="20"/>
        </w:rPr>
        <w:t xml:space="preserve"> </w:t>
      </w:r>
      <w:r w:rsidR="000231C5" w:rsidRPr="00EF6D3A">
        <w:rPr>
          <w:sz w:val="20"/>
          <w:szCs w:val="16"/>
        </w:rPr>
        <w:t>CPO : PET mass ratio variations</w:t>
      </w:r>
    </w:p>
    <w:tbl>
      <w:tblPr>
        <w:tblW w:w="2791" w:type="dxa"/>
        <w:jc w:val="center"/>
        <w:tblLook w:val="04A0" w:firstRow="1" w:lastRow="0" w:firstColumn="1" w:lastColumn="0" w:noHBand="0" w:noVBand="1"/>
      </w:tblPr>
      <w:tblGrid>
        <w:gridCol w:w="1280"/>
        <w:gridCol w:w="1511"/>
      </w:tblGrid>
      <w:tr w:rsidR="00370BFA" w:rsidRPr="00EF6D3A" w14:paraId="024F8FFE" w14:textId="77777777" w:rsidTr="00FE7631">
        <w:trPr>
          <w:trHeight w:val="255"/>
          <w:jc w:val="center"/>
        </w:trPr>
        <w:tc>
          <w:tcPr>
            <w:tcW w:w="1280" w:type="dxa"/>
            <w:tcBorders>
              <w:top w:val="single" w:sz="4" w:space="0" w:color="auto"/>
              <w:left w:val="nil"/>
              <w:bottom w:val="single" w:sz="4" w:space="0" w:color="auto"/>
              <w:right w:val="nil"/>
            </w:tcBorders>
            <w:noWrap/>
            <w:vAlign w:val="center"/>
            <w:hideMark/>
          </w:tcPr>
          <w:p w14:paraId="55E6B395" w14:textId="77777777" w:rsidR="000231C5" w:rsidRPr="00EF6D3A" w:rsidRDefault="000231C5" w:rsidP="00FE7631">
            <w:pPr>
              <w:snapToGrid w:val="0"/>
              <w:rPr>
                <w:b/>
                <w:bCs/>
                <w:sz w:val="20"/>
                <w:szCs w:val="16"/>
              </w:rPr>
            </w:pPr>
            <w:r w:rsidRPr="00EF6D3A">
              <w:rPr>
                <w:b/>
                <w:bCs/>
                <w:sz w:val="20"/>
                <w:szCs w:val="16"/>
              </w:rPr>
              <w:t>Compound</w:t>
            </w:r>
          </w:p>
        </w:tc>
        <w:tc>
          <w:tcPr>
            <w:tcW w:w="1511" w:type="dxa"/>
            <w:tcBorders>
              <w:top w:val="single" w:sz="4" w:space="0" w:color="auto"/>
              <w:left w:val="nil"/>
              <w:bottom w:val="single" w:sz="4" w:space="0" w:color="auto"/>
              <w:right w:val="nil"/>
            </w:tcBorders>
            <w:noWrap/>
            <w:vAlign w:val="center"/>
            <w:hideMark/>
          </w:tcPr>
          <w:p w14:paraId="0E843E1D" w14:textId="77777777" w:rsidR="000231C5" w:rsidRPr="00EF6D3A" w:rsidRDefault="000231C5" w:rsidP="00FE7631">
            <w:pPr>
              <w:snapToGrid w:val="0"/>
              <w:rPr>
                <w:b/>
                <w:bCs/>
                <w:sz w:val="20"/>
                <w:szCs w:val="16"/>
              </w:rPr>
            </w:pPr>
            <w:r w:rsidRPr="00EF6D3A">
              <w:rPr>
                <w:b/>
                <w:bCs/>
                <w:sz w:val="20"/>
                <w:szCs w:val="16"/>
              </w:rPr>
              <w:t>Concentration (% w/w)</w:t>
            </w:r>
          </w:p>
        </w:tc>
      </w:tr>
      <w:tr w:rsidR="00370BFA" w:rsidRPr="00EF6D3A" w14:paraId="2F3A0F30" w14:textId="77777777" w:rsidTr="00FE7631">
        <w:trPr>
          <w:trHeight w:val="255"/>
          <w:jc w:val="center"/>
        </w:trPr>
        <w:tc>
          <w:tcPr>
            <w:tcW w:w="1280" w:type="dxa"/>
            <w:tcBorders>
              <w:top w:val="single" w:sz="4" w:space="0" w:color="auto"/>
              <w:left w:val="nil"/>
              <w:bottom w:val="nil"/>
              <w:right w:val="nil"/>
            </w:tcBorders>
            <w:noWrap/>
            <w:vAlign w:val="bottom"/>
            <w:hideMark/>
          </w:tcPr>
          <w:p w14:paraId="4153B241" w14:textId="77777777" w:rsidR="000231C5" w:rsidRPr="00EF6D3A" w:rsidRDefault="000231C5" w:rsidP="00FE7631">
            <w:pPr>
              <w:snapToGrid w:val="0"/>
              <w:rPr>
                <w:sz w:val="20"/>
                <w:szCs w:val="16"/>
                <w:lang w:val="en-ID"/>
              </w:rPr>
            </w:pPr>
            <w:r w:rsidRPr="00EF6D3A">
              <w:rPr>
                <w:sz w:val="20"/>
                <w:szCs w:val="16"/>
                <w:lang w:val="en-ID"/>
              </w:rPr>
              <w:t>Al</w:t>
            </w:r>
            <w:r w:rsidRPr="00EF6D3A">
              <w:rPr>
                <w:sz w:val="20"/>
                <w:szCs w:val="16"/>
                <w:vertAlign w:val="subscript"/>
                <w:lang w:val="en-ID"/>
              </w:rPr>
              <w:t>2</w:t>
            </w:r>
            <w:r w:rsidRPr="00EF6D3A">
              <w:rPr>
                <w:sz w:val="20"/>
                <w:szCs w:val="16"/>
                <w:lang w:val="en-ID"/>
              </w:rPr>
              <w:t>O</w:t>
            </w:r>
            <w:r w:rsidRPr="00EF6D3A">
              <w:rPr>
                <w:sz w:val="20"/>
                <w:szCs w:val="16"/>
                <w:vertAlign w:val="subscript"/>
                <w:lang w:val="en-ID"/>
              </w:rPr>
              <w:t>3</w:t>
            </w:r>
          </w:p>
        </w:tc>
        <w:tc>
          <w:tcPr>
            <w:tcW w:w="1511" w:type="dxa"/>
            <w:tcBorders>
              <w:top w:val="single" w:sz="4" w:space="0" w:color="auto"/>
              <w:left w:val="nil"/>
              <w:bottom w:val="nil"/>
              <w:right w:val="nil"/>
            </w:tcBorders>
            <w:noWrap/>
            <w:vAlign w:val="bottom"/>
            <w:hideMark/>
          </w:tcPr>
          <w:p w14:paraId="42EA3D2F" w14:textId="77777777" w:rsidR="000231C5" w:rsidRPr="00EF6D3A" w:rsidRDefault="000231C5" w:rsidP="00FE7631">
            <w:pPr>
              <w:snapToGrid w:val="0"/>
              <w:rPr>
                <w:sz w:val="20"/>
                <w:szCs w:val="16"/>
                <w:lang w:val="en-ID"/>
              </w:rPr>
            </w:pPr>
            <w:r w:rsidRPr="00EF6D3A">
              <w:rPr>
                <w:sz w:val="20"/>
                <w:szCs w:val="16"/>
                <w:lang w:val="en-ID"/>
              </w:rPr>
              <w:t>1</w:t>
            </w:r>
          </w:p>
        </w:tc>
      </w:tr>
      <w:tr w:rsidR="00370BFA" w:rsidRPr="00EF6D3A" w14:paraId="451DA49E" w14:textId="77777777" w:rsidTr="00FE7631">
        <w:trPr>
          <w:trHeight w:val="255"/>
          <w:jc w:val="center"/>
        </w:trPr>
        <w:tc>
          <w:tcPr>
            <w:tcW w:w="1280" w:type="dxa"/>
            <w:noWrap/>
            <w:vAlign w:val="bottom"/>
            <w:hideMark/>
          </w:tcPr>
          <w:p w14:paraId="6165797B" w14:textId="77777777" w:rsidR="000231C5" w:rsidRPr="00EF6D3A" w:rsidRDefault="000231C5" w:rsidP="00FE7631">
            <w:pPr>
              <w:snapToGrid w:val="0"/>
              <w:rPr>
                <w:sz w:val="20"/>
                <w:szCs w:val="16"/>
                <w:lang w:val="en-ID"/>
              </w:rPr>
            </w:pPr>
            <w:r w:rsidRPr="00EF6D3A">
              <w:rPr>
                <w:sz w:val="20"/>
                <w:szCs w:val="16"/>
                <w:lang w:val="en-ID"/>
              </w:rPr>
              <w:t>SiO</w:t>
            </w:r>
            <w:r w:rsidRPr="00EF6D3A">
              <w:rPr>
                <w:sz w:val="20"/>
                <w:szCs w:val="16"/>
                <w:vertAlign w:val="subscript"/>
                <w:lang w:val="en-ID"/>
              </w:rPr>
              <w:t>2</w:t>
            </w:r>
          </w:p>
        </w:tc>
        <w:tc>
          <w:tcPr>
            <w:tcW w:w="1511" w:type="dxa"/>
            <w:noWrap/>
            <w:vAlign w:val="bottom"/>
            <w:hideMark/>
          </w:tcPr>
          <w:p w14:paraId="0CF243BF" w14:textId="77777777" w:rsidR="000231C5" w:rsidRPr="00EF6D3A" w:rsidRDefault="000231C5" w:rsidP="00FE7631">
            <w:pPr>
              <w:snapToGrid w:val="0"/>
              <w:rPr>
                <w:sz w:val="20"/>
                <w:szCs w:val="16"/>
                <w:lang w:val="en-ID"/>
              </w:rPr>
            </w:pPr>
            <w:r w:rsidRPr="00EF6D3A">
              <w:rPr>
                <w:sz w:val="20"/>
                <w:szCs w:val="16"/>
                <w:lang w:val="en-ID"/>
              </w:rPr>
              <w:t>23</w:t>
            </w:r>
          </w:p>
        </w:tc>
      </w:tr>
      <w:tr w:rsidR="00370BFA" w:rsidRPr="00370BFA" w14:paraId="52BF46B9" w14:textId="77777777" w:rsidTr="00FE7631">
        <w:trPr>
          <w:trHeight w:val="255"/>
          <w:jc w:val="center"/>
        </w:trPr>
        <w:tc>
          <w:tcPr>
            <w:tcW w:w="1280" w:type="dxa"/>
            <w:noWrap/>
            <w:vAlign w:val="bottom"/>
            <w:hideMark/>
          </w:tcPr>
          <w:p w14:paraId="1D411E03" w14:textId="77777777" w:rsidR="000231C5" w:rsidRPr="00370BFA" w:rsidRDefault="000231C5" w:rsidP="00FE7631">
            <w:pPr>
              <w:snapToGrid w:val="0"/>
              <w:rPr>
                <w:lang w:val="en-ID"/>
              </w:rPr>
            </w:pPr>
            <w:r w:rsidRPr="00370BFA">
              <w:rPr>
                <w:lang w:val="en-ID"/>
              </w:rPr>
              <w:t>Cl</w:t>
            </w:r>
          </w:p>
        </w:tc>
        <w:tc>
          <w:tcPr>
            <w:tcW w:w="1511" w:type="dxa"/>
            <w:noWrap/>
            <w:vAlign w:val="bottom"/>
            <w:hideMark/>
          </w:tcPr>
          <w:p w14:paraId="6629200C" w14:textId="77777777" w:rsidR="000231C5" w:rsidRPr="00370BFA" w:rsidRDefault="000231C5" w:rsidP="00FE7631">
            <w:pPr>
              <w:snapToGrid w:val="0"/>
              <w:rPr>
                <w:lang w:val="en-ID"/>
              </w:rPr>
            </w:pPr>
            <w:r w:rsidRPr="00370BFA">
              <w:rPr>
                <w:lang w:val="en-ID"/>
              </w:rPr>
              <w:t>17.8</w:t>
            </w:r>
          </w:p>
        </w:tc>
      </w:tr>
      <w:tr w:rsidR="00370BFA" w:rsidRPr="00370BFA" w14:paraId="39E0A404" w14:textId="77777777" w:rsidTr="00FE7631">
        <w:trPr>
          <w:trHeight w:val="255"/>
          <w:jc w:val="center"/>
        </w:trPr>
        <w:tc>
          <w:tcPr>
            <w:tcW w:w="1280" w:type="dxa"/>
            <w:noWrap/>
            <w:vAlign w:val="bottom"/>
            <w:hideMark/>
          </w:tcPr>
          <w:p w14:paraId="0F09034C" w14:textId="77777777" w:rsidR="000231C5" w:rsidRPr="00EF6D3A" w:rsidRDefault="000231C5" w:rsidP="00FE7631">
            <w:pPr>
              <w:snapToGrid w:val="0"/>
              <w:rPr>
                <w:sz w:val="20"/>
                <w:szCs w:val="16"/>
                <w:lang w:val="en-ID"/>
              </w:rPr>
            </w:pPr>
            <w:r w:rsidRPr="00EF6D3A">
              <w:rPr>
                <w:sz w:val="20"/>
                <w:szCs w:val="16"/>
                <w:lang w:val="en-ID"/>
              </w:rPr>
              <w:t>CaO</w:t>
            </w:r>
          </w:p>
        </w:tc>
        <w:tc>
          <w:tcPr>
            <w:tcW w:w="1511" w:type="dxa"/>
            <w:noWrap/>
            <w:vAlign w:val="bottom"/>
            <w:hideMark/>
          </w:tcPr>
          <w:p w14:paraId="67D03726" w14:textId="77777777" w:rsidR="000231C5" w:rsidRPr="00EF6D3A" w:rsidRDefault="000231C5" w:rsidP="00FE7631">
            <w:pPr>
              <w:snapToGrid w:val="0"/>
              <w:rPr>
                <w:sz w:val="20"/>
                <w:szCs w:val="16"/>
                <w:lang w:val="en-ID"/>
              </w:rPr>
            </w:pPr>
            <w:r w:rsidRPr="00EF6D3A">
              <w:rPr>
                <w:sz w:val="20"/>
                <w:szCs w:val="16"/>
                <w:lang w:val="en-ID"/>
              </w:rPr>
              <w:t>0.33</w:t>
            </w:r>
          </w:p>
        </w:tc>
      </w:tr>
      <w:tr w:rsidR="00370BFA" w:rsidRPr="00370BFA" w14:paraId="239A9462" w14:textId="77777777" w:rsidTr="00FE7631">
        <w:trPr>
          <w:trHeight w:val="255"/>
          <w:jc w:val="center"/>
        </w:trPr>
        <w:tc>
          <w:tcPr>
            <w:tcW w:w="1280" w:type="dxa"/>
            <w:noWrap/>
            <w:vAlign w:val="bottom"/>
            <w:hideMark/>
          </w:tcPr>
          <w:p w14:paraId="7A0106EA" w14:textId="77777777" w:rsidR="000231C5" w:rsidRPr="00EF6D3A" w:rsidRDefault="000231C5" w:rsidP="00FE7631">
            <w:pPr>
              <w:snapToGrid w:val="0"/>
              <w:rPr>
                <w:sz w:val="20"/>
                <w:szCs w:val="16"/>
                <w:lang w:val="en-ID"/>
              </w:rPr>
            </w:pPr>
            <w:r w:rsidRPr="00EF6D3A">
              <w:rPr>
                <w:sz w:val="20"/>
                <w:szCs w:val="16"/>
                <w:lang w:val="en-ID"/>
              </w:rPr>
              <w:t>Fe</w:t>
            </w:r>
            <w:r w:rsidRPr="00EF6D3A">
              <w:rPr>
                <w:sz w:val="20"/>
                <w:szCs w:val="16"/>
                <w:vertAlign w:val="subscript"/>
                <w:lang w:val="en-ID"/>
              </w:rPr>
              <w:t>2</w:t>
            </w:r>
            <w:r w:rsidRPr="00EF6D3A">
              <w:rPr>
                <w:sz w:val="20"/>
                <w:szCs w:val="16"/>
                <w:lang w:val="en-ID"/>
              </w:rPr>
              <w:t>O</w:t>
            </w:r>
            <w:r w:rsidRPr="00EF6D3A">
              <w:rPr>
                <w:sz w:val="20"/>
                <w:szCs w:val="16"/>
                <w:vertAlign w:val="subscript"/>
                <w:lang w:val="en-ID"/>
              </w:rPr>
              <w:t>3</w:t>
            </w:r>
          </w:p>
        </w:tc>
        <w:tc>
          <w:tcPr>
            <w:tcW w:w="1511" w:type="dxa"/>
            <w:noWrap/>
            <w:vAlign w:val="bottom"/>
            <w:hideMark/>
          </w:tcPr>
          <w:p w14:paraId="14733A91" w14:textId="77777777" w:rsidR="000231C5" w:rsidRPr="00EF6D3A" w:rsidRDefault="000231C5" w:rsidP="00FE7631">
            <w:pPr>
              <w:snapToGrid w:val="0"/>
              <w:rPr>
                <w:sz w:val="20"/>
                <w:szCs w:val="16"/>
                <w:lang w:val="en-ID"/>
              </w:rPr>
            </w:pPr>
            <w:r w:rsidRPr="00EF6D3A">
              <w:rPr>
                <w:sz w:val="20"/>
                <w:szCs w:val="16"/>
                <w:lang w:val="en-ID"/>
              </w:rPr>
              <w:t>0.11</w:t>
            </w:r>
          </w:p>
        </w:tc>
      </w:tr>
      <w:tr w:rsidR="00370BFA" w:rsidRPr="00370BFA" w14:paraId="2AF1CB2F" w14:textId="77777777" w:rsidTr="00FE7631">
        <w:trPr>
          <w:trHeight w:val="255"/>
          <w:jc w:val="center"/>
        </w:trPr>
        <w:tc>
          <w:tcPr>
            <w:tcW w:w="1280" w:type="dxa"/>
            <w:noWrap/>
            <w:vAlign w:val="bottom"/>
            <w:hideMark/>
          </w:tcPr>
          <w:p w14:paraId="7C3B46EB" w14:textId="77777777" w:rsidR="000231C5" w:rsidRPr="00EF6D3A" w:rsidRDefault="000231C5" w:rsidP="00FE7631">
            <w:pPr>
              <w:snapToGrid w:val="0"/>
              <w:rPr>
                <w:sz w:val="20"/>
                <w:szCs w:val="16"/>
                <w:lang w:val="en-ID"/>
              </w:rPr>
            </w:pPr>
            <w:proofErr w:type="spellStart"/>
            <w:r w:rsidRPr="00EF6D3A">
              <w:rPr>
                <w:sz w:val="20"/>
                <w:szCs w:val="16"/>
                <w:lang w:val="en-ID"/>
              </w:rPr>
              <w:t>NiO</w:t>
            </w:r>
            <w:proofErr w:type="spellEnd"/>
          </w:p>
        </w:tc>
        <w:tc>
          <w:tcPr>
            <w:tcW w:w="1511" w:type="dxa"/>
            <w:noWrap/>
            <w:vAlign w:val="bottom"/>
            <w:hideMark/>
          </w:tcPr>
          <w:p w14:paraId="091CA4FA" w14:textId="77777777" w:rsidR="000231C5" w:rsidRPr="00EF6D3A" w:rsidRDefault="000231C5" w:rsidP="00FE7631">
            <w:pPr>
              <w:snapToGrid w:val="0"/>
              <w:rPr>
                <w:sz w:val="20"/>
                <w:szCs w:val="16"/>
                <w:lang w:val="en-ID"/>
              </w:rPr>
            </w:pPr>
            <w:r w:rsidRPr="00EF6D3A">
              <w:rPr>
                <w:sz w:val="20"/>
                <w:szCs w:val="16"/>
                <w:lang w:val="en-ID"/>
              </w:rPr>
              <w:t>57.21</w:t>
            </w:r>
          </w:p>
        </w:tc>
      </w:tr>
      <w:tr w:rsidR="00370BFA" w:rsidRPr="00370BFA" w14:paraId="297B35F6" w14:textId="77777777" w:rsidTr="00FE7631">
        <w:trPr>
          <w:trHeight w:val="255"/>
          <w:jc w:val="center"/>
        </w:trPr>
        <w:tc>
          <w:tcPr>
            <w:tcW w:w="1280" w:type="dxa"/>
            <w:noWrap/>
            <w:vAlign w:val="bottom"/>
            <w:hideMark/>
          </w:tcPr>
          <w:p w14:paraId="190CA50A" w14:textId="77777777" w:rsidR="000231C5" w:rsidRPr="00EF6D3A" w:rsidRDefault="000231C5" w:rsidP="00FE7631">
            <w:pPr>
              <w:snapToGrid w:val="0"/>
              <w:rPr>
                <w:sz w:val="20"/>
                <w:szCs w:val="16"/>
                <w:lang w:val="en-ID"/>
              </w:rPr>
            </w:pPr>
            <w:proofErr w:type="spellStart"/>
            <w:r w:rsidRPr="00EF6D3A">
              <w:rPr>
                <w:sz w:val="20"/>
                <w:szCs w:val="16"/>
                <w:lang w:val="en-ID"/>
              </w:rPr>
              <w:t>SrO</w:t>
            </w:r>
            <w:proofErr w:type="spellEnd"/>
          </w:p>
        </w:tc>
        <w:tc>
          <w:tcPr>
            <w:tcW w:w="1511" w:type="dxa"/>
            <w:noWrap/>
            <w:vAlign w:val="bottom"/>
            <w:hideMark/>
          </w:tcPr>
          <w:p w14:paraId="152437BE" w14:textId="77777777" w:rsidR="000231C5" w:rsidRPr="00EF6D3A" w:rsidRDefault="000231C5" w:rsidP="00FE7631">
            <w:pPr>
              <w:snapToGrid w:val="0"/>
              <w:rPr>
                <w:sz w:val="20"/>
                <w:szCs w:val="16"/>
                <w:lang w:val="en-ID"/>
              </w:rPr>
            </w:pPr>
            <w:r w:rsidRPr="00EF6D3A">
              <w:rPr>
                <w:sz w:val="20"/>
                <w:szCs w:val="16"/>
                <w:lang w:val="en-ID"/>
              </w:rPr>
              <w:t>0.14</w:t>
            </w:r>
          </w:p>
        </w:tc>
      </w:tr>
      <w:tr w:rsidR="007B7A1F" w:rsidRPr="00370BFA" w14:paraId="67797862" w14:textId="77777777" w:rsidTr="00FE7631">
        <w:trPr>
          <w:trHeight w:val="255"/>
          <w:jc w:val="center"/>
        </w:trPr>
        <w:tc>
          <w:tcPr>
            <w:tcW w:w="1280" w:type="dxa"/>
            <w:tcBorders>
              <w:top w:val="nil"/>
              <w:left w:val="nil"/>
              <w:bottom w:val="single" w:sz="4" w:space="0" w:color="auto"/>
              <w:right w:val="nil"/>
            </w:tcBorders>
            <w:noWrap/>
            <w:vAlign w:val="bottom"/>
            <w:hideMark/>
          </w:tcPr>
          <w:p w14:paraId="76D1F235" w14:textId="77777777" w:rsidR="000231C5" w:rsidRPr="00EF6D3A" w:rsidRDefault="000231C5" w:rsidP="00FE7631">
            <w:pPr>
              <w:snapToGrid w:val="0"/>
              <w:rPr>
                <w:sz w:val="20"/>
                <w:szCs w:val="16"/>
                <w:lang w:val="en-ID"/>
              </w:rPr>
            </w:pPr>
            <w:r w:rsidRPr="00EF6D3A">
              <w:rPr>
                <w:sz w:val="20"/>
                <w:szCs w:val="16"/>
                <w:lang w:val="en-ID"/>
              </w:rPr>
              <w:t>Y</w:t>
            </w:r>
            <w:r w:rsidRPr="00EF6D3A">
              <w:rPr>
                <w:sz w:val="20"/>
                <w:szCs w:val="16"/>
                <w:vertAlign w:val="subscript"/>
                <w:lang w:val="en-ID"/>
              </w:rPr>
              <w:t>2</w:t>
            </w:r>
            <w:r w:rsidRPr="00EF6D3A">
              <w:rPr>
                <w:sz w:val="20"/>
                <w:szCs w:val="16"/>
                <w:lang w:val="en-ID"/>
              </w:rPr>
              <w:t>O</w:t>
            </w:r>
            <w:r w:rsidRPr="00EF6D3A">
              <w:rPr>
                <w:sz w:val="20"/>
                <w:szCs w:val="16"/>
                <w:vertAlign w:val="subscript"/>
                <w:lang w:val="en-ID"/>
              </w:rPr>
              <w:t>3</w:t>
            </w:r>
          </w:p>
        </w:tc>
        <w:tc>
          <w:tcPr>
            <w:tcW w:w="1511" w:type="dxa"/>
            <w:tcBorders>
              <w:top w:val="nil"/>
              <w:left w:val="nil"/>
              <w:bottom w:val="single" w:sz="4" w:space="0" w:color="auto"/>
              <w:right w:val="nil"/>
            </w:tcBorders>
            <w:noWrap/>
            <w:vAlign w:val="bottom"/>
            <w:hideMark/>
          </w:tcPr>
          <w:p w14:paraId="6F45E545" w14:textId="77777777" w:rsidR="000231C5" w:rsidRPr="00EF6D3A" w:rsidRDefault="000231C5" w:rsidP="00FE7631">
            <w:pPr>
              <w:snapToGrid w:val="0"/>
              <w:rPr>
                <w:sz w:val="20"/>
                <w:szCs w:val="16"/>
                <w:lang w:val="en-ID"/>
              </w:rPr>
            </w:pPr>
            <w:r w:rsidRPr="00EF6D3A">
              <w:rPr>
                <w:sz w:val="20"/>
                <w:szCs w:val="16"/>
                <w:lang w:val="en-ID"/>
              </w:rPr>
              <w:t>0.1</w:t>
            </w:r>
          </w:p>
        </w:tc>
      </w:tr>
    </w:tbl>
    <w:p w14:paraId="1044A471" w14:textId="77777777" w:rsidR="00E9052D" w:rsidRPr="00370BFA" w:rsidRDefault="00E9052D" w:rsidP="00EF6D3A">
      <w:pPr>
        <w:snapToGrid w:val="0"/>
        <w:rPr>
          <w:szCs w:val="24"/>
        </w:rPr>
      </w:pPr>
    </w:p>
    <w:p w14:paraId="34654523" w14:textId="77777777" w:rsidR="00E9052D" w:rsidRPr="00EF6D3A" w:rsidRDefault="00E9052D" w:rsidP="00EF6D3A">
      <w:pPr>
        <w:tabs>
          <w:tab w:val="left" w:pos="450"/>
        </w:tabs>
        <w:ind w:firstLine="720"/>
        <w:jc w:val="both"/>
        <w:rPr>
          <w:bCs/>
          <w:kern w:val="28"/>
          <w:sz w:val="20"/>
        </w:rPr>
      </w:pPr>
      <w:r w:rsidRPr="00EF6D3A">
        <w:rPr>
          <w:bCs/>
          <w:kern w:val="28"/>
          <w:sz w:val="20"/>
        </w:rPr>
        <w:lastRenderedPageBreak/>
        <w:t>The acidity of the catalyst was characterized using TPD-NH</w:t>
      </w:r>
      <w:r w:rsidRPr="00EF6D3A">
        <w:rPr>
          <w:bCs/>
          <w:kern w:val="28"/>
          <w:sz w:val="20"/>
          <w:vertAlign w:val="subscript"/>
        </w:rPr>
        <w:t>3</w:t>
      </w:r>
      <w:r w:rsidRPr="00EF6D3A">
        <w:rPr>
          <w:bCs/>
          <w:kern w:val="28"/>
          <w:sz w:val="20"/>
        </w:rPr>
        <w:t>. Figure 3 shows (a) the calibration curve of the instrument; and (b) desorption curve of the catalyst sample. The ammonia desorption curve shows an average area of 0.14062 with the calibration curve having a linear relation y = 0.3538x where y is the mmol of the ammonia on the surface of the sample and x is the area. Calculation gives the result of 0.04975 mmol of NH</w:t>
      </w:r>
      <w:r w:rsidRPr="00EF6D3A">
        <w:rPr>
          <w:bCs/>
          <w:kern w:val="28"/>
          <w:sz w:val="20"/>
          <w:vertAlign w:val="subscript"/>
        </w:rPr>
        <w:t>3</w:t>
      </w:r>
      <w:r w:rsidRPr="00EF6D3A">
        <w:rPr>
          <w:bCs/>
          <w:kern w:val="28"/>
          <w:sz w:val="20"/>
        </w:rPr>
        <w:t>, divided by sample weight of 0.0525 grams, giving the acidity of the catalyst 0.9476 mmol NH</w:t>
      </w:r>
      <w:r w:rsidRPr="00EF6D3A">
        <w:rPr>
          <w:bCs/>
          <w:kern w:val="28"/>
          <w:sz w:val="20"/>
          <w:vertAlign w:val="subscript"/>
        </w:rPr>
        <w:t>3</w:t>
      </w:r>
      <w:r w:rsidRPr="00EF6D3A">
        <w:rPr>
          <w:bCs/>
          <w:kern w:val="28"/>
          <w:sz w:val="20"/>
        </w:rPr>
        <w:t>/g.</w:t>
      </w:r>
    </w:p>
    <w:p w14:paraId="2C1A317F" w14:textId="77777777" w:rsidR="00E9052D" w:rsidRPr="00370BFA" w:rsidRDefault="00E9052D" w:rsidP="000231C5">
      <w:pPr>
        <w:tabs>
          <w:tab w:val="left" w:pos="450"/>
        </w:tabs>
        <w:jc w:val="center"/>
        <w:rPr>
          <w:bCs/>
          <w:kern w:val="28"/>
          <w:szCs w:val="24"/>
        </w:rPr>
      </w:pPr>
    </w:p>
    <w:p w14:paraId="03E9B08E" w14:textId="1103D816" w:rsidR="00E9052D" w:rsidRPr="00370BFA" w:rsidRDefault="000231C5" w:rsidP="000231C5">
      <w:pPr>
        <w:tabs>
          <w:tab w:val="left" w:pos="450"/>
        </w:tabs>
        <w:jc w:val="center"/>
        <w:rPr>
          <w:bCs/>
          <w:kern w:val="28"/>
          <w:szCs w:val="24"/>
        </w:rPr>
      </w:pPr>
      <w:r w:rsidRPr="00370BFA">
        <w:rPr>
          <w:rFonts w:ascii="Century Schoolbook" w:hAnsi="Century Schoolbook"/>
          <w:noProof/>
          <w:lang w:eastAsia="ja-JP"/>
        </w:rPr>
        <w:drawing>
          <wp:inline distT="0" distB="0" distL="0" distR="0" wp14:anchorId="5B856F60" wp14:editId="290E963C">
            <wp:extent cx="5729605" cy="2402840"/>
            <wp:effectExtent l="0" t="0" r="4445" b="0"/>
            <wp:docPr id="4" name="Picture 4" descr="A graph of a graph of a graph&#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graph of a graph of a graph&#10;&#10;Description automatically generated with medium confidenc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29605" cy="2402840"/>
                    </a:xfrm>
                    <a:prstGeom prst="rect">
                      <a:avLst/>
                    </a:prstGeom>
                    <a:noFill/>
                    <a:ln>
                      <a:noFill/>
                    </a:ln>
                  </pic:spPr>
                </pic:pic>
              </a:graphicData>
            </a:graphic>
          </wp:inline>
        </w:drawing>
      </w:r>
    </w:p>
    <w:p w14:paraId="3AA5148C" w14:textId="77777777" w:rsidR="000231C5" w:rsidRPr="00EF6D3A" w:rsidRDefault="00E9052D" w:rsidP="00EF6D3A">
      <w:pPr>
        <w:snapToGrid w:val="0"/>
        <w:jc w:val="center"/>
        <w:rPr>
          <w:sz w:val="20"/>
        </w:rPr>
      </w:pPr>
      <w:r w:rsidRPr="00EF6D3A">
        <w:rPr>
          <w:b/>
          <w:sz w:val="20"/>
        </w:rPr>
        <w:t>Figure 3</w:t>
      </w:r>
      <w:r w:rsidR="000231C5" w:rsidRPr="00EF6D3A">
        <w:rPr>
          <w:b/>
          <w:sz w:val="20"/>
        </w:rPr>
        <w:t xml:space="preserve"> </w:t>
      </w:r>
      <w:r w:rsidR="000231C5" w:rsidRPr="00EF6D3A">
        <w:rPr>
          <w:sz w:val="20"/>
        </w:rPr>
        <w:t>(a) Callibration curve of the instrument; (b) Desorption curve of the catalyst sample</w:t>
      </w:r>
    </w:p>
    <w:p w14:paraId="6A120524" w14:textId="77777777" w:rsidR="000231C5" w:rsidRPr="00EF6D3A" w:rsidRDefault="000231C5" w:rsidP="00EF6D3A">
      <w:pPr>
        <w:pStyle w:val="AbstracttitleDERJournal"/>
        <w:spacing w:before="0"/>
        <w:jc w:val="both"/>
        <w:rPr>
          <w:sz w:val="20"/>
          <w:szCs w:val="20"/>
          <w:lang w:val="en-US"/>
        </w:rPr>
      </w:pPr>
    </w:p>
    <w:p w14:paraId="2FC18ABE" w14:textId="6CA69188" w:rsidR="00E9052D" w:rsidRPr="00EF6D3A" w:rsidRDefault="00E9052D" w:rsidP="00EF6D3A">
      <w:pPr>
        <w:tabs>
          <w:tab w:val="left" w:pos="450"/>
        </w:tabs>
        <w:ind w:firstLine="630"/>
        <w:jc w:val="both"/>
        <w:rPr>
          <w:sz w:val="20"/>
        </w:rPr>
      </w:pPr>
      <w:r w:rsidRPr="00EF6D3A">
        <w:rPr>
          <w:sz w:val="20"/>
        </w:rPr>
        <w:t>Surface area of the catalyst was analyzed using N</w:t>
      </w:r>
      <w:r w:rsidRPr="00EF6D3A">
        <w:rPr>
          <w:sz w:val="20"/>
          <w:vertAlign w:val="subscript"/>
        </w:rPr>
        <w:t>2</w:t>
      </w:r>
      <w:r w:rsidRPr="00EF6D3A">
        <w:rPr>
          <w:sz w:val="20"/>
        </w:rPr>
        <w:t xml:space="preserve"> adsorption-desorption method (BET method). Figure 4 shows the N</w:t>
      </w:r>
      <w:r w:rsidRPr="00EF6D3A">
        <w:rPr>
          <w:sz w:val="20"/>
          <w:vertAlign w:val="subscript"/>
        </w:rPr>
        <w:t>2</w:t>
      </w:r>
      <w:r w:rsidRPr="00EF6D3A">
        <w:rPr>
          <w:sz w:val="20"/>
        </w:rPr>
        <w:t xml:space="preserve"> adsorption-desorption profiles on the sample of (a) Al-MCM-41 support; and (b) Ni/Al-MCM-41 catalyst. The isotherm curves are identical to that of type IV isotherm from IUPAC classification, which is identical to mesoporous material. The spike on the curve at P/P</w:t>
      </w:r>
      <w:r w:rsidRPr="00EF6D3A">
        <w:rPr>
          <w:sz w:val="20"/>
          <w:vertAlign w:val="subscript"/>
        </w:rPr>
        <w:t>0</w:t>
      </w:r>
      <w:r w:rsidRPr="00EF6D3A">
        <w:rPr>
          <w:sz w:val="20"/>
        </w:rPr>
        <w:t xml:space="preserve"> = 0.2 indicates monolayer adsorption on the sample materials </w:t>
      </w:r>
      <w:r w:rsidR="00665D5A">
        <w:rPr>
          <w:sz w:val="20"/>
        </w:rPr>
        <w:t>[15].</w:t>
      </w:r>
    </w:p>
    <w:p w14:paraId="2EF4698D" w14:textId="77777777" w:rsidR="00E9052D" w:rsidRPr="00EF6D3A" w:rsidRDefault="00E9052D" w:rsidP="00EF6D3A">
      <w:pPr>
        <w:tabs>
          <w:tab w:val="left" w:pos="450"/>
        </w:tabs>
        <w:ind w:firstLine="630"/>
        <w:jc w:val="both"/>
        <w:rPr>
          <w:sz w:val="20"/>
        </w:rPr>
      </w:pPr>
    </w:p>
    <w:p w14:paraId="7182077C" w14:textId="22B4457C" w:rsidR="00E9052D" w:rsidRPr="00EF6D3A" w:rsidRDefault="000231C5" w:rsidP="00EF6D3A">
      <w:pPr>
        <w:tabs>
          <w:tab w:val="left" w:pos="450"/>
        </w:tabs>
        <w:jc w:val="center"/>
        <w:rPr>
          <w:sz w:val="20"/>
        </w:rPr>
      </w:pPr>
      <w:r w:rsidRPr="00EF6D3A">
        <w:rPr>
          <w:rFonts w:ascii="Century Schoolbook" w:hAnsi="Century Schoolbook"/>
          <w:noProof/>
          <w:sz w:val="20"/>
          <w:lang w:eastAsia="ja-JP"/>
        </w:rPr>
        <w:drawing>
          <wp:inline distT="0" distB="0" distL="0" distR="0" wp14:anchorId="78DA5DB7" wp14:editId="6C4A341B">
            <wp:extent cx="4200525" cy="2759154"/>
            <wp:effectExtent l="0" t="0" r="0" b="3175"/>
            <wp:docPr id="10" name="Picture 10" descr="A graph of support adsorp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graph of support adsorption&#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23301" cy="2774114"/>
                    </a:xfrm>
                    <a:prstGeom prst="rect">
                      <a:avLst/>
                    </a:prstGeom>
                    <a:noFill/>
                    <a:ln>
                      <a:noFill/>
                    </a:ln>
                  </pic:spPr>
                </pic:pic>
              </a:graphicData>
            </a:graphic>
          </wp:inline>
        </w:drawing>
      </w:r>
    </w:p>
    <w:p w14:paraId="246601E8" w14:textId="77777777" w:rsidR="00E9052D" w:rsidRPr="00EF6D3A" w:rsidRDefault="00E9052D" w:rsidP="00EF6D3A">
      <w:pPr>
        <w:snapToGrid w:val="0"/>
        <w:jc w:val="center"/>
        <w:rPr>
          <w:sz w:val="20"/>
        </w:rPr>
      </w:pPr>
      <w:r w:rsidRPr="00EF6D3A">
        <w:rPr>
          <w:b/>
          <w:sz w:val="20"/>
        </w:rPr>
        <w:t>Figure 4</w:t>
      </w:r>
      <w:r w:rsidRPr="00EF6D3A">
        <w:rPr>
          <w:sz w:val="20"/>
        </w:rPr>
        <w:t xml:space="preserve"> BET Isotherms of (a) support material; (b) catalyst</w:t>
      </w:r>
    </w:p>
    <w:p w14:paraId="7863DD72" w14:textId="77777777" w:rsidR="00E9052D" w:rsidRPr="00EF6D3A" w:rsidRDefault="00E9052D" w:rsidP="00EF6D3A">
      <w:pPr>
        <w:tabs>
          <w:tab w:val="left" w:pos="450"/>
        </w:tabs>
        <w:jc w:val="both"/>
        <w:rPr>
          <w:sz w:val="20"/>
        </w:rPr>
      </w:pPr>
    </w:p>
    <w:p w14:paraId="2A335926" w14:textId="07CEFD37" w:rsidR="00E9052D" w:rsidRPr="00EF6D3A" w:rsidRDefault="00E9052D" w:rsidP="00EF6D3A">
      <w:pPr>
        <w:tabs>
          <w:tab w:val="left" w:pos="450"/>
        </w:tabs>
        <w:ind w:firstLine="630"/>
        <w:jc w:val="both"/>
        <w:rPr>
          <w:bCs/>
          <w:kern w:val="28"/>
          <w:sz w:val="20"/>
        </w:rPr>
      </w:pPr>
      <w:r w:rsidRPr="00EF6D3A">
        <w:rPr>
          <w:bCs/>
          <w:kern w:val="28"/>
          <w:sz w:val="20"/>
        </w:rPr>
        <w:t>The BET isotherms indicate that the surface area of the catalyst decreases compared to the support material. This is due to the NiO particles scattered on the Al-MCM-41 support surface</w:t>
      </w:r>
      <w:r w:rsidR="00665D5A">
        <w:rPr>
          <w:bCs/>
          <w:kern w:val="28"/>
          <w:sz w:val="20"/>
        </w:rPr>
        <w:t xml:space="preserve"> [7].</w:t>
      </w:r>
      <w:r w:rsidRPr="00EF6D3A">
        <w:rPr>
          <w:bCs/>
          <w:kern w:val="28"/>
          <w:sz w:val="20"/>
        </w:rPr>
        <w:t xml:space="preserve"> The more detailed BET analysis results </w:t>
      </w:r>
      <w:proofErr w:type="gramStart"/>
      <w:r w:rsidRPr="00EF6D3A">
        <w:rPr>
          <w:bCs/>
          <w:kern w:val="28"/>
          <w:sz w:val="20"/>
        </w:rPr>
        <w:t>is</w:t>
      </w:r>
      <w:proofErr w:type="gramEnd"/>
      <w:r w:rsidRPr="00EF6D3A">
        <w:rPr>
          <w:bCs/>
          <w:kern w:val="28"/>
          <w:sz w:val="20"/>
        </w:rPr>
        <w:t xml:space="preserve"> presented </w:t>
      </w:r>
      <w:proofErr w:type="gramStart"/>
      <w:r w:rsidRPr="00EF6D3A">
        <w:rPr>
          <w:bCs/>
          <w:kern w:val="28"/>
          <w:sz w:val="20"/>
        </w:rPr>
        <w:t>on</w:t>
      </w:r>
      <w:proofErr w:type="gramEnd"/>
      <w:r w:rsidRPr="00EF6D3A">
        <w:rPr>
          <w:bCs/>
          <w:kern w:val="28"/>
          <w:sz w:val="20"/>
        </w:rPr>
        <w:t xml:space="preserve"> Table 3.</w:t>
      </w:r>
    </w:p>
    <w:p w14:paraId="0EEFCEAA" w14:textId="77777777" w:rsidR="00E9052D" w:rsidRPr="00EF6D3A" w:rsidRDefault="00E9052D" w:rsidP="00EF6D3A">
      <w:pPr>
        <w:tabs>
          <w:tab w:val="left" w:pos="450"/>
        </w:tabs>
        <w:ind w:firstLine="630"/>
        <w:jc w:val="both"/>
        <w:rPr>
          <w:bCs/>
          <w:kern w:val="28"/>
          <w:sz w:val="20"/>
        </w:rPr>
      </w:pPr>
    </w:p>
    <w:p w14:paraId="0EEA8FE9" w14:textId="77777777" w:rsidR="000231C5" w:rsidRPr="00EF6D3A" w:rsidRDefault="000231C5" w:rsidP="00EF6D3A">
      <w:pPr>
        <w:tabs>
          <w:tab w:val="left" w:pos="450"/>
        </w:tabs>
        <w:jc w:val="both"/>
        <w:rPr>
          <w:b/>
          <w:sz w:val="20"/>
        </w:rPr>
      </w:pPr>
    </w:p>
    <w:p w14:paraId="225DC39B" w14:textId="77777777" w:rsidR="000231C5" w:rsidRPr="00EF6D3A" w:rsidRDefault="000231C5" w:rsidP="00EF6D3A">
      <w:pPr>
        <w:tabs>
          <w:tab w:val="left" w:pos="450"/>
        </w:tabs>
        <w:jc w:val="both"/>
        <w:rPr>
          <w:b/>
          <w:sz w:val="20"/>
        </w:rPr>
      </w:pPr>
    </w:p>
    <w:p w14:paraId="20D80AA7" w14:textId="579FA3DA" w:rsidR="00E9052D" w:rsidRPr="00EF6D3A" w:rsidRDefault="00E9052D" w:rsidP="00EF6D3A">
      <w:pPr>
        <w:tabs>
          <w:tab w:val="left" w:pos="450"/>
        </w:tabs>
        <w:jc w:val="center"/>
        <w:rPr>
          <w:sz w:val="20"/>
        </w:rPr>
      </w:pPr>
      <w:r w:rsidRPr="00EF6D3A">
        <w:rPr>
          <w:b/>
          <w:sz w:val="20"/>
        </w:rPr>
        <w:t>Table 3</w:t>
      </w:r>
      <w:r w:rsidRPr="00EF6D3A">
        <w:rPr>
          <w:sz w:val="20"/>
        </w:rPr>
        <w:t xml:space="preserve"> </w:t>
      </w:r>
      <w:proofErr w:type="gramStart"/>
      <w:r w:rsidRPr="00EF6D3A">
        <w:rPr>
          <w:sz w:val="20"/>
        </w:rPr>
        <w:t>CPO :</w:t>
      </w:r>
      <w:proofErr w:type="gramEnd"/>
      <w:r w:rsidRPr="00EF6D3A">
        <w:rPr>
          <w:sz w:val="20"/>
        </w:rPr>
        <w:t xml:space="preserve"> PET mass ratio variations</w:t>
      </w:r>
    </w:p>
    <w:p w14:paraId="402F4734" w14:textId="3D0A95E4" w:rsidR="000231C5" w:rsidRPr="00EF6D3A" w:rsidRDefault="000231C5" w:rsidP="00EF6D3A">
      <w:pPr>
        <w:tabs>
          <w:tab w:val="left" w:pos="450"/>
        </w:tabs>
        <w:jc w:val="both"/>
        <w:rPr>
          <w:rFonts w:ascii="Century Schoolbook" w:hAnsi="Century Schoolbook"/>
          <w:sz w:val="20"/>
          <w:lang w:val="id-ID"/>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
        <w:gridCol w:w="1890"/>
        <w:gridCol w:w="2125"/>
        <w:gridCol w:w="1530"/>
        <w:gridCol w:w="1710"/>
      </w:tblGrid>
      <w:tr w:rsidR="00370BFA" w:rsidRPr="00EF6D3A" w14:paraId="3B12D60F" w14:textId="77777777" w:rsidTr="00FE7631">
        <w:trPr>
          <w:jc w:val="center"/>
        </w:trPr>
        <w:tc>
          <w:tcPr>
            <w:tcW w:w="570" w:type="dxa"/>
            <w:tcBorders>
              <w:top w:val="single" w:sz="4" w:space="0" w:color="auto"/>
              <w:left w:val="nil"/>
              <w:bottom w:val="single" w:sz="4" w:space="0" w:color="auto"/>
              <w:right w:val="nil"/>
            </w:tcBorders>
            <w:hideMark/>
          </w:tcPr>
          <w:p w14:paraId="70CB6C94" w14:textId="77777777" w:rsidR="000231C5" w:rsidRPr="00EF6D3A" w:rsidRDefault="000231C5" w:rsidP="00EF6D3A">
            <w:pPr>
              <w:tabs>
                <w:tab w:val="left" w:pos="450"/>
              </w:tabs>
              <w:jc w:val="both"/>
              <w:rPr>
                <w:b/>
                <w:bCs/>
                <w:kern w:val="28"/>
                <w:sz w:val="20"/>
              </w:rPr>
            </w:pPr>
            <w:r w:rsidRPr="00EF6D3A">
              <w:rPr>
                <w:b/>
                <w:bCs/>
                <w:kern w:val="28"/>
                <w:sz w:val="20"/>
              </w:rPr>
              <w:t>No.</w:t>
            </w:r>
          </w:p>
        </w:tc>
        <w:tc>
          <w:tcPr>
            <w:tcW w:w="1890" w:type="dxa"/>
            <w:tcBorders>
              <w:top w:val="single" w:sz="4" w:space="0" w:color="auto"/>
              <w:left w:val="nil"/>
              <w:bottom w:val="single" w:sz="4" w:space="0" w:color="auto"/>
              <w:right w:val="nil"/>
            </w:tcBorders>
            <w:hideMark/>
          </w:tcPr>
          <w:p w14:paraId="47117009" w14:textId="77777777" w:rsidR="000231C5" w:rsidRPr="00EF6D3A" w:rsidRDefault="000231C5" w:rsidP="00EF6D3A">
            <w:pPr>
              <w:tabs>
                <w:tab w:val="left" w:pos="450"/>
              </w:tabs>
              <w:jc w:val="both"/>
              <w:rPr>
                <w:b/>
                <w:bCs/>
                <w:kern w:val="28"/>
                <w:sz w:val="20"/>
              </w:rPr>
            </w:pPr>
            <w:r w:rsidRPr="00EF6D3A">
              <w:rPr>
                <w:b/>
                <w:bCs/>
                <w:kern w:val="28"/>
                <w:sz w:val="20"/>
              </w:rPr>
              <w:t>Material</w:t>
            </w:r>
          </w:p>
        </w:tc>
        <w:tc>
          <w:tcPr>
            <w:tcW w:w="2125" w:type="dxa"/>
            <w:tcBorders>
              <w:top w:val="single" w:sz="4" w:space="0" w:color="auto"/>
              <w:left w:val="nil"/>
              <w:bottom w:val="single" w:sz="4" w:space="0" w:color="auto"/>
              <w:right w:val="nil"/>
            </w:tcBorders>
            <w:hideMark/>
          </w:tcPr>
          <w:p w14:paraId="0303F64B" w14:textId="77777777" w:rsidR="000231C5" w:rsidRPr="00EF6D3A" w:rsidRDefault="000231C5" w:rsidP="00EF6D3A">
            <w:pPr>
              <w:tabs>
                <w:tab w:val="left" w:pos="450"/>
              </w:tabs>
              <w:jc w:val="both"/>
              <w:rPr>
                <w:b/>
                <w:bCs/>
                <w:kern w:val="28"/>
                <w:sz w:val="20"/>
              </w:rPr>
            </w:pPr>
            <w:r w:rsidRPr="00EF6D3A">
              <w:rPr>
                <w:b/>
                <w:bCs/>
                <w:kern w:val="28"/>
                <w:sz w:val="20"/>
              </w:rPr>
              <w:t>Surface area (m</w:t>
            </w:r>
            <w:r w:rsidRPr="00EF6D3A">
              <w:rPr>
                <w:b/>
                <w:bCs/>
                <w:kern w:val="28"/>
                <w:sz w:val="20"/>
                <w:vertAlign w:val="superscript"/>
              </w:rPr>
              <w:t>2</w:t>
            </w:r>
            <w:r w:rsidRPr="00EF6D3A">
              <w:rPr>
                <w:b/>
                <w:bCs/>
                <w:kern w:val="28"/>
                <w:sz w:val="20"/>
              </w:rPr>
              <w:t>/g)</w:t>
            </w:r>
          </w:p>
        </w:tc>
        <w:tc>
          <w:tcPr>
            <w:tcW w:w="1530" w:type="dxa"/>
            <w:tcBorders>
              <w:top w:val="single" w:sz="4" w:space="0" w:color="auto"/>
              <w:left w:val="nil"/>
              <w:bottom w:val="single" w:sz="4" w:space="0" w:color="auto"/>
              <w:right w:val="nil"/>
            </w:tcBorders>
            <w:hideMark/>
          </w:tcPr>
          <w:p w14:paraId="4A0C59BC" w14:textId="77777777" w:rsidR="000231C5" w:rsidRPr="00EF6D3A" w:rsidRDefault="000231C5" w:rsidP="00EF6D3A">
            <w:pPr>
              <w:tabs>
                <w:tab w:val="left" w:pos="450"/>
              </w:tabs>
              <w:jc w:val="both"/>
              <w:rPr>
                <w:b/>
                <w:bCs/>
                <w:kern w:val="28"/>
                <w:sz w:val="20"/>
              </w:rPr>
            </w:pPr>
            <w:r w:rsidRPr="00EF6D3A">
              <w:rPr>
                <w:b/>
                <w:bCs/>
                <w:kern w:val="28"/>
                <w:sz w:val="20"/>
              </w:rPr>
              <w:t>Pore volume (cm</w:t>
            </w:r>
            <w:r w:rsidRPr="00EF6D3A">
              <w:rPr>
                <w:b/>
                <w:bCs/>
                <w:kern w:val="28"/>
                <w:sz w:val="20"/>
                <w:vertAlign w:val="superscript"/>
              </w:rPr>
              <w:t>3</w:t>
            </w:r>
            <w:r w:rsidRPr="00EF6D3A">
              <w:rPr>
                <w:b/>
                <w:bCs/>
                <w:kern w:val="28"/>
                <w:sz w:val="20"/>
              </w:rPr>
              <w:t>/g)</w:t>
            </w:r>
          </w:p>
        </w:tc>
        <w:tc>
          <w:tcPr>
            <w:tcW w:w="1710" w:type="dxa"/>
            <w:tcBorders>
              <w:top w:val="single" w:sz="4" w:space="0" w:color="auto"/>
              <w:left w:val="nil"/>
              <w:bottom w:val="single" w:sz="4" w:space="0" w:color="auto"/>
              <w:right w:val="nil"/>
            </w:tcBorders>
            <w:hideMark/>
          </w:tcPr>
          <w:p w14:paraId="56DB6DDF" w14:textId="77777777" w:rsidR="000231C5" w:rsidRPr="00EF6D3A" w:rsidRDefault="000231C5" w:rsidP="00EF6D3A">
            <w:pPr>
              <w:tabs>
                <w:tab w:val="left" w:pos="450"/>
              </w:tabs>
              <w:jc w:val="both"/>
              <w:rPr>
                <w:b/>
                <w:bCs/>
                <w:kern w:val="28"/>
                <w:sz w:val="20"/>
              </w:rPr>
            </w:pPr>
            <w:r w:rsidRPr="00EF6D3A">
              <w:rPr>
                <w:b/>
                <w:bCs/>
                <w:kern w:val="28"/>
                <w:sz w:val="20"/>
              </w:rPr>
              <w:t>Pore diameter (nm)</w:t>
            </w:r>
          </w:p>
        </w:tc>
      </w:tr>
      <w:tr w:rsidR="00370BFA" w:rsidRPr="00EF6D3A" w14:paraId="3EC2A258" w14:textId="77777777" w:rsidTr="00FE7631">
        <w:trPr>
          <w:jc w:val="center"/>
        </w:trPr>
        <w:tc>
          <w:tcPr>
            <w:tcW w:w="570" w:type="dxa"/>
            <w:tcBorders>
              <w:top w:val="single" w:sz="4" w:space="0" w:color="auto"/>
              <w:left w:val="nil"/>
              <w:bottom w:val="nil"/>
              <w:right w:val="nil"/>
            </w:tcBorders>
            <w:hideMark/>
          </w:tcPr>
          <w:p w14:paraId="5CAAD351" w14:textId="77777777" w:rsidR="000231C5" w:rsidRPr="00EF6D3A" w:rsidRDefault="000231C5" w:rsidP="00EF6D3A">
            <w:pPr>
              <w:tabs>
                <w:tab w:val="left" w:pos="450"/>
              </w:tabs>
              <w:jc w:val="both"/>
              <w:rPr>
                <w:bCs/>
                <w:kern w:val="28"/>
                <w:sz w:val="20"/>
              </w:rPr>
            </w:pPr>
            <w:r w:rsidRPr="00EF6D3A">
              <w:rPr>
                <w:bCs/>
                <w:kern w:val="28"/>
                <w:sz w:val="20"/>
              </w:rPr>
              <w:t>1.</w:t>
            </w:r>
          </w:p>
        </w:tc>
        <w:tc>
          <w:tcPr>
            <w:tcW w:w="1890" w:type="dxa"/>
            <w:tcBorders>
              <w:top w:val="single" w:sz="4" w:space="0" w:color="auto"/>
              <w:left w:val="nil"/>
              <w:bottom w:val="nil"/>
              <w:right w:val="nil"/>
            </w:tcBorders>
            <w:hideMark/>
          </w:tcPr>
          <w:p w14:paraId="2079AA69" w14:textId="77777777" w:rsidR="000231C5" w:rsidRPr="00EF6D3A" w:rsidRDefault="000231C5" w:rsidP="00EF6D3A">
            <w:pPr>
              <w:tabs>
                <w:tab w:val="left" w:pos="450"/>
              </w:tabs>
              <w:jc w:val="both"/>
              <w:rPr>
                <w:bCs/>
                <w:kern w:val="28"/>
                <w:sz w:val="20"/>
              </w:rPr>
            </w:pPr>
            <w:r w:rsidRPr="00EF6D3A">
              <w:rPr>
                <w:bCs/>
                <w:kern w:val="28"/>
                <w:sz w:val="20"/>
              </w:rPr>
              <w:t>Al-MCM-41</w:t>
            </w:r>
          </w:p>
        </w:tc>
        <w:tc>
          <w:tcPr>
            <w:tcW w:w="2125" w:type="dxa"/>
            <w:tcBorders>
              <w:top w:val="single" w:sz="4" w:space="0" w:color="auto"/>
              <w:left w:val="nil"/>
              <w:bottom w:val="nil"/>
              <w:right w:val="nil"/>
            </w:tcBorders>
            <w:hideMark/>
          </w:tcPr>
          <w:p w14:paraId="768B4BC4" w14:textId="77777777" w:rsidR="000231C5" w:rsidRPr="00EF6D3A" w:rsidRDefault="000231C5" w:rsidP="00EF6D3A">
            <w:pPr>
              <w:tabs>
                <w:tab w:val="left" w:pos="450"/>
              </w:tabs>
              <w:jc w:val="both"/>
              <w:rPr>
                <w:bCs/>
                <w:kern w:val="28"/>
                <w:sz w:val="20"/>
                <w:lang w:val="en-ID"/>
              </w:rPr>
            </w:pPr>
            <w:r w:rsidRPr="00EF6D3A">
              <w:rPr>
                <w:bCs/>
                <w:kern w:val="28"/>
                <w:sz w:val="20"/>
              </w:rPr>
              <w:t>774,2563</w:t>
            </w:r>
          </w:p>
        </w:tc>
        <w:tc>
          <w:tcPr>
            <w:tcW w:w="1530" w:type="dxa"/>
            <w:tcBorders>
              <w:top w:val="single" w:sz="4" w:space="0" w:color="auto"/>
              <w:left w:val="nil"/>
              <w:bottom w:val="nil"/>
              <w:right w:val="nil"/>
            </w:tcBorders>
            <w:hideMark/>
          </w:tcPr>
          <w:p w14:paraId="58E6A54C" w14:textId="77777777" w:rsidR="000231C5" w:rsidRPr="00EF6D3A" w:rsidRDefault="000231C5" w:rsidP="00EF6D3A">
            <w:pPr>
              <w:tabs>
                <w:tab w:val="left" w:pos="450"/>
              </w:tabs>
              <w:jc w:val="both"/>
              <w:rPr>
                <w:bCs/>
                <w:kern w:val="28"/>
                <w:sz w:val="20"/>
              </w:rPr>
            </w:pPr>
            <w:r w:rsidRPr="00EF6D3A">
              <w:rPr>
                <w:bCs/>
                <w:kern w:val="28"/>
                <w:sz w:val="20"/>
              </w:rPr>
              <w:t>0,624912</w:t>
            </w:r>
          </w:p>
        </w:tc>
        <w:tc>
          <w:tcPr>
            <w:tcW w:w="1710" w:type="dxa"/>
            <w:tcBorders>
              <w:top w:val="single" w:sz="4" w:space="0" w:color="auto"/>
              <w:left w:val="nil"/>
              <w:bottom w:val="nil"/>
              <w:right w:val="nil"/>
            </w:tcBorders>
            <w:hideMark/>
          </w:tcPr>
          <w:p w14:paraId="236041A2" w14:textId="77777777" w:rsidR="000231C5" w:rsidRPr="00EF6D3A" w:rsidRDefault="000231C5" w:rsidP="00EF6D3A">
            <w:pPr>
              <w:tabs>
                <w:tab w:val="left" w:pos="450"/>
              </w:tabs>
              <w:jc w:val="both"/>
              <w:rPr>
                <w:bCs/>
                <w:kern w:val="28"/>
                <w:sz w:val="20"/>
              </w:rPr>
            </w:pPr>
            <w:r w:rsidRPr="00EF6D3A">
              <w:rPr>
                <w:bCs/>
                <w:kern w:val="28"/>
                <w:sz w:val="20"/>
              </w:rPr>
              <w:t>3,22845</w:t>
            </w:r>
          </w:p>
        </w:tc>
      </w:tr>
      <w:tr w:rsidR="007B7A1F" w:rsidRPr="00EF6D3A" w14:paraId="2356663B" w14:textId="77777777" w:rsidTr="00FE7631">
        <w:trPr>
          <w:jc w:val="center"/>
        </w:trPr>
        <w:tc>
          <w:tcPr>
            <w:tcW w:w="570" w:type="dxa"/>
            <w:tcBorders>
              <w:top w:val="nil"/>
              <w:left w:val="nil"/>
              <w:bottom w:val="single" w:sz="4" w:space="0" w:color="auto"/>
              <w:right w:val="nil"/>
            </w:tcBorders>
            <w:hideMark/>
          </w:tcPr>
          <w:p w14:paraId="4BDAD02D" w14:textId="77777777" w:rsidR="000231C5" w:rsidRPr="00EF6D3A" w:rsidRDefault="000231C5" w:rsidP="00EF6D3A">
            <w:pPr>
              <w:tabs>
                <w:tab w:val="left" w:pos="450"/>
              </w:tabs>
              <w:jc w:val="both"/>
              <w:rPr>
                <w:bCs/>
                <w:kern w:val="28"/>
                <w:sz w:val="20"/>
              </w:rPr>
            </w:pPr>
            <w:r w:rsidRPr="00EF6D3A">
              <w:rPr>
                <w:bCs/>
                <w:kern w:val="28"/>
                <w:sz w:val="20"/>
              </w:rPr>
              <w:t>2.</w:t>
            </w:r>
          </w:p>
        </w:tc>
        <w:tc>
          <w:tcPr>
            <w:tcW w:w="1890" w:type="dxa"/>
            <w:tcBorders>
              <w:top w:val="nil"/>
              <w:left w:val="nil"/>
              <w:bottom w:val="single" w:sz="4" w:space="0" w:color="auto"/>
              <w:right w:val="nil"/>
            </w:tcBorders>
            <w:hideMark/>
          </w:tcPr>
          <w:p w14:paraId="24712FC2" w14:textId="77777777" w:rsidR="000231C5" w:rsidRPr="00EF6D3A" w:rsidRDefault="000231C5" w:rsidP="00EF6D3A">
            <w:pPr>
              <w:tabs>
                <w:tab w:val="left" w:pos="450"/>
              </w:tabs>
              <w:jc w:val="both"/>
              <w:rPr>
                <w:bCs/>
                <w:kern w:val="28"/>
                <w:sz w:val="20"/>
              </w:rPr>
            </w:pPr>
            <w:r w:rsidRPr="00EF6D3A">
              <w:rPr>
                <w:bCs/>
                <w:kern w:val="28"/>
                <w:sz w:val="20"/>
              </w:rPr>
              <w:t>Ni/Al-MCM-41</w:t>
            </w:r>
          </w:p>
        </w:tc>
        <w:tc>
          <w:tcPr>
            <w:tcW w:w="2125" w:type="dxa"/>
            <w:tcBorders>
              <w:top w:val="nil"/>
              <w:left w:val="nil"/>
              <w:bottom w:val="single" w:sz="4" w:space="0" w:color="auto"/>
              <w:right w:val="nil"/>
            </w:tcBorders>
            <w:hideMark/>
          </w:tcPr>
          <w:p w14:paraId="2541DE0D" w14:textId="77777777" w:rsidR="000231C5" w:rsidRPr="00EF6D3A" w:rsidRDefault="000231C5" w:rsidP="00EF6D3A">
            <w:pPr>
              <w:tabs>
                <w:tab w:val="left" w:pos="450"/>
              </w:tabs>
              <w:jc w:val="both"/>
              <w:rPr>
                <w:bCs/>
                <w:kern w:val="28"/>
                <w:sz w:val="20"/>
              </w:rPr>
            </w:pPr>
            <w:r w:rsidRPr="00EF6D3A">
              <w:rPr>
                <w:bCs/>
                <w:kern w:val="28"/>
                <w:sz w:val="20"/>
              </w:rPr>
              <w:t>259,4898</w:t>
            </w:r>
          </w:p>
        </w:tc>
        <w:tc>
          <w:tcPr>
            <w:tcW w:w="1530" w:type="dxa"/>
            <w:tcBorders>
              <w:top w:val="nil"/>
              <w:left w:val="nil"/>
              <w:bottom w:val="single" w:sz="4" w:space="0" w:color="auto"/>
              <w:right w:val="nil"/>
            </w:tcBorders>
            <w:hideMark/>
          </w:tcPr>
          <w:p w14:paraId="6AF05184" w14:textId="77777777" w:rsidR="000231C5" w:rsidRPr="00EF6D3A" w:rsidRDefault="000231C5" w:rsidP="00EF6D3A">
            <w:pPr>
              <w:tabs>
                <w:tab w:val="left" w:pos="450"/>
              </w:tabs>
              <w:jc w:val="both"/>
              <w:rPr>
                <w:bCs/>
                <w:kern w:val="28"/>
                <w:sz w:val="20"/>
              </w:rPr>
            </w:pPr>
            <w:r w:rsidRPr="00EF6D3A">
              <w:rPr>
                <w:bCs/>
                <w:kern w:val="28"/>
                <w:sz w:val="20"/>
              </w:rPr>
              <w:t>0.209405</w:t>
            </w:r>
          </w:p>
        </w:tc>
        <w:tc>
          <w:tcPr>
            <w:tcW w:w="1710" w:type="dxa"/>
            <w:tcBorders>
              <w:top w:val="nil"/>
              <w:left w:val="nil"/>
              <w:bottom w:val="single" w:sz="4" w:space="0" w:color="auto"/>
              <w:right w:val="nil"/>
            </w:tcBorders>
            <w:hideMark/>
          </w:tcPr>
          <w:p w14:paraId="20742905" w14:textId="77777777" w:rsidR="000231C5" w:rsidRPr="00EF6D3A" w:rsidRDefault="000231C5" w:rsidP="00EF6D3A">
            <w:pPr>
              <w:tabs>
                <w:tab w:val="left" w:pos="450"/>
              </w:tabs>
              <w:jc w:val="both"/>
              <w:rPr>
                <w:bCs/>
                <w:kern w:val="28"/>
                <w:sz w:val="20"/>
              </w:rPr>
            </w:pPr>
            <w:r w:rsidRPr="00EF6D3A">
              <w:rPr>
                <w:bCs/>
                <w:kern w:val="28"/>
                <w:sz w:val="20"/>
              </w:rPr>
              <w:t>3.22796</w:t>
            </w:r>
          </w:p>
        </w:tc>
      </w:tr>
    </w:tbl>
    <w:p w14:paraId="54D15628" w14:textId="0EC7D735" w:rsidR="00E9052D" w:rsidRPr="00665D5A" w:rsidRDefault="00E9052D" w:rsidP="00111EF5">
      <w:pPr>
        <w:tabs>
          <w:tab w:val="left" w:pos="450"/>
        </w:tabs>
        <w:spacing w:before="240" w:after="240"/>
        <w:jc w:val="center"/>
        <w:rPr>
          <w:b/>
          <w:iCs/>
          <w:kern w:val="28"/>
          <w:szCs w:val="24"/>
        </w:rPr>
      </w:pPr>
      <w:r w:rsidRPr="00665D5A">
        <w:rPr>
          <w:b/>
          <w:iCs/>
          <w:kern w:val="28"/>
          <w:szCs w:val="24"/>
        </w:rPr>
        <w:t>Catalytic Pyrolysis of CPO and PET</w:t>
      </w:r>
    </w:p>
    <w:p w14:paraId="0FAF6037" w14:textId="269E559D" w:rsidR="00E9052D" w:rsidRPr="00EF6D3A" w:rsidRDefault="00EF6D3A" w:rsidP="00EF6D3A">
      <w:pPr>
        <w:tabs>
          <w:tab w:val="left" w:pos="450"/>
        </w:tabs>
        <w:jc w:val="both"/>
        <w:rPr>
          <w:bCs/>
          <w:kern w:val="28"/>
          <w:sz w:val="20"/>
        </w:rPr>
      </w:pPr>
      <w:r>
        <w:rPr>
          <w:bCs/>
          <w:kern w:val="28"/>
          <w:sz w:val="20"/>
        </w:rPr>
        <w:tab/>
      </w:r>
      <w:r w:rsidR="00E9052D" w:rsidRPr="00EF6D3A">
        <w:rPr>
          <w:bCs/>
          <w:kern w:val="28"/>
          <w:sz w:val="20"/>
        </w:rPr>
        <w:t xml:space="preserve">Nitrogen was injected </w:t>
      </w:r>
      <w:proofErr w:type="gramStart"/>
      <w:r w:rsidR="00E9052D" w:rsidRPr="00EF6D3A">
        <w:rPr>
          <w:bCs/>
          <w:kern w:val="28"/>
          <w:sz w:val="20"/>
        </w:rPr>
        <w:t>to</w:t>
      </w:r>
      <w:proofErr w:type="gramEnd"/>
      <w:r w:rsidR="00E9052D" w:rsidRPr="00EF6D3A">
        <w:rPr>
          <w:bCs/>
          <w:kern w:val="28"/>
          <w:sz w:val="20"/>
        </w:rPr>
        <w:t xml:space="preserve"> the reactor prior to the reaction to purge the remaining oxygen inside the chamber so that oxygen free condition could be met. After that, hydrogen was injected. Hydrogenation was conducted to reduce the unsaturated products while the reaction took place, so that a gasoline-like fuel can be directly obtained by the end of the reaction </w:t>
      </w:r>
      <w:r w:rsidR="00665D5A">
        <w:rPr>
          <w:bCs/>
          <w:kern w:val="28"/>
          <w:sz w:val="20"/>
        </w:rPr>
        <w:t>[8].</w:t>
      </w:r>
    </w:p>
    <w:p w14:paraId="560AE370" w14:textId="26169AC2" w:rsidR="00E9052D" w:rsidRPr="00EF6D3A" w:rsidRDefault="00EF6D3A" w:rsidP="00EF6D3A">
      <w:pPr>
        <w:tabs>
          <w:tab w:val="left" w:pos="450"/>
        </w:tabs>
        <w:jc w:val="both"/>
        <w:rPr>
          <w:bCs/>
          <w:kern w:val="28"/>
          <w:sz w:val="20"/>
        </w:rPr>
      </w:pPr>
      <w:r>
        <w:rPr>
          <w:bCs/>
          <w:kern w:val="28"/>
          <w:sz w:val="20"/>
        </w:rPr>
        <w:tab/>
      </w:r>
      <w:r w:rsidR="00E9052D" w:rsidRPr="00EF6D3A">
        <w:rPr>
          <w:bCs/>
          <w:kern w:val="28"/>
          <w:sz w:val="20"/>
        </w:rPr>
        <w:t xml:space="preserve">The </w:t>
      </w:r>
      <w:proofErr w:type="spellStart"/>
      <w:r w:rsidR="00E9052D" w:rsidRPr="00EF6D3A">
        <w:rPr>
          <w:bCs/>
          <w:kern w:val="28"/>
          <w:sz w:val="20"/>
        </w:rPr>
        <w:t>pyrolisis</w:t>
      </w:r>
      <w:proofErr w:type="spellEnd"/>
      <w:r w:rsidR="00E9052D" w:rsidRPr="00EF6D3A">
        <w:rPr>
          <w:bCs/>
          <w:kern w:val="28"/>
          <w:sz w:val="20"/>
        </w:rPr>
        <w:t xml:space="preserve"> was done at 400°C to make sure that the mixture inside the reaction chamber was completely evaporated into gaseous phase and flowed through the catalyst bed. This is due to the boiling point of CPO at 300°C </w:t>
      </w:r>
      <w:r w:rsidR="00665D5A">
        <w:rPr>
          <w:bCs/>
          <w:kern w:val="28"/>
          <w:sz w:val="20"/>
        </w:rPr>
        <w:t>[18]</w:t>
      </w:r>
      <w:r w:rsidR="00E9052D" w:rsidRPr="00EF6D3A">
        <w:rPr>
          <w:bCs/>
          <w:kern w:val="28"/>
          <w:sz w:val="20"/>
        </w:rPr>
        <w:t>, and the degradation of PET which begins to take place at 320°C</w:t>
      </w:r>
      <w:r w:rsidR="00665D5A">
        <w:rPr>
          <w:bCs/>
          <w:kern w:val="28"/>
          <w:sz w:val="20"/>
        </w:rPr>
        <w:t xml:space="preserve"> [14]</w:t>
      </w:r>
      <w:r w:rsidR="00E9052D" w:rsidRPr="00EF6D3A">
        <w:rPr>
          <w:bCs/>
          <w:kern w:val="28"/>
          <w:sz w:val="20"/>
        </w:rPr>
        <w:t xml:space="preserve">. </w:t>
      </w:r>
      <w:proofErr w:type="gramStart"/>
      <w:r w:rsidR="00E9052D" w:rsidRPr="00EF6D3A">
        <w:rPr>
          <w:bCs/>
          <w:kern w:val="28"/>
          <w:sz w:val="20"/>
        </w:rPr>
        <w:t>Beside,</w:t>
      </w:r>
      <w:proofErr w:type="gramEnd"/>
      <w:r w:rsidR="00E9052D" w:rsidRPr="00EF6D3A">
        <w:rPr>
          <w:bCs/>
          <w:kern w:val="28"/>
          <w:sz w:val="20"/>
        </w:rPr>
        <w:t xml:space="preserve"> high temperature also increased the kinetics energy of the gas molecules in the reaction system so that the reaction was easier to take place. The reaction product was initially weighed, as well as the </w:t>
      </w:r>
      <w:proofErr w:type="gramStart"/>
      <w:r w:rsidR="00E9052D" w:rsidRPr="00EF6D3A">
        <w:rPr>
          <w:bCs/>
          <w:kern w:val="28"/>
          <w:sz w:val="20"/>
        </w:rPr>
        <w:t>coke</w:t>
      </w:r>
      <w:proofErr w:type="gramEnd"/>
      <w:r w:rsidR="00E9052D" w:rsidRPr="00EF6D3A">
        <w:rPr>
          <w:bCs/>
          <w:kern w:val="28"/>
          <w:sz w:val="20"/>
        </w:rPr>
        <w:t xml:space="preserve"> which was formed inside the reactor chamber, to calculate the yield of the reaction.</w:t>
      </w:r>
    </w:p>
    <w:p w14:paraId="7AC42822" w14:textId="2E4C67AB" w:rsidR="00E9052D" w:rsidRDefault="00EF6D3A" w:rsidP="00EF6D3A">
      <w:pPr>
        <w:tabs>
          <w:tab w:val="left" w:pos="450"/>
        </w:tabs>
        <w:jc w:val="both"/>
        <w:rPr>
          <w:bCs/>
          <w:kern w:val="28"/>
          <w:sz w:val="20"/>
        </w:rPr>
      </w:pPr>
      <w:r>
        <w:rPr>
          <w:bCs/>
          <w:kern w:val="28"/>
          <w:sz w:val="20"/>
        </w:rPr>
        <w:tab/>
      </w:r>
      <w:r w:rsidR="00E9052D" w:rsidRPr="00EF6D3A">
        <w:rPr>
          <w:bCs/>
          <w:kern w:val="28"/>
          <w:sz w:val="20"/>
        </w:rPr>
        <w:t>Composition of the raw material (</w:t>
      </w:r>
      <w:proofErr w:type="gramStart"/>
      <w:r w:rsidR="00E9052D" w:rsidRPr="00EF6D3A">
        <w:rPr>
          <w:bCs/>
          <w:kern w:val="28"/>
          <w:sz w:val="20"/>
        </w:rPr>
        <w:t>CPO:PET</w:t>
      </w:r>
      <w:proofErr w:type="gramEnd"/>
      <w:r w:rsidR="00E9052D" w:rsidRPr="00EF6D3A">
        <w:rPr>
          <w:bCs/>
          <w:kern w:val="28"/>
          <w:sz w:val="20"/>
        </w:rPr>
        <w:t xml:space="preserve">) ratio affects the yield of the liquid fuel product. Figure 5 shows yield percentage of each mass ratio of </w:t>
      </w:r>
      <w:proofErr w:type="gramStart"/>
      <w:r w:rsidR="00E9052D" w:rsidRPr="00EF6D3A">
        <w:rPr>
          <w:bCs/>
          <w:kern w:val="28"/>
          <w:sz w:val="20"/>
        </w:rPr>
        <w:t>the feed</w:t>
      </w:r>
      <w:proofErr w:type="gramEnd"/>
      <w:r w:rsidR="00E9052D" w:rsidRPr="00EF6D3A">
        <w:rPr>
          <w:bCs/>
          <w:kern w:val="28"/>
          <w:sz w:val="20"/>
        </w:rPr>
        <w:t xml:space="preserve">. Generally, decrease in CPO ratio also decreases the yield percentage of the product. Inversely, the by-product (coke) did not show significant change. The most produced coke was observed on the </w:t>
      </w:r>
      <w:proofErr w:type="gramStart"/>
      <w:r w:rsidR="00E9052D" w:rsidRPr="00EF6D3A">
        <w:rPr>
          <w:bCs/>
          <w:kern w:val="28"/>
          <w:sz w:val="20"/>
        </w:rPr>
        <w:t>CPO:PET</w:t>
      </w:r>
      <w:proofErr w:type="gramEnd"/>
      <w:r w:rsidR="00E9052D" w:rsidRPr="00EF6D3A">
        <w:rPr>
          <w:bCs/>
          <w:kern w:val="28"/>
          <w:sz w:val="20"/>
        </w:rPr>
        <w:t xml:space="preserve"> = 1:1 ratio and the lowest on 100 % PET feed. This is due to the property of PET which is not completely degraded at temperature below 450°C </w:t>
      </w:r>
      <w:r w:rsidR="00C45A39">
        <w:rPr>
          <w:bCs/>
          <w:kern w:val="28"/>
          <w:sz w:val="20"/>
        </w:rPr>
        <w:t xml:space="preserve">[5]. </w:t>
      </w:r>
      <w:r w:rsidR="00E9052D" w:rsidRPr="00EF6D3A">
        <w:rPr>
          <w:bCs/>
          <w:kern w:val="28"/>
          <w:sz w:val="20"/>
        </w:rPr>
        <w:t xml:space="preserve">In addition, the yield of the liquid fuel for the PET 100% feed was also the lowest. This is due to the incomplete condensation of the product so that much of the gas escaped without being condensed. This </w:t>
      </w:r>
      <w:proofErr w:type="gramStart"/>
      <w:r w:rsidR="00E9052D" w:rsidRPr="00EF6D3A">
        <w:rPr>
          <w:bCs/>
          <w:kern w:val="28"/>
          <w:sz w:val="20"/>
        </w:rPr>
        <w:t>inline</w:t>
      </w:r>
      <w:proofErr w:type="gramEnd"/>
      <w:r w:rsidR="00E9052D" w:rsidRPr="00EF6D3A">
        <w:rPr>
          <w:bCs/>
          <w:kern w:val="28"/>
          <w:sz w:val="20"/>
        </w:rPr>
        <w:t xml:space="preserve"> with a study conducted by </w:t>
      </w:r>
      <w:sdt>
        <w:sdtPr>
          <w:rPr>
            <w:bCs/>
            <w:kern w:val="28"/>
            <w:sz w:val="20"/>
          </w:rPr>
          <w:tag w:val="MENDELEY_CITATION_v3_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"/>
          <w:id w:val="-1565326220"/>
          <w:placeholder>
            <w:docPart w:val="991EA6A58FF349118EDCFEB92EA170B7"/>
          </w:placeholder>
        </w:sdtPr>
        <w:sdtContent>
          <w:r w:rsidR="00E9052D" w:rsidRPr="00EF6D3A">
            <w:rPr>
              <w:bCs/>
              <w:kern w:val="28"/>
              <w:sz w:val="20"/>
            </w:rPr>
            <w:t>Gutta et al.</w:t>
          </w:r>
          <w:r w:rsidR="00665D5A">
            <w:rPr>
              <w:bCs/>
              <w:kern w:val="28"/>
              <w:sz w:val="20"/>
            </w:rPr>
            <w:t xml:space="preserve"> (</w:t>
          </w:r>
          <w:r w:rsidR="00E9052D" w:rsidRPr="00EF6D3A">
            <w:rPr>
              <w:bCs/>
              <w:kern w:val="28"/>
              <w:sz w:val="20"/>
            </w:rPr>
            <w:t>2019)</w:t>
          </w:r>
        </w:sdtContent>
      </w:sdt>
      <w:r w:rsidR="00E9052D" w:rsidRPr="00EF6D3A">
        <w:rPr>
          <w:bCs/>
          <w:kern w:val="28"/>
          <w:sz w:val="20"/>
        </w:rPr>
        <w:t xml:space="preserve"> which stated that the pyrolysis of PET produced more gas (76.9 %w/w) than liquid hydrocarbon (23.1 % w/w)</w:t>
      </w:r>
      <w:r w:rsidR="00665D5A">
        <w:rPr>
          <w:bCs/>
          <w:kern w:val="28"/>
          <w:sz w:val="20"/>
        </w:rPr>
        <w:t xml:space="preserve"> [4]</w:t>
      </w:r>
      <w:r w:rsidR="00E9052D" w:rsidRPr="00EF6D3A">
        <w:rPr>
          <w:bCs/>
          <w:kern w:val="28"/>
          <w:sz w:val="20"/>
        </w:rPr>
        <w:t>.</w:t>
      </w:r>
    </w:p>
    <w:p w14:paraId="73589DF4" w14:textId="77777777" w:rsidR="00EF6D3A" w:rsidRPr="00EF6D3A" w:rsidRDefault="00EF6D3A" w:rsidP="00EF6D3A">
      <w:pPr>
        <w:tabs>
          <w:tab w:val="left" w:pos="450"/>
        </w:tabs>
        <w:jc w:val="both"/>
        <w:rPr>
          <w:bCs/>
          <w:kern w:val="28"/>
          <w:sz w:val="20"/>
        </w:rPr>
      </w:pPr>
    </w:p>
    <w:p w14:paraId="5244A87F" w14:textId="1218BC05" w:rsidR="00E9052D" w:rsidRPr="00EF6D3A" w:rsidRDefault="000231C5" w:rsidP="00EF6D3A">
      <w:pPr>
        <w:tabs>
          <w:tab w:val="left" w:pos="450"/>
        </w:tabs>
        <w:jc w:val="center"/>
        <w:rPr>
          <w:bCs/>
          <w:kern w:val="28"/>
          <w:sz w:val="20"/>
        </w:rPr>
      </w:pPr>
      <w:r w:rsidRPr="00EF6D3A">
        <w:rPr>
          <w:rFonts w:ascii="Century Schoolbook" w:eastAsia="Arial" w:hAnsi="Century Schoolbook"/>
          <w:noProof/>
          <w:sz w:val="20"/>
          <w:lang w:eastAsia="ja-JP"/>
        </w:rPr>
        <w:drawing>
          <wp:inline distT="0" distB="0" distL="0" distR="0" wp14:anchorId="59F1C4E9" wp14:editId="2B1C0838">
            <wp:extent cx="4581525" cy="3019425"/>
            <wp:effectExtent l="0" t="0" r="9525" b="9525"/>
            <wp:docPr id="12" name="Picture 12"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bar chart&#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81525" cy="3019425"/>
                    </a:xfrm>
                    <a:prstGeom prst="rect">
                      <a:avLst/>
                    </a:prstGeom>
                    <a:noFill/>
                    <a:ln>
                      <a:noFill/>
                    </a:ln>
                  </pic:spPr>
                </pic:pic>
              </a:graphicData>
            </a:graphic>
          </wp:inline>
        </w:drawing>
      </w:r>
    </w:p>
    <w:p w14:paraId="2F00EBA0" w14:textId="77777777" w:rsidR="00E9052D" w:rsidRPr="00EF6D3A" w:rsidRDefault="00E9052D" w:rsidP="00EF6D3A">
      <w:pPr>
        <w:snapToGrid w:val="0"/>
        <w:jc w:val="center"/>
        <w:rPr>
          <w:sz w:val="20"/>
        </w:rPr>
      </w:pPr>
      <w:r w:rsidRPr="00EF6D3A">
        <w:rPr>
          <w:b/>
          <w:sz w:val="20"/>
        </w:rPr>
        <w:t>Figure 5</w:t>
      </w:r>
      <w:r w:rsidRPr="00EF6D3A">
        <w:rPr>
          <w:sz w:val="20"/>
        </w:rPr>
        <w:t xml:space="preserve"> Yield percentage of each feedstock mass ratio</w:t>
      </w:r>
    </w:p>
    <w:p w14:paraId="515C2AA5" w14:textId="77777777" w:rsidR="00E9052D" w:rsidRPr="00EF6D3A" w:rsidRDefault="00E9052D" w:rsidP="00EF6D3A">
      <w:pPr>
        <w:snapToGrid w:val="0"/>
        <w:jc w:val="both"/>
        <w:rPr>
          <w:sz w:val="20"/>
        </w:rPr>
      </w:pPr>
    </w:p>
    <w:p w14:paraId="57DCEDC2" w14:textId="22555EA2" w:rsidR="00E9052D" w:rsidRPr="00EF6D3A" w:rsidRDefault="00E9052D" w:rsidP="00EF6D3A">
      <w:pPr>
        <w:snapToGrid w:val="0"/>
        <w:ind w:firstLine="709"/>
        <w:jc w:val="both"/>
        <w:rPr>
          <w:sz w:val="20"/>
        </w:rPr>
      </w:pPr>
      <w:r w:rsidRPr="00EF6D3A">
        <w:rPr>
          <w:sz w:val="20"/>
        </w:rPr>
        <w:lastRenderedPageBreak/>
        <w:t>Moreover, the GC-MS analysis showed the chemical composition of each product. The composition is divided into 3 categories: hydrocarbon fraction lighter than C</w:t>
      </w:r>
      <w:r w:rsidRPr="00EF6D3A">
        <w:rPr>
          <w:sz w:val="20"/>
          <w:vertAlign w:val="subscript"/>
        </w:rPr>
        <w:t>7</w:t>
      </w:r>
      <w:r w:rsidRPr="00EF6D3A">
        <w:rPr>
          <w:sz w:val="20"/>
        </w:rPr>
        <w:t>, hydrocarbon fraction C</w:t>
      </w:r>
      <w:r w:rsidRPr="00EF6D3A">
        <w:rPr>
          <w:sz w:val="20"/>
          <w:vertAlign w:val="subscript"/>
        </w:rPr>
        <w:t>7</w:t>
      </w:r>
      <w:r w:rsidRPr="00EF6D3A">
        <w:rPr>
          <w:sz w:val="20"/>
        </w:rPr>
        <w:t xml:space="preserve"> – C</w:t>
      </w:r>
      <w:r w:rsidRPr="00EF6D3A">
        <w:rPr>
          <w:sz w:val="20"/>
          <w:vertAlign w:val="subscript"/>
        </w:rPr>
        <w:t>12</w:t>
      </w:r>
      <w:r w:rsidRPr="00EF6D3A">
        <w:rPr>
          <w:sz w:val="20"/>
        </w:rPr>
        <w:t xml:space="preserve"> (which is the gasoline fraction), and fraction heavier than C</w:t>
      </w:r>
      <w:r w:rsidRPr="00EF6D3A">
        <w:rPr>
          <w:sz w:val="20"/>
          <w:vertAlign w:val="subscript"/>
        </w:rPr>
        <w:t>12</w:t>
      </w:r>
      <w:r w:rsidRPr="00EF6D3A">
        <w:rPr>
          <w:sz w:val="20"/>
        </w:rPr>
        <w:t xml:space="preserve">. The compositions were calculated based on the area percentage (% area) on the chromatogram of each liquid fuel product. Figure 7 presents a graphic of the relation between hydrocarbon fraction content of the co-pyrolysis product to the </w:t>
      </w:r>
      <w:proofErr w:type="gramStart"/>
      <w:r w:rsidRPr="00EF6D3A">
        <w:rPr>
          <w:sz w:val="20"/>
        </w:rPr>
        <w:t>CPO:PET</w:t>
      </w:r>
      <w:proofErr w:type="gramEnd"/>
      <w:r w:rsidRPr="00EF6D3A">
        <w:rPr>
          <w:sz w:val="20"/>
        </w:rPr>
        <w:t xml:space="preserve"> mass ratio of the feed. It can be seen from the graph that the light fraction hydrocarbon (C &lt; 7) was mostly not formed during reactions. The pyrolysis of CPO 100% produced the lowest hydrocarbon fraction of C</w:t>
      </w:r>
      <w:r w:rsidRPr="00EF6D3A">
        <w:rPr>
          <w:sz w:val="20"/>
          <w:vertAlign w:val="subscript"/>
        </w:rPr>
        <w:t>7</w:t>
      </w:r>
      <w:r w:rsidRPr="00EF6D3A">
        <w:rPr>
          <w:sz w:val="20"/>
        </w:rPr>
        <w:t xml:space="preserve"> – C</w:t>
      </w:r>
      <w:r w:rsidRPr="00EF6D3A">
        <w:rPr>
          <w:sz w:val="20"/>
          <w:vertAlign w:val="subscript"/>
        </w:rPr>
        <w:t>12</w:t>
      </w:r>
      <w:r w:rsidRPr="00EF6D3A">
        <w:rPr>
          <w:sz w:val="20"/>
        </w:rPr>
        <w:t xml:space="preserve"> which was 19.20 %. Addition of PET to the CPO feed increased the C</w:t>
      </w:r>
      <w:r w:rsidRPr="00EF6D3A">
        <w:rPr>
          <w:sz w:val="20"/>
          <w:vertAlign w:val="subscript"/>
        </w:rPr>
        <w:t>7</w:t>
      </w:r>
      <w:r w:rsidRPr="00EF6D3A">
        <w:rPr>
          <w:sz w:val="20"/>
        </w:rPr>
        <w:t xml:space="preserve"> – C</w:t>
      </w:r>
      <w:r w:rsidRPr="00EF6D3A">
        <w:rPr>
          <w:sz w:val="20"/>
          <w:vertAlign w:val="subscript"/>
        </w:rPr>
        <w:t xml:space="preserve">12 </w:t>
      </w:r>
      <w:r w:rsidRPr="00EF6D3A">
        <w:rPr>
          <w:sz w:val="20"/>
        </w:rPr>
        <w:t xml:space="preserve">fraction up to the maximum value of 44.72 % which was obtained on the 1:1 mass ratio. Further PET addition decreased the gasoline fraction on the co-pyrolysis product. This shows that there is a positive (synergistic) effect on the co-pyrolysis instead of pyrolysis of only one kind of biomass, as suggested by </w:t>
      </w:r>
      <w:proofErr w:type="spellStart"/>
      <w:r w:rsidRPr="00EF6D3A">
        <w:rPr>
          <w:sz w:val="20"/>
        </w:rPr>
        <w:t>Caroko</w:t>
      </w:r>
      <w:proofErr w:type="spellEnd"/>
      <w:r w:rsidRPr="00EF6D3A">
        <w:rPr>
          <w:sz w:val="20"/>
        </w:rPr>
        <w:t xml:space="preserve"> et</w:t>
      </w:r>
      <w:r w:rsidR="00C45A39">
        <w:rPr>
          <w:sz w:val="20"/>
        </w:rPr>
        <w:t>,</w:t>
      </w:r>
      <w:r w:rsidRPr="00EF6D3A">
        <w:rPr>
          <w:sz w:val="20"/>
        </w:rPr>
        <w:t xml:space="preserve"> al</w:t>
      </w:r>
      <w:r w:rsidR="00C45A39">
        <w:rPr>
          <w:sz w:val="20"/>
        </w:rPr>
        <w:t>.</w:t>
      </w:r>
      <w:r w:rsidRPr="00EF6D3A">
        <w:rPr>
          <w:sz w:val="20"/>
        </w:rPr>
        <w:t xml:space="preserve"> </w:t>
      </w:r>
      <w:r w:rsidR="00C45A39">
        <w:rPr>
          <w:sz w:val="20"/>
        </w:rPr>
        <w:t>(</w:t>
      </w:r>
      <w:r w:rsidRPr="00EF6D3A">
        <w:rPr>
          <w:sz w:val="20"/>
        </w:rPr>
        <w:t>2021</w:t>
      </w:r>
      <w:r w:rsidR="00C45A39">
        <w:rPr>
          <w:sz w:val="20"/>
        </w:rPr>
        <w:t>)</w:t>
      </w:r>
      <w:r w:rsidRPr="00EF6D3A">
        <w:rPr>
          <w:sz w:val="20"/>
        </w:rPr>
        <w:t xml:space="preserve"> that on the pyrolysis reaction of palm shell, addition of PET could increase the yield of the reaction, and even lowered the reaction temperature.</w:t>
      </w:r>
    </w:p>
    <w:p w14:paraId="305E2D93" w14:textId="0CAF672A" w:rsidR="002F53A6" w:rsidRPr="00EF6D3A" w:rsidRDefault="002F53A6" w:rsidP="00EF6D3A">
      <w:pPr>
        <w:snapToGrid w:val="0"/>
        <w:ind w:firstLine="709"/>
        <w:jc w:val="both"/>
        <w:rPr>
          <w:sz w:val="20"/>
        </w:rPr>
      </w:pPr>
      <w:r w:rsidRPr="00EF6D3A">
        <w:rPr>
          <w:bCs/>
          <w:kern w:val="28"/>
          <w:sz w:val="20"/>
        </w:rPr>
        <w:t xml:space="preserve">The GC-MS analysis also shows the hydrocarbon compounds of each cracking product. The hydrocarbons can be classified into alkanes, alkenes, aromatics, and esters. Figure 8 shows the relation between the composition of each compound to the feedstock mass ratio. Generally, all variations of feedstock </w:t>
      </w:r>
      <w:proofErr w:type="gramStart"/>
      <w:r w:rsidRPr="00EF6D3A">
        <w:rPr>
          <w:bCs/>
          <w:kern w:val="28"/>
          <w:sz w:val="20"/>
        </w:rPr>
        <w:t>shows</w:t>
      </w:r>
      <w:proofErr w:type="gramEnd"/>
      <w:r w:rsidRPr="00EF6D3A">
        <w:rPr>
          <w:bCs/>
          <w:kern w:val="28"/>
          <w:sz w:val="20"/>
        </w:rPr>
        <w:t xml:space="preserve"> the same trend, i.e. the highest concentration of alkanes and the lowest on esters. Furthermore, the addition of PET into the CPO feed could also increase the </w:t>
      </w:r>
      <w:proofErr w:type="gramStart"/>
      <w:r w:rsidRPr="00EF6D3A">
        <w:rPr>
          <w:bCs/>
          <w:kern w:val="28"/>
          <w:sz w:val="20"/>
        </w:rPr>
        <w:t>amount</w:t>
      </w:r>
      <w:proofErr w:type="gramEnd"/>
      <w:r w:rsidRPr="00EF6D3A">
        <w:rPr>
          <w:bCs/>
          <w:kern w:val="28"/>
          <w:sz w:val="20"/>
        </w:rPr>
        <w:t xml:space="preserve"> of aromatics in the reaction products.</w:t>
      </w:r>
    </w:p>
    <w:p w14:paraId="519A01F1" w14:textId="3779A263" w:rsidR="00E9052D" w:rsidRPr="00EF6D3A" w:rsidRDefault="000231C5" w:rsidP="00EF6D3A">
      <w:pPr>
        <w:snapToGrid w:val="0"/>
        <w:ind w:firstLine="709"/>
        <w:jc w:val="center"/>
        <w:rPr>
          <w:sz w:val="20"/>
        </w:rPr>
      </w:pPr>
      <w:r w:rsidRPr="00EF6D3A">
        <w:rPr>
          <w:rFonts w:ascii="Century Schoolbook" w:hAnsi="Century Schoolbook"/>
          <w:noProof/>
          <w:kern w:val="28"/>
          <w:sz w:val="20"/>
          <w:lang w:eastAsia="ja-JP"/>
        </w:rPr>
        <w:drawing>
          <wp:inline distT="0" distB="0" distL="0" distR="0" wp14:anchorId="50577A25" wp14:editId="46F5B089">
            <wp:extent cx="4391025" cy="2581275"/>
            <wp:effectExtent l="0" t="0" r="9525" b="9525"/>
            <wp:docPr id="13" name="Picture 1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91025" cy="2581275"/>
                    </a:xfrm>
                    <a:prstGeom prst="rect">
                      <a:avLst/>
                    </a:prstGeom>
                    <a:noFill/>
                    <a:ln>
                      <a:noFill/>
                    </a:ln>
                  </pic:spPr>
                </pic:pic>
              </a:graphicData>
            </a:graphic>
          </wp:inline>
        </w:drawing>
      </w:r>
    </w:p>
    <w:p w14:paraId="1C496BEB" w14:textId="77777777" w:rsidR="00E9052D" w:rsidRPr="00EF6D3A" w:rsidRDefault="00E9052D" w:rsidP="00EF6D3A">
      <w:pPr>
        <w:snapToGrid w:val="0"/>
        <w:jc w:val="center"/>
        <w:rPr>
          <w:sz w:val="20"/>
        </w:rPr>
      </w:pPr>
      <w:r w:rsidRPr="00EF6D3A">
        <w:rPr>
          <w:b/>
          <w:sz w:val="20"/>
        </w:rPr>
        <w:t>Figure 6</w:t>
      </w:r>
      <w:r w:rsidRPr="00EF6D3A">
        <w:rPr>
          <w:sz w:val="20"/>
        </w:rPr>
        <w:t xml:space="preserve"> Relation between hydrocarbon fraction content to CPO:PET ratio</w:t>
      </w:r>
    </w:p>
    <w:p w14:paraId="47BDE964" w14:textId="77777777" w:rsidR="00E9052D" w:rsidRPr="00EF6D3A" w:rsidRDefault="00E9052D" w:rsidP="00EF6D3A">
      <w:pPr>
        <w:snapToGrid w:val="0"/>
        <w:jc w:val="both"/>
        <w:rPr>
          <w:sz w:val="20"/>
        </w:rPr>
      </w:pPr>
    </w:p>
    <w:p w14:paraId="5BAF850E" w14:textId="39594DBB" w:rsidR="00E9052D" w:rsidRDefault="00EF6D3A" w:rsidP="00EF6D3A">
      <w:pPr>
        <w:tabs>
          <w:tab w:val="left" w:pos="450"/>
        </w:tabs>
        <w:jc w:val="both"/>
        <w:rPr>
          <w:bCs/>
          <w:kern w:val="28"/>
          <w:sz w:val="20"/>
        </w:rPr>
      </w:pPr>
      <w:r>
        <w:rPr>
          <w:bCs/>
          <w:kern w:val="28"/>
          <w:sz w:val="20"/>
        </w:rPr>
        <w:tab/>
      </w:r>
      <w:r w:rsidR="00E9052D" w:rsidRPr="00EF6D3A">
        <w:rPr>
          <w:bCs/>
          <w:kern w:val="28"/>
          <w:sz w:val="20"/>
        </w:rPr>
        <w:t xml:space="preserve">The highest concentration of aromatics was observed on the </w:t>
      </w:r>
      <w:proofErr w:type="gramStart"/>
      <w:r w:rsidR="00E9052D" w:rsidRPr="00EF6D3A">
        <w:rPr>
          <w:bCs/>
          <w:kern w:val="28"/>
          <w:sz w:val="20"/>
        </w:rPr>
        <w:t>CPO:PET</w:t>
      </w:r>
      <w:proofErr w:type="gramEnd"/>
      <w:r w:rsidR="00E9052D" w:rsidRPr="00EF6D3A">
        <w:rPr>
          <w:bCs/>
          <w:kern w:val="28"/>
          <w:sz w:val="20"/>
        </w:rPr>
        <w:t xml:space="preserve"> = 2:1. Further addition of PET decreased the concentration of aromatics in the products. The high concentration of alkanes and on the other hand the low concentration of ester shows that the Ni/Al-MCM-41 catalyst was effective in cracking the big molecules of the CPO and PET reactants. In addition, study by Castro, et al (2020) shows that the use of Ni/Al-MCM-41 catalyst could decrease the concentration of oxygenate on the product, because of Ni acid sites on the impregnated Al-MCM-41.</w:t>
      </w:r>
    </w:p>
    <w:p w14:paraId="2AC9EA4A" w14:textId="77777777" w:rsidR="00EF6D3A" w:rsidRPr="00EF6D3A" w:rsidRDefault="00EF6D3A" w:rsidP="00EF6D3A">
      <w:pPr>
        <w:tabs>
          <w:tab w:val="left" w:pos="450"/>
        </w:tabs>
        <w:jc w:val="both"/>
        <w:rPr>
          <w:bCs/>
          <w:kern w:val="28"/>
          <w:sz w:val="20"/>
        </w:rPr>
      </w:pPr>
    </w:p>
    <w:p w14:paraId="77906138" w14:textId="2FEF1219" w:rsidR="00E9052D" w:rsidRPr="00EF6D3A" w:rsidRDefault="000231C5" w:rsidP="00EF6D3A">
      <w:pPr>
        <w:tabs>
          <w:tab w:val="left" w:pos="450"/>
        </w:tabs>
        <w:jc w:val="center"/>
        <w:rPr>
          <w:bCs/>
          <w:kern w:val="28"/>
          <w:sz w:val="20"/>
        </w:rPr>
      </w:pPr>
      <w:r w:rsidRPr="00EF6D3A">
        <w:rPr>
          <w:rFonts w:ascii="Century Schoolbook" w:hAnsi="Century Schoolbook"/>
          <w:noProof/>
          <w:kern w:val="28"/>
          <w:sz w:val="20"/>
          <w:lang w:eastAsia="ja-JP"/>
        </w:rPr>
        <w:lastRenderedPageBreak/>
        <w:drawing>
          <wp:inline distT="0" distB="0" distL="0" distR="0" wp14:anchorId="01961810" wp14:editId="7625BC28">
            <wp:extent cx="3857625" cy="3000375"/>
            <wp:effectExtent l="0" t="0" r="9525" b="9525"/>
            <wp:docPr id="14" name="Picture 14" descr="A picture contain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able&#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57625" cy="3000375"/>
                    </a:xfrm>
                    <a:prstGeom prst="rect">
                      <a:avLst/>
                    </a:prstGeom>
                    <a:noFill/>
                    <a:ln>
                      <a:noFill/>
                    </a:ln>
                  </pic:spPr>
                </pic:pic>
              </a:graphicData>
            </a:graphic>
          </wp:inline>
        </w:drawing>
      </w:r>
    </w:p>
    <w:p w14:paraId="68A5E8AE" w14:textId="65AAE691" w:rsidR="000231C5" w:rsidRPr="00EF6D3A" w:rsidRDefault="00E9052D" w:rsidP="00EF6D3A">
      <w:pPr>
        <w:snapToGrid w:val="0"/>
        <w:jc w:val="center"/>
        <w:rPr>
          <w:sz w:val="20"/>
        </w:rPr>
      </w:pPr>
      <w:r w:rsidRPr="00EF6D3A">
        <w:rPr>
          <w:b/>
          <w:sz w:val="20"/>
        </w:rPr>
        <w:t>Figure 7</w:t>
      </w:r>
      <w:r w:rsidR="000231C5" w:rsidRPr="00EF6D3A">
        <w:rPr>
          <w:rFonts w:ascii="Century Schoolbook" w:hAnsi="Century Schoolbook"/>
          <w:sz w:val="20"/>
        </w:rPr>
        <w:t xml:space="preserve"> </w:t>
      </w:r>
      <w:r w:rsidR="000231C5" w:rsidRPr="00EF6D3A">
        <w:rPr>
          <w:sz w:val="20"/>
        </w:rPr>
        <w:t>Hydrocarbon concentration of each pyrolysis product</w:t>
      </w:r>
    </w:p>
    <w:p w14:paraId="749E9647" w14:textId="77777777" w:rsidR="00E9052D" w:rsidRPr="00EF6D3A" w:rsidRDefault="00E9052D" w:rsidP="00EF6D3A">
      <w:pPr>
        <w:tabs>
          <w:tab w:val="left" w:pos="450"/>
        </w:tabs>
        <w:jc w:val="both"/>
        <w:rPr>
          <w:bCs/>
          <w:kern w:val="28"/>
          <w:sz w:val="20"/>
        </w:rPr>
      </w:pPr>
    </w:p>
    <w:p w14:paraId="02F81676" w14:textId="1F2DDEF1" w:rsidR="00E9052D" w:rsidRPr="00EF6D3A" w:rsidRDefault="00EF6D3A" w:rsidP="00EF6D3A">
      <w:pPr>
        <w:tabs>
          <w:tab w:val="left" w:pos="450"/>
        </w:tabs>
        <w:jc w:val="both"/>
        <w:rPr>
          <w:bCs/>
          <w:kern w:val="28"/>
          <w:sz w:val="20"/>
        </w:rPr>
      </w:pPr>
      <w:r>
        <w:rPr>
          <w:bCs/>
          <w:kern w:val="28"/>
          <w:sz w:val="20"/>
        </w:rPr>
        <w:tab/>
      </w:r>
      <w:r w:rsidR="00E9052D" w:rsidRPr="00EF6D3A">
        <w:rPr>
          <w:bCs/>
          <w:kern w:val="28"/>
          <w:sz w:val="20"/>
        </w:rPr>
        <w:t>In addition to chemical analysis, physical properties of the produced fuels were also characterized. Density, viscosity, calorific value, and RON of the products were analysed and compared to SNI 3506:2017. The physical parameters are presented on Table 4.</w:t>
      </w:r>
    </w:p>
    <w:p w14:paraId="0282594E" w14:textId="77777777" w:rsidR="00E9052D" w:rsidRPr="00EF6D3A" w:rsidRDefault="00E9052D" w:rsidP="00EF6D3A">
      <w:pPr>
        <w:tabs>
          <w:tab w:val="left" w:pos="450"/>
        </w:tabs>
        <w:jc w:val="both"/>
        <w:rPr>
          <w:bCs/>
          <w:kern w:val="28"/>
          <w:sz w:val="20"/>
        </w:rPr>
      </w:pPr>
    </w:p>
    <w:p w14:paraId="398481FE" w14:textId="77777777" w:rsidR="00EF6D3A" w:rsidRDefault="00EF6D3A" w:rsidP="00EF6D3A">
      <w:pPr>
        <w:tabs>
          <w:tab w:val="left" w:pos="450"/>
        </w:tabs>
        <w:jc w:val="both"/>
        <w:rPr>
          <w:b/>
          <w:kern w:val="28"/>
          <w:sz w:val="20"/>
        </w:rPr>
      </w:pPr>
    </w:p>
    <w:p w14:paraId="5DA8ADCC" w14:textId="3DCE9705" w:rsidR="00E9052D" w:rsidRPr="00EF6D3A" w:rsidRDefault="00E9052D" w:rsidP="00EF6D3A">
      <w:pPr>
        <w:tabs>
          <w:tab w:val="left" w:pos="450"/>
        </w:tabs>
        <w:jc w:val="center"/>
        <w:rPr>
          <w:b/>
          <w:kern w:val="28"/>
          <w:sz w:val="20"/>
        </w:rPr>
      </w:pPr>
      <w:r w:rsidRPr="00EF6D3A">
        <w:rPr>
          <w:b/>
          <w:kern w:val="28"/>
          <w:sz w:val="20"/>
        </w:rPr>
        <w:t>Table 4. Physical paarameters</w:t>
      </w:r>
    </w:p>
    <w:tbl>
      <w:tblPr>
        <w:tblStyle w:val="TableGrid1"/>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65"/>
        <w:gridCol w:w="1620"/>
        <w:gridCol w:w="900"/>
        <w:gridCol w:w="905"/>
        <w:gridCol w:w="720"/>
        <w:gridCol w:w="720"/>
        <w:gridCol w:w="900"/>
      </w:tblGrid>
      <w:tr w:rsidR="00370BFA" w:rsidRPr="00EF6D3A" w14:paraId="28A9AB09" w14:textId="77777777" w:rsidTr="00FE7631">
        <w:trPr>
          <w:jc w:val="center"/>
        </w:trPr>
        <w:tc>
          <w:tcPr>
            <w:tcW w:w="2065" w:type="dxa"/>
            <w:vMerge w:val="restart"/>
            <w:tcBorders>
              <w:top w:val="single" w:sz="4" w:space="0" w:color="auto"/>
              <w:left w:val="nil"/>
              <w:bottom w:val="single" w:sz="4" w:space="0" w:color="auto"/>
              <w:right w:val="nil"/>
            </w:tcBorders>
            <w:hideMark/>
          </w:tcPr>
          <w:p w14:paraId="1683E5E0" w14:textId="77777777" w:rsidR="000231C5" w:rsidRPr="00EF6D3A" w:rsidRDefault="000231C5" w:rsidP="00EF6D3A">
            <w:pPr>
              <w:jc w:val="both"/>
              <w:rPr>
                <w:rFonts w:ascii="Times New Roman" w:hAnsi="Times New Roman"/>
                <w:b/>
                <w:bCs/>
                <w:sz w:val="20"/>
                <w:szCs w:val="20"/>
              </w:rPr>
            </w:pPr>
            <w:r w:rsidRPr="00EF6D3A">
              <w:rPr>
                <w:rFonts w:ascii="Times New Roman" w:hAnsi="Times New Roman"/>
                <w:b/>
                <w:bCs/>
                <w:sz w:val="20"/>
                <w:szCs w:val="20"/>
              </w:rPr>
              <w:t>Physical parameter</w:t>
            </w:r>
          </w:p>
        </w:tc>
        <w:tc>
          <w:tcPr>
            <w:tcW w:w="1620" w:type="dxa"/>
            <w:vMerge w:val="restart"/>
            <w:tcBorders>
              <w:top w:val="single" w:sz="4" w:space="0" w:color="auto"/>
              <w:left w:val="nil"/>
              <w:bottom w:val="single" w:sz="4" w:space="0" w:color="auto"/>
              <w:right w:val="nil"/>
            </w:tcBorders>
            <w:hideMark/>
          </w:tcPr>
          <w:p w14:paraId="5D168D27" w14:textId="77777777" w:rsidR="000231C5" w:rsidRPr="00EF6D3A" w:rsidRDefault="000231C5" w:rsidP="00EF6D3A">
            <w:pPr>
              <w:jc w:val="both"/>
              <w:rPr>
                <w:rFonts w:ascii="Times New Roman" w:hAnsi="Times New Roman"/>
                <w:b/>
                <w:bCs/>
                <w:sz w:val="20"/>
                <w:szCs w:val="20"/>
                <w:lang w:val="id-ID"/>
              </w:rPr>
            </w:pPr>
            <w:r w:rsidRPr="00EF6D3A">
              <w:rPr>
                <w:rFonts w:ascii="Times New Roman" w:hAnsi="Times New Roman"/>
                <w:b/>
                <w:bCs/>
                <w:sz w:val="20"/>
                <w:szCs w:val="20"/>
              </w:rPr>
              <w:t>Gasoline standard</w:t>
            </w:r>
            <w:r w:rsidRPr="00EF6D3A">
              <w:rPr>
                <w:rFonts w:ascii="Times New Roman" w:hAnsi="Times New Roman"/>
                <w:b/>
                <w:bCs/>
                <w:sz w:val="20"/>
                <w:szCs w:val="20"/>
                <w:lang w:val="id-ID"/>
              </w:rPr>
              <w:t xml:space="preserve"> (SNI 3506:2017)</w:t>
            </w:r>
          </w:p>
        </w:tc>
        <w:tc>
          <w:tcPr>
            <w:tcW w:w="4145" w:type="dxa"/>
            <w:gridSpan w:val="5"/>
            <w:tcBorders>
              <w:top w:val="single" w:sz="4" w:space="0" w:color="auto"/>
              <w:left w:val="nil"/>
              <w:bottom w:val="single" w:sz="4" w:space="0" w:color="auto"/>
              <w:right w:val="nil"/>
            </w:tcBorders>
            <w:hideMark/>
          </w:tcPr>
          <w:p w14:paraId="4531F5A6" w14:textId="77777777" w:rsidR="000231C5" w:rsidRPr="00EF6D3A" w:rsidRDefault="000231C5" w:rsidP="00EF6D3A">
            <w:pPr>
              <w:jc w:val="both"/>
              <w:rPr>
                <w:rFonts w:ascii="Times New Roman" w:hAnsi="Times New Roman"/>
                <w:b/>
                <w:bCs/>
                <w:sz w:val="20"/>
                <w:szCs w:val="20"/>
              </w:rPr>
            </w:pPr>
            <w:r w:rsidRPr="00EF6D3A">
              <w:rPr>
                <w:rFonts w:ascii="Times New Roman" w:hAnsi="Times New Roman"/>
                <w:b/>
                <w:bCs/>
                <w:sz w:val="20"/>
                <w:szCs w:val="20"/>
                <w:lang w:val="id-ID"/>
              </w:rPr>
              <w:t>CPO : PET</w:t>
            </w:r>
            <w:r w:rsidRPr="00EF6D3A">
              <w:rPr>
                <w:rFonts w:ascii="Times New Roman" w:hAnsi="Times New Roman"/>
                <w:b/>
                <w:bCs/>
                <w:sz w:val="20"/>
                <w:szCs w:val="20"/>
              </w:rPr>
              <w:t xml:space="preserve"> mass ratio</w:t>
            </w:r>
          </w:p>
        </w:tc>
      </w:tr>
      <w:tr w:rsidR="00370BFA" w:rsidRPr="00EF6D3A" w14:paraId="39D1F9EC" w14:textId="77777777" w:rsidTr="00FE7631">
        <w:trPr>
          <w:jc w:val="center"/>
        </w:trPr>
        <w:tc>
          <w:tcPr>
            <w:tcW w:w="2065" w:type="dxa"/>
            <w:vMerge/>
            <w:tcBorders>
              <w:top w:val="single" w:sz="4" w:space="0" w:color="auto"/>
              <w:left w:val="nil"/>
              <w:bottom w:val="single" w:sz="4" w:space="0" w:color="auto"/>
              <w:right w:val="nil"/>
            </w:tcBorders>
            <w:vAlign w:val="center"/>
            <w:hideMark/>
          </w:tcPr>
          <w:p w14:paraId="101347EC" w14:textId="77777777" w:rsidR="000231C5" w:rsidRPr="00EF6D3A" w:rsidRDefault="000231C5" w:rsidP="00EF6D3A">
            <w:pPr>
              <w:jc w:val="both"/>
              <w:rPr>
                <w:rFonts w:ascii="Times New Roman" w:hAnsi="Times New Roman"/>
                <w:b/>
                <w:bCs/>
                <w:sz w:val="20"/>
                <w:szCs w:val="20"/>
              </w:rPr>
            </w:pPr>
          </w:p>
        </w:tc>
        <w:tc>
          <w:tcPr>
            <w:tcW w:w="1620" w:type="dxa"/>
            <w:vMerge/>
            <w:tcBorders>
              <w:top w:val="single" w:sz="4" w:space="0" w:color="auto"/>
              <w:left w:val="nil"/>
              <w:bottom w:val="single" w:sz="4" w:space="0" w:color="auto"/>
              <w:right w:val="nil"/>
            </w:tcBorders>
            <w:vAlign w:val="center"/>
            <w:hideMark/>
          </w:tcPr>
          <w:p w14:paraId="4EBADF6E" w14:textId="77777777" w:rsidR="000231C5" w:rsidRPr="00EF6D3A" w:rsidRDefault="000231C5" w:rsidP="00EF6D3A">
            <w:pPr>
              <w:jc w:val="both"/>
              <w:rPr>
                <w:rFonts w:ascii="Times New Roman" w:hAnsi="Times New Roman"/>
                <w:b/>
                <w:bCs/>
                <w:sz w:val="20"/>
                <w:szCs w:val="20"/>
                <w:lang w:val="id-ID"/>
              </w:rPr>
            </w:pPr>
          </w:p>
        </w:tc>
        <w:tc>
          <w:tcPr>
            <w:tcW w:w="900" w:type="dxa"/>
            <w:tcBorders>
              <w:top w:val="single" w:sz="4" w:space="0" w:color="auto"/>
              <w:left w:val="nil"/>
              <w:bottom w:val="single" w:sz="4" w:space="0" w:color="auto"/>
              <w:right w:val="nil"/>
            </w:tcBorders>
            <w:hideMark/>
          </w:tcPr>
          <w:p w14:paraId="721A6FBA" w14:textId="77777777" w:rsidR="000231C5" w:rsidRPr="00EF6D3A" w:rsidRDefault="000231C5" w:rsidP="00EF6D3A">
            <w:pPr>
              <w:jc w:val="both"/>
              <w:rPr>
                <w:rFonts w:ascii="Times New Roman" w:hAnsi="Times New Roman"/>
                <w:b/>
                <w:bCs/>
                <w:sz w:val="20"/>
                <w:szCs w:val="20"/>
                <w:lang w:val="id-ID"/>
              </w:rPr>
            </w:pPr>
            <w:r w:rsidRPr="00EF6D3A">
              <w:rPr>
                <w:rFonts w:ascii="Times New Roman" w:hAnsi="Times New Roman"/>
                <w:b/>
                <w:bCs/>
                <w:sz w:val="20"/>
                <w:szCs w:val="20"/>
                <w:lang w:val="id-ID"/>
              </w:rPr>
              <w:t>1:0</w:t>
            </w:r>
          </w:p>
        </w:tc>
        <w:tc>
          <w:tcPr>
            <w:tcW w:w="905" w:type="dxa"/>
            <w:tcBorders>
              <w:top w:val="single" w:sz="4" w:space="0" w:color="auto"/>
              <w:left w:val="nil"/>
              <w:bottom w:val="single" w:sz="4" w:space="0" w:color="auto"/>
              <w:right w:val="nil"/>
            </w:tcBorders>
            <w:hideMark/>
          </w:tcPr>
          <w:p w14:paraId="7B3D1A91" w14:textId="77777777" w:rsidR="000231C5" w:rsidRPr="00EF6D3A" w:rsidRDefault="000231C5" w:rsidP="00EF6D3A">
            <w:pPr>
              <w:jc w:val="both"/>
              <w:rPr>
                <w:rFonts w:ascii="Times New Roman" w:hAnsi="Times New Roman"/>
                <w:b/>
                <w:bCs/>
                <w:sz w:val="20"/>
                <w:szCs w:val="20"/>
                <w:lang w:val="id-ID"/>
              </w:rPr>
            </w:pPr>
            <w:r w:rsidRPr="00EF6D3A">
              <w:rPr>
                <w:rFonts w:ascii="Times New Roman" w:hAnsi="Times New Roman"/>
                <w:b/>
                <w:bCs/>
                <w:sz w:val="20"/>
                <w:szCs w:val="20"/>
                <w:lang w:val="id-ID"/>
              </w:rPr>
              <w:t>2:1</w:t>
            </w:r>
          </w:p>
        </w:tc>
        <w:tc>
          <w:tcPr>
            <w:tcW w:w="720" w:type="dxa"/>
            <w:tcBorders>
              <w:top w:val="single" w:sz="4" w:space="0" w:color="auto"/>
              <w:left w:val="nil"/>
              <w:bottom w:val="single" w:sz="4" w:space="0" w:color="auto"/>
              <w:right w:val="nil"/>
            </w:tcBorders>
            <w:hideMark/>
          </w:tcPr>
          <w:p w14:paraId="7231315F" w14:textId="77777777" w:rsidR="000231C5" w:rsidRPr="00EF6D3A" w:rsidRDefault="000231C5" w:rsidP="00EF6D3A">
            <w:pPr>
              <w:jc w:val="both"/>
              <w:rPr>
                <w:rFonts w:ascii="Times New Roman" w:hAnsi="Times New Roman"/>
                <w:b/>
                <w:bCs/>
                <w:sz w:val="20"/>
                <w:szCs w:val="20"/>
                <w:lang w:val="id-ID"/>
              </w:rPr>
            </w:pPr>
            <w:r w:rsidRPr="00EF6D3A">
              <w:rPr>
                <w:rFonts w:ascii="Times New Roman" w:hAnsi="Times New Roman"/>
                <w:b/>
                <w:bCs/>
                <w:sz w:val="20"/>
                <w:szCs w:val="20"/>
                <w:lang w:val="id-ID"/>
              </w:rPr>
              <w:t>1:1</w:t>
            </w:r>
          </w:p>
        </w:tc>
        <w:tc>
          <w:tcPr>
            <w:tcW w:w="720" w:type="dxa"/>
            <w:tcBorders>
              <w:top w:val="single" w:sz="4" w:space="0" w:color="auto"/>
              <w:left w:val="nil"/>
              <w:bottom w:val="single" w:sz="4" w:space="0" w:color="auto"/>
              <w:right w:val="nil"/>
            </w:tcBorders>
            <w:hideMark/>
          </w:tcPr>
          <w:p w14:paraId="643FFDB9" w14:textId="77777777" w:rsidR="000231C5" w:rsidRPr="00EF6D3A" w:rsidRDefault="000231C5" w:rsidP="00EF6D3A">
            <w:pPr>
              <w:jc w:val="both"/>
              <w:rPr>
                <w:rFonts w:ascii="Times New Roman" w:hAnsi="Times New Roman"/>
                <w:b/>
                <w:bCs/>
                <w:sz w:val="20"/>
                <w:szCs w:val="20"/>
                <w:lang w:val="id-ID"/>
              </w:rPr>
            </w:pPr>
            <w:r w:rsidRPr="00EF6D3A">
              <w:rPr>
                <w:rFonts w:ascii="Times New Roman" w:hAnsi="Times New Roman"/>
                <w:b/>
                <w:bCs/>
                <w:sz w:val="20"/>
                <w:szCs w:val="20"/>
                <w:lang w:val="id-ID"/>
              </w:rPr>
              <w:t>1:2</w:t>
            </w:r>
          </w:p>
        </w:tc>
        <w:tc>
          <w:tcPr>
            <w:tcW w:w="900" w:type="dxa"/>
            <w:tcBorders>
              <w:top w:val="single" w:sz="4" w:space="0" w:color="auto"/>
              <w:left w:val="nil"/>
              <w:bottom w:val="single" w:sz="4" w:space="0" w:color="auto"/>
              <w:right w:val="nil"/>
            </w:tcBorders>
            <w:hideMark/>
          </w:tcPr>
          <w:p w14:paraId="05F597EC" w14:textId="77777777" w:rsidR="000231C5" w:rsidRPr="00EF6D3A" w:rsidRDefault="000231C5" w:rsidP="00EF6D3A">
            <w:pPr>
              <w:jc w:val="both"/>
              <w:rPr>
                <w:rFonts w:ascii="Times New Roman" w:hAnsi="Times New Roman"/>
                <w:b/>
                <w:bCs/>
                <w:sz w:val="20"/>
                <w:szCs w:val="20"/>
                <w:lang w:val="id-ID"/>
              </w:rPr>
            </w:pPr>
            <w:r w:rsidRPr="00EF6D3A">
              <w:rPr>
                <w:rFonts w:ascii="Times New Roman" w:hAnsi="Times New Roman"/>
                <w:b/>
                <w:bCs/>
                <w:sz w:val="20"/>
                <w:szCs w:val="20"/>
                <w:lang w:val="id-ID"/>
              </w:rPr>
              <w:t>0:1</w:t>
            </w:r>
          </w:p>
        </w:tc>
      </w:tr>
      <w:tr w:rsidR="00370BFA" w:rsidRPr="00EF6D3A" w14:paraId="7D8C2762" w14:textId="77777777" w:rsidTr="00FE7631">
        <w:trPr>
          <w:jc w:val="center"/>
        </w:trPr>
        <w:tc>
          <w:tcPr>
            <w:tcW w:w="2065" w:type="dxa"/>
            <w:tcBorders>
              <w:top w:val="single" w:sz="4" w:space="0" w:color="auto"/>
              <w:left w:val="nil"/>
              <w:bottom w:val="nil"/>
              <w:right w:val="nil"/>
            </w:tcBorders>
            <w:hideMark/>
          </w:tcPr>
          <w:p w14:paraId="476DAD9F" w14:textId="77777777" w:rsidR="000231C5" w:rsidRPr="00EF6D3A" w:rsidRDefault="000231C5" w:rsidP="00EF6D3A">
            <w:pPr>
              <w:jc w:val="both"/>
              <w:rPr>
                <w:rFonts w:ascii="Times New Roman" w:hAnsi="Times New Roman"/>
                <w:sz w:val="20"/>
                <w:szCs w:val="20"/>
                <w:lang w:val="id-ID"/>
              </w:rPr>
            </w:pPr>
            <w:r w:rsidRPr="00EF6D3A">
              <w:rPr>
                <w:rFonts w:ascii="Times New Roman" w:hAnsi="Times New Roman"/>
                <w:sz w:val="20"/>
                <w:szCs w:val="20"/>
              </w:rPr>
              <w:t>Density at</w:t>
            </w:r>
            <w:r w:rsidRPr="00EF6D3A">
              <w:rPr>
                <w:rFonts w:ascii="Times New Roman" w:hAnsi="Times New Roman"/>
                <w:sz w:val="20"/>
                <w:szCs w:val="20"/>
                <w:lang w:val="id-ID"/>
              </w:rPr>
              <w:t xml:space="preserve"> 15°C (g/mL)</w:t>
            </w:r>
          </w:p>
        </w:tc>
        <w:tc>
          <w:tcPr>
            <w:tcW w:w="1620" w:type="dxa"/>
            <w:tcBorders>
              <w:top w:val="single" w:sz="4" w:space="0" w:color="auto"/>
              <w:left w:val="nil"/>
              <w:bottom w:val="nil"/>
              <w:right w:val="nil"/>
            </w:tcBorders>
            <w:hideMark/>
          </w:tcPr>
          <w:p w14:paraId="55AA9343" w14:textId="77777777" w:rsidR="000231C5" w:rsidRPr="00EF6D3A" w:rsidRDefault="000231C5" w:rsidP="00EF6D3A">
            <w:pPr>
              <w:jc w:val="both"/>
              <w:rPr>
                <w:rFonts w:ascii="Times New Roman" w:hAnsi="Times New Roman"/>
                <w:sz w:val="20"/>
                <w:szCs w:val="20"/>
                <w:lang w:val="id-ID"/>
              </w:rPr>
            </w:pPr>
            <w:r w:rsidRPr="00EF6D3A">
              <w:rPr>
                <w:rFonts w:ascii="Times New Roman" w:hAnsi="Times New Roman"/>
                <w:sz w:val="20"/>
                <w:szCs w:val="20"/>
                <w:lang w:val="id-ID"/>
              </w:rPr>
              <w:t>0</w:t>
            </w:r>
            <w:r w:rsidRPr="00EF6D3A">
              <w:rPr>
                <w:rFonts w:ascii="Times New Roman" w:hAnsi="Times New Roman"/>
                <w:sz w:val="20"/>
                <w:szCs w:val="20"/>
              </w:rPr>
              <w:t>.</w:t>
            </w:r>
            <w:r w:rsidRPr="00EF6D3A">
              <w:rPr>
                <w:rFonts w:ascii="Times New Roman" w:hAnsi="Times New Roman"/>
                <w:sz w:val="20"/>
                <w:szCs w:val="20"/>
                <w:lang w:val="id-ID"/>
              </w:rPr>
              <w:t>71 – 0</w:t>
            </w:r>
            <w:r w:rsidRPr="00EF6D3A">
              <w:rPr>
                <w:rFonts w:ascii="Times New Roman" w:hAnsi="Times New Roman"/>
                <w:sz w:val="20"/>
                <w:szCs w:val="20"/>
              </w:rPr>
              <w:t>.</w:t>
            </w:r>
            <w:r w:rsidRPr="00EF6D3A">
              <w:rPr>
                <w:rFonts w:ascii="Times New Roman" w:hAnsi="Times New Roman"/>
                <w:sz w:val="20"/>
                <w:szCs w:val="20"/>
                <w:lang w:val="id-ID"/>
              </w:rPr>
              <w:t>77</w:t>
            </w:r>
          </w:p>
        </w:tc>
        <w:tc>
          <w:tcPr>
            <w:tcW w:w="900" w:type="dxa"/>
            <w:tcBorders>
              <w:top w:val="single" w:sz="4" w:space="0" w:color="auto"/>
              <w:left w:val="nil"/>
              <w:bottom w:val="nil"/>
              <w:right w:val="nil"/>
            </w:tcBorders>
            <w:hideMark/>
          </w:tcPr>
          <w:p w14:paraId="0BE05DC4" w14:textId="77777777" w:rsidR="000231C5" w:rsidRPr="00EF6D3A" w:rsidRDefault="000231C5" w:rsidP="00EF6D3A">
            <w:pPr>
              <w:jc w:val="both"/>
              <w:rPr>
                <w:rFonts w:ascii="Times New Roman" w:hAnsi="Times New Roman"/>
                <w:sz w:val="20"/>
                <w:szCs w:val="20"/>
                <w:lang w:val="id-ID"/>
              </w:rPr>
            </w:pPr>
            <w:r w:rsidRPr="00EF6D3A">
              <w:rPr>
                <w:rFonts w:ascii="Times New Roman" w:hAnsi="Times New Roman"/>
                <w:sz w:val="20"/>
                <w:szCs w:val="20"/>
                <w:lang w:val="id-ID"/>
              </w:rPr>
              <w:t>0</w:t>
            </w:r>
            <w:r w:rsidRPr="00EF6D3A">
              <w:rPr>
                <w:rFonts w:ascii="Times New Roman" w:hAnsi="Times New Roman"/>
                <w:sz w:val="20"/>
                <w:szCs w:val="20"/>
              </w:rPr>
              <w:t>.</w:t>
            </w:r>
            <w:r w:rsidRPr="00EF6D3A">
              <w:rPr>
                <w:rFonts w:ascii="Times New Roman" w:hAnsi="Times New Roman"/>
                <w:sz w:val="20"/>
                <w:szCs w:val="20"/>
                <w:lang w:val="id-ID"/>
              </w:rPr>
              <w:t>820</w:t>
            </w:r>
          </w:p>
        </w:tc>
        <w:tc>
          <w:tcPr>
            <w:tcW w:w="905" w:type="dxa"/>
            <w:tcBorders>
              <w:top w:val="single" w:sz="4" w:space="0" w:color="auto"/>
              <w:left w:val="nil"/>
              <w:bottom w:val="nil"/>
              <w:right w:val="nil"/>
            </w:tcBorders>
            <w:hideMark/>
          </w:tcPr>
          <w:p w14:paraId="3979D550" w14:textId="77777777" w:rsidR="000231C5" w:rsidRPr="00EF6D3A" w:rsidRDefault="000231C5" w:rsidP="00EF6D3A">
            <w:pPr>
              <w:jc w:val="both"/>
              <w:rPr>
                <w:rFonts w:ascii="Times New Roman" w:hAnsi="Times New Roman"/>
                <w:sz w:val="20"/>
                <w:szCs w:val="20"/>
                <w:lang w:val="id-ID"/>
              </w:rPr>
            </w:pPr>
            <w:r w:rsidRPr="00EF6D3A">
              <w:rPr>
                <w:rFonts w:ascii="Times New Roman" w:hAnsi="Times New Roman"/>
                <w:sz w:val="20"/>
                <w:szCs w:val="20"/>
              </w:rPr>
              <w:t>0.</w:t>
            </w:r>
            <w:r w:rsidRPr="00EF6D3A">
              <w:rPr>
                <w:rFonts w:ascii="Times New Roman" w:hAnsi="Times New Roman"/>
                <w:sz w:val="20"/>
                <w:szCs w:val="20"/>
                <w:lang w:val="id-ID"/>
              </w:rPr>
              <w:t>873</w:t>
            </w:r>
          </w:p>
        </w:tc>
        <w:tc>
          <w:tcPr>
            <w:tcW w:w="720" w:type="dxa"/>
            <w:tcBorders>
              <w:top w:val="single" w:sz="4" w:space="0" w:color="auto"/>
              <w:left w:val="nil"/>
              <w:bottom w:val="nil"/>
              <w:right w:val="nil"/>
            </w:tcBorders>
            <w:hideMark/>
          </w:tcPr>
          <w:p w14:paraId="11F91EE1" w14:textId="77777777" w:rsidR="000231C5" w:rsidRPr="00EF6D3A" w:rsidRDefault="000231C5" w:rsidP="00EF6D3A">
            <w:pPr>
              <w:jc w:val="both"/>
              <w:rPr>
                <w:rFonts w:ascii="Times New Roman" w:hAnsi="Times New Roman"/>
                <w:sz w:val="20"/>
                <w:szCs w:val="20"/>
                <w:lang w:val="id-ID"/>
              </w:rPr>
            </w:pPr>
            <w:r w:rsidRPr="00EF6D3A">
              <w:rPr>
                <w:rFonts w:ascii="Times New Roman" w:hAnsi="Times New Roman"/>
                <w:sz w:val="20"/>
                <w:szCs w:val="20"/>
                <w:lang w:val="id-ID"/>
              </w:rPr>
              <w:t>0</w:t>
            </w:r>
            <w:r w:rsidRPr="00EF6D3A">
              <w:rPr>
                <w:rFonts w:ascii="Times New Roman" w:hAnsi="Times New Roman"/>
                <w:sz w:val="20"/>
                <w:szCs w:val="20"/>
              </w:rPr>
              <w:t>.</w:t>
            </w:r>
            <w:r w:rsidRPr="00EF6D3A">
              <w:rPr>
                <w:rFonts w:ascii="Times New Roman" w:hAnsi="Times New Roman"/>
                <w:sz w:val="20"/>
                <w:szCs w:val="20"/>
                <w:lang w:val="id-ID"/>
              </w:rPr>
              <w:t>872</w:t>
            </w:r>
          </w:p>
        </w:tc>
        <w:tc>
          <w:tcPr>
            <w:tcW w:w="720" w:type="dxa"/>
            <w:tcBorders>
              <w:top w:val="single" w:sz="4" w:space="0" w:color="auto"/>
              <w:left w:val="nil"/>
              <w:bottom w:val="nil"/>
              <w:right w:val="nil"/>
            </w:tcBorders>
            <w:hideMark/>
          </w:tcPr>
          <w:p w14:paraId="1D2255C9" w14:textId="77777777" w:rsidR="000231C5" w:rsidRPr="00EF6D3A" w:rsidRDefault="000231C5" w:rsidP="00EF6D3A">
            <w:pPr>
              <w:jc w:val="both"/>
              <w:rPr>
                <w:rFonts w:ascii="Times New Roman" w:hAnsi="Times New Roman"/>
                <w:sz w:val="20"/>
                <w:szCs w:val="20"/>
                <w:lang w:val="id-ID"/>
              </w:rPr>
            </w:pPr>
            <w:r w:rsidRPr="00EF6D3A">
              <w:rPr>
                <w:rFonts w:ascii="Times New Roman" w:hAnsi="Times New Roman"/>
                <w:sz w:val="20"/>
                <w:szCs w:val="20"/>
                <w:lang w:val="id-ID"/>
              </w:rPr>
              <w:t>0</w:t>
            </w:r>
            <w:r w:rsidRPr="00EF6D3A">
              <w:rPr>
                <w:rFonts w:ascii="Times New Roman" w:hAnsi="Times New Roman"/>
                <w:sz w:val="20"/>
                <w:szCs w:val="20"/>
              </w:rPr>
              <w:t>.</w:t>
            </w:r>
            <w:r w:rsidRPr="00EF6D3A">
              <w:rPr>
                <w:rFonts w:ascii="Times New Roman" w:hAnsi="Times New Roman"/>
                <w:sz w:val="20"/>
                <w:szCs w:val="20"/>
                <w:lang w:val="id-ID"/>
              </w:rPr>
              <w:t>878</w:t>
            </w:r>
          </w:p>
        </w:tc>
        <w:tc>
          <w:tcPr>
            <w:tcW w:w="900" w:type="dxa"/>
            <w:tcBorders>
              <w:top w:val="single" w:sz="4" w:space="0" w:color="auto"/>
              <w:left w:val="nil"/>
              <w:bottom w:val="nil"/>
              <w:right w:val="nil"/>
            </w:tcBorders>
            <w:hideMark/>
          </w:tcPr>
          <w:p w14:paraId="4941D4C3" w14:textId="77777777" w:rsidR="000231C5" w:rsidRPr="00EF6D3A" w:rsidRDefault="000231C5" w:rsidP="00EF6D3A">
            <w:pPr>
              <w:jc w:val="both"/>
              <w:rPr>
                <w:rFonts w:ascii="Times New Roman" w:hAnsi="Times New Roman"/>
                <w:sz w:val="20"/>
                <w:szCs w:val="20"/>
                <w:lang w:val="id-ID"/>
              </w:rPr>
            </w:pPr>
            <w:r w:rsidRPr="00EF6D3A">
              <w:rPr>
                <w:rFonts w:ascii="Times New Roman" w:hAnsi="Times New Roman"/>
                <w:sz w:val="20"/>
                <w:szCs w:val="20"/>
                <w:lang w:val="id-ID"/>
              </w:rPr>
              <w:t>0</w:t>
            </w:r>
            <w:r w:rsidRPr="00EF6D3A">
              <w:rPr>
                <w:rFonts w:ascii="Times New Roman" w:hAnsi="Times New Roman"/>
                <w:sz w:val="20"/>
                <w:szCs w:val="20"/>
              </w:rPr>
              <w:t>.</w:t>
            </w:r>
            <w:r w:rsidRPr="00EF6D3A">
              <w:rPr>
                <w:rFonts w:ascii="Times New Roman" w:hAnsi="Times New Roman"/>
                <w:sz w:val="20"/>
                <w:szCs w:val="20"/>
                <w:lang w:val="id-ID"/>
              </w:rPr>
              <w:t>853</w:t>
            </w:r>
          </w:p>
        </w:tc>
      </w:tr>
      <w:tr w:rsidR="00370BFA" w:rsidRPr="00EF6D3A" w14:paraId="42131534" w14:textId="77777777" w:rsidTr="00FE7631">
        <w:trPr>
          <w:jc w:val="center"/>
        </w:trPr>
        <w:tc>
          <w:tcPr>
            <w:tcW w:w="2065" w:type="dxa"/>
            <w:hideMark/>
          </w:tcPr>
          <w:p w14:paraId="04CFE60C" w14:textId="77777777" w:rsidR="000231C5" w:rsidRPr="00EF6D3A" w:rsidRDefault="000231C5" w:rsidP="00EF6D3A">
            <w:pPr>
              <w:jc w:val="both"/>
              <w:rPr>
                <w:rFonts w:ascii="Times New Roman" w:hAnsi="Times New Roman"/>
                <w:sz w:val="20"/>
                <w:szCs w:val="20"/>
                <w:lang w:val="id-ID"/>
              </w:rPr>
            </w:pPr>
            <w:r w:rsidRPr="00EF6D3A">
              <w:rPr>
                <w:rFonts w:ascii="Times New Roman" w:hAnsi="Times New Roman"/>
                <w:sz w:val="20"/>
                <w:szCs w:val="20"/>
              </w:rPr>
              <w:t>Kinematic viscosity at</w:t>
            </w:r>
            <w:r w:rsidRPr="00EF6D3A">
              <w:rPr>
                <w:rFonts w:ascii="Times New Roman" w:hAnsi="Times New Roman"/>
                <w:sz w:val="20"/>
                <w:szCs w:val="20"/>
                <w:lang w:val="id-ID"/>
              </w:rPr>
              <w:t xml:space="preserve"> 40°C (mm</w:t>
            </w:r>
            <w:r w:rsidRPr="00EF6D3A">
              <w:rPr>
                <w:rFonts w:ascii="Times New Roman" w:hAnsi="Times New Roman"/>
                <w:sz w:val="20"/>
                <w:szCs w:val="20"/>
                <w:vertAlign w:val="superscript"/>
                <w:lang w:val="id-ID"/>
              </w:rPr>
              <w:t>2</w:t>
            </w:r>
            <w:r w:rsidRPr="00EF6D3A">
              <w:rPr>
                <w:rFonts w:ascii="Times New Roman" w:hAnsi="Times New Roman"/>
                <w:sz w:val="20"/>
                <w:szCs w:val="20"/>
                <w:lang w:val="id-ID"/>
              </w:rPr>
              <w:t>/s)</w:t>
            </w:r>
          </w:p>
        </w:tc>
        <w:tc>
          <w:tcPr>
            <w:tcW w:w="1620" w:type="dxa"/>
            <w:hideMark/>
          </w:tcPr>
          <w:p w14:paraId="36B90F2F" w14:textId="77777777" w:rsidR="000231C5" w:rsidRPr="00EF6D3A" w:rsidRDefault="000231C5" w:rsidP="00EF6D3A">
            <w:pPr>
              <w:jc w:val="both"/>
              <w:rPr>
                <w:rFonts w:ascii="Times New Roman" w:hAnsi="Times New Roman"/>
                <w:sz w:val="20"/>
                <w:szCs w:val="20"/>
                <w:lang w:val="id-ID"/>
              </w:rPr>
            </w:pPr>
            <w:r w:rsidRPr="00EF6D3A">
              <w:rPr>
                <w:rFonts w:ascii="Times New Roman" w:hAnsi="Times New Roman"/>
                <w:sz w:val="20"/>
                <w:szCs w:val="20"/>
                <w:lang w:val="id-ID"/>
              </w:rPr>
              <w:t>&lt; 1</w:t>
            </w:r>
            <w:r w:rsidRPr="00EF6D3A">
              <w:rPr>
                <w:rFonts w:ascii="Times New Roman" w:hAnsi="Times New Roman"/>
                <w:sz w:val="20"/>
                <w:szCs w:val="20"/>
              </w:rPr>
              <w:t>.</w:t>
            </w:r>
            <w:r w:rsidRPr="00EF6D3A">
              <w:rPr>
                <w:rFonts w:ascii="Times New Roman" w:hAnsi="Times New Roman"/>
                <w:sz w:val="20"/>
                <w:szCs w:val="20"/>
                <w:lang w:val="id-ID"/>
              </w:rPr>
              <w:t>17</w:t>
            </w:r>
          </w:p>
        </w:tc>
        <w:tc>
          <w:tcPr>
            <w:tcW w:w="900" w:type="dxa"/>
            <w:hideMark/>
          </w:tcPr>
          <w:p w14:paraId="74885A15" w14:textId="77777777" w:rsidR="000231C5" w:rsidRPr="00EF6D3A" w:rsidRDefault="000231C5" w:rsidP="00EF6D3A">
            <w:pPr>
              <w:jc w:val="both"/>
              <w:rPr>
                <w:rFonts w:ascii="Times New Roman" w:hAnsi="Times New Roman"/>
                <w:sz w:val="20"/>
                <w:szCs w:val="20"/>
                <w:lang w:val="id-ID"/>
              </w:rPr>
            </w:pPr>
            <w:r w:rsidRPr="00EF6D3A">
              <w:rPr>
                <w:rFonts w:ascii="Times New Roman" w:hAnsi="Times New Roman"/>
                <w:sz w:val="20"/>
                <w:szCs w:val="20"/>
                <w:lang w:val="id-ID"/>
              </w:rPr>
              <w:t>0</w:t>
            </w:r>
            <w:r w:rsidRPr="00EF6D3A">
              <w:rPr>
                <w:rFonts w:ascii="Times New Roman" w:hAnsi="Times New Roman"/>
                <w:sz w:val="20"/>
                <w:szCs w:val="20"/>
              </w:rPr>
              <w:t>.</w:t>
            </w:r>
            <w:r w:rsidRPr="00EF6D3A">
              <w:rPr>
                <w:rFonts w:ascii="Times New Roman" w:hAnsi="Times New Roman"/>
                <w:sz w:val="20"/>
                <w:szCs w:val="20"/>
                <w:lang w:val="id-ID"/>
              </w:rPr>
              <w:t>876</w:t>
            </w:r>
          </w:p>
        </w:tc>
        <w:tc>
          <w:tcPr>
            <w:tcW w:w="905" w:type="dxa"/>
            <w:hideMark/>
          </w:tcPr>
          <w:p w14:paraId="2DF4D9EE" w14:textId="77777777" w:rsidR="000231C5" w:rsidRPr="00EF6D3A" w:rsidRDefault="000231C5" w:rsidP="00EF6D3A">
            <w:pPr>
              <w:jc w:val="both"/>
              <w:rPr>
                <w:rFonts w:ascii="Times New Roman" w:hAnsi="Times New Roman"/>
                <w:sz w:val="20"/>
                <w:szCs w:val="20"/>
                <w:lang w:val="id-ID"/>
              </w:rPr>
            </w:pPr>
            <w:r w:rsidRPr="00EF6D3A">
              <w:rPr>
                <w:rFonts w:ascii="Times New Roman" w:hAnsi="Times New Roman"/>
                <w:sz w:val="20"/>
                <w:szCs w:val="20"/>
                <w:lang w:val="id-ID"/>
              </w:rPr>
              <w:t>0</w:t>
            </w:r>
            <w:r w:rsidRPr="00EF6D3A">
              <w:rPr>
                <w:rFonts w:ascii="Times New Roman" w:hAnsi="Times New Roman"/>
                <w:sz w:val="20"/>
                <w:szCs w:val="20"/>
              </w:rPr>
              <w:t>.</w:t>
            </w:r>
            <w:r w:rsidRPr="00EF6D3A">
              <w:rPr>
                <w:rFonts w:ascii="Times New Roman" w:hAnsi="Times New Roman"/>
                <w:sz w:val="20"/>
                <w:szCs w:val="20"/>
                <w:lang w:val="id-ID"/>
              </w:rPr>
              <w:t>963</w:t>
            </w:r>
          </w:p>
        </w:tc>
        <w:tc>
          <w:tcPr>
            <w:tcW w:w="720" w:type="dxa"/>
            <w:hideMark/>
          </w:tcPr>
          <w:p w14:paraId="25595482" w14:textId="77777777" w:rsidR="000231C5" w:rsidRPr="00EF6D3A" w:rsidRDefault="000231C5" w:rsidP="00EF6D3A">
            <w:pPr>
              <w:jc w:val="both"/>
              <w:rPr>
                <w:rFonts w:ascii="Times New Roman" w:hAnsi="Times New Roman"/>
                <w:sz w:val="20"/>
                <w:szCs w:val="20"/>
                <w:lang w:val="id-ID"/>
              </w:rPr>
            </w:pPr>
            <w:r w:rsidRPr="00EF6D3A">
              <w:rPr>
                <w:rFonts w:ascii="Times New Roman" w:hAnsi="Times New Roman"/>
                <w:sz w:val="20"/>
                <w:szCs w:val="20"/>
                <w:lang w:val="id-ID"/>
              </w:rPr>
              <w:t>0</w:t>
            </w:r>
            <w:r w:rsidRPr="00EF6D3A">
              <w:rPr>
                <w:rFonts w:ascii="Times New Roman" w:hAnsi="Times New Roman"/>
                <w:sz w:val="20"/>
                <w:szCs w:val="20"/>
              </w:rPr>
              <w:t>.</w:t>
            </w:r>
            <w:r w:rsidRPr="00EF6D3A">
              <w:rPr>
                <w:rFonts w:ascii="Times New Roman" w:hAnsi="Times New Roman"/>
                <w:sz w:val="20"/>
                <w:szCs w:val="20"/>
                <w:lang w:val="id-ID"/>
              </w:rPr>
              <w:t>999</w:t>
            </w:r>
          </w:p>
        </w:tc>
        <w:tc>
          <w:tcPr>
            <w:tcW w:w="720" w:type="dxa"/>
            <w:hideMark/>
          </w:tcPr>
          <w:p w14:paraId="6F0BB8EB" w14:textId="77777777" w:rsidR="000231C5" w:rsidRPr="00EF6D3A" w:rsidRDefault="000231C5" w:rsidP="00EF6D3A">
            <w:pPr>
              <w:jc w:val="both"/>
              <w:rPr>
                <w:rFonts w:ascii="Times New Roman" w:hAnsi="Times New Roman"/>
                <w:sz w:val="20"/>
                <w:szCs w:val="20"/>
                <w:lang w:val="id-ID"/>
              </w:rPr>
            </w:pPr>
            <w:r w:rsidRPr="00EF6D3A">
              <w:rPr>
                <w:rFonts w:ascii="Times New Roman" w:hAnsi="Times New Roman"/>
                <w:sz w:val="20"/>
                <w:szCs w:val="20"/>
                <w:lang w:val="id-ID"/>
              </w:rPr>
              <w:t>1</w:t>
            </w:r>
            <w:r w:rsidRPr="00EF6D3A">
              <w:rPr>
                <w:rFonts w:ascii="Times New Roman" w:hAnsi="Times New Roman"/>
                <w:sz w:val="20"/>
                <w:szCs w:val="20"/>
              </w:rPr>
              <w:t>.</w:t>
            </w:r>
            <w:r w:rsidRPr="00EF6D3A">
              <w:rPr>
                <w:rFonts w:ascii="Times New Roman" w:hAnsi="Times New Roman"/>
                <w:sz w:val="20"/>
                <w:szCs w:val="20"/>
                <w:lang w:val="id-ID"/>
              </w:rPr>
              <w:t>333</w:t>
            </w:r>
          </w:p>
        </w:tc>
        <w:tc>
          <w:tcPr>
            <w:tcW w:w="900" w:type="dxa"/>
            <w:hideMark/>
          </w:tcPr>
          <w:p w14:paraId="2FC20A54" w14:textId="77777777" w:rsidR="000231C5" w:rsidRPr="00EF6D3A" w:rsidRDefault="000231C5" w:rsidP="00EF6D3A">
            <w:pPr>
              <w:jc w:val="both"/>
              <w:rPr>
                <w:rFonts w:ascii="Times New Roman" w:hAnsi="Times New Roman"/>
                <w:sz w:val="20"/>
                <w:szCs w:val="20"/>
                <w:lang w:val="id-ID"/>
              </w:rPr>
            </w:pPr>
            <w:r w:rsidRPr="00EF6D3A">
              <w:rPr>
                <w:rFonts w:ascii="Times New Roman" w:hAnsi="Times New Roman"/>
                <w:sz w:val="20"/>
                <w:szCs w:val="20"/>
                <w:lang w:val="id-ID"/>
              </w:rPr>
              <w:t>0</w:t>
            </w:r>
            <w:r w:rsidRPr="00EF6D3A">
              <w:rPr>
                <w:rFonts w:ascii="Times New Roman" w:hAnsi="Times New Roman"/>
                <w:sz w:val="20"/>
                <w:szCs w:val="20"/>
              </w:rPr>
              <w:t>.</w:t>
            </w:r>
            <w:r w:rsidRPr="00EF6D3A">
              <w:rPr>
                <w:rFonts w:ascii="Times New Roman" w:hAnsi="Times New Roman"/>
                <w:sz w:val="20"/>
                <w:szCs w:val="20"/>
                <w:lang w:val="id-ID"/>
              </w:rPr>
              <w:t>983</w:t>
            </w:r>
          </w:p>
        </w:tc>
      </w:tr>
      <w:tr w:rsidR="00370BFA" w:rsidRPr="00EF6D3A" w14:paraId="605976F4" w14:textId="77777777" w:rsidTr="00FE7631">
        <w:trPr>
          <w:jc w:val="center"/>
        </w:trPr>
        <w:tc>
          <w:tcPr>
            <w:tcW w:w="2065" w:type="dxa"/>
            <w:hideMark/>
          </w:tcPr>
          <w:p w14:paraId="712139D0" w14:textId="77777777" w:rsidR="000231C5" w:rsidRPr="00EF6D3A" w:rsidRDefault="000231C5" w:rsidP="00EF6D3A">
            <w:pPr>
              <w:jc w:val="both"/>
              <w:rPr>
                <w:rFonts w:ascii="Times New Roman" w:hAnsi="Times New Roman"/>
                <w:sz w:val="20"/>
                <w:szCs w:val="20"/>
                <w:lang w:val="id-ID"/>
              </w:rPr>
            </w:pPr>
            <w:r w:rsidRPr="00EF6D3A">
              <w:rPr>
                <w:rFonts w:ascii="Times New Roman" w:hAnsi="Times New Roman"/>
                <w:sz w:val="20"/>
                <w:szCs w:val="20"/>
              </w:rPr>
              <w:t>Calorific value</w:t>
            </w:r>
            <w:r w:rsidRPr="00EF6D3A">
              <w:rPr>
                <w:rFonts w:ascii="Times New Roman" w:hAnsi="Times New Roman"/>
                <w:sz w:val="20"/>
                <w:szCs w:val="20"/>
                <w:lang w:val="id-ID"/>
              </w:rPr>
              <w:t xml:space="preserve"> (k</w:t>
            </w:r>
            <w:r w:rsidRPr="00EF6D3A">
              <w:rPr>
                <w:rFonts w:ascii="Times New Roman" w:hAnsi="Times New Roman"/>
                <w:sz w:val="20"/>
                <w:szCs w:val="20"/>
              </w:rPr>
              <w:t>c</w:t>
            </w:r>
            <w:r w:rsidRPr="00EF6D3A">
              <w:rPr>
                <w:rFonts w:ascii="Times New Roman" w:hAnsi="Times New Roman"/>
                <w:sz w:val="20"/>
                <w:szCs w:val="20"/>
                <w:lang w:val="id-ID"/>
              </w:rPr>
              <w:t>al/kg)</w:t>
            </w:r>
          </w:p>
        </w:tc>
        <w:tc>
          <w:tcPr>
            <w:tcW w:w="1620" w:type="dxa"/>
            <w:hideMark/>
          </w:tcPr>
          <w:p w14:paraId="22B3DD2C" w14:textId="77777777" w:rsidR="000231C5" w:rsidRPr="00EF6D3A" w:rsidRDefault="000231C5" w:rsidP="00EF6D3A">
            <w:pPr>
              <w:jc w:val="both"/>
              <w:rPr>
                <w:rFonts w:ascii="Times New Roman" w:hAnsi="Times New Roman"/>
                <w:sz w:val="20"/>
                <w:szCs w:val="20"/>
                <w:lang w:val="id-ID"/>
              </w:rPr>
            </w:pPr>
            <w:r w:rsidRPr="00EF6D3A">
              <w:rPr>
                <w:rFonts w:ascii="Times New Roman" w:hAnsi="Times New Roman"/>
                <w:sz w:val="20"/>
                <w:szCs w:val="20"/>
                <w:lang w:val="id-ID"/>
              </w:rPr>
              <w:t>10150</w:t>
            </w:r>
          </w:p>
        </w:tc>
        <w:tc>
          <w:tcPr>
            <w:tcW w:w="900" w:type="dxa"/>
            <w:hideMark/>
          </w:tcPr>
          <w:p w14:paraId="69389728" w14:textId="77777777" w:rsidR="000231C5" w:rsidRPr="00EF6D3A" w:rsidRDefault="000231C5" w:rsidP="00EF6D3A">
            <w:pPr>
              <w:jc w:val="both"/>
              <w:rPr>
                <w:rFonts w:ascii="Times New Roman" w:hAnsi="Times New Roman"/>
                <w:sz w:val="20"/>
                <w:szCs w:val="20"/>
                <w:lang w:val="id-ID"/>
              </w:rPr>
            </w:pPr>
            <w:r w:rsidRPr="00EF6D3A">
              <w:rPr>
                <w:rFonts w:ascii="Times New Roman" w:hAnsi="Times New Roman"/>
                <w:sz w:val="20"/>
                <w:szCs w:val="20"/>
                <w:lang w:val="id-ID"/>
              </w:rPr>
              <w:t>1</w:t>
            </w:r>
            <w:r w:rsidRPr="00EF6D3A">
              <w:rPr>
                <w:rFonts w:ascii="Times New Roman" w:hAnsi="Times New Roman"/>
                <w:sz w:val="20"/>
                <w:szCs w:val="20"/>
              </w:rPr>
              <w:t>0</w:t>
            </w:r>
            <w:r w:rsidRPr="00EF6D3A">
              <w:rPr>
                <w:rFonts w:ascii="Times New Roman" w:hAnsi="Times New Roman"/>
                <w:sz w:val="20"/>
                <w:szCs w:val="20"/>
                <w:lang w:val="id-ID"/>
              </w:rPr>
              <w:t>375</w:t>
            </w:r>
          </w:p>
        </w:tc>
        <w:tc>
          <w:tcPr>
            <w:tcW w:w="905" w:type="dxa"/>
            <w:hideMark/>
          </w:tcPr>
          <w:p w14:paraId="3B0BBFE2" w14:textId="77777777" w:rsidR="000231C5" w:rsidRPr="00EF6D3A" w:rsidRDefault="000231C5" w:rsidP="00EF6D3A">
            <w:pPr>
              <w:jc w:val="both"/>
              <w:rPr>
                <w:rFonts w:ascii="Times New Roman" w:hAnsi="Times New Roman"/>
                <w:sz w:val="20"/>
                <w:szCs w:val="20"/>
                <w:lang w:val="id-ID"/>
              </w:rPr>
            </w:pPr>
            <w:r w:rsidRPr="00EF6D3A">
              <w:rPr>
                <w:rFonts w:ascii="Times New Roman" w:hAnsi="Times New Roman"/>
                <w:sz w:val="20"/>
                <w:szCs w:val="20"/>
                <w:lang w:val="id-ID"/>
              </w:rPr>
              <w:t>10057</w:t>
            </w:r>
          </w:p>
        </w:tc>
        <w:tc>
          <w:tcPr>
            <w:tcW w:w="720" w:type="dxa"/>
            <w:hideMark/>
          </w:tcPr>
          <w:p w14:paraId="4CCD1F96" w14:textId="77777777" w:rsidR="000231C5" w:rsidRPr="00EF6D3A" w:rsidRDefault="000231C5" w:rsidP="00EF6D3A">
            <w:pPr>
              <w:jc w:val="both"/>
              <w:rPr>
                <w:rFonts w:ascii="Times New Roman" w:hAnsi="Times New Roman"/>
                <w:sz w:val="20"/>
                <w:szCs w:val="20"/>
                <w:lang w:val="id-ID"/>
              </w:rPr>
            </w:pPr>
            <w:r w:rsidRPr="00EF6D3A">
              <w:rPr>
                <w:rFonts w:ascii="Times New Roman" w:hAnsi="Times New Roman"/>
                <w:sz w:val="20"/>
                <w:szCs w:val="20"/>
                <w:lang w:val="id-ID"/>
              </w:rPr>
              <w:t>9369</w:t>
            </w:r>
          </w:p>
        </w:tc>
        <w:tc>
          <w:tcPr>
            <w:tcW w:w="720" w:type="dxa"/>
            <w:hideMark/>
          </w:tcPr>
          <w:p w14:paraId="74419934" w14:textId="77777777" w:rsidR="000231C5" w:rsidRPr="00EF6D3A" w:rsidRDefault="000231C5" w:rsidP="00EF6D3A">
            <w:pPr>
              <w:jc w:val="both"/>
              <w:rPr>
                <w:rFonts w:ascii="Times New Roman" w:hAnsi="Times New Roman"/>
                <w:sz w:val="20"/>
                <w:szCs w:val="20"/>
                <w:lang w:val="id-ID"/>
              </w:rPr>
            </w:pPr>
            <w:r w:rsidRPr="00EF6D3A">
              <w:rPr>
                <w:rFonts w:ascii="Times New Roman" w:hAnsi="Times New Roman"/>
                <w:sz w:val="20"/>
                <w:szCs w:val="20"/>
                <w:lang w:val="id-ID"/>
              </w:rPr>
              <w:t>9785</w:t>
            </w:r>
          </w:p>
        </w:tc>
        <w:tc>
          <w:tcPr>
            <w:tcW w:w="900" w:type="dxa"/>
            <w:hideMark/>
          </w:tcPr>
          <w:p w14:paraId="139F4652" w14:textId="77777777" w:rsidR="000231C5" w:rsidRPr="00EF6D3A" w:rsidRDefault="000231C5" w:rsidP="00EF6D3A">
            <w:pPr>
              <w:jc w:val="both"/>
              <w:rPr>
                <w:rFonts w:ascii="Times New Roman" w:hAnsi="Times New Roman"/>
                <w:sz w:val="20"/>
                <w:szCs w:val="20"/>
                <w:lang w:val="id-ID"/>
              </w:rPr>
            </w:pPr>
            <w:r w:rsidRPr="00EF6D3A">
              <w:rPr>
                <w:rFonts w:ascii="Times New Roman" w:hAnsi="Times New Roman"/>
                <w:sz w:val="20"/>
                <w:szCs w:val="20"/>
                <w:lang w:val="id-ID"/>
              </w:rPr>
              <w:t>8968</w:t>
            </w:r>
          </w:p>
        </w:tc>
      </w:tr>
      <w:tr w:rsidR="007B7A1F" w:rsidRPr="00EF6D3A" w14:paraId="38007AC7" w14:textId="77777777" w:rsidTr="00FE7631">
        <w:trPr>
          <w:jc w:val="center"/>
        </w:trPr>
        <w:tc>
          <w:tcPr>
            <w:tcW w:w="2065" w:type="dxa"/>
            <w:tcBorders>
              <w:top w:val="nil"/>
              <w:left w:val="nil"/>
              <w:bottom w:val="single" w:sz="4" w:space="0" w:color="auto"/>
              <w:right w:val="nil"/>
            </w:tcBorders>
            <w:hideMark/>
          </w:tcPr>
          <w:p w14:paraId="63354D33" w14:textId="77777777" w:rsidR="000231C5" w:rsidRPr="00EF6D3A" w:rsidRDefault="000231C5" w:rsidP="00EF6D3A">
            <w:pPr>
              <w:jc w:val="both"/>
              <w:rPr>
                <w:rFonts w:ascii="Times New Roman" w:hAnsi="Times New Roman"/>
                <w:sz w:val="20"/>
                <w:szCs w:val="20"/>
                <w:lang w:val="id-ID"/>
              </w:rPr>
            </w:pPr>
            <w:r w:rsidRPr="00EF6D3A">
              <w:rPr>
                <w:rFonts w:ascii="Times New Roman" w:hAnsi="Times New Roman"/>
                <w:sz w:val="20"/>
                <w:szCs w:val="20"/>
                <w:lang w:val="id-ID"/>
              </w:rPr>
              <w:t>RON</w:t>
            </w:r>
          </w:p>
        </w:tc>
        <w:tc>
          <w:tcPr>
            <w:tcW w:w="1620" w:type="dxa"/>
            <w:tcBorders>
              <w:top w:val="nil"/>
              <w:left w:val="nil"/>
              <w:bottom w:val="single" w:sz="4" w:space="0" w:color="auto"/>
              <w:right w:val="nil"/>
            </w:tcBorders>
            <w:hideMark/>
          </w:tcPr>
          <w:p w14:paraId="0EDF8036" w14:textId="77777777" w:rsidR="000231C5" w:rsidRPr="00EF6D3A" w:rsidRDefault="000231C5" w:rsidP="00EF6D3A">
            <w:pPr>
              <w:jc w:val="both"/>
              <w:rPr>
                <w:rFonts w:ascii="Times New Roman" w:hAnsi="Times New Roman"/>
                <w:sz w:val="20"/>
                <w:szCs w:val="20"/>
                <w:lang w:val="id-ID"/>
              </w:rPr>
            </w:pPr>
            <w:r w:rsidRPr="00EF6D3A">
              <w:rPr>
                <w:rFonts w:ascii="Times New Roman" w:hAnsi="Times New Roman"/>
                <w:sz w:val="20"/>
                <w:szCs w:val="20"/>
                <w:lang w:val="id-ID"/>
              </w:rPr>
              <w:t>Min. 88</w:t>
            </w:r>
          </w:p>
        </w:tc>
        <w:tc>
          <w:tcPr>
            <w:tcW w:w="4145" w:type="dxa"/>
            <w:gridSpan w:val="5"/>
            <w:tcBorders>
              <w:top w:val="nil"/>
              <w:left w:val="nil"/>
              <w:bottom w:val="single" w:sz="4" w:space="0" w:color="auto"/>
              <w:right w:val="nil"/>
            </w:tcBorders>
            <w:hideMark/>
          </w:tcPr>
          <w:p w14:paraId="2F465390" w14:textId="77777777" w:rsidR="000231C5" w:rsidRPr="00EF6D3A" w:rsidRDefault="000231C5" w:rsidP="00EF6D3A">
            <w:pPr>
              <w:jc w:val="both"/>
              <w:rPr>
                <w:rFonts w:ascii="Times New Roman" w:hAnsi="Times New Roman"/>
                <w:sz w:val="20"/>
                <w:szCs w:val="20"/>
                <w:lang w:val="id-ID"/>
              </w:rPr>
            </w:pPr>
            <w:r w:rsidRPr="00EF6D3A">
              <w:rPr>
                <w:rFonts w:ascii="Times New Roman" w:hAnsi="Times New Roman"/>
                <w:sz w:val="20"/>
                <w:szCs w:val="20"/>
                <w:lang w:val="id-ID"/>
              </w:rPr>
              <w:t>101,9</w:t>
            </w:r>
          </w:p>
        </w:tc>
      </w:tr>
    </w:tbl>
    <w:p w14:paraId="431B0F78" w14:textId="77777777" w:rsidR="000231C5" w:rsidRPr="00EF6D3A" w:rsidRDefault="000231C5" w:rsidP="00EF6D3A">
      <w:pPr>
        <w:tabs>
          <w:tab w:val="left" w:pos="450"/>
        </w:tabs>
        <w:jc w:val="both"/>
        <w:rPr>
          <w:b/>
          <w:kern w:val="28"/>
          <w:sz w:val="20"/>
        </w:rPr>
      </w:pPr>
    </w:p>
    <w:p w14:paraId="2B205F3F" w14:textId="77777777" w:rsidR="00E9052D" w:rsidRPr="00EF6D3A" w:rsidRDefault="00E9052D" w:rsidP="00EF6D3A">
      <w:pPr>
        <w:tabs>
          <w:tab w:val="left" w:pos="450"/>
        </w:tabs>
        <w:jc w:val="both"/>
        <w:rPr>
          <w:bCs/>
          <w:kern w:val="28"/>
          <w:sz w:val="20"/>
        </w:rPr>
      </w:pPr>
    </w:p>
    <w:p w14:paraId="13F2B48E" w14:textId="549C4CD0" w:rsidR="00E9052D" w:rsidRPr="00EF6D3A" w:rsidRDefault="00EF6D3A" w:rsidP="00EF6D3A">
      <w:pPr>
        <w:tabs>
          <w:tab w:val="left" w:pos="450"/>
        </w:tabs>
        <w:jc w:val="both"/>
        <w:rPr>
          <w:bCs/>
          <w:kern w:val="28"/>
          <w:sz w:val="20"/>
        </w:rPr>
      </w:pPr>
      <w:r>
        <w:rPr>
          <w:bCs/>
          <w:kern w:val="28"/>
          <w:sz w:val="20"/>
        </w:rPr>
        <w:tab/>
      </w:r>
      <w:r w:rsidR="00E9052D" w:rsidRPr="00EF6D3A">
        <w:rPr>
          <w:bCs/>
          <w:kern w:val="28"/>
          <w:sz w:val="20"/>
        </w:rPr>
        <w:t xml:space="preserve">Density is an important parameter which correlates with the volatility of the fuel, hence the fuel performance in the machine </w:t>
      </w:r>
      <w:r w:rsidR="00FB1D89">
        <w:rPr>
          <w:bCs/>
          <w:kern w:val="28"/>
          <w:sz w:val="20"/>
        </w:rPr>
        <w:t xml:space="preserve">[19]. </w:t>
      </w:r>
      <w:r w:rsidR="00E9052D" w:rsidRPr="00EF6D3A">
        <w:rPr>
          <w:bCs/>
          <w:kern w:val="28"/>
          <w:sz w:val="20"/>
        </w:rPr>
        <w:t>Generally, the densities of the produced fuels did not suit the Standard which is 0.71 – 0.77 g/cm</w:t>
      </w:r>
      <w:r w:rsidR="00E9052D" w:rsidRPr="00EF6D3A">
        <w:rPr>
          <w:bCs/>
          <w:kern w:val="28"/>
          <w:sz w:val="20"/>
          <w:vertAlign w:val="superscript"/>
        </w:rPr>
        <w:t>3</w:t>
      </w:r>
      <w:r w:rsidR="00E9052D" w:rsidRPr="00EF6D3A">
        <w:rPr>
          <w:bCs/>
          <w:kern w:val="28"/>
          <w:sz w:val="20"/>
        </w:rPr>
        <w:t xml:space="preserve">. Then, the kinematic viscosities of the fuels generally </w:t>
      </w:r>
      <w:proofErr w:type="gramStart"/>
      <w:r w:rsidR="00E9052D" w:rsidRPr="00EF6D3A">
        <w:rPr>
          <w:bCs/>
          <w:kern w:val="28"/>
          <w:sz w:val="20"/>
        </w:rPr>
        <w:t>fulfils</w:t>
      </w:r>
      <w:proofErr w:type="gramEnd"/>
      <w:r w:rsidR="00E9052D" w:rsidRPr="00EF6D3A">
        <w:rPr>
          <w:bCs/>
          <w:kern w:val="28"/>
          <w:sz w:val="20"/>
        </w:rPr>
        <w:t xml:space="preserve"> the standard, except for the 1:2 </w:t>
      </w:r>
      <w:proofErr w:type="gramStart"/>
      <w:r w:rsidR="00E9052D" w:rsidRPr="00EF6D3A">
        <w:rPr>
          <w:bCs/>
          <w:kern w:val="28"/>
          <w:sz w:val="20"/>
        </w:rPr>
        <w:t>CPO :</w:t>
      </w:r>
      <w:proofErr w:type="gramEnd"/>
      <w:r w:rsidR="00E9052D" w:rsidRPr="00EF6D3A">
        <w:rPr>
          <w:bCs/>
          <w:kern w:val="28"/>
          <w:sz w:val="20"/>
        </w:rPr>
        <w:t xml:space="preserve"> PET ratio, which is 1.333 g/cm</w:t>
      </w:r>
      <w:r w:rsidR="00E9052D" w:rsidRPr="00EF6D3A">
        <w:rPr>
          <w:bCs/>
          <w:kern w:val="28"/>
          <w:sz w:val="20"/>
          <w:vertAlign w:val="superscript"/>
        </w:rPr>
        <w:t>3</w:t>
      </w:r>
      <w:r w:rsidR="00E9052D" w:rsidRPr="00EF6D3A">
        <w:rPr>
          <w:bCs/>
          <w:kern w:val="28"/>
          <w:sz w:val="20"/>
        </w:rPr>
        <w:t xml:space="preserve">. For the calorific values of the fuels, the highest value was obtained for the CPO 100% variation which is 10375 kcal/kg. Decline in the calorific values due to PET addition was because the pyrolysis of CPO relatively still contained the longer chains of hydrocarbon, hence having higher calorific value. In addition, the composition of </w:t>
      </w:r>
      <w:proofErr w:type="gramStart"/>
      <w:r w:rsidR="00E9052D" w:rsidRPr="00EF6D3A">
        <w:rPr>
          <w:bCs/>
          <w:kern w:val="28"/>
          <w:sz w:val="20"/>
        </w:rPr>
        <w:t>the hydrocarbons</w:t>
      </w:r>
      <w:proofErr w:type="gramEnd"/>
      <w:r w:rsidR="00E9052D" w:rsidRPr="00EF6D3A">
        <w:rPr>
          <w:bCs/>
          <w:kern w:val="28"/>
          <w:sz w:val="20"/>
        </w:rPr>
        <w:t xml:space="preserve"> also causes </w:t>
      </w:r>
      <w:proofErr w:type="gramStart"/>
      <w:r w:rsidR="00E9052D" w:rsidRPr="00EF6D3A">
        <w:rPr>
          <w:bCs/>
          <w:kern w:val="28"/>
          <w:sz w:val="20"/>
        </w:rPr>
        <w:t>the different</w:t>
      </w:r>
      <w:proofErr w:type="gramEnd"/>
      <w:r w:rsidR="00E9052D" w:rsidRPr="00EF6D3A">
        <w:rPr>
          <w:bCs/>
          <w:kern w:val="28"/>
          <w:sz w:val="20"/>
        </w:rPr>
        <w:t xml:space="preserve"> calorific values. Generally, alkanes and alkenes have lower heat of combustion compared to aromatics and esters. For the RON value, the obtained mean value of the RON is 101.9. The high RON value is due to aromatics content in the obtained fuel, especially benzene and its derivatives, which enriched the RON </w:t>
      </w:r>
      <w:r w:rsidR="006006D6">
        <w:rPr>
          <w:bCs/>
          <w:kern w:val="28"/>
          <w:sz w:val="20"/>
        </w:rPr>
        <w:t xml:space="preserve">value [3]. </w:t>
      </w:r>
      <w:r w:rsidR="00E9052D" w:rsidRPr="00EF6D3A">
        <w:rPr>
          <w:bCs/>
          <w:kern w:val="28"/>
          <w:sz w:val="20"/>
        </w:rPr>
        <w:t xml:space="preserve">Nevertheless, the physical characterizations showed that the obtained fuel did not fulfil the standard, hence cannot be directly applied to the machine, but it can be used as an additive or composite with </w:t>
      </w:r>
      <w:proofErr w:type="gramStart"/>
      <w:r w:rsidR="00E9052D" w:rsidRPr="00EF6D3A">
        <w:rPr>
          <w:bCs/>
          <w:kern w:val="28"/>
          <w:sz w:val="20"/>
        </w:rPr>
        <w:t>the petroleum</w:t>
      </w:r>
      <w:proofErr w:type="gramEnd"/>
      <w:r w:rsidR="00E9052D" w:rsidRPr="00EF6D3A">
        <w:rPr>
          <w:bCs/>
          <w:kern w:val="28"/>
          <w:sz w:val="20"/>
        </w:rPr>
        <w:t xml:space="preserve"> gasoline.</w:t>
      </w:r>
    </w:p>
    <w:p w14:paraId="24B56AA7" w14:textId="77777777" w:rsidR="00E9052D" w:rsidRDefault="00E9052D" w:rsidP="002F53A6">
      <w:pPr>
        <w:tabs>
          <w:tab w:val="left" w:pos="450"/>
        </w:tabs>
        <w:snapToGrid w:val="0"/>
        <w:rPr>
          <w:bCs/>
          <w:kern w:val="28"/>
          <w:szCs w:val="24"/>
        </w:rPr>
      </w:pPr>
    </w:p>
    <w:p w14:paraId="3789CA71" w14:textId="77777777" w:rsidR="00FD2A4F" w:rsidRPr="00370BFA" w:rsidRDefault="00FD2A4F" w:rsidP="002F53A6">
      <w:pPr>
        <w:tabs>
          <w:tab w:val="left" w:pos="450"/>
        </w:tabs>
        <w:snapToGrid w:val="0"/>
        <w:rPr>
          <w:bCs/>
          <w:kern w:val="28"/>
          <w:szCs w:val="24"/>
        </w:rPr>
      </w:pPr>
    </w:p>
    <w:p w14:paraId="5EC94C1A" w14:textId="426E86F9" w:rsidR="00E9052D" w:rsidRPr="00370BFA" w:rsidRDefault="00EF6D3A" w:rsidP="00EF6D3A">
      <w:pPr>
        <w:tabs>
          <w:tab w:val="left" w:pos="450"/>
        </w:tabs>
        <w:spacing w:before="240" w:after="240"/>
        <w:jc w:val="center"/>
        <w:rPr>
          <w:b/>
          <w:bCs/>
          <w:caps/>
          <w:kern w:val="28"/>
          <w:szCs w:val="24"/>
        </w:rPr>
      </w:pPr>
      <w:r w:rsidRPr="00370BFA">
        <w:rPr>
          <w:b/>
          <w:bCs/>
          <w:kern w:val="28"/>
          <w:szCs w:val="24"/>
        </w:rPr>
        <w:lastRenderedPageBreak/>
        <w:t>CONCLUSIONS</w:t>
      </w:r>
    </w:p>
    <w:p w14:paraId="6B796D91" w14:textId="77777777" w:rsidR="00E9052D" w:rsidRPr="00EF6D3A" w:rsidRDefault="00E9052D" w:rsidP="00EF6D3A">
      <w:pPr>
        <w:autoSpaceDE w:val="0"/>
        <w:autoSpaceDN w:val="0"/>
        <w:adjustRightInd w:val="0"/>
        <w:ind w:right="30" w:firstLine="450"/>
        <w:jc w:val="both"/>
        <w:rPr>
          <w:sz w:val="20"/>
        </w:rPr>
      </w:pPr>
      <w:r w:rsidRPr="00EF6D3A">
        <w:rPr>
          <w:sz w:val="20"/>
        </w:rPr>
        <w:t>Crude palm oil was proved good for producing biogasoline by catalytic pyrolysis. The use of Polyethylene terephthalate (PET) for co-reactant also proved to improve the obtained biogasoline from the process. The co-pyrolysis of CPO:PET  with 1:1 mass ratio showed the highest yield in the biogasoline product on C</w:t>
      </w:r>
      <w:r w:rsidRPr="00EF6D3A">
        <w:rPr>
          <w:sz w:val="20"/>
          <w:vertAlign w:val="subscript"/>
        </w:rPr>
        <w:t>7</w:t>
      </w:r>
      <w:r w:rsidRPr="00EF6D3A">
        <w:rPr>
          <w:sz w:val="20"/>
        </w:rPr>
        <w:t xml:space="preserve"> – C</w:t>
      </w:r>
      <w:r w:rsidRPr="00EF6D3A">
        <w:rPr>
          <w:sz w:val="20"/>
          <w:vertAlign w:val="subscript"/>
        </w:rPr>
        <w:t>12</w:t>
      </w:r>
      <w:r w:rsidRPr="00EF6D3A">
        <w:rPr>
          <w:sz w:val="20"/>
        </w:rPr>
        <w:t>, which was 44.72 % w/w. That mass ratio also showed the highest selectivity for the C</w:t>
      </w:r>
      <w:r w:rsidRPr="00EF6D3A">
        <w:rPr>
          <w:sz w:val="20"/>
          <w:vertAlign w:val="subscript"/>
        </w:rPr>
        <w:t>7</w:t>
      </w:r>
      <w:r w:rsidRPr="00EF6D3A">
        <w:rPr>
          <w:sz w:val="20"/>
        </w:rPr>
        <w:t xml:space="preserve"> – C</w:t>
      </w:r>
      <w:r w:rsidRPr="00EF6D3A">
        <w:rPr>
          <w:sz w:val="20"/>
          <w:vertAlign w:val="subscript"/>
        </w:rPr>
        <w:t>12</w:t>
      </w:r>
      <w:r w:rsidRPr="00EF6D3A">
        <w:rPr>
          <w:sz w:val="20"/>
        </w:rPr>
        <w:t xml:space="preserve"> fraction, which was 25.33 % w/w. Further addition of PET into the feedstock proved to decreased the yield as well as the selectivity of the reaction. However, physical characterizations showed that the obtained fuels did not fulfil the Standard SNI 3506:2017 for gasoline. It means that the obtained biogasoline from this reaction cannot be used in the gasoline engine, but must be combined with the petroleum gasoline.</w:t>
      </w:r>
    </w:p>
    <w:p w14:paraId="4120F712" w14:textId="77777777" w:rsidR="00EF6D3A" w:rsidRDefault="00EF6D3A" w:rsidP="00EF6D3A">
      <w:pPr>
        <w:tabs>
          <w:tab w:val="left" w:pos="450"/>
        </w:tabs>
        <w:spacing w:after="240"/>
        <w:jc w:val="center"/>
        <w:rPr>
          <w:b/>
          <w:lang w:val="id-ID"/>
        </w:rPr>
      </w:pPr>
    </w:p>
    <w:p w14:paraId="6A3E5FE8" w14:textId="33C5AA3F" w:rsidR="002F53A6" w:rsidRPr="00370BFA" w:rsidRDefault="00EF6D3A" w:rsidP="00EF6D3A">
      <w:pPr>
        <w:tabs>
          <w:tab w:val="left" w:pos="450"/>
        </w:tabs>
        <w:spacing w:after="240"/>
        <w:jc w:val="center"/>
        <w:rPr>
          <w:b/>
          <w:bCs/>
          <w:iCs/>
        </w:rPr>
      </w:pPr>
      <w:r w:rsidRPr="00370BFA">
        <w:rPr>
          <w:b/>
          <w:lang w:val="id-ID"/>
        </w:rPr>
        <w:t>ACKNOWLEDGMENT</w:t>
      </w:r>
      <w:r w:rsidRPr="00370BFA">
        <w:rPr>
          <w:b/>
        </w:rPr>
        <w:t>S</w:t>
      </w:r>
    </w:p>
    <w:p w14:paraId="690C6478" w14:textId="61B11A33" w:rsidR="002F53A6" w:rsidRPr="00EF6D3A" w:rsidRDefault="00361A1A" w:rsidP="00EF6D3A">
      <w:pPr>
        <w:tabs>
          <w:tab w:val="left" w:pos="450"/>
        </w:tabs>
        <w:jc w:val="both"/>
        <w:rPr>
          <w:sz w:val="20"/>
          <w:szCs w:val="16"/>
        </w:rPr>
      </w:pPr>
      <w:r w:rsidRPr="00EF6D3A">
        <w:rPr>
          <w:sz w:val="20"/>
          <w:szCs w:val="16"/>
        </w:rPr>
        <w:t xml:space="preserve">The authors would be thank </w:t>
      </w:r>
      <w:r w:rsidR="00916CB9" w:rsidRPr="00EF6D3A">
        <w:rPr>
          <w:sz w:val="20"/>
          <w:szCs w:val="16"/>
        </w:rPr>
        <w:t>to DRPM ITS for grant local up grading Tesis at 2023</w:t>
      </w:r>
    </w:p>
    <w:p w14:paraId="6246EFD7" w14:textId="566BF8B9" w:rsidR="00916CB9" w:rsidRPr="00370BFA" w:rsidRDefault="00916CB9" w:rsidP="002F53A6">
      <w:pPr>
        <w:tabs>
          <w:tab w:val="left" w:pos="450"/>
        </w:tabs>
        <w:jc w:val="center"/>
      </w:pPr>
    </w:p>
    <w:p w14:paraId="0731C773" w14:textId="77777777" w:rsidR="00916CB9" w:rsidRPr="00370BFA" w:rsidRDefault="00916CB9" w:rsidP="002F53A6">
      <w:pPr>
        <w:tabs>
          <w:tab w:val="left" w:pos="450"/>
        </w:tabs>
        <w:jc w:val="center"/>
        <w:rPr>
          <w:b/>
          <w:bCs/>
          <w:lang w:val="id-ID"/>
        </w:rPr>
      </w:pPr>
    </w:p>
    <w:p w14:paraId="1B773F2A" w14:textId="77777777" w:rsidR="002F53A6" w:rsidRPr="00370BFA" w:rsidRDefault="002F53A6" w:rsidP="002F53A6">
      <w:pPr>
        <w:tabs>
          <w:tab w:val="left" w:pos="450"/>
        </w:tabs>
        <w:jc w:val="center"/>
        <w:rPr>
          <w:b/>
        </w:rPr>
      </w:pPr>
      <w:r w:rsidRPr="00370BFA">
        <w:rPr>
          <w:b/>
        </w:rPr>
        <w:t>References</w:t>
      </w:r>
    </w:p>
    <w:sdt>
      <w:sdtPr>
        <w:rPr>
          <w:iCs/>
          <w:lang w:val="en-ID"/>
        </w:rPr>
        <w:tag w:val="MENDELEY_BIBLIOGRAPHY"/>
        <w:id w:val="308368251"/>
        <w:placeholder>
          <w:docPart w:val="73BE03BAEE6D4E34820E053C0C66F5F7"/>
        </w:placeholder>
      </w:sdtPr>
      <w:sdtEndPr/>
      <w:sdtContent>
        <w:p w14:paraId="48BEF37E" w14:textId="77777777" w:rsidR="002F53A6" w:rsidRPr="00665D5A" w:rsidRDefault="002F53A6" w:rsidP="00665D5A">
          <w:pPr>
            <w:pStyle w:val="ListParagraph"/>
            <w:numPr>
              <w:ilvl w:val="0"/>
              <w:numId w:val="47"/>
            </w:numPr>
            <w:autoSpaceDE w:val="0"/>
            <w:autoSpaceDN w:val="0"/>
            <w:jc w:val="both"/>
            <w:rPr>
              <w:sz w:val="20"/>
              <w:szCs w:val="16"/>
            </w:rPr>
          </w:pPr>
          <w:r w:rsidRPr="00665D5A">
            <w:rPr>
              <w:sz w:val="20"/>
              <w:szCs w:val="16"/>
            </w:rPr>
            <w:t xml:space="preserve">Abnisa, F., &amp; Wan Daud, W. M. A. (2014). A review on co-pyrolysis of biomass: An optional technique to obtain a high-grade pyrolysis oil. </w:t>
          </w:r>
          <w:r w:rsidRPr="00665D5A">
            <w:rPr>
              <w:i/>
              <w:iCs/>
              <w:sz w:val="20"/>
              <w:szCs w:val="16"/>
            </w:rPr>
            <w:t>Energy Conversion and Management</w:t>
          </w:r>
          <w:r w:rsidRPr="00665D5A">
            <w:rPr>
              <w:sz w:val="20"/>
              <w:szCs w:val="16"/>
            </w:rPr>
            <w:t xml:space="preserve">, </w:t>
          </w:r>
          <w:r w:rsidRPr="00665D5A">
            <w:rPr>
              <w:i/>
              <w:iCs/>
              <w:sz w:val="20"/>
              <w:szCs w:val="16"/>
            </w:rPr>
            <w:t>87</w:t>
          </w:r>
          <w:r w:rsidRPr="00665D5A">
            <w:rPr>
              <w:sz w:val="20"/>
              <w:szCs w:val="16"/>
            </w:rPr>
            <w:t>, 71–85. https://doi.org/10.1016/j.enconman.2014.07.007</w:t>
          </w:r>
        </w:p>
        <w:p w14:paraId="608FFC51" w14:textId="77777777" w:rsidR="002F53A6" w:rsidRPr="00665D5A" w:rsidRDefault="002F53A6" w:rsidP="00665D5A">
          <w:pPr>
            <w:pStyle w:val="ListParagraph"/>
            <w:numPr>
              <w:ilvl w:val="0"/>
              <w:numId w:val="47"/>
            </w:numPr>
            <w:autoSpaceDE w:val="0"/>
            <w:autoSpaceDN w:val="0"/>
            <w:jc w:val="both"/>
            <w:rPr>
              <w:sz w:val="20"/>
              <w:szCs w:val="16"/>
            </w:rPr>
          </w:pPr>
          <w:r w:rsidRPr="00665D5A">
            <w:rPr>
              <w:sz w:val="20"/>
              <w:szCs w:val="16"/>
            </w:rPr>
            <w:t xml:space="preserve">Al-Muttaqii, M., Kurniawansyah, F., Prajitno, D. H., &amp; Roesyadi, A. (2019). Bio-kerosene and bio-gasoil from coconut oils via hydrocracking process over Ni-Fe/HZSM-5 catalyst. </w:t>
          </w:r>
          <w:r w:rsidRPr="00665D5A">
            <w:rPr>
              <w:i/>
              <w:iCs/>
              <w:sz w:val="20"/>
              <w:szCs w:val="16"/>
            </w:rPr>
            <w:t>Bulletin of Chemical Reaction Engineering &amp;</w:t>
          </w:r>
          <w:proofErr w:type="gramStart"/>
          <w:r w:rsidRPr="00665D5A">
            <w:rPr>
              <w:i/>
              <w:iCs/>
              <w:sz w:val="20"/>
              <w:szCs w:val="16"/>
            </w:rPr>
            <w:t>amp;Amp</w:t>
          </w:r>
          <w:proofErr w:type="gramEnd"/>
          <w:r w:rsidRPr="00665D5A">
            <w:rPr>
              <w:i/>
              <w:iCs/>
              <w:sz w:val="20"/>
              <w:szCs w:val="16"/>
            </w:rPr>
            <w:t>; Catalysis</w:t>
          </w:r>
          <w:r w:rsidRPr="00665D5A">
            <w:rPr>
              <w:sz w:val="20"/>
              <w:szCs w:val="16"/>
            </w:rPr>
            <w:t xml:space="preserve">, </w:t>
          </w:r>
          <w:r w:rsidRPr="00665D5A">
            <w:rPr>
              <w:i/>
              <w:iCs/>
              <w:sz w:val="20"/>
              <w:szCs w:val="16"/>
            </w:rPr>
            <w:t>14</w:t>
          </w:r>
          <w:r w:rsidRPr="00665D5A">
            <w:rPr>
              <w:sz w:val="20"/>
              <w:szCs w:val="16"/>
            </w:rPr>
            <w:t>(2), 309–319. https://doi.org/10.9767/bcrec.14.2.2669.309-319</w:t>
          </w:r>
        </w:p>
        <w:p w14:paraId="0ECF9D93" w14:textId="77777777" w:rsidR="002F53A6" w:rsidRPr="00665D5A" w:rsidRDefault="002F53A6" w:rsidP="00665D5A">
          <w:pPr>
            <w:pStyle w:val="ListParagraph"/>
            <w:numPr>
              <w:ilvl w:val="0"/>
              <w:numId w:val="47"/>
            </w:numPr>
            <w:autoSpaceDE w:val="0"/>
            <w:autoSpaceDN w:val="0"/>
            <w:jc w:val="both"/>
            <w:rPr>
              <w:sz w:val="20"/>
              <w:szCs w:val="16"/>
            </w:rPr>
          </w:pPr>
          <w:r w:rsidRPr="00665D5A">
            <w:rPr>
              <w:sz w:val="20"/>
              <w:szCs w:val="16"/>
            </w:rPr>
            <w:t xml:space="preserve">Badia, J. H., Ramírez, E., Bringué, R., Cunill, F., &amp; Delgado, J. (2021). New Octane Booster Molecules for Modern Gasoline Composition. In </w:t>
          </w:r>
          <w:r w:rsidRPr="00665D5A">
            <w:rPr>
              <w:i/>
              <w:iCs/>
              <w:sz w:val="20"/>
              <w:szCs w:val="16"/>
            </w:rPr>
            <w:t>Energy and Fuels</w:t>
          </w:r>
          <w:r w:rsidRPr="00665D5A">
            <w:rPr>
              <w:sz w:val="20"/>
              <w:szCs w:val="16"/>
            </w:rPr>
            <w:t xml:space="preserve"> (Vol. 35, Issue 14, pp. 10949–10997). American Chemical Society. https://doi.org/10.1021/acs.energyfuels.1c00912</w:t>
          </w:r>
        </w:p>
        <w:p w14:paraId="4DDCC454" w14:textId="77777777" w:rsidR="002F53A6" w:rsidRPr="00665D5A" w:rsidRDefault="002F53A6" w:rsidP="00665D5A">
          <w:pPr>
            <w:pStyle w:val="ListParagraph"/>
            <w:numPr>
              <w:ilvl w:val="0"/>
              <w:numId w:val="47"/>
            </w:numPr>
            <w:autoSpaceDE w:val="0"/>
            <w:autoSpaceDN w:val="0"/>
            <w:jc w:val="both"/>
            <w:rPr>
              <w:sz w:val="20"/>
              <w:szCs w:val="16"/>
            </w:rPr>
          </w:pPr>
          <w:r w:rsidRPr="00665D5A">
            <w:rPr>
              <w:sz w:val="20"/>
              <w:szCs w:val="16"/>
            </w:rPr>
            <w:t xml:space="preserve">Gutta, N., Velisoju, V. K., Tardio, J., Patel, J., Satyanarayana, L., Sarma, A. V. S., &amp; Akula, V. (2019). CH4 Cracking over the Cu-Ni/Al-MCM-41 Catalyst for the Simultaneous Production of H2 and Highly Ordered Graphitic Carbon Nanofibers. </w:t>
          </w:r>
          <w:r w:rsidRPr="00665D5A">
            <w:rPr>
              <w:i/>
              <w:iCs/>
              <w:sz w:val="20"/>
              <w:szCs w:val="16"/>
            </w:rPr>
            <w:t>Energy and Fuels</w:t>
          </w:r>
          <w:r w:rsidRPr="00665D5A">
            <w:rPr>
              <w:sz w:val="20"/>
              <w:szCs w:val="16"/>
            </w:rPr>
            <w:t xml:space="preserve">, </w:t>
          </w:r>
          <w:r w:rsidRPr="00665D5A">
            <w:rPr>
              <w:i/>
              <w:iCs/>
              <w:sz w:val="20"/>
              <w:szCs w:val="16"/>
            </w:rPr>
            <w:t>33</w:t>
          </w:r>
          <w:r w:rsidRPr="00665D5A">
            <w:rPr>
              <w:sz w:val="20"/>
              <w:szCs w:val="16"/>
            </w:rPr>
            <w:t>(12), 12656–12665. https://doi.org/10.1021/acs.energyfuels.9b02819</w:t>
          </w:r>
        </w:p>
        <w:p w14:paraId="29649FA3" w14:textId="77777777" w:rsidR="002F53A6" w:rsidRPr="00665D5A" w:rsidRDefault="002F53A6" w:rsidP="00665D5A">
          <w:pPr>
            <w:pStyle w:val="ListParagraph"/>
            <w:numPr>
              <w:ilvl w:val="0"/>
              <w:numId w:val="47"/>
            </w:numPr>
            <w:autoSpaceDE w:val="0"/>
            <w:autoSpaceDN w:val="0"/>
            <w:jc w:val="both"/>
            <w:rPr>
              <w:sz w:val="20"/>
              <w:szCs w:val="16"/>
            </w:rPr>
          </w:pPr>
          <w:r w:rsidRPr="00665D5A">
            <w:rPr>
              <w:sz w:val="20"/>
              <w:szCs w:val="16"/>
            </w:rPr>
            <w:t xml:space="preserve">Liu, Y., Fu, W., Liu, T., Zhang, Y., &amp; Li, B. (2022). Microwave pyrolysis of polyethylene terephthalate (PET) plastic bottle sheets for energy recovery. </w:t>
          </w:r>
          <w:r w:rsidRPr="00665D5A">
            <w:rPr>
              <w:i/>
              <w:iCs/>
              <w:sz w:val="20"/>
              <w:szCs w:val="16"/>
            </w:rPr>
            <w:t>Journal of Analytical and Applied Pyrolysis</w:t>
          </w:r>
          <w:r w:rsidRPr="00665D5A">
            <w:rPr>
              <w:sz w:val="20"/>
              <w:szCs w:val="16"/>
            </w:rPr>
            <w:t xml:space="preserve">, </w:t>
          </w:r>
          <w:r w:rsidRPr="00665D5A">
            <w:rPr>
              <w:i/>
              <w:iCs/>
              <w:sz w:val="20"/>
              <w:szCs w:val="16"/>
            </w:rPr>
            <w:t>161</w:t>
          </w:r>
          <w:r w:rsidRPr="00665D5A">
            <w:rPr>
              <w:sz w:val="20"/>
              <w:szCs w:val="16"/>
            </w:rPr>
            <w:t>. https://doi.org/10.1016/j.jaap.2021.105414</w:t>
          </w:r>
        </w:p>
        <w:p w14:paraId="144CF0E2" w14:textId="77777777" w:rsidR="002F53A6" w:rsidRPr="00665D5A" w:rsidRDefault="002F53A6" w:rsidP="00665D5A">
          <w:pPr>
            <w:pStyle w:val="ListParagraph"/>
            <w:numPr>
              <w:ilvl w:val="0"/>
              <w:numId w:val="47"/>
            </w:numPr>
            <w:autoSpaceDE w:val="0"/>
            <w:autoSpaceDN w:val="0"/>
            <w:jc w:val="both"/>
            <w:rPr>
              <w:sz w:val="20"/>
              <w:szCs w:val="16"/>
            </w:rPr>
          </w:pPr>
          <w:r w:rsidRPr="00665D5A">
            <w:rPr>
              <w:sz w:val="20"/>
              <w:szCs w:val="16"/>
            </w:rPr>
            <w:t xml:space="preserve">Makertihartha, I. G. B. N., Fitradi, R. B., Ramadhani, A. R., Laniwati, M., Muraza, O., &amp; Subagjo. (2020). Biogasoline Production from Palm Oil: Optimization of Catalytic Cracking Parameters. </w:t>
          </w:r>
          <w:r w:rsidRPr="00665D5A">
            <w:rPr>
              <w:i/>
              <w:iCs/>
              <w:sz w:val="20"/>
              <w:szCs w:val="16"/>
            </w:rPr>
            <w:t>Arabian Journal for Science and Engineering</w:t>
          </w:r>
          <w:r w:rsidRPr="00665D5A">
            <w:rPr>
              <w:sz w:val="20"/>
              <w:szCs w:val="16"/>
            </w:rPr>
            <w:t xml:space="preserve">, </w:t>
          </w:r>
          <w:r w:rsidRPr="00665D5A">
            <w:rPr>
              <w:i/>
              <w:iCs/>
              <w:sz w:val="20"/>
              <w:szCs w:val="16"/>
            </w:rPr>
            <w:t>45</w:t>
          </w:r>
          <w:r w:rsidRPr="00665D5A">
            <w:rPr>
              <w:sz w:val="20"/>
              <w:szCs w:val="16"/>
            </w:rPr>
            <w:t>(9), 7257–7266. https://doi.org/10.1007/s13369-020-04354-4</w:t>
          </w:r>
        </w:p>
        <w:p w14:paraId="66C1B836" w14:textId="77777777" w:rsidR="002F53A6" w:rsidRPr="00665D5A" w:rsidRDefault="002F53A6" w:rsidP="00665D5A">
          <w:pPr>
            <w:pStyle w:val="ListParagraph"/>
            <w:numPr>
              <w:ilvl w:val="0"/>
              <w:numId w:val="47"/>
            </w:numPr>
            <w:autoSpaceDE w:val="0"/>
            <w:autoSpaceDN w:val="0"/>
            <w:jc w:val="both"/>
            <w:rPr>
              <w:sz w:val="20"/>
              <w:szCs w:val="16"/>
            </w:rPr>
          </w:pPr>
          <w:r w:rsidRPr="00665D5A">
            <w:rPr>
              <w:sz w:val="20"/>
              <w:szCs w:val="16"/>
            </w:rPr>
            <w:t xml:space="preserve">Moussa, S., Concepción, P., Arribas, M. A., &amp; Martínez, A. (2020). The nature of active Ni sites and the role of Al species in the oligomerization of ethylene on mesoporous Ni-Al-MCM-41 catalysts. </w:t>
          </w:r>
          <w:r w:rsidRPr="00665D5A">
            <w:rPr>
              <w:i/>
              <w:iCs/>
              <w:sz w:val="20"/>
              <w:szCs w:val="16"/>
            </w:rPr>
            <w:t>Applied Catalysis A: General</w:t>
          </w:r>
          <w:r w:rsidRPr="00665D5A">
            <w:rPr>
              <w:sz w:val="20"/>
              <w:szCs w:val="16"/>
            </w:rPr>
            <w:t xml:space="preserve">, </w:t>
          </w:r>
          <w:r w:rsidRPr="00665D5A">
            <w:rPr>
              <w:i/>
              <w:iCs/>
              <w:sz w:val="20"/>
              <w:szCs w:val="16"/>
            </w:rPr>
            <w:t>608</w:t>
          </w:r>
          <w:r w:rsidRPr="00665D5A">
            <w:rPr>
              <w:sz w:val="20"/>
              <w:szCs w:val="16"/>
            </w:rPr>
            <w:t>. https://doi.org/10.1016/j.apcata.2020.117831</w:t>
          </w:r>
        </w:p>
        <w:p w14:paraId="30C4CC9B" w14:textId="77777777" w:rsidR="002F53A6" w:rsidRPr="00665D5A" w:rsidRDefault="002F53A6" w:rsidP="00665D5A">
          <w:pPr>
            <w:pStyle w:val="ListParagraph"/>
            <w:numPr>
              <w:ilvl w:val="0"/>
              <w:numId w:val="47"/>
            </w:numPr>
            <w:autoSpaceDE w:val="0"/>
            <w:autoSpaceDN w:val="0"/>
            <w:jc w:val="both"/>
            <w:rPr>
              <w:sz w:val="20"/>
              <w:szCs w:val="16"/>
            </w:rPr>
          </w:pPr>
          <w:r w:rsidRPr="00665D5A">
            <w:rPr>
              <w:sz w:val="20"/>
              <w:szCs w:val="16"/>
            </w:rPr>
            <w:t xml:space="preserve">Munir, D., Irfan, M. F., &amp; Usman, M. R. (2018). Hydrocracking of virgin and waste plastics: A detailed review. In </w:t>
          </w:r>
          <w:r w:rsidRPr="00665D5A">
            <w:rPr>
              <w:i/>
              <w:iCs/>
              <w:sz w:val="20"/>
              <w:szCs w:val="16"/>
            </w:rPr>
            <w:t>Renewable and Sustainable Energy Reviews</w:t>
          </w:r>
          <w:r w:rsidRPr="00665D5A">
            <w:rPr>
              <w:sz w:val="20"/>
              <w:szCs w:val="16"/>
            </w:rPr>
            <w:t xml:space="preserve"> (Vol. 90, pp. 490–515). Elsevier Ltd. https://doi.org/10.1016/j.rser.2018.03.034</w:t>
          </w:r>
        </w:p>
        <w:p w14:paraId="08EA19BF" w14:textId="77777777" w:rsidR="002F53A6" w:rsidRPr="00665D5A" w:rsidRDefault="002F53A6" w:rsidP="00665D5A">
          <w:pPr>
            <w:pStyle w:val="ListParagraph"/>
            <w:numPr>
              <w:ilvl w:val="0"/>
              <w:numId w:val="47"/>
            </w:numPr>
            <w:autoSpaceDE w:val="0"/>
            <w:autoSpaceDN w:val="0"/>
            <w:jc w:val="both"/>
            <w:rPr>
              <w:sz w:val="20"/>
              <w:szCs w:val="16"/>
            </w:rPr>
          </w:pPr>
          <w:r w:rsidRPr="00665D5A">
            <w:rPr>
              <w:sz w:val="20"/>
              <w:szCs w:val="16"/>
            </w:rPr>
            <w:t xml:space="preserve">Nabgan, W., Nabgan, B., Tuan Abdullah, T. A., Ngadi, N., Jalil, A. A., Fatah, N. A. A., Alqaraghuli, H., &amp; Tahir, M. (2020). Exploration of reaction mechanisms on the plastic waste polyethylene terephthalate (PET) dissolved in phenol steam reforming reaction to produce hydrogen and valuable liquid fuels. </w:t>
          </w:r>
          <w:r w:rsidRPr="00665D5A">
            <w:rPr>
              <w:i/>
              <w:iCs/>
              <w:sz w:val="20"/>
              <w:szCs w:val="16"/>
            </w:rPr>
            <w:t>Journal of Analytical and Applied Pyrolysis</w:t>
          </w:r>
          <w:r w:rsidRPr="00665D5A">
            <w:rPr>
              <w:sz w:val="20"/>
              <w:szCs w:val="16"/>
            </w:rPr>
            <w:t xml:space="preserve">, </w:t>
          </w:r>
          <w:r w:rsidRPr="00665D5A">
            <w:rPr>
              <w:i/>
              <w:iCs/>
              <w:sz w:val="20"/>
              <w:szCs w:val="16"/>
            </w:rPr>
            <w:t>150</w:t>
          </w:r>
          <w:r w:rsidRPr="00665D5A">
            <w:rPr>
              <w:sz w:val="20"/>
              <w:szCs w:val="16"/>
            </w:rPr>
            <w:t>(March), 104860. https://doi.org/10.1016/j.jaap.2020.104860</w:t>
          </w:r>
        </w:p>
        <w:p w14:paraId="17EA7A26" w14:textId="77777777" w:rsidR="002F53A6" w:rsidRPr="00665D5A" w:rsidRDefault="002F53A6" w:rsidP="00665D5A">
          <w:pPr>
            <w:pStyle w:val="ListParagraph"/>
            <w:numPr>
              <w:ilvl w:val="0"/>
              <w:numId w:val="47"/>
            </w:numPr>
            <w:autoSpaceDE w:val="0"/>
            <w:autoSpaceDN w:val="0"/>
            <w:jc w:val="both"/>
            <w:rPr>
              <w:sz w:val="20"/>
              <w:szCs w:val="16"/>
            </w:rPr>
          </w:pPr>
          <w:r w:rsidRPr="00665D5A">
            <w:rPr>
              <w:sz w:val="20"/>
              <w:szCs w:val="16"/>
            </w:rPr>
            <w:t xml:space="preserve">Nugraha, R. E., Prasetyoko, D., Bahruji, H., Suprapto, S., Asikin-Mijan, N., Oetami, T. P., Jalil, A. A., Vo, D.-V. N., &amp; Taufiq-Yap, </w:t>
          </w:r>
          <w:proofErr w:type="gramStart"/>
          <w:r w:rsidRPr="00665D5A">
            <w:rPr>
              <w:sz w:val="20"/>
              <w:szCs w:val="16"/>
            </w:rPr>
            <w:t>Y. H</w:t>
          </w:r>
          <w:proofErr w:type="gramEnd"/>
          <w:r w:rsidRPr="00665D5A">
            <w:rPr>
              <w:sz w:val="20"/>
              <w:szCs w:val="16"/>
            </w:rPr>
            <w:t xml:space="preserve">. (2021). </w:t>
          </w:r>
          <w:proofErr w:type="gramStart"/>
          <w:r w:rsidRPr="00665D5A">
            <w:rPr>
              <w:sz w:val="20"/>
              <w:szCs w:val="16"/>
            </w:rPr>
            <w:t>Lewis</w:t>
          </w:r>
          <w:proofErr w:type="gramEnd"/>
          <w:r w:rsidRPr="00665D5A">
            <w:rPr>
              <w:sz w:val="20"/>
              <w:szCs w:val="16"/>
            </w:rPr>
            <w:t xml:space="preserve"> acid Ni/Al-MCM-41 catalysts for H </w:t>
          </w:r>
          <w:r w:rsidRPr="00665D5A">
            <w:rPr>
              <w:sz w:val="20"/>
              <w:szCs w:val="16"/>
              <w:vertAlign w:val="subscript"/>
            </w:rPr>
            <w:t>2</w:t>
          </w:r>
          <w:r w:rsidRPr="00665D5A">
            <w:rPr>
              <w:sz w:val="20"/>
              <w:szCs w:val="16"/>
            </w:rPr>
            <w:t xml:space="preserve"> -free deoxygenation of </w:t>
          </w:r>
          <w:r w:rsidRPr="00665D5A">
            <w:rPr>
              <w:i/>
              <w:iCs/>
              <w:sz w:val="20"/>
              <w:szCs w:val="16"/>
            </w:rPr>
            <w:t>Reutealis trisperma</w:t>
          </w:r>
          <w:r w:rsidRPr="00665D5A">
            <w:rPr>
              <w:sz w:val="20"/>
              <w:szCs w:val="16"/>
            </w:rPr>
            <w:t xml:space="preserve"> oil to biofuels. </w:t>
          </w:r>
          <w:r w:rsidRPr="00665D5A">
            <w:rPr>
              <w:i/>
              <w:iCs/>
              <w:sz w:val="20"/>
              <w:szCs w:val="16"/>
            </w:rPr>
            <w:t>RSC Advances</w:t>
          </w:r>
          <w:r w:rsidRPr="00665D5A">
            <w:rPr>
              <w:sz w:val="20"/>
              <w:szCs w:val="16"/>
            </w:rPr>
            <w:t xml:space="preserve">, </w:t>
          </w:r>
          <w:r w:rsidRPr="00665D5A">
            <w:rPr>
              <w:i/>
              <w:iCs/>
              <w:sz w:val="20"/>
              <w:szCs w:val="16"/>
            </w:rPr>
            <w:t>11</w:t>
          </w:r>
          <w:r w:rsidRPr="00665D5A">
            <w:rPr>
              <w:sz w:val="20"/>
              <w:szCs w:val="16"/>
            </w:rPr>
            <w:t>(36), 21885–21896. https://doi.org/10.1039/D1RA03145G</w:t>
          </w:r>
        </w:p>
        <w:p w14:paraId="195CBB67" w14:textId="77777777" w:rsidR="002F53A6" w:rsidRPr="00665D5A" w:rsidRDefault="002F53A6" w:rsidP="00665D5A">
          <w:pPr>
            <w:pStyle w:val="ListParagraph"/>
            <w:numPr>
              <w:ilvl w:val="0"/>
              <w:numId w:val="47"/>
            </w:numPr>
            <w:autoSpaceDE w:val="0"/>
            <w:autoSpaceDN w:val="0"/>
            <w:jc w:val="both"/>
            <w:rPr>
              <w:sz w:val="20"/>
              <w:szCs w:val="16"/>
            </w:rPr>
          </w:pPr>
          <w:r w:rsidRPr="00665D5A">
            <w:rPr>
              <w:sz w:val="20"/>
              <w:szCs w:val="16"/>
            </w:rPr>
            <w:lastRenderedPageBreak/>
            <w:t xml:space="preserve">Park, C., Kim, S., Kwon, Y., Jeong, C., Cho, Y., Lee, C. G., Jung, S., Choi, K. Y., &amp; Lee, J. (2020). Pyrolysis of polyethylene terephthalate over carbon-supported pd catalyst. </w:t>
          </w:r>
          <w:r w:rsidRPr="00665D5A">
            <w:rPr>
              <w:i/>
              <w:iCs/>
              <w:sz w:val="20"/>
              <w:szCs w:val="16"/>
            </w:rPr>
            <w:t>Catalysts</w:t>
          </w:r>
          <w:r w:rsidRPr="00665D5A">
            <w:rPr>
              <w:sz w:val="20"/>
              <w:szCs w:val="16"/>
            </w:rPr>
            <w:t xml:space="preserve">, </w:t>
          </w:r>
          <w:r w:rsidRPr="00665D5A">
            <w:rPr>
              <w:i/>
              <w:iCs/>
              <w:sz w:val="20"/>
              <w:szCs w:val="16"/>
            </w:rPr>
            <w:t>10</w:t>
          </w:r>
          <w:r w:rsidRPr="00665D5A">
            <w:rPr>
              <w:sz w:val="20"/>
              <w:szCs w:val="16"/>
            </w:rPr>
            <w:t>(5), 1–12. https://doi.org/10.3390/catal10050496</w:t>
          </w:r>
        </w:p>
        <w:p w14:paraId="158E2FB8" w14:textId="77777777" w:rsidR="002F53A6" w:rsidRPr="00665D5A" w:rsidRDefault="002F53A6" w:rsidP="00665D5A">
          <w:pPr>
            <w:pStyle w:val="ListParagraph"/>
            <w:numPr>
              <w:ilvl w:val="0"/>
              <w:numId w:val="47"/>
            </w:numPr>
            <w:autoSpaceDE w:val="0"/>
            <w:autoSpaceDN w:val="0"/>
            <w:jc w:val="both"/>
            <w:rPr>
              <w:sz w:val="20"/>
              <w:szCs w:val="16"/>
            </w:rPr>
          </w:pPr>
          <w:r w:rsidRPr="00665D5A">
            <w:rPr>
              <w:sz w:val="20"/>
              <w:szCs w:val="16"/>
            </w:rPr>
            <w:t xml:space="preserve">Ritchie, H. (2017). </w:t>
          </w:r>
          <w:r w:rsidRPr="00665D5A">
            <w:rPr>
              <w:i/>
              <w:iCs/>
              <w:sz w:val="20"/>
              <w:szCs w:val="16"/>
            </w:rPr>
            <w:t>How long before we run out of fossil fuels?</w:t>
          </w:r>
          <w:r w:rsidRPr="00665D5A">
            <w:rPr>
              <w:sz w:val="20"/>
              <w:szCs w:val="16"/>
            </w:rPr>
            <w:t xml:space="preserve"> Our World in Data. https://ourworldindata.org/how-long-before-we-run-out-of-fossil-fuels</w:t>
          </w:r>
        </w:p>
        <w:p w14:paraId="0AC95C65" w14:textId="77777777" w:rsidR="002F53A6" w:rsidRPr="00665D5A" w:rsidRDefault="002F53A6" w:rsidP="00665D5A">
          <w:pPr>
            <w:pStyle w:val="ListParagraph"/>
            <w:numPr>
              <w:ilvl w:val="0"/>
              <w:numId w:val="47"/>
            </w:numPr>
            <w:autoSpaceDE w:val="0"/>
            <w:autoSpaceDN w:val="0"/>
            <w:jc w:val="both"/>
            <w:rPr>
              <w:sz w:val="20"/>
              <w:szCs w:val="16"/>
            </w:rPr>
          </w:pPr>
          <w:r w:rsidRPr="00665D5A">
            <w:rPr>
              <w:sz w:val="20"/>
              <w:szCs w:val="16"/>
            </w:rPr>
            <w:t xml:space="preserve">Ritchie, H., &amp; Roser, M. (2020). </w:t>
          </w:r>
          <w:r w:rsidRPr="00665D5A">
            <w:rPr>
              <w:i/>
              <w:iCs/>
              <w:sz w:val="20"/>
              <w:szCs w:val="16"/>
            </w:rPr>
            <w:t>Energy mix</w:t>
          </w:r>
          <w:r w:rsidRPr="00665D5A">
            <w:rPr>
              <w:sz w:val="20"/>
              <w:szCs w:val="16"/>
            </w:rPr>
            <w:t>. Our World in Data. https://ourworldindata.org/energy-mix</w:t>
          </w:r>
        </w:p>
        <w:p w14:paraId="69EA4B28" w14:textId="77777777" w:rsidR="002F53A6" w:rsidRPr="00665D5A" w:rsidRDefault="002F53A6" w:rsidP="00665D5A">
          <w:pPr>
            <w:pStyle w:val="ListParagraph"/>
            <w:numPr>
              <w:ilvl w:val="0"/>
              <w:numId w:val="47"/>
            </w:numPr>
            <w:autoSpaceDE w:val="0"/>
            <w:autoSpaceDN w:val="0"/>
            <w:jc w:val="both"/>
            <w:rPr>
              <w:sz w:val="20"/>
              <w:szCs w:val="16"/>
            </w:rPr>
          </w:pPr>
          <w:r w:rsidRPr="00665D5A">
            <w:rPr>
              <w:sz w:val="20"/>
              <w:szCs w:val="16"/>
            </w:rPr>
            <w:t xml:space="preserve">Samperi, F., Puglisi, C., Alicata, R., &amp; Montaudo, G. (2004). Thermal degradation of </w:t>
          </w:r>
          <w:proofErr w:type="gramStart"/>
          <w:r w:rsidRPr="00665D5A">
            <w:rPr>
              <w:sz w:val="20"/>
              <w:szCs w:val="16"/>
            </w:rPr>
            <w:t>poly(</w:t>
          </w:r>
          <w:proofErr w:type="gramEnd"/>
          <w:r w:rsidRPr="00665D5A">
            <w:rPr>
              <w:sz w:val="20"/>
              <w:szCs w:val="16"/>
            </w:rPr>
            <w:t xml:space="preserve">ethylene terephthalate) at the processing temperature. </w:t>
          </w:r>
          <w:r w:rsidRPr="00665D5A">
            <w:rPr>
              <w:i/>
              <w:iCs/>
              <w:sz w:val="20"/>
              <w:szCs w:val="16"/>
            </w:rPr>
            <w:t>Polymer Degradation and Stability</w:t>
          </w:r>
          <w:r w:rsidRPr="00665D5A">
            <w:rPr>
              <w:sz w:val="20"/>
              <w:szCs w:val="16"/>
            </w:rPr>
            <w:t xml:space="preserve">, </w:t>
          </w:r>
          <w:r w:rsidRPr="00665D5A">
            <w:rPr>
              <w:i/>
              <w:iCs/>
              <w:sz w:val="20"/>
              <w:szCs w:val="16"/>
            </w:rPr>
            <w:t>83</w:t>
          </w:r>
          <w:r w:rsidRPr="00665D5A">
            <w:rPr>
              <w:sz w:val="20"/>
              <w:szCs w:val="16"/>
            </w:rPr>
            <w:t>(1), 3–10. https://doi.org/10.1016/S0141-3910(03)00166-6</w:t>
          </w:r>
        </w:p>
        <w:p w14:paraId="5C522DC6" w14:textId="77777777" w:rsidR="002F53A6" w:rsidRPr="00665D5A" w:rsidRDefault="002F53A6" w:rsidP="00665D5A">
          <w:pPr>
            <w:pStyle w:val="ListParagraph"/>
            <w:numPr>
              <w:ilvl w:val="0"/>
              <w:numId w:val="47"/>
            </w:numPr>
            <w:autoSpaceDE w:val="0"/>
            <w:autoSpaceDN w:val="0"/>
            <w:jc w:val="both"/>
            <w:rPr>
              <w:sz w:val="20"/>
              <w:szCs w:val="16"/>
            </w:rPr>
          </w:pPr>
          <w:r w:rsidRPr="00665D5A">
            <w:rPr>
              <w:sz w:val="20"/>
              <w:szCs w:val="16"/>
            </w:rPr>
            <w:t xml:space="preserve">Santos, E. C., Costa, L. S., Oliveira, E. S., Bessa, R. A., Freitas, A. D. L., Oliveira, C. P., Nascimento, R. F., &amp; Loiola, A. R. (2018). Al-MCM-41 synthesized from kaolin via hydrothermal route: Structural characterization and use as an efficient adsorbent of methylene blue. </w:t>
          </w:r>
          <w:r w:rsidRPr="00665D5A">
            <w:rPr>
              <w:i/>
              <w:iCs/>
              <w:sz w:val="20"/>
              <w:szCs w:val="16"/>
            </w:rPr>
            <w:t>Journal of the Brazilian Chemical Society</w:t>
          </w:r>
          <w:r w:rsidRPr="00665D5A">
            <w:rPr>
              <w:sz w:val="20"/>
              <w:szCs w:val="16"/>
            </w:rPr>
            <w:t xml:space="preserve">, </w:t>
          </w:r>
          <w:r w:rsidRPr="00665D5A">
            <w:rPr>
              <w:i/>
              <w:iCs/>
              <w:sz w:val="20"/>
              <w:szCs w:val="16"/>
            </w:rPr>
            <w:t>29</w:t>
          </w:r>
          <w:r w:rsidRPr="00665D5A">
            <w:rPr>
              <w:sz w:val="20"/>
              <w:szCs w:val="16"/>
            </w:rPr>
            <w:t>(11), 2378–2386. https://doi.org/10.21577/0103-5053.20180115</w:t>
          </w:r>
        </w:p>
        <w:p w14:paraId="57B2E284" w14:textId="77777777" w:rsidR="002F53A6" w:rsidRPr="00665D5A" w:rsidRDefault="002F53A6" w:rsidP="00665D5A">
          <w:pPr>
            <w:pStyle w:val="ListParagraph"/>
            <w:numPr>
              <w:ilvl w:val="0"/>
              <w:numId w:val="47"/>
            </w:numPr>
            <w:autoSpaceDE w:val="0"/>
            <w:autoSpaceDN w:val="0"/>
            <w:jc w:val="both"/>
            <w:rPr>
              <w:sz w:val="20"/>
              <w:szCs w:val="16"/>
            </w:rPr>
          </w:pPr>
          <w:r w:rsidRPr="00665D5A">
            <w:rPr>
              <w:sz w:val="20"/>
              <w:szCs w:val="16"/>
            </w:rPr>
            <w:t xml:space="preserve">Serrano, D. P., Aguado, J., &amp; Escola, J. M. (2000). Catalytic conversion of polystyrene over HMCM-41, HZSM-5 and amorphous SiO2-Al2O3: Comparison with thermal cracking. </w:t>
          </w:r>
          <w:r w:rsidRPr="00665D5A">
            <w:rPr>
              <w:i/>
              <w:iCs/>
              <w:sz w:val="20"/>
              <w:szCs w:val="16"/>
            </w:rPr>
            <w:t>Applied Catalysis B: Environmental</w:t>
          </w:r>
          <w:r w:rsidRPr="00665D5A">
            <w:rPr>
              <w:sz w:val="20"/>
              <w:szCs w:val="16"/>
            </w:rPr>
            <w:t xml:space="preserve">, </w:t>
          </w:r>
          <w:r w:rsidRPr="00665D5A">
            <w:rPr>
              <w:i/>
              <w:iCs/>
              <w:sz w:val="20"/>
              <w:szCs w:val="16"/>
            </w:rPr>
            <w:t>25</w:t>
          </w:r>
          <w:r w:rsidRPr="00665D5A">
            <w:rPr>
              <w:sz w:val="20"/>
              <w:szCs w:val="16"/>
            </w:rPr>
            <w:t>(2–3), 181–189. https://doi.org/10.1016/S0926-3373(99)00130-7</w:t>
          </w:r>
        </w:p>
        <w:p w14:paraId="04A8B6C7" w14:textId="77777777" w:rsidR="002F53A6" w:rsidRPr="00665D5A" w:rsidRDefault="002F53A6" w:rsidP="00665D5A">
          <w:pPr>
            <w:pStyle w:val="ListParagraph"/>
            <w:numPr>
              <w:ilvl w:val="0"/>
              <w:numId w:val="47"/>
            </w:numPr>
            <w:autoSpaceDE w:val="0"/>
            <w:autoSpaceDN w:val="0"/>
            <w:jc w:val="both"/>
            <w:rPr>
              <w:sz w:val="20"/>
              <w:szCs w:val="16"/>
            </w:rPr>
          </w:pPr>
          <w:r w:rsidRPr="00665D5A">
            <w:rPr>
              <w:sz w:val="20"/>
              <w:szCs w:val="16"/>
            </w:rPr>
            <w:t xml:space="preserve">Surono, U. B., &amp; Ismanto. (2016). Pengolahan Sampah Plastik Jenis </w:t>
          </w:r>
          <w:proofErr w:type="gramStart"/>
          <w:r w:rsidRPr="00665D5A">
            <w:rPr>
              <w:sz w:val="20"/>
              <w:szCs w:val="16"/>
            </w:rPr>
            <w:t>PP ,</w:t>
          </w:r>
          <w:proofErr w:type="gramEnd"/>
          <w:r w:rsidRPr="00665D5A">
            <w:rPr>
              <w:sz w:val="20"/>
              <w:szCs w:val="16"/>
            </w:rPr>
            <w:t xml:space="preserve"> PET dan PE Menjadi Bahan Bakar Minyak dan Karakteristiknya. </w:t>
          </w:r>
          <w:r w:rsidRPr="00665D5A">
            <w:rPr>
              <w:i/>
              <w:iCs/>
              <w:sz w:val="20"/>
              <w:szCs w:val="16"/>
            </w:rPr>
            <w:t>Jurnal Mekanika Dan Sistem Termal (JMST)</w:t>
          </w:r>
          <w:r w:rsidRPr="00665D5A">
            <w:rPr>
              <w:sz w:val="20"/>
              <w:szCs w:val="16"/>
            </w:rPr>
            <w:t xml:space="preserve">, </w:t>
          </w:r>
          <w:r w:rsidRPr="00665D5A">
            <w:rPr>
              <w:i/>
              <w:iCs/>
              <w:sz w:val="20"/>
              <w:szCs w:val="16"/>
            </w:rPr>
            <w:t>1</w:t>
          </w:r>
          <w:r w:rsidRPr="00665D5A">
            <w:rPr>
              <w:sz w:val="20"/>
              <w:szCs w:val="16"/>
            </w:rPr>
            <w:t>(April), 32–37.</w:t>
          </w:r>
        </w:p>
        <w:p w14:paraId="57789515" w14:textId="77777777" w:rsidR="002F53A6" w:rsidRPr="00665D5A" w:rsidRDefault="002F53A6" w:rsidP="00665D5A">
          <w:pPr>
            <w:pStyle w:val="ListParagraph"/>
            <w:numPr>
              <w:ilvl w:val="0"/>
              <w:numId w:val="47"/>
            </w:numPr>
            <w:autoSpaceDE w:val="0"/>
            <w:autoSpaceDN w:val="0"/>
            <w:jc w:val="both"/>
            <w:rPr>
              <w:sz w:val="20"/>
              <w:szCs w:val="16"/>
            </w:rPr>
          </w:pPr>
          <w:r w:rsidRPr="00665D5A">
            <w:rPr>
              <w:sz w:val="20"/>
              <w:szCs w:val="16"/>
            </w:rPr>
            <w:t xml:space="preserve">Wulandari, N., Muchtadi, T. R., Budijanto, S., Sugiyono, dan, Ilmu dan Teknologi Pangan, D., Teknologi Pertanian, F., &amp; Pertanian Bogor, I. (2011). SIFAT FISIK MINYAK SAWIT KASAR DAN KORELASINYA DENGAN ATRIBUT MUTU [Physical Properties of Crude Palm Oil and Their Correlations to the Quality Attributes]. In </w:t>
          </w:r>
          <w:r w:rsidRPr="00665D5A">
            <w:rPr>
              <w:i/>
              <w:iCs/>
              <w:sz w:val="20"/>
              <w:szCs w:val="16"/>
            </w:rPr>
            <w:t>Hasil Penelitian J. Teknol. dan Industri Pangan: Vol. XXII</w:t>
          </w:r>
          <w:r w:rsidRPr="00665D5A">
            <w:rPr>
              <w:sz w:val="20"/>
              <w:szCs w:val="16"/>
            </w:rPr>
            <w:t xml:space="preserve"> (Issue 2).</w:t>
          </w:r>
        </w:p>
        <w:p w14:paraId="47FC2796" w14:textId="77777777" w:rsidR="002F53A6" w:rsidRPr="00665D5A" w:rsidRDefault="002F53A6" w:rsidP="00665D5A">
          <w:pPr>
            <w:pStyle w:val="ListParagraph"/>
            <w:numPr>
              <w:ilvl w:val="0"/>
              <w:numId w:val="47"/>
            </w:numPr>
            <w:autoSpaceDE w:val="0"/>
            <w:autoSpaceDN w:val="0"/>
            <w:jc w:val="both"/>
            <w:rPr>
              <w:sz w:val="20"/>
              <w:szCs w:val="16"/>
            </w:rPr>
          </w:pPr>
          <w:r w:rsidRPr="00665D5A">
            <w:rPr>
              <w:sz w:val="20"/>
              <w:szCs w:val="16"/>
            </w:rPr>
            <w:t xml:space="preserve">Xu, Z. X., Liu, P., Xu, G. S., Liu, Q., He, Z. X., &amp; Wang, Q. (2017). Bio-fuel oil </w:t>
          </w:r>
          <w:proofErr w:type="gramStart"/>
          <w:r w:rsidRPr="00665D5A">
            <w:rPr>
              <w:sz w:val="20"/>
              <w:szCs w:val="16"/>
            </w:rPr>
            <w:t>characteristic</w:t>
          </w:r>
          <w:proofErr w:type="gramEnd"/>
          <w:r w:rsidRPr="00665D5A">
            <w:rPr>
              <w:sz w:val="20"/>
              <w:szCs w:val="16"/>
            </w:rPr>
            <w:t xml:space="preserve"> from catalytic cracking of hydrogenated palm oil. </w:t>
          </w:r>
          <w:r w:rsidRPr="00665D5A">
            <w:rPr>
              <w:i/>
              <w:iCs/>
              <w:sz w:val="20"/>
              <w:szCs w:val="16"/>
            </w:rPr>
            <w:t>Energy</w:t>
          </w:r>
          <w:r w:rsidRPr="00665D5A">
            <w:rPr>
              <w:sz w:val="20"/>
              <w:szCs w:val="16"/>
            </w:rPr>
            <w:t xml:space="preserve">, </w:t>
          </w:r>
          <w:r w:rsidRPr="00665D5A">
            <w:rPr>
              <w:i/>
              <w:iCs/>
              <w:sz w:val="20"/>
              <w:szCs w:val="16"/>
            </w:rPr>
            <w:t>133</w:t>
          </w:r>
          <w:r w:rsidRPr="00665D5A">
            <w:rPr>
              <w:sz w:val="20"/>
              <w:szCs w:val="16"/>
            </w:rPr>
            <w:t>, 666–675. https://doi.org/10.1016/j.energy.2017.05.155</w:t>
          </w:r>
        </w:p>
        <w:p w14:paraId="53B16135" w14:textId="6F90B36B" w:rsidR="002F53A6" w:rsidRPr="00370BFA" w:rsidRDefault="00000000" w:rsidP="00665D5A">
          <w:pPr>
            <w:tabs>
              <w:tab w:val="left" w:pos="450"/>
            </w:tabs>
            <w:ind w:firstLine="426"/>
            <w:jc w:val="center"/>
            <w:rPr>
              <w:iCs/>
              <w:lang w:val="en-ID"/>
            </w:rPr>
          </w:pPr>
        </w:p>
      </w:sdtContent>
    </w:sdt>
    <w:p w14:paraId="56EB04CC" w14:textId="77777777" w:rsidR="002F53A6" w:rsidRPr="00370BFA" w:rsidRDefault="002F53A6" w:rsidP="002F53A6">
      <w:pPr>
        <w:tabs>
          <w:tab w:val="left" w:pos="450"/>
        </w:tabs>
        <w:ind w:firstLine="426"/>
        <w:jc w:val="center"/>
        <w:rPr>
          <w:iCs/>
          <w:lang w:val="en-ID"/>
        </w:rPr>
      </w:pPr>
    </w:p>
    <w:sectPr w:rsidR="002F53A6" w:rsidRPr="00370BFA" w:rsidSect="00402DA2">
      <w:pgSz w:w="12240" w:h="15840"/>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955214"/>
    <w:multiLevelType w:val="hybridMultilevel"/>
    <w:tmpl w:val="F7D68148"/>
    <w:lvl w:ilvl="0" w:tplc="6C00B96C">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57F0F5B"/>
    <w:multiLevelType w:val="hybridMultilevel"/>
    <w:tmpl w:val="A7A85BB2"/>
    <w:lvl w:ilvl="0" w:tplc="3809000F">
      <w:start w:val="1"/>
      <w:numFmt w:val="decimal"/>
      <w:lvlText w:val="%1."/>
      <w:lvlJc w:val="left"/>
      <w:pPr>
        <w:ind w:left="666" w:hanging="360"/>
      </w:pPr>
    </w:lvl>
    <w:lvl w:ilvl="1" w:tplc="38090019" w:tentative="1">
      <w:start w:val="1"/>
      <w:numFmt w:val="lowerLetter"/>
      <w:lvlText w:val="%2."/>
      <w:lvlJc w:val="left"/>
      <w:pPr>
        <w:ind w:left="1386" w:hanging="360"/>
      </w:pPr>
    </w:lvl>
    <w:lvl w:ilvl="2" w:tplc="3809001B" w:tentative="1">
      <w:start w:val="1"/>
      <w:numFmt w:val="lowerRoman"/>
      <w:lvlText w:val="%3."/>
      <w:lvlJc w:val="right"/>
      <w:pPr>
        <w:ind w:left="2106" w:hanging="180"/>
      </w:pPr>
    </w:lvl>
    <w:lvl w:ilvl="3" w:tplc="3809000F" w:tentative="1">
      <w:start w:val="1"/>
      <w:numFmt w:val="decimal"/>
      <w:lvlText w:val="%4."/>
      <w:lvlJc w:val="left"/>
      <w:pPr>
        <w:ind w:left="2826" w:hanging="360"/>
      </w:pPr>
    </w:lvl>
    <w:lvl w:ilvl="4" w:tplc="38090019" w:tentative="1">
      <w:start w:val="1"/>
      <w:numFmt w:val="lowerLetter"/>
      <w:lvlText w:val="%5."/>
      <w:lvlJc w:val="left"/>
      <w:pPr>
        <w:ind w:left="3546" w:hanging="360"/>
      </w:pPr>
    </w:lvl>
    <w:lvl w:ilvl="5" w:tplc="3809001B" w:tentative="1">
      <w:start w:val="1"/>
      <w:numFmt w:val="lowerRoman"/>
      <w:lvlText w:val="%6."/>
      <w:lvlJc w:val="right"/>
      <w:pPr>
        <w:ind w:left="4266" w:hanging="180"/>
      </w:pPr>
    </w:lvl>
    <w:lvl w:ilvl="6" w:tplc="3809000F" w:tentative="1">
      <w:start w:val="1"/>
      <w:numFmt w:val="decimal"/>
      <w:lvlText w:val="%7."/>
      <w:lvlJc w:val="left"/>
      <w:pPr>
        <w:ind w:left="4986" w:hanging="360"/>
      </w:pPr>
    </w:lvl>
    <w:lvl w:ilvl="7" w:tplc="38090019" w:tentative="1">
      <w:start w:val="1"/>
      <w:numFmt w:val="lowerLetter"/>
      <w:lvlText w:val="%8."/>
      <w:lvlJc w:val="left"/>
      <w:pPr>
        <w:ind w:left="5706" w:hanging="360"/>
      </w:pPr>
    </w:lvl>
    <w:lvl w:ilvl="8" w:tplc="3809001B" w:tentative="1">
      <w:start w:val="1"/>
      <w:numFmt w:val="lowerRoman"/>
      <w:lvlText w:val="%9."/>
      <w:lvlJc w:val="right"/>
      <w:pPr>
        <w:ind w:left="6426" w:hanging="180"/>
      </w:p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525556983">
    <w:abstractNumId w:val="17"/>
  </w:num>
  <w:num w:numId="2" w16cid:durableId="1810242010">
    <w:abstractNumId w:val="4"/>
  </w:num>
  <w:num w:numId="3" w16cid:durableId="121732731">
    <w:abstractNumId w:val="14"/>
  </w:num>
  <w:num w:numId="4" w16cid:durableId="1589918957">
    <w:abstractNumId w:val="9"/>
  </w:num>
  <w:num w:numId="5" w16cid:durableId="1588030021">
    <w:abstractNumId w:val="13"/>
  </w:num>
  <w:num w:numId="6" w16cid:durableId="1132790835">
    <w:abstractNumId w:val="5"/>
  </w:num>
  <w:num w:numId="7" w16cid:durableId="496846369">
    <w:abstractNumId w:val="8"/>
  </w:num>
  <w:num w:numId="8" w16cid:durableId="1708602046">
    <w:abstractNumId w:val="2"/>
  </w:num>
  <w:num w:numId="9" w16cid:durableId="1623271904">
    <w:abstractNumId w:val="16"/>
  </w:num>
  <w:num w:numId="10" w16cid:durableId="1349605134">
    <w:abstractNumId w:val="11"/>
  </w:num>
  <w:num w:numId="11" w16cid:durableId="310673370">
    <w:abstractNumId w:val="15"/>
  </w:num>
  <w:num w:numId="12" w16cid:durableId="670449726">
    <w:abstractNumId w:val="12"/>
  </w:num>
  <w:num w:numId="13" w16cid:durableId="1363163563">
    <w:abstractNumId w:val="6"/>
  </w:num>
  <w:num w:numId="14" w16cid:durableId="1528981516">
    <w:abstractNumId w:val="16"/>
  </w:num>
  <w:num w:numId="15" w16cid:durableId="1056121091">
    <w:abstractNumId w:val="10"/>
  </w:num>
  <w:num w:numId="16" w16cid:durableId="1393965098">
    <w:abstractNumId w:val="6"/>
  </w:num>
  <w:num w:numId="17" w16cid:durableId="1604805206">
    <w:abstractNumId w:val="6"/>
  </w:num>
  <w:num w:numId="18" w16cid:durableId="1050543733">
    <w:abstractNumId w:val="6"/>
  </w:num>
  <w:num w:numId="19" w16cid:durableId="1397703167">
    <w:abstractNumId w:val="6"/>
  </w:num>
  <w:num w:numId="20" w16cid:durableId="1615986997">
    <w:abstractNumId w:val="6"/>
  </w:num>
  <w:num w:numId="21" w16cid:durableId="2036032569">
    <w:abstractNumId w:val="6"/>
  </w:num>
  <w:num w:numId="22" w16cid:durableId="90054824">
    <w:abstractNumId w:val="6"/>
  </w:num>
  <w:num w:numId="23" w16cid:durableId="792555403">
    <w:abstractNumId w:val="6"/>
  </w:num>
  <w:num w:numId="24" w16cid:durableId="936525726">
    <w:abstractNumId w:val="6"/>
  </w:num>
  <w:num w:numId="25" w16cid:durableId="2051109978">
    <w:abstractNumId w:val="6"/>
  </w:num>
  <w:num w:numId="26" w16cid:durableId="1248659938">
    <w:abstractNumId w:val="6"/>
  </w:num>
  <w:num w:numId="27" w16cid:durableId="545725511">
    <w:abstractNumId w:val="6"/>
  </w:num>
  <w:num w:numId="28" w16cid:durableId="1170414285">
    <w:abstractNumId w:val="6"/>
  </w:num>
  <w:num w:numId="29" w16cid:durableId="2129349187">
    <w:abstractNumId w:val="13"/>
  </w:num>
  <w:num w:numId="30" w16cid:durableId="862939623">
    <w:abstractNumId w:val="13"/>
  </w:num>
  <w:num w:numId="31" w16cid:durableId="1860198053">
    <w:abstractNumId w:val="13"/>
    <w:lvlOverride w:ilvl="0">
      <w:startOverride w:val="1"/>
    </w:lvlOverride>
  </w:num>
  <w:num w:numId="32" w16cid:durableId="1247953965">
    <w:abstractNumId w:val="13"/>
  </w:num>
  <w:num w:numId="33" w16cid:durableId="1390836323">
    <w:abstractNumId w:val="13"/>
    <w:lvlOverride w:ilvl="0">
      <w:startOverride w:val="1"/>
    </w:lvlOverride>
  </w:num>
  <w:num w:numId="34" w16cid:durableId="1434084666">
    <w:abstractNumId w:val="13"/>
    <w:lvlOverride w:ilvl="0">
      <w:startOverride w:val="1"/>
    </w:lvlOverride>
  </w:num>
  <w:num w:numId="35" w16cid:durableId="1615096146">
    <w:abstractNumId w:val="14"/>
    <w:lvlOverride w:ilvl="0">
      <w:startOverride w:val="1"/>
    </w:lvlOverride>
  </w:num>
  <w:num w:numId="36" w16cid:durableId="495808045">
    <w:abstractNumId w:val="14"/>
  </w:num>
  <w:num w:numId="37" w16cid:durableId="969629241">
    <w:abstractNumId w:val="14"/>
    <w:lvlOverride w:ilvl="0">
      <w:startOverride w:val="1"/>
    </w:lvlOverride>
  </w:num>
  <w:num w:numId="38" w16cid:durableId="1821650132">
    <w:abstractNumId w:val="14"/>
  </w:num>
  <w:num w:numId="39" w16cid:durableId="403066922">
    <w:abstractNumId w:val="14"/>
    <w:lvlOverride w:ilvl="0">
      <w:startOverride w:val="1"/>
    </w:lvlOverride>
  </w:num>
  <w:num w:numId="40" w16cid:durableId="618145756">
    <w:abstractNumId w:val="14"/>
    <w:lvlOverride w:ilvl="0">
      <w:startOverride w:val="1"/>
    </w:lvlOverride>
  </w:num>
  <w:num w:numId="41" w16cid:durableId="1030184752">
    <w:abstractNumId w:val="14"/>
    <w:lvlOverride w:ilvl="0">
      <w:startOverride w:val="1"/>
    </w:lvlOverride>
  </w:num>
  <w:num w:numId="42" w16cid:durableId="1256937758">
    <w:abstractNumId w:val="14"/>
  </w:num>
  <w:num w:numId="43" w16cid:durableId="746267040">
    <w:abstractNumId w:val="14"/>
  </w:num>
  <w:num w:numId="44" w16cid:durableId="1314335831">
    <w:abstractNumId w:val="3"/>
  </w:num>
  <w:num w:numId="45" w16cid:durableId="681855915">
    <w:abstractNumId w:val="0"/>
  </w:num>
  <w:num w:numId="46" w16cid:durableId="1233395036">
    <w:abstractNumId w:val="1"/>
  </w:num>
  <w:num w:numId="47" w16cid:durableId="8551900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31C5"/>
    <w:rsid w:val="00025AB2"/>
    <w:rsid w:val="00027428"/>
    <w:rsid w:val="00031EC9"/>
    <w:rsid w:val="00066FED"/>
    <w:rsid w:val="00075EA6"/>
    <w:rsid w:val="0007709F"/>
    <w:rsid w:val="0008465E"/>
    <w:rsid w:val="00086F62"/>
    <w:rsid w:val="00090674"/>
    <w:rsid w:val="0009320B"/>
    <w:rsid w:val="00096AE0"/>
    <w:rsid w:val="000B1B74"/>
    <w:rsid w:val="000B3A2D"/>
    <w:rsid w:val="000B49C0"/>
    <w:rsid w:val="000E382F"/>
    <w:rsid w:val="000E75CD"/>
    <w:rsid w:val="001036BA"/>
    <w:rsid w:val="00111EF5"/>
    <w:rsid w:val="001146DC"/>
    <w:rsid w:val="00114AB1"/>
    <w:rsid w:val="001230FF"/>
    <w:rsid w:val="00130BD7"/>
    <w:rsid w:val="00155B67"/>
    <w:rsid w:val="001562AF"/>
    <w:rsid w:val="00161A5B"/>
    <w:rsid w:val="0016385D"/>
    <w:rsid w:val="0016782F"/>
    <w:rsid w:val="001937E9"/>
    <w:rsid w:val="001964E5"/>
    <w:rsid w:val="001A2EEE"/>
    <w:rsid w:val="001B263B"/>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E3C35"/>
    <w:rsid w:val="002F5298"/>
    <w:rsid w:val="002F53A6"/>
    <w:rsid w:val="00314357"/>
    <w:rsid w:val="00326AE0"/>
    <w:rsid w:val="00337E4F"/>
    <w:rsid w:val="00340C36"/>
    <w:rsid w:val="00346A9D"/>
    <w:rsid w:val="00361A1A"/>
    <w:rsid w:val="00370BFA"/>
    <w:rsid w:val="0039376F"/>
    <w:rsid w:val="003A287B"/>
    <w:rsid w:val="003A5C85"/>
    <w:rsid w:val="003A61B1"/>
    <w:rsid w:val="003B0050"/>
    <w:rsid w:val="003D6312"/>
    <w:rsid w:val="003E0637"/>
    <w:rsid w:val="003E7C74"/>
    <w:rsid w:val="003F31C6"/>
    <w:rsid w:val="0040225B"/>
    <w:rsid w:val="00402DA2"/>
    <w:rsid w:val="00425AC2"/>
    <w:rsid w:val="0044771F"/>
    <w:rsid w:val="004B151D"/>
    <w:rsid w:val="004B218A"/>
    <w:rsid w:val="004C7243"/>
    <w:rsid w:val="004E21DE"/>
    <w:rsid w:val="004E3C57"/>
    <w:rsid w:val="004E3CB2"/>
    <w:rsid w:val="00525813"/>
    <w:rsid w:val="0053513F"/>
    <w:rsid w:val="00574405"/>
    <w:rsid w:val="005854B0"/>
    <w:rsid w:val="005A0E21"/>
    <w:rsid w:val="005B3A34"/>
    <w:rsid w:val="005D49AF"/>
    <w:rsid w:val="005D4BB7"/>
    <w:rsid w:val="005E415C"/>
    <w:rsid w:val="005E71ED"/>
    <w:rsid w:val="005E7946"/>
    <w:rsid w:val="005F7475"/>
    <w:rsid w:val="006006D6"/>
    <w:rsid w:val="00611299"/>
    <w:rsid w:val="00613B4D"/>
    <w:rsid w:val="00616365"/>
    <w:rsid w:val="00616F3B"/>
    <w:rsid w:val="006249A7"/>
    <w:rsid w:val="0064225B"/>
    <w:rsid w:val="00665D5A"/>
    <w:rsid w:val="006763F9"/>
    <w:rsid w:val="006850FB"/>
    <w:rsid w:val="006949BC"/>
    <w:rsid w:val="006D1229"/>
    <w:rsid w:val="006D372F"/>
    <w:rsid w:val="006D7A18"/>
    <w:rsid w:val="006E4474"/>
    <w:rsid w:val="00701388"/>
    <w:rsid w:val="00723B7F"/>
    <w:rsid w:val="00725861"/>
    <w:rsid w:val="0073393A"/>
    <w:rsid w:val="0073539D"/>
    <w:rsid w:val="00767B8A"/>
    <w:rsid w:val="00775481"/>
    <w:rsid w:val="007A233B"/>
    <w:rsid w:val="007B4863"/>
    <w:rsid w:val="007B7A1F"/>
    <w:rsid w:val="007C65E6"/>
    <w:rsid w:val="007D406B"/>
    <w:rsid w:val="007D4407"/>
    <w:rsid w:val="007E1CA3"/>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7046"/>
    <w:rsid w:val="009005FC"/>
    <w:rsid w:val="00916CB9"/>
    <w:rsid w:val="00922E5A"/>
    <w:rsid w:val="00943315"/>
    <w:rsid w:val="00946C27"/>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A39BB"/>
    <w:rsid w:val="00BA3B3D"/>
    <w:rsid w:val="00BB4E3D"/>
    <w:rsid w:val="00BB7EEA"/>
    <w:rsid w:val="00BD1909"/>
    <w:rsid w:val="00BE5E16"/>
    <w:rsid w:val="00BE5FD1"/>
    <w:rsid w:val="00C06E05"/>
    <w:rsid w:val="00C14B14"/>
    <w:rsid w:val="00C17370"/>
    <w:rsid w:val="00C2054D"/>
    <w:rsid w:val="00C252EB"/>
    <w:rsid w:val="00C26EC0"/>
    <w:rsid w:val="00C45A39"/>
    <w:rsid w:val="00C56C77"/>
    <w:rsid w:val="00C84923"/>
    <w:rsid w:val="00CB7B3E"/>
    <w:rsid w:val="00CC739D"/>
    <w:rsid w:val="00D04468"/>
    <w:rsid w:val="00D36257"/>
    <w:rsid w:val="00D4687E"/>
    <w:rsid w:val="00D53A12"/>
    <w:rsid w:val="00D87E2A"/>
    <w:rsid w:val="00DB0C43"/>
    <w:rsid w:val="00DE3354"/>
    <w:rsid w:val="00DF7DCD"/>
    <w:rsid w:val="00E50B7D"/>
    <w:rsid w:val="00E904A1"/>
    <w:rsid w:val="00E9052D"/>
    <w:rsid w:val="00EB7D28"/>
    <w:rsid w:val="00EC0D0C"/>
    <w:rsid w:val="00ED4A2C"/>
    <w:rsid w:val="00EF6940"/>
    <w:rsid w:val="00EF6D3A"/>
    <w:rsid w:val="00F2044A"/>
    <w:rsid w:val="00F20BFC"/>
    <w:rsid w:val="00F24D5F"/>
    <w:rsid w:val="00F726C3"/>
    <w:rsid w:val="00F820CA"/>
    <w:rsid w:val="00F8554C"/>
    <w:rsid w:val="00F95F82"/>
    <w:rsid w:val="00F97A90"/>
    <w:rsid w:val="00FB1D89"/>
    <w:rsid w:val="00FC2F35"/>
    <w:rsid w:val="00FC3FD7"/>
    <w:rsid w:val="00FD1FC6"/>
    <w:rsid w:val="00FD2A4F"/>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5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uiPriority w:val="99"/>
    <w:semiHidden/>
    <w:unhideWhenUsed/>
    <w:rsid w:val="005E71ED"/>
    <w:rPr>
      <w:sz w:val="16"/>
      <w:szCs w:val="16"/>
    </w:rPr>
  </w:style>
  <w:style w:type="paragraph" w:styleId="CommentText">
    <w:name w:val="annotation text"/>
    <w:basedOn w:val="Normal"/>
    <w:link w:val="CommentTextChar"/>
    <w:uiPriority w:val="99"/>
    <w:semiHidden/>
    <w:unhideWhenUsed/>
    <w:rsid w:val="005E71ED"/>
    <w:rPr>
      <w:sz w:val="20"/>
    </w:rPr>
  </w:style>
  <w:style w:type="character" w:customStyle="1" w:styleId="CommentTextChar">
    <w:name w:val="Comment Text Char"/>
    <w:basedOn w:val="DefaultParagraphFont"/>
    <w:link w:val="CommentText"/>
    <w:uiPriority w:val="99"/>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customStyle="1" w:styleId="AbstracttitleDERJournal">
    <w:name w:val="Abstract title DER Journal"/>
    <w:rsid w:val="001A2EEE"/>
    <w:pPr>
      <w:spacing w:before="360" w:after="120"/>
    </w:pPr>
    <w:rPr>
      <w:rFonts w:eastAsia="MS Mincho"/>
      <w:b/>
      <w:sz w:val="22"/>
      <w:szCs w:val="24"/>
      <w:lang w:val="de-DE" w:eastAsia="de-DE"/>
    </w:rPr>
  </w:style>
  <w:style w:type="character" w:customStyle="1" w:styleId="TextChar">
    <w:name w:val="Text Char"/>
    <w:basedOn w:val="DefaultParagraphFont"/>
    <w:link w:val="Text"/>
    <w:locked/>
    <w:rsid w:val="001A2EEE"/>
    <w:rPr>
      <w:rFonts w:ascii="PMingLiU" w:eastAsia="PMingLiU" w:hAnsi="PMingLiU"/>
    </w:rPr>
  </w:style>
  <w:style w:type="paragraph" w:customStyle="1" w:styleId="Text">
    <w:name w:val="Text"/>
    <w:basedOn w:val="Normal"/>
    <w:link w:val="TextChar"/>
    <w:rsid w:val="001A2EEE"/>
    <w:pPr>
      <w:widowControl w:val="0"/>
      <w:autoSpaceDE w:val="0"/>
      <w:autoSpaceDN w:val="0"/>
      <w:spacing w:line="252" w:lineRule="auto"/>
      <w:ind w:firstLine="202"/>
      <w:jc w:val="both"/>
    </w:pPr>
    <w:rPr>
      <w:rFonts w:ascii="PMingLiU" w:eastAsia="PMingLiU" w:hAnsi="PMingLiU"/>
      <w:sz w:val="20"/>
      <w:lang w:val="en-GB" w:eastAsia="en-GB"/>
    </w:rPr>
  </w:style>
  <w:style w:type="character" w:customStyle="1" w:styleId="TEXTsChar">
    <w:name w:val="TEXTs Char"/>
    <w:basedOn w:val="DefaultParagraphFont"/>
    <w:link w:val="TEXTs"/>
    <w:locked/>
    <w:rsid w:val="00E9052D"/>
    <w:rPr>
      <w:rFonts w:eastAsia="MS Mincho"/>
      <w:szCs w:val="24"/>
      <w:lang w:val="en-US"/>
    </w:rPr>
  </w:style>
  <w:style w:type="paragraph" w:customStyle="1" w:styleId="TEXTs">
    <w:name w:val="TEXTs"/>
    <w:basedOn w:val="BodyText"/>
    <w:link w:val="TEXTsChar"/>
    <w:qFormat/>
    <w:rsid w:val="00E9052D"/>
    <w:pPr>
      <w:spacing w:line="228" w:lineRule="auto"/>
      <w:ind w:firstLine="288"/>
      <w:jc w:val="both"/>
    </w:pPr>
    <w:rPr>
      <w:rFonts w:eastAsia="MS Mincho"/>
      <w:sz w:val="20"/>
      <w:szCs w:val="24"/>
      <w:lang w:eastAsia="en-GB"/>
    </w:rPr>
  </w:style>
  <w:style w:type="paragraph" w:styleId="BodyText">
    <w:name w:val="Body Text"/>
    <w:basedOn w:val="Normal"/>
    <w:link w:val="BodyTextChar"/>
    <w:semiHidden/>
    <w:unhideWhenUsed/>
    <w:rsid w:val="00E9052D"/>
    <w:pPr>
      <w:spacing w:after="120"/>
    </w:pPr>
  </w:style>
  <w:style w:type="character" w:customStyle="1" w:styleId="BodyTextChar">
    <w:name w:val="Body Text Char"/>
    <w:basedOn w:val="DefaultParagraphFont"/>
    <w:link w:val="BodyText"/>
    <w:semiHidden/>
    <w:rsid w:val="00E9052D"/>
    <w:rPr>
      <w:sz w:val="24"/>
      <w:lang w:val="en-US" w:eastAsia="en-US"/>
    </w:rPr>
  </w:style>
  <w:style w:type="table" w:customStyle="1" w:styleId="TableGrid1">
    <w:name w:val="Table Grid1"/>
    <w:basedOn w:val="TableNormal"/>
    <w:uiPriority w:val="39"/>
    <w:rsid w:val="000231C5"/>
    <w:rPr>
      <w:rFonts w:ascii="Calibri" w:eastAsia="Calibri" w:hAnsi="Calibr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65D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7668411">
      <w:bodyDiv w:val="1"/>
      <w:marLeft w:val="0"/>
      <w:marRight w:val="0"/>
      <w:marTop w:val="0"/>
      <w:marBottom w:val="0"/>
      <w:divBdr>
        <w:top w:val="none" w:sz="0" w:space="0" w:color="auto"/>
        <w:left w:val="none" w:sz="0" w:space="0" w:color="auto"/>
        <w:bottom w:val="none" w:sz="0" w:space="0" w:color="auto"/>
        <w:right w:val="none" w:sz="0" w:space="0" w:color="auto"/>
      </w:divBdr>
      <w:divsChild>
        <w:div w:id="927154013">
          <w:marLeft w:val="0"/>
          <w:marRight w:val="0"/>
          <w:marTop w:val="0"/>
          <w:marBottom w:val="60"/>
          <w:divBdr>
            <w:top w:val="none" w:sz="0" w:space="0" w:color="auto"/>
            <w:left w:val="none" w:sz="0" w:space="0" w:color="auto"/>
            <w:bottom w:val="none" w:sz="0" w:space="0" w:color="auto"/>
            <w:right w:val="none" w:sz="0" w:space="0" w:color="auto"/>
          </w:divBdr>
          <w:divsChild>
            <w:div w:id="324404489">
              <w:marLeft w:val="0"/>
              <w:marRight w:val="0"/>
              <w:marTop w:val="0"/>
              <w:marBottom w:val="0"/>
              <w:divBdr>
                <w:top w:val="none" w:sz="0" w:space="0" w:color="auto"/>
                <w:left w:val="none" w:sz="0" w:space="0" w:color="auto"/>
                <w:bottom w:val="none" w:sz="0" w:space="0" w:color="auto"/>
                <w:right w:val="none" w:sz="0" w:space="0" w:color="auto"/>
              </w:divBdr>
              <w:divsChild>
                <w:div w:id="25096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88406">
          <w:marLeft w:val="0"/>
          <w:marRight w:val="0"/>
          <w:marTop w:val="0"/>
          <w:marBottom w:val="0"/>
          <w:divBdr>
            <w:top w:val="none" w:sz="0" w:space="0" w:color="auto"/>
            <w:left w:val="none" w:sz="0" w:space="0" w:color="auto"/>
            <w:bottom w:val="none" w:sz="0" w:space="0" w:color="auto"/>
            <w:right w:val="none" w:sz="0" w:space="0" w:color="auto"/>
          </w:divBdr>
          <w:divsChild>
            <w:div w:id="1357540196">
              <w:marLeft w:val="0"/>
              <w:marRight w:val="0"/>
              <w:marTop w:val="0"/>
              <w:marBottom w:val="180"/>
              <w:divBdr>
                <w:top w:val="none" w:sz="0" w:space="0" w:color="auto"/>
                <w:left w:val="none" w:sz="0" w:space="0" w:color="auto"/>
                <w:bottom w:val="none" w:sz="0" w:space="0" w:color="auto"/>
                <w:right w:val="none" w:sz="0" w:space="0" w:color="auto"/>
              </w:divBdr>
              <w:divsChild>
                <w:div w:id="1650597044">
                  <w:marLeft w:val="0"/>
                  <w:marRight w:val="0"/>
                  <w:marTop w:val="0"/>
                  <w:marBottom w:val="0"/>
                  <w:divBdr>
                    <w:top w:val="none" w:sz="0" w:space="0" w:color="auto"/>
                    <w:left w:val="none" w:sz="0" w:space="0" w:color="auto"/>
                    <w:bottom w:val="none" w:sz="0" w:space="0" w:color="auto"/>
                    <w:right w:val="none" w:sz="0" w:space="0" w:color="auto"/>
                  </w:divBdr>
                </w:div>
                <w:div w:id="1739093563">
                  <w:marLeft w:val="0"/>
                  <w:marRight w:val="0"/>
                  <w:marTop w:val="0"/>
                  <w:marBottom w:val="0"/>
                  <w:divBdr>
                    <w:top w:val="none" w:sz="0" w:space="0" w:color="auto"/>
                    <w:left w:val="none" w:sz="0" w:space="0" w:color="auto"/>
                    <w:bottom w:val="none" w:sz="0" w:space="0" w:color="auto"/>
                    <w:right w:val="none" w:sz="0" w:space="0" w:color="auto"/>
                  </w:divBdr>
                  <w:divsChild>
                    <w:div w:id="1637831608">
                      <w:marLeft w:val="0"/>
                      <w:marRight w:val="0"/>
                      <w:marTop w:val="0"/>
                      <w:marBottom w:val="0"/>
                      <w:divBdr>
                        <w:top w:val="none" w:sz="0" w:space="0" w:color="auto"/>
                        <w:left w:val="none" w:sz="0" w:space="0" w:color="auto"/>
                        <w:bottom w:val="none" w:sz="0" w:space="0" w:color="auto"/>
                        <w:right w:val="none" w:sz="0" w:space="0" w:color="auto"/>
                      </w:divBdr>
                      <w:divsChild>
                        <w:div w:id="1124426091">
                          <w:marLeft w:val="0"/>
                          <w:marRight w:val="0"/>
                          <w:marTop w:val="0"/>
                          <w:marBottom w:val="0"/>
                          <w:divBdr>
                            <w:top w:val="none" w:sz="0" w:space="0" w:color="auto"/>
                            <w:left w:val="none" w:sz="0" w:space="0" w:color="auto"/>
                            <w:bottom w:val="none" w:sz="0" w:space="0" w:color="auto"/>
                            <w:right w:val="none" w:sz="0" w:space="0" w:color="auto"/>
                          </w:divBdr>
                          <w:divsChild>
                            <w:div w:id="113544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hjachmad@gmail.com" TargetMode="Externa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yuly.adiyasa@gmail.com" TargetMode="Externa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hyperlink" Target="mailto:banas.imron305@gmail.com" TargetMode="Externa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hyperlink" Target="mailto:ahjachmad@gmail.com" TargetMode="External"/><Relationship Id="rId14" Type="http://schemas.openxmlformats.org/officeDocument/2006/relationships/image" Target="media/image2.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91EA6A58FF349118EDCFEB92EA170B7"/>
        <w:category>
          <w:name w:val="General"/>
          <w:gallery w:val="placeholder"/>
        </w:category>
        <w:types>
          <w:type w:val="bbPlcHdr"/>
        </w:types>
        <w:behaviors>
          <w:behavior w:val="content"/>
        </w:behaviors>
        <w:guid w:val="{00CA9DED-6AC7-4451-9636-7612D32BCAD8}"/>
      </w:docPartPr>
      <w:docPartBody>
        <w:p w:rsidR="00EA6EA4" w:rsidRDefault="0035444A" w:rsidP="0035444A">
          <w:pPr>
            <w:pStyle w:val="991EA6A58FF349118EDCFEB92EA170B7"/>
          </w:pPr>
          <w:r>
            <w:rPr>
              <w:rStyle w:val="PlaceholderText"/>
            </w:rPr>
            <w:t>Click or tap here to enter text.</w:t>
          </w:r>
        </w:p>
      </w:docPartBody>
    </w:docPart>
    <w:docPart>
      <w:docPartPr>
        <w:name w:val="73BE03BAEE6D4E34820E053C0C66F5F7"/>
        <w:category>
          <w:name w:val="General"/>
          <w:gallery w:val="placeholder"/>
        </w:category>
        <w:types>
          <w:type w:val="bbPlcHdr"/>
        </w:types>
        <w:behaviors>
          <w:behavior w:val="content"/>
        </w:behaviors>
        <w:guid w:val="{E6335D41-F9CD-4172-97CA-007CA4538974}"/>
      </w:docPartPr>
      <w:docPartBody>
        <w:p w:rsidR="00EA6EA4" w:rsidRDefault="0035444A" w:rsidP="0035444A">
          <w:pPr>
            <w:pStyle w:val="73BE03BAEE6D4E34820E053C0C66F5F7"/>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44A"/>
    <w:rsid w:val="001D3756"/>
    <w:rsid w:val="0035444A"/>
    <w:rsid w:val="006850FB"/>
    <w:rsid w:val="00731461"/>
    <w:rsid w:val="00EA6EA4"/>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D" w:eastAsia="en-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5444A"/>
  </w:style>
  <w:style w:type="paragraph" w:customStyle="1" w:styleId="F7A7C84DE19B4E61B7816D2A078509C0">
    <w:name w:val="F7A7C84DE19B4E61B7816D2A078509C0"/>
    <w:rsid w:val="0035444A"/>
  </w:style>
  <w:style w:type="paragraph" w:customStyle="1" w:styleId="B1C05704BE044BECB9D4136094512CFA">
    <w:name w:val="B1C05704BE044BECB9D4136094512CFA"/>
    <w:rsid w:val="0035444A"/>
  </w:style>
  <w:style w:type="paragraph" w:customStyle="1" w:styleId="23CFEB64768E49F1BF70EC715CEB0378">
    <w:name w:val="23CFEB64768E49F1BF70EC715CEB0378"/>
    <w:rsid w:val="0035444A"/>
  </w:style>
  <w:style w:type="paragraph" w:customStyle="1" w:styleId="FD5056A681C745B7A8DAFAEF6887AD8F">
    <w:name w:val="FD5056A681C745B7A8DAFAEF6887AD8F"/>
    <w:rsid w:val="0035444A"/>
  </w:style>
  <w:style w:type="paragraph" w:customStyle="1" w:styleId="991EA6A58FF349118EDCFEB92EA170B7">
    <w:name w:val="991EA6A58FF349118EDCFEB92EA170B7"/>
    <w:rsid w:val="0035444A"/>
  </w:style>
  <w:style w:type="paragraph" w:customStyle="1" w:styleId="73BE03BAEE6D4E34820E053C0C66F5F7">
    <w:name w:val="73BE03BAEE6D4E34820E053C0C66F5F7"/>
    <w:rsid w:val="003544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23</TotalTime>
  <Pages>9</Pages>
  <Words>3173</Words>
  <Characters>18092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Immanuel Nathanael Lumban Gaol</cp:lastModifiedBy>
  <cp:revision>13</cp:revision>
  <cp:lastPrinted>2011-03-03T08:29:00Z</cp:lastPrinted>
  <dcterms:created xsi:type="dcterms:W3CDTF">2025-10-10T03:46:00Z</dcterms:created>
  <dcterms:modified xsi:type="dcterms:W3CDTF">2025-10-10T04:09:00Z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