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E651BD" w14:textId="77777777" w:rsidR="00CA4AB5" w:rsidRDefault="00000000">
      <w:pPr>
        <w:pStyle w:val="Heading1"/>
        <w:spacing w:line="240" w:lineRule="auto"/>
        <w:rPr>
          <w:color w:val="000000"/>
          <w:sz w:val="36"/>
          <w:szCs w:val="36"/>
        </w:rPr>
      </w:pPr>
      <w:r>
        <w:rPr>
          <w:color w:val="000000"/>
          <w:sz w:val="36"/>
          <w:szCs w:val="36"/>
        </w:rPr>
        <w:t>Paper Analytical Devices Immobilized Organic Nanocrystal Combined Silver Nanoparticles for Simple and Rapid Heavy Metal Ion Detection</w:t>
      </w:r>
    </w:p>
    <w:p w14:paraId="55DA7323" w14:textId="77777777" w:rsidR="00CA4AB5" w:rsidRDefault="00CA4AB5">
      <w:pPr>
        <w:spacing w:line="240" w:lineRule="auto"/>
        <w:rPr>
          <w:color w:val="000000"/>
        </w:rPr>
      </w:pPr>
    </w:p>
    <w:p w14:paraId="387FD763" w14:textId="77777777" w:rsidR="00CA4AB5" w:rsidRDefault="00000000">
      <w:pPr>
        <w:spacing w:line="240" w:lineRule="auto"/>
        <w:ind w:firstLine="0"/>
        <w:jc w:val="center"/>
        <w:rPr>
          <w:color w:val="000000"/>
          <w:sz w:val="28"/>
          <w:szCs w:val="28"/>
          <w:vertAlign w:val="superscript"/>
        </w:rPr>
      </w:pPr>
      <w:proofErr w:type="spellStart"/>
      <w:r>
        <w:rPr>
          <w:color w:val="000000"/>
          <w:sz w:val="28"/>
          <w:szCs w:val="28"/>
        </w:rPr>
        <w:t>Mintang</w:t>
      </w:r>
      <w:proofErr w:type="spellEnd"/>
      <w:r>
        <w:rPr>
          <w:color w:val="000000"/>
          <w:sz w:val="28"/>
          <w:szCs w:val="28"/>
        </w:rPr>
        <w:t xml:space="preserve"> Mulyanto</w:t>
      </w:r>
      <w:r>
        <w:rPr>
          <w:sz w:val="28"/>
          <w:szCs w:val="28"/>
          <w:vertAlign w:val="superscript"/>
        </w:rPr>
        <w:t>1)</w:t>
      </w:r>
      <w:r>
        <w:rPr>
          <w:color w:val="000000"/>
          <w:sz w:val="28"/>
          <w:szCs w:val="28"/>
        </w:rPr>
        <w:t xml:space="preserve">, Diah </w:t>
      </w:r>
      <w:proofErr w:type="spellStart"/>
      <w:r>
        <w:rPr>
          <w:color w:val="000000"/>
          <w:sz w:val="28"/>
          <w:szCs w:val="28"/>
        </w:rPr>
        <w:t>Trisna</w:t>
      </w:r>
      <w:proofErr w:type="spellEnd"/>
      <w:r>
        <w:rPr>
          <w:color w:val="000000"/>
          <w:sz w:val="28"/>
          <w:szCs w:val="28"/>
        </w:rPr>
        <w:t xml:space="preserve"> Rahayu Lestari</w:t>
      </w:r>
      <w:r>
        <w:rPr>
          <w:color w:val="000000"/>
          <w:sz w:val="28"/>
          <w:szCs w:val="28"/>
          <w:vertAlign w:val="superscript"/>
        </w:rPr>
        <w:t>1)</w:t>
      </w:r>
      <w:r>
        <w:rPr>
          <w:color w:val="000000"/>
          <w:sz w:val="28"/>
          <w:szCs w:val="28"/>
        </w:rPr>
        <w:t>, Citra ‘</w:t>
      </w:r>
      <w:proofErr w:type="spellStart"/>
      <w:r>
        <w:rPr>
          <w:color w:val="000000"/>
          <w:sz w:val="28"/>
          <w:szCs w:val="28"/>
        </w:rPr>
        <w:t>Aaqilatul</w:t>
      </w:r>
      <w:proofErr w:type="spellEnd"/>
      <w:r>
        <w:rPr>
          <w:color w:val="000000"/>
          <w:sz w:val="28"/>
          <w:szCs w:val="28"/>
        </w:rPr>
        <w:t xml:space="preserve"> Faa’idah</w:t>
      </w:r>
      <w:r>
        <w:rPr>
          <w:color w:val="000000"/>
          <w:sz w:val="28"/>
          <w:szCs w:val="28"/>
          <w:vertAlign w:val="superscript"/>
        </w:rPr>
        <w:t>1)</w:t>
      </w:r>
      <w:r>
        <w:rPr>
          <w:color w:val="000000"/>
          <w:sz w:val="28"/>
          <w:szCs w:val="28"/>
        </w:rPr>
        <w:t>, Yoni Rina Bintari</w:t>
      </w:r>
      <w:r>
        <w:rPr>
          <w:color w:val="000000"/>
          <w:sz w:val="28"/>
          <w:szCs w:val="28"/>
          <w:vertAlign w:val="superscript"/>
        </w:rPr>
        <w:t>2)</w:t>
      </w:r>
      <w:r>
        <w:rPr>
          <w:color w:val="000000"/>
          <w:sz w:val="28"/>
          <w:szCs w:val="28"/>
        </w:rPr>
        <w:t>, Grasianto</w:t>
      </w:r>
      <w:r>
        <w:rPr>
          <w:color w:val="000000"/>
          <w:sz w:val="28"/>
          <w:szCs w:val="28"/>
          <w:vertAlign w:val="superscript"/>
        </w:rPr>
        <w:t>1, a)</w:t>
      </w:r>
    </w:p>
    <w:p w14:paraId="1B76CA5B" w14:textId="77777777" w:rsidR="00CA4AB5" w:rsidRDefault="00000000">
      <w:pPr>
        <w:spacing w:line="240" w:lineRule="auto"/>
        <w:ind w:firstLine="0"/>
        <w:jc w:val="center"/>
        <w:rPr>
          <w:i/>
          <w:color w:val="000000"/>
          <w:sz w:val="20"/>
          <w:szCs w:val="20"/>
        </w:rPr>
      </w:pPr>
      <w:r>
        <w:rPr>
          <w:i/>
          <w:color w:val="000000"/>
          <w:sz w:val="20"/>
          <w:szCs w:val="20"/>
          <w:vertAlign w:val="superscript"/>
        </w:rPr>
        <w:t>1</w:t>
      </w:r>
      <w:r>
        <w:rPr>
          <w:i/>
          <w:color w:val="000000"/>
          <w:sz w:val="20"/>
          <w:szCs w:val="20"/>
        </w:rPr>
        <w:t xml:space="preserve">Chemistry Department, Faculty of Science and Data Analytics, </w:t>
      </w:r>
      <w:proofErr w:type="spellStart"/>
      <w:r>
        <w:rPr>
          <w:i/>
          <w:color w:val="000000"/>
          <w:sz w:val="20"/>
          <w:szCs w:val="20"/>
        </w:rPr>
        <w:t>Institut</w:t>
      </w:r>
      <w:proofErr w:type="spellEnd"/>
      <w:r>
        <w:rPr>
          <w:i/>
          <w:color w:val="000000"/>
          <w:sz w:val="20"/>
          <w:szCs w:val="20"/>
        </w:rPr>
        <w:t xml:space="preserve"> </w:t>
      </w:r>
      <w:proofErr w:type="spellStart"/>
      <w:r>
        <w:rPr>
          <w:i/>
          <w:color w:val="000000"/>
          <w:sz w:val="20"/>
          <w:szCs w:val="20"/>
        </w:rPr>
        <w:t>Teknologi</w:t>
      </w:r>
      <w:proofErr w:type="spellEnd"/>
      <w:r>
        <w:rPr>
          <w:i/>
          <w:color w:val="000000"/>
          <w:sz w:val="20"/>
          <w:szCs w:val="20"/>
        </w:rPr>
        <w:t xml:space="preserve"> </w:t>
      </w:r>
      <w:proofErr w:type="spellStart"/>
      <w:r>
        <w:rPr>
          <w:i/>
          <w:color w:val="000000"/>
          <w:sz w:val="20"/>
          <w:szCs w:val="20"/>
        </w:rPr>
        <w:t>Sepuluh</w:t>
      </w:r>
      <w:proofErr w:type="spellEnd"/>
      <w:r>
        <w:rPr>
          <w:i/>
          <w:color w:val="000000"/>
          <w:sz w:val="20"/>
          <w:szCs w:val="20"/>
        </w:rPr>
        <w:t xml:space="preserve"> </w:t>
      </w:r>
      <w:proofErr w:type="spellStart"/>
      <w:r>
        <w:rPr>
          <w:i/>
          <w:color w:val="000000"/>
          <w:sz w:val="20"/>
          <w:szCs w:val="20"/>
        </w:rPr>
        <w:t>Nopember</w:t>
      </w:r>
      <w:proofErr w:type="spellEnd"/>
      <w:r>
        <w:rPr>
          <w:i/>
          <w:color w:val="000000"/>
          <w:sz w:val="20"/>
          <w:szCs w:val="20"/>
        </w:rPr>
        <w:t>, Surabaya, Indonesia</w:t>
      </w:r>
    </w:p>
    <w:p w14:paraId="373DD349" w14:textId="77777777" w:rsidR="00CA4AB5" w:rsidRDefault="00000000">
      <w:pPr>
        <w:spacing w:line="240" w:lineRule="auto"/>
        <w:ind w:firstLine="0"/>
        <w:jc w:val="center"/>
        <w:rPr>
          <w:i/>
          <w:color w:val="000000"/>
          <w:sz w:val="20"/>
          <w:szCs w:val="20"/>
        </w:rPr>
      </w:pPr>
      <w:r>
        <w:rPr>
          <w:i/>
          <w:color w:val="000000"/>
          <w:sz w:val="20"/>
          <w:szCs w:val="20"/>
          <w:vertAlign w:val="superscript"/>
        </w:rPr>
        <w:t>2</w:t>
      </w:r>
      <w:r>
        <w:rPr>
          <w:i/>
          <w:color w:val="000000"/>
          <w:sz w:val="20"/>
          <w:szCs w:val="20"/>
        </w:rPr>
        <w:t>Medical School, Universitas Islam Malang, Malang, Indonesia</w:t>
      </w:r>
    </w:p>
    <w:p w14:paraId="59DF6345" w14:textId="77777777" w:rsidR="00CA4AB5" w:rsidRDefault="00CA4AB5">
      <w:pPr>
        <w:spacing w:line="240" w:lineRule="auto"/>
        <w:ind w:firstLine="0"/>
        <w:jc w:val="center"/>
        <w:rPr>
          <w:i/>
          <w:color w:val="000000"/>
          <w:sz w:val="20"/>
          <w:szCs w:val="20"/>
        </w:rPr>
      </w:pPr>
    </w:p>
    <w:p w14:paraId="69F04068" w14:textId="77777777" w:rsidR="00CA4AB5" w:rsidRDefault="00000000">
      <w:pPr>
        <w:spacing w:line="240" w:lineRule="auto"/>
        <w:ind w:firstLine="0"/>
        <w:jc w:val="center"/>
        <w:rPr>
          <w:i/>
          <w:color w:val="000000"/>
          <w:sz w:val="20"/>
          <w:szCs w:val="20"/>
        </w:rPr>
      </w:pPr>
      <w:proofErr w:type="gramStart"/>
      <w:r>
        <w:rPr>
          <w:i/>
          <w:color w:val="000000"/>
          <w:sz w:val="20"/>
          <w:szCs w:val="20"/>
          <w:vertAlign w:val="superscript"/>
        </w:rPr>
        <w:t>a)</w:t>
      </w:r>
      <w:r>
        <w:rPr>
          <w:i/>
          <w:color w:val="000000"/>
          <w:sz w:val="20"/>
          <w:szCs w:val="20"/>
        </w:rPr>
        <w:t>Corresponding</w:t>
      </w:r>
      <w:proofErr w:type="gramEnd"/>
      <w:r>
        <w:rPr>
          <w:i/>
          <w:color w:val="000000"/>
          <w:sz w:val="20"/>
          <w:szCs w:val="20"/>
        </w:rPr>
        <w:t xml:space="preserve"> author: grasianto@its.ac.id</w:t>
      </w:r>
    </w:p>
    <w:p w14:paraId="40E3B6AA" w14:textId="77777777" w:rsidR="00CA4AB5" w:rsidRDefault="00CA4AB5">
      <w:pPr>
        <w:spacing w:line="240" w:lineRule="auto"/>
        <w:jc w:val="center"/>
        <w:rPr>
          <w:color w:val="000000"/>
          <w:sz w:val="20"/>
          <w:szCs w:val="20"/>
        </w:rPr>
      </w:pPr>
    </w:p>
    <w:p w14:paraId="7AE36C46" w14:textId="77777777" w:rsidR="00CA4AB5" w:rsidRDefault="00000000">
      <w:pPr>
        <w:pBdr>
          <w:top w:val="nil"/>
          <w:left w:val="nil"/>
          <w:bottom w:val="nil"/>
          <w:right w:val="nil"/>
          <w:between w:val="nil"/>
        </w:pBdr>
        <w:spacing w:line="240" w:lineRule="auto"/>
        <w:ind w:left="113" w:right="113" w:firstLine="0"/>
        <w:rPr>
          <w:color w:val="000000"/>
          <w:sz w:val="18"/>
          <w:szCs w:val="18"/>
        </w:rPr>
      </w:pPr>
      <w:r>
        <w:rPr>
          <w:b/>
          <w:color w:val="000000"/>
          <w:sz w:val="18"/>
          <w:szCs w:val="18"/>
        </w:rPr>
        <w:t>Abstract.</w:t>
      </w:r>
      <w:r>
        <w:rPr>
          <w:color w:val="000000"/>
          <w:sz w:val="18"/>
          <w:szCs w:val="18"/>
        </w:rPr>
        <w:t xml:space="preserve"> Important parameters in assessing the quality of clean water include the concentration of dissolved heavy metals, such as lead (Pb), which can negatively affect both aquatic organisms and humans when present above the threshold level. Conventional methods such as AAS, ICP-MS, and ICP-OES are widely used for Pb detection in water but require complex sample preparation and lengthy analysis times. Paper-based Analytical Devices (PADs) are increasingly employed in combination with nanoparticles (NPs) to enhance detection sensitivity. In this study, silver nanoparticles (</w:t>
      </w:r>
      <w:proofErr w:type="spellStart"/>
      <w:r>
        <w:rPr>
          <w:color w:val="000000"/>
          <w:sz w:val="18"/>
          <w:szCs w:val="18"/>
        </w:rPr>
        <w:t>AgNPs</w:t>
      </w:r>
      <w:proofErr w:type="spellEnd"/>
      <w:r>
        <w:rPr>
          <w:color w:val="000000"/>
          <w:sz w:val="18"/>
          <w:szCs w:val="18"/>
        </w:rPr>
        <w:t xml:space="preserve">) were synthesized using red dragon fruit peel extract as the reducing and capping agent, while dithizone nanoparticles (DTZ-NPs) were prepared via the reprecipitation method and subsequently immobilized onto PADs. The synthesized NPs were characterized using PSA, revealing average sizes of 289.2 nm for </w:t>
      </w:r>
      <w:proofErr w:type="spellStart"/>
      <w:r>
        <w:rPr>
          <w:color w:val="000000"/>
          <w:sz w:val="18"/>
          <w:szCs w:val="18"/>
        </w:rPr>
        <w:t>AgNPs</w:t>
      </w:r>
      <w:proofErr w:type="spellEnd"/>
      <w:r>
        <w:rPr>
          <w:color w:val="000000"/>
          <w:sz w:val="18"/>
          <w:szCs w:val="18"/>
        </w:rPr>
        <w:t xml:space="preserve"> and 371 nm for DTZ-NPs. Optimization of the PADs was carried out by varying the nanoparticle ratio and the volume of nanoparticles immobilized, with the optimum condition indicated by the greatest change in color intensity (ΔE). The best performance was obtained at an </w:t>
      </w:r>
      <w:proofErr w:type="spellStart"/>
      <w:proofErr w:type="gramStart"/>
      <w:r>
        <w:rPr>
          <w:color w:val="000000"/>
          <w:sz w:val="18"/>
          <w:szCs w:val="18"/>
        </w:rPr>
        <w:t>AgNPs:DTZ</w:t>
      </w:r>
      <w:proofErr w:type="gramEnd"/>
      <w:r>
        <w:rPr>
          <w:color w:val="000000"/>
          <w:sz w:val="18"/>
          <w:szCs w:val="18"/>
        </w:rPr>
        <w:t>-NPs</w:t>
      </w:r>
      <w:proofErr w:type="spellEnd"/>
      <w:r>
        <w:rPr>
          <w:color w:val="000000"/>
          <w:sz w:val="18"/>
          <w:szCs w:val="18"/>
        </w:rPr>
        <w:t xml:space="preserve"> ratio of 1:2 with a nanoparticle volume of 3 mL immobilized on the PADs. Under these conditions, the fabricated PADs successfully responded to Pb²⁺ ions at ppm levels.</w:t>
      </w:r>
    </w:p>
    <w:p w14:paraId="01BDB571" w14:textId="77777777" w:rsidR="00CA4AB5" w:rsidRDefault="00CA4AB5">
      <w:pPr>
        <w:pStyle w:val="Heading1"/>
        <w:spacing w:line="240" w:lineRule="auto"/>
      </w:pPr>
    </w:p>
    <w:p w14:paraId="65E654D7" w14:textId="77777777" w:rsidR="00CA4AB5" w:rsidRDefault="00000000">
      <w:pPr>
        <w:pStyle w:val="Heading1"/>
        <w:spacing w:line="240" w:lineRule="auto"/>
      </w:pPr>
      <w:r>
        <w:t>INTRODUCTION</w:t>
      </w:r>
    </w:p>
    <w:p w14:paraId="50519D10" w14:textId="77777777" w:rsidR="00CA4AB5" w:rsidRDefault="00CA4AB5">
      <w:pPr>
        <w:spacing w:line="240" w:lineRule="auto"/>
      </w:pPr>
    </w:p>
    <w:p w14:paraId="6603614D" w14:textId="77777777" w:rsidR="00CA4AB5" w:rsidRDefault="00000000">
      <w:pPr>
        <w:spacing w:line="240" w:lineRule="auto"/>
        <w:ind w:left="113" w:firstLine="450"/>
        <w:rPr>
          <w:sz w:val="20"/>
          <w:szCs w:val="20"/>
        </w:rPr>
      </w:pPr>
      <w:r>
        <w:rPr>
          <w:sz w:val="20"/>
          <w:szCs w:val="20"/>
        </w:rPr>
        <w:t>Lead (Pb</w:t>
      </w:r>
      <w:r>
        <w:rPr>
          <w:sz w:val="20"/>
          <w:szCs w:val="20"/>
          <w:vertAlign w:val="superscript"/>
        </w:rPr>
        <w:t>2+</w:t>
      </w:r>
      <w:r>
        <w:rPr>
          <w:sz w:val="20"/>
          <w:szCs w:val="20"/>
        </w:rPr>
        <w:t xml:space="preserve">) is one of the most hazardous heavy metals, capable of accumulating in the environment and within living organisms </w:t>
      </w:r>
      <w:r>
        <w:rPr>
          <w:color w:val="000000"/>
          <w:sz w:val="20"/>
          <w:szCs w:val="20"/>
        </w:rPr>
        <w:t>[1]</w:t>
      </w:r>
      <w:r>
        <w:rPr>
          <w:sz w:val="20"/>
          <w:szCs w:val="20"/>
        </w:rPr>
        <w:t>. Due to its extensive use, Pb</w:t>
      </w:r>
      <w:r>
        <w:rPr>
          <w:sz w:val="20"/>
          <w:szCs w:val="20"/>
          <w:vertAlign w:val="superscript"/>
        </w:rPr>
        <w:t>2+</w:t>
      </w:r>
      <w:r>
        <w:rPr>
          <w:sz w:val="20"/>
          <w:szCs w:val="20"/>
        </w:rPr>
        <w:t xml:space="preserve"> contamination has been detected in soil, water, plants, and food. Anthropogenic activities such as fossil fuel combustion and mining further contribute to the release of Pb</w:t>
      </w:r>
      <w:r>
        <w:rPr>
          <w:sz w:val="20"/>
          <w:szCs w:val="20"/>
          <w:vertAlign w:val="superscript"/>
        </w:rPr>
        <w:t>2+</w:t>
      </w:r>
      <w:r>
        <w:rPr>
          <w:sz w:val="20"/>
          <w:szCs w:val="20"/>
        </w:rPr>
        <w:t>-containing waste into the environment. According to the World Health Organization (WHO), exposure to Pb</w:t>
      </w:r>
      <w:r>
        <w:rPr>
          <w:sz w:val="20"/>
          <w:szCs w:val="20"/>
          <w:vertAlign w:val="superscript"/>
        </w:rPr>
        <w:t>2+</w:t>
      </w:r>
      <w:r>
        <w:rPr>
          <w:sz w:val="20"/>
          <w:szCs w:val="20"/>
        </w:rPr>
        <w:t xml:space="preserve"> can cause severe health effects, including anemia, cardiovascular and renal disorders, cognitive impairment, seizures, coma, and even death. Therefore, regular monitoring of Pb</w:t>
      </w:r>
      <w:r>
        <w:rPr>
          <w:sz w:val="20"/>
          <w:szCs w:val="20"/>
          <w:vertAlign w:val="superscript"/>
        </w:rPr>
        <w:t>2+</w:t>
      </w:r>
      <w:r>
        <w:rPr>
          <w:sz w:val="20"/>
          <w:szCs w:val="20"/>
        </w:rPr>
        <w:t xml:space="preserve"> levels is of critical importance.</w:t>
      </w:r>
    </w:p>
    <w:p w14:paraId="2AB8B5CB" w14:textId="77777777" w:rsidR="00CA4AB5" w:rsidRDefault="00000000">
      <w:pPr>
        <w:spacing w:line="240" w:lineRule="auto"/>
        <w:ind w:left="113" w:firstLine="450"/>
        <w:rPr>
          <w:sz w:val="20"/>
          <w:szCs w:val="20"/>
        </w:rPr>
      </w:pPr>
      <w:r>
        <w:rPr>
          <w:sz w:val="20"/>
          <w:szCs w:val="20"/>
        </w:rPr>
        <w:t>Several methods are available for detecting Pb</w:t>
      </w:r>
      <w:r>
        <w:rPr>
          <w:sz w:val="20"/>
          <w:szCs w:val="20"/>
          <w:vertAlign w:val="superscript"/>
        </w:rPr>
        <w:t>2+</w:t>
      </w:r>
      <w:r>
        <w:rPr>
          <w:sz w:val="20"/>
          <w:szCs w:val="20"/>
        </w:rPr>
        <w:t xml:space="preserve"> levels, including Atomic Absorption Spectroscopy (AAS), Inductively Coupled Plasma Mass Spectrometry (ICP-MS), X-ray fluorescence, anodic stripping voltammetry, and spectrophotometry </w:t>
      </w:r>
      <w:r>
        <w:rPr>
          <w:color w:val="000000"/>
          <w:sz w:val="20"/>
          <w:szCs w:val="20"/>
        </w:rPr>
        <w:t>[2]</w:t>
      </w:r>
      <w:r>
        <w:rPr>
          <w:sz w:val="20"/>
          <w:szCs w:val="20"/>
        </w:rPr>
        <w:t xml:space="preserve">. However, these techniques often have drawbacks, such as high instrumentation costs, laborious sample preparation, the need for trained personnel, and lengthy analysis times </w:t>
      </w:r>
      <w:r>
        <w:rPr>
          <w:color w:val="000000"/>
          <w:sz w:val="20"/>
          <w:szCs w:val="20"/>
        </w:rPr>
        <w:t>[3]</w:t>
      </w:r>
      <w:r>
        <w:rPr>
          <w:sz w:val="20"/>
          <w:szCs w:val="20"/>
        </w:rPr>
        <w:t>. To address these limitations, simple, rapid, and cost-effective methods that enable in situ analysis without compromising detection accuracy are being developed, among which Paper-based Analytical Devices (PADs) represent a promising approach.</w:t>
      </w:r>
    </w:p>
    <w:p w14:paraId="0B22F907" w14:textId="77777777" w:rsidR="00CA4AB5" w:rsidRDefault="00000000">
      <w:pPr>
        <w:spacing w:line="240" w:lineRule="auto"/>
        <w:ind w:left="113" w:firstLine="450"/>
        <w:rPr>
          <w:sz w:val="20"/>
          <w:szCs w:val="20"/>
        </w:rPr>
      </w:pPr>
      <w:r>
        <w:rPr>
          <w:sz w:val="20"/>
          <w:szCs w:val="20"/>
        </w:rPr>
        <w:t>Paper-based Analytical Devices (PADs) are a paper-based detection technology capable of manipulating small liquid volumes (10</w:t>
      </w:r>
      <w:r>
        <w:rPr>
          <w:sz w:val="20"/>
          <w:szCs w:val="20"/>
          <w:vertAlign w:val="superscript"/>
        </w:rPr>
        <w:t>-6</w:t>
      </w:r>
      <w:r>
        <w:rPr>
          <w:sz w:val="20"/>
          <w:szCs w:val="20"/>
        </w:rPr>
        <w:t xml:space="preserve"> to 10</w:t>
      </w:r>
      <w:r>
        <w:rPr>
          <w:sz w:val="20"/>
          <w:szCs w:val="20"/>
          <w:vertAlign w:val="superscript"/>
        </w:rPr>
        <w:t xml:space="preserve">-9 </w:t>
      </w:r>
      <w:r>
        <w:rPr>
          <w:sz w:val="20"/>
          <w:szCs w:val="20"/>
        </w:rPr>
        <w:t xml:space="preserve">L) </w:t>
      </w:r>
      <w:r>
        <w:rPr>
          <w:color w:val="000000"/>
          <w:sz w:val="20"/>
          <w:szCs w:val="20"/>
        </w:rPr>
        <w:t>[1]</w:t>
      </w:r>
      <w:r>
        <w:rPr>
          <w:sz w:val="20"/>
          <w:szCs w:val="20"/>
        </w:rPr>
        <w:t xml:space="preserve">. Since their introduction by the Whitesides Group in 2007, research on the development and application of PADs has expanded significantly, driven by their low cost, simplicity, ease of fabrication, and rapid analysis capability. PADs are commonly employed in colorimetric </w:t>
      </w:r>
      <w:proofErr w:type="gramStart"/>
      <w:r>
        <w:rPr>
          <w:sz w:val="20"/>
          <w:szCs w:val="20"/>
        </w:rPr>
        <w:t>assays</w:t>
      </w:r>
      <w:proofErr w:type="gramEnd"/>
      <w:r>
        <w:rPr>
          <w:sz w:val="20"/>
          <w:szCs w:val="20"/>
        </w:rPr>
        <w:t xml:space="preserve">, where detection is based on visible color changes. However, their main limitations lie in sensitivity and selectivity. To overcome these challenges, PADs can be integrated with nanoparticles </w:t>
      </w:r>
      <w:r>
        <w:rPr>
          <w:color w:val="000000"/>
          <w:sz w:val="20"/>
          <w:szCs w:val="20"/>
        </w:rPr>
        <w:t>[4]</w:t>
      </w:r>
      <w:r>
        <w:rPr>
          <w:sz w:val="20"/>
          <w:szCs w:val="20"/>
        </w:rPr>
        <w:t>.</w:t>
      </w:r>
    </w:p>
    <w:p w14:paraId="57B83192" w14:textId="77777777" w:rsidR="00CA4AB5" w:rsidRDefault="00000000">
      <w:pPr>
        <w:spacing w:line="240" w:lineRule="auto"/>
        <w:ind w:left="113" w:firstLine="450"/>
        <w:rPr>
          <w:color w:val="FF0000"/>
          <w:sz w:val="20"/>
          <w:szCs w:val="20"/>
        </w:rPr>
      </w:pPr>
      <w:r>
        <w:rPr>
          <w:sz w:val="20"/>
          <w:szCs w:val="20"/>
        </w:rPr>
        <w:t xml:space="preserve">Nanoparticles are particles with sizes ranging from 1 to 1000 nm, which confer a very large surface area </w:t>
      </w:r>
      <w:r>
        <w:rPr>
          <w:color w:val="000000"/>
          <w:sz w:val="20"/>
          <w:szCs w:val="20"/>
        </w:rPr>
        <w:t xml:space="preserve">[5]. </w:t>
      </w:r>
      <w:r>
        <w:rPr>
          <w:sz w:val="20"/>
          <w:szCs w:val="20"/>
        </w:rPr>
        <w:t xml:space="preserve">This property increases the probability of interactions between nanoparticles and analytes, thereby enhancing detection performance. In addition, the optical properties of nanoparticles—which can be tuned by controlling their size, shape, dielectric constant, and inter-particle distance—make them widely applicable in heavy metal analysis, even at highly </w:t>
      </w:r>
      <w:proofErr w:type="gramStart"/>
      <w:r>
        <w:rPr>
          <w:sz w:val="20"/>
          <w:szCs w:val="20"/>
        </w:rPr>
        <w:t>dilute</w:t>
      </w:r>
      <w:proofErr w:type="gramEnd"/>
      <w:r>
        <w:rPr>
          <w:sz w:val="20"/>
          <w:szCs w:val="20"/>
        </w:rPr>
        <w:t xml:space="preserve"> concentrations. Among metal nanoparticles, gold (AuNPs) and silver nanoparticles (</w:t>
      </w:r>
      <w:proofErr w:type="spellStart"/>
      <w:r>
        <w:rPr>
          <w:sz w:val="20"/>
          <w:szCs w:val="20"/>
        </w:rPr>
        <w:t>AgNPs</w:t>
      </w:r>
      <w:proofErr w:type="spellEnd"/>
      <w:r>
        <w:rPr>
          <w:sz w:val="20"/>
          <w:szCs w:val="20"/>
        </w:rPr>
        <w:t xml:space="preserve">) are most extensively reported as sensors, with </w:t>
      </w:r>
      <w:proofErr w:type="spellStart"/>
      <w:r>
        <w:rPr>
          <w:sz w:val="20"/>
          <w:szCs w:val="20"/>
        </w:rPr>
        <w:t>AgNPs</w:t>
      </w:r>
      <w:proofErr w:type="spellEnd"/>
      <w:r>
        <w:rPr>
          <w:sz w:val="20"/>
          <w:szCs w:val="20"/>
        </w:rPr>
        <w:t xml:space="preserve"> receiving greater attention than AuNPs due to their lower cost </w:t>
      </w:r>
      <w:r>
        <w:rPr>
          <w:color w:val="000000"/>
          <w:sz w:val="20"/>
          <w:szCs w:val="20"/>
        </w:rPr>
        <w:t>[6].</w:t>
      </w:r>
      <w:r>
        <w:rPr>
          <w:color w:val="FF0000"/>
          <w:sz w:val="20"/>
          <w:szCs w:val="20"/>
        </w:rPr>
        <w:t xml:space="preserve"> </w:t>
      </w:r>
      <w:r>
        <w:rPr>
          <w:sz w:val="20"/>
          <w:szCs w:val="20"/>
        </w:rPr>
        <w:t xml:space="preserve">Moreover, silver ions in </w:t>
      </w:r>
      <w:proofErr w:type="spellStart"/>
      <w:r>
        <w:rPr>
          <w:sz w:val="20"/>
          <w:szCs w:val="20"/>
        </w:rPr>
        <w:t>AgNPs</w:t>
      </w:r>
      <w:proofErr w:type="spellEnd"/>
      <w:r>
        <w:rPr>
          <w:sz w:val="20"/>
          <w:szCs w:val="20"/>
        </w:rPr>
        <w:t xml:space="preserve"> can form relatively strong covalent bonds with other substances and provide a high surface area, further supporting their sensing performance </w:t>
      </w:r>
      <w:r>
        <w:rPr>
          <w:color w:val="000000"/>
          <w:sz w:val="20"/>
          <w:szCs w:val="20"/>
        </w:rPr>
        <w:t>[7]</w:t>
      </w:r>
      <w:r>
        <w:rPr>
          <w:sz w:val="20"/>
          <w:szCs w:val="20"/>
        </w:rPr>
        <w:t>.</w:t>
      </w:r>
    </w:p>
    <w:p w14:paraId="50529870" w14:textId="77777777" w:rsidR="00CA4AB5" w:rsidRDefault="00000000">
      <w:pPr>
        <w:spacing w:line="240" w:lineRule="auto"/>
        <w:ind w:left="113" w:firstLine="450"/>
        <w:rPr>
          <w:sz w:val="20"/>
          <w:szCs w:val="20"/>
        </w:rPr>
      </w:pPr>
      <w:proofErr w:type="spellStart"/>
      <w:r>
        <w:rPr>
          <w:sz w:val="20"/>
          <w:szCs w:val="20"/>
        </w:rPr>
        <w:t>AgNPs</w:t>
      </w:r>
      <w:proofErr w:type="spellEnd"/>
      <w:r>
        <w:rPr>
          <w:sz w:val="20"/>
          <w:szCs w:val="20"/>
        </w:rPr>
        <w:t xml:space="preserve"> can be synthesized through various methods; however, the chemicals typically employed in these processes are often toxic and produce environmentally hazardous byproducts. Green synthesis offers a </w:t>
      </w:r>
      <w:r>
        <w:rPr>
          <w:sz w:val="20"/>
          <w:szCs w:val="20"/>
        </w:rPr>
        <w:lastRenderedPageBreak/>
        <w:t xml:space="preserve">sustainable alternative by utilizing microorganisms or plant extracts that act both as reducing and capping agents. Several studies have demonstrated the green synthesis of </w:t>
      </w:r>
      <w:proofErr w:type="spellStart"/>
      <w:r>
        <w:rPr>
          <w:sz w:val="20"/>
          <w:szCs w:val="20"/>
        </w:rPr>
        <w:t>AgNPs</w:t>
      </w:r>
      <w:proofErr w:type="spellEnd"/>
      <w:r>
        <w:rPr>
          <w:sz w:val="20"/>
          <w:szCs w:val="20"/>
        </w:rPr>
        <w:t xml:space="preserve"> from natural sources, including dragon fruit peel extract, which contains phenolic compounds capable of reducing Ag(I) to </w:t>
      </w:r>
      <w:proofErr w:type="gramStart"/>
      <w:r>
        <w:rPr>
          <w:sz w:val="20"/>
          <w:szCs w:val="20"/>
        </w:rPr>
        <w:t>Ag(</w:t>
      </w:r>
      <w:proofErr w:type="gramEnd"/>
      <w:r>
        <w:rPr>
          <w:sz w:val="20"/>
          <w:szCs w:val="20"/>
        </w:rPr>
        <w:t xml:space="preserve">0) </w:t>
      </w:r>
      <w:r>
        <w:rPr>
          <w:color w:val="000000"/>
          <w:sz w:val="20"/>
          <w:szCs w:val="20"/>
        </w:rPr>
        <w:t>[8]</w:t>
      </w:r>
      <w:r>
        <w:rPr>
          <w:sz w:val="20"/>
          <w:szCs w:val="20"/>
        </w:rPr>
        <w:t>. To further improve the selectivity of PADs for Pb</w:t>
      </w:r>
      <w:r>
        <w:rPr>
          <w:sz w:val="20"/>
          <w:szCs w:val="20"/>
          <w:vertAlign w:val="superscript"/>
        </w:rPr>
        <w:t>2+</w:t>
      </w:r>
      <w:r>
        <w:rPr>
          <w:sz w:val="20"/>
          <w:szCs w:val="20"/>
        </w:rPr>
        <w:t xml:space="preserve"> detection, </w:t>
      </w:r>
      <w:proofErr w:type="spellStart"/>
      <w:r>
        <w:rPr>
          <w:sz w:val="20"/>
          <w:szCs w:val="20"/>
        </w:rPr>
        <w:t>AgNPs</w:t>
      </w:r>
      <w:proofErr w:type="spellEnd"/>
      <w:r>
        <w:rPr>
          <w:sz w:val="20"/>
          <w:szCs w:val="20"/>
        </w:rPr>
        <w:t xml:space="preserve"> can be combined with dithizone (1,5-diphenylthiocarbazone), a selective ligand that binds Pb</w:t>
      </w:r>
      <w:r>
        <w:rPr>
          <w:sz w:val="20"/>
          <w:szCs w:val="20"/>
          <w:vertAlign w:val="superscript"/>
        </w:rPr>
        <w:t>2+</w:t>
      </w:r>
      <w:r>
        <w:rPr>
          <w:sz w:val="20"/>
          <w:szCs w:val="20"/>
        </w:rPr>
        <w:t xml:space="preserve">. The sulfide groups of dithizone enable covalent interactions with </w:t>
      </w:r>
      <w:proofErr w:type="spellStart"/>
      <w:r>
        <w:rPr>
          <w:sz w:val="20"/>
          <w:szCs w:val="20"/>
        </w:rPr>
        <w:t>AgNPs</w:t>
      </w:r>
      <w:proofErr w:type="spellEnd"/>
      <w:r>
        <w:rPr>
          <w:sz w:val="20"/>
          <w:szCs w:val="20"/>
        </w:rPr>
        <w:t xml:space="preserve">, thereby enhancing the stability and selectivity of the sensing system </w:t>
      </w:r>
      <w:r>
        <w:rPr>
          <w:color w:val="000000"/>
          <w:sz w:val="20"/>
          <w:szCs w:val="20"/>
        </w:rPr>
        <w:t>[9]</w:t>
      </w:r>
      <w:r>
        <w:rPr>
          <w:sz w:val="20"/>
          <w:szCs w:val="20"/>
        </w:rPr>
        <w:t>.</w:t>
      </w:r>
    </w:p>
    <w:p w14:paraId="0BAED7D5" w14:textId="77777777" w:rsidR="00CA4AB5" w:rsidRDefault="00000000">
      <w:pPr>
        <w:spacing w:line="240" w:lineRule="auto"/>
        <w:ind w:left="113" w:firstLine="450"/>
        <w:rPr>
          <w:sz w:val="20"/>
          <w:szCs w:val="20"/>
        </w:rPr>
      </w:pPr>
      <w:r>
        <w:rPr>
          <w:sz w:val="20"/>
          <w:szCs w:val="20"/>
        </w:rPr>
        <w:t>In this study, a combination of silver nanoparticles (</w:t>
      </w:r>
      <w:proofErr w:type="spellStart"/>
      <w:r>
        <w:rPr>
          <w:sz w:val="20"/>
          <w:szCs w:val="20"/>
        </w:rPr>
        <w:t>AgNPs</w:t>
      </w:r>
      <w:proofErr w:type="spellEnd"/>
      <w:r>
        <w:rPr>
          <w:sz w:val="20"/>
          <w:szCs w:val="20"/>
        </w:rPr>
        <w:t>) and dithizone nanoparticles (DTZ-NPs) was employed to enhance the sensitivity and selectivity of PADs for Pb</w:t>
      </w:r>
      <w:r>
        <w:rPr>
          <w:sz w:val="20"/>
          <w:szCs w:val="20"/>
          <w:vertAlign w:val="superscript"/>
        </w:rPr>
        <w:t>2+</w:t>
      </w:r>
      <w:r>
        <w:rPr>
          <w:sz w:val="20"/>
          <w:szCs w:val="20"/>
        </w:rPr>
        <w:t xml:space="preserve"> detection. </w:t>
      </w:r>
      <w:proofErr w:type="spellStart"/>
      <w:r>
        <w:rPr>
          <w:sz w:val="20"/>
          <w:szCs w:val="20"/>
        </w:rPr>
        <w:t>AgNPs</w:t>
      </w:r>
      <w:proofErr w:type="spellEnd"/>
      <w:r>
        <w:rPr>
          <w:sz w:val="20"/>
          <w:szCs w:val="20"/>
        </w:rPr>
        <w:t xml:space="preserve"> were synthesized via a green synthesis route using red dragon fruit </w:t>
      </w:r>
      <w:r>
        <w:rPr>
          <w:i/>
          <w:sz w:val="20"/>
          <w:szCs w:val="20"/>
        </w:rPr>
        <w:t xml:space="preserve">(Hylocereus </w:t>
      </w:r>
      <w:proofErr w:type="spellStart"/>
      <w:r>
        <w:rPr>
          <w:i/>
          <w:sz w:val="20"/>
          <w:szCs w:val="20"/>
        </w:rPr>
        <w:t>costaricensis</w:t>
      </w:r>
      <w:proofErr w:type="spellEnd"/>
      <w:r>
        <w:rPr>
          <w:i/>
          <w:sz w:val="20"/>
          <w:szCs w:val="20"/>
        </w:rPr>
        <w:t>)</w:t>
      </w:r>
      <w:r>
        <w:rPr>
          <w:sz w:val="20"/>
          <w:szCs w:val="20"/>
        </w:rPr>
        <w:t xml:space="preserve"> peel extract as both the reducing and capping </w:t>
      </w:r>
      <w:proofErr w:type="gramStart"/>
      <w:r>
        <w:rPr>
          <w:sz w:val="20"/>
          <w:szCs w:val="20"/>
        </w:rPr>
        <w:t>agent, and</w:t>
      </w:r>
      <w:proofErr w:type="gramEnd"/>
      <w:r>
        <w:rPr>
          <w:sz w:val="20"/>
          <w:szCs w:val="20"/>
        </w:rPr>
        <w:t xml:space="preserve"> subsequently combined with DTZ-NPs prepared through the reprecipitation method. Unlike previous PAD-nanoparticle systems that typically employed a single nanoparticle type, our work integrates biogenic </w:t>
      </w:r>
      <w:proofErr w:type="spellStart"/>
      <w:r>
        <w:rPr>
          <w:sz w:val="20"/>
          <w:szCs w:val="20"/>
        </w:rPr>
        <w:t>AgNPs</w:t>
      </w:r>
      <w:proofErr w:type="spellEnd"/>
      <w:r>
        <w:rPr>
          <w:sz w:val="20"/>
          <w:szCs w:val="20"/>
        </w:rPr>
        <w:t xml:space="preserve"> with dithizone nanocrystals to enhance both sensitivity and selectivity toward Pb</w:t>
      </w:r>
      <w:r>
        <w:rPr>
          <w:sz w:val="20"/>
          <w:szCs w:val="20"/>
          <w:vertAlign w:val="superscript"/>
        </w:rPr>
        <w:t>2+</w:t>
      </w:r>
      <w:r>
        <w:rPr>
          <w:sz w:val="20"/>
          <w:szCs w:val="20"/>
        </w:rPr>
        <w:t xml:space="preserve"> ions.</w:t>
      </w:r>
    </w:p>
    <w:p w14:paraId="4D9AC35F" w14:textId="77777777" w:rsidR="00CA4AB5" w:rsidRDefault="00CA4AB5">
      <w:pPr>
        <w:spacing w:line="240" w:lineRule="auto"/>
        <w:ind w:firstLine="720"/>
      </w:pPr>
    </w:p>
    <w:p w14:paraId="4545E7CE" w14:textId="77777777" w:rsidR="00CA4AB5" w:rsidRDefault="00000000">
      <w:pPr>
        <w:pStyle w:val="Heading1"/>
        <w:spacing w:line="240" w:lineRule="auto"/>
      </w:pPr>
      <w:r>
        <w:t>MATERIALS AND METHODS</w:t>
      </w:r>
    </w:p>
    <w:p w14:paraId="25DAB0F0" w14:textId="77777777" w:rsidR="00CA4AB5" w:rsidRDefault="00CA4AB5">
      <w:pPr>
        <w:spacing w:line="240" w:lineRule="auto"/>
      </w:pPr>
    </w:p>
    <w:p w14:paraId="51C2BEA1" w14:textId="77777777" w:rsidR="00CA4AB5" w:rsidRDefault="00000000">
      <w:pPr>
        <w:spacing w:line="240" w:lineRule="auto"/>
        <w:ind w:left="113" w:firstLine="450"/>
        <w:rPr>
          <w:color w:val="000000"/>
          <w:sz w:val="20"/>
          <w:szCs w:val="20"/>
        </w:rPr>
      </w:pPr>
      <w:r>
        <w:rPr>
          <w:color w:val="000000"/>
          <w:sz w:val="20"/>
          <w:szCs w:val="20"/>
        </w:rPr>
        <w:t xml:space="preserve">This research was carried out in a laboratory setting over approximately four months at the Laboratory of Instrumentation and Analytical Science, Department of Chemistry, </w:t>
      </w:r>
      <w:proofErr w:type="spellStart"/>
      <w:r>
        <w:rPr>
          <w:color w:val="000000"/>
          <w:sz w:val="20"/>
          <w:szCs w:val="20"/>
        </w:rPr>
        <w:t>Institut</w:t>
      </w:r>
      <w:proofErr w:type="spellEnd"/>
      <w:r>
        <w:rPr>
          <w:color w:val="000000"/>
          <w:sz w:val="20"/>
          <w:szCs w:val="20"/>
        </w:rPr>
        <w:t xml:space="preserve"> </w:t>
      </w:r>
      <w:proofErr w:type="spellStart"/>
      <w:r>
        <w:rPr>
          <w:color w:val="000000"/>
          <w:sz w:val="20"/>
          <w:szCs w:val="20"/>
        </w:rPr>
        <w:t>Teknologi</w:t>
      </w:r>
      <w:proofErr w:type="spellEnd"/>
      <w:r>
        <w:rPr>
          <w:color w:val="000000"/>
          <w:sz w:val="20"/>
          <w:szCs w:val="20"/>
        </w:rPr>
        <w:t xml:space="preserve"> </w:t>
      </w:r>
      <w:proofErr w:type="spellStart"/>
      <w:r>
        <w:rPr>
          <w:color w:val="000000"/>
          <w:sz w:val="20"/>
          <w:szCs w:val="20"/>
        </w:rPr>
        <w:t>Sepuluh</w:t>
      </w:r>
      <w:proofErr w:type="spellEnd"/>
      <w:r>
        <w:rPr>
          <w:color w:val="000000"/>
          <w:sz w:val="20"/>
          <w:szCs w:val="20"/>
        </w:rPr>
        <w:t xml:space="preserve"> </w:t>
      </w:r>
      <w:proofErr w:type="spellStart"/>
      <w:r>
        <w:rPr>
          <w:color w:val="000000"/>
          <w:sz w:val="20"/>
          <w:szCs w:val="20"/>
        </w:rPr>
        <w:t>Nopember</w:t>
      </w:r>
      <w:proofErr w:type="spellEnd"/>
      <w:r>
        <w:rPr>
          <w:color w:val="000000"/>
          <w:sz w:val="20"/>
          <w:szCs w:val="20"/>
        </w:rPr>
        <w:t>. The equipment employed included laboratory glassware, micropipettes, an analytical balance, Whatman qualitative filter paper No. 93, a glass vacuum suction filtration kit with a 250 mL Büchner funnel, a hot plate, a magnetic stirrer, a UV–</w:t>
      </w:r>
      <w:proofErr w:type="gramStart"/>
      <w:r>
        <w:rPr>
          <w:color w:val="000000"/>
          <w:sz w:val="20"/>
          <w:szCs w:val="20"/>
        </w:rPr>
        <w:t>Vis</w:t>
      </w:r>
      <w:proofErr w:type="gramEnd"/>
      <w:r>
        <w:rPr>
          <w:color w:val="000000"/>
          <w:sz w:val="20"/>
          <w:szCs w:val="20"/>
        </w:rPr>
        <w:t xml:space="preserve"> spectrophotometer (Genesys 10S UV–Vis), a particle size analyzer (Malvern </w:t>
      </w:r>
      <w:proofErr w:type="spellStart"/>
      <w:r>
        <w:rPr>
          <w:color w:val="000000"/>
          <w:sz w:val="20"/>
          <w:szCs w:val="20"/>
        </w:rPr>
        <w:t>Panalytical</w:t>
      </w:r>
      <w:proofErr w:type="spellEnd"/>
      <w:r>
        <w:rPr>
          <w:color w:val="000000"/>
          <w:sz w:val="20"/>
          <w:szCs w:val="20"/>
        </w:rPr>
        <w:t>–</w:t>
      </w:r>
      <w:proofErr w:type="spellStart"/>
      <w:r>
        <w:rPr>
          <w:color w:val="000000"/>
          <w:sz w:val="20"/>
          <w:szCs w:val="20"/>
        </w:rPr>
        <w:t>Zetasizer</w:t>
      </w:r>
      <w:proofErr w:type="spellEnd"/>
      <w:r>
        <w:rPr>
          <w:color w:val="000000"/>
          <w:sz w:val="20"/>
          <w:szCs w:val="20"/>
        </w:rPr>
        <w:t xml:space="preserve"> Pro), and a </w:t>
      </w:r>
      <w:proofErr w:type="spellStart"/>
      <w:r>
        <w:rPr>
          <w:color w:val="000000"/>
          <w:sz w:val="20"/>
          <w:szCs w:val="20"/>
        </w:rPr>
        <w:t>Puluz</w:t>
      </w:r>
      <w:proofErr w:type="spellEnd"/>
      <w:r>
        <w:rPr>
          <w:color w:val="000000"/>
          <w:sz w:val="20"/>
          <w:szCs w:val="20"/>
        </w:rPr>
        <w:t xml:space="preserve"> portable photo studio lightbox. The materials used were dragon fruit peel waste, distilled water, acetone, AgNO</w:t>
      </w:r>
      <w:r>
        <w:rPr>
          <w:color w:val="000000"/>
          <w:sz w:val="20"/>
          <w:szCs w:val="20"/>
          <w:vertAlign w:val="subscript"/>
        </w:rPr>
        <w:t>3</w:t>
      </w:r>
      <w:r>
        <w:rPr>
          <w:color w:val="000000"/>
          <w:sz w:val="20"/>
          <w:szCs w:val="20"/>
        </w:rPr>
        <w:t xml:space="preserve">, TAPS buffer, dithizone (1,5-diphenylthiocarbazone), NaOH, and </w:t>
      </w:r>
      <w:proofErr w:type="gramStart"/>
      <w:r>
        <w:rPr>
          <w:color w:val="000000"/>
          <w:sz w:val="20"/>
          <w:szCs w:val="20"/>
        </w:rPr>
        <w:t>Pb(</w:t>
      </w:r>
      <w:proofErr w:type="gramEnd"/>
      <w:r>
        <w:rPr>
          <w:color w:val="000000"/>
          <w:sz w:val="20"/>
          <w:szCs w:val="20"/>
        </w:rPr>
        <w:t>NO</w:t>
      </w:r>
      <w:r>
        <w:rPr>
          <w:color w:val="000000"/>
          <w:sz w:val="20"/>
          <w:szCs w:val="20"/>
          <w:vertAlign w:val="subscript"/>
        </w:rPr>
        <w:t>3</w:t>
      </w:r>
      <w:r>
        <w:rPr>
          <w:color w:val="000000"/>
          <w:sz w:val="20"/>
          <w:szCs w:val="20"/>
        </w:rPr>
        <w:t>)</w:t>
      </w:r>
      <w:r>
        <w:rPr>
          <w:color w:val="000000"/>
          <w:sz w:val="20"/>
          <w:szCs w:val="20"/>
          <w:vertAlign w:val="subscript"/>
        </w:rPr>
        <w:t>2</w:t>
      </w:r>
      <w:r>
        <w:rPr>
          <w:color w:val="000000"/>
          <w:sz w:val="20"/>
          <w:szCs w:val="20"/>
        </w:rPr>
        <w:t>.</w:t>
      </w:r>
    </w:p>
    <w:p w14:paraId="3717FF5B" w14:textId="77777777" w:rsidR="00CA4AB5" w:rsidRDefault="00000000">
      <w:pPr>
        <w:spacing w:line="240" w:lineRule="auto"/>
        <w:ind w:left="113" w:firstLine="450"/>
        <w:rPr>
          <w:color w:val="000000"/>
          <w:sz w:val="20"/>
          <w:szCs w:val="20"/>
        </w:rPr>
      </w:pPr>
      <w:r>
        <w:rPr>
          <w:color w:val="000000"/>
          <w:sz w:val="20"/>
          <w:szCs w:val="20"/>
        </w:rPr>
        <w:t xml:space="preserve">The preparation of PADs began with cutting Whatman No. 93 filter paper, followed by printing 2.5 mm-diameter circles using a Fuji Xerox DocuCentre-V C3375 laser printer with Fuji Xerox toner. The printed papers were then oven-dried at 165 °C for one hour. The results of PAD fabrication are shown in </w:t>
      </w:r>
      <w:r>
        <w:rPr>
          <w:b/>
          <w:color w:val="000000"/>
          <w:sz w:val="20"/>
          <w:szCs w:val="20"/>
        </w:rPr>
        <w:t>FIGURE 2(a)</w:t>
      </w:r>
      <w:r>
        <w:rPr>
          <w:color w:val="000000"/>
          <w:sz w:val="20"/>
          <w:szCs w:val="20"/>
        </w:rPr>
        <w:t>.</w:t>
      </w:r>
    </w:p>
    <w:p w14:paraId="2EAC09DF" w14:textId="77777777" w:rsidR="00CA4AB5" w:rsidRDefault="00000000">
      <w:pPr>
        <w:spacing w:line="240" w:lineRule="auto"/>
        <w:ind w:left="113" w:firstLine="450"/>
        <w:rPr>
          <w:color w:val="000000"/>
          <w:sz w:val="20"/>
          <w:szCs w:val="20"/>
        </w:rPr>
      </w:pPr>
      <w:r>
        <w:rPr>
          <w:color w:val="000000"/>
          <w:sz w:val="20"/>
          <w:szCs w:val="20"/>
        </w:rPr>
        <w:t xml:space="preserve">For the synthesis of </w:t>
      </w:r>
      <w:proofErr w:type="spellStart"/>
      <w:r>
        <w:rPr>
          <w:color w:val="000000"/>
          <w:sz w:val="20"/>
          <w:szCs w:val="20"/>
        </w:rPr>
        <w:t>AgNPs</w:t>
      </w:r>
      <w:proofErr w:type="spellEnd"/>
      <w:r>
        <w:rPr>
          <w:color w:val="000000"/>
          <w:sz w:val="20"/>
          <w:szCs w:val="20"/>
        </w:rPr>
        <w:t>, dragon fruit peel extract was prepared by blending 20 g of peel with 220 mL of distilled water and heating the mixture to 100 °C for 15 minutes. The extract was cooled and filtered to obtain the filtrate. A total of 220 mL of the filtrate was then mixed with 110 mL of 10 mM AgNO</w:t>
      </w:r>
      <w:r>
        <w:rPr>
          <w:color w:val="000000"/>
          <w:sz w:val="20"/>
          <w:szCs w:val="20"/>
          <w:vertAlign w:val="subscript"/>
        </w:rPr>
        <w:t>3</w:t>
      </w:r>
      <w:r>
        <w:rPr>
          <w:color w:val="000000"/>
          <w:sz w:val="20"/>
          <w:szCs w:val="20"/>
        </w:rPr>
        <w:t xml:space="preserve"> solution and stirred at room temperature for 24 hours using a magnetic stirrer. The synthesized </w:t>
      </w:r>
      <w:proofErr w:type="spellStart"/>
      <w:r>
        <w:rPr>
          <w:color w:val="000000"/>
          <w:sz w:val="20"/>
          <w:szCs w:val="20"/>
        </w:rPr>
        <w:t>AgNPs</w:t>
      </w:r>
      <w:proofErr w:type="spellEnd"/>
      <w:r>
        <w:rPr>
          <w:color w:val="000000"/>
          <w:sz w:val="20"/>
          <w:szCs w:val="20"/>
        </w:rPr>
        <w:t xml:space="preserve"> were stored in a refrigerator for further use.</w:t>
      </w:r>
    </w:p>
    <w:p w14:paraId="19037240" w14:textId="77777777" w:rsidR="00CA4AB5" w:rsidRDefault="00000000">
      <w:pPr>
        <w:spacing w:line="240" w:lineRule="auto"/>
        <w:ind w:left="113" w:firstLine="450"/>
        <w:rPr>
          <w:color w:val="000000"/>
          <w:sz w:val="20"/>
          <w:szCs w:val="20"/>
        </w:rPr>
      </w:pPr>
      <w:r>
        <w:rPr>
          <w:color w:val="000000"/>
          <w:sz w:val="20"/>
          <w:szCs w:val="20"/>
        </w:rPr>
        <w:t xml:space="preserve">DTZ-NPs were synthesized using the reprecipitation method, as illustrated in </w:t>
      </w:r>
      <w:r>
        <w:rPr>
          <w:b/>
          <w:color w:val="000000"/>
          <w:sz w:val="20"/>
          <w:szCs w:val="20"/>
        </w:rPr>
        <w:t xml:space="preserve">FIGURE 1 </w:t>
      </w:r>
      <w:r>
        <w:rPr>
          <w:color w:val="000000"/>
          <w:sz w:val="20"/>
          <w:szCs w:val="20"/>
        </w:rPr>
        <w:t>[10]. A 10 mM dithizone solution was first prepared in acetone. Subsequently, 100 µL of this solution was injected into 10 mL of 0.1 M TAPS buffer (pH 7) at room temperature using a syringe while stirring vigorously. After injection, the stirring was stopped, and the resulting DTZ-NPs were allowed to stand at room temperature.</w:t>
      </w:r>
    </w:p>
    <w:p w14:paraId="3442CA9B" w14:textId="77777777" w:rsidR="00CA4AB5" w:rsidRDefault="00CA4AB5">
      <w:pPr>
        <w:spacing w:line="240" w:lineRule="auto"/>
        <w:ind w:firstLine="450"/>
        <w:rPr>
          <w:color w:val="000000"/>
          <w:sz w:val="20"/>
          <w:szCs w:val="20"/>
        </w:rPr>
      </w:pPr>
    </w:p>
    <w:p w14:paraId="01636F7C" w14:textId="77777777" w:rsidR="00CA4AB5" w:rsidRDefault="00000000">
      <w:pPr>
        <w:spacing w:line="240" w:lineRule="auto"/>
        <w:ind w:firstLine="0"/>
        <w:jc w:val="center"/>
      </w:pPr>
      <w:r>
        <w:rPr>
          <w:noProof/>
          <w:color w:val="000000"/>
          <w:sz w:val="20"/>
          <w:szCs w:val="20"/>
        </w:rPr>
        <w:drawing>
          <wp:inline distT="0" distB="0" distL="0" distR="0" wp14:anchorId="041B886D" wp14:editId="2F4D7A4A">
            <wp:extent cx="1331973" cy="1143782"/>
            <wp:effectExtent l="0" t="0" r="0" b="0"/>
            <wp:docPr id="208549823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8"/>
                    <a:srcRect/>
                    <a:stretch>
                      <a:fillRect/>
                    </a:stretch>
                  </pic:blipFill>
                  <pic:spPr>
                    <a:xfrm>
                      <a:off x="0" y="0"/>
                      <a:ext cx="1331973" cy="1143782"/>
                    </a:xfrm>
                    <a:prstGeom prst="rect">
                      <a:avLst/>
                    </a:prstGeom>
                    <a:ln/>
                  </pic:spPr>
                </pic:pic>
              </a:graphicData>
            </a:graphic>
          </wp:inline>
        </w:drawing>
      </w:r>
      <w:r>
        <w:t xml:space="preserve"> </w:t>
      </w:r>
    </w:p>
    <w:p w14:paraId="5EB88CFC" w14:textId="77777777" w:rsidR="00CA4AB5" w:rsidRDefault="00000000">
      <w:pPr>
        <w:spacing w:before="240" w:line="240" w:lineRule="auto"/>
        <w:ind w:firstLine="0"/>
        <w:jc w:val="center"/>
        <w:rPr>
          <w:sz w:val="18"/>
          <w:szCs w:val="18"/>
        </w:rPr>
      </w:pPr>
      <w:r>
        <w:rPr>
          <w:b/>
          <w:sz w:val="18"/>
          <w:szCs w:val="18"/>
        </w:rPr>
        <w:t xml:space="preserve">FIGURE 1. </w:t>
      </w:r>
      <w:r>
        <w:rPr>
          <w:sz w:val="18"/>
          <w:szCs w:val="18"/>
        </w:rPr>
        <w:t>Schematic of the Reprecipitation Method</w:t>
      </w:r>
    </w:p>
    <w:p w14:paraId="69058E71" w14:textId="77777777" w:rsidR="00CA4AB5" w:rsidRDefault="00CA4AB5">
      <w:pPr>
        <w:spacing w:line="240" w:lineRule="auto"/>
        <w:ind w:firstLine="0"/>
        <w:jc w:val="center"/>
        <w:rPr>
          <w:color w:val="000000"/>
          <w:sz w:val="20"/>
          <w:szCs w:val="20"/>
        </w:rPr>
      </w:pPr>
    </w:p>
    <w:p w14:paraId="153663C3" w14:textId="77777777" w:rsidR="00CA4AB5" w:rsidRDefault="00000000">
      <w:pPr>
        <w:spacing w:line="240" w:lineRule="auto"/>
        <w:ind w:left="113" w:firstLine="450"/>
        <w:rPr>
          <w:color w:val="000000"/>
          <w:sz w:val="20"/>
          <w:szCs w:val="20"/>
        </w:rPr>
      </w:pPr>
      <w:r>
        <w:rPr>
          <w:color w:val="000000"/>
          <w:sz w:val="20"/>
          <w:szCs w:val="20"/>
        </w:rPr>
        <w:t xml:space="preserve">The </w:t>
      </w:r>
      <w:proofErr w:type="spellStart"/>
      <w:r>
        <w:rPr>
          <w:color w:val="000000"/>
          <w:sz w:val="20"/>
          <w:szCs w:val="20"/>
        </w:rPr>
        <w:t>AgNPs</w:t>
      </w:r>
      <w:proofErr w:type="spellEnd"/>
      <w:r>
        <w:rPr>
          <w:color w:val="000000"/>
          <w:sz w:val="20"/>
          <w:szCs w:val="20"/>
        </w:rPr>
        <w:t xml:space="preserve"> and DTZ-NPs obtained from the synthesis stages were characterized using a UV-Vis spectrophotometer (Genesys 10S UV-Vis) to confirm the surface plasmon resonance (SPR) absorption band and to estimate the nanoparticle bandgap width. The particle size distribution and zeta potential were determined using a Particle Size Analyzer (Malvern </w:t>
      </w:r>
      <w:proofErr w:type="spellStart"/>
      <w:r>
        <w:rPr>
          <w:color w:val="000000"/>
          <w:sz w:val="20"/>
          <w:szCs w:val="20"/>
        </w:rPr>
        <w:t>Panalytical</w:t>
      </w:r>
      <w:proofErr w:type="spellEnd"/>
      <w:r>
        <w:rPr>
          <w:color w:val="000000"/>
          <w:sz w:val="20"/>
          <w:szCs w:val="20"/>
        </w:rPr>
        <w:t xml:space="preserve"> </w:t>
      </w:r>
      <w:proofErr w:type="spellStart"/>
      <w:r>
        <w:rPr>
          <w:color w:val="000000"/>
          <w:sz w:val="20"/>
          <w:szCs w:val="20"/>
        </w:rPr>
        <w:t>Zetasizer</w:t>
      </w:r>
      <w:proofErr w:type="spellEnd"/>
      <w:r>
        <w:rPr>
          <w:color w:val="000000"/>
          <w:sz w:val="20"/>
          <w:szCs w:val="20"/>
        </w:rPr>
        <w:t xml:space="preserve"> Pro). These characterizations were performed at room temperature using aqueous dispersions of the nanoparticles.</w:t>
      </w:r>
    </w:p>
    <w:p w14:paraId="629DFA18" w14:textId="77777777" w:rsidR="00CA4AB5" w:rsidRDefault="00000000">
      <w:pPr>
        <w:spacing w:line="240" w:lineRule="auto"/>
        <w:ind w:left="113" w:firstLine="450"/>
        <w:rPr>
          <w:color w:val="000000"/>
          <w:sz w:val="20"/>
          <w:szCs w:val="20"/>
        </w:rPr>
      </w:pPr>
      <w:r>
        <w:rPr>
          <w:color w:val="000000"/>
          <w:sz w:val="20"/>
          <w:szCs w:val="20"/>
        </w:rPr>
        <w:t xml:space="preserve">For nanoparticle immobilization, </w:t>
      </w:r>
      <w:proofErr w:type="spellStart"/>
      <w:r>
        <w:rPr>
          <w:color w:val="000000"/>
          <w:sz w:val="20"/>
          <w:szCs w:val="20"/>
        </w:rPr>
        <w:t>AgNPs</w:t>
      </w:r>
      <w:proofErr w:type="spellEnd"/>
      <w:r>
        <w:rPr>
          <w:color w:val="000000"/>
          <w:sz w:val="20"/>
          <w:szCs w:val="20"/>
        </w:rPr>
        <w:t xml:space="preserve"> and DTZ-NPs were mixed in a 5:1 ratio in a vial, and the pH was adjusted to 7. The Ag-DTZ NPs suspension was then immobilized on PADs by placing the PADs in a glass filtration funnel connected to a vacuum suction bottle. The suspension was applied dropwise using a micropipette and allowed to stand for 30 minutes in a petri dish. The immobilization procedure is illustrated in </w:t>
      </w:r>
      <w:r>
        <w:rPr>
          <w:b/>
          <w:color w:val="000000"/>
          <w:sz w:val="20"/>
          <w:szCs w:val="20"/>
        </w:rPr>
        <w:t>FIGURE 2(b)</w:t>
      </w:r>
      <w:r>
        <w:rPr>
          <w:color w:val="000000"/>
          <w:sz w:val="20"/>
          <w:szCs w:val="20"/>
        </w:rPr>
        <w:t>. For Pb</w:t>
      </w:r>
      <w:r>
        <w:rPr>
          <w:color w:val="000000"/>
          <w:sz w:val="20"/>
          <w:szCs w:val="20"/>
          <w:vertAlign w:val="superscript"/>
        </w:rPr>
        <w:t>2+</w:t>
      </w:r>
      <w:r>
        <w:rPr>
          <w:color w:val="000000"/>
          <w:sz w:val="20"/>
          <w:szCs w:val="20"/>
        </w:rPr>
        <w:t xml:space="preserve"> detection, a </w:t>
      </w:r>
      <w:proofErr w:type="gramStart"/>
      <w:r>
        <w:rPr>
          <w:color w:val="000000"/>
          <w:sz w:val="20"/>
          <w:szCs w:val="20"/>
        </w:rPr>
        <w:t>Pb(</w:t>
      </w:r>
      <w:proofErr w:type="gramEnd"/>
      <w:r>
        <w:rPr>
          <w:color w:val="000000"/>
          <w:sz w:val="20"/>
          <w:szCs w:val="20"/>
        </w:rPr>
        <w:t>NO</w:t>
      </w:r>
      <w:r>
        <w:rPr>
          <w:color w:val="000000"/>
          <w:sz w:val="20"/>
          <w:szCs w:val="20"/>
          <w:vertAlign w:val="subscript"/>
        </w:rPr>
        <w:t>3</w:t>
      </w:r>
      <w:r>
        <w:rPr>
          <w:color w:val="000000"/>
          <w:sz w:val="20"/>
          <w:szCs w:val="20"/>
        </w:rPr>
        <w:t>)</w:t>
      </w:r>
      <w:r>
        <w:rPr>
          <w:color w:val="000000"/>
          <w:sz w:val="20"/>
          <w:szCs w:val="20"/>
          <w:vertAlign w:val="subscript"/>
        </w:rPr>
        <w:t>2</w:t>
      </w:r>
      <w:r>
        <w:rPr>
          <w:color w:val="000000"/>
          <w:sz w:val="20"/>
          <w:szCs w:val="20"/>
        </w:rPr>
        <w:t xml:space="preserve"> solution was immobilized on the PADs already loaded with Ag-DTZ NPs, as shown in </w:t>
      </w:r>
      <w:r>
        <w:rPr>
          <w:b/>
          <w:color w:val="000000"/>
          <w:sz w:val="20"/>
          <w:szCs w:val="20"/>
        </w:rPr>
        <w:t>FIGURE 2(c)</w:t>
      </w:r>
      <w:r>
        <w:rPr>
          <w:color w:val="000000"/>
          <w:sz w:val="20"/>
          <w:szCs w:val="20"/>
        </w:rPr>
        <w:t>.</w:t>
      </w:r>
    </w:p>
    <w:p w14:paraId="619044C8" w14:textId="77777777" w:rsidR="00CA4AB5" w:rsidRDefault="00000000">
      <w:pPr>
        <w:spacing w:line="240" w:lineRule="auto"/>
        <w:ind w:left="113" w:firstLine="450"/>
        <w:rPr>
          <w:color w:val="000000"/>
          <w:sz w:val="20"/>
          <w:szCs w:val="20"/>
        </w:rPr>
      </w:pPr>
      <w:r>
        <w:rPr>
          <w:color w:val="000000"/>
          <w:sz w:val="20"/>
          <w:szCs w:val="20"/>
        </w:rPr>
        <w:t>Images of the PADs before and after Pb</w:t>
      </w:r>
      <w:r>
        <w:rPr>
          <w:color w:val="000000"/>
          <w:sz w:val="20"/>
          <w:szCs w:val="20"/>
          <w:vertAlign w:val="superscript"/>
        </w:rPr>
        <w:t>2+</w:t>
      </w:r>
      <w:r>
        <w:rPr>
          <w:color w:val="000000"/>
          <w:sz w:val="20"/>
          <w:szCs w:val="20"/>
        </w:rPr>
        <w:t xml:space="preserve"> application were captured using a smartphone camera (Vivo Y02t, 8 MP) placed at a fixed distance of 12 cm in a </w:t>
      </w:r>
      <w:proofErr w:type="spellStart"/>
      <w:r>
        <w:rPr>
          <w:color w:val="000000"/>
          <w:sz w:val="20"/>
          <w:szCs w:val="20"/>
        </w:rPr>
        <w:t>Puluz</w:t>
      </w:r>
      <w:proofErr w:type="spellEnd"/>
      <w:r>
        <w:rPr>
          <w:color w:val="000000"/>
          <w:sz w:val="20"/>
          <w:szCs w:val="20"/>
        </w:rPr>
        <w:t xml:space="preserve"> portable photo lightbox under standardized LED </w:t>
      </w:r>
      <w:r>
        <w:rPr>
          <w:color w:val="000000"/>
          <w:sz w:val="20"/>
          <w:szCs w:val="20"/>
        </w:rPr>
        <w:lastRenderedPageBreak/>
        <w:t>illumination to minimize lighting variation. The change in color intensity (ΔE) was analyzed using ImageJ software by extracting and comparing the L, a*, and b* values from the images.</w:t>
      </w:r>
    </w:p>
    <w:tbl>
      <w:tblPr>
        <w:tblStyle w:val="a"/>
        <w:tblW w:w="8905" w:type="dxa"/>
        <w:tblInd w:w="113" w:type="dxa"/>
        <w:tblBorders>
          <w:top w:val="nil"/>
          <w:left w:val="nil"/>
          <w:bottom w:val="nil"/>
          <w:right w:val="nil"/>
          <w:insideH w:val="nil"/>
          <w:insideV w:val="nil"/>
        </w:tblBorders>
        <w:tblLayout w:type="fixed"/>
        <w:tblLook w:val="0400" w:firstRow="0" w:lastRow="0" w:firstColumn="0" w:lastColumn="0" w:noHBand="0" w:noVBand="1"/>
      </w:tblPr>
      <w:tblGrid>
        <w:gridCol w:w="2968"/>
        <w:gridCol w:w="2968"/>
        <w:gridCol w:w="2969"/>
      </w:tblGrid>
      <w:tr w:rsidR="00CA4AB5" w14:paraId="27F4568D" w14:textId="77777777">
        <w:tc>
          <w:tcPr>
            <w:tcW w:w="2968" w:type="dxa"/>
          </w:tcPr>
          <w:p w14:paraId="76AB933B" w14:textId="77777777" w:rsidR="00CA4AB5" w:rsidRDefault="00CA4AB5">
            <w:pPr>
              <w:ind w:firstLine="0"/>
              <w:rPr>
                <w:color w:val="000000"/>
                <w:sz w:val="20"/>
                <w:szCs w:val="20"/>
              </w:rPr>
            </w:pPr>
          </w:p>
        </w:tc>
        <w:tc>
          <w:tcPr>
            <w:tcW w:w="2968" w:type="dxa"/>
          </w:tcPr>
          <w:p w14:paraId="2F3C31D3" w14:textId="77777777" w:rsidR="00CA4AB5" w:rsidRDefault="00CA4AB5">
            <w:pPr>
              <w:ind w:firstLine="0"/>
              <w:rPr>
                <w:color w:val="000000"/>
                <w:sz w:val="20"/>
                <w:szCs w:val="20"/>
              </w:rPr>
            </w:pPr>
          </w:p>
        </w:tc>
        <w:tc>
          <w:tcPr>
            <w:tcW w:w="2969" w:type="dxa"/>
          </w:tcPr>
          <w:p w14:paraId="33503B01" w14:textId="77777777" w:rsidR="00CA4AB5" w:rsidRDefault="00CA4AB5">
            <w:pPr>
              <w:ind w:firstLine="0"/>
              <w:rPr>
                <w:color w:val="000000"/>
                <w:sz w:val="20"/>
                <w:szCs w:val="20"/>
              </w:rPr>
            </w:pPr>
          </w:p>
        </w:tc>
      </w:tr>
      <w:tr w:rsidR="00CA4AB5" w14:paraId="736C3BD3" w14:textId="77777777">
        <w:tc>
          <w:tcPr>
            <w:tcW w:w="2968" w:type="dxa"/>
          </w:tcPr>
          <w:p w14:paraId="63A93A1C" w14:textId="77777777" w:rsidR="00CA4AB5" w:rsidRDefault="00000000">
            <w:pPr>
              <w:tabs>
                <w:tab w:val="left" w:pos="7100"/>
              </w:tabs>
              <w:ind w:firstLine="0"/>
              <w:jc w:val="center"/>
              <w:rPr>
                <w:color w:val="000000"/>
                <w:sz w:val="20"/>
                <w:szCs w:val="20"/>
              </w:rPr>
            </w:pPr>
            <w:r>
              <w:rPr>
                <w:noProof/>
                <w:color w:val="000000"/>
                <w:sz w:val="20"/>
                <w:szCs w:val="20"/>
              </w:rPr>
              <w:drawing>
                <wp:inline distT="0" distB="0" distL="0" distR="0" wp14:anchorId="4A5947AB" wp14:editId="5E1F3C58">
                  <wp:extent cx="1009601" cy="1440000"/>
                  <wp:effectExtent l="0" t="0" r="0" b="0"/>
                  <wp:docPr id="2085498238" name="image6.png" descr="A close-up of a pill&#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png" descr="A close-up of a pill&#10;&#10;Description automatically generated"/>
                          <pic:cNvPicPr preferRelativeResize="0"/>
                        </pic:nvPicPr>
                        <pic:blipFill>
                          <a:blip r:embed="rId9"/>
                          <a:srcRect l="28346" t="19551" r="29108" b="19765"/>
                          <a:stretch>
                            <a:fillRect/>
                          </a:stretch>
                        </pic:blipFill>
                        <pic:spPr>
                          <a:xfrm>
                            <a:off x="0" y="0"/>
                            <a:ext cx="1009601" cy="1440000"/>
                          </a:xfrm>
                          <a:prstGeom prst="rect">
                            <a:avLst/>
                          </a:prstGeom>
                          <a:ln/>
                        </pic:spPr>
                      </pic:pic>
                    </a:graphicData>
                  </a:graphic>
                </wp:inline>
              </w:drawing>
            </w:r>
          </w:p>
        </w:tc>
        <w:tc>
          <w:tcPr>
            <w:tcW w:w="2968" w:type="dxa"/>
          </w:tcPr>
          <w:p w14:paraId="6E272AAC" w14:textId="77777777" w:rsidR="00CA4AB5" w:rsidRDefault="00000000">
            <w:pPr>
              <w:tabs>
                <w:tab w:val="left" w:pos="7100"/>
              </w:tabs>
              <w:ind w:firstLine="0"/>
              <w:jc w:val="center"/>
              <w:rPr>
                <w:color w:val="000000"/>
                <w:sz w:val="20"/>
                <w:szCs w:val="20"/>
              </w:rPr>
            </w:pPr>
            <w:r>
              <w:rPr>
                <w:noProof/>
                <w:color w:val="000000"/>
                <w:sz w:val="20"/>
                <w:szCs w:val="20"/>
              </w:rPr>
              <w:drawing>
                <wp:inline distT="0" distB="0" distL="0" distR="0" wp14:anchorId="6F5AD1E9" wp14:editId="0A33BE9A">
                  <wp:extent cx="1636626" cy="1440000"/>
                  <wp:effectExtent l="0" t="0" r="0" b="0"/>
                  <wp:docPr id="2085498237" name="image7.png" descr="A screenshot of a video g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A screenshot of a video game&#10;&#10;Description automatically generated"/>
                          <pic:cNvPicPr preferRelativeResize="0"/>
                        </pic:nvPicPr>
                        <pic:blipFill>
                          <a:blip r:embed="rId10"/>
                          <a:srcRect l="18767" t="17792" r="7366" b="17215"/>
                          <a:stretch>
                            <a:fillRect/>
                          </a:stretch>
                        </pic:blipFill>
                        <pic:spPr>
                          <a:xfrm>
                            <a:off x="0" y="0"/>
                            <a:ext cx="1636626" cy="1440000"/>
                          </a:xfrm>
                          <a:prstGeom prst="rect">
                            <a:avLst/>
                          </a:prstGeom>
                          <a:ln/>
                        </pic:spPr>
                      </pic:pic>
                    </a:graphicData>
                  </a:graphic>
                </wp:inline>
              </w:drawing>
            </w:r>
          </w:p>
        </w:tc>
        <w:tc>
          <w:tcPr>
            <w:tcW w:w="2969" w:type="dxa"/>
          </w:tcPr>
          <w:p w14:paraId="6F9CF4E7" w14:textId="77777777" w:rsidR="00CA4AB5" w:rsidRDefault="00000000">
            <w:pPr>
              <w:tabs>
                <w:tab w:val="left" w:pos="7100"/>
              </w:tabs>
              <w:ind w:firstLine="0"/>
              <w:jc w:val="center"/>
              <w:rPr>
                <w:color w:val="000000"/>
                <w:sz w:val="20"/>
                <w:szCs w:val="20"/>
              </w:rPr>
            </w:pPr>
            <w:r>
              <w:rPr>
                <w:noProof/>
                <w:color w:val="000000"/>
                <w:sz w:val="20"/>
                <w:szCs w:val="20"/>
              </w:rPr>
              <w:drawing>
                <wp:inline distT="0" distB="0" distL="0" distR="0" wp14:anchorId="7E23BD3C" wp14:editId="3C1F95D7">
                  <wp:extent cx="1748167" cy="1440000"/>
                  <wp:effectExtent l="0" t="0" r="0" b="0"/>
                  <wp:docPr id="2085498240" name="image10.png" descr="A screenshot of a video g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png" descr="A screenshot of a video game&#10;&#10;Description automatically generated"/>
                          <pic:cNvPicPr preferRelativeResize="0"/>
                        </pic:nvPicPr>
                        <pic:blipFill>
                          <a:blip r:embed="rId11"/>
                          <a:srcRect l="14465" t="17590" r="5803" b="16733"/>
                          <a:stretch>
                            <a:fillRect/>
                          </a:stretch>
                        </pic:blipFill>
                        <pic:spPr>
                          <a:xfrm>
                            <a:off x="0" y="0"/>
                            <a:ext cx="1748167" cy="1440000"/>
                          </a:xfrm>
                          <a:prstGeom prst="rect">
                            <a:avLst/>
                          </a:prstGeom>
                          <a:ln/>
                        </pic:spPr>
                      </pic:pic>
                    </a:graphicData>
                  </a:graphic>
                </wp:inline>
              </w:drawing>
            </w:r>
          </w:p>
        </w:tc>
      </w:tr>
      <w:tr w:rsidR="00CA4AB5" w14:paraId="6A7CD21A" w14:textId="77777777">
        <w:tc>
          <w:tcPr>
            <w:tcW w:w="2968" w:type="dxa"/>
          </w:tcPr>
          <w:p w14:paraId="1A3FFBE0" w14:textId="77777777" w:rsidR="00CA4AB5" w:rsidRDefault="00000000">
            <w:pPr>
              <w:ind w:firstLine="0"/>
              <w:jc w:val="center"/>
              <w:rPr>
                <w:color w:val="000000"/>
                <w:sz w:val="20"/>
                <w:szCs w:val="20"/>
              </w:rPr>
            </w:pPr>
            <w:r>
              <w:rPr>
                <w:color w:val="000000"/>
                <w:sz w:val="20"/>
                <w:szCs w:val="20"/>
              </w:rPr>
              <w:t>(a)</w:t>
            </w:r>
          </w:p>
        </w:tc>
        <w:tc>
          <w:tcPr>
            <w:tcW w:w="2968" w:type="dxa"/>
          </w:tcPr>
          <w:p w14:paraId="23AE7B58" w14:textId="77777777" w:rsidR="00CA4AB5" w:rsidRDefault="00000000">
            <w:pPr>
              <w:ind w:firstLine="0"/>
              <w:jc w:val="center"/>
              <w:rPr>
                <w:color w:val="000000"/>
                <w:sz w:val="20"/>
                <w:szCs w:val="20"/>
              </w:rPr>
            </w:pPr>
            <w:r>
              <w:rPr>
                <w:color w:val="000000"/>
                <w:sz w:val="20"/>
                <w:szCs w:val="20"/>
              </w:rPr>
              <w:t>(b)</w:t>
            </w:r>
          </w:p>
        </w:tc>
        <w:tc>
          <w:tcPr>
            <w:tcW w:w="2969" w:type="dxa"/>
          </w:tcPr>
          <w:p w14:paraId="77BEB6EE" w14:textId="77777777" w:rsidR="00CA4AB5" w:rsidRDefault="00000000">
            <w:pPr>
              <w:ind w:firstLine="0"/>
              <w:jc w:val="center"/>
              <w:rPr>
                <w:color w:val="000000"/>
                <w:sz w:val="20"/>
                <w:szCs w:val="20"/>
              </w:rPr>
            </w:pPr>
            <w:r>
              <w:rPr>
                <w:color w:val="000000"/>
                <w:sz w:val="20"/>
                <w:szCs w:val="20"/>
              </w:rPr>
              <w:t>(c)</w:t>
            </w:r>
          </w:p>
        </w:tc>
      </w:tr>
    </w:tbl>
    <w:p w14:paraId="51952335" w14:textId="77777777" w:rsidR="00CA4AB5" w:rsidRDefault="00000000">
      <w:pPr>
        <w:pBdr>
          <w:top w:val="nil"/>
          <w:left w:val="nil"/>
          <w:bottom w:val="nil"/>
          <w:right w:val="nil"/>
          <w:between w:val="nil"/>
        </w:pBdr>
        <w:spacing w:before="240" w:line="240" w:lineRule="auto"/>
        <w:ind w:firstLine="0"/>
        <w:jc w:val="center"/>
        <w:rPr>
          <w:color w:val="000000"/>
          <w:sz w:val="18"/>
          <w:szCs w:val="18"/>
        </w:rPr>
      </w:pPr>
      <w:r>
        <w:rPr>
          <w:b/>
          <w:color w:val="000000"/>
          <w:sz w:val="18"/>
          <w:szCs w:val="18"/>
        </w:rPr>
        <w:t xml:space="preserve">FIGURE 2. </w:t>
      </w:r>
      <w:r>
        <w:rPr>
          <w:color w:val="000000"/>
          <w:sz w:val="18"/>
          <w:szCs w:val="18"/>
        </w:rPr>
        <w:t>(a) Example of PADs, (b) Nanoparticle Immobilization, and (c) Sample Immobilization [11]</w:t>
      </w:r>
    </w:p>
    <w:p w14:paraId="61749A71" w14:textId="77777777" w:rsidR="00CA4AB5" w:rsidRDefault="00CA4AB5">
      <w:pPr>
        <w:pBdr>
          <w:top w:val="nil"/>
          <w:left w:val="nil"/>
          <w:bottom w:val="nil"/>
          <w:right w:val="nil"/>
          <w:between w:val="nil"/>
        </w:pBdr>
        <w:spacing w:line="240" w:lineRule="auto"/>
        <w:ind w:firstLine="0"/>
        <w:rPr>
          <w:color w:val="000000"/>
        </w:rPr>
      </w:pPr>
    </w:p>
    <w:p w14:paraId="5155DA5C" w14:textId="77777777" w:rsidR="00CA4AB5" w:rsidRDefault="00000000">
      <w:pPr>
        <w:pStyle w:val="Heading1"/>
        <w:spacing w:line="240" w:lineRule="auto"/>
      </w:pPr>
      <w:r>
        <w:t>RESULT AND DISCUSSION</w:t>
      </w:r>
    </w:p>
    <w:p w14:paraId="65A6D82E" w14:textId="77777777" w:rsidR="00CA4AB5" w:rsidRDefault="00CA4AB5">
      <w:pPr>
        <w:spacing w:line="240" w:lineRule="auto"/>
      </w:pPr>
    </w:p>
    <w:p w14:paraId="4CC057F8" w14:textId="77777777" w:rsidR="00CA4AB5" w:rsidRDefault="00000000">
      <w:pPr>
        <w:tabs>
          <w:tab w:val="left" w:pos="2835"/>
        </w:tabs>
        <w:spacing w:line="240" w:lineRule="auto"/>
        <w:ind w:left="113" w:firstLine="450"/>
        <w:rPr>
          <w:sz w:val="20"/>
          <w:szCs w:val="20"/>
        </w:rPr>
      </w:pPr>
      <w:r>
        <w:rPr>
          <w:sz w:val="20"/>
          <w:szCs w:val="20"/>
        </w:rPr>
        <w:t>Those are Silver Nanoparticles (</w:t>
      </w:r>
      <w:proofErr w:type="spellStart"/>
      <w:r>
        <w:rPr>
          <w:sz w:val="20"/>
          <w:szCs w:val="20"/>
        </w:rPr>
        <w:t>AgNPs</w:t>
      </w:r>
      <w:proofErr w:type="spellEnd"/>
      <w:r>
        <w:rPr>
          <w:sz w:val="20"/>
          <w:szCs w:val="20"/>
        </w:rPr>
        <w:t>) Synthesis, Dithizone Nanoparticles (DTZ-NPs) Synthesis, UV-Vis Spectrophotometry Measurements, Particle Size Analyzer (PSA) and Zeta Potential Measurements, Optimization of PADs Condition, and Detection Test for Pb</w:t>
      </w:r>
      <w:r>
        <w:rPr>
          <w:sz w:val="20"/>
          <w:szCs w:val="20"/>
          <w:vertAlign w:val="superscript"/>
        </w:rPr>
        <w:t xml:space="preserve">2+ </w:t>
      </w:r>
      <w:r>
        <w:rPr>
          <w:sz w:val="20"/>
          <w:szCs w:val="20"/>
        </w:rPr>
        <w:t xml:space="preserve">Ions. It should be noted that the analytical performance parameters such as limit of detection (LOD), sensitivity, and reproducibility were not evaluated in the present work. This study was mainly aimed at demonstrating the feasibility of the proposed PAD–nanoparticle system. Future investigations will therefore focus on assessing these analytical performance aspects in detail. </w:t>
      </w:r>
    </w:p>
    <w:p w14:paraId="09FB9738" w14:textId="77777777" w:rsidR="00CA4AB5" w:rsidRDefault="00CA4AB5">
      <w:pPr>
        <w:spacing w:line="240" w:lineRule="auto"/>
        <w:ind w:firstLine="450"/>
        <w:rPr>
          <w:sz w:val="20"/>
          <w:szCs w:val="20"/>
        </w:rPr>
      </w:pPr>
    </w:p>
    <w:p w14:paraId="13E4F5D2" w14:textId="77777777" w:rsidR="00CA4AB5" w:rsidRDefault="00000000">
      <w:pPr>
        <w:pStyle w:val="Heading1"/>
        <w:spacing w:line="240" w:lineRule="auto"/>
      </w:pPr>
      <w:r>
        <w:t>Silver Nanoparticles (</w:t>
      </w:r>
      <w:proofErr w:type="spellStart"/>
      <w:r>
        <w:t>AgNPs</w:t>
      </w:r>
      <w:proofErr w:type="spellEnd"/>
      <w:r>
        <w:t>) Synthesis</w:t>
      </w:r>
    </w:p>
    <w:p w14:paraId="51B72ECA" w14:textId="77777777" w:rsidR="00CA4AB5" w:rsidRDefault="00CA4AB5">
      <w:pPr>
        <w:spacing w:line="240" w:lineRule="auto"/>
        <w:ind w:firstLine="0"/>
        <w:jc w:val="center"/>
        <w:rPr>
          <w:b/>
          <w:color w:val="000000"/>
        </w:rPr>
      </w:pPr>
    </w:p>
    <w:p w14:paraId="7B8AC961" w14:textId="77777777" w:rsidR="00CA4AB5" w:rsidRDefault="00000000">
      <w:pPr>
        <w:pBdr>
          <w:top w:val="nil"/>
          <w:left w:val="nil"/>
          <w:bottom w:val="nil"/>
          <w:right w:val="nil"/>
          <w:between w:val="nil"/>
        </w:pBdr>
        <w:spacing w:line="240" w:lineRule="auto"/>
        <w:ind w:left="113" w:firstLine="450"/>
        <w:rPr>
          <w:color w:val="000000"/>
          <w:sz w:val="20"/>
          <w:szCs w:val="20"/>
        </w:rPr>
      </w:pPr>
      <w:r>
        <w:rPr>
          <w:color w:val="000000"/>
          <w:sz w:val="20"/>
          <w:szCs w:val="20"/>
        </w:rPr>
        <w:t>Mixing the dragon fruit peel extract with a 10 mM AgNO</w:t>
      </w:r>
      <w:r>
        <w:rPr>
          <w:color w:val="000000"/>
          <w:sz w:val="20"/>
          <w:szCs w:val="20"/>
          <w:vertAlign w:val="subscript"/>
        </w:rPr>
        <w:t>3</w:t>
      </w:r>
      <w:r>
        <w:rPr>
          <w:color w:val="000000"/>
          <w:sz w:val="20"/>
          <w:szCs w:val="20"/>
        </w:rPr>
        <w:t xml:space="preserve"> solution produced a pale brown, transparent dispersion, indicating the formation of </w:t>
      </w:r>
      <w:proofErr w:type="spellStart"/>
      <w:r>
        <w:rPr>
          <w:color w:val="000000"/>
          <w:sz w:val="20"/>
          <w:szCs w:val="20"/>
        </w:rPr>
        <w:t>AgNPs</w:t>
      </w:r>
      <w:proofErr w:type="spellEnd"/>
      <w:r>
        <w:rPr>
          <w:color w:val="000000"/>
          <w:sz w:val="20"/>
          <w:szCs w:val="20"/>
        </w:rPr>
        <w:t xml:space="preserve">. The presence of </w:t>
      </w:r>
      <w:proofErr w:type="spellStart"/>
      <w:r>
        <w:rPr>
          <w:color w:val="000000"/>
          <w:sz w:val="20"/>
          <w:szCs w:val="20"/>
        </w:rPr>
        <w:t>AgNPs</w:t>
      </w:r>
      <w:proofErr w:type="spellEnd"/>
      <w:r>
        <w:rPr>
          <w:color w:val="000000"/>
          <w:sz w:val="20"/>
          <w:szCs w:val="20"/>
        </w:rPr>
        <w:t xml:space="preserve"> was further confirmed by the Tyndall effect test, which detects colloidal particles. As shown in </w:t>
      </w:r>
      <w:r>
        <w:rPr>
          <w:b/>
          <w:color w:val="000000"/>
          <w:sz w:val="20"/>
          <w:szCs w:val="20"/>
        </w:rPr>
        <w:t>FIGURE 3(a)</w:t>
      </w:r>
      <w:r>
        <w:rPr>
          <w:color w:val="000000"/>
          <w:sz w:val="20"/>
          <w:szCs w:val="20"/>
        </w:rPr>
        <w:t xml:space="preserve"> and </w:t>
      </w:r>
      <w:r>
        <w:rPr>
          <w:b/>
          <w:color w:val="000000"/>
          <w:sz w:val="20"/>
          <w:szCs w:val="20"/>
        </w:rPr>
        <w:t>3(b)</w:t>
      </w:r>
      <w:r>
        <w:rPr>
          <w:color w:val="000000"/>
          <w:sz w:val="20"/>
          <w:szCs w:val="20"/>
        </w:rPr>
        <w:t>, a bright green laser beam was observed passing through the dispersion, confirming the existence of colloidal particles. In contrast, no beam was observed in the AgNO</w:t>
      </w:r>
      <w:r>
        <w:rPr>
          <w:color w:val="000000"/>
          <w:sz w:val="20"/>
          <w:szCs w:val="20"/>
          <w:vertAlign w:val="subscript"/>
        </w:rPr>
        <w:t>3</w:t>
      </w:r>
      <w:r>
        <w:rPr>
          <w:color w:val="000000"/>
          <w:sz w:val="20"/>
          <w:szCs w:val="20"/>
        </w:rPr>
        <w:t xml:space="preserve"> solution </w:t>
      </w:r>
      <w:r>
        <w:rPr>
          <w:b/>
          <w:color w:val="000000"/>
          <w:sz w:val="20"/>
          <w:szCs w:val="20"/>
        </w:rPr>
        <w:t>(FIGURE 3(c))</w:t>
      </w:r>
      <w:r>
        <w:rPr>
          <w:color w:val="000000"/>
          <w:sz w:val="20"/>
          <w:szCs w:val="20"/>
        </w:rPr>
        <w:t xml:space="preserve">, indicating a true solution with particle sizes below 1 nm that are unable to scatter light. Meanwhile, colloidal particles typically range from 1 to 1000 nm and are capable of scattering light, which explains the observed Tyndall effect in the </w:t>
      </w:r>
      <w:proofErr w:type="spellStart"/>
      <w:r>
        <w:rPr>
          <w:color w:val="000000"/>
          <w:sz w:val="20"/>
          <w:szCs w:val="20"/>
        </w:rPr>
        <w:t>AgNPs</w:t>
      </w:r>
      <w:proofErr w:type="spellEnd"/>
      <w:r>
        <w:rPr>
          <w:color w:val="000000"/>
          <w:sz w:val="20"/>
          <w:szCs w:val="20"/>
        </w:rPr>
        <w:t xml:space="preserve"> dispersion.</w:t>
      </w:r>
    </w:p>
    <w:p w14:paraId="165C91D1" w14:textId="77777777" w:rsidR="00CA4AB5" w:rsidRDefault="00CA4AB5">
      <w:pPr>
        <w:pBdr>
          <w:top w:val="nil"/>
          <w:left w:val="nil"/>
          <w:bottom w:val="nil"/>
          <w:right w:val="nil"/>
          <w:between w:val="nil"/>
        </w:pBdr>
        <w:spacing w:line="240" w:lineRule="auto"/>
        <w:ind w:firstLine="450"/>
        <w:rPr>
          <w:color w:val="000000"/>
          <w:sz w:val="20"/>
          <w:szCs w:val="20"/>
        </w:rPr>
      </w:pPr>
    </w:p>
    <w:tbl>
      <w:tblPr>
        <w:tblStyle w:val="a0"/>
        <w:tblW w:w="9016" w:type="dxa"/>
        <w:tblBorders>
          <w:top w:val="nil"/>
          <w:left w:val="nil"/>
          <w:bottom w:val="nil"/>
          <w:right w:val="nil"/>
          <w:insideH w:val="nil"/>
          <w:insideV w:val="nil"/>
        </w:tblBorders>
        <w:tblLayout w:type="fixed"/>
        <w:tblLook w:val="0400" w:firstRow="0" w:lastRow="0" w:firstColumn="0" w:lastColumn="0" w:noHBand="0" w:noVBand="1"/>
      </w:tblPr>
      <w:tblGrid>
        <w:gridCol w:w="3005"/>
        <w:gridCol w:w="3005"/>
        <w:gridCol w:w="3006"/>
      </w:tblGrid>
      <w:tr w:rsidR="00CA4AB5" w14:paraId="681FAB4C" w14:textId="77777777">
        <w:tc>
          <w:tcPr>
            <w:tcW w:w="3005" w:type="dxa"/>
          </w:tcPr>
          <w:p w14:paraId="7852B0E6" w14:textId="77777777" w:rsidR="00CA4AB5" w:rsidRDefault="00CA4AB5">
            <w:pPr>
              <w:ind w:firstLine="0"/>
              <w:jc w:val="center"/>
              <w:rPr>
                <w:color w:val="000000"/>
              </w:rPr>
            </w:pPr>
          </w:p>
        </w:tc>
        <w:tc>
          <w:tcPr>
            <w:tcW w:w="3005" w:type="dxa"/>
          </w:tcPr>
          <w:p w14:paraId="17596DAE" w14:textId="77777777" w:rsidR="00CA4AB5" w:rsidRDefault="00CA4AB5">
            <w:pPr>
              <w:ind w:firstLine="0"/>
              <w:jc w:val="center"/>
              <w:rPr>
                <w:color w:val="000000"/>
              </w:rPr>
            </w:pPr>
          </w:p>
        </w:tc>
        <w:tc>
          <w:tcPr>
            <w:tcW w:w="3006" w:type="dxa"/>
          </w:tcPr>
          <w:p w14:paraId="5CD16515" w14:textId="77777777" w:rsidR="00CA4AB5" w:rsidRDefault="00CA4AB5">
            <w:pPr>
              <w:ind w:firstLine="0"/>
              <w:jc w:val="center"/>
              <w:rPr>
                <w:color w:val="000000"/>
              </w:rPr>
            </w:pPr>
          </w:p>
        </w:tc>
      </w:tr>
      <w:tr w:rsidR="00CA4AB5" w14:paraId="23D99C35" w14:textId="77777777">
        <w:tc>
          <w:tcPr>
            <w:tcW w:w="3005" w:type="dxa"/>
          </w:tcPr>
          <w:p w14:paraId="21FB6631" w14:textId="77777777" w:rsidR="00CA4AB5" w:rsidRDefault="00000000">
            <w:pPr>
              <w:ind w:firstLine="0"/>
              <w:jc w:val="center"/>
              <w:rPr>
                <w:color w:val="000000"/>
              </w:rPr>
            </w:pPr>
            <w:r>
              <w:rPr>
                <w:noProof/>
                <w:color w:val="000000"/>
              </w:rPr>
              <w:drawing>
                <wp:inline distT="0" distB="0" distL="0" distR="0" wp14:anchorId="22C43A70" wp14:editId="5D02B2A7">
                  <wp:extent cx="1228725" cy="1228725"/>
                  <wp:effectExtent l="0" t="0" r="0" b="0"/>
                  <wp:docPr id="2085498239"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2"/>
                          <a:srcRect/>
                          <a:stretch>
                            <a:fillRect/>
                          </a:stretch>
                        </pic:blipFill>
                        <pic:spPr>
                          <a:xfrm>
                            <a:off x="0" y="0"/>
                            <a:ext cx="1228725" cy="1228725"/>
                          </a:xfrm>
                          <a:prstGeom prst="rect">
                            <a:avLst/>
                          </a:prstGeom>
                          <a:ln/>
                        </pic:spPr>
                      </pic:pic>
                    </a:graphicData>
                  </a:graphic>
                </wp:inline>
              </w:drawing>
            </w:r>
          </w:p>
        </w:tc>
        <w:tc>
          <w:tcPr>
            <w:tcW w:w="3005" w:type="dxa"/>
          </w:tcPr>
          <w:p w14:paraId="448C28A3" w14:textId="77777777" w:rsidR="00CA4AB5" w:rsidRDefault="00000000">
            <w:pPr>
              <w:ind w:firstLine="0"/>
              <w:jc w:val="center"/>
              <w:rPr>
                <w:color w:val="000000"/>
              </w:rPr>
            </w:pPr>
            <w:r>
              <w:rPr>
                <w:noProof/>
                <w:color w:val="000000"/>
              </w:rPr>
              <w:drawing>
                <wp:inline distT="0" distB="0" distL="0" distR="0" wp14:anchorId="4B8C93F3" wp14:editId="6B149E9A">
                  <wp:extent cx="1314450" cy="1228725"/>
                  <wp:effectExtent l="0" t="0" r="0" b="0"/>
                  <wp:docPr id="208549824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1314450" cy="1228725"/>
                          </a:xfrm>
                          <a:prstGeom prst="rect">
                            <a:avLst/>
                          </a:prstGeom>
                          <a:ln/>
                        </pic:spPr>
                      </pic:pic>
                    </a:graphicData>
                  </a:graphic>
                </wp:inline>
              </w:drawing>
            </w:r>
          </w:p>
        </w:tc>
        <w:tc>
          <w:tcPr>
            <w:tcW w:w="3006" w:type="dxa"/>
          </w:tcPr>
          <w:p w14:paraId="4FFFCFF4" w14:textId="77777777" w:rsidR="00CA4AB5" w:rsidRDefault="00000000">
            <w:pPr>
              <w:ind w:firstLine="0"/>
              <w:jc w:val="center"/>
              <w:rPr>
                <w:color w:val="000000"/>
              </w:rPr>
            </w:pPr>
            <w:r>
              <w:rPr>
                <w:noProof/>
                <w:color w:val="000000"/>
              </w:rPr>
              <w:drawing>
                <wp:inline distT="0" distB="0" distL="0" distR="0" wp14:anchorId="1115652C" wp14:editId="7CD6F9C2">
                  <wp:extent cx="1304925" cy="1238250"/>
                  <wp:effectExtent l="0" t="0" r="0" b="0"/>
                  <wp:docPr id="2085498241"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4"/>
                          <a:srcRect/>
                          <a:stretch>
                            <a:fillRect/>
                          </a:stretch>
                        </pic:blipFill>
                        <pic:spPr>
                          <a:xfrm>
                            <a:off x="0" y="0"/>
                            <a:ext cx="1304925" cy="1238250"/>
                          </a:xfrm>
                          <a:prstGeom prst="rect">
                            <a:avLst/>
                          </a:prstGeom>
                          <a:ln/>
                        </pic:spPr>
                      </pic:pic>
                    </a:graphicData>
                  </a:graphic>
                </wp:inline>
              </w:drawing>
            </w:r>
          </w:p>
        </w:tc>
      </w:tr>
      <w:tr w:rsidR="00CA4AB5" w14:paraId="778C0FD7" w14:textId="77777777">
        <w:tc>
          <w:tcPr>
            <w:tcW w:w="3005" w:type="dxa"/>
          </w:tcPr>
          <w:p w14:paraId="6E4A6B8D" w14:textId="77777777" w:rsidR="00CA4AB5" w:rsidRDefault="00000000">
            <w:pPr>
              <w:ind w:firstLine="0"/>
              <w:jc w:val="center"/>
              <w:rPr>
                <w:color w:val="000000"/>
              </w:rPr>
            </w:pPr>
            <w:r>
              <w:rPr>
                <w:color w:val="000000"/>
              </w:rPr>
              <w:t>(a)</w:t>
            </w:r>
          </w:p>
        </w:tc>
        <w:tc>
          <w:tcPr>
            <w:tcW w:w="3005" w:type="dxa"/>
          </w:tcPr>
          <w:p w14:paraId="380CF94F" w14:textId="77777777" w:rsidR="00CA4AB5" w:rsidRDefault="00000000">
            <w:pPr>
              <w:ind w:firstLine="0"/>
              <w:jc w:val="center"/>
              <w:rPr>
                <w:color w:val="000000"/>
              </w:rPr>
            </w:pPr>
            <w:r>
              <w:rPr>
                <w:color w:val="000000"/>
              </w:rPr>
              <w:t>(b)</w:t>
            </w:r>
          </w:p>
        </w:tc>
        <w:tc>
          <w:tcPr>
            <w:tcW w:w="3006" w:type="dxa"/>
          </w:tcPr>
          <w:p w14:paraId="64C5138E" w14:textId="77777777" w:rsidR="00CA4AB5" w:rsidRDefault="00000000">
            <w:pPr>
              <w:ind w:firstLine="0"/>
              <w:jc w:val="center"/>
              <w:rPr>
                <w:color w:val="000000"/>
              </w:rPr>
            </w:pPr>
            <w:r>
              <w:rPr>
                <w:color w:val="000000"/>
              </w:rPr>
              <w:t>(c)</w:t>
            </w:r>
          </w:p>
        </w:tc>
      </w:tr>
    </w:tbl>
    <w:p w14:paraId="5348A277" w14:textId="77777777" w:rsidR="00CA4AB5" w:rsidRDefault="00000000">
      <w:pPr>
        <w:pBdr>
          <w:top w:val="nil"/>
          <w:left w:val="nil"/>
          <w:bottom w:val="nil"/>
          <w:right w:val="nil"/>
          <w:between w:val="nil"/>
        </w:pBdr>
        <w:spacing w:before="240" w:line="240" w:lineRule="auto"/>
        <w:ind w:firstLine="0"/>
        <w:jc w:val="center"/>
        <w:rPr>
          <w:color w:val="000000"/>
          <w:sz w:val="18"/>
          <w:szCs w:val="18"/>
        </w:rPr>
      </w:pPr>
      <w:r>
        <w:rPr>
          <w:b/>
          <w:color w:val="000000"/>
          <w:sz w:val="18"/>
          <w:szCs w:val="18"/>
        </w:rPr>
        <w:t xml:space="preserve">FIGURE 3. </w:t>
      </w:r>
      <w:r>
        <w:rPr>
          <w:color w:val="000000"/>
          <w:sz w:val="18"/>
          <w:szCs w:val="18"/>
        </w:rPr>
        <w:t xml:space="preserve">(a) </w:t>
      </w:r>
      <w:proofErr w:type="spellStart"/>
      <w:r>
        <w:rPr>
          <w:sz w:val="18"/>
          <w:szCs w:val="18"/>
        </w:rPr>
        <w:t>AgNPs</w:t>
      </w:r>
      <w:proofErr w:type="spellEnd"/>
      <w:r>
        <w:rPr>
          <w:sz w:val="18"/>
          <w:szCs w:val="18"/>
        </w:rPr>
        <w:t xml:space="preserve"> Dispersion, (b) Dragon Fruit Peel Extract, and (c) AgNO</w:t>
      </w:r>
      <w:r>
        <w:rPr>
          <w:sz w:val="18"/>
          <w:szCs w:val="18"/>
          <w:vertAlign w:val="subscript"/>
        </w:rPr>
        <w:t>3</w:t>
      </w:r>
      <w:r>
        <w:rPr>
          <w:sz w:val="18"/>
          <w:szCs w:val="18"/>
        </w:rPr>
        <w:t xml:space="preserve"> Solution (c)</w:t>
      </w:r>
    </w:p>
    <w:p w14:paraId="248D96B5" w14:textId="77777777" w:rsidR="00CA4AB5" w:rsidRDefault="00CA4AB5">
      <w:pPr>
        <w:pBdr>
          <w:top w:val="nil"/>
          <w:left w:val="nil"/>
          <w:bottom w:val="nil"/>
          <w:right w:val="nil"/>
          <w:between w:val="nil"/>
        </w:pBdr>
        <w:spacing w:line="240" w:lineRule="auto"/>
        <w:ind w:firstLine="0"/>
        <w:jc w:val="center"/>
        <w:rPr>
          <w:color w:val="000000"/>
        </w:rPr>
      </w:pPr>
    </w:p>
    <w:p w14:paraId="66DB71AC" w14:textId="77777777" w:rsidR="00CA4AB5" w:rsidRDefault="00000000">
      <w:pPr>
        <w:pStyle w:val="Heading1"/>
        <w:spacing w:line="240" w:lineRule="auto"/>
      </w:pPr>
      <w:r>
        <w:t>Dithizone Nanoparticles (DTZ-NPs) Synthesis</w:t>
      </w:r>
    </w:p>
    <w:p w14:paraId="0BA4BE1C" w14:textId="77777777" w:rsidR="00CA4AB5" w:rsidRDefault="00CA4AB5">
      <w:pPr>
        <w:spacing w:line="240" w:lineRule="auto"/>
      </w:pPr>
    </w:p>
    <w:p w14:paraId="4A1DFDDB" w14:textId="77777777" w:rsidR="00CA4AB5" w:rsidRDefault="00000000">
      <w:pPr>
        <w:pBdr>
          <w:top w:val="nil"/>
          <w:left w:val="nil"/>
          <w:bottom w:val="nil"/>
          <w:right w:val="nil"/>
          <w:between w:val="nil"/>
        </w:pBdr>
        <w:spacing w:line="240" w:lineRule="auto"/>
        <w:ind w:left="113" w:firstLine="720"/>
        <w:rPr>
          <w:color w:val="000000"/>
          <w:sz w:val="20"/>
          <w:szCs w:val="20"/>
        </w:rPr>
      </w:pPr>
      <w:r>
        <w:rPr>
          <w:color w:val="000000"/>
          <w:sz w:val="20"/>
          <w:szCs w:val="20"/>
        </w:rPr>
        <w:t xml:space="preserve">The synthesis of dithizone nanoparticles (DTZ-NPs) was performed by preparing a 10 mM dithizone solution in acetone, followed by injecting 100 µL of this solution into 10 mL of 0.1 M TAPS buffer (pH 7) under high-speed stirring at room temperature. The resulting dispersion appeared pale orange, as shown in </w:t>
      </w:r>
      <w:r>
        <w:rPr>
          <w:b/>
          <w:color w:val="000000"/>
          <w:sz w:val="20"/>
          <w:szCs w:val="20"/>
        </w:rPr>
        <w:t>FIGURE 4</w:t>
      </w:r>
      <w:r>
        <w:rPr>
          <w:color w:val="000000"/>
          <w:sz w:val="20"/>
          <w:szCs w:val="20"/>
        </w:rPr>
        <w:t>. The presence of colloidal particles was further confirmed by the Tyndall effect test, in which a bright green laser beam was observed passing through the dispersion, indicating the successful formation of DTZ-NPs.</w:t>
      </w:r>
    </w:p>
    <w:p w14:paraId="7BA0918C" w14:textId="77777777" w:rsidR="00CA4AB5" w:rsidRDefault="00CA4AB5">
      <w:pPr>
        <w:pBdr>
          <w:top w:val="nil"/>
          <w:left w:val="nil"/>
          <w:bottom w:val="nil"/>
          <w:right w:val="nil"/>
          <w:between w:val="nil"/>
        </w:pBdr>
        <w:spacing w:line="240" w:lineRule="auto"/>
        <w:ind w:left="113" w:firstLine="720"/>
        <w:rPr>
          <w:color w:val="000000"/>
        </w:rPr>
      </w:pPr>
    </w:p>
    <w:p w14:paraId="59FCA3A4" w14:textId="77777777" w:rsidR="00CA4AB5" w:rsidRDefault="00000000">
      <w:pPr>
        <w:pBdr>
          <w:top w:val="nil"/>
          <w:left w:val="nil"/>
          <w:bottom w:val="nil"/>
          <w:right w:val="nil"/>
          <w:between w:val="nil"/>
        </w:pBdr>
        <w:spacing w:line="240" w:lineRule="auto"/>
        <w:ind w:firstLine="0"/>
        <w:jc w:val="center"/>
      </w:pPr>
      <w:r>
        <w:rPr>
          <w:noProof/>
        </w:rPr>
        <w:drawing>
          <wp:inline distT="114300" distB="114300" distL="114300" distR="114300" wp14:anchorId="5E389131" wp14:editId="3B26FF9C">
            <wp:extent cx="1307514" cy="1093168"/>
            <wp:effectExtent l="0" t="0" r="0" b="0"/>
            <wp:docPr id="208549824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5"/>
                    <a:srcRect/>
                    <a:stretch>
                      <a:fillRect/>
                    </a:stretch>
                  </pic:blipFill>
                  <pic:spPr>
                    <a:xfrm>
                      <a:off x="0" y="0"/>
                      <a:ext cx="1307514" cy="1093168"/>
                    </a:xfrm>
                    <a:prstGeom prst="rect">
                      <a:avLst/>
                    </a:prstGeom>
                    <a:ln/>
                  </pic:spPr>
                </pic:pic>
              </a:graphicData>
            </a:graphic>
          </wp:inline>
        </w:drawing>
      </w:r>
    </w:p>
    <w:p w14:paraId="4C1EA71D" w14:textId="77777777" w:rsidR="00CA4AB5" w:rsidRDefault="00000000">
      <w:pPr>
        <w:pBdr>
          <w:top w:val="nil"/>
          <w:left w:val="nil"/>
          <w:bottom w:val="nil"/>
          <w:right w:val="nil"/>
          <w:between w:val="nil"/>
        </w:pBdr>
        <w:spacing w:before="240" w:line="240" w:lineRule="auto"/>
        <w:ind w:firstLine="0"/>
        <w:jc w:val="center"/>
        <w:rPr>
          <w:sz w:val="18"/>
          <w:szCs w:val="18"/>
        </w:rPr>
      </w:pPr>
      <w:r>
        <w:rPr>
          <w:b/>
          <w:sz w:val="18"/>
          <w:szCs w:val="18"/>
        </w:rPr>
        <w:t>FIGURE 4.</w:t>
      </w:r>
      <w:r>
        <w:rPr>
          <w:sz w:val="18"/>
          <w:szCs w:val="18"/>
        </w:rPr>
        <w:t xml:space="preserve"> DTZ-NPs Dispersion</w:t>
      </w:r>
    </w:p>
    <w:p w14:paraId="4EFDE9E3" w14:textId="77777777" w:rsidR="00CA4AB5" w:rsidRDefault="00CA4AB5">
      <w:pPr>
        <w:pBdr>
          <w:top w:val="nil"/>
          <w:left w:val="nil"/>
          <w:bottom w:val="nil"/>
          <w:right w:val="nil"/>
          <w:between w:val="nil"/>
        </w:pBdr>
        <w:spacing w:line="240" w:lineRule="auto"/>
        <w:ind w:firstLine="0"/>
        <w:jc w:val="left"/>
      </w:pPr>
    </w:p>
    <w:p w14:paraId="7E0287F2" w14:textId="77777777" w:rsidR="00CA4AB5" w:rsidRDefault="00000000">
      <w:pPr>
        <w:pStyle w:val="Heading1"/>
        <w:spacing w:line="240" w:lineRule="auto"/>
      </w:pPr>
      <w:r>
        <w:t>UV-Vis Spectrophotometry Measurements</w:t>
      </w:r>
    </w:p>
    <w:p w14:paraId="422650FD" w14:textId="77777777" w:rsidR="00CA4AB5" w:rsidRDefault="00CA4AB5">
      <w:pPr>
        <w:spacing w:line="240" w:lineRule="auto"/>
      </w:pPr>
    </w:p>
    <w:p w14:paraId="52FDE056" w14:textId="77777777" w:rsidR="00CA4AB5" w:rsidRDefault="00000000">
      <w:pPr>
        <w:pBdr>
          <w:top w:val="nil"/>
          <w:left w:val="nil"/>
          <w:bottom w:val="nil"/>
          <w:right w:val="nil"/>
          <w:between w:val="nil"/>
        </w:pBdr>
        <w:spacing w:line="240" w:lineRule="auto"/>
        <w:ind w:left="113" w:firstLine="450"/>
        <w:rPr>
          <w:color w:val="000000"/>
          <w:sz w:val="20"/>
          <w:szCs w:val="20"/>
        </w:rPr>
      </w:pPr>
      <w:r>
        <w:rPr>
          <w:color w:val="000000"/>
          <w:sz w:val="20"/>
          <w:szCs w:val="20"/>
        </w:rPr>
        <w:t xml:space="preserve">The </w:t>
      </w:r>
      <w:proofErr w:type="spellStart"/>
      <w:r>
        <w:rPr>
          <w:color w:val="000000"/>
          <w:sz w:val="20"/>
          <w:szCs w:val="20"/>
        </w:rPr>
        <w:t>AgNPs</w:t>
      </w:r>
      <w:proofErr w:type="spellEnd"/>
      <w:r>
        <w:rPr>
          <w:color w:val="000000"/>
          <w:sz w:val="20"/>
          <w:szCs w:val="20"/>
        </w:rPr>
        <w:t xml:space="preserve"> dispersion was characterized using UV-</w:t>
      </w:r>
      <w:proofErr w:type="gramStart"/>
      <w:r>
        <w:rPr>
          <w:color w:val="000000"/>
          <w:sz w:val="20"/>
          <w:szCs w:val="20"/>
        </w:rPr>
        <w:t>Vis</w:t>
      </w:r>
      <w:proofErr w:type="gramEnd"/>
      <w:r>
        <w:rPr>
          <w:color w:val="000000"/>
          <w:sz w:val="20"/>
          <w:szCs w:val="20"/>
        </w:rPr>
        <w:t xml:space="preserve"> spectrophotometry. As shown in </w:t>
      </w:r>
      <w:r>
        <w:rPr>
          <w:b/>
          <w:color w:val="000000"/>
          <w:sz w:val="20"/>
          <w:szCs w:val="20"/>
        </w:rPr>
        <w:t>FIGURE 5</w:t>
      </w:r>
      <w:r>
        <w:rPr>
          <w:color w:val="000000"/>
          <w:sz w:val="20"/>
          <w:szCs w:val="20"/>
        </w:rPr>
        <w:t xml:space="preserve">, the </w:t>
      </w:r>
      <w:proofErr w:type="spellStart"/>
      <w:r>
        <w:rPr>
          <w:color w:val="000000"/>
          <w:sz w:val="20"/>
          <w:szCs w:val="20"/>
        </w:rPr>
        <w:t>AgNPs</w:t>
      </w:r>
      <w:proofErr w:type="spellEnd"/>
      <w:r>
        <w:rPr>
          <w:color w:val="000000"/>
          <w:sz w:val="20"/>
          <w:szCs w:val="20"/>
        </w:rPr>
        <w:t xml:space="preserve"> exhibited a distinct absorption peak in the range of 420–450 nm. The appearance of this peak within the characteristic surface plasmon resonance (SPR) region of </w:t>
      </w:r>
      <w:proofErr w:type="spellStart"/>
      <w:r>
        <w:rPr>
          <w:color w:val="000000"/>
          <w:sz w:val="20"/>
          <w:szCs w:val="20"/>
        </w:rPr>
        <w:t>AgNPs</w:t>
      </w:r>
      <w:proofErr w:type="spellEnd"/>
      <w:r>
        <w:rPr>
          <w:color w:val="000000"/>
          <w:sz w:val="20"/>
          <w:szCs w:val="20"/>
        </w:rPr>
        <w:t xml:space="preserve"> (400–500 nm) confirms the formation of silver nanoparticles [12]. In contrast, no absorption peaks were observed in the same region for either the AgNO</w:t>
      </w:r>
      <w:r>
        <w:rPr>
          <w:color w:val="000000"/>
          <w:sz w:val="20"/>
          <w:szCs w:val="20"/>
          <w:vertAlign w:val="subscript"/>
        </w:rPr>
        <w:t>3</w:t>
      </w:r>
      <w:r>
        <w:rPr>
          <w:color w:val="000000"/>
          <w:sz w:val="20"/>
          <w:szCs w:val="20"/>
        </w:rPr>
        <w:t xml:space="preserve"> solution or the dragon fruit peel extract, indicating that nanoparticle formation did not occur in these solutions. These findings demonstrate the successful green synthesis of </w:t>
      </w:r>
      <w:proofErr w:type="spellStart"/>
      <w:r>
        <w:rPr>
          <w:color w:val="000000"/>
          <w:sz w:val="20"/>
          <w:szCs w:val="20"/>
        </w:rPr>
        <w:t>AgNPs</w:t>
      </w:r>
      <w:proofErr w:type="spellEnd"/>
      <w:r>
        <w:rPr>
          <w:color w:val="000000"/>
          <w:sz w:val="20"/>
          <w:szCs w:val="20"/>
        </w:rPr>
        <w:t xml:space="preserve"> using dragon fruit peel extract.</w:t>
      </w:r>
    </w:p>
    <w:p w14:paraId="709428B1" w14:textId="77777777" w:rsidR="00CA4AB5" w:rsidRDefault="00CA4AB5">
      <w:pPr>
        <w:pBdr>
          <w:top w:val="nil"/>
          <w:left w:val="nil"/>
          <w:bottom w:val="nil"/>
          <w:right w:val="nil"/>
          <w:between w:val="nil"/>
        </w:pBdr>
        <w:spacing w:line="240" w:lineRule="auto"/>
        <w:ind w:firstLine="450"/>
        <w:rPr>
          <w:color w:val="000000"/>
          <w:sz w:val="20"/>
          <w:szCs w:val="20"/>
        </w:rPr>
      </w:pPr>
    </w:p>
    <w:p w14:paraId="7EEA0C40" w14:textId="77777777" w:rsidR="00CA4AB5" w:rsidRDefault="00000000">
      <w:pPr>
        <w:pBdr>
          <w:top w:val="nil"/>
          <w:left w:val="nil"/>
          <w:bottom w:val="nil"/>
          <w:right w:val="nil"/>
          <w:between w:val="nil"/>
        </w:pBdr>
        <w:spacing w:line="240" w:lineRule="auto"/>
        <w:ind w:firstLine="0"/>
        <w:jc w:val="center"/>
        <w:rPr>
          <w:color w:val="000000"/>
        </w:rPr>
      </w:pPr>
      <w:r>
        <w:rPr>
          <w:noProof/>
          <w:color w:val="000000"/>
        </w:rPr>
        <w:drawing>
          <wp:inline distT="0" distB="0" distL="0" distR="0" wp14:anchorId="6228D258" wp14:editId="531A6F88">
            <wp:extent cx="2556576" cy="1835770"/>
            <wp:effectExtent l="0" t="0" r="0" b="0"/>
            <wp:docPr id="208549824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6"/>
                    <a:srcRect/>
                    <a:stretch>
                      <a:fillRect/>
                    </a:stretch>
                  </pic:blipFill>
                  <pic:spPr>
                    <a:xfrm>
                      <a:off x="0" y="0"/>
                      <a:ext cx="2556576" cy="1835770"/>
                    </a:xfrm>
                    <a:prstGeom prst="rect">
                      <a:avLst/>
                    </a:prstGeom>
                    <a:ln/>
                  </pic:spPr>
                </pic:pic>
              </a:graphicData>
            </a:graphic>
          </wp:inline>
        </w:drawing>
      </w:r>
    </w:p>
    <w:p w14:paraId="73E5007D" w14:textId="77777777" w:rsidR="00CA4AB5" w:rsidRDefault="00000000">
      <w:pPr>
        <w:pBdr>
          <w:top w:val="nil"/>
          <w:left w:val="nil"/>
          <w:bottom w:val="nil"/>
          <w:right w:val="nil"/>
          <w:between w:val="nil"/>
        </w:pBdr>
        <w:spacing w:before="240" w:line="240" w:lineRule="auto"/>
        <w:ind w:firstLine="0"/>
        <w:jc w:val="center"/>
        <w:rPr>
          <w:color w:val="000000"/>
          <w:sz w:val="18"/>
          <w:szCs w:val="18"/>
        </w:rPr>
      </w:pPr>
      <w:r>
        <w:rPr>
          <w:b/>
          <w:color w:val="000000"/>
          <w:sz w:val="18"/>
          <w:szCs w:val="18"/>
        </w:rPr>
        <w:t xml:space="preserve">FIGURE 5. </w:t>
      </w:r>
      <w:r>
        <w:rPr>
          <w:color w:val="000000"/>
          <w:sz w:val="18"/>
          <w:szCs w:val="18"/>
        </w:rPr>
        <w:t>UV-Vis Spectrophotometer Measurement Results</w:t>
      </w:r>
    </w:p>
    <w:p w14:paraId="3350A463" w14:textId="77777777" w:rsidR="00CA4AB5" w:rsidRDefault="00CA4AB5">
      <w:pPr>
        <w:pBdr>
          <w:top w:val="nil"/>
          <w:left w:val="nil"/>
          <w:bottom w:val="nil"/>
          <w:right w:val="nil"/>
          <w:between w:val="nil"/>
        </w:pBdr>
        <w:spacing w:line="240" w:lineRule="auto"/>
        <w:ind w:firstLine="0"/>
        <w:jc w:val="center"/>
        <w:rPr>
          <w:color w:val="000000"/>
          <w:sz w:val="20"/>
          <w:szCs w:val="20"/>
        </w:rPr>
      </w:pPr>
    </w:p>
    <w:p w14:paraId="37BF2FE0" w14:textId="77777777" w:rsidR="00CA4AB5" w:rsidRDefault="00000000">
      <w:pPr>
        <w:pStyle w:val="Heading1"/>
        <w:spacing w:line="240" w:lineRule="auto"/>
      </w:pPr>
      <w:r>
        <w:t>Particle Size Analyzer (PSA) and Zeta Potential Measurement</w:t>
      </w:r>
    </w:p>
    <w:p w14:paraId="3C9C69E9" w14:textId="77777777" w:rsidR="00CA4AB5" w:rsidRDefault="00CA4AB5">
      <w:pPr>
        <w:spacing w:line="240" w:lineRule="auto"/>
      </w:pPr>
    </w:p>
    <w:p w14:paraId="5797D8B3" w14:textId="77777777" w:rsidR="00CA4AB5" w:rsidRDefault="00000000">
      <w:pPr>
        <w:spacing w:line="240" w:lineRule="auto"/>
        <w:ind w:left="113" w:firstLine="450"/>
        <w:rPr>
          <w:color w:val="000000"/>
          <w:sz w:val="20"/>
          <w:szCs w:val="20"/>
        </w:rPr>
      </w:pPr>
      <w:r>
        <w:rPr>
          <w:color w:val="000000"/>
          <w:sz w:val="20"/>
          <w:szCs w:val="20"/>
        </w:rPr>
        <w:t xml:space="preserve">In this study, characterization was also performed using a Particle Size Analyzer (PSA) for </w:t>
      </w:r>
      <w:proofErr w:type="spellStart"/>
      <w:r>
        <w:rPr>
          <w:color w:val="000000"/>
          <w:sz w:val="20"/>
          <w:szCs w:val="20"/>
        </w:rPr>
        <w:t>AgNPs</w:t>
      </w:r>
      <w:proofErr w:type="spellEnd"/>
      <w:r>
        <w:rPr>
          <w:color w:val="000000"/>
          <w:sz w:val="20"/>
          <w:szCs w:val="20"/>
        </w:rPr>
        <w:t xml:space="preserve"> and DTZ-NPs to determine the size of the synthesized particles. The PSA results, as shown in </w:t>
      </w:r>
      <w:r>
        <w:rPr>
          <w:b/>
          <w:color w:val="000000"/>
          <w:sz w:val="20"/>
          <w:szCs w:val="20"/>
        </w:rPr>
        <w:t>FIGURE (6)</w:t>
      </w:r>
      <w:r>
        <w:rPr>
          <w:color w:val="000000"/>
          <w:sz w:val="20"/>
          <w:szCs w:val="20"/>
        </w:rPr>
        <w:t>, revealed an average particle size distribution for silver nanoparticles (</w:t>
      </w:r>
      <w:proofErr w:type="spellStart"/>
      <w:r>
        <w:rPr>
          <w:color w:val="000000"/>
          <w:sz w:val="20"/>
          <w:szCs w:val="20"/>
        </w:rPr>
        <w:t>AgNPs</w:t>
      </w:r>
      <w:proofErr w:type="spellEnd"/>
      <w:r>
        <w:rPr>
          <w:color w:val="000000"/>
          <w:sz w:val="20"/>
          <w:szCs w:val="20"/>
        </w:rPr>
        <w:t xml:space="preserve">) </w:t>
      </w:r>
      <w:proofErr w:type="gramStart"/>
      <w:r>
        <w:rPr>
          <w:color w:val="000000"/>
          <w:sz w:val="20"/>
          <w:szCs w:val="20"/>
        </w:rPr>
        <w:t>of  150</w:t>
      </w:r>
      <w:proofErr w:type="gramEnd"/>
      <w:r>
        <w:rPr>
          <w:color w:val="000000"/>
          <w:sz w:val="20"/>
          <w:szCs w:val="20"/>
        </w:rPr>
        <w:t xml:space="preserve"> nm. The main peak with the highest intensity around 150 nm indicates that the most dominant particle size in the sample is approximately 150 nm. The secondary peak around 1000 nm suggests the presence of larger particles, albeit in smaller quantities. </w:t>
      </w:r>
    </w:p>
    <w:p w14:paraId="776128AF" w14:textId="77777777" w:rsidR="00CA4AB5" w:rsidRDefault="00CA4AB5">
      <w:pPr>
        <w:spacing w:line="240" w:lineRule="auto"/>
        <w:ind w:firstLine="450"/>
        <w:rPr>
          <w:color w:val="000000"/>
          <w:sz w:val="20"/>
          <w:szCs w:val="20"/>
        </w:rPr>
      </w:pPr>
    </w:p>
    <w:p w14:paraId="6562C3B9" w14:textId="77777777" w:rsidR="00CA4AB5" w:rsidRDefault="00000000">
      <w:pPr>
        <w:spacing w:line="240" w:lineRule="auto"/>
        <w:ind w:firstLine="0"/>
        <w:jc w:val="center"/>
        <w:rPr>
          <w:color w:val="000000"/>
          <w:sz w:val="20"/>
          <w:szCs w:val="20"/>
        </w:rPr>
      </w:pPr>
      <w:r>
        <w:rPr>
          <w:noProof/>
          <w:color w:val="000000"/>
          <w:sz w:val="20"/>
          <w:szCs w:val="20"/>
        </w:rPr>
        <w:drawing>
          <wp:inline distT="0" distB="0" distL="0" distR="0" wp14:anchorId="38358E05" wp14:editId="799638F1">
            <wp:extent cx="2167699" cy="1747100"/>
            <wp:effectExtent l="0" t="0" r="0" b="0"/>
            <wp:docPr id="2085498247" name="image5.png" descr="A graph with a line"/>
            <wp:cNvGraphicFramePr/>
            <a:graphic xmlns:a="http://schemas.openxmlformats.org/drawingml/2006/main">
              <a:graphicData uri="http://schemas.openxmlformats.org/drawingml/2006/picture">
                <pic:pic xmlns:pic="http://schemas.openxmlformats.org/drawingml/2006/picture">
                  <pic:nvPicPr>
                    <pic:cNvPr id="0" name="image5.png" descr="A graph with a line"/>
                    <pic:cNvPicPr preferRelativeResize="0"/>
                  </pic:nvPicPr>
                  <pic:blipFill>
                    <a:blip r:embed="rId17"/>
                    <a:srcRect/>
                    <a:stretch>
                      <a:fillRect/>
                    </a:stretch>
                  </pic:blipFill>
                  <pic:spPr>
                    <a:xfrm>
                      <a:off x="0" y="0"/>
                      <a:ext cx="2167699" cy="1747100"/>
                    </a:xfrm>
                    <a:prstGeom prst="rect">
                      <a:avLst/>
                    </a:prstGeom>
                    <a:ln/>
                  </pic:spPr>
                </pic:pic>
              </a:graphicData>
            </a:graphic>
          </wp:inline>
        </w:drawing>
      </w:r>
    </w:p>
    <w:p w14:paraId="18FB7DAE" w14:textId="77777777" w:rsidR="00CA4AB5" w:rsidRDefault="00000000">
      <w:pPr>
        <w:spacing w:before="240" w:line="240" w:lineRule="auto"/>
        <w:ind w:firstLine="0"/>
        <w:jc w:val="center"/>
        <w:rPr>
          <w:color w:val="000000"/>
          <w:sz w:val="18"/>
          <w:szCs w:val="18"/>
        </w:rPr>
      </w:pPr>
      <w:r>
        <w:rPr>
          <w:b/>
          <w:color w:val="000000"/>
          <w:sz w:val="18"/>
          <w:szCs w:val="18"/>
        </w:rPr>
        <w:t xml:space="preserve">FIGURE 6. </w:t>
      </w:r>
      <w:r>
        <w:rPr>
          <w:color w:val="000000"/>
          <w:sz w:val="18"/>
          <w:szCs w:val="18"/>
        </w:rPr>
        <w:t xml:space="preserve">The Result of PSA Measurement of </w:t>
      </w:r>
      <w:proofErr w:type="spellStart"/>
      <w:r>
        <w:rPr>
          <w:color w:val="000000"/>
          <w:sz w:val="18"/>
          <w:szCs w:val="18"/>
        </w:rPr>
        <w:t>AgNPs</w:t>
      </w:r>
      <w:proofErr w:type="spellEnd"/>
    </w:p>
    <w:p w14:paraId="03113E27" w14:textId="77777777" w:rsidR="00CA4AB5" w:rsidRDefault="00CA4AB5">
      <w:pPr>
        <w:spacing w:line="240" w:lineRule="auto"/>
        <w:ind w:firstLine="0"/>
        <w:jc w:val="center"/>
        <w:rPr>
          <w:color w:val="000000"/>
        </w:rPr>
      </w:pPr>
    </w:p>
    <w:p w14:paraId="478A0BA6" w14:textId="77777777" w:rsidR="00CA4AB5" w:rsidRDefault="00000000">
      <w:pPr>
        <w:spacing w:line="240" w:lineRule="auto"/>
        <w:ind w:left="113" w:firstLine="450"/>
        <w:rPr>
          <w:color w:val="000000"/>
          <w:sz w:val="20"/>
          <w:szCs w:val="20"/>
        </w:rPr>
      </w:pPr>
      <w:r>
        <w:rPr>
          <w:color w:val="000000"/>
          <w:sz w:val="20"/>
          <w:szCs w:val="20"/>
        </w:rPr>
        <w:t xml:space="preserve">The synthesized dithizone nanoparticles (DTZ-NPs) were further characterized using Particle Size Analysis (PSA) and Zeta Potential measurements. As shown in </w:t>
      </w:r>
      <w:r>
        <w:rPr>
          <w:b/>
          <w:color w:val="000000"/>
          <w:sz w:val="20"/>
          <w:szCs w:val="20"/>
        </w:rPr>
        <w:t>FIGURE 7(a)</w:t>
      </w:r>
      <w:r>
        <w:rPr>
          <w:color w:val="000000"/>
          <w:sz w:val="20"/>
          <w:szCs w:val="20"/>
        </w:rPr>
        <w:t xml:space="preserve">, the PSA results revealed an average particle size distribution of 87.99 nm, confirming that the DTZ-NPs fall within the nanoscale range. In addition, the Zeta Potential measurement </w:t>
      </w:r>
      <w:r>
        <w:rPr>
          <w:b/>
          <w:color w:val="000000"/>
          <w:sz w:val="20"/>
          <w:szCs w:val="20"/>
        </w:rPr>
        <w:t>(FIGURE 7(b))</w:t>
      </w:r>
      <w:r>
        <w:rPr>
          <w:color w:val="000000"/>
          <w:sz w:val="20"/>
          <w:szCs w:val="20"/>
        </w:rPr>
        <w:t xml:space="preserve"> yielded a value of –33.36 mV, which indicates good colloidal stability. The relatively high negative charge suggests strong electrostatic repulsion between particles, thereby preventing aggregation and ensuring </w:t>
      </w:r>
      <w:proofErr w:type="gramStart"/>
      <w:r>
        <w:rPr>
          <w:color w:val="000000"/>
          <w:sz w:val="20"/>
          <w:szCs w:val="20"/>
        </w:rPr>
        <w:t>the dispersion</w:t>
      </w:r>
      <w:proofErr w:type="gramEnd"/>
      <w:r>
        <w:rPr>
          <w:color w:val="000000"/>
          <w:sz w:val="20"/>
          <w:szCs w:val="20"/>
        </w:rPr>
        <w:t xml:space="preserve"> stability of DTZ-NPs.</w:t>
      </w:r>
    </w:p>
    <w:tbl>
      <w:tblPr>
        <w:tblStyle w:val="a1"/>
        <w:tblW w:w="8913" w:type="dxa"/>
        <w:tblInd w:w="113" w:type="dxa"/>
        <w:tblBorders>
          <w:top w:val="nil"/>
          <w:left w:val="nil"/>
          <w:bottom w:val="nil"/>
          <w:right w:val="nil"/>
          <w:insideH w:val="nil"/>
          <w:insideV w:val="nil"/>
        </w:tblBorders>
        <w:tblLayout w:type="fixed"/>
        <w:tblLook w:val="0400" w:firstRow="0" w:lastRow="0" w:firstColumn="0" w:lastColumn="0" w:noHBand="0" w:noVBand="1"/>
      </w:tblPr>
      <w:tblGrid>
        <w:gridCol w:w="4457"/>
        <w:gridCol w:w="4456"/>
      </w:tblGrid>
      <w:tr w:rsidR="00CA4AB5" w14:paraId="5C40E3E6" w14:textId="77777777">
        <w:tc>
          <w:tcPr>
            <w:tcW w:w="4457" w:type="dxa"/>
          </w:tcPr>
          <w:p w14:paraId="15EDC2F7" w14:textId="77777777" w:rsidR="00CA4AB5" w:rsidRDefault="00CA4AB5">
            <w:pPr>
              <w:ind w:firstLine="0"/>
              <w:jc w:val="center"/>
              <w:rPr>
                <w:color w:val="000000"/>
                <w:sz w:val="20"/>
                <w:szCs w:val="20"/>
              </w:rPr>
            </w:pPr>
          </w:p>
        </w:tc>
        <w:tc>
          <w:tcPr>
            <w:tcW w:w="4456" w:type="dxa"/>
          </w:tcPr>
          <w:p w14:paraId="5D5D382C" w14:textId="77777777" w:rsidR="00CA4AB5" w:rsidRDefault="00CA4AB5">
            <w:pPr>
              <w:ind w:firstLine="0"/>
              <w:jc w:val="center"/>
              <w:rPr>
                <w:color w:val="000000"/>
                <w:sz w:val="20"/>
                <w:szCs w:val="20"/>
              </w:rPr>
            </w:pPr>
          </w:p>
        </w:tc>
      </w:tr>
      <w:tr w:rsidR="00CA4AB5" w14:paraId="79C40B48" w14:textId="77777777">
        <w:tc>
          <w:tcPr>
            <w:tcW w:w="4457" w:type="dxa"/>
          </w:tcPr>
          <w:p w14:paraId="4073C852" w14:textId="77777777" w:rsidR="00CA4AB5" w:rsidRDefault="00000000">
            <w:pPr>
              <w:ind w:firstLine="0"/>
              <w:jc w:val="center"/>
              <w:rPr>
                <w:color w:val="000000"/>
                <w:sz w:val="20"/>
                <w:szCs w:val="20"/>
              </w:rPr>
            </w:pPr>
            <w:r>
              <w:rPr>
                <w:noProof/>
                <w:color w:val="000000"/>
                <w:sz w:val="20"/>
                <w:szCs w:val="20"/>
              </w:rPr>
              <w:drawing>
                <wp:inline distT="0" distB="0" distL="0" distR="0" wp14:anchorId="131381AB" wp14:editId="6E624A5F">
                  <wp:extent cx="2168354" cy="1800000"/>
                  <wp:effectExtent l="0" t="0" r="0" b="0"/>
                  <wp:docPr id="2085498245" name="image11.png" descr="A graph with a li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1.png" descr="A graph with a line&#10;&#10;Description automatically generated"/>
                          <pic:cNvPicPr preferRelativeResize="0"/>
                        </pic:nvPicPr>
                        <pic:blipFill>
                          <a:blip r:embed="rId18"/>
                          <a:srcRect/>
                          <a:stretch>
                            <a:fillRect/>
                          </a:stretch>
                        </pic:blipFill>
                        <pic:spPr>
                          <a:xfrm>
                            <a:off x="0" y="0"/>
                            <a:ext cx="2168354" cy="1800000"/>
                          </a:xfrm>
                          <a:prstGeom prst="rect">
                            <a:avLst/>
                          </a:prstGeom>
                          <a:ln/>
                        </pic:spPr>
                      </pic:pic>
                    </a:graphicData>
                  </a:graphic>
                </wp:inline>
              </w:drawing>
            </w:r>
          </w:p>
        </w:tc>
        <w:tc>
          <w:tcPr>
            <w:tcW w:w="4456" w:type="dxa"/>
          </w:tcPr>
          <w:p w14:paraId="34D8BC7E" w14:textId="77777777" w:rsidR="00CA4AB5" w:rsidRDefault="00000000">
            <w:pPr>
              <w:ind w:firstLine="0"/>
              <w:jc w:val="center"/>
              <w:rPr>
                <w:color w:val="000000"/>
                <w:sz w:val="20"/>
                <w:szCs w:val="20"/>
              </w:rPr>
            </w:pPr>
            <w:r>
              <w:rPr>
                <w:noProof/>
                <w:color w:val="000000"/>
                <w:sz w:val="20"/>
                <w:szCs w:val="20"/>
              </w:rPr>
              <w:drawing>
                <wp:inline distT="0" distB="0" distL="0" distR="0" wp14:anchorId="4BCC02C4" wp14:editId="6C92F48A">
                  <wp:extent cx="2169042" cy="1800000"/>
                  <wp:effectExtent l="0" t="0" r="0" b="0"/>
                  <wp:docPr id="2085498246" name="image1.png" descr="A graph with numbers and a li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graph with numbers and a line&#10;&#10;Description automatically generated"/>
                          <pic:cNvPicPr preferRelativeResize="0"/>
                        </pic:nvPicPr>
                        <pic:blipFill>
                          <a:blip r:embed="rId19"/>
                          <a:srcRect/>
                          <a:stretch>
                            <a:fillRect/>
                          </a:stretch>
                        </pic:blipFill>
                        <pic:spPr>
                          <a:xfrm>
                            <a:off x="0" y="0"/>
                            <a:ext cx="2169042" cy="1800000"/>
                          </a:xfrm>
                          <a:prstGeom prst="rect">
                            <a:avLst/>
                          </a:prstGeom>
                          <a:ln/>
                        </pic:spPr>
                      </pic:pic>
                    </a:graphicData>
                  </a:graphic>
                </wp:inline>
              </w:drawing>
            </w:r>
          </w:p>
        </w:tc>
      </w:tr>
      <w:tr w:rsidR="00CA4AB5" w14:paraId="20F9438D" w14:textId="77777777">
        <w:tc>
          <w:tcPr>
            <w:tcW w:w="4457" w:type="dxa"/>
          </w:tcPr>
          <w:p w14:paraId="70F1BD5E" w14:textId="77777777" w:rsidR="00CA4AB5" w:rsidRDefault="00000000">
            <w:pPr>
              <w:ind w:firstLine="0"/>
              <w:jc w:val="center"/>
              <w:rPr>
                <w:color w:val="000000"/>
                <w:sz w:val="20"/>
                <w:szCs w:val="20"/>
              </w:rPr>
            </w:pPr>
            <w:r>
              <w:rPr>
                <w:color w:val="000000"/>
                <w:sz w:val="20"/>
                <w:szCs w:val="20"/>
              </w:rPr>
              <w:t>(a)</w:t>
            </w:r>
          </w:p>
        </w:tc>
        <w:tc>
          <w:tcPr>
            <w:tcW w:w="4456" w:type="dxa"/>
          </w:tcPr>
          <w:p w14:paraId="04FAB4DD" w14:textId="77777777" w:rsidR="00CA4AB5" w:rsidRDefault="00000000">
            <w:pPr>
              <w:ind w:firstLine="0"/>
              <w:jc w:val="center"/>
              <w:rPr>
                <w:color w:val="000000"/>
                <w:sz w:val="20"/>
                <w:szCs w:val="20"/>
              </w:rPr>
            </w:pPr>
            <w:r>
              <w:rPr>
                <w:color w:val="000000"/>
                <w:sz w:val="20"/>
                <w:szCs w:val="20"/>
              </w:rPr>
              <w:t>(b)</w:t>
            </w:r>
          </w:p>
        </w:tc>
      </w:tr>
    </w:tbl>
    <w:p w14:paraId="15A133B8" w14:textId="77777777" w:rsidR="00CA4AB5" w:rsidRDefault="00CA4AB5">
      <w:pPr>
        <w:spacing w:line="240" w:lineRule="auto"/>
        <w:ind w:left="113" w:firstLine="450"/>
        <w:rPr>
          <w:color w:val="000000"/>
          <w:sz w:val="20"/>
          <w:szCs w:val="20"/>
        </w:rPr>
      </w:pPr>
    </w:p>
    <w:p w14:paraId="6449D5DC" w14:textId="77777777" w:rsidR="00CA4AB5" w:rsidRDefault="00000000">
      <w:pPr>
        <w:spacing w:line="240" w:lineRule="auto"/>
        <w:ind w:firstLine="0"/>
        <w:jc w:val="center"/>
        <w:rPr>
          <w:color w:val="000000"/>
          <w:sz w:val="18"/>
          <w:szCs w:val="18"/>
        </w:rPr>
      </w:pPr>
      <w:r>
        <w:rPr>
          <w:b/>
          <w:color w:val="000000"/>
          <w:sz w:val="18"/>
          <w:szCs w:val="18"/>
        </w:rPr>
        <w:t xml:space="preserve">FIGURE 7. </w:t>
      </w:r>
      <w:r>
        <w:rPr>
          <w:color w:val="000000"/>
          <w:sz w:val="18"/>
          <w:szCs w:val="18"/>
        </w:rPr>
        <w:t>(a) The Result of PSA Measurement and (b) Result of Zeta Potential Measurement of</w:t>
      </w:r>
    </w:p>
    <w:p w14:paraId="7F9E45B7" w14:textId="77777777" w:rsidR="00CA4AB5" w:rsidRDefault="00000000">
      <w:pPr>
        <w:spacing w:line="240" w:lineRule="auto"/>
        <w:ind w:firstLine="0"/>
        <w:jc w:val="center"/>
        <w:rPr>
          <w:color w:val="000000"/>
          <w:sz w:val="18"/>
          <w:szCs w:val="18"/>
        </w:rPr>
      </w:pPr>
      <w:proofErr w:type="spellStart"/>
      <w:r>
        <w:rPr>
          <w:color w:val="000000"/>
          <w:sz w:val="18"/>
          <w:szCs w:val="18"/>
        </w:rPr>
        <w:t>AgNPs</w:t>
      </w:r>
      <w:proofErr w:type="spellEnd"/>
      <w:r>
        <w:rPr>
          <w:color w:val="000000"/>
          <w:sz w:val="18"/>
          <w:szCs w:val="18"/>
        </w:rPr>
        <w:t>.</w:t>
      </w:r>
    </w:p>
    <w:p w14:paraId="75E573CA" w14:textId="77777777" w:rsidR="00CA4AB5" w:rsidRDefault="00CA4AB5">
      <w:pPr>
        <w:spacing w:line="240" w:lineRule="auto"/>
        <w:ind w:firstLine="0"/>
        <w:jc w:val="center"/>
      </w:pPr>
    </w:p>
    <w:p w14:paraId="7E980563" w14:textId="77777777" w:rsidR="00CA4AB5" w:rsidRDefault="00000000">
      <w:pPr>
        <w:pStyle w:val="Heading1"/>
        <w:spacing w:line="240" w:lineRule="auto"/>
      </w:pPr>
      <w:r>
        <w:t>Optimization of PADs Condition</w:t>
      </w:r>
    </w:p>
    <w:p w14:paraId="2913B4A8" w14:textId="77777777" w:rsidR="00CA4AB5" w:rsidRDefault="00CA4AB5">
      <w:pPr>
        <w:spacing w:line="240" w:lineRule="auto"/>
      </w:pPr>
    </w:p>
    <w:p w14:paraId="74065716" w14:textId="77777777" w:rsidR="00CA4AB5" w:rsidRDefault="00000000">
      <w:pPr>
        <w:spacing w:line="240" w:lineRule="auto"/>
        <w:ind w:left="113" w:firstLine="450"/>
        <w:rPr>
          <w:sz w:val="20"/>
          <w:szCs w:val="20"/>
        </w:rPr>
      </w:pPr>
      <w:r>
        <w:rPr>
          <w:sz w:val="20"/>
          <w:szCs w:val="20"/>
        </w:rPr>
        <w:t xml:space="preserve">The optimization of PADs was carried out to determine the most effective conditions for producing measurable changes in color intensity (ΔE). In this study, </w:t>
      </w:r>
      <w:proofErr w:type="spellStart"/>
      <w:r>
        <w:rPr>
          <w:sz w:val="20"/>
          <w:szCs w:val="20"/>
        </w:rPr>
        <w:t>AgNPs</w:t>
      </w:r>
      <w:proofErr w:type="spellEnd"/>
      <w:r>
        <w:rPr>
          <w:sz w:val="20"/>
          <w:szCs w:val="20"/>
        </w:rPr>
        <w:t xml:space="preserve"> and DTZ-NPs were combined at a ratio of 1:2, and different total volumes (1–3 mL) were tested. To evaluate the optimum condition, PADs were exposed to Pb</w:t>
      </w:r>
      <w:r>
        <w:rPr>
          <w:sz w:val="20"/>
          <w:szCs w:val="20"/>
          <w:vertAlign w:val="superscript"/>
        </w:rPr>
        <w:t>2+</w:t>
      </w:r>
      <w:r>
        <w:rPr>
          <w:sz w:val="20"/>
          <w:szCs w:val="20"/>
        </w:rPr>
        <w:t xml:space="preserve"> ions at a concentration of 1000 ppm with a total volume of 3 </w:t>
      </w:r>
      <w:proofErr w:type="spellStart"/>
      <w:r>
        <w:rPr>
          <w:sz w:val="20"/>
          <w:szCs w:val="20"/>
        </w:rPr>
        <w:t>mL.</w:t>
      </w:r>
      <w:proofErr w:type="spellEnd"/>
      <w:r>
        <w:rPr>
          <w:sz w:val="20"/>
          <w:szCs w:val="20"/>
        </w:rPr>
        <w:t xml:space="preserve"> As shown in </w:t>
      </w:r>
      <w:r>
        <w:rPr>
          <w:b/>
          <w:sz w:val="20"/>
          <w:szCs w:val="20"/>
        </w:rPr>
        <w:t>FIGURE 8</w:t>
      </w:r>
      <w:r>
        <w:rPr>
          <w:sz w:val="20"/>
          <w:szCs w:val="20"/>
        </w:rPr>
        <w:t>, the greatest ΔE value was obtained when 3 mL of Ag–DTZ NPs were immobilized on the PADs. Therefore, this condition was selected for subsequent experiments to investigate the optical response of PADs toward Pb</w:t>
      </w:r>
      <w:r>
        <w:rPr>
          <w:sz w:val="20"/>
          <w:szCs w:val="20"/>
          <w:vertAlign w:val="superscript"/>
        </w:rPr>
        <w:t>2+</w:t>
      </w:r>
      <w:r>
        <w:rPr>
          <w:sz w:val="20"/>
          <w:szCs w:val="20"/>
        </w:rPr>
        <w:t xml:space="preserve"> at ppm concentration levels.</w:t>
      </w:r>
    </w:p>
    <w:p w14:paraId="3247E0D4" w14:textId="77777777" w:rsidR="00CA4AB5" w:rsidRDefault="00000000">
      <w:pPr>
        <w:spacing w:line="240" w:lineRule="auto"/>
        <w:ind w:firstLine="0"/>
        <w:jc w:val="center"/>
      </w:pPr>
      <w:r>
        <w:rPr>
          <w:noProof/>
        </w:rPr>
        <w:drawing>
          <wp:inline distT="0" distB="0" distL="0" distR="0" wp14:anchorId="5CBC3C14" wp14:editId="3C59C579">
            <wp:extent cx="2622461" cy="2000989"/>
            <wp:effectExtent l="0" t="0" r="0" b="0"/>
            <wp:docPr id="2085498248"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0"/>
                    <a:srcRect/>
                    <a:stretch>
                      <a:fillRect/>
                    </a:stretch>
                  </pic:blipFill>
                  <pic:spPr>
                    <a:xfrm>
                      <a:off x="0" y="0"/>
                      <a:ext cx="2622461" cy="2000989"/>
                    </a:xfrm>
                    <a:prstGeom prst="rect">
                      <a:avLst/>
                    </a:prstGeom>
                    <a:ln/>
                  </pic:spPr>
                </pic:pic>
              </a:graphicData>
            </a:graphic>
          </wp:inline>
        </w:drawing>
      </w:r>
    </w:p>
    <w:p w14:paraId="0A88E5FB" w14:textId="77777777" w:rsidR="00CA4AB5" w:rsidRDefault="00000000">
      <w:pPr>
        <w:spacing w:before="240" w:line="240" w:lineRule="auto"/>
        <w:ind w:firstLine="0"/>
        <w:jc w:val="center"/>
        <w:rPr>
          <w:sz w:val="18"/>
          <w:szCs w:val="18"/>
        </w:rPr>
      </w:pPr>
      <w:bookmarkStart w:id="0" w:name="_heading=h.l2qnny84i4sm" w:colFirst="0" w:colLast="0"/>
      <w:bookmarkEnd w:id="0"/>
      <w:r>
        <w:rPr>
          <w:b/>
          <w:sz w:val="18"/>
          <w:szCs w:val="18"/>
        </w:rPr>
        <w:t>FIGURE 8.</w:t>
      </w:r>
      <w:r>
        <w:rPr>
          <w:sz w:val="18"/>
          <w:szCs w:val="18"/>
        </w:rPr>
        <w:t xml:space="preserve"> Graph of Variation in Ag-DTZ NPs Volume versus Change in Color Intensity (ΔE)</w:t>
      </w:r>
    </w:p>
    <w:p w14:paraId="40EB942B" w14:textId="77777777" w:rsidR="00CA4AB5" w:rsidRDefault="00CA4AB5">
      <w:pPr>
        <w:spacing w:line="240" w:lineRule="auto"/>
        <w:ind w:firstLine="0"/>
        <w:jc w:val="center"/>
      </w:pPr>
    </w:p>
    <w:p w14:paraId="28A00220" w14:textId="77777777" w:rsidR="00CA4AB5" w:rsidRDefault="00000000">
      <w:pPr>
        <w:pStyle w:val="Heading1"/>
        <w:spacing w:line="240" w:lineRule="auto"/>
      </w:pPr>
      <w:r>
        <w:t>Detection Test for Pb</w:t>
      </w:r>
      <w:r>
        <w:rPr>
          <w:vertAlign w:val="superscript"/>
        </w:rPr>
        <w:t>2+</w:t>
      </w:r>
      <w:r>
        <w:t xml:space="preserve"> Ions</w:t>
      </w:r>
    </w:p>
    <w:p w14:paraId="1D7E4A90" w14:textId="77777777" w:rsidR="00CA4AB5" w:rsidRDefault="00CA4AB5">
      <w:pPr>
        <w:spacing w:line="240" w:lineRule="auto"/>
      </w:pPr>
    </w:p>
    <w:p w14:paraId="10FF2DFD" w14:textId="77777777" w:rsidR="00CA4AB5" w:rsidRDefault="00000000">
      <w:pPr>
        <w:spacing w:line="240" w:lineRule="auto"/>
        <w:ind w:left="113" w:firstLine="450"/>
        <w:rPr>
          <w:sz w:val="20"/>
          <w:szCs w:val="20"/>
        </w:rPr>
      </w:pPr>
      <w:r>
        <w:rPr>
          <w:sz w:val="20"/>
          <w:szCs w:val="20"/>
        </w:rPr>
        <w:t>The PADs under optimized conditions were subsequently employed to evaluate their optical response toward varying concentrations of Pb</w:t>
      </w:r>
      <w:r>
        <w:rPr>
          <w:sz w:val="20"/>
          <w:szCs w:val="20"/>
          <w:vertAlign w:val="superscript"/>
        </w:rPr>
        <w:t>2+</w:t>
      </w:r>
      <w:r>
        <w:rPr>
          <w:sz w:val="20"/>
          <w:szCs w:val="20"/>
        </w:rPr>
        <w:t xml:space="preserve"> at the ppm level. This screening was intended to observe the performance of the PADs under relatively high Pb</w:t>
      </w:r>
      <w:r>
        <w:rPr>
          <w:sz w:val="20"/>
          <w:szCs w:val="20"/>
          <w:vertAlign w:val="superscript"/>
        </w:rPr>
        <w:t>2+</w:t>
      </w:r>
      <w:r>
        <w:rPr>
          <w:sz w:val="20"/>
          <w:szCs w:val="20"/>
        </w:rPr>
        <w:t xml:space="preserve"> concentrations. In these experiments, a 1:2 ratio of </w:t>
      </w:r>
      <w:proofErr w:type="spellStart"/>
      <w:r>
        <w:rPr>
          <w:sz w:val="20"/>
          <w:szCs w:val="20"/>
        </w:rPr>
        <w:t>AgNPs</w:t>
      </w:r>
      <w:proofErr w:type="spellEnd"/>
      <w:r>
        <w:rPr>
          <w:sz w:val="20"/>
          <w:szCs w:val="20"/>
        </w:rPr>
        <w:t xml:space="preserve"> to DTZ-NPs was used, with a total immobilized nanoparticle volume of 3 mL and the addition of 2 mL Pb</w:t>
      </w:r>
      <w:r>
        <w:rPr>
          <w:sz w:val="20"/>
          <w:szCs w:val="20"/>
          <w:vertAlign w:val="superscript"/>
        </w:rPr>
        <w:t>2+</w:t>
      </w:r>
      <w:r>
        <w:rPr>
          <w:sz w:val="20"/>
          <w:szCs w:val="20"/>
        </w:rPr>
        <w:t xml:space="preserve"> solution. As </w:t>
      </w:r>
      <w:r>
        <w:rPr>
          <w:sz w:val="20"/>
          <w:szCs w:val="20"/>
        </w:rPr>
        <w:lastRenderedPageBreak/>
        <w:t xml:space="preserve">shown in </w:t>
      </w:r>
      <w:r>
        <w:rPr>
          <w:b/>
          <w:sz w:val="20"/>
          <w:szCs w:val="20"/>
        </w:rPr>
        <w:t>FIGURE 9</w:t>
      </w:r>
      <w:r>
        <w:rPr>
          <w:sz w:val="20"/>
          <w:szCs w:val="20"/>
        </w:rPr>
        <w:t>, the PADs exhibited a distinct colorimetric response, where higher Pb</w:t>
      </w:r>
      <w:r>
        <w:rPr>
          <w:sz w:val="20"/>
          <w:szCs w:val="20"/>
          <w:vertAlign w:val="superscript"/>
        </w:rPr>
        <w:t>2+</w:t>
      </w:r>
      <w:r>
        <w:rPr>
          <w:sz w:val="20"/>
          <w:szCs w:val="20"/>
        </w:rPr>
        <w:t xml:space="preserve"> concentrations resulted in greater changes in color intensity (ΔE).</w:t>
      </w:r>
    </w:p>
    <w:p w14:paraId="2893F4D0" w14:textId="77777777" w:rsidR="00CA4AB5" w:rsidRDefault="00CA4AB5">
      <w:pPr>
        <w:spacing w:line="240" w:lineRule="auto"/>
        <w:ind w:firstLine="450"/>
        <w:rPr>
          <w:sz w:val="20"/>
          <w:szCs w:val="20"/>
        </w:rPr>
      </w:pPr>
    </w:p>
    <w:p w14:paraId="4F23A85A" w14:textId="77777777" w:rsidR="00CA4AB5" w:rsidRDefault="00000000">
      <w:pPr>
        <w:spacing w:line="240" w:lineRule="auto"/>
        <w:ind w:firstLine="0"/>
        <w:jc w:val="center"/>
      </w:pPr>
      <w:r>
        <w:t xml:space="preserve"> </w:t>
      </w:r>
      <w:r>
        <w:rPr>
          <w:noProof/>
        </w:rPr>
        <w:drawing>
          <wp:inline distT="0" distB="0" distL="0" distR="0" wp14:anchorId="5AF9969C" wp14:editId="3413CED7">
            <wp:extent cx="2999092" cy="2034718"/>
            <wp:effectExtent l="0" t="0" r="0" b="0"/>
            <wp:docPr id="208549824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1"/>
                    <a:srcRect/>
                    <a:stretch>
                      <a:fillRect/>
                    </a:stretch>
                  </pic:blipFill>
                  <pic:spPr>
                    <a:xfrm>
                      <a:off x="0" y="0"/>
                      <a:ext cx="2999092" cy="2034718"/>
                    </a:xfrm>
                    <a:prstGeom prst="rect">
                      <a:avLst/>
                    </a:prstGeom>
                    <a:ln/>
                  </pic:spPr>
                </pic:pic>
              </a:graphicData>
            </a:graphic>
          </wp:inline>
        </w:drawing>
      </w:r>
    </w:p>
    <w:p w14:paraId="25FE67E7" w14:textId="77777777" w:rsidR="00CA4AB5" w:rsidRDefault="00000000">
      <w:pPr>
        <w:spacing w:before="240" w:line="240" w:lineRule="auto"/>
        <w:ind w:firstLine="0"/>
        <w:jc w:val="center"/>
        <w:rPr>
          <w:sz w:val="18"/>
          <w:szCs w:val="18"/>
        </w:rPr>
      </w:pPr>
      <w:r>
        <w:rPr>
          <w:b/>
          <w:sz w:val="18"/>
          <w:szCs w:val="18"/>
        </w:rPr>
        <w:t xml:space="preserve">FIGURE 9. </w:t>
      </w:r>
      <w:r>
        <w:rPr>
          <w:sz w:val="18"/>
          <w:szCs w:val="18"/>
        </w:rPr>
        <w:t>Graph of Variation in Pb</w:t>
      </w:r>
      <w:r>
        <w:rPr>
          <w:sz w:val="18"/>
          <w:szCs w:val="18"/>
          <w:vertAlign w:val="superscript"/>
        </w:rPr>
        <w:t>2+</w:t>
      </w:r>
      <w:r>
        <w:rPr>
          <w:sz w:val="18"/>
          <w:szCs w:val="18"/>
        </w:rPr>
        <w:t xml:space="preserve"> concentration versus Change in Color Intensity (ΔE)</w:t>
      </w:r>
    </w:p>
    <w:p w14:paraId="2BE4CF47" w14:textId="77777777" w:rsidR="00CA4AB5" w:rsidRDefault="00CA4AB5">
      <w:pPr>
        <w:spacing w:line="240" w:lineRule="auto"/>
        <w:ind w:firstLine="0"/>
        <w:jc w:val="center"/>
        <w:rPr>
          <w:sz w:val="20"/>
          <w:szCs w:val="20"/>
        </w:rPr>
      </w:pPr>
    </w:p>
    <w:p w14:paraId="03F09FC7" w14:textId="77777777" w:rsidR="00CA4AB5" w:rsidRDefault="00000000">
      <w:pPr>
        <w:pStyle w:val="Heading1"/>
        <w:spacing w:line="240" w:lineRule="auto"/>
      </w:pPr>
      <w:r>
        <w:t>CONCLUSIONS</w:t>
      </w:r>
    </w:p>
    <w:p w14:paraId="412E459F" w14:textId="77777777" w:rsidR="00CA4AB5" w:rsidRDefault="00CA4AB5">
      <w:pPr>
        <w:spacing w:line="240" w:lineRule="auto"/>
      </w:pPr>
    </w:p>
    <w:p w14:paraId="2731C4AC" w14:textId="77777777" w:rsidR="00CA4AB5" w:rsidRDefault="00000000">
      <w:pPr>
        <w:spacing w:line="240" w:lineRule="auto"/>
        <w:ind w:left="113" w:firstLine="450"/>
        <w:rPr>
          <w:sz w:val="20"/>
          <w:szCs w:val="20"/>
        </w:rPr>
      </w:pPr>
      <w:r>
        <w:rPr>
          <w:sz w:val="20"/>
          <w:szCs w:val="20"/>
        </w:rPr>
        <w:t>In this study, Paper-based Analytical Devices (PADs) integrated with dual nanoparticles were successfully developed for the detection of Pb²⁺ ions, as demonstrated by distinct changes in color intensity at ppm concentration levels.</w:t>
      </w:r>
    </w:p>
    <w:p w14:paraId="3B52C124" w14:textId="77777777" w:rsidR="00CA4AB5" w:rsidRDefault="00CA4AB5">
      <w:pPr>
        <w:spacing w:line="240" w:lineRule="auto"/>
        <w:ind w:firstLine="450"/>
        <w:rPr>
          <w:sz w:val="20"/>
          <w:szCs w:val="20"/>
        </w:rPr>
      </w:pPr>
    </w:p>
    <w:p w14:paraId="70C866EE" w14:textId="77777777" w:rsidR="00CA4AB5" w:rsidRDefault="00000000">
      <w:pPr>
        <w:pStyle w:val="Heading1"/>
        <w:spacing w:line="240" w:lineRule="auto"/>
      </w:pPr>
      <w:r>
        <w:t>ACKNOWLEDGEMENTS</w:t>
      </w:r>
    </w:p>
    <w:p w14:paraId="5321A508" w14:textId="77777777" w:rsidR="00CA4AB5" w:rsidRDefault="00CA4AB5">
      <w:pPr>
        <w:spacing w:line="240" w:lineRule="auto"/>
      </w:pPr>
    </w:p>
    <w:p w14:paraId="4CC50563" w14:textId="77777777" w:rsidR="00CA4AB5" w:rsidRDefault="00000000">
      <w:pPr>
        <w:spacing w:line="240" w:lineRule="auto"/>
        <w:ind w:left="113" w:firstLine="450"/>
        <w:rPr>
          <w:sz w:val="20"/>
          <w:szCs w:val="20"/>
        </w:rPr>
      </w:pPr>
      <w:r>
        <w:rPr>
          <w:sz w:val="20"/>
          <w:szCs w:val="20"/>
        </w:rPr>
        <w:t xml:space="preserve">The author would like to express gratitude to the Ministry of Education, Culture, Research, and Technology for funding this research activity. Additionally, the author extends thanks to </w:t>
      </w:r>
      <w:proofErr w:type="spellStart"/>
      <w:r>
        <w:rPr>
          <w:sz w:val="20"/>
          <w:szCs w:val="20"/>
        </w:rPr>
        <w:t>Institut</w:t>
      </w:r>
      <w:proofErr w:type="spellEnd"/>
      <w:r>
        <w:rPr>
          <w:sz w:val="20"/>
          <w:szCs w:val="20"/>
        </w:rPr>
        <w:t xml:space="preserve"> </w:t>
      </w:r>
      <w:proofErr w:type="spellStart"/>
      <w:r>
        <w:rPr>
          <w:sz w:val="20"/>
          <w:szCs w:val="20"/>
        </w:rPr>
        <w:t>Teknologi</w:t>
      </w:r>
      <w:proofErr w:type="spellEnd"/>
      <w:r>
        <w:rPr>
          <w:sz w:val="20"/>
          <w:szCs w:val="20"/>
        </w:rPr>
        <w:t xml:space="preserve"> </w:t>
      </w:r>
      <w:proofErr w:type="spellStart"/>
      <w:r>
        <w:rPr>
          <w:sz w:val="20"/>
          <w:szCs w:val="20"/>
        </w:rPr>
        <w:t>Sepuluh</w:t>
      </w:r>
      <w:proofErr w:type="spellEnd"/>
      <w:r>
        <w:rPr>
          <w:sz w:val="20"/>
          <w:szCs w:val="20"/>
        </w:rPr>
        <w:t xml:space="preserve"> </w:t>
      </w:r>
      <w:proofErr w:type="spellStart"/>
      <w:r>
        <w:rPr>
          <w:sz w:val="20"/>
          <w:szCs w:val="20"/>
        </w:rPr>
        <w:t>Nopember</w:t>
      </w:r>
      <w:proofErr w:type="spellEnd"/>
      <w:r>
        <w:rPr>
          <w:sz w:val="20"/>
          <w:szCs w:val="20"/>
        </w:rPr>
        <w:t xml:space="preserve"> (ITS) in general and the Department of Chemistry in particular for facilitating this research.</w:t>
      </w:r>
    </w:p>
    <w:p w14:paraId="3D6C8CDE" w14:textId="77777777" w:rsidR="00CA4AB5" w:rsidRDefault="00000000">
      <w:pPr>
        <w:pStyle w:val="Heading1"/>
        <w:spacing w:line="240" w:lineRule="auto"/>
      </w:pPr>
      <w:r>
        <w:t>REFERENCES</w:t>
      </w:r>
    </w:p>
    <w:p w14:paraId="0864FBB1" w14:textId="77777777" w:rsidR="00CA4AB5" w:rsidRDefault="00CA4AB5">
      <w:pPr>
        <w:spacing w:line="240" w:lineRule="auto"/>
      </w:pPr>
    </w:p>
    <w:p w14:paraId="25185D04"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r>
        <w:rPr>
          <w:color w:val="000000"/>
          <w:sz w:val="20"/>
          <w:szCs w:val="20"/>
        </w:rPr>
        <w:t xml:space="preserve">S. Nishat, A. T. Jafry, A. W. Martinez, and F. R. Awan, “Paper-based microfluidics: Simplified fabrication and assay methods,” Sens Actuators B Chem, vol. 336, p. 129681, 2021, </w:t>
      </w:r>
      <w:proofErr w:type="spellStart"/>
      <w:r>
        <w:rPr>
          <w:color w:val="000000"/>
          <w:sz w:val="20"/>
          <w:szCs w:val="20"/>
        </w:rPr>
        <w:t>doi</w:t>
      </w:r>
      <w:proofErr w:type="spellEnd"/>
      <w:r>
        <w:rPr>
          <w:color w:val="000000"/>
          <w:sz w:val="20"/>
          <w:szCs w:val="20"/>
        </w:rPr>
        <w:t>: 10.1016/j.snb.2021.129681.</w:t>
      </w:r>
    </w:p>
    <w:p w14:paraId="32B52045"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r>
        <w:rPr>
          <w:color w:val="000000"/>
          <w:sz w:val="20"/>
          <w:szCs w:val="20"/>
        </w:rPr>
        <w:t xml:space="preserve">S. Nayak, L. C. Goveas, P. S. Kumar, R. Selvaraj, and R. Vinayagam, “Plant-mediated gold and silver nanoparticles as detectors of heavy metal contamination,” Food and Chemical Toxicology, vol. 167, no. July, p. 113271, 2022, </w:t>
      </w:r>
      <w:proofErr w:type="spellStart"/>
      <w:r>
        <w:rPr>
          <w:color w:val="000000"/>
          <w:sz w:val="20"/>
          <w:szCs w:val="20"/>
        </w:rPr>
        <w:t>doi</w:t>
      </w:r>
      <w:proofErr w:type="spellEnd"/>
      <w:r>
        <w:rPr>
          <w:color w:val="000000"/>
          <w:sz w:val="20"/>
          <w:szCs w:val="20"/>
        </w:rPr>
        <w:t>: 10.1016/j.fct.2022.113271.</w:t>
      </w:r>
    </w:p>
    <w:p w14:paraId="69A3CB49"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r>
        <w:rPr>
          <w:color w:val="000000"/>
          <w:sz w:val="20"/>
          <w:szCs w:val="20"/>
        </w:rPr>
        <w:t xml:space="preserve">S. Patra, A. K. Golder, and R. V. S. </w:t>
      </w:r>
      <w:proofErr w:type="spellStart"/>
      <w:r>
        <w:rPr>
          <w:color w:val="000000"/>
          <w:sz w:val="20"/>
          <w:szCs w:val="20"/>
        </w:rPr>
        <w:t>Uppaluri</w:t>
      </w:r>
      <w:proofErr w:type="spellEnd"/>
      <w:r>
        <w:rPr>
          <w:color w:val="000000"/>
          <w:sz w:val="20"/>
          <w:szCs w:val="20"/>
        </w:rPr>
        <w:t xml:space="preserve">, “Ultrasensitive colorimetric detection and determination of </w:t>
      </w:r>
      <w:proofErr w:type="gramStart"/>
      <w:r>
        <w:rPr>
          <w:color w:val="000000"/>
          <w:sz w:val="20"/>
          <w:szCs w:val="20"/>
        </w:rPr>
        <w:t>Hg(</w:t>
      </w:r>
      <w:proofErr w:type="gramEnd"/>
      <w:r>
        <w:rPr>
          <w:color w:val="000000"/>
          <w:sz w:val="20"/>
          <w:szCs w:val="20"/>
        </w:rPr>
        <w:t xml:space="preserve">II) using bioinspired </w:t>
      </w:r>
      <w:proofErr w:type="spellStart"/>
      <w:r>
        <w:rPr>
          <w:color w:val="000000"/>
          <w:sz w:val="20"/>
          <w:szCs w:val="20"/>
        </w:rPr>
        <w:t>AgNPs</w:t>
      </w:r>
      <w:proofErr w:type="spellEnd"/>
      <w:r>
        <w:rPr>
          <w:color w:val="000000"/>
          <w:sz w:val="20"/>
          <w:szCs w:val="20"/>
        </w:rPr>
        <w:t xml:space="preserve"> synthesized from mature Camellia sinensis leaves,” Results in Optics, vol. 11, no. December 2022, p. 100411, 2023, </w:t>
      </w:r>
      <w:proofErr w:type="spellStart"/>
      <w:r>
        <w:rPr>
          <w:color w:val="000000"/>
          <w:sz w:val="20"/>
          <w:szCs w:val="20"/>
        </w:rPr>
        <w:t>doi</w:t>
      </w:r>
      <w:proofErr w:type="spellEnd"/>
      <w:r>
        <w:rPr>
          <w:color w:val="000000"/>
          <w:sz w:val="20"/>
          <w:szCs w:val="20"/>
        </w:rPr>
        <w:t>: 10.1016/j.rio.2023.100411.</w:t>
      </w:r>
    </w:p>
    <w:p w14:paraId="4BBA8FA7"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r>
        <w:rPr>
          <w:color w:val="000000"/>
          <w:sz w:val="20"/>
          <w:szCs w:val="20"/>
        </w:rPr>
        <w:t xml:space="preserve">G. G. </w:t>
      </w:r>
      <w:proofErr w:type="spellStart"/>
      <w:r>
        <w:rPr>
          <w:color w:val="000000"/>
          <w:sz w:val="20"/>
          <w:szCs w:val="20"/>
        </w:rPr>
        <w:t>Morbioli</w:t>
      </w:r>
      <w:proofErr w:type="spellEnd"/>
      <w:r>
        <w:rPr>
          <w:color w:val="000000"/>
          <w:sz w:val="20"/>
          <w:szCs w:val="20"/>
        </w:rPr>
        <w:t>, T. Mazzu-Nascimento, A. M. Stockton, and E. Carrilho, “Technical aspects and challenges of colorimetric detection with microfluidic paper-based analytical devices (</w:t>
      </w:r>
      <w:proofErr w:type="spellStart"/>
      <w:r>
        <w:rPr>
          <w:color w:val="000000"/>
          <w:sz w:val="20"/>
          <w:szCs w:val="20"/>
        </w:rPr>
        <w:t>μPADs</w:t>
      </w:r>
      <w:proofErr w:type="spellEnd"/>
      <w:r>
        <w:rPr>
          <w:color w:val="000000"/>
          <w:sz w:val="20"/>
          <w:szCs w:val="20"/>
        </w:rPr>
        <w:t xml:space="preserve">) - A review,” Anal Chim Acta, vol. 970, pp. 1–22, 2017, </w:t>
      </w:r>
      <w:proofErr w:type="spellStart"/>
      <w:r>
        <w:rPr>
          <w:color w:val="000000"/>
          <w:sz w:val="20"/>
          <w:szCs w:val="20"/>
        </w:rPr>
        <w:t>doi</w:t>
      </w:r>
      <w:proofErr w:type="spellEnd"/>
      <w:r>
        <w:rPr>
          <w:color w:val="000000"/>
          <w:sz w:val="20"/>
          <w:szCs w:val="20"/>
        </w:rPr>
        <w:t>: 10.1016/j.aca.2017.03.037.</w:t>
      </w:r>
    </w:p>
    <w:p w14:paraId="4F25D53B"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r>
        <w:rPr>
          <w:color w:val="000000"/>
          <w:sz w:val="20"/>
          <w:szCs w:val="20"/>
        </w:rPr>
        <w:t xml:space="preserve">A. </w:t>
      </w:r>
      <w:proofErr w:type="spellStart"/>
      <w:r>
        <w:rPr>
          <w:color w:val="000000"/>
          <w:sz w:val="20"/>
          <w:szCs w:val="20"/>
        </w:rPr>
        <w:t>Wilapangga</w:t>
      </w:r>
      <w:proofErr w:type="spellEnd"/>
      <w:r>
        <w:rPr>
          <w:color w:val="000000"/>
          <w:sz w:val="20"/>
          <w:szCs w:val="20"/>
        </w:rPr>
        <w:t xml:space="preserve">, D. Rahmat, and R. </w:t>
      </w:r>
      <w:proofErr w:type="spellStart"/>
      <w:r>
        <w:rPr>
          <w:color w:val="000000"/>
          <w:sz w:val="20"/>
          <w:szCs w:val="20"/>
        </w:rPr>
        <w:t>Rachmaniar</w:t>
      </w:r>
      <w:proofErr w:type="spellEnd"/>
      <w:r>
        <w:rPr>
          <w:color w:val="000000"/>
          <w:sz w:val="20"/>
          <w:szCs w:val="20"/>
        </w:rPr>
        <w:t>, “</w:t>
      </w:r>
      <w:proofErr w:type="spellStart"/>
      <w:r>
        <w:rPr>
          <w:color w:val="000000"/>
          <w:sz w:val="20"/>
          <w:szCs w:val="20"/>
        </w:rPr>
        <w:t>Formulasi</w:t>
      </w:r>
      <w:proofErr w:type="spellEnd"/>
      <w:r>
        <w:rPr>
          <w:color w:val="000000"/>
          <w:sz w:val="20"/>
          <w:szCs w:val="20"/>
        </w:rPr>
        <w:t xml:space="preserve"> dan </w:t>
      </w:r>
      <w:proofErr w:type="spellStart"/>
      <w:r>
        <w:rPr>
          <w:color w:val="000000"/>
          <w:sz w:val="20"/>
          <w:szCs w:val="20"/>
        </w:rPr>
        <w:t>Evaluasi</w:t>
      </w:r>
      <w:proofErr w:type="spellEnd"/>
      <w:r>
        <w:rPr>
          <w:color w:val="000000"/>
          <w:sz w:val="20"/>
          <w:szCs w:val="20"/>
        </w:rPr>
        <w:t xml:space="preserve"> </w:t>
      </w:r>
      <w:proofErr w:type="spellStart"/>
      <w:r>
        <w:rPr>
          <w:color w:val="000000"/>
          <w:sz w:val="20"/>
          <w:szCs w:val="20"/>
        </w:rPr>
        <w:t>Sediaan</w:t>
      </w:r>
      <w:proofErr w:type="spellEnd"/>
      <w:r>
        <w:rPr>
          <w:color w:val="000000"/>
          <w:sz w:val="20"/>
          <w:szCs w:val="20"/>
        </w:rPr>
        <w:t xml:space="preserve"> Gel </w:t>
      </w:r>
      <w:proofErr w:type="spellStart"/>
      <w:r>
        <w:rPr>
          <w:color w:val="000000"/>
          <w:sz w:val="20"/>
          <w:szCs w:val="20"/>
        </w:rPr>
        <w:t>Nanopartikel</w:t>
      </w:r>
      <w:proofErr w:type="spellEnd"/>
      <w:r>
        <w:rPr>
          <w:color w:val="000000"/>
          <w:sz w:val="20"/>
          <w:szCs w:val="20"/>
        </w:rPr>
        <w:t xml:space="preserve"> </w:t>
      </w:r>
      <w:proofErr w:type="spellStart"/>
      <w:r>
        <w:rPr>
          <w:color w:val="000000"/>
          <w:sz w:val="20"/>
          <w:szCs w:val="20"/>
        </w:rPr>
        <w:t>Ekstrak</w:t>
      </w:r>
      <w:proofErr w:type="spellEnd"/>
      <w:r>
        <w:rPr>
          <w:color w:val="000000"/>
          <w:sz w:val="20"/>
          <w:szCs w:val="20"/>
        </w:rPr>
        <w:t xml:space="preserve"> </w:t>
      </w:r>
      <w:proofErr w:type="spellStart"/>
      <w:r>
        <w:rPr>
          <w:color w:val="000000"/>
          <w:sz w:val="20"/>
          <w:szCs w:val="20"/>
        </w:rPr>
        <w:t>Temulawak</w:t>
      </w:r>
      <w:proofErr w:type="spellEnd"/>
      <w:r>
        <w:rPr>
          <w:color w:val="000000"/>
          <w:sz w:val="20"/>
          <w:szCs w:val="20"/>
        </w:rPr>
        <w:t xml:space="preserve"> (Curcuma </w:t>
      </w:r>
      <w:proofErr w:type="spellStart"/>
      <w:r>
        <w:rPr>
          <w:color w:val="000000"/>
          <w:sz w:val="20"/>
          <w:szCs w:val="20"/>
        </w:rPr>
        <w:t>xanthorrhiza</w:t>
      </w:r>
      <w:proofErr w:type="spellEnd"/>
      <w:r>
        <w:rPr>
          <w:color w:val="000000"/>
          <w:sz w:val="20"/>
          <w:szCs w:val="20"/>
        </w:rPr>
        <w:t xml:space="preserve">) </w:t>
      </w:r>
      <w:proofErr w:type="spellStart"/>
      <w:r>
        <w:rPr>
          <w:color w:val="000000"/>
          <w:sz w:val="20"/>
          <w:szCs w:val="20"/>
        </w:rPr>
        <w:t>sebagai</w:t>
      </w:r>
      <w:proofErr w:type="spellEnd"/>
      <w:r>
        <w:rPr>
          <w:color w:val="000000"/>
          <w:sz w:val="20"/>
          <w:szCs w:val="20"/>
        </w:rPr>
        <w:t xml:space="preserve"> </w:t>
      </w:r>
      <w:proofErr w:type="spellStart"/>
      <w:r>
        <w:rPr>
          <w:color w:val="000000"/>
          <w:sz w:val="20"/>
          <w:szCs w:val="20"/>
        </w:rPr>
        <w:t>Tabir</w:t>
      </w:r>
      <w:proofErr w:type="spellEnd"/>
      <w:r>
        <w:rPr>
          <w:color w:val="000000"/>
          <w:sz w:val="20"/>
          <w:szCs w:val="20"/>
        </w:rPr>
        <w:t xml:space="preserve"> Surya,” Indonesian Journal of Pharmaceutical Education, vol. 3, no. 1, pp. 26–32, 2023, </w:t>
      </w:r>
      <w:proofErr w:type="spellStart"/>
      <w:r>
        <w:rPr>
          <w:color w:val="000000"/>
          <w:sz w:val="20"/>
          <w:szCs w:val="20"/>
        </w:rPr>
        <w:t>doi</w:t>
      </w:r>
      <w:proofErr w:type="spellEnd"/>
      <w:r>
        <w:rPr>
          <w:color w:val="000000"/>
          <w:sz w:val="20"/>
          <w:szCs w:val="20"/>
        </w:rPr>
        <w:t>: 10.37311/</w:t>
      </w:r>
      <w:proofErr w:type="gramStart"/>
      <w:r>
        <w:rPr>
          <w:color w:val="000000"/>
          <w:sz w:val="20"/>
          <w:szCs w:val="20"/>
        </w:rPr>
        <w:t>ijpe.v</w:t>
      </w:r>
      <w:proofErr w:type="gramEnd"/>
      <w:r>
        <w:rPr>
          <w:color w:val="000000"/>
          <w:sz w:val="20"/>
          <w:szCs w:val="20"/>
        </w:rPr>
        <w:t>3i1.18854.</w:t>
      </w:r>
    </w:p>
    <w:p w14:paraId="797210EC"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r>
        <w:rPr>
          <w:color w:val="000000"/>
          <w:sz w:val="20"/>
          <w:szCs w:val="20"/>
        </w:rPr>
        <w:t xml:space="preserve">H. Wang et al., “Semiquantitative Visual Detection of Lead Ions with a Smartphone via a Colorimetric Paper-Based Analytical Device,” Anal Chem, vol. 91, no. 14, pp. 9292–9299, 2019, </w:t>
      </w:r>
      <w:proofErr w:type="spellStart"/>
      <w:r>
        <w:rPr>
          <w:color w:val="000000"/>
          <w:sz w:val="20"/>
          <w:szCs w:val="20"/>
        </w:rPr>
        <w:t>doi</w:t>
      </w:r>
      <w:proofErr w:type="spellEnd"/>
      <w:r>
        <w:rPr>
          <w:color w:val="000000"/>
          <w:sz w:val="20"/>
          <w:szCs w:val="20"/>
        </w:rPr>
        <w:t>: 10.1021/acs.analchem.9b02297.</w:t>
      </w:r>
    </w:p>
    <w:p w14:paraId="28001B6E"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r>
        <w:rPr>
          <w:color w:val="000000"/>
          <w:sz w:val="20"/>
          <w:szCs w:val="20"/>
        </w:rPr>
        <w:t xml:space="preserve">S. </w:t>
      </w:r>
      <w:proofErr w:type="spellStart"/>
      <w:r>
        <w:rPr>
          <w:color w:val="000000"/>
          <w:sz w:val="20"/>
          <w:szCs w:val="20"/>
        </w:rPr>
        <w:t>Shyamalagowri</w:t>
      </w:r>
      <w:proofErr w:type="spellEnd"/>
      <w:r>
        <w:rPr>
          <w:color w:val="000000"/>
          <w:sz w:val="20"/>
          <w:szCs w:val="20"/>
        </w:rPr>
        <w:t xml:space="preserve">, P. Charles, J. Manjunathan, M. Kamaraj, R. Anitha, and A. Pugazhendhi, “In vitro anticancer activity of silver nanoparticles </w:t>
      </w:r>
      <w:proofErr w:type="spellStart"/>
      <w:r>
        <w:rPr>
          <w:color w:val="000000"/>
          <w:sz w:val="20"/>
          <w:szCs w:val="20"/>
        </w:rPr>
        <w:t>phyto</w:t>
      </w:r>
      <w:proofErr w:type="spellEnd"/>
      <w:r>
        <w:rPr>
          <w:color w:val="000000"/>
          <w:sz w:val="20"/>
          <w:szCs w:val="20"/>
        </w:rPr>
        <w:t xml:space="preserve">-fabricated by Hylocereus </w:t>
      </w:r>
      <w:proofErr w:type="spellStart"/>
      <w:r>
        <w:rPr>
          <w:color w:val="000000"/>
          <w:sz w:val="20"/>
          <w:szCs w:val="20"/>
        </w:rPr>
        <w:t>undatus</w:t>
      </w:r>
      <w:proofErr w:type="spellEnd"/>
      <w:r>
        <w:rPr>
          <w:color w:val="000000"/>
          <w:sz w:val="20"/>
          <w:szCs w:val="20"/>
        </w:rPr>
        <w:t xml:space="preserve"> peel extracts on human liver carcinoma (HepG2) cell lines,” Process Biochemistry, vol. 116, no. February, pp. 17–25, 2022, </w:t>
      </w:r>
      <w:proofErr w:type="spellStart"/>
      <w:r>
        <w:rPr>
          <w:color w:val="000000"/>
          <w:sz w:val="20"/>
          <w:szCs w:val="20"/>
        </w:rPr>
        <w:t>doi</w:t>
      </w:r>
      <w:proofErr w:type="spellEnd"/>
      <w:r>
        <w:rPr>
          <w:color w:val="000000"/>
          <w:sz w:val="20"/>
          <w:szCs w:val="20"/>
        </w:rPr>
        <w:t>: 10.1016/j.procbio.2022.02.022.</w:t>
      </w:r>
    </w:p>
    <w:p w14:paraId="272921CE"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r>
        <w:rPr>
          <w:color w:val="000000"/>
          <w:sz w:val="20"/>
          <w:szCs w:val="20"/>
        </w:rPr>
        <w:t xml:space="preserve">A. R. Sari and R. </w:t>
      </w:r>
      <w:proofErr w:type="spellStart"/>
      <w:r>
        <w:rPr>
          <w:color w:val="000000"/>
          <w:sz w:val="20"/>
          <w:szCs w:val="20"/>
        </w:rPr>
        <w:t>Hardiyanti</w:t>
      </w:r>
      <w:proofErr w:type="spellEnd"/>
      <w:r>
        <w:rPr>
          <w:color w:val="000000"/>
          <w:sz w:val="20"/>
          <w:szCs w:val="20"/>
        </w:rPr>
        <w:t xml:space="preserve">, “Antioxidant Level and Sensory of Dragon Fruit (Hylocereus </w:t>
      </w:r>
      <w:proofErr w:type="spellStart"/>
      <w:r>
        <w:rPr>
          <w:color w:val="000000"/>
          <w:sz w:val="20"/>
          <w:szCs w:val="20"/>
        </w:rPr>
        <w:t>undatus</w:t>
      </w:r>
      <w:proofErr w:type="spellEnd"/>
      <w:r>
        <w:rPr>
          <w:color w:val="000000"/>
          <w:sz w:val="20"/>
          <w:szCs w:val="20"/>
        </w:rPr>
        <w:t xml:space="preserve">) Peel Tea Infusion Made by Partially Fermented Process,” </w:t>
      </w:r>
      <w:proofErr w:type="spellStart"/>
      <w:r>
        <w:rPr>
          <w:color w:val="000000"/>
          <w:sz w:val="20"/>
          <w:szCs w:val="20"/>
        </w:rPr>
        <w:t>Agroindustrial</w:t>
      </w:r>
      <w:proofErr w:type="spellEnd"/>
      <w:r>
        <w:rPr>
          <w:color w:val="000000"/>
          <w:sz w:val="20"/>
          <w:szCs w:val="20"/>
        </w:rPr>
        <w:t xml:space="preserve"> Journal, vol. 2, no. 1, p. 63, 2017, </w:t>
      </w:r>
      <w:proofErr w:type="spellStart"/>
      <w:r>
        <w:rPr>
          <w:color w:val="000000"/>
          <w:sz w:val="20"/>
          <w:szCs w:val="20"/>
        </w:rPr>
        <w:t>doi</w:t>
      </w:r>
      <w:proofErr w:type="spellEnd"/>
      <w:r>
        <w:rPr>
          <w:color w:val="000000"/>
          <w:sz w:val="20"/>
          <w:szCs w:val="20"/>
        </w:rPr>
        <w:t>: 10.22146/</w:t>
      </w:r>
      <w:proofErr w:type="gramStart"/>
      <w:r>
        <w:rPr>
          <w:color w:val="000000"/>
          <w:sz w:val="20"/>
          <w:szCs w:val="20"/>
        </w:rPr>
        <w:t>aij.v</w:t>
      </w:r>
      <w:proofErr w:type="gramEnd"/>
      <w:r>
        <w:rPr>
          <w:color w:val="000000"/>
          <w:sz w:val="20"/>
          <w:szCs w:val="20"/>
        </w:rPr>
        <w:t>2i1.24997.</w:t>
      </w:r>
    </w:p>
    <w:p w14:paraId="7002A351"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r>
        <w:rPr>
          <w:color w:val="000000"/>
          <w:sz w:val="20"/>
          <w:szCs w:val="20"/>
        </w:rPr>
        <w:lastRenderedPageBreak/>
        <w:t xml:space="preserve">R. Roto, B. </w:t>
      </w:r>
      <w:proofErr w:type="spellStart"/>
      <w:r>
        <w:rPr>
          <w:color w:val="000000"/>
          <w:sz w:val="20"/>
          <w:szCs w:val="20"/>
        </w:rPr>
        <w:t>Mellisani</w:t>
      </w:r>
      <w:proofErr w:type="spellEnd"/>
      <w:r>
        <w:rPr>
          <w:color w:val="000000"/>
          <w:sz w:val="20"/>
          <w:szCs w:val="20"/>
        </w:rPr>
        <w:t xml:space="preserve">, A. </w:t>
      </w:r>
      <w:proofErr w:type="spellStart"/>
      <w:r>
        <w:rPr>
          <w:color w:val="000000"/>
          <w:sz w:val="20"/>
          <w:szCs w:val="20"/>
        </w:rPr>
        <w:t>Kuncaka</w:t>
      </w:r>
      <w:proofErr w:type="spellEnd"/>
      <w:r>
        <w:rPr>
          <w:color w:val="000000"/>
          <w:sz w:val="20"/>
          <w:szCs w:val="20"/>
        </w:rPr>
        <w:t xml:space="preserve">, M. Mudasir, and A. Suratman, “Colorimetric sensing of Pb2+ ion by using ag nanoparticles in the presence of dithizone,” </w:t>
      </w:r>
      <w:proofErr w:type="spellStart"/>
      <w:r>
        <w:rPr>
          <w:color w:val="000000"/>
          <w:sz w:val="20"/>
          <w:szCs w:val="20"/>
        </w:rPr>
        <w:t>Chemosensors</w:t>
      </w:r>
      <w:proofErr w:type="spellEnd"/>
      <w:r>
        <w:rPr>
          <w:color w:val="000000"/>
          <w:sz w:val="20"/>
          <w:szCs w:val="20"/>
        </w:rPr>
        <w:t xml:space="preserve">, vol. 7, no. 3, 2019, </w:t>
      </w:r>
      <w:proofErr w:type="spellStart"/>
      <w:r>
        <w:rPr>
          <w:color w:val="000000"/>
          <w:sz w:val="20"/>
          <w:szCs w:val="20"/>
        </w:rPr>
        <w:t>doi</w:t>
      </w:r>
      <w:proofErr w:type="spellEnd"/>
      <w:r>
        <w:rPr>
          <w:color w:val="000000"/>
          <w:sz w:val="20"/>
          <w:szCs w:val="20"/>
        </w:rPr>
        <w:t>: 10.3390/CHEMOSENSORS7030028.</w:t>
      </w:r>
    </w:p>
    <w:p w14:paraId="30403F35"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r>
        <w:rPr>
          <w:color w:val="000000"/>
          <w:sz w:val="20"/>
          <w:szCs w:val="20"/>
        </w:rPr>
        <w:t xml:space="preserve">H. Kasai et al., “A novel preparation method of organic microcrystals,” </w:t>
      </w:r>
      <w:proofErr w:type="spellStart"/>
      <w:r>
        <w:rPr>
          <w:color w:val="000000"/>
          <w:sz w:val="20"/>
          <w:szCs w:val="20"/>
        </w:rPr>
        <w:t>Jpn</w:t>
      </w:r>
      <w:proofErr w:type="spellEnd"/>
      <w:r>
        <w:rPr>
          <w:color w:val="000000"/>
          <w:sz w:val="20"/>
          <w:szCs w:val="20"/>
        </w:rPr>
        <w:t xml:space="preserve"> J Appl Phys, vol. 31, no. 8, pp. L1132–L1134, 1992, </w:t>
      </w:r>
      <w:proofErr w:type="spellStart"/>
      <w:r>
        <w:rPr>
          <w:color w:val="000000"/>
          <w:sz w:val="20"/>
          <w:szCs w:val="20"/>
        </w:rPr>
        <w:t>doi</w:t>
      </w:r>
      <w:proofErr w:type="spellEnd"/>
      <w:r>
        <w:rPr>
          <w:color w:val="000000"/>
          <w:sz w:val="20"/>
          <w:szCs w:val="20"/>
        </w:rPr>
        <w:t>: 10.1143/JJAP.</w:t>
      </w:r>
      <w:proofErr w:type="gramStart"/>
      <w:r>
        <w:rPr>
          <w:color w:val="000000"/>
          <w:sz w:val="20"/>
          <w:szCs w:val="20"/>
        </w:rPr>
        <w:t>31.L</w:t>
      </w:r>
      <w:proofErr w:type="gramEnd"/>
      <w:r>
        <w:rPr>
          <w:color w:val="000000"/>
          <w:sz w:val="20"/>
          <w:szCs w:val="20"/>
        </w:rPr>
        <w:t>1132.</w:t>
      </w:r>
    </w:p>
    <w:p w14:paraId="2BC59392"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proofErr w:type="spellStart"/>
      <w:r>
        <w:rPr>
          <w:color w:val="000000"/>
          <w:sz w:val="20"/>
          <w:szCs w:val="20"/>
        </w:rPr>
        <w:t>Grasianto</w:t>
      </w:r>
      <w:proofErr w:type="spellEnd"/>
      <w:r>
        <w:rPr>
          <w:color w:val="000000"/>
          <w:sz w:val="20"/>
          <w:szCs w:val="20"/>
        </w:rPr>
        <w:t xml:space="preserve">, M. Fukuyama, D. M. Mott, Y. Koseki, H. Kasai, and A. </w:t>
      </w:r>
      <w:proofErr w:type="spellStart"/>
      <w:r>
        <w:rPr>
          <w:color w:val="000000"/>
          <w:sz w:val="20"/>
          <w:szCs w:val="20"/>
        </w:rPr>
        <w:t>Hibara</w:t>
      </w:r>
      <w:proofErr w:type="spellEnd"/>
      <w:r>
        <w:rPr>
          <w:color w:val="000000"/>
          <w:sz w:val="20"/>
          <w:szCs w:val="20"/>
        </w:rPr>
        <w:t xml:space="preserve">, “Organic nanocrystal enrichment in paper microfluidic analysis,” Sens Actuators B Chem, vol. 333, no. January, p. 129548, 2021, </w:t>
      </w:r>
      <w:proofErr w:type="spellStart"/>
      <w:r>
        <w:rPr>
          <w:color w:val="000000"/>
          <w:sz w:val="20"/>
          <w:szCs w:val="20"/>
        </w:rPr>
        <w:t>doi</w:t>
      </w:r>
      <w:proofErr w:type="spellEnd"/>
      <w:r>
        <w:rPr>
          <w:color w:val="000000"/>
          <w:sz w:val="20"/>
          <w:szCs w:val="20"/>
        </w:rPr>
        <w:t>: 10.1016/j.snb.2021.129548.</w:t>
      </w:r>
    </w:p>
    <w:p w14:paraId="55BB0E2C" w14:textId="77777777" w:rsidR="00CA4AB5" w:rsidRDefault="00000000">
      <w:pPr>
        <w:numPr>
          <w:ilvl w:val="0"/>
          <w:numId w:val="1"/>
        </w:numPr>
        <w:pBdr>
          <w:top w:val="nil"/>
          <w:left w:val="nil"/>
          <w:bottom w:val="nil"/>
          <w:right w:val="nil"/>
          <w:between w:val="nil"/>
        </w:pBdr>
        <w:spacing w:line="240" w:lineRule="auto"/>
        <w:ind w:left="-142" w:hanging="357"/>
        <w:rPr>
          <w:color w:val="000000"/>
          <w:sz w:val="20"/>
          <w:szCs w:val="20"/>
        </w:rPr>
      </w:pPr>
      <w:r>
        <w:rPr>
          <w:color w:val="000000"/>
          <w:sz w:val="20"/>
          <w:szCs w:val="20"/>
        </w:rPr>
        <w:t xml:space="preserve">T. E. Agustina, W. </w:t>
      </w:r>
      <w:proofErr w:type="spellStart"/>
      <w:r>
        <w:rPr>
          <w:color w:val="000000"/>
          <w:sz w:val="20"/>
          <w:szCs w:val="20"/>
        </w:rPr>
        <w:t>Handayani</w:t>
      </w:r>
      <w:proofErr w:type="spellEnd"/>
      <w:r>
        <w:rPr>
          <w:color w:val="000000"/>
          <w:sz w:val="20"/>
          <w:szCs w:val="20"/>
        </w:rPr>
        <w:t xml:space="preserve">, and C. </w:t>
      </w:r>
      <w:proofErr w:type="spellStart"/>
      <w:r>
        <w:rPr>
          <w:color w:val="000000"/>
          <w:sz w:val="20"/>
          <w:szCs w:val="20"/>
        </w:rPr>
        <w:t>Imawan</w:t>
      </w:r>
      <w:proofErr w:type="spellEnd"/>
      <w:r>
        <w:rPr>
          <w:color w:val="000000"/>
          <w:sz w:val="20"/>
          <w:szCs w:val="20"/>
        </w:rPr>
        <w:t xml:space="preserve">, </w:t>
      </w:r>
      <w:proofErr w:type="gramStart"/>
      <w:r>
        <w:rPr>
          <w:color w:val="000000"/>
          <w:sz w:val="20"/>
          <w:szCs w:val="20"/>
        </w:rPr>
        <w:t>“ The</w:t>
      </w:r>
      <w:proofErr w:type="gramEnd"/>
      <w:r>
        <w:rPr>
          <w:color w:val="000000"/>
          <w:sz w:val="20"/>
          <w:szCs w:val="20"/>
        </w:rPr>
        <w:t xml:space="preserve"> UV-VIS Spectrum Analysis </w:t>
      </w:r>
      <w:proofErr w:type="gramStart"/>
      <w:r>
        <w:rPr>
          <w:color w:val="000000"/>
          <w:sz w:val="20"/>
          <w:szCs w:val="20"/>
        </w:rPr>
        <w:t>From</w:t>
      </w:r>
      <w:proofErr w:type="gramEnd"/>
      <w:r>
        <w:rPr>
          <w:color w:val="000000"/>
          <w:sz w:val="20"/>
          <w:szCs w:val="20"/>
        </w:rPr>
        <w:t xml:space="preserve"> Silver Nanoparticles Synthesized Using Diospyros maritima Blume. Leaves </w:t>
      </w:r>
      <w:proofErr w:type="gramStart"/>
      <w:r>
        <w:rPr>
          <w:color w:val="000000"/>
          <w:sz w:val="20"/>
          <w:szCs w:val="20"/>
        </w:rPr>
        <w:t>Extract ,</w:t>
      </w:r>
      <w:proofErr w:type="gramEnd"/>
      <w:r>
        <w:rPr>
          <w:color w:val="000000"/>
          <w:sz w:val="20"/>
          <w:szCs w:val="20"/>
        </w:rPr>
        <w:t xml:space="preserve">” Proceedings of the 3rd KOBI Congress, International and National Conferences (KOBICINC 2020), vol. 14, no. </w:t>
      </w:r>
      <w:proofErr w:type="spellStart"/>
      <w:r>
        <w:rPr>
          <w:color w:val="000000"/>
          <w:sz w:val="20"/>
          <w:szCs w:val="20"/>
        </w:rPr>
        <w:t>Kobicinc</w:t>
      </w:r>
      <w:proofErr w:type="spellEnd"/>
      <w:r>
        <w:rPr>
          <w:color w:val="000000"/>
          <w:sz w:val="20"/>
          <w:szCs w:val="20"/>
        </w:rPr>
        <w:t xml:space="preserve"> 2020, pp. 411–419, 2021, </w:t>
      </w:r>
      <w:proofErr w:type="spellStart"/>
      <w:r>
        <w:rPr>
          <w:color w:val="000000"/>
          <w:sz w:val="20"/>
          <w:szCs w:val="20"/>
        </w:rPr>
        <w:t>doi</w:t>
      </w:r>
      <w:proofErr w:type="spellEnd"/>
      <w:r>
        <w:rPr>
          <w:color w:val="000000"/>
          <w:sz w:val="20"/>
          <w:szCs w:val="20"/>
        </w:rPr>
        <w:t>: 10.2991/absr.k.210621.070. </w:t>
      </w:r>
    </w:p>
    <w:sectPr w:rsidR="00CA4AB5">
      <w:headerReference w:type="default" r:id="rId22"/>
      <w:footerReference w:type="default" r:id="rId23"/>
      <w:pgSz w:w="11906" w:h="16838"/>
      <w:pgMar w:top="1440" w:right="1440" w:bottom="1701" w:left="1440"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2627B6" w14:textId="77777777" w:rsidR="00D71CA2" w:rsidRDefault="00D71CA2">
      <w:pPr>
        <w:spacing w:line="240" w:lineRule="auto"/>
      </w:pPr>
      <w:r>
        <w:separator/>
      </w:r>
    </w:p>
  </w:endnote>
  <w:endnote w:type="continuationSeparator" w:id="0">
    <w:p w14:paraId="343B2962" w14:textId="77777777" w:rsidR="00D71CA2" w:rsidRDefault="00D71C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7CFD0D" w14:textId="77777777" w:rsidR="00CA4AB5" w:rsidRDefault="00CA4AB5">
    <w:pPr>
      <w:pBdr>
        <w:top w:val="nil"/>
        <w:left w:val="nil"/>
        <w:bottom w:val="nil"/>
        <w:right w:val="nil"/>
        <w:between w:val="nil"/>
      </w:pBdr>
      <w:tabs>
        <w:tab w:val="center" w:pos="4513"/>
        <w:tab w:val="right" w:pos="9026"/>
      </w:tabs>
      <w:spacing w:line="240" w:lineRule="auto"/>
      <w:jc w:val="right"/>
      <w:rPr>
        <w:color w:val="000000"/>
      </w:rPr>
    </w:pPr>
  </w:p>
  <w:p w14:paraId="3A04B590" w14:textId="77777777" w:rsidR="00CA4AB5" w:rsidRDefault="00CA4AB5">
    <w:pPr>
      <w:tabs>
        <w:tab w:val="center" w:pos="4513"/>
        <w:tab w:val="right" w:pos="9026"/>
      </w:tabs>
      <w:rPr>
        <w:color w:val="C00000"/>
      </w:rPr>
    </w:pPr>
  </w:p>
  <w:p w14:paraId="61B626FC" w14:textId="77777777" w:rsidR="00CA4AB5" w:rsidRDefault="00CA4AB5">
    <w:pPr>
      <w:pBdr>
        <w:top w:val="nil"/>
        <w:left w:val="nil"/>
        <w:bottom w:val="nil"/>
        <w:right w:val="nil"/>
        <w:between w:val="nil"/>
      </w:pBdr>
      <w:tabs>
        <w:tab w:val="center" w:pos="4513"/>
        <w:tab w:val="right" w:pos="9026"/>
      </w:tabs>
      <w:spacing w:line="240" w:lineRule="auto"/>
      <w:rPr>
        <w:color w:val="C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C04000" w14:textId="77777777" w:rsidR="00D71CA2" w:rsidRDefault="00D71CA2">
      <w:pPr>
        <w:spacing w:line="240" w:lineRule="auto"/>
      </w:pPr>
      <w:r>
        <w:separator/>
      </w:r>
    </w:p>
  </w:footnote>
  <w:footnote w:type="continuationSeparator" w:id="0">
    <w:p w14:paraId="5C35A45A" w14:textId="77777777" w:rsidR="00D71CA2" w:rsidRDefault="00D71CA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7B9A66" w14:textId="77777777" w:rsidR="00CA4AB5" w:rsidRDefault="00CA4AB5">
    <w:pPr>
      <w:pBdr>
        <w:top w:val="nil"/>
        <w:left w:val="nil"/>
        <w:bottom w:val="nil"/>
        <w:right w:val="nil"/>
        <w:between w:val="nil"/>
      </w:pBdr>
      <w:tabs>
        <w:tab w:val="center" w:pos="4513"/>
        <w:tab w:val="right" w:pos="9026"/>
      </w:tabs>
      <w:spacing w:line="240" w:lineRule="auto"/>
      <w:ind w:firstLine="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A53219D"/>
    <w:multiLevelType w:val="multilevel"/>
    <w:tmpl w:val="38F8E58C"/>
    <w:lvl w:ilvl="0">
      <w:start w:val="1"/>
      <w:numFmt w:val="decimal"/>
      <w:lvlText w:val="[%1]"/>
      <w:lvlJc w:val="left"/>
      <w:pPr>
        <w:ind w:left="80" w:hanging="360"/>
      </w:pPr>
      <w:rPr>
        <w:rFonts w:hint="default"/>
      </w:rPr>
    </w:lvl>
    <w:lvl w:ilvl="1">
      <w:start w:val="1"/>
      <w:numFmt w:val="lowerLetter"/>
      <w:lvlText w:val="%2."/>
      <w:lvlJc w:val="left"/>
      <w:pPr>
        <w:ind w:left="800" w:hanging="360"/>
      </w:pPr>
    </w:lvl>
    <w:lvl w:ilvl="2">
      <w:start w:val="1"/>
      <w:numFmt w:val="lowerRoman"/>
      <w:lvlText w:val="%3."/>
      <w:lvlJc w:val="right"/>
      <w:pPr>
        <w:ind w:left="1520" w:hanging="180"/>
      </w:pPr>
    </w:lvl>
    <w:lvl w:ilvl="3">
      <w:start w:val="1"/>
      <w:numFmt w:val="decimal"/>
      <w:lvlText w:val="%4."/>
      <w:lvlJc w:val="left"/>
      <w:pPr>
        <w:ind w:left="2240" w:hanging="360"/>
      </w:pPr>
    </w:lvl>
    <w:lvl w:ilvl="4">
      <w:start w:val="1"/>
      <w:numFmt w:val="lowerLetter"/>
      <w:lvlText w:val="%5."/>
      <w:lvlJc w:val="left"/>
      <w:pPr>
        <w:ind w:left="2960" w:hanging="360"/>
      </w:pPr>
    </w:lvl>
    <w:lvl w:ilvl="5">
      <w:start w:val="1"/>
      <w:numFmt w:val="lowerRoman"/>
      <w:lvlText w:val="%6."/>
      <w:lvlJc w:val="right"/>
      <w:pPr>
        <w:ind w:left="3680" w:hanging="180"/>
      </w:pPr>
    </w:lvl>
    <w:lvl w:ilvl="6">
      <w:start w:val="1"/>
      <w:numFmt w:val="decimal"/>
      <w:lvlText w:val="%7."/>
      <w:lvlJc w:val="left"/>
      <w:pPr>
        <w:ind w:left="4400" w:hanging="360"/>
      </w:pPr>
    </w:lvl>
    <w:lvl w:ilvl="7">
      <w:start w:val="1"/>
      <w:numFmt w:val="lowerLetter"/>
      <w:lvlText w:val="%8."/>
      <w:lvlJc w:val="left"/>
      <w:pPr>
        <w:ind w:left="5120" w:hanging="360"/>
      </w:pPr>
    </w:lvl>
    <w:lvl w:ilvl="8">
      <w:start w:val="1"/>
      <w:numFmt w:val="lowerRoman"/>
      <w:lvlText w:val="%9."/>
      <w:lvlJc w:val="right"/>
      <w:pPr>
        <w:ind w:left="5840" w:hanging="180"/>
      </w:pPr>
    </w:lvl>
  </w:abstractNum>
  <w:num w:numId="1" w16cid:durableId="13791730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4AB5"/>
    <w:rsid w:val="007F4CC0"/>
    <w:rsid w:val="00CA4AB5"/>
    <w:rsid w:val="00D71CA2"/>
    <w:rsid w:val="00E64BA9"/>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EDCB52"/>
  <w15:docId w15:val="{1C0AB292-FCB6-4268-9676-727EE688EB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ID" w:bidi="ar-SA"/>
      </w:rPr>
    </w:rPrDefault>
    <w:pPrDefault>
      <w:pPr>
        <w:spacing w:line="276" w:lineRule="auto"/>
        <w:ind w:firstLine="709"/>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ind w:firstLine="0"/>
      <w:jc w:val="center"/>
      <w:outlineLvl w:val="0"/>
    </w:pPr>
    <w:rPr>
      <w:b/>
    </w:rPr>
  </w:style>
  <w:style w:type="paragraph" w:styleId="Heading2">
    <w:name w:val="heading 2"/>
    <w:basedOn w:val="Normal"/>
    <w:next w:val="Normal"/>
    <w:link w:val="Heading2Char"/>
    <w:uiPriority w:val="9"/>
    <w:semiHidden/>
    <w:unhideWhenUsed/>
    <w:qFormat/>
    <w:pPr>
      <w:keepNext/>
      <w:keepLines/>
      <w:spacing w:before="40"/>
      <w:jc w:val="center"/>
      <w:outlineLvl w:val="1"/>
    </w:pPr>
    <w:rPr>
      <w:b/>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88095A"/>
    <w:pPr>
      <w:tabs>
        <w:tab w:val="center" w:pos="4513"/>
        <w:tab w:val="right" w:pos="9026"/>
      </w:tabs>
      <w:spacing w:line="240" w:lineRule="auto"/>
    </w:pPr>
  </w:style>
  <w:style w:type="character" w:customStyle="1" w:styleId="HeaderChar">
    <w:name w:val="Header Char"/>
    <w:basedOn w:val="DefaultParagraphFont"/>
    <w:link w:val="Header"/>
    <w:uiPriority w:val="99"/>
    <w:rsid w:val="0088095A"/>
  </w:style>
  <w:style w:type="paragraph" w:styleId="Footer">
    <w:name w:val="footer"/>
    <w:basedOn w:val="Normal"/>
    <w:link w:val="FooterChar"/>
    <w:uiPriority w:val="99"/>
    <w:unhideWhenUsed/>
    <w:rsid w:val="0088095A"/>
    <w:pPr>
      <w:tabs>
        <w:tab w:val="center" w:pos="4513"/>
        <w:tab w:val="right" w:pos="9026"/>
      </w:tabs>
      <w:spacing w:line="240" w:lineRule="auto"/>
    </w:pPr>
  </w:style>
  <w:style w:type="character" w:customStyle="1" w:styleId="FooterChar">
    <w:name w:val="Footer Char"/>
    <w:basedOn w:val="DefaultParagraphFont"/>
    <w:link w:val="Footer"/>
    <w:uiPriority w:val="99"/>
    <w:rsid w:val="0088095A"/>
  </w:style>
  <w:style w:type="character" w:customStyle="1" w:styleId="Heading1Char">
    <w:name w:val="Heading 1 Char"/>
    <w:basedOn w:val="DefaultParagraphFont"/>
    <w:link w:val="Heading1"/>
    <w:uiPriority w:val="9"/>
    <w:rsid w:val="0088095A"/>
    <w:rPr>
      <w:rFonts w:ascii="Times New Roman" w:eastAsiaTheme="majorEastAsia" w:hAnsi="Times New Roman" w:cstheme="majorBidi"/>
      <w:b/>
      <w:sz w:val="24"/>
      <w:szCs w:val="32"/>
    </w:rPr>
  </w:style>
  <w:style w:type="character" w:customStyle="1" w:styleId="Heading2Char">
    <w:name w:val="Heading 2 Char"/>
    <w:basedOn w:val="DefaultParagraphFont"/>
    <w:link w:val="Heading2"/>
    <w:uiPriority w:val="9"/>
    <w:rsid w:val="0088095A"/>
    <w:rPr>
      <w:rFonts w:ascii="Times New Roman" w:eastAsiaTheme="majorEastAsia" w:hAnsi="Times New Roman" w:cstheme="majorBidi"/>
      <w:b/>
      <w:sz w:val="24"/>
      <w:szCs w:val="26"/>
    </w:rPr>
  </w:style>
  <w:style w:type="table" w:styleId="TableGrid">
    <w:name w:val="Table Grid"/>
    <w:basedOn w:val="TableNormal"/>
    <w:uiPriority w:val="39"/>
    <w:rsid w:val="00F75569"/>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5583E"/>
    <w:pPr>
      <w:ind w:left="720"/>
      <w:contextualSpacing/>
    </w:pPr>
  </w:style>
  <w:style w:type="table" w:customStyle="1" w:styleId="TableGrid1">
    <w:name w:val="Table Grid1"/>
    <w:basedOn w:val="TableNormal"/>
    <w:next w:val="TableGrid"/>
    <w:uiPriority w:val="39"/>
    <w:rsid w:val="00545A4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C43C4"/>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8D057C"/>
    <w:pPr>
      <w:spacing w:before="100" w:beforeAutospacing="1" w:after="100" w:afterAutospacing="1" w:line="240" w:lineRule="auto"/>
      <w:ind w:firstLine="0"/>
      <w:jc w:val="left"/>
    </w:pPr>
    <w:rPr>
      <w:lang w:val="en-ID"/>
    </w:rPr>
  </w:style>
  <w:style w:type="character" w:styleId="PlaceholderText">
    <w:name w:val="Placeholder Text"/>
    <w:basedOn w:val="DefaultParagraphFont"/>
    <w:uiPriority w:val="99"/>
    <w:semiHidden/>
    <w:rsid w:val="003417BB"/>
    <w:rPr>
      <w:color w:val="808080"/>
    </w:rPr>
  </w:style>
  <w:style w:type="character" w:customStyle="1" w:styleId="fontstyle01">
    <w:name w:val="fontstyle01"/>
    <w:basedOn w:val="DefaultParagraphFont"/>
    <w:rsid w:val="004149FA"/>
    <w:rPr>
      <w:rFonts w:ascii="Times New Roman" w:hAnsi="Times New Roman" w:cs="Times New Roman" w:hint="default"/>
      <w:b w:val="0"/>
      <w:bCs w:val="0"/>
      <w:i w:val="0"/>
      <w:iCs w:val="0"/>
      <w:color w:val="00000A"/>
      <w:sz w:val="24"/>
      <w:szCs w:val="24"/>
    </w:rPr>
  </w:style>
  <w:style w:type="character" w:styleId="CommentReference">
    <w:name w:val="annotation reference"/>
    <w:basedOn w:val="DefaultParagraphFont"/>
    <w:uiPriority w:val="99"/>
    <w:semiHidden/>
    <w:unhideWhenUsed/>
    <w:rsid w:val="0028069A"/>
    <w:rPr>
      <w:sz w:val="18"/>
      <w:szCs w:val="18"/>
    </w:rPr>
  </w:style>
  <w:style w:type="paragraph" w:styleId="CommentText">
    <w:name w:val="annotation text"/>
    <w:basedOn w:val="Normal"/>
    <w:link w:val="CommentTextChar"/>
    <w:uiPriority w:val="99"/>
    <w:semiHidden/>
    <w:unhideWhenUsed/>
    <w:rsid w:val="0028069A"/>
    <w:pPr>
      <w:jc w:val="left"/>
    </w:pPr>
  </w:style>
  <w:style w:type="character" w:customStyle="1" w:styleId="CommentTextChar">
    <w:name w:val="Comment Text Char"/>
    <w:basedOn w:val="DefaultParagraphFont"/>
    <w:link w:val="CommentText"/>
    <w:uiPriority w:val="99"/>
    <w:semiHidden/>
    <w:rsid w:val="0028069A"/>
  </w:style>
  <w:style w:type="paragraph" w:styleId="CommentSubject">
    <w:name w:val="annotation subject"/>
    <w:basedOn w:val="CommentText"/>
    <w:next w:val="CommentText"/>
    <w:link w:val="CommentSubjectChar"/>
    <w:uiPriority w:val="99"/>
    <w:semiHidden/>
    <w:unhideWhenUsed/>
    <w:rsid w:val="0028069A"/>
    <w:rPr>
      <w:b/>
      <w:bCs/>
    </w:rPr>
  </w:style>
  <w:style w:type="character" w:customStyle="1" w:styleId="CommentSubjectChar">
    <w:name w:val="Comment Subject Char"/>
    <w:basedOn w:val="CommentTextChar"/>
    <w:link w:val="CommentSubject"/>
    <w:uiPriority w:val="99"/>
    <w:semiHidden/>
    <w:rsid w:val="0028069A"/>
    <w:rPr>
      <w:b/>
      <w:bCs/>
    </w:rPr>
  </w:style>
  <w:style w:type="paragraph" w:styleId="BalloonText">
    <w:name w:val="Balloon Text"/>
    <w:basedOn w:val="Normal"/>
    <w:link w:val="BalloonTextChar"/>
    <w:uiPriority w:val="99"/>
    <w:semiHidden/>
    <w:unhideWhenUsed/>
    <w:rsid w:val="0028069A"/>
    <w:pPr>
      <w:spacing w:line="240" w:lineRule="auto"/>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28069A"/>
    <w:rPr>
      <w:rFonts w:asciiTheme="majorHAnsi" w:eastAsiaTheme="majorEastAsia" w:hAnsiTheme="majorHAnsi" w:cstheme="majorBidi"/>
      <w:sz w:val="18"/>
      <w:szCs w:val="18"/>
    </w:rPr>
  </w:style>
  <w:style w:type="paragraph" w:styleId="Revision">
    <w:name w:val="Revision"/>
    <w:hidden/>
    <w:uiPriority w:val="99"/>
    <w:semiHidden/>
    <w:rsid w:val="00A06CA0"/>
    <w:pPr>
      <w:spacing w:line="240" w:lineRule="auto"/>
      <w:ind w:firstLine="0"/>
      <w:jc w:val="left"/>
    </w:pPr>
  </w:style>
  <w:style w:type="character" w:styleId="Hyperlink">
    <w:name w:val="Hyperlink"/>
    <w:basedOn w:val="DefaultParagraphFont"/>
    <w:uiPriority w:val="99"/>
    <w:unhideWhenUsed/>
    <w:rsid w:val="00DF5D6C"/>
    <w:rPr>
      <w:color w:val="0563C1" w:themeColor="hyperlink"/>
      <w:u w:val="single"/>
    </w:rPr>
  </w:style>
  <w:style w:type="character" w:styleId="UnresolvedMention">
    <w:name w:val="Unresolved Mention"/>
    <w:basedOn w:val="DefaultParagraphFont"/>
    <w:uiPriority w:val="99"/>
    <w:semiHidden/>
    <w:unhideWhenUsed/>
    <w:rsid w:val="00DF5D6C"/>
    <w:rPr>
      <w:color w:val="605E5C"/>
      <w:shd w:val="clear" w:color="auto" w:fill="E1DFDD"/>
    </w:rPr>
  </w:style>
  <w:style w:type="paragraph" w:styleId="Bibliography">
    <w:name w:val="Bibliography"/>
    <w:basedOn w:val="Normal"/>
    <w:next w:val="Normal"/>
    <w:uiPriority w:val="37"/>
    <w:unhideWhenUsed/>
    <w:rsid w:val="00DF5D6C"/>
    <w:pPr>
      <w:spacing w:line="240" w:lineRule="auto"/>
      <w:ind w:left="720" w:hanging="720"/>
      <w:jc w:val="left"/>
    </w:pPr>
    <w:rPr>
      <w:rFonts w:asciiTheme="minorHAnsi" w:eastAsiaTheme="minorEastAsia" w:hAnsiTheme="minorHAnsi" w:cstheme="minorBidi"/>
      <w:sz w:val="22"/>
      <w:szCs w:val="22"/>
    </w:rPr>
  </w:style>
  <w:style w:type="paragraph" w:customStyle="1" w:styleId="Abstract">
    <w:name w:val="Abstract"/>
    <w:basedOn w:val="Normal"/>
    <w:next w:val="Heading1"/>
    <w:rsid w:val="00AC7C30"/>
    <w:pPr>
      <w:spacing w:before="360" w:after="360" w:line="240" w:lineRule="auto"/>
      <w:ind w:left="289" w:right="289" w:firstLine="0"/>
    </w:pPr>
    <w:rPr>
      <w:sz w:val="18"/>
      <w:szCs w:val="20"/>
      <w:lang w:eastAsia="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line="240" w:lineRule="auto"/>
    </w:pPr>
    <w:tblPr>
      <w:tblStyleRowBandSize w:val="1"/>
      <w:tblStyleColBandSize w:val="1"/>
    </w:tblPr>
  </w:style>
  <w:style w:type="table" w:customStyle="1" w:styleId="a0">
    <w:basedOn w:val="TableNormal"/>
    <w:pPr>
      <w:spacing w:line="240" w:lineRule="auto"/>
    </w:pPr>
    <w:tblPr>
      <w:tblStyleRowBandSize w:val="1"/>
      <w:tblStyleColBandSize w:val="1"/>
    </w:tblPr>
  </w:style>
  <w:style w:type="table" w:customStyle="1" w:styleId="a1">
    <w:basedOn w:val="TableNormal"/>
    <w:pPr>
      <w:spacing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H+C19hVPTUxmz1hQgeAmjc8fjPw==">CgMxLjAyDmgubDJxbm55ODRpNHNtOAByITFIMTBmY1dkaUx6RURsU0JCVVdJZ3Q1YkU2b3ZtamEtTw==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2846</Words>
  <Characters>16223</Characters>
  <Application>Microsoft Office Word</Application>
  <DocSecurity>0</DocSecurity>
  <Lines>135</Lines>
  <Paragraphs>38</Paragraphs>
  <ScaleCrop>false</ScaleCrop>
  <Company/>
  <LinksUpToDate>false</LinksUpToDate>
  <CharactersWithSpaces>19031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Immanuel Nathanael Lumban Gaol</cp:lastModifiedBy>
  <cp:revision>2</cp:revision>
  <dcterms:created xsi:type="dcterms:W3CDTF">2024-06-04T03:10:00Z</dcterms:created>
  <dcterms:modified xsi:type="dcterms:W3CDTF">2025-10-02T05:12:00Z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0x010100BCB672CE164E5845937D74AE58A3F577</vt:lpwstr>
  </property>
  <property fmtid="{D5CDD505-2E9C-101B-9397-08002B2CF9AE}" pid="3" name="GrammarlyDocumentId">
    <vt:lpwstr>384bcf3bc5d17cbb4d9dc6051a074372532b7eb4d053a760b73586aa2ff65f45</vt:lpwstr>
  </property>
  <property fmtid="{D5CDD505-2E9C-101B-9397-08002B2CF9AE}" pid="4" name="ZOTERO_PREF_1">
    <vt:lpwstr>&lt;data data-version="3" zotero-version="6.0.30"&gt;&lt;session id="bEvv0GMq"/&gt;&lt;style id="http://www.zotero.org/styles/elsevier-harvard" hasBibliography="1" bibliographyStyleHasBeenSet="1"/&gt;&lt;prefs&gt;&lt;pref name="fieldType" value="Field"/&gt;&lt;pref name="automaticJournal</vt:lpwstr>
  </property>
  <property fmtid="{D5CDD505-2E9C-101B-9397-08002B2CF9AE}" pid="5" name="ZOTERO_PREF_2">
    <vt:lpwstr>Abbreviations" value="true"/&gt;&lt;/prefs&gt;&lt;/data&gt;</vt:lpwstr>
  </property>
</Properties>
</file>