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5" w14:textId="1394BD77" w:rsidR="00125CE4" w:rsidRPr="00A77904" w:rsidRDefault="00000000" w:rsidP="00A77904">
      <w:pPr>
        <w:spacing w:before="359" w:line="242" w:lineRule="auto"/>
        <w:ind w:right="82"/>
        <w:jc w:val="center"/>
        <w:rPr>
          <w:b/>
          <w:sz w:val="36"/>
          <w:szCs w:val="36"/>
          <w:lang w:val="en-US"/>
        </w:rPr>
      </w:pPr>
      <w:r w:rsidRPr="00A77904">
        <w:rPr>
          <w:b/>
          <w:sz w:val="36"/>
          <w:szCs w:val="36"/>
          <w:lang w:val="en-US"/>
        </w:rPr>
        <w:t>Antioxidant and Antibacterial Activit</w:t>
      </w:r>
      <w:r w:rsidR="00887BD3" w:rsidRPr="00A77904">
        <w:rPr>
          <w:b/>
          <w:sz w:val="36"/>
          <w:szCs w:val="36"/>
          <w:lang w:val="en-US"/>
        </w:rPr>
        <w:t>ies</w:t>
      </w:r>
      <w:r w:rsidRPr="00A77904">
        <w:rPr>
          <w:b/>
          <w:sz w:val="36"/>
          <w:szCs w:val="36"/>
          <w:lang w:val="en-US"/>
        </w:rPr>
        <w:t xml:space="preserve"> of Ethanol Extract of </w:t>
      </w:r>
      <w:proofErr w:type="spellStart"/>
      <w:r w:rsidR="00E3378A" w:rsidRPr="00A77904">
        <w:rPr>
          <w:b/>
          <w:sz w:val="36"/>
          <w:szCs w:val="36"/>
          <w:lang w:val="en-US"/>
        </w:rPr>
        <w:t>Kesambi</w:t>
      </w:r>
      <w:proofErr w:type="spellEnd"/>
      <w:r w:rsidRPr="00A77904">
        <w:rPr>
          <w:b/>
          <w:sz w:val="36"/>
          <w:szCs w:val="36"/>
          <w:lang w:val="en-US"/>
        </w:rPr>
        <w:t xml:space="preserve"> Leaves (</w:t>
      </w:r>
      <w:proofErr w:type="spellStart"/>
      <w:r w:rsidRPr="00A77904">
        <w:rPr>
          <w:b/>
          <w:i/>
          <w:sz w:val="36"/>
          <w:szCs w:val="36"/>
          <w:lang w:val="en-US"/>
        </w:rPr>
        <w:t>Schleichera</w:t>
      </w:r>
      <w:proofErr w:type="spellEnd"/>
      <w:r w:rsidRPr="00A77904">
        <w:rPr>
          <w:b/>
          <w:i/>
          <w:sz w:val="36"/>
          <w:szCs w:val="36"/>
          <w:lang w:val="en-US"/>
        </w:rPr>
        <w:t xml:space="preserve"> oleosa</w:t>
      </w:r>
      <w:r w:rsidRPr="00A77904">
        <w:rPr>
          <w:b/>
          <w:sz w:val="36"/>
          <w:szCs w:val="36"/>
          <w:lang w:val="en-US"/>
        </w:rPr>
        <w:t>) from Alor District, Indonesia</w:t>
      </w:r>
    </w:p>
    <w:p w14:paraId="00000006" w14:textId="77777777" w:rsidR="00125CE4" w:rsidRPr="00A77904" w:rsidRDefault="00000000">
      <w:pPr>
        <w:spacing w:before="359" w:line="242" w:lineRule="auto"/>
        <w:ind w:right="82"/>
        <w:jc w:val="center"/>
        <w:rPr>
          <w:sz w:val="28"/>
          <w:szCs w:val="28"/>
          <w:lang w:val="en-US"/>
        </w:rPr>
      </w:pPr>
      <w:r w:rsidRPr="00A77904">
        <w:rPr>
          <w:sz w:val="28"/>
          <w:szCs w:val="28"/>
          <w:lang w:val="en-US"/>
        </w:rPr>
        <w:t xml:space="preserve">Kurnia Trisha Petronela Adang, Adi Setyo </w:t>
      </w:r>
      <w:proofErr w:type="spellStart"/>
      <w:r w:rsidRPr="00A77904">
        <w:rPr>
          <w:sz w:val="28"/>
          <w:szCs w:val="28"/>
          <w:lang w:val="en-US"/>
        </w:rPr>
        <w:t>Purnomo</w:t>
      </w:r>
      <w:r w:rsidRPr="00A77904">
        <w:rPr>
          <w:sz w:val="28"/>
          <w:szCs w:val="28"/>
          <w:vertAlign w:val="superscript"/>
          <w:lang w:val="en-US"/>
        </w:rPr>
        <w:t>a</w:t>
      </w:r>
      <w:proofErr w:type="spellEnd"/>
      <w:r w:rsidRPr="00A77904">
        <w:rPr>
          <w:sz w:val="28"/>
          <w:szCs w:val="28"/>
          <w:vertAlign w:val="superscript"/>
          <w:lang w:val="en-US"/>
        </w:rPr>
        <w:t>)</w:t>
      </w:r>
      <w:r w:rsidRPr="00A77904">
        <w:rPr>
          <w:sz w:val="28"/>
          <w:szCs w:val="28"/>
          <w:lang w:val="en-US"/>
        </w:rPr>
        <w:t xml:space="preserve"> </w:t>
      </w:r>
    </w:p>
    <w:p w14:paraId="00000007" w14:textId="77777777" w:rsidR="00125CE4" w:rsidRPr="00A77904" w:rsidRDefault="00125CE4">
      <w:pPr>
        <w:pBdr>
          <w:top w:val="nil"/>
          <w:left w:val="nil"/>
          <w:bottom w:val="nil"/>
          <w:right w:val="nil"/>
          <w:between w:val="nil"/>
        </w:pBdr>
        <w:ind w:right="82"/>
        <w:rPr>
          <w:color w:val="000000"/>
          <w:sz w:val="31"/>
          <w:szCs w:val="31"/>
          <w:lang w:val="en-US"/>
        </w:rPr>
      </w:pPr>
    </w:p>
    <w:p w14:paraId="00000008" w14:textId="77777777" w:rsidR="00125CE4" w:rsidRPr="00A94DDC" w:rsidRDefault="00000000">
      <w:pPr>
        <w:ind w:right="82"/>
        <w:jc w:val="center"/>
        <w:rPr>
          <w:i/>
          <w:sz w:val="18"/>
          <w:szCs w:val="18"/>
          <w:lang w:val="en-US"/>
        </w:rPr>
      </w:pPr>
      <w:r w:rsidRPr="00A94DDC">
        <w:rPr>
          <w:i/>
          <w:lang w:val="en-US"/>
        </w:rPr>
        <w:t xml:space="preserve">Department of Chemistry, </w:t>
      </w:r>
      <w:proofErr w:type="spellStart"/>
      <w:r w:rsidRPr="00A94DDC">
        <w:rPr>
          <w:i/>
          <w:lang w:val="en-US"/>
        </w:rPr>
        <w:t>Institut</w:t>
      </w:r>
      <w:proofErr w:type="spellEnd"/>
      <w:r w:rsidRPr="00A94DDC">
        <w:rPr>
          <w:i/>
          <w:lang w:val="en-US"/>
        </w:rPr>
        <w:t xml:space="preserve"> </w:t>
      </w:r>
      <w:proofErr w:type="spellStart"/>
      <w:r w:rsidRPr="00A94DDC">
        <w:rPr>
          <w:i/>
          <w:lang w:val="en-US"/>
        </w:rPr>
        <w:t>Teknologi</w:t>
      </w:r>
      <w:proofErr w:type="spellEnd"/>
      <w:r w:rsidRPr="00A94DDC">
        <w:rPr>
          <w:i/>
          <w:lang w:val="en-US"/>
        </w:rPr>
        <w:t xml:space="preserve"> </w:t>
      </w:r>
      <w:proofErr w:type="spellStart"/>
      <w:r w:rsidRPr="00A94DDC">
        <w:rPr>
          <w:i/>
          <w:lang w:val="en-US"/>
        </w:rPr>
        <w:t>Sepuluh</w:t>
      </w:r>
      <w:proofErr w:type="spellEnd"/>
      <w:r w:rsidRPr="00A94DDC">
        <w:rPr>
          <w:i/>
          <w:lang w:val="en-US"/>
        </w:rPr>
        <w:t xml:space="preserve"> </w:t>
      </w:r>
      <w:proofErr w:type="spellStart"/>
      <w:r w:rsidRPr="00A94DDC">
        <w:rPr>
          <w:i/>
          <w:lang w:val="en-US"/>
        </w:rPr>
        <w:t>Nopember</w:t>
      </w:r>
      <w:proofErr w:type="spellEnd"/>
      <w:r w:rsidRPr="00A94DDC">
        <w:rPr>
          <w:i/>
          <w:lang w:val="en-US"/>
        </w:rPr>
        <w:t xml:space="preserve"> (ITS), Kampus ITS </w:t>
      </w:r>
      <w:proofErr w:type="spellStart"/>
      <w:r w:rsidRPr="00A94DDC">
        <w:rPr>
          <w:i/>
          <w:lang w:val="en-US"/>
        </w:rPr>
        <w:t>Sukolilo</w:t>
      </w:r>
      <w:proofErr w:type="spellEnd"/>
      <w:r w:rsidRPr="00A94DDC">
        <w:rPr>
          <w:i/>
          <w:lang w:val="en-US"/>
        </w:rPr>
        <w:t>, Surabaya 60111, Indonesia.</w:t>
      </w:r>
    </w:p>
    <w:p w14:paraId="00000009" w14:textId="77777777" w:rsidR="00125CE4" w:rsidRPr="00A77904" w:rsidRDefault="00125CE4">
      <w:pPr>
        <w:pBdr>
          <w:top w:val="nil"/>
          <w:left w:val="nil"/>
          <w:bottom w:val="nil"/>
          <w:right w:val="nil"/>
          <w:between w:val="nil"/>
        </w:pBdr>
        <w:spacing w:before="10"/>
        <w:ind w:right="82"/>
        <w:rPr>
          <w:i/>
          <w:color w:val="000000"/>
          <w:sz w:val="19"/>
          <w:szCs w:val="19"/>
          <w:lang w:val="en-US"/>
        </w:rPr>
      </w:pPr>
    </w:p>
    <w:p w14:paraId="0000000A" w14:textId="260F1934" w:rsidR="00125CE4" w:rsidRPr="00A77904" w:rsidRDefault="00000000">
      <w:pPr>
        <w:pBdr>
          <w:top w:val="nil"/>
          <w:left w:val="nil"/>
          <w:bottom w:val="nil"/>
          <w:right w:val="nil"/>
          <w:between w:val="nil"/>
        </w:pBdr>
        <w:ind w:right="82"/>
        <w:jc w:val="center"/>
        <w:rPr>
          <w:color w:val="000000"/>
          <w:sz w:val="20"/>
          <w:szCs w:val="20"/>
          <w:lang w:val="en-US"/>
        </w:rPr>
      </w:pPr>
      <w:r w:rsidRPr="00A77904">
        <w:rPr>
          <w:color w:val="000000"/>
          <w:vertAlign w:val="superscript"/>
          <w:lang w:val="en-US"/>
        </w:rPr>
        <w:t>a)</w:t>
      </w:r>
      <w:r w:rsidR="00887BD3" w:rsidRPr="00A77904">
        <w:rPr>
          <w:color w:val="000000"/>
          <w:vertAlign w:val="superscript"/>
          <w:lang w:val="en-US"/>
        </w:rPr>
        <w:t xml:space="preserve"> </w:t>
      </w:r>
      <w:r w:rsidR="00887BD3" w:rsidRPr="00A77904">
        <w:rPr>
          <w:color w:val="000000"/>
          <w:lang w:val="en-US"/>
        </w:rPr>
        <w:t xml:space="preserve"> </w:t>
      </w:r>
      <w:r w:rsidRPr="00A77904">
        <w:rPr>
          <w:color w:val="000000"/>
          <w:sz w:val="20"/>
          <w:szCs w:val="20"/>
          <w:lang w:val="en-US"/>
        </w:rPr>
        <w:t xml:space="preserve">Corresponding author: </w:t>
      </w:r>
      <w:hyperlink r:id="rId9">
        <w:r w:rsidR="00125CE4" w:rsidRPr="00A77904">
          <w:rPr>
            <w:color w:val="0000FF"/>
            <w:u w:val="single"/>
            <w:lang w:val="en-US"/>
          </w:rPr>
          <w:t>adi_setyo@its.ac.id</w:t>
        </w:r>
      </w:hyperlink>
    </w:p>
    <w:p w14:paraId="4F4704BE" w14:textId="54EE20C5" w:rsidR="00065B21" w:rsidRPr="00A77904" w:rsidRDefault="00000000" w:rsidP="004114FE">
      <w:pPr>
        <w:spacing w:before="360"/>
        <w:ind w:right="72"/>
        <w:jc w:val="both"/>
        <w:rPr>
          <w:sz w:val="18"/>
          <w:szCs w:val="18"/>
          <w:lang w:val="en-US"/>
        </w:rPr>
      </w:pPr>
      <w:r w:rsidRPr="00A77904">
        <w:rPr>
          <w:b/>
          <w:sz w:val="18"/>
          <w:szCs w:val="18"/>
          <w:lang w:val="en-US"/>
        </w:rPr>
        <w:t xml:space="preserve">Abstract. </w:t>
      </w:r>
      <w:r w:rsidR="00C452C6" w:rsidRPr="00A77904">
        <w:rPr>
          <w:bCs/>
          <w:sz w:val="18"/>
          <w:szCs w:val="18"/>
          <w:lang w:val="en-US"/>
        </w:rPr>
        <w:t>H</w:t>
      </w:r>
      <w:r w:rsidR="00065B21" w:rsidRPr="00A77904">
        <w:rPr>
          <w:sz w:val="18"/>
          <w:szCs w:val="18"/>
          <w:lang w:val="en-US"/>
        </w:rPr>
        <w:t xml:space="preserve">uman health is increasingly threatened by oxidative stress and microbial infections, emphasizing the need for effective antioxidant and antibacterial agents. </w:t>
      </w:r>
      <w:proofErr w:type="spellStart"/>
      <w:r w:rsidR="00065B21" w:rsidRPr="00A77904">
        <w:rPr>
          <w:i/>
          <w:iCs/>
          <w:sz w:val="18"/>
          <w:szCs w:val="18"/>
          <w:lang w:val="en-US"/>
        </w:rPr>
        <w:t>Schleichera</w:t>
      </w:r>
      <w:proofErr w:type="spellEnd"/>
      <w:r w:rsidR="00065B21" w:rsidRPr="00A77904">
        <w:rPr>
          <w:i/>
          <w:iCs/>
          <w:sz w:val="18"/>
          <w:szCs w:val="18"/>
          <w:lang w:val="en-US"/>
        </w:rPr>
        <w:t xml:space="preserve"> oleosa</w:t>
      </w:r>
      <w:r w:rsidR="00065B21" w:rsidRPr="00A77904">
        <w:rPr>
          <w:sz w:val="18"/>
          <w:szCs w:val="18"/>
          <w:lang w:val="en-US"/>
        </w:rPr>
        <w:t xml:space="preserve"> (</w:t>
      </w:r>
      <w:proofErr w:type="spellStart"/>
      <w:r w:rsidR="00E3378A" w:rsidRPr="00A77904">
        <w:rPr>
          <w:sz w:val="18"/>
          <w:szCs w:val="18"/>
          <w:lang w:val="en-US"/>
        </w:rPr>
        <w:t>Kesambi</w:t>
      </w:r>
      <w:proofErr w:type="spellEnd"/>
      <w:r w:rsidR="00065B21" w:rsidRPr="00A77904">
        <w:rPr>
          <w:sz w:val="18"/>
          <w:szCs w:val="18"/>
          <w:lang w:val="en-US"/>
        </w:rPr>
        <w:t xml:space="preserve">), a tropical plant native to South and Southeast Asia, is rich in bioactive secondary metabolites such as alkaloids, phenolics, tannins, and flavonoids. This study investigated the antioxidant and antibacterial activities of ethanol extracts from </w:t>
      </w:r>
      <w:proofErr w:type="spellStart"/>
      <w:r w:rsidR="00E3378A" w:rsidRPr="00A77904">
        <w:rPr>
          <w:sz w:val="18"/>
          <w:szCs w:val="18"/>
          <w:lang w:val="en-US"/>
        </w:rPr>
        <w:t>Kesambi</w:t>
      </w:r>
      <w:proofErr w:type="spellEnd"/>
      <w:r w:rsidR="00065B21" w:rsidRPr="00A77904">
        <w:rPr>
          <w:sz w:val="18"/>
          <w:szCs w:val="18"/>
          <w:lang w:val="en-US"/>
        </w:rPr>
        <w:t xml:space="preserve"> leaves collected in highland and lowland areas of Alor Regency, Indonesia. Antioxidant activity was assessed using the DPPH assay, while antibacterial activity was evaluated against </w:t>
      </w:r>
      <w:r w:rsidR="00065B21" w:rsidRPr="00A77904">
        <w:rPr>
          <w:i/>
          <w:iCs/>
          <w:sz w:val="18"/>
          <w:szCs w:val="18"/>
          <w:lang w:val="en-US"/>
        </w:rPr>
        <w:t>Pseudomonas aeruginosa</w:t>
      </w:r>
      <w:r w:rsidR="00065B21" w:rsidRPr="00A77904">
        <w:rPr>
          <w:sz w:val="18"/>
          <w:szCs w:val="18"/>
          <w:lang w:val="en-US"/>
        </w:rPr>
        <w:t xml:space="preserve"> and </w:t>
      </w:r>
      <w:r w:rsidR="00065B21" w:rsidRPr="00A77904">
        <w:rPr>
          <w:i/>
          <w:iCs/>
          <w:sz w:val="18"/>
          <w:szCs w:val="18"/>
          <w:lang w:val="en-US"/>
        </w:rPr>
        <w:t>Bacillus subtilis</w:t>
      </w:r>
      <w:r w:rsidR="00065B21" w:rsidRPr="00A77904">
        <w:rPr>
          <w:sz w:val="18"/>
          <w:szCs w:val="18"/>
          <w:lang w:val="en-US"/>
        </w:rPr>
        <w:t xml:space="preserve"> through the well diffusion </w:t>
      </w:r>
      <w:r w:rsidR="00E3378A" w:rsidRPr="00A77904">
        <w:rPr>
          <w:sz w:val="18"/>
          <w:szCs w:val="18"/>
          <w:lang w:val="en-US"/>
        </w:rPr>
        <w:t xml:space="preserve">method. </w:t>
      </w:r>
      <w:r w:rsidR="00065B21" w:rsidRPr="00A77904">
        <w:rPr>
          <w:sz w:val="18"/>
          <w:szCs w:val="18"/>
          <w:lang w:val="en-US"/>
        </w:rPr>
        <w:t xml:space="preserve">The highland extract displayed stronger antibacterial activity, particularly against </w:t>
      </w:r>
      <w:r w:rsidR="00065B21" w:rsidRPr="00A77904">
        <w:rPr>
          <w:i/>
          <w:iCs/>
          <w:sz w:val="18"/>
          <w:szCs w:val="18"/>
          <w:lang w:val="en-US"/>
        </w:rPr>
        <w:t>P. aeruginosa</w:t>
      </w:r>
      <w:r w:rsidR="00065B21" w:rsidRPr="00A77904">
        <w:rPr>
          <w:sz w:val="18"/>
          <w:szCs w:val="18"/>
          <w:lang w:val="en-US"/>
        </w:rPr>
        <w:t xml:space="preserve">, whereas the lowland extract showed higher antioxidant potency. Both extracts produced larger inhibition zones against </w:t>
      </w:r>
      <w:r w:rsidR="00065B21" w:rsidRPr="00A77904">
        <w:rPr>
          <w:i/>
          <w:iCs/>
          <w:sz w:val="18"/>
          <w:szCs w:val="18"/>
          <w:lang w:val="en-US"/>
        </w:rPr>
        <w:t>P. aeruginosa</w:t>
      </w:r>
      <w:r w:rsidR="00065B21" w:rsidRPr="00A77904">
        <w:rPr>
          <w:sz w:val="18"/>
          <w:szCs w:val="18"/>
          <w:lang w:val="en-US"/>
        </w:rPr>
        <w:t xml:space="preserve"> than </w:t>
      </w:r>
      <w:r w:rsidR="00065B21" w:rsidRPr="00A77904">
        <w:rPr>
          <w:i/>
          <w:iCs/>
          <w:sz w:val="18"/>
          <w:szCs w:val="18"/>
          <w:lang w:val="en-US"/>
        </w:rPr>
        <w:t>B. subtilis</w:t>
      </w:r>
      <w:r w:rsidR="00065B21" w:rsidRPr="00A77904">
        <w:rPr>
          <w:sz w:val="18"/>
          <w:szCs w:val="18"/>
          <w:lang w:val="en-US"/>
        </w:rPr>
        <w:t>, indicating species-specific susceptibility. In the antioxidant assay, the lowland extract exhibited an IC₅₀ value of 4.81 ± 1.00 ppm, surpassing the positive control ascorbic acid (IC₅₀ 6.07 ± 1.03 ppm), while the highland extract showed an IC₅₀ of 7.16 ± 0.61 ppm.</w:t>
      </w:r>
      <w:r w:rsidR="00031DCC" w:rsidRPr="00A77904">
        <w:rPr>
          <w:sz w:val="18"/>
          <w:szCs w:val="18"/>
          <w:lang w:val="en-US"/>
        </w:rPr>
        <w:t xml:space="preserve"> </w:t>
      </w:r>
      <w:r w:rsidR="00065B21" w:rsidRPr="00A77904">
        <w:rPr>
          <w:sz w:val="18"/>
          <w:szCs w:val="18"/>
          <w:lang w:val="en-US"/>
        </w:rPr>
        <w:t xml:space="preserve">These findings suggest that </w:t>
      </w:r>
      <w:proofErr w:type="spellStart"/>
      <w:r w:rsidR="00E3378A" w:rsidRPr="00A77904">
        <w:rPr>
          <w:sz w:val="18"/>
          <w:szCs w:val="18"/>
          <w:lang w:val="en-US"/>
        </w:rPr>
        <w:t>Kesambi</w:t>
      </w:r>
      <w:proofErr w:type="spellEnd"/>
      <w:r w:rsidR="00065B21" w:rsidRPr="00A77904">
        <w:rPr>
          <w:sz w:val="18"/>
          <w:szCs w:val="18"/>
          <w:lang w:val="en-US"/>
        </w:rPr>
        <w:t xml:space="preserve"> leaves hold significant potential as natural therapeutic agents, with lowland samples as strong antioxidants and highland samples as promising antibacterial candidates, warranting further investigation for pharmaceutical and biomedical applications.</w:t>
      </w:r>
    </w:p>
    <w:p w14:paraId="0000000C" w14:textId="2B3ACD85" w:rsidR="00125CE4" w:rsidRPr="00A77904" w:rsidRDefault="00E3378A" w:rsidP="004114FE">
      <w:pPr>
        <w:pStyle w:val="Heading1"/>
        <w:spacing w:before="120" w:after="120"/>
        <w:ind w:left="0" w:right="86"/>
        <w:rPr>
          <w:lang w:val="en-US"/>
        </w:rPr>
      </w:pPr>
      <w:r w:rsidRPr="00A77904">
        <w:rPr>
          <w:lang w:val="en-US"/>
        </w:rPr>
        <w:t>INTRODUCTION</w:t>
      </w:r>
    </w:p>
    <w:p w14:paraId="0000000E" w14:textId="04F5A21B" w:rsidR="00125CE4" w:rsidRPr="00A77904" w:rsidRDefault="00000000">
      <w:pPr>
        <w:ind w:firstLine="360"/>
        <w:jc w:val="both"/>
        <w:rPr>
          <w:sz w:val="20"/>
          <w:szCs w:val="20"/>
          <w:lang w:val="en-US"/>
        </w:rPr>
      </w:pPr>
      <w:sdt>
        <w:sdtPr>
          <w:rPr>
            <w:lang w:val="en-US"/>
          </w:rPr>
          <w:tag w:val="goog_rdk_2"/>
          <w:id w:val="1241001640"/>
        </w:sdtPr>
        <w:sdtContent>
          <w:r w:rsidRPr="00A77904">
            <w:rPr>
              <w:lang w:val="en-US"/>
            </w:rPr>
            <w:t xml:space="preserve">  </w:t>
          </w:r>
        </w:sdtContent>
      </w:sdt>
      <w:r w:rsidR="00814E1F" w:rsidRPr="00A77904">
        <w:rPr>
          <w:sz w:val="20"/>
          <w:szCs w:val="20"/>
          <w:lang w:val="en-US"/>
        </w:rPr>
        <w:t xml:space="preserve">Human health is currently confronted with significant challenges, particularly those arising from oxidative stress and microbial infections. Oxidative stress occurs when there is an imbalance between the excessive production of free radicals and the body’s defense mechanisms to neutralize </w:t>
      </w:r>
      <w:r w:rsidR="00E3378A" w:rsidRPr="00A77904">
        <w:rPr>
          <w:sz w:val="20"/>
          <w:szCs w:val="20"/>
          <w:lang w:val="en-US"/>
        </w:rPr>
        <w:t>them.</w:t>
      </w:r>
      <w:r w:rsidR="00814E1F" w:rsidRPr="00A77904">
        <w:rPr>
          <w:sz w:val="20"/>
          <w:szCs w:val="20"/>
          <w:lang w:val="en-US"/>
        </w:rPr>
        <w:t xml:space="preserve"> </w:t>
      </w:r>
      <w:r w:rsidR="00663B7B" w:rsidRPr="00A77904">
        <w:rPr>
          <w:sz w:val="20"/>
          <w:szCs w:val="20"/>
          <w:lang w:val="en-US"/>
        </w:rPr>
        <w:fldChar w:fldCharType="begin" w:fldLock="1"/>
      </w:r>
      <w:r w:rsidR="00A9365F" w:rsidRPr="00A77904">
        <w:rPr>
          <w:sz w:val="20"/>
          <w:szCs w:val="20"/>
          <w:lang w:val="en-US"/>
        </w:rPr>
        <w:instrText>ADDIN CSL_CITATION {"citationItems":[{"id":"ITEM-1","itemData":{"DOI":"10.1155/2017/8416763","ISSN":"19420994","PMID":"28819546","abstract":"Oxidative stress is a phenomenon caused by an imbalance between production and accumulation of oxygen reactive species (ROS) in cells and tissues and the ability of a biological system to detoxify these reactive products. ROS can play, and in fact they do it, several physiological roles (i.e., cell signaling), and they are normally generated as by-products of oxygen metabolism; despite this, environmental stressors (i.e., UV, ionizing radiations, pollutants, and heavy metals) and xenobiotics (i.e., antiblastic drugs) contribute to greatly increase ROS production, therefore causing the imbalance that leads to cell and tissue damage (oxidative stress). Several antioxidants have been exploited in recent years for their actual or supposed beneficial effect against oxidative stress, such as vitamin E, flavonoids, and polyphenols. While we tend to describe oxidative stress just as harmful for human body, it is true as well that it is exploited as a therapeutic approach to treat clinical conditions such as cancer, with a certain degree of clinical success. In this review, we will describe the most recent findings in the oxidative stress field, highlighting both its bad and good sides for human health.","author":[{"dropping-particle":"","family":"Pizzino","given":"Gabriele","non-dropping-particle":"","parse-names":false,"suffix":""},{"dropping-particle":"","family":"Irrera","given":"Natasha","non-dropping-particle":"","parse-names":false,"suffix":""},{"dropping-particle":"","family":"Cucinotta","given":"Mariapaola","non-dropping-particle":"","parse-names":false,"suffix":""},{"dropping-particle":"","family":"Pallio","given":"Giovanni","non-dropping-particle":"","parse-names":false,"suffix":""},{"dropping-particle":"","family":"Mannino","given":"Federica","non-dropping-particle":"","parse-names":false,"suffix":""},{"dropping-particle":"","family":"Arcoraci","given":"Vincenzo","non-dropping-particle":"","parse-names":false,"suffix":""},{"dropping-particle":"","family":"Squadrito","given":"Francesco","non-dropping-particle":"","parse-names":false,"suffix":""},{"dropping-particle":"","family":"Altavilla","given":"Domenica","non-dropping-particle":"","parse-names":false,"suffix":""},{"dropping-particle":"","family":"Bitto","given":"Alessandra","non-dropping-particle":"","parse-names":false,"suffix":""}],"container-title":"Oxidative Medicine and Cellular Longevity","id":"ITEM-1","issued":{"date-parts":[["2017"]]},"publisher":"Hindawi Limited","title":"Oxidative Stress: Harms and Benefits for Human Health","type":"article","volume":"2017"},"uris":["http://www.mendeley.com/documents/?uuid=92d1679c-9b51-38e8-b51f-cc240fce12a9"]}],"mendeley":{"formattedCitation":"(1)","manualFormatting":"[1]","plainTextFormattedCitation":"(1)","previouslyFormattedCitation":"(1)"},"properties":{"noteIndex":0},"schema":"https://github.com/citation-style-language/schema/raw/master/csl-citation.json"}</w:instrText>
      </w:r>
      <w:r w:rsidR="00663B7B" w:rsidRPr="00A77904">
        <w:rPr>
          <w:sz w:val="20"/>
          <w:szCs w:val="20"/>
          <w:lang w:val="en-US"/>
        </w:rPr>
        <w:fldChar w:fldCharType="separate"/>
      </w:r>
      <w:r w:rsidR="00663B7B" w:rsidRPr="00A77904">
        <w:rPr>
          <w:noProof/>
          <w:sz w:val="20"/>
          <w:szCs w:val="20"/>
          <w:lang w:val="en-US"/>
        </w:rPr>
        <w:t>[1]</w:t>
      </w:r>
      <w:r w:rsidR="00663B7B" w:rsidRPr="00A77904">
        <w:rPr>
          <w:sz w:val="20"/>
          <w:szCs w:val="20"/>
          <w:lang w:val="en-US"/>
        </w:rPr>
        <w:fldChar w:fldCharType="end"/>
      </w:r>
      <w:r w:rsidR="00814E1F" w:rsidRPr="00A77904">
        <w:rPr>
          <w:sz w:val="20"/>
          <w:szCs w:val="20"/>
          <w:lang w:val="en-US"/>
        </w:rPr>
        <w:t xml:space="preserve">. Free radicals are chemical species containing one or more unpaired electrons, making them highly reactive with other molecules </w:t>
      </w:r>
      <w:r w:rsidR="00E3378A" w:rsidRPr="00A77904">
        <w:rPr>
          <w:sz w:val="20"/>
          <w:szCs w:val="20"/>
          <w:lang w:val="en-US"/>
        </w:rPr>
        <w:t>to</w:t>
      </w:r>
      <w:r w:rsidR="00814E1F" w:rsidRPr="00A77904">
        <w:rPr>
          <w:sz w:val="20"/>
          <w:szCs w:val="20"/>
          <w:lang w:val="en-US"/>
        </w:rPr>
        <w:t xml:space="preserve"> achieve stability. Among these, reactive oxygen species (ROS) represent oxygen-derived free radicals, which may exist in the form of ions, atoms, or molecules. Although ROS are normally generated in the body, their excessive accumulation poses serious risks if not effectively eliminated, as they can induce biomolecular oxidation in both in vivo and in vitro systems. Such oxidative processes may result in cellular damage</w:t>
      </w:r>
      <w:r w:rsidR="00E3378A" w:rsidRPr="00A77904">
        <w:rPr>
          <w:sz w:val="20"/>
          <w:szCs w:val="20"/>
          <w:lang w:val="en-US"/>
        </w:rPr>
        <w:t xml:space="preserve"> and apoptosis</w:t>
      </w:r>
      <w:r w:rsidR="00814E1F" w:rsidRPr="00A77904">
        <w:rPr>
          <w:sz w:val="20"/>
          <w:szCs w:val="20"/>
          <w:lang w:val="en-US"/>
        </w:rPr>
        <w:t xml:space="preserve"> and ultimately contribute to the onset of various diseases, including Parkinson’s, Alzheimer’s, cardiovascular disorders, and certain cancers</w:t>
      </w:r>
      <w:r w:rsidR="00663B7B" w:rsidRPr="00A77904">
        <w:rPr>
          <w:sz w:val="20"/>
          <w:szCs w:val="20"/>
          <w:lang w:val="en-US"/>
        </w:rPr>
        <w:t xml:space="preserve"> </w:t>
      </w:r>
      <w:r w:rsidR="00663B7B" w:rsidRPr="00A77904">
        <w:rPr>
          <w:sz w:val="20"/>
          <w:szCs w:val="20"/>
          <w:lang w:val="en-US"/>
        </w:rPr>
        <w:fldChar w:fldCharType="begin" w:fldLock="1"/>
      </w:r>
      <w:r w:rsidR="00A9365F" w:rsidRPr="00A77904">
        <w:rPr>
          <w:sz w:val="20"/>
          <w:szCs w:val="20"/>
          <w:lang w:val="en-US"/>
        </w:rPr>
        <w:instrText>ADDIN CSL_CITATION {"citationItems":[{"id":"ITEM-1","itemData":{"abstract":"Sonneratia ovata Backer is a mangrove plant as well as folk medicine from Aru Islands, Maluku-Indonesia which is traditionally used for treatment of many diseases. The present research has been purposed at antioxidant activity from stem bark of S. ovata. The methanol extract showed the highest in vitro antioxidant activity with IC50 values of 4.73 μg/mL and 2.00 μg/mL for DPPH and ABTS free radical scavenging respectively. The isolation and identification of chemical constituents of S. ovata also have been performed and yielded β-sitosterol, stigmasterol and 3β-acetoxy-lup-20(29)-en-2</w:instrText>
      </w:r>
      <w:r w:rsidR="00A9365F" w:rsidRPr="00A77904">
        <w:rPr>
          <w:sz w:val="20"/>
          <w:szCs w:val="20"/>
          <w:lang w:val="en-US"/>
        </w:rPr>
        <w:instrText>-ol.","author":[{"dropping-particle":"","family":"Laili","given":"Khumaidah","non-dropping-particle":"","parse-names":false,"suffix":""},{"dropping-particle":"","family":"Fatati","given":"Nurmalasari","non-dropping-particle":"","parse-names":false,"suffix":""},{"dropping-particle":"","family":"Fatmawati Inneke","given":"Putri","non-dropping-particle":"","parse-names":false,"suffix":""},{"dropping-particle":"","family":"Setyo","given":"Adi","non-dropping-particle":"","parse-names":false,"suffix":""},{"dropping-particle":"","family":"Mardi","given":"Santoso","non-dropping-particle":"","parse-names":false,"suffix":""},{"dropping-particle":"","family":"Taslim","given":"Ersam","non-dropping-particle":"","parse-names":false,"suffix":""},{"dropping-particle":"","family":"Sri","given":"Fatmawati","non-dropping-particle":"","parse-names":false,"suffix":""}],"container-title":"Research Journal of Chemistry and Environment_______________________________Vol","id":"ITEM-1","issued":{"date-parts":[["0"]]},"title":"Special Issue II) August (2018) Res","type":"report","volume":"22"},"uris":["http://www.mendeley.com/documents/?uuid=2ec46a17-f318-38e2-a6bf-11a7dc6cfb52"]}],"mendeley":{"formattedCitation":"(2)","manualFormatting":"[2]","plainTextFormattedCitation":"(2)","previouslyFormattedCitation":"(2)"},"properties":{"noteIndex":0},"schema":"https://github.com/citation-style-language/schema/raw/master/csl-citation.json"}</w:instrText>
      </w:r>
      <w:r w:rsidR="00663B7B" w:rsidRPr="00A77904">
        <w:rPr>
          <w:sz w:val="20"/>
          <w:szCs w:val="20"/>
          <w:lang w:val="en-US"/>
        </w:rPr>
        <w:fldChar w:fldCharType="separate"/>
      </w:r>
      <w:r w:rsidR="00663B7B" w:rsidRPr="00A77904">
        <w:rPr>
          <w:noProof/>
          <w:sz w:val="20"/>
          <w:szCs w:val="20"/>
          <w:lang w:val="en-US"/>
        </w:rPr>
        <w:t>[2]</w:t>
      </w:r>
      <w:r w:rsidR="00663B7B" w:rsidRPr="00A77904">
        <w:rPr>
          <w:sz w:val="20"/>
          <w:szCs w:val="20"/>
          <w:lang w:val="en-US"/>
        </w:rPr>
        <w:fldChar w:fldCharType="end"/>
      </w:r>
      <w:r w:rsidR="00663B7B" w:rsidRPr="00A77904">
        <w:rPr>
          <w:sz w:val="20"/>
          <w:szCs w:val="20"/>
          <w:lang w:val="en-US"/>
        </w:rPr>
        <w:t>.</w:t>
      </w:r>
      <w:r w:rsidR="00814E1F" w:rsidRPr="00A77904">
        <w:rPr>
          <w:sz w:val="20"/>
          <w:szCs w:val="20"/>
          <w:lang w:val="en-US"/>
        </w:rPr>
        <w:t xml:space="preserve"> Antioxidants play a crucial role in mitigating these effects, as they are compounds capable of preventing the oxidation of other molecules. Specifically, antioxidants counteract the harmful impact of free radicals by donating electrons, thereby stabilizing reactive species and protecting cells from damage or death </w:t>
      </w:r>
      <w:r w:rsidR="00663B7B" w:rsidRPr="00A77904">
        <w:rPr>
          <w:sz w:val="20"/>
          <w:szCs w:val="20"/>
          <w:lang w:val="en-US"/>
        </w:rPr>
        <w:fldChar w:fldCharType="begin" w:fldLock="1"/>
      </w:r>
      <w:r w:rsidR="00A9365F" w:rsidRPr="00A77904">
        <w:rPr>
          <w:sz w:val="20"/>
          <w:szCs w:val="20"/>
          <w:lang w:val="en-US"/>
        </w:rPr>
        <w:instrText>ADDIN CSL_CITATION {"citationItems":[{"id":"ITEM-1","itemData":{"abstract":"Graphical abstract Abstract Antioxidant and antibacterial activities of Ananas comosus peel extracts (n-hexane, dichloromethane, ethyl acetate, methanol and aqueous) had been evaluated. The antioxidant activity had been evaluated by using DPPH (2,2-diphenyl-2-picrylhydrazyl) and ABTS (2,2'-azinobis-3-ethylbenzothiazole-6-sulfonic acid) methods, while antibacterial activity has been evaluated by using broth dilution method. The aqueous extract showed the highest DPPH activity with IC50 value of 266.02 μg/mL, while the methanol extract showed the highest ABTS activity with IC50 value of 46.49 μg/mL. Furthermore, the n-hexane extract showed antibacterial activity against Pseudomonas aeruginosa with inhibition value of 5.03% while the aqueous extract showed antibacterial activity against Bacillus subtilis about 11.65% of inhibition. This study showed that A. comosus peel has potency as antioxidant and antibacterial agents.","author":[{"dropping-particle":"","family":"Putri","given":"Devi Anggraini","non-dropping-particle":"","parse-names":false,"suffix":""},{"dropping-particle":"","family":"Ulfi","given":"Aulia","non-dropping-particle":"","parse-names":false,"suffix":""},{"dropping-particle":"","family":"Purnomo","given":"Adi Setyo","non-dropping-particle":"","parse-names":false,"suffix":""},{"dropping-particle":"","family":"Fatmawati","given":"Sri","non-dropping-particle":"","parse-names":false,"suffix":""}],"container-title":"/ Malaysian Journal of Fundamental and Applied Sciences","id":"ITEM-1","issue":"2","issued":{"date-parts":[["2018"]]},"number-of-pages":"307-311","title":"Antioxidant and antibacterial activities of Ananas comosus peel extracts","type":"report","volume":"14"},"uris":["http://www.mendeley.com/documents/?uuid=a286a061-806f-3f0b-97ff-804f5096b512"]}],"mendeley":{"formattedCitation":"(3)","manualFormatting":"[3]","plainTextFormattedCitation":"(3)","previouslyFormattedCitation":"(3)"},"properties":{"noteIndex":0},"schema":"https://github.com/citation-style-language/schema/raw/master/csl-citation.json"}</w:instrText>
      </w:r>
      <w:r w:rsidR="00663B7B" w:rsidRPr="00A77904">
        <w:rPr>
          <w:sz w:val="20"/>
          <w:szCs w:val="20"/>
          <w:lang w:val="en-US"/>
        </w:rPr>
        <w:fldChar w:fldCharType="separate"/>
      </w:r>
      <w:r w:rsidR="00663B7B" w:rsidRPr="00A77904">
        <w:rPr>
          <w:noProof/>
          <w:sz w:val="20"/>
          <w:szCs w:val="20"/>
          <w:lang w:val="en-US"/>
        </w:rPr>
        <w:t>[3]</w:t>
      </w:r>
      <w:r w:rsidR="00663B7B" w:rsidRPr="00A77904">
        <w:rPr>
          <w:sz w:val="20"/>
          <w:szCs w:val="20"/>
          <w:lang w:val="en-US"/>
        </w:rPr>
        <w:fldChar w:fldCharType="end"/>
      </w:r>
      <w:r w:rsidR="00814E1F" w:rsidRPr="00A77904">
        <w:rPr>
          <w:sz w:val="20"/>
          <w:szCs w:val="20"/>
          <w:lang w:val="en-US"/>
        </w:rPr>
        <w:t>.</w:t>
      </w:r>
    </w:p>
    <w:p w14:paraId="610EF34A" w14:textId="5E588906" w:rsidR="00814E1F" w:rsidRPr="00A77904" w:rsidRDefault="00814E1F" w:rsidP="00734D55">
      <w:pPr>
        <w:ind w:firstLine="360"/>
        <w:jc w:val="both"/>
        <w:rPr>
          <w:sz w:val="20"/>
          <w:szCs w:val="20"/>
          <w:lang w:val="en-US"/>
        </w:rPr>
      </w:pPr>
      <w:r w:rsidRPr="00A77904">
        <w:rPr>
          <w:sz w:val="20"/>
          <w:szCs w:val="20"/>
          <w:lang w:val="en-US"/>
        </w:rPr>
        <w:t xml:space="preserve">In addition to oxidative stress, pathogenic microorganisms such as fungi, bacteria, and algae also play a significant role in causing diseases in humans, animals, and plants </w:t>
      </w:r>
      <w:r w:rsidR="00663B7B" w:rsidRPr="00A77904">
        <w:rPr>
          <w:sz w:val="20"/>
          <w:szCs w:val="20"/>
          <w:lang w:val="en-US"/>
        </w:rPr>
        <w:fldChar w:fldCharType="begin" w:fldLock="1"/>
      </w:r>
      <w:r w:rsidR="00A9365F" w:rsidRPr="00A77904">
        <w:rPr>
          <w:sz w:val="20"/>
          <w:szCs w:val="20"/>
          <w:lang w:val="en-US"/>
        </w:rPr>
        <w:instrText>ADDIN CSL_CITATION {"citationItems":[{"id":"ITEM-1","itemData":{"DOI":"10.1063/1.5082429","ISBN":"9780735417755","ISSN":"15517616","abstract":"Public health is one of the main problems for the people of Indonesia. One of the causes of health problems is pathogenic bacteria from the environment that easily enter the body and multiply to produce various diseases and infections. Plants extracts are one of the most important natural resources and alternative in the treatment effort as well as improving public health. This research was conducted to determine the antibacterial activities of methanol extract from Syzygium polyanthum Wight leaves as well as its fractions against bacteria Gram-positive Staphylococcus aureus and bacteria Gram-negative Eschericia coli. Ampicillin as positive control showed antibacterial activities against S. aureus and E. coli with IC50 value of 37.82 μg/mL and 10.28 μg/mL, respectively. Methanol extract showed antibacterial activities against S. aureus and E. coli with IC50 value of 23.16 μg/mL and 35.01 μg/mL, respectively. The n-hexane fraction had the highest antibacterial activity against S. aureus and E. coli with IC50 value of 49.25 μg/mL and 27.54 μg/mL, respectively, compared with aqueous and ethyl acetate fractions. The results demonstrated of methanol extract of S. polyanthum Wight leaves and its fractions as antibacterial sources.","author":[{"dropping-particle":"","family":"Ramadhania","given":"Nurina Rizka","non-dropping-particle":"","parse-names":false,"suffix":""},{"dropping-particle":"","family":"Purnomo","given":"Adi Setyo","non-dropping-particle":"","parse-names":false,"suffix":""},{"dropping-particle":"","family":"Fatmawati","given":"Sri","non-dropping-particle":"","parse-names":false,"suffix":""}],"container-title":"AIP Conference Proceedings","id":"ITEM-1","issued":{"date-parts":[["2018","12","14"]]},"publisher":"American Institute of Physics Inc.","title":"Antibacterial activities of Syzygium polyanthum wight leaves","type":"paper-conference","volume":"2049"},"uris":["http://www.mendeley.com/documents/?uuid=0c6781a4-d707-3f85-98fc-0197e86715ad"]}],"mendeley":{"formattedCitation":"(4)","manualFormatting":"[4]","plainTextFormattedCitation":"(4)","previouslyFormattedCitation":"(4)"},"properties":{"noteIndex":0},"schema":"https://github.com/citation-style-language/schema/raw/master/csl-citation.json"}</w:instrText>
      </w:r>
      <w:r w:rsidR="00663B7B" w:rsidRPr="00A77904">
        <w:rPr>
          <w:sz w:val="20"/>
          <w:szCs w:val="20"/>
          <w:lang w:val="en-US"/>
        </w:rPr>
        <w:fldChar w:fldCharType="separate"/>
      </w:r>
      <w:r w:rsidR="00663B7B" w:rsidRPr="00A77904">
        <w:rPr>
          <w:noProof/>
          <w:sz w:val="20"/>
          <w:szCs w:val="20"/>
          <w:lang w:val="en-US"/>
        </w:rPr>
        <w:t>[4]</w:t>
      </w:r>
      <w:r w:rsidR="00663B7B" w:rsidRPr="00A77904">
        <w:rPr>
          <w:sz w:val="20"/>
          <w:szCs w:val="20"/>
          <w:lang w:val="en-US"/>
        </w:rPr>
        <w:fldChar w:fldCharType="end"/>
      </w:r>
      <w:r w:rsidRPr="00A77904">
        <w:rPr>
          <w:sz w:val="20"/>
          <w:szCs w:val="20"/>
          <w:lang w:val="en-US"/>
        </w:rPr>
        <w:t xml:space="preserve">. Infections, particularly those caused by fungi and bacteria, are among the leading causes of mortality in higher organisms. Therefore, the discovery and development of new antioxidant and antibacterial agents are urgently needed. Antibacterial agents function to inhibit the growth of harmful bacteria, thereby preventing infection, controlling disease transmission, and protecting biological as well as non-biological materials from microbial damage </w:t>
      </w:r>
      <w:r w:rsidR="00663B7B" w:rsidRPr="00A77904">
        <w:rPr>
          <w:sz w:val="20"/>
          <w:szCs w:val="20"/>
          <w:lang w:val="en-US"/>
        </w:rPr>
        <w:fldChar w:fldCharType="begin" w:fldLock="1"/>
      </w:r>
      <w:r w:rsidR="00A9365F" w:rsidRPr="00A77904">
        <w:rPr>
          <w:sz w:val="20"/>
          <w:szCs w:val="20"/>
          <w:lang w:val="en-US"/>
        </w:rPr>
        <w:instrText>ADDIN CSL_CITATION {"citationItems":[{"id":"ITEM-1","itemData":{"abstract":"Different solvent extracts of Anthurium plowmanii leaves were assayed for anti-oxidant and anti-bacterial activities. Methanol extract has the highest inhibition of DPPH (2,2-diphenyl-2-picrylhydrazyl-hydrate) and ABTS (2,2'-azinobis (3-ethyl benzothiazoline-6-sulfonic acid)) scavenging activities. Concentrations of methanol extract required for 50% inhibition of DPPH radical scavenging effect were recorded as 231.59 μg/mL. The IC50 of methanol and water extracts on ABTS were 57.23 μg/mL and 73.35 μg/mL, respectively. The lower IC50 values was denoted for a more potent anti-oxidant. Dichloromethane and n-hexane extracts showed faint anti-bacterial activities against bacteria Pseudomonas aeruginosa and Bacillus subtilis that were evaluated by broth dilution method. The results demonstrated great potential of the A. plowmanii leaves as a new source of new anti-oxidant agents.","author":[{"dropping-particle":"","family":"Ramadhania","given":"Nurina Rizka","non-dropping-particle":"","parse-names":false,"suffix":""},{"dropping-particle":"","family":"Harun","given":"Fajriah","non-dropping-particle":"","parse-names":false,"suffix":""},{"dropping-particle":"","family":"Purnomo","given":"Adi Setyo","non-dropping-particle":"","parse-names":false,"suffix":""},{"dropping-particle":"","family":"Fatmawati","given":"Sri","non-dropping-particle":"","parse-names":false,"suffix":""}],"container-title":"/ Malaysian Journal of Fundamental and Applied Sciences","id":"ITEM-1","issue":"2","issued":{"date-parts":[["2019"]]},"number-of-pages":"194-199","title":"Anti-oxidant and anti-bacterial activities of Anthurium plowmanii leaves extracts Article history","type":"report","volume":"15"},"uris":["http://www.mendeley.com/documents/?uuid=cbc556e2-ac38-32fa-9dd6-77a0408f5c78"]}],"mendeley":{"formattedCitation":"(5)","manualFormatting":"[5]","plainTextFormattedCitation":"(5)","previouslyFormattedCitation":"(5)"},"properties":{"noteIndex":0},"schema":"https://github.com/citation-style-language/schema/raw/master/csl-citation.json"}</w:instrText>
      </w:r>
      <w:r w:rsidR="00663B7B" w:rsidRPr="00A77904">
        <w:rPr>
          <w:sz w:val="20"/>
          <w:szCs w:val="20"/>
          <w:lang w:val="en-US"/>
        </w:rPr>
        <w:fldChar w:fldCharType="separate"/>
      </w:r>
      <w:r w:rsidR="00663B7B" w:rsidRPr="00A77904">
        <w:rPr>
          <w:noProof/>
          <w:sz w:val="20"/>
          <w:szCs w:val="20"/>
          <w:lang w:val="en-US"/>
        </w:rPr>
        <w:t>[5]</w:t>
      </w:r>
      <w:r w:rsidR="00663B7B" w:rsidRPr="00A77904">
        <w:rPr>
          <w:sz w:val="20"/>
          <w:szCs w:val="20"/>
          <w:lang w:val="en-US"/>
        </w:rPr>
        <w:fldChar w:fldCharType="end"/>
      </w:r>
      <w:r w:rsidRPr="00A77904">
        <w:rPr>
          <w:sz w:val="20"/>
          <w:szCs w:val="20"/>
          <w:lang w:val="en-US"/>
        </w:rPr>
        <w:t xml:space="preserve">. Considering these challenges, natural resources such as medicinal plants have gained increasing attention as potential sources of safe and effective antioxidant and antibacterial compounds, including </w:t>
      </w:r>
      <w:proofErr w:type="spellStart"/>
      <w:r w:rsidR="00E3378A" w:rsidRPr="00A77904">
        <w:rPr>
          <w:sz w:val="20"/>
          <w:szCs w:val="20"/>
          <w:lang w:val="en-US"/>
        </w:rPr>
        <w:t>Kesambi</w:t>
      </w:r>
      <w:proofErr w:type="spellEnd"/>
      <w:r w:rsidRPr="00A77904">
        <w:rPr>
          <w:sz w:val="20"/>
          <w:szCs w:val="20"/>
          <w:lang w:val="en-US"/>
        </w:rPr>
        <w:t xml:space="preserve"> leaves.</w:t>
      </w:r>
    </w:p>
    <w:p w14:paraId="3C4C601F" w14:textId="4BB0603F" w:rsidR="0063303E" w:rsidRPr="00A77904" w:rsidRDefault="00292AAD" w:rsidP="0063303E">
      <w:pPr>
        <w:ind w:firstLine="360"/>
        <w:jc w:val="both"/>
        <w:rPr>
          <w:sz w:val="20"/>
          <w:szCs w:val="20"/>
          <w:lang w:val="en-US"/>
        </w:rPr>
      </w:pPr>
      <w:bookmarkStart w:id="0" w:name="_Hlk209259749"/>
      <w:proofErr w:type="spellStart"/>
      <w:r w:rsidRPr="00A77904">
        <w:rPr>
          <w:i/>
          <w:iCs/>
          <w:sz w:val="20"/>
          <w:szCs w:val="20"/>
          <w:lang w:val="en-US"/>
        </w:rPr>
        <w:t>Schleichera</w:t>
      </w:r>
      <w:proofErr w:type="spellEnd"/>
      <w:r w:rsidRPr="00A77904">
        <w:rPr>
          <w:i/>
          <w:iCs/>
          <w:sz w:val="20"/>
          <w:szCs w:val="20"/>
          <w:lang w:val="en-US"/>
        </w:rPr>
        <w:t xml:space="preserve"> oleosa</w:t>
      </w:r>
      <w:r w:rsidRPr="00A77904">
        <w:rPr>
          <w:sz w:val="20"/>
          <w:szCs w:val="20"/>
          <w:lang w:val="en-US"/>
        </w:rPr>
        <w:t xml:space="preserve"> (</w:t>
      </w:r>
      <w:proofErr w:type="spellStart"/>
      <w:r w:rsidR="00E3378A" w:rsidRPr="00A77904">
        <w:rPr>
          <w:sz w:val="20"/>
          <w:szCs w:val="20"/>
          <w:lang w:val="en-US"/>
        </w:rPr>
        <w:t>Kesambi</w:t>
      </w:r>
      <w:proofErr w:type="spellEnd"/>
      <w:r w:rsidRPr="00A77904">
        <w:rPr>
          <w:sz w:val="20"/>
          <w:szCs w:val="20"/>
          <w:lang w:val="en-US"/>
        </w:rPr>
        <w:t xml:space="preserve">) is a tropical tree of the </w:t>
      </w:r>
      <w:proofErr w:type="spellStart"/>
      <w:r w:rsidRPr="00A77904">
        <w:rPr>
          <w:sz w:val="20"/>
          <w:szCs w:val="20"/>
          <w:lang w:val="en-US"/>
        </w:rPr>
        <w:t>Sapindaceae</w:t>
      </w:r>
      <w:proofErr w:type="spellEnd"/>
      <w:r w:rsidRPr="00A77904">
        <w:rPr>
          <w:sz w:val="20"/>
          <w:szCs w:val="20"/>
          <w:lang w:val="en-US"/>
        </w:rPr>
        <w:t xml:space="preserve"> family, widely distributed across South and Southeast Asia, including Cambodia, India, Indonesia, Myanmar, Sri Lanka, Thailand, and Vietnam, and known by various local names such as </w:t>
      </w:r>
      <w:proofErr w:type="spellStart"/>
      <w:r w:rsidR="00E3378A" w:rsidRPr="00A77904">
        <w:rPr>
          <w:sz w:val="20"/>
          <w:szCs w:val="20"/>
          <w:lang w:val="en-US"/>
        </w:rPr>
        <w:t>Kesambi</w:t>
      </w:r>
      <w:proofErr w:type="spellEnd"/>
      <w:r w:rsidRPr="00A77904">
        <w:rPr>
          <w:sz w:val="20"/>
          <w:szCs w:val="20"/>
          <w:lang w:val="en-US"/>
        </w:rPr>
        <w:t xml:space="preserve">, </w:t>
      </w:r>
      <w:r w:rsidR="00E3378A" w:rsidRPr="00A77904">
        <w:rPr>
          <w:sz w:val="20"/>
          <w:szCs w:val="20"/>
          <w:lang w:val="en-US"/>
        </w:rPr>
        <w:t>S</w:t>
      </w:r>
      <w:r w:rsidRPr="00A77904">
        <w:rPr>
          <w:sz w:val="20"/>
          <w:szCs w:val="20"/>
          <w:lang w:val="en-US"/>
        </w:rPr>
        <w:t xml:space="preserve">ambi, </w:t>
      </w:r>
      <w:proofErr w:type="spellStart"/>
      <w:r w:rsidR="00E3378A" w:rsidRPr="00A77904">
        <w:rPr>
          <w:sz w:val="20"/>
          <w:szCs w:val="20"/>
          <w:lang w:val="en-US"/>
        </w:rPr>
        <w:t>K</w:t>
      </w:r>
      <w:r w:rsidRPr="00A77904">
        <w:rPr>
          <w:sz w:val="20"/>
          <w:szCs w:val="20"/>
          <w:lang w:val="en-US"/>
        </w:rPr>
        <w:t>usambi</w:t>
      </w:r>
      <w:proofErr w:type="spellEnd"/>
      <w:r w:rsidRPr="00A77904">
        <w:rPr>
          <w:sz w:val="20"/>
          <w:szCs w:val="20"/>
          <w:lang w:val="en-US"/>
        </w:rPr>
        <w:t xml:space="preserve">, and </w:t>
      </w:r>
      <w:proofErr w:type="spellStart"/>
      <w:r w:rsidR="00E3378A" w:rsidRPr="00A77904">
        <w:rPr>
          <w:sz w:val="20"/>
          <w:szCs w:val="20"/>
          <w:lang w:val="en-US"/>
        </w:rPr>
        <w:t>U</w:t>
      </w:r>
      <w:r w:rsidRPr="00A77904">
        <w:rPr>
          <w:sz w:val="20"/>
          <w:szCs w:val="20"/>
          <w:lang w:val="en-US"/>
        </w:rPr>
        <w:t>sapi</w:t>
      </w:r>
      <w:proofErr w:type="spellEnd"/>
      <w:r w:rsidR="00663B7B" w:rsidRPr="00A77904">
        <w:rPr>
          <w:sz w:val="20"/>
          <w:szCs w:val="20"/>
          <w:lang w:val="en-US"/>
        </w:rPr>
        <w:t xml:space="preserve"> </w:t>
      </w:r>
      <w:r w:rsidR="00663B7B" w:rsidRPr="00A77904">
        <w:rPr>
          <w:sz w:val="20"/>
          <w:szCs w:val="20"/>
          <w:lang w:val="en-US"/>
        </w:rPr>
        <w:fldChar w:fldCharType="begin" w:fldLock="1"/>
      </w:r>
      <w:r w:rsidR="00A9365F" w:rsidRPr="00A77904">
        <w:rPr>
          <w:sz w:val="20"/>
          <w:szCs w:val="20"/>
          <w:lang w:val="en-US"/>
        </w:rPr>
        <w:instrText>ADDIN CSL_CITATION {"citationItems":[{"id":"ITEM-1","itemData":{"abstract":"Kesambi (Schleichera oleosa) is one of the forest plants from Indonesia that has potential as medicine. Kesambi has active compounds that act as antioxidants. The purpose of this study was to determine the potential of kesambi leaf as an antioxidant using the DPPH method. Samples of kesambi leaf were extracted in methanol, ethanol, and water solvents by the maceration method. The class of compounds contained in kesambi leaf was tested by the colour reaction test method for alkaloids, flavonoids, triterpenoids, phenols, steroids, saponins, and tannins. Antioxidant activity was tested by the DPPH method to determine IC50 values. Based on the results of the colour reaction test showed that methanol and ethanol solvents were able to bind 6 classes of compounds (alkaloids, flavonoids, triterpenoid, phenols, saponins, and tannins) and water solvents were only able to bind 5 classes of compounds (flavonoids, triterpenoid, phenols, saponins, and tannins) contained in kesambi leaf. The results of antioxidant activity tests using the DPPH method showed the lowest IC50 value was methanol extract (16,12µg/ml) compared to ethanol extract (20,43µg/ml) and water (904,28µg/ml). It was concluded that the leaf extract of kesambi has potential as an antioxidant and which has the best antioxidant ability was extracted in methanol. The class of compounds which were thought to be responsible for the antioxidant activity of the kesambi leaf extract based on the color reaction test were phenols, flavonoids and tannins.","author":[{"dropping-particle":"","family":"Holil","given":"Kholifah","non-dropping-particle":"","parse-names":false,"suffix":""},{"dropping-particle":"","family":"Pramesti Griana","given":"Tias","non-dropping-particle":"","parse-names":false,"suffix":""},{"dropping-particle":"","family":"Biologi","given":"Jurusan","non-dropping-particle":"","parse-names":false,"suffix":""},{"dropping-particle":"","family":"Sains dan Teknologi","given":"Fakultas","non-dropping-particle":"","parse-names":false,"suffix":""},{"dropping-particle":"","family":"Maulana Malik Ibrahim Malang","given":"Uin","non-dropping-particle":"","parse-names":false,"suffix":""},{"dropping-particle":"","family":"Studi Pendidikan Dokter","given":"Program","non-dropping-particle":"","parse-names":false,"suffix":""},{"dropping-particle":"","family":"Kedokteran dan Ilmu Kesehatan","given":"Fakultas","non-dropping-particle":"","parse-names":false,"suffix":""}],"container-title":"Holil and Griana","id":"ITEM-1","issue":"1","issued":{"date-parts":[["0"]]},"number-of-pages":"28-32","title":"Analisis Fitokimia dan Aktivitas Antioksidan Ekstrak Daun Kesambi (Schleichera oleosa) Metode DPPH","type":"report","volume":"5"},"uris":["http://www.mendeley.com/documents/?uuid=195df7bc-ddb3-396f-b76b-9908a98155c4"]}],"mendeley":{"formattedCitation":"(6)","manualFormatting":"[6]","plainTextFormattedCitation":"(6)","previouslyFormattedCitation":"(6)"},"properties":{"noteIndex":0},"schema":"https://github.com/citation-style-language/schema/raw/master/csl-citation.json"}</w:instrText>
      </w:r>
      <w:r w:rsidR="00663B7B" w:rsidRPr="00A77904">
        <w:rPr>
          <w:sz w:val="20"/>
          <w:szCs w:val="20"/>
          <w:lang w:val="en-US"/>
        </w:rPr>
        <w:fldChar w:fldCharType="separate"/>
      </w:r>
      <w:r w:rsidR="00663B7B" w:rsidRPr="00A77904">
        <w:rPr>
          <w:noProof/>
          <w:sz w:val="20"/>
          <w:szCs w:val="20"/>
          <w:lang w:val="en-US"/>
        </w:rPr>
        <w:t>[6]</w:t>
      </w:r>
      <w:r w:rsidR="00663B7B" w:rsidRPr="00A77904">
        <w:rPr>
          <w:sz w:val="20"/>
          <w:szCs w:val="20"/>
          <w:lang w:val="en-US"/>
        </w:rPr>
        <w:fldChar w:fldCharType="end"/>
      </w:r>
      <w:r w:rsidRPr="00A77904">
        <w:rPr>
          <w:sz w:val="20"/>
          <w:szCs w:val="20"/>
          <w:lang w:val="en-US"/>
        </w:rPr>
        <w:t>.</w:t>
      </w:r>
      <w:r w:rsidR="00734D55" w:rsidRPr="00A77904">
        <w:rPr>
          <w:sz w:val="20"/>
          <w:szCs w:val="20"/>
          <w:lang w:val="en-US"/>
        </w:rPr>
        <w:t xml:space="preserve"> </w:t>
      </w:r>
      <w:proofErr w:type="spellStart"/>
      <w:r w:rsidR="00E3378A" w:rsidRPr="00A77904">
        <w:rPr>
          <w:sz w:val="20"/>
          <w:szCs w:val="20"/>
          <w:lang w:val="en-US"/>
        </w:rPr>
        <w:t>Kesambi</w:t>
      </w:r>
      <w:proofErr w:type="spellEnd"/>
      <w:r w:rsidR="00C23356" w:rsidRPr="00A77904">
        <w:rPr>
          <w:sz w:val="20"/>
          <w:szCs w:val="20"/>
          <w:lang w:val="en-US"/>
        </w:rPr>
        <w:t xml:space="preserve"> leaves contain secondary metabolites in the form of alkaloids, phenolics, tannins, and flavonoids. Several studies have shown </w:t>
      </w:r>
      <w:r w:rsidR="00C23356" w:rsidRPr="00A77904">
        <w:rPr>
          <w:sz w:val="20"/>
          <w:szCs w:val="20"/>
          <w:lang w:val="en-US"/>
        </w:rPr>
        <w:lastRenderedPageBreak/>
        <w:t xml:space="preserve">that </w:t>
      </w:r>
      <w:proofErr w:type="spellStart"/>
      <w:r w:rsidR="00E3378A" w:rsidRPr="00A77904">
        <w:rPr>
          <w:sz w:val="20"/>
          <w:szCs w:val="20"/>
          <w:lang w:val="en-US"/>
        </w:rPr>
        <w:t>Kesambi</w:t>
      </w:r>
      <w:proofErr w:type="spellEnd"/>
      <w:r w:rsidR="00C23356" w:rsidRPr="00A77904">
        <w:rPr>
          <w:sz w:val="20"/>
          <w:szCs w:val="20"/>
          <w:lang w:val="en-US"/>
        </w:rPr>
        <w:t xml:space="preserve"> leaf extract has high antioxidant and antibacterial activity, with varying effectiveness depending on the type of solvent used.</w:t>
      </w:r>
      <w:bookmarkEnd w:id="0"/>
      <w:r w:rsidR="00C23356" w:rsidRPr="00A77904">
        <w:rPr>
          <w:sz w:val="20"/>
          <w:szCs w:val="20"/>
          <w:lang w:val="en-US"/>
        </w:rPr>
        <w:t xml:space="preserve"> </w:t>
      </w:r>
      <w:bookmarkStart w:id="1" w:name="_Hlk209260017"/>
      <w:r w:rsidR="0063303E" w:rsidRPr="00A77904">
        <w:rPr>
          <w:sz w:val="20"/>
          <w:szCs w:val="20"/>
          <w:lang w:val="en-US"/>
        </w:rPr>
        <w:t>According to [</w:t>
      </w:r>
      <w:r w:rsidR="00B60457" w:rsidRPr="00A77904">
        <w:rPr>
          <w:sz w:val="20"/>
          <w:szCs w:val="20"/>
          <w:lang w:val="en-US"/>
        </w:rPr>
        <w:fldChar w:fldCharType="begin" w:fldLock="1"/>
      </w:r>
      <w:r w:rsidR="00FC24DC" w:rsidRPr="00A77904">
        <w:rPr>
          <w:sz w:val="20"/>
          <w:szCs w:val="20"/>
          <w:lang w:val="en-US"/>
        </w:rPr>
        <w:instrText>ADDIN CSL_CITATION {"citationItems":[{"id":"ITEM-1","itemData":{"DOI":"10.29303/jppipa.v11i1.9439","abstract":"Kesambi (Schleichera Oleosa (L.) is one of the beneficial plants in Indonesia which contains fenolic and flavonoids that exhibit antioxidant properties. The presence of antioxidants in plants could be associated with antidiabetic activity of these plants. This research was conducted to determine the antioxidant and antidiabetic activities of n-hexane, ethyl acetate, acetone and methanol extracts from Kesambi leaves. Extraction was carried out by the ultrasonic assisted extraction (UAE) method. The antioxidant activity was determined quantitatively by DPPH and ABTS method, while the antidiabetic activity was evaluated by using α-glukosidase inhibition method. The IC50 values from the determination of antioxidant and antidiabetic activities were obtained by using Microplate reader at the maximum wavelength. Results of the antioxidant determination DPPH method showed that IC50 values of n-hexane, ethyl acetate, acetone and methanol extracts were 414.1993; 57.7862; 6.33 dan 13.4558 µg/mL, respectively. And for ABTS method showed 162.679; 22.6684; 10.7975; dan 146.869 µg/mL. This indicates the acetone and methanol extracts give the best results in antioxidant activity. Meanwhile, IC50 values of in vitro antidiabetic activity of n-hexane, ethyl acetate, acetone and methanol extracts were 99.3235; 272.8723; 1.6799; dan 24.4653 µg/mL, respectively. Acetone and methanol extracts of kesambi leaf give the best results in antidiabetic activity.","author":[{"dropping-particle":"","family":"Nursamsiar","given":"N","non-dropping-particle":"","parse-names":false,"suffix":""},{"dropping-particle":"","family":"Marwati","given":"M","non-dropping-particle":"","parse-names":false,"suffix":""},{"dropping-particle":"","family":"Sami","given":"F J","non-dropping-particle":"","parse-names":false,"suffix":""},{"dropping-particle":"","family":"Nur","given":"S","non-dropping-particle":"","parse-names":false,"suffix":""},{"dropping-particle":"","family":"Kasmawati","given":"H","non-dropping-particle":"","parse-names":false,"suffix":""},{"dropping-particle":"","family":"Asnawi","given":"A","non-dropping-particle":"","parse-names":false,"suffix":""}],"container-title":"JPPIPA","id":"ITEM-1","issue":"1","issued":{"date-parts":[["2025"]]},"title":"Effect of Solvent Polarity on Antioxidant and Antidiabetic Activity of Kesambi Leaf Extract (Schleichera oleosa Effect of Solvent Polarity on Antioxidant and Antidiabetic Activity of Kesambi Leaf Extract (Schleichera oleosa L.)","type":"article-journal","volume":"11"},"uris":["http://www.mendeley.com/documents/?uuid=56d8764b-5c16-3889-823a-dd10f1fa2c6f"]}],"mendeley":{"formattedCitation":"(7)","manualFormatting":"7","plainTextFormattedCitation":"(7)","previouslyFormattedCitation":"(7)"},"properties":{"noteIndex":0},"schema":"https://github.com/citation-style-language/schema/raw/master/csl-citation.json"}</w:instrText>
      </w:r>
      <w:r w:rsidR="00B60457" w:rsidRPr="00A77904">
        <w:rPr>
          <w:sz w:val="20"/>
          <w:szCs w:val="20"/>
          <w:lang w:val="en-US"/>
        </w:rPr>
        <w:fldChar w:fldCharType="separate"/>
      </w:r>
      <w:r w:rsidR="00567FF9" w:rsidRPr="00A77904">
        <w:rPr>
          <w:noProof/>
          <w:sz w:val="20"/>
          <w:szCs w:val="20"/>
          <w:lang w:val="en-US"/>
        </w:rPr>
        <w:t>7</w:t>
      </w:r>
      <w:r w:rsidR="00B60457" w:rsidRPr="00A77904">
        <w:rPr>
          <w:sz w:val="20"/>
          <w:szCs w:val="20"/>
          <w:lang w:val="en-US"/>
        </w:rPr>
        <w:fldChar w:fldCharType="end"/>
      </w:r>
      <w:r w:rsidR="0063303E" w:rsidRPr="00A77904">
        <w:rPr>
          <w:sz w:val="20"/>
          <w:szCs w:val="20"/>
          <w:lang w:val="en-US"/>
        </w:rPr>
        <w:t>], the strongest antioxidant activity was obtained from extracts prepared with acetone (IC₅₀ = 6.33 µg/mL) and methanol (IC₅₀ = 13.46 µg/mL). Conversely, [</w:t>
      </w:r>
      <w:r w:rsidR="00B60457" w:rsidRPr="00A77904">
        <w:rPr>
          <w:sz w:val="20"/>
          <w:szCs w:val="20"/>
          <w:lang w:val="en-US"/>
        </w:rPr>
        <w:fldChar w:fldCharType="begin" w:fldLock="1"/>
      </w:r>
      <w:r w:rsidR="00FC24DC" w:rsidRPr="00A77904">
        <w:rPr>
          <w:sz w:val="20"/>
          <w:szCs w:val="20"/>
          <w:lang w:val="en-US"/>
        </w:rPr>
        <w:instrText>ADDIN CSL_CITATION {"citationItems":[{"id":"ITEM-1","itemData":{"abstract":"Kesambi (Schleichera oleosa) is one of the forest plants from Indonesia that has potential as medicine. Kesambi has active compounds that act as antioxidants. The purpose of this study was to determine the potential of kesambi leaf as an antioxidant using the DPPH method. Samples of kesambi leaf were extracted in methanol, ethanol, and water solvents by the maceration method. The class of compounds contained in kesambi leaf was tested by the colour reaction test method for alkaloids, flavonoids, triterpenoids, phenols, steroids, saponins, and tannins. Antioxidant activity was tested by the DPPH method to determine IC50 values. Based on the results of the colour reaction test showed that methanol and ethanol solvents were able to bind 6 classes of compounds (alkaloids, flavonoids, triterpenoid, phenols, saponins, and tannins) and water solvents were only able to bind 5 classes of compounds (flavonoids, triterpenoid, phenols, saponins, and tannins) contained in kesambi leaf. The results of antioxidant activity tests using the DPPH method showed the lowest IC50 value was methanol extract (16,12µg/ml) compared to ethanol extract (20,43µg/ml) and water (904,28µg/ml). It was concluded that the leaf extract of kesambi has potential as an antioxidant and which has the best antioxidant ability was extracted in methanol. The class of compounds which were thought to be responsible for the antioxidant activity of the kesambi leaf extract based on the color reaction test were phenols, flavonoids and tannins.","author":[{"dropping-particle":"","family":"Holil","given":"Kholifah","non-dropping-particle":"","parse-names":false,"suffix":""},{"dropping-particle":"","family":"Pramesti Griana","given":"Tias","non-dropping-particle":"","parse-names":false,"suffix":""},{"dropping-particle":"","family":"Biologi","given":"Jurusan","non-dropping-particle":"","parse-names":false,"suffix":""},{"dropping-particle":"","family":"Sains dan Teknologi","given":"Fakultas","non-dropping-particle":"","parse-names":false,"suffix":""},{"dropping-particle":"","family":"Maulana Malik Ibrahim Malang","given":"Uin","non-dropping-particle":"","parse-names":false,"suffix":""},{"dropping-particle":"","family":"Studi Pendidikan Dokter","given":"Program","non-dropping-particle":"","parse-names":false,"suffix":""},{"dropping-particle":"","family":"Kedokteran dan Ilmu Kesehatan","given":"Fakultas","non-dropping-particle":"","parse-names":false,"suffix":""}],"container-title":"Holil and Griana","id":"ITEM-1","issue":"1","issued":{"date-parts":[["0"]]},"number-of-pages":"28-32","title":"Analisis Fitokimia dan Aktivitas Antioksidan Ekstrak Daun Kesambi (Schleichera oleosa) Metode DPPH","type":"report","volume":"5"},"uris":["http://www.mendeley.com/documents/?uuid=195df7bc-ddb3-396f-b76b-9908a98155c4"]}],"mendeley":{"formattedCitation":"(6)","manualFormatting":"6","plainTextFormattedCitation":"(6)","previouslyFormattedCitation":"(6)"},"properties":{"noteIndex":0},"schema":"https://github.com/citation-style-language/schema/raw/master/csl-citation.json"}</w:instrText>
      </w:r>
      <w:r w:rsidR="00B60457" w:rsidRPr="00A77904">
        <w:rPr>
          <w:sz w:val="20"/>
          <w:szCs w:val="20"/>
          <w:lang w:val="en-US"/>
        </w:rPr>
        <w:fldChar w:fldCharType="separate"/>
      </w:r>
      <w:r w:rsidR="00567FF9" w:rsidRPr="00A77904">
        <w:rPr>
          <w:noProof/>
          <w:sz w:val="20"/>
          <w:szCs w:val="20"/>
          <w:lang w:val="en-US"/>
        </w:rPr>
        <w:t>6</w:t>
      </w:r>
      <w:r w:rsidR="00B60457" w:rsidRPr="00A77904">
        <w:rPr>
          <w:sz w:val="20"/>
          <w:szCs w:val="20"/>
          <w:lang w:val="en-US"/>
        </w:rPr>
        <w:fldChar w:fldCharType="end"/>
      </w:r>
      <w:r w:rsidR="0063303E" w:rsidRPr="00A77904">
        <w:rPr>
          <w:sz w:val="20"/>
          <w:szCs w:val="20"/>
          <w:lang w:val="en-US"/>
        </w:rPr>
        <w:t>] reported methanol extract as the most active (IC₅₀ = 16.12 µg/mL), followed by ethanol (20.43 µg/mL), with water extract showing the weakest effect (IC₅₀ = 904.28 µg/mL). Furthermore, [</w:t>
      </w:r>
      <w:r w:rsidR="00B60457" w:rsidRPr="00A77904">
        <w:rPr>
          <w:sz w:val="20"/>
          <w:szCs w:val="20"/>
          <w:lang w:val="en-US"/>
        </w:rPr>
        <w:fldChar w:fldCharType="begin" w:fldLock="1"/>
      </w:r>
      <w:r w:rsidR="00FC24DC" w:rsidRPr="00A77904">
        <w:rPr>
          <w:sz w:val="20"/>
          <w:szCs w:val="20"/>
          <w:lang w:val="en-US"/>
        </w:rPr>
        <w:instrText>ADDIN CSL_CITATION {"citationItems":[{"id":"ITEM-1","itemData":{"id":"ITEM-1","issued":{"date-parts":[["0"]]},"title":"kulitt vatang kesambi","type":"article-journal"},"uris":["http://www.mendeley.com/documents/?uuid=2d101de3-fb34-3c70-b04a-b9f67c88be1b"]}],"mendeley":{"formattedCitation":"(8)","manualFormatting":"8","plainTextFormattedCitation":"(8)","previouslyFormattedCitation":"(8)"},"properties":{"noteIndex":0},"schema":"https://github.com/citation-style-language/schema/raw/master/csl-citation.json"}</w:instrText>
      </w:r>
      <w:r w:rsidR="00B60457" w:rsidRPr="00A77904">
        <w:rPr>
          <w:sz w:val="20"/>
          <w:szCs w:val="20"/>
          <w:lang w:val="en-US"/>
        </w:rPr>
        <w:fldChar w:fldCharType="separate"/>
      </w:r>
      <w:r w:rsidR="00567FF9" w:rsidRPr="00A77904">
        <w:rPr>
          <w:noProof/>
          <w:sz w:val="20"/>
          <w:szCs w:val="20"/>
          <w:lang w:val="en-US"/>
        </w:rPr>
        <w:t>8</w:t>
      </w:r>
      <w:r w:rsidR="00B60457" w:rsidRPr="00A77904">
        <w:rPr>
          <w:sz w:val="20"/>
          <w:szCs w:val="20"/>
          <w:lang w:val="en-US"/>
        </w:rPr>
        <w:fldChar w:fldCharType="end"/>
      </w:r>
      <w:r w:rsidR="0063303E" w:rsidRPr="00A77904">
        <w:rPr>
          <w:sz w:val="20"/>
          <w:szCs w:val="20"/>
          <w:lang w:val="en-US"/>
        </w:rPr>
        <w:t xml:space="preserve">] noted that ethyl acetate extract of </w:t>
      </w:r>
      <w:proofErr w:type="spellStart"/>
      <w:r w:rsidR="00E3378A" w:rsidRPr="00A77904">
        <w:rPr>
          <w:sz w:val="20"/>
          <w:szCs w:val="20"/>
          <w:lang w:val="en-US"/>
        </w:rPr>
        <w:t>Kesambi</w:t>
      </w:r>
      <w:proofErr w:type="spellEnd"/>
      <w:r w:rsidR="0063303E" w:rsidRPr="00A77904">
        <w:rPr>
          <w:sz w:val="20"/>
          <w:szCs w:val="20"/>
          <w:lang w:val="en-US"/>
        </w:rPr>
        <w:t xml:space="preserve"> leaves exhibited the highest antioxidant potential among different plant parts (IC₅₀ = 5.50 µg/mL), while bark extracts also showed strong activity, particularly with ethyl acetate (IC₅₀ = 7.72 ppm). In terms of antibacterial effects, </w:t>
      </w:r>
      <w:proofErr w:type="spellStart"/>
      <w:r w:rsidR="00E3378A" w:rsidRPr="00A77904">
        <w:rPr>
          <w:sz w:val="20"/>
          <w:szCs w:val="20"/>
          <w:lang w:val="en-US"/>
        </w:rPr>
        <w:t>Kesambi</w:t>
      </w:r>
      <w:proofErr w:type="spellEnd"/>
      <w:r w:rsidR="0063303E" w:rsidRPr="00A77904">
        <w:rPr>
          <w:sz w:val="20"/>
          <w:szCs w:val="20"/>
          <w:lang w:val="en-US"/>
        </w:rPr>
        <w:t xml:space="preserve"> leaf extract was found to be more effective against </w:t>
      </w:r>
      <w:r w:rsidR="0063303E" w:rsidRPr="00A77904">
        <w:rPr>
          <w:i/>
          <w:iCs/>
          <w:sz w:val="20"/>
          <w:szCs w:val="20"/>
          <w:lang w:val="en-US"/>
        </w:rPr>
        <w:t>Staphylococcus aureus</w:t>
      </w:r>
      <w:r w:rsidR="0063303E" w:rsidRPr="00A77904">
        <w:rPr>
          <w:sz w:val="20"/>
          <w:szCs w:val="20"/>
          <w:lang w:val="en-US"/>
        </w:rPr>
        <w:t xml:space="preserve"> than </w:t>
      </w:r>
      <w:r w:rsidR="0063303E" w:rsidRPr="00A77904">
        <w:rPr>
          <w:i/>
          <w:iCs/>
          <w:sz w:val="20"/>
          <w:szCs w:val="20"/>
          <w:lang w:val="en-US"/>
        </w:rPr>
        <w:t>Escherichia coli</w:t>
      </w:r>
      <w:r w:rsidR="0063303E" w:rsidRPr="00A77904">
        <w:rPr>
          <w:sz w:val="20"/>
          <w:szCs w:val="20"/>
          <w:lang w:val="en-US"/>
        </w:rPr>
        <w:t>. Similarly, [</w:t>
      </w:r>
      <w:r w:rsidR="00B60457" w:rsidRPr="00A77904">
        <w:rPr>
          <w:sz w:val="20"/>
          <w:szCs w:val="20"/>
          <w:lang w:val="en-US"/>
        </w:rPr>
        <w:fldChar w:fldCharType="begin" w:fldLock="1"/>
      </w:r>
      <w:r w:rsidR="00FC24DC" w:rsidRPr="00A77904">
        <w:rPr>
          <w:sz w:val="20"/>
          <w:szCs w:val="20"/>
          <w:lang w:val="en-US"/>
        </w:rPr>
        <w:instrText>ADDIN CSL_CITATION {"citationItems":[{"id":"ITEM-1","itemData":{"ISSN":"2460-9560","abstract":"ABSTRAK Penyakit infeksi merupakan penyakit dengan pravalensi tinggi di Indonesia. Bakteri merupakan penyebab infeksi kulit. Ekstrak daun kesambi mengandung metabolit sekunder sebagai agen antibakteri. Penelitian ini bertujuan untuk mengetahui aktivitas antibakteri ekstrak daun kesambi (Schleicher aoleosa) terhadap pertumbuhan bakteri P. aeruginosa dan S. aureus berdasarkan zona hambat. Penelitian ini dilakukan dengan metode eksperimental menggunakan daun kesambi yang diproses dengan cara maserasi kemudian dilanjutkan dengan uji fitokimia. Uji aktivitas antibakteri dilakukan dengan metode difusi cakram dengan variasi konsentrasi yaitu 5%, 10%, dan 15% untuk mengetahui zona hambat. Hasil penelitian menunjukkan rata-rata zona hambat P. aeruginosa adalah 13,3 mm pada konsentrasi 5%, 15,3 mm pada konsentrasi 10%, dan 17,3 mm pada konsentrasi 15%, hasil kontrol positif 38,3 mm, dan kontrol negatif diperoleh 0 mm. S. aureus pada konsentrasi 5% adalah 10,6 mm, konsentrasi 10% yaitu 12 mm, dan pada konsentrasi 15% yaitu 25 mm, kontrol positif 25 mm, dan pada kontrol negatif didapatkan 0 mm, yang berarti tidak memiliki zona hambatan. Konsentrasi 15% merupakan konsentrasi yang memiliki daya hambat terbesar dalam menghambat pertumbuhan P. aeruginosa dan S. aureus (p=0,046 &lt;0,05). ABSTRACT Infectious disease is a disease with high prevalence in Indonesia. Bacteria are the cause of skin infections. Kesambi leaf extract contains secondary metabolites as antibacterial agents. This study aims to determine the antibacterial activity of kesambi leaf extract (Schleichera oleosa) on the growth of P. aeruginosa and S. aureus bacteria based on the inhibition zone. This research was conducted using an experimental method using kesambi leaves which were processed by maceration and then followed by phytochemical tests. Antibacterial activity test was carried out by disc diffusion method with various","author":[{"dropping-particle":"","family":"Febriani","given":"Rezki","non-dropping-particle":"","parse-names":false,"suffix":""},{"dropping-particle":"","family":"Monica Salasa","given":"Alfrida","non-dropping-particle":"","parse-names":false,"suffix":""},{"dropping-particle":"","family":"Ratnah Program Studi Sarjana Terapan Farmasi","given":"St","non-dropping-particle":"","parse-names":false,"suffix":""},{"dropping-particle":"","family":"Farmasi","given":"Jurusan","non-dropping-particle":"","parse-names":false,"suffix":""},{"dropping-particle":"","family":"Kesehatan Makassar","given":"Politeknik","non-dropping-particle":"","parse-names":false,"suffix":""},{"dropping-particle":"","family":"Selatan","given":"Sulawesi","non-dropping-particle":"","parse-names":false,"suffix":""},{"dropping-particle":"","family":"Kunci","given":"Kata","non-dropping-particle":"","parse-names":false,"suffix":""},{"dropping-particle":"","family":"hambat","given":"Zona","non-dropping-particle":"","parse-names":false,"suffix":""},{"dropping-particle":"","family":"fitokimia","given":"Uji","non-dropping-particle":"","parse-names":false,"suffix":""}],"id":"ITEM-1","issue":"1","issued":{"date-parts":[["2024"]]},"page":"88-97","title":"Aktivitas Antibakteri Ekstrak Daun Kesambi Terhadap Pertumbuhan Pseudomonas aeruginosa dan Staphylococcus aureus","type":"article-journal","volume":"11"},"uris":["http://www.mendeley.com/documents/?uuid=1ab04ed0-904e-3530-bf70-ee086b958308"]}],"mendeley":{"formattedCitation":"(9)","manualFormatting":"9","plainTextFormattedCitation":"(9)","previouslyFormattedCitation":"(9)"},"properties":{"noteIndex":0},"schema":"https://github.com/citation-style-language/schema/raw/master/csl-citation.json"}</w:instrText>
      </w:r>
      <w:r w:rsidR="00B60457" w:rsidRPr="00A77904">
        <w:rPr>
          <w:sz w:val="20"/>
          <w:szCs w:val="20"/>
          <w:lang w:val="en-US"/>
        </w:rPr>
        <w:fldChar w:fldCharType="separate"/>
      </w:r>
      <w:r w:rsidR="00567FF9" w:rsidRPr="00A77904">
        <w:rPr>
          <w:noProof/>
          <w:sz w:val="20"/>
          <w:szCs w:val="20"/>
          <w:lang w:val="en-US"/>
        </w:rPr>
        <w:t>9</w:t>
      </w:r>
      <w:r w:rsidR="00B60457" w:rsidRPr="00A77904">
        <w:rPr>
          <w:sz w:val="20"/>
          <w:szCs w:val="20"/>
          <w:lang w:val="en-US"/>
        </w:rPr>
        <w:fldChar w:fldCharType="end"/>
      </w:r>
      <w:r w:rsidR="0063303E" w:rsidRPr="00A77904">
        <w:rPr>
          <w:sz w:val="20"/>
          <w:szCs w:val="20"/>
          <w:lang w:val="en-US"/>
        </w:rPr>
        <w:t xml:space="preserve">] reported that 96% ethanol extract of </w:t>
      </w:r>
      <w:proofErr w:type="spellStart"/>
      <w:r w:rsidR="00E3378A" w:rsidRPr="00A77904">
        <w:rPr>
          <w:sz w:val="20"/>
          <w:szCs w:val="20"/>
          <w:lang w:val="en-US"/>
        </w:rPr>
        <w:t>Kesambi</w:t>
      </w:r>
      <w:proofErr w:type="spellEnd"/>
      <w:r w:rsidR="0063303E" w:rsidRPr="00A77904">
        <w:rPr>
          <w:sz w:val="20"/>
          <w:szCs w:val="20"/>
          <w:lang w:val="en-US"/>
        </w:rPr>
        <w:t xml:space="preserve"> leaves inhibited the growth of </w:t>
      </w:r>
      <w:r w:rsidR="0063303E" w:rsidRPr="00A77904">
        <w:rPr>
          <w:i/>
          <w:iCs/>
          <w:sz w:val="20"/>
          <w:szCs w:val="20"/>
          <w:lang w:val="en-US"/>
        </w:rPr>
        <w:t>P. aeruginosa</w:t>
      </w:r>
      <w:r w:rsidR="0063303E" w:rsidRPr="00A77904">
        <w:rPr>
          <w:sz w:val="20"/>
          <w:szCs w:val="20"/>
          <w:lang w:val="en-US"/>
        </w:rPr>
        <w:t xml:space="preserve"> and </w:t>
      </w:r>
      <w:r w:rsidR="0063303E" w:rsidRPr="00A77904">
        <w:rPr>
          <w:i/>
          <w:iCs/>
          <w:sz w:val="20"/>
          <w:szCs w:val="20"/>
          <w:lang w:val="en-US"/>
        </w:rPr>
        <w:t>S. aureus</w:t>
      </w:r>
      <w:r w:rsidR="0063303E" w:rsidRPr="00A77904">
        <w:rPr>
          <w:sz w:val="20"/>
          <w:szCs w:val="20"/>
          <w:lang w:val="en-US"/>
        </w:rPr>
        <w:t xml:space="preserve">, producing inhibition zones of 17.3 mm and 25 mm, respectively, at 15% concentration. Beyond these antioxidant and antibacterial effects, </w:t>
      </w:r>
      <w:r w:rsidR="0063303E" w:rsidRPr="00A77904">
        <w:rPr>
          <w:i/>
          <w:iCs/>
          <w:sz w:val="20"/>
          <w:szCs w:val="20"/>
          <w:lang w:val="en-US"/>
        </w:rPr>
        <w:t>S</w:t>
      </w:r>
      <w:r w:rsidR="00E3378A" w:rsidRPr="00A77904">
        <w:rPr>
          <w:i/>
          <w:iCs/>
          <w:sz w:val="20"/>
          <w:szCs w:val="20"/>
          <w:lang w:val="en-US"/>
        </w:rPr>
        <w:t>.</w:t>
      </w:r>
      <w:r w:rsidR="0063303E" w:rsidRPr="00A77904">
        <w:rPr>
          <w:i/>
          <w:iCs/>
          <w:sz w:val="20"/>
          <w:szCs w:val="20"/>
          <w:lang w:val="en-US"/>
        </w:rPr>
        <w:t xml:space="preserve"> oleosa</w:t>
      </w:r>
      <w:r w:rsidR="0063303E" w:rsidRPr="00A77904">
        <w:rPr>
          <w:sz w:val="20"/>
          <w:szCs w:val="20"/>
          <w:lang w:val="en-US"/>
        </w:rPr>
        <w:t xml:space="preserve"> has been associated with several other pharmacological properties. </w:t>
      </w:r>
      <w:r w:rsidR="00502DD2" w:rsidRPr="00A77904">
        <w:rPr>
          <w:sz w:val="20"/>
          <w:szCs w:val="20"/>
          <w:lang w:val="en-US"/>
        </w:rPr>
        <w:t>T</w:t>
      </w:r>
      <w:r w:rsidR="0063303E" w:rsidRPr="00A77904">
        <w:rPr>
          <w:sz w:val="20"/>
          <w:szCs w:val="20"/>
          <w:lang w:val="en-US"/>
        </w:rPr>
        <w:t xml:space="preserve">he methanol fraction </w:t>
      </w:r>
      <w:r w:rsidR="00E3378A" w:rsidRPr="00A77904">
        <w:rPr>
          <w:sz w:val="20"/>
          <w:szCs w:val="20"/>
          <w:lang w:val="en-US"/>
        </w:rPr>
        <w:t>demonstrated</w:t>
      </w:r>
      <w:r w:rsidR="0063303E" w:rsidRPr="00A77904">
        <w:rPr>
          <w:sz w:val="20"/>
          <w:szCs w:val="20"/>
          <w:lang w:val="en-US"/>
        </w:rPr>
        <w:t xml:space="preserve"> strong antimalarial potential against </w:t>
      </w:r>
      <w:r w:rsidR="0063303E" w:rsidRPr="00A77904">
        <w:rPr>
          <w:i/>
          <w:iCs/>
          <w:sz w:val="20"/>
          <w:szCs w:val="20"/>
          <w:lang w:val="en-US"/>
        </w:rPr>
        <w:t>Plasmodium falciparum</w:t>
      </w:r>
      <w:r w:rsidR="0063303E" w:rsidRPr="00A77904">
        <w:rPr>
          <w:sz w:val="20"/>
          <w:szCs w:val="20"/>
          <w:lang w:val="en-US"/>
        </w:rPr>
        <w:t xml:space="preserve"> (IC₅₀ = 0.780 µg/mL)</w:t>
      </w:r>
      <w:r w:rsidR="00502DD2" w:rsidRPr="00A77904">
        <w:rPr>
          <w:sz w:val="20"/>
          <w:szCs w:val="20"/>
          <w:lang w:val="en-US"/>
        </w:rPr>
        <w:t xml:space="preserve"> [</w:t>
      </w:r>
      <w:r w:rsidR="00B60457" w:rsidRPr="00A77904">
        <w:rPr>
          <w:sz w:val="20"/>
          <w:szCs w:val="20"/>
          <w:lang w:val="en-US"/>
        </w:rPr>
        <w:fldChar w:fldCharType="begin" w:fldLock="1"/>
      </w:r>
      <w:r w:rsidR="00A9365F" w:rsidRPr="00A77904">
        <w:rPr>
          <w:sz w:val="20"/>
          <w:szCs w:val="20"/>
          <w:lang w:val="en-US"/>
        </w:rPr>
        <w:instrText>ADDIN CSL_CITATION {"citationItems":[{"id":"ITEM-1","itemData":{"DOI":"10.3389/fmolb.2025.1543939","author":[{"dropping-particle":"","family":"Vanaja","given":"Peetha","non-dropping-particle":"","parse-names":false,"suffix":""},{"dropping-particle":"","family":"Moorthy","given":"N S Hari Narayana","non-dropping-particle":"","parse-names":false,"suffix":""},{"dropping-particle":"","family":"Rajpoot","given":"Vivek Singh","non-dropping-particle":"","parse-names":false,"suffix":""},{"dropping-particle":"","family":"Rao","given":"Harshawardhan","non-dropping-particle":"","parse-names":false,"suffix":""},{"dropping-particle":"","family":"Goswami","given":"Rohit Kumar","non-dropping-particle":"","parse-names":false,"suffix":""},{"dropping-particle":"","family":"Subash","given":"Paranthaman","non-dropping-particle":"","parse-names":false,"suffix":""},{"dropping-particle":"","family":"Khute","given":"Sulekha","non-dropping-particle":"","parse-names":false,"suffix":""},{"dropping-particle":"","family":"Rao","given":"Kareti Srinivasa","non-dropping-particle":"","parse-names":false,"suffix":""}],"id":"ITEM-1","issue":"February","issued":{"date-parts":[["2025"]]},"page":"1-23","title":"Metabolite profiling , antimalarial potentials of Schleichera oleosa using LC-MS and GC-MS : in vitro , molecular docking and molecular dynamics","type":"article-journal"},"uris":["http://www.mendeley.com/documents/?uuid=782b80a5-6905-44db-a72d-3a3e80287b46"]}],"mendeley":{"formattedCitation":"(10)","plainTextFormattedCitation":"(10)","previouslyFormattedCitation":"(10)"},"properties":{"noteIndex":0},"schema":"https://github.com/citation-style-language/schema/raw/master/csl-citation.json"}</w:instrText>
      </w:r>
      <w:r w:rsidR="00B60457" w:rsidRPr="00A77904">
        <w:rPr>
          <w:sz w:val="20"/>
          <w:szCs w:val="20"/>
          <w:lang w:val="en-US"/>
        </w:rPr>
        <w:fldChar w:fldCharType="separate"/>
      </w:r>
      <w:r w:rsidR="00567FF9" w:rsidRPr="00A77904">
        <w:rPr>
          <w:noProof/>
          <w:sz w:val="20"/>
          <w:szCs w:val="20"/>
          <w:lang w:val="en-US"/>
        </w:rPr>
        <w:t>(10)</w:t>
      </w:r>
      <w:r w:rsidR="00B60457" w:rsidRPr="00A77904">
        <w:rPr>
          <w:sz w:val="20"/>
          <w:szCs w:val="20"/>
          <w:lang w:val="en-US"/>
        </w:rPr>
        <w:fldChar w:fldCharType="end"/>
      </w:r>
      <w:r w:rsidR="00502DD2" w:rsidRPr="00A77904">
        <w:rPr>
          <w:sz w:val="20"/>
          <w:szCs w:val="20"/>
          <w:lang w:val="en-US"/>
        </w:rPr>
        <w:t>]</w:t>
      </w:r>
      <w:r w:rsidR="0063303E" w:rsidRPr="00A77904">
        <w:rPr>
          <w:sz w:val="20"/>
          <w:szCs w:val="20"/>
          <w:lang w:val="en-US"/>
        </w:rPr>
        <w:t>. Fruit extracts also exhibited high antioxidant effects across multiple assays, while seed extracts demonstrated anticancer activity against breast cancer (MCF</w:t>
      </w:r>
      <w:r w:rsidR="00B60457" w:rsidRPr="00A77904">
        <w:rPr>
          <w:sz w:val="20"/>
          <w:szCs w:val="20"/>
          <w:lang w:val="en-US"/>
        </w:rPr>
        <w:t>-</w:t>
      </w:r>
      <w:r w:rsidR="0063303E" w:rsidRPr="00A77904">
        <w:rPr>
          <w:sz w:val="20"/>
          <w:szCs w:val="20"/>
          <w:lang w:val="en-US"/>
        </w:rPr>
        <w:t>7) cells by inhibiting proliferation, migration, and colony formation, as well as modulating apoptosis</w:t>
      </w:r>
      <w:r w:rsidR="00502DD2" w:rsidRPr="00A77904">
        <w:rPr>
          <w:sz w:val="20"/>
          <w:szCs w:val="20"/>
          <w:lang w:val="en-US"/>
        </w:rPr>
        <w:t xml:space="preserve"> </w:t>
      </w:r>
      <w:r w:rsidR="0063303E" w:rsidRPr="00A77904">
        <w:rPr>
          <w:sz w:val="20"/>
          <w:szCs w:val="20"/>
          <w:lang w:val="en-US"/>
        </w:rPr>
        <w:t>and cell cycle</w:t>
      </w:r>
      <w:r w:rsidR="00E3378A" w:rsidRPr="00A77904">
        <w:rPr>
          <w:sz w:val="20"/>
          <w:szCs w:val="20"/>
          <w:lang w:val="en-US"/>
        </w:rPr>
        <w:t>-related</w:t>
      </w:r>
      <w:r w:rsidR="0063303E" w:rsidRPr="00A77904">
        <w:rPr>
          <w:sz w:val="20"/>
          <w:szCs w:val="20"/>
          <w:lang w:val="en-US"/>
        </w:rPr>
        <w:t xml:space="preserve"> pathways</w:t>
      </w:r>
      <w:r w:rsidR="00502DD2" w:rsidRPr="00A77904">
        <w:rPr>
          <w:sz w:val="20"/>
          <w:szCs w:val="20"/>
          <w:lang w:val="en-US"/>
        </w:rPr>
        <w:t xml:space="preserve"> [</w:t>
      </w:r>
      <w:r w:rsidR="00502DD2" w:rsidRPr="00A77904">
        <w:rPr>
          <w:sz w:val="20"/>
          <w:szCs w:val="20"/>
          <w:lang w:val="en-US"/>
        </w:rPr>
        <w:fldChar w:fldCharType="begin" w:fldLock="1"/>
      </w:r>
      <w:r w:rsidR="00FC24DC" w:rsidRPr="00A77904">
        <w:rPr>
          <w:sz w:val="20"/>
          <w:szCs w:val="20"/>
          <w:lang w:val="en-US"/>
        </w:rPr>
        <w:instrText>ADDIN CSL_CITATION {"citationItems":[{"id":"ITEM-1","itemData":{"DOI":"10.31557/APJCP.2022.23.1.151","author":[{"dropping-particle":"","family":"Sahu","given":"Ram Krishna","non-dropping-particle":"","parse-names":false,"suffix":""},{"dropping-particle":"","family":"Kumar","given":"Binayak","non-dropping-particle":"","parse-names":false,"suffix":""},{"dropping-particle":"","family":"Singh","given":"Ragini","non-dropping-particle":"","parse-names":false,"suffix":""},{"dropping-particle":"","family":"Kumari","given":"Soni","non-dropping-particle":"","parse-names":false,"suffix":""},{"dropping-particle":"","family":"Das","given":"Bhudev Chandra","non-dropping-particle":"","parse-names":false,"suffix":""},{"dropping-particle":"","family":"Hedau","given":"Suresh T","non-dropping-particle":"","parse-names":false,"suffix":""}],"id":"ITEM-1","issued":{"date-parts":[["2022"]]},"page":"151-160","title":"Schleichera oleosa Seed Extract Reduced the Proliferation of Breast Cancer by Regulating the BRCA1 and p16 Genes","type":"article-journal","volume":"23"},"uris":["http://www.mendeley.com/documents/?uuid=3a0a8762-1932-44fa-90f4-0ee85083d7e6"]}],"mendeley":{"formattedCitation":"(11)","manualFormatting":"11","plainTextFormattedCitation":"(11)","previouslyFormattedCitation":"(11)"},"properties":{"noteIndex":0},"schema":"https://github.com/citation-style-language/schema/raw/master/csl-citation.json"}</w:instrText>
      </w:r>
      <w:r w:rsidR="00502DD2" w:rsidRPr="00A77904">
        <w:rPr>
          <w:sz w:val="20"/>
          <w:szCs w:val="20"/>
          <w:lang w:val="en-US"/>
        </w:rPr>
        <w:fldChar w:fldCharType="separate"/>
      </w:r>
      <w:r w:rsidR="00567FF9" w:rsidRPr="00A77904">
        <w:rPr>
          <w:noProof/>
          <w:sz w:val="20"/>
          <w:szCs w:val="20"/>
          <w:lang w:val="en-US"/>
        </w:rPr>
        <w:t>11</w:t>
      </w:r>
      <w:r w:rsidR="00502DD2" w:rsidRPr="00A77904">
        <w:rPr>
          <w:sz w:val="20"/>
          <w:szCs w:val="20"/>
          <w:lang w:val="en-US"/>
        </w:rPr>
        <w:fldChar w:fldCharType="end"/>
      </w:r>
      <w:r w:rsidR="00502DD2" w:rsidRPr="00A77904">
        <w:rPr>
          <w:sz w:val="20"/>
          <w:szCs w:val="20"/>
          <w:lang w:val="en-US"/>
        </w:rPr>
        <w:t>]</w:t>
      </w:r>
      <w:r w:rsidR="0063303E" w:rsidRPr="00A77904">
        <w:rPr>
          <w:sz w:val="20"/>
          <w:szCs w:val="20"/>
          <w:lang w:val="en-US"/>
        </w:rPr>
        <w:t xml:space="preserve">. </w:t>
      </w:r>
      <w:r w:rsidR="00B60457" w:rsidRPr="00A77904">
        <w:rPr>
          <w:sz w:val="20"/>
          <w:szCs w:val="20"/>
          <w:lang w:val="en-US"/>
        </w:rPr>
        <w:t>A novel compound, 3,5-dihydroxy-4-methoxybenzoic acid, isolated from the leaves, demonstrated superior α-glucosidase inhibition compared to acarbose, indicating antidiabetic potential [</w:t>
      </w:r>
      <w:r w:rsidR="00B60457" w:rsidRPr="00A77904">
        <w:rPr>
          <w:sz w:val="20"/>
          <w:szCs w:val="20"/>
          <w:lang w:val="en-US"/>
        </w:rPr>
        <w:fldChar w:fldCharType="begin" w:fldLock="1"/>
      </w:r>
      <w:r w:rsidR="00FC24DC" w:rsidRPr="00A77904">
        <w:rPr>
          <w:sz w:val="20"/>
          <w:szCs w:val="20"/>
          <w:lang w:val="en-US"/>
        </w:rPr>
        <w:instrText>ADDIN CSL_CITATION {"citationItems":[{"id":"ITEM-1","itemData":{"ISBN":"0000000159","author":[{"dropping-particle":"","family":"Sami","given":"Fitriyanti Jumaetri","non-dropping-particle":"","parse-names":false,"suffix":""},{"dropping-particle":"","family":"Kasmawati","given":"Henny","non-dropping-particle":"","parse-names":false,"suffix":""},{"dropping-particle":"","family":"Aligita","given":"Widhya","non-dropping-particle":"","parse-names":false,"suffix":""},{"dropping-particle":"","family":"Febrina","given":"Ellin","non-dropping-particle":"","parse-names":false,"suffix":""},{"dropping-particle":"","family":"Asnawi","given":"Aiyi","non-dropping-particle":"","parse-names":false,"suffix":""}],"id":"ITEM-1","issue":"1","issued":{"date-parts":[["2025"]]},"page":"140-151","title":"Isolation , characterization , and in vitro inhibitory activity of a new alpha-glucosidase inhibitor from Schleichera oleosa ( Lour .) Oken leaves","type":"article-journal","volume":"13"},"uris":["http://www.mendeley.com/documents/?uuid=098f02b2-fb6c-4e00-bb5f-c00d5a34f694"]}],"mendeley":{"formattedCitation":"(12)","manualFormatting":"12","plainTextFormattedCitation":"(12)","previouslyFormattedCitation":"(12)"},"properties":{"noteIndex":0},"schema":"https://github.com/citation-style-language/schema/raw/master/csl-citation.json"}</w:instrText>
      </w:r>
      <w:r w:rsidR="00B60457" w:rsidRPr="00A77904">
        <w:rPr>
          <w:sz w:val="20"/>
          <w:szCs w:val="20"/>
          <w:lang w:val="en-US"/>
        </w:rPr>
        <w:fldChar w:fldCharType="separate"/>
      </w:r>
      <w:r w:rsidR="00567FF9" w:rsidRPr="00A77904">
        <w:rPr>
          <w:noProof/>
          <w:sz w:val="20"/>
          <w:szCs w:val="20"/>
          <w:lang w:val="en-US"/>
        </w:rPr>
        <w:t>12</w:t>
      </w:r>
      <w:r w:rsidR="00B60457" w:rsidRPr="00A77904">
        <w:rPr>
          <w:sz w:val="20"/>
          <w:szCs w:val="20"/>
          <w:lang w:val="en-US"/>
        </w:rPr>
        <w:fldChar w:fldCharType="end"/>
      </w:r>
      <w:r w:rsidR="00B60457" w:rsidRPr="00A77904">
        <w:rPr>
          <w:sz w:val="20"/>
          <w:szCs w:val="20"/>
          <w:lang w:val="en-US"/>
        </w:rPr>
        <w:t>]</w:t>
      </w:r>
      <w:bookmarkEnd w:id="1"/>
      <w:r w:rsidR="00B60457" w:rsidRPr="00A77904">
        <w:rPr>
          <w:sz w:val="20"/>
          <w:szCs w:val="20"/>
          <w:lang w:val="en-US"/>
        </w:rPr>
        <w:t>.</w:t>
      </w:r>
    </w:p>
    <w:p w14:paraId="00000011" w14:textId="11314C79" w:rsidR="00125CE4" w:rsidRPr="00A77904" w:rsidRDefault="00E3378A" w:rsidP="00DE7ECA">
      <w:pPr>
        <w:ind w:firstLine="360"/>
        <w:jc w:val="both"/>
        <w:rPr>
          <w:sz w:val="20"/>
          <w:szCs w:val="20"/>
          <w:lang w:val="en-US"/>
        </w:rPr>
      </w:pPr>
      <w:proofErr w:type="spellStart"/>
      <w:r w:rsidRPr="00A77904">
        <w:rPr>
          <w:sz w:val="20"/>
          <w:szCs w:val="20"/>
          <w:lang w:val="en-US"/>
        </w:rPr>
        <w:t>Kesambi</w:t>
      </w:r>
      <w:proofErr w:type="spellEnd"/>
      <w:r w:rsidRPr="00A77904">
        <w:rPr>
          <w:sz w:val="20"/>
          <w:szCs w:val="20"/>
          <w:lang w:val="en-US"/>
        </w:rPr>
        <w:t xml:space="preserve"> plants grow naturally in various regions of Alor District, both in the highlands and lowlands, with different environmental conditions. In the highlands, </w:t>
      </w:r>
      <w:proofErr w:type="spellStart"/>
      <w:r w:rsidRPr="00A77904">
        <w:rPr>
          <w:sz w:val="20"/>
          <w:szCs w:val="20"/>
          <w:lang w:val="en-US"/>
        </w:rPr>
        <w:t>Kesambi</w:t>
      </w:r>
      <w:proofErr w:type="spellEnd"/>
      <w:r w:rsidRPr="00A77904">
        <w:rPr>
          <w:sz w:val="20"/>
          <w:szCs w:val="20"/>
          <w:lang w:val="en-US"/>
        </w:rPr>
        <w:t xml:space="preserve"> grows in cooler temperatures, high rainfall, and soil conditions that tend to be rocky. Meanwhile, in the lowlands, this plant thrives in hotter temperatures, high humidity, and more fertile soil. These environmental differences can affect the physiological and morphological characteristics of </w:t>
      </w:r>
      <w:proofErr w:type="spellStart"/>
      <w:r w:rsidRPr="00A77904">
        <w:rPr>
          <w:sz w:val="20"/>
          <w:szCs w:val="20"/>
          <w:lang w:val="en-US"/>
        </w:rPr>
        <w:t>Kesambi</w:t>
      </w:r>
      <w:proofErr w:type="spellEnd"/>
      <w:r w:rsidRPr="00A77904">
        <w:rPr>
          <w:sz w:val="20"/>
          <w:szCs w:val="20"/>
          <w:lang w:val="en-US"/>
        </w:rPr>
        <w:t xml:space="preserve"> plants, such as leaf size, stem thickness, and growth patterns. Therefore, it is important to conduct antioxidant and antibacterial activity tests on </w:t>
      </w:r>
      <w:proofErr w:type="spellStart"/>
      <w:r w:rsidRPr="00A77904">
        <w:rPr>
          <w:sz w:val="20"/>
          <w:szCs w:val="20"/>
          <w:lang w:val="en-US"/>
        </w:rPr>
        <w:t>Kesambi</w:t>
      </w:r>
      <w:proofErr w:type="spellEnd"/>
      <w:r w:rsidRPr="00A77904">
        <w:rPr>
          <w:sz w:val="20"/>
          <w:szCs w:val="20"/>
          <w:lang w:val="en-US"/>
        </w:rPr>
        <w:t xml:space="preserve"> leaf extracts from the two regions. This test aims to determine whether differences in growing places also affect the biological potential of plants, so that the results can be used in the development of more effective natural materials according to their geographical origin.</w:t>
      </w:r>
    </w:p>
    <w:p w14:paraId="00000012" w14:textId="77777777" w:rsidR="00125CE4" w:rsidRPr="00A77904" w:rsidRDefault="00000000">
      <w:pPr>
        <w:pStyle w:val="Heading1"/>
        <w:ind w:left="0" w:right="82"/>
        <w:jc w:val="left"/>
        <w:rPr>
          <w:sz w:val="22"/>
          <w:szCs w:val="22"/>
          <w:lang w:val="en-US"/>
        </w:rPr>
      </w:pPr>
      <w:r w:rsidRPr="00A77904">
        <w:rPr>
          <w:b w:val="0"/>
          <w:sz w:val="22"/>
          <w:szCs w:val="22"/>
          <w:lang w:val="en-US"/>
        </w:rPr>
        <w:t xml:space="preserve">     </w:t>
      </w:r>
    </w:p>
    <w:p w14:paraId="6E1CF188" w14:textId="4C354D21" w:rsidR="004114FE" w:rsidRPr="00A77904" w:rsidRDefault="00000000" w:rsidP="00A77904">
      <w:pPr>
        <w:pStyle w:val="Heading1"/>
        <w:ind w:left="0" w:right="82"/>
        <w:rPr>
          <w:lang w:val="en-US"/>
        </w:rPr>
      </w:pPr>
      <w:r w:rsidRPr="00A77904">
        <w:rPr>
          <w:lang w:val="en-US"/>
        </w:rPr>
        <w:t>MATERIALS AND METHOD</w:t>
      </w:r>
      <w:r w:rsidR="00202A80" w:rsidRPr="00A77904">
        <w:rPr>
          <w:lang w:val="en-US"/>
        </w:rPr>
        <w:t>S</w:t>
      </w:r>
    </w:p>
    <w:p w14:paraId="00000016" w14:textId="676AD4E8" w:rsidR="00125CE4" w:rsidRPr="00A77904" w:rsidRDefault="00000000" w:rsidP="00435AF3">
      <w:pPr>
        <w:ind w:right="86"/>
        <w:jc w:val="center"/>
        <w:rPr>
          <w:b/>
          <w:sz w:val="24"/>
          <w:szCs w:val="24"/>
          <w:lang w:val="en-US"/>
        </w:rPr>
      </w:pPr>
      <w:r w:rsidRPr="00A77904">
        <w:rPr>
          <w:b/>
          <w:sz w:val="24"/>
          <w:szCs w:val="24"/>
          <w:lang w:val="en-US"/>
        </w:rPr>
        <w:t>Materials</w:t>
      </w:r>
    </w:p>
    <w:p w14:paraId="130F2FEE" w14:textId="77777777" w:rsidR="00435AF3" w:rsidRPr="00A77904" w:rsidRDefault="00435AF3" w:rsidP="00435AF3">
      <w:pPr>
        <w:ind w:right="86"/>
        <w:jc w:val="center"/>
        <w:rPr>
          <w:b/>
          <w:lang w:val="en-US"/>
        </w:rPr>
      </w:pPr>
    </w:p>
    <w:p w14:paraId="00000017" w14:textId="247161F6" w:rsidR="00125CE4" w:rsidRPr="00A77904" w:rsidRDefault="00CF60EF">
      <w:pPr>
        <w:ind w:firstLine="360"/>
        <w:jc w:val="both"/>
        <w:rPr>
          <w:sz w:val="20"/>
          <w:szCs w:val="20"/>
          <w:lang w:val="en-US"/>
        </w:rPr>
      </w:pPr>
      <w:r w:rsidRPr="00A77904">
        <w:rPr>
          <w:sz w:val="20"/>
          <w:szCs w:val="20"/>
          <w:lang w:val="en-US"/>
        </w:rPr>
        <w:t xml:space="preserve">The study utilized </w:t>
      </w:r>
      <w:proofErr w:type="spellStart"/>
      <w:r w:rsidR="00E3378A" w:rsidRPr="00A77904">
        <w:rPr>
          <w:sz w:val="20"/>
          <w:szCs w:val="20"/>
          <w:lang w:val="en-US"/>
        </w:rPr>
        <w:t>Kesambi</w:t>
      </w:r>
      <w:proofErr w:type="spellEnd"/>
      <w:r w:rsidRPr="00A77904">
        <w:rPr>
          <w:sz w:val="20"/>
          <w:szCs w:val="20"/>
          <w:lang w:val="en-US"/>
        </w:rPr>
        <w:t xml:space="preserve"> leaves sourced </w:t>
      </w:r>
      <w:proofErr w:type="spellStart"/>
      <w:r w:rsidRPr="00A77904">
        <w:rPr>
          <w:sz w:val="20"/>
          <w:szCs w:val="20"/>
          <w:lang w:val="en-US"/>
        </w:rPr>
        <w:t>Fanating</w:t>
      </w:r>
      <w:proofErr w:type="spellEnd"/>
      <w:r w:rsidRPr="00A77904">
        <w:rPr>
          <w:sz w:val="20"/>
          <w:szCs w:val="20"/>
          <w:lang w:val="en-US"/>
        </w:rPr>
        <w:t xml:space="preserve"> Village (lowland) and </w:t>
      </w:r>
      <w:proofErr w:type="spellStart"/>
      <w:r w:rsidRPr="00A77904">
        <w:rPr>
          <w:sz w:val="20"/>
          <w:szCs w:val="20"/>
          <w:lang w:val="en-US"/>
        </w:rPr>
        <w:t>Otvai</w:t>
      </w:r>
      <w:proofErr w:type="spellEnd"/>
      <w:r w:rsidRPr="00A77904">
        <w:rPr>
          <w:sz w:val="20"/>
          <w:szCs w:val="20"/>
          <w:lang w:val="en-US"/>
        </w:rPr>
        <w:t xml:space="preserve"> Village (highland), Alor District, Indonesia; 70% ethanol, </w:t>
      </w:r>
      <w:r w:rsidRPr="00A77904">
        <w:rPr>
          <w:i/>
          <w:sz w:val="20"/>
          <w:szCs w:val="20"/>
          <w:lang w:val="en-US"/>
        </w:rPr>
        <w:t>P.</w:t>
      </w:r>
      <w:r w:rsidR="00FE3E15" w:rsidRPr="00A77904">
        <w:rPr>
          <w:i/>
          <w:sz w:val="20"/>
          <w:szCs w:val="20"/>
          <w:lang w:val="en-US"/>
        </w:rPr>
        <w:t xml:space="preserve"> </w:t>
      </w:r>
      <w:r w:rsidRPr="00A77904">
        <w:rPr>
          <w:i/>
          <w:sz w:val="20"/>
          <w:szCs w:val="20"/>
          <w:lang w:val="en-US"/>
        </w:rPr>
        <w:t xml:space="preserve">aeruginosa </w:t>
      </w:r>
      <w:r w:rsidRPr="00A77904">
        <w:rPr>
          <w:sz w:val="20"/>
          <w:szCs w:val="20"/>
          <w:lang w:val="en-US"/>
        </w:rPr>
        <w:t xml:space="preserve">and </w:t>
      </w:r>
      <w:r w:rsidRPr="00A77904">
        <w:rPr>
          <w:i/>
          <w:sz w:val="20"/>
          <w:szCs w:val="20"/>
          <w:lang w:val="en-US"/>
        </w:rPr>
        <w:t>B</w:t>
      </w:r>
      <w:r w:rsidR="00FE3E15" w:rsidRPr="00A77904">
        <w:rPr>
          <w:i/>
          <w:sz w:val="20"/>
          <w:szCs w:val="20"/>
          <w:lang w:val="en-US"/>
        </w:rPr>
        <w:t>.</w:t>
      </w:r>
      <w:r w:rsidRPr="00A77904">
        <w:rPr>
          <w:i/>
          <w:sz w:val="20"/>
          <w:szCs w:val="20"/>
          <w:lang w:val="en-US"/>
        </w:rPr>
        <w:t xml:space="preserve"> subtilis bacteria </w:t>
      </w:r>
      <w:r w:rsidRPr="00A77904">
        <w:rPr>
          <w:sz w:val="20"/>
          <w:szCs w:val="20"/>
          <w:lang w:val="en-US"/>
        </w:rPr>
        <w:t xml:space="preserve">cultures were supplied by the Microorganism Chemistry Laboratory, Department of Chemistry, FSAD, ITS; DPPH </w:t>
      </w:r>
      <w:r w:rsidRPr="00A77904">
        <w:rPr>
          <w:i/>
          <w:sz w:val="20"/>
          <w:szCs w:val="20"/>
          <w:lang w:val="en-US"/>
        </w:rPr>
        <w:t>(Merck</w:t>
      </w:r>
      <w:r w:rsidRPr="00A77904">
        <w:rPr>
          <w:sz w:val="20"/>
          <w:szCs w:val="20"/>
          <w:lang w:val="en-US"/>
        </w:rPr>
        <w:t>);</w:t>
      </w:r>
      <w:r w:rsidRPr="00A77904">
        <w:rPr>
          <w:i/>
          <w:sz w:val="20"/>
          <w:szCs w:val="20"/>
          <w:lang w:val="en-US"/>
        </w:rPr>
        <w:t xml:space="preserve"> </w:t>
      </w:r>
      <w:r w:rsidRPr="00A77904">
        <w:rPr>
          <w:sz w:val="20"/>
          <w:szCs w:val="20"/>
          <w:lang w:val="en-US"/>
        </w:rPr>
        <w:t>DMSO (</w:t>
      </w:r>
      <w:r w:rsidRPr="00A77904">
        <w:rPr>
          <w:i/>
          <w:sz w:val="20"/>
          <w:szCs w:val="20"/>
          <w:lang w:val="en-US"/>
        </w:rPr>
        <w:t>Merck)</w:t>
      </w:r>
      <w:r w:rsidRPr="00A77904">
        <w:rPr>
          <w:sz w:val="20"/>
          <w:szCs w:val="20"/>
          <w:lang w:val="en-US"/>
        </w:rPr>
        <w:t>;</w:t>
      </w:r>
      <w:r w:rsidRPr="00A77904">
        <w:rPr>
          <w:i/>
          <w:sz w:val="20"/>
          <w:szCs w:val="20"/>
          <w:lang w:val="en-US"/>
        </w:rPr>
        <w:t xml:space="preserve"> </w:t>
      </w:r>
      <w:r w:rsidRPr="00A77904">
        <w:rPr>
          <w:sz w:val="20"/>
          <w:szCs w:val="20"/>
          <w:lang w:val="en-US"/>
        </w:rPr>
        <w:t>ascorbic acid (</w:t>
      </w:r>
      <w:r w:rsidRPr="00A77904">
        <w:rPr>
          <w:i/>
          <w:sz w:val="20"/>
          <w:szCs w:val="20"/>
          <w:lang w:val="en-US"/>
        </w:rPr>
        <w:t>Merck</w:t>
      </w:r>
      <w:r w:rsidRPr="00A77904">
        <w:rPr>
          <w:sz w:val="20"/>
          <w:szCs w:val="20"/>
          <w:lang w:val="en-US"/>
        </w:rPr>
        <w:t>; gallic acid (</w:t>
      </w:r>
      <w:r w:rsidRPr="00A77904">
        <w:rPr>
          <w:i/>
          <w:sz w:val="20"/>
          <w:szCs w:val="20"/>
          <w:lang w:val="en-US"/>
        </w:rPr>
        <w:t>Merck</w:t>
      </w:r>
      <w:r w:rsidRPr="00A77904">
        <w:rPr>
          <w:sz w:val="20"/>
          <w:szCs w:val="20"/>
          <w:lang w:val="en-US"/>
        </w:rPr>
        <w:t>); nutrient agar (</w:t>
      </w:r>
      <w:r w:rsidRPr="00A77904">
        <w:rPr>
          <w:i/>
          <w:sz w:val="20"/>
          <w:szCs w:val="20"/>
          <w:lang w:val="en-US"/>
        </w:rPr>
        <w:t>Sigma Aldrich</w:t>
      </w:r>
      <w:r w:rsidRPr="00A77904">
        <w:rPr>
          <w:sz w:val="20"/>
          <w:szCs w:val="20"/>
          <w:lang w:val="en-US"/>
        </w:rPr>
        <w:t>); nutrient broth (</w:t>
      </w:r>
      <w:proofErr w:type="spellStart"/>
      <w:r w:rsidRPr="00A77904">
        <w:rPr>
          <w:i/>
          <w:sz w:val="20"/>
          <w:szCs w:val="20"/>
          <w:lang w:val="en-US"/>
        </w:rPr>
        <w:t>Himedia</w:t>
      </w:r>
      <w:proofErr w:type="spellEnd"/>
      <w:r w:rsidRPr="00A77904">
        <w:rPr>
          <w:sz w:val="20"/>
          <w:szCs w:val="20"/>
          <w:lang w:val="en-US"/>
        </w:rPr>
        <w:t>); and methanol.</w:t>
      </w:r>
    </w:p>
    <w:p w14:paraId="792D7C84" w14:textId="77777777" w:rsidR="00BB4A83" w:rsidRPr="00A77904" w:rsidRDefault="00BB4A83">
      <w:pPr>
        <w:ind w:firstLine="360"/>
        <w:jc w:val="both"/>
        <w:rPr>
          <w:lang w:val="en-US"/>
        </w:rPr>
      </w:pPr>
    </w:p>
    <w:p w14:paraId="0000001A" w14:textId="67C34D86" w:rsidR="00125CE4" w:rsidRPr="00A77904" w:rsidRDefault="00000000" w:rsidP="00A77904">
      <w:pPr>
        <w:pBdr>
          <w:top w:val="nil"/>
          <w:left w:val="nil"/>
          <w:bottom w:val="nil"/>
          <w:right w:val="nil"/>
          <w:between w:val="nil"/>
        </w:pBdr>
        <w:ind w:right="86"/>
        <w:jc w:val="center"/>
        <w:rPr>
          <w:b/>
          <w:color w:val="000000"/>
          <w:lang w:val="en-US"/>
        </w:rPr>
      </w:pPr>
      <w:r w:rsidRPr="00A77904">
        <w:rPr>
          <w:b/>
          <w:color w:val="000000"/>
          <w:sz w:val="24"/>
          <w:szCs w:val="24"/>
          <w:lang w:val="en-US"/>
        </w:rPr>
        <w:t>Sample Preparation and Extraction</w:t>
      </w:r>
    </w:p>
    <w:p w14:paraId="41742D79" w14:textId="77777777" w:rsidR="00435AF3" w:rsidRPr="00A77904" w:rsidRDefault="00435AF3" w:rsidP="00435AF3">
      <w:pPr>
        <w:pBdr>
          <w:top w:val="nil"/>
          <w:left w:val="nil"/>
          <w:bottom w:val="nil"/>
          <w:right w:val="nil"/>
          <w:between w:val="nil"/>
        </w:pBdr>
        <w:ind w:right="86"/>
        <w:jc w:val="center"/>
        <w:rPr>
          <w:b/>
          <w:color w:val="000000"/>
          <w:lang w:val="en-US"/>
        </w:rPr>
      </w:pPr>
    </w:p>
    <w:p w14:paraId="0000001B" w14:textId="359DBBDD" w:rsidR="00125CE4" w:rsidRPr="00A77904" w:rsidRDefault="00E3378A" w:rsidP="00435AF3">
      <w:pPr>
        <w:ind w:firstLine="360"/>
        <w:jc w:val="both"/>
        <w:rPr>
          <w:sz w:val="20"/>
          <w:szCs w:val="20"/>
          <w:lang w:val="en-US"/>
        </w:rPr>
      </w:pPr>
      <w:proofErr w:type="spellStart"/>
      <w:r w:rsidRPr="00A77904">
        <w:rPr>
          <w:sz w:val="20"/>
          <w:szCs w:val="20"/>
          <w:lang w:val="en-US"/>
        </w:rPr>
        <w:t>Kesambi</w:t>
      </w:r>
      <w:proofErr w:type="spellEnd"/>
      <w:r w:rsidRPr="00A77904">
        <w:rPr>
          <w:sz w:val="20"/>
          <w:szCs w:val="20"/>
          <w:lang w:val="en-US"/>
        </w:rPr>
        <w:t xml:space="preserve"> leaves from the highlands and lowlands were washed clean, chopped, air-dried, and ground. </w:t>
      </w:r>
      <w:proofErr w:type="spellStart"/>
      <w:r w:rsidRPr="00A77904">
        <w:rPr>
          <w:sz w:val="20"/>
          <w:szCs w:val="20"/>
          <w:lang w:val="en-US"/>
        </w:rPr>
        <w:t>Kesambi</w:t>
      </w:r>
      <w:proofErr w:type="spellEnd"/>
      <w:r w:rsidRPr="00A77904">
        <w:rPr>
          <w:sz w:val="20"/>
          <w:szCs w:val="20"/>
          <w:lang w:val="en-US"/>
        </w:rPr>
        <w:t xml:space="preserve"> leaf powder was weighed as much as 50 g and macerated using 70% ethanol solvent as much as 1 L for 2x24 hours, and the filtrate was taken. The filtrate was evaporated with a rotary evaporator. The end of this process obtained pure extract, which will be used for antioxidant activity testing and antibacterial activity testing.</w:t>
      </w:r>
    </w:p>
    <w:p w14:paraId="0E1C54AB" w14:textId="77777777" w:rsidR="00BB4A83" w:rsidRPr="00A77904" w:rsidRDefault="00BB4A83">
      <w:pPr>
        <w:ind w:firstLine="360"/>
        <w:jc w:val="both"/>
        <w:rPr>
          <w:lang w:val="en-US"/>
        </w:rPr>
      </w:pPr>
    </w:p>
    <w:p w14:paraId="0000001D" w14:textId="33DCCF18" w:rsidR="00125CE4" w:rsidRPr="00A77904" w:rsidRDefault="00435AF3" w:rsidP="00435AF3">
      <w:pPr>
        <w:pBdr>
          <w:top w:val="nil"/>
          <w:left w:val="nil"/>
          <w:bottom w:val="nil"/>
          <w:right w:val="nil"/>
          <w:between w:val="nil"/>
        </w:pBdr>
        <w:tabs>
          <w:tab w:val="center" w:pos="4472"/>
          <w:tab w:val="left" w:pos="6260"/>
        </w:tabs>
        <w:ind w:right="86"/>
        <w:rPr>
          <w:b/>
          <w:color w:val="000000"/>
          <w:lang w:val="en-US"/>
        </w:rPr>
      </w:pPr>
      <w:r w:rsidRPr="00A77904">
        <w:rPr>
          <w:b/>
          <w:color w:val="000000"/>
          <w:lang w:val="en-US"/>
        </w:rPr>
        <w:tab/>
      </w:r>
      <w:r w:rsidRPr="00A77904">
        <w:rPr>
          <w:b/>
          <w:color w:val="000000"/>
          <w:sz w:val="24"/>
          <w:szCs w:val="24"/>
          <w:lang w:val="en-US"/>
        </w:rPr>
        <w:t>Antibacterial Activity Test</w:t>
      </w:r>
    </w:p>
    <w:p w14:paraId="52DB073C" w14:textId="77777777" w:rsidR="00435AF3" w:rsidRPr="00A77904" w:rsidRDefault="00435AF3" w:rsidP="00435AF3">
      <w:pPr>
        <w:pBdr>
          <w:top w:val="nil"/>
          <w:left w:val="nil"/>
          <w:bottom w:val="nil"/>
          <w:right w:val="nil"/>
          <w:between w:val="nil"/>
        </w:pBdr>
        <w:tabs>
          <w:tab w:val="center" w:pos="4472"/>
          <w:tab w:val="left" w:pos="6260"/>
        </w:tabs>
        <w:ind w:right="86"/>
        <w:rPr>
          <w:b/>
          <w:color w:val="000000"/>
          <w:lang w:val="en-US"/>
        </w:rPr>
      </w:pPr>
    </w:p>
    <w:p w14:paraId="52EDCE0C" w14:textId="16E85AE0" w:rsidR="00CF60EF" w:rsidRPr="00A77904" w:rsidRDefault="00CF60EF">
      <w:pPr>
        <w:ind w:firstLine="360"/>
        <w:jc w:val="both"/>
        <w:rPr>
          <w:sz w:val="20"/>
          <w:szCs w:val="20"/>
          <w:lang w:val="en-US"/>
        </w:rPr>
      </w:pPr>
      <w:r w:rsidRPr="00A77904">
        <w:rPr>
          <w:i/>
          <w:iCs/>
          <w:sz w:val="20"/>
          <w:szCs w:val="20"/>
          <w:lang w:val="en-US"/>
        </w:rPr>
        <w:t>B. subtilis</w:t>
      </w:r>
      <w:r w:rsidRPr="00A77904">
        <w:rPr>
          <w:sz w:val="20"/>
          <w:szCs w:val="20"/>
          <w:lang w:val="en-US"/>
        </w:rPr>
        <w:t xml:space="preserve"> and </w:t>
      </w:r>
      <w:r w:rsidRPr="00A77904">
        <w:rPr>
          <w:i/>
          <w:iCs/>
          <w:sz w:val="20"/>
          <w:szCs w:val="20"/>
          <w:lang w:val="en-US"/>
        </w:rPr>
        <w:t>P. aeruginosa</w:t>
      </w:r>
      <w:r w:rsidRPr="00A77904">
        <w:rPr>
          <w:sz w:val="20"/>
          <w:szCs w:val="20"/>
          <w:lang w:val="en-US"/>
        </w:rPr>
        <w:t xml:space="preserve"> were initially inoculated into 20 mL of sterile nutrient broth (NB) and pre-incubated at 37</w:t>
      </w:r>
      <w:r w:rsidR="00814E1F" w:rsidRPr="00A77904">
        <w:rPr>
          <w:sz w:val="20"/>
          <w:szCs w:val="20"/>
          <w:lang w:val="en-US"/>
        </w:rPr>
        <w:t>º</w:t>
      </w:r>
      <w:r w:rsidRPr="00A77904">
        <w:rPr>
          <w:sz w:val="20"/>
          <w:szCs w:val="20"/>
          <w:lang w:val="en-US"/>
        </w:rPr>
        <w:t>C for 24 hours with agitation at 120 rpm. The optical density (OD) of the resulting cultures was determined at 600 nm (OD</w:t>
      </w:r>
      <w:r w:rsidRPr="00A77904">
        <w:rPr>
          <w:sz w:val="20"/>
          <w:szCs w:val="20"/>
          <w:vertAlign w:val="subscript"/>
          <w:lang w:val="en-US"/>
        </w:rPr>
        <w:t>600</w:t>
      </w:r>
      <w:r w:rsidRPr="00A77904">
        <w:rPr>
          <w:sz w:val="20"/>
          <w:szCs w:val="20"/>
          <w:lang w:val="en-US"/>
        </w:rPr>
        <w:t>) using a UV-Vis spectrophotometer, and the suspensions were subsequently diluted to achieve an absorbance of 1. Thereafter, 20 mL of the standardized culture was transferred into 180 mL of sterile NB and incubated until reaching an OD of 0.5.</w:t>
      </w:r>
    </w:p>
    <w:p w14:paraId="525BFD7C" w14:textId="5FD198E8" w:rsidR="00BB4A83" w:rsidRPr="00A77904" w:rsidRDefault="00814E1F" w:rsidP="004114FE">
      <w:pPr>
        <w:spacing w:after="120"/>
        <w:ind w:firstLine="360"/>
        <w:jc w:val="both"/>
        <w:rPr>
          <w:sz w:val="20"/>
          <w:szCs w:val="20"/>
          <w:lang w:val="en-US"/>
        </w:rPr>
      </w:pPr>
      <w:r w:rsidRPr="00A77904">
        <w:rPr>
          <w:sz w:val="20"/>
          <w:szCs w:val="20"/>
          <w:lang w:val="en-US"/>
        </w:rPr>
        <w:t xml:space="preserve">Ethanol extracts of </w:t>
      </w:r>
      <w:proofErr w:type="spellStart"/>
      <w:r w:rsidR="00E3378A" w:rsidRPr="00A77904">
        <w:rPr>
          <w:sz w:val="20"/>
          <w:szCs w:val="20"/>
          <w:lang w:val="en-US"/>
        </w:rPr>
        <w:t>Kesambi</w:t>
      </w:r>
      <w:proofErr w:type="spellEnd"/>
      <w:r w:rsidRPr="00A77904">
        <w:rPr>
          <w:sz w:val="20"/>
          <w:szCs w:val="20"/>
          <w:lang w:val="en-US"/>
        </w:rPr>
        <w:t xml:space="preserve"> leaves from both highland and lowland origins were each weighed at 1 mg and dissolved in 1 mL of DMSO to achieve a final concentration of 1000 ppm. The antibacterial activity was evaluated using the well diffusion method. A mixture of 5 mL Nutrient Agar (NA) medium and 1 mL of bacterial suspension was poured into sterile Petri dishes to ensure even distribution. After solidification, wells were created in the NA medium, and each was loaded with 5 µL of the test solution (1000 ppm extract), negative control (DMSO), and positive control (chloramphenicol). The plates were then incubated at 37ºC for 41 hours. Following incubation, </w:t>
      </w:r>
      <w:r w:rsidRPr="00A77904">
        <w:rPr>
          <w:sz w:val="20"/>
          <w:szCs w:val="20"/>
          <w:lang w:val="en-US"/>
        </w:rPr>
        <w:lastRenderedPageBreak/>
        <w:t>the inhibition zones were examined, and the antibacterial activity was determined by measuring the clear area surrounding the wells. The diameter of the inhibition zone was subsequently calculated using Equation 1</w:t>
      </w:r>
      <w:r w:rsidR="00FC24DC" w:rsidRPr="00A77904">
        <w:rPr>
          <w:sz w:val="20"/>
          <w:szCs w:val="20"/>
          <w:lang w:val="en-US"/>
        </w:rPr>
        <w:t xml:space="preserve"> </w:t>
      </w:r>
      <w:r w:rsidR="00FC24DC" w:rsidRPr="00A77904">
        <w:rPr>
          <w:sz w:val="20"/>
          <w:szCs w:val="20"/>
          <w:lang w:val="en-US"/>
        </w:rPr>
        <w:fldChar w:fldCharType="begin" w:fldLock="1"/>
      </w:r>
      <w:r w:rsidR="00261FC7" w:rsidRPr="00A77904">
        <w:rPr>
          <w:sz w:val="20"/>
          <w:szCs w:val="20"/>
          <w:lang w:val="en-US"/>
        </w:rPr>
        <w:instrText>ADDIN CSL_CITATION {"citationItems":[{"id":"ITEM-1","itemData":{"abstract":"This study was aimed to evaluate the antibacterial effect of Chromodoris dianae on E.coli and S. aureus. This was an experimental study. Samples of Chromodoris dianae was taken from Bunaken waters by diving. Extract of Chromodoris dianae was obtained by using maceration technique with 96% etanol. Antibacterial activity of this extract was tested by using the Kirby-Bauer method. The results showed that the mean diameter of the inhibition zone of E. coli was 22.3±1.5 mm and of S. aureus was 23.0±1.0 mm; both were were less than of ciprofloxacin as the positive control repeated for three times. Conclusionn: Chromodoris dianae has antibacterial effects on the growth of Escherichia coli and Staphylococcus aureus.","author":[{"dropping-particle":"","family":"Kipimbob","given":"Eflentina","non-dropping-particle":"","parse-names":false,"suffix":""},{"dropping-particle":"","family":"Bara","given":"Robert","non-dropping-particle":"","parse-names":false,"suffix":""},{"dropping-particle":"","family":"Wowor","given":"Pemsi M","non-dropping-particle":"","parse-names":false,"suffix":""},{"dropping-particle":"","family":"Posangi","given":"Jimmy","non-dropping-particle":"","parse-names":false,"suffix":""}],"id":"ITEM-1","issued":{"date-parts":[["0"]]},"title":"Uji Efek Antibakteri Chromodoris dianae terhadap Bakteri Escherichia coli dan Staphylococcus aureus","type":"report"},"uris":["http://www.mendeley.com/documents/?uuid=16cfa2f9-ee13-32ba-90fb-3ae7d28657b3"]}],"mendeley":{"formattedCitation":"(13)","manualFormatting":"[13]","plainTextFormattedCitation":"(13)","previouslyFormattedCitation":"(13)"},"properties":{"noteIndex":0},"schema":"https://github.com/citation-style-language/schema/raw/master/csl-citation.json"}</w:instrText>
      </w:r>
      <w:r w:rsidR="00FC24DC" w:rsidRPr="00A77904">
        <w:rPr>
          <w:sz w:val="20"/>
          <w:szCs w:val="20"/>
          <w:lang w:val="en-US"/>
        </w:rPr>
        <w:fldChar w:fldCharType="separate"/>
      </w:r>
      <w:r w:rsidR="00FC24DC" w:rsidRPr="00A77904">
        <w:rPr>
          <w:noProof/>
          <w:sz w:val="20"/>
          <w:szCs w:val="20"/>
          <w:lang w:val="en-US"/>
        </w:rPr>
        <w:t>[13]</w:t>
      </w:r>
      <w:r w:rsidR="00FC24DC" w:rsidRPr="00A77904">
        <w:rPr>
          <w:sz w:val="20"/>
          <w:szCs w:val="20"/>
          <w:lang w:val="en-US"/>
        </w:rPr>
        <w:fldChar w:fldCharType="end"/>
      </w:r>
      <w:r w:rsidRPr="00A77904">
        <w:rPr>
          <w:sz w:val="20"/>
          <w:szCs w:val="20"/>
          <w:lang w:val="en-US"/>
        </w:rPr>
        <w:t>:</w:t>
      </w:r>
    </w:p>
    <w:p w14:paraId="6DE1FF3A" w14:textId="77777777" w:rsidR="00E3378A" w:rsidRPr="00A77904" w:rsidRDefault="00E3378A" w:rsidP="004114FE">
      <w:pPr>
        <w:spacing w:after="120"/>
        <w:ind w:firstLine="360"/>
        <w:jc w:val="both"/>
        <w:rPr>
          <w:sz w:val="20"/>
          <w:szCs w:val="20"/>
          <w:lang w:val="en-US"/>
        </w:rPr>
      </w:pPr>
    </w:p>
    <w:p w14:paraId="00000020" w14:textId="2ED25CE9" w:rsidR="00125CE4" w:rsidRPr="00A77904" w:rsidRDefault="00740AD9">
      <w:pPr>
        <w:ind w:left="2340"/>
        <w:jc w:val="both"/>
        <w:rPr>
          <w:sz w:val="20"/>
          <w:szCs w:val="20"/>
          <w:lang w:val="en-US"/>
        </w:rPr>
      </w:pPr>
      <m:oMath>
        <m:r>
          <w:rPr>
            <w:rFonts w:ascii="Cambria Math" w:eastAsia="Cambria Math" w:hAnsi="Cambria Math"/>
            <w:sz w:val="20"/>
            <w:szCs w:val="20"/>
            <w:lang w:val="en-US"/>
          </w:rPr>
          <m:t>Inhibition zone diameter=</m:t>
        </m:r>
        <m:f>
          <m:fPr>
            <m:ctrlPr>
              <w:rPr>
                <w:rFonts w:ascii="Cambria Math" w:eastAsia="Cambria Math" w:hAnsi="Cambria Math"/>
                <w:sz w:val="20"/>
                <w:szCs w:val="20"/>
                <w:lang w:val="en-US"/>
              </w:rPr>
            </m:ctrlPr>
          </m:fPr>
          <m:num>
            <m:d>
              <m:dPr>
                <m:ctrlPr>
                  <w:rPr>
                    <w:rFonts w:ascii="Cambria Math" w:eastAsia="Cambria Math" w:hAnsi="Cambria Math"/>
                    <w:sz w:val="20"/>
                    <w:szCs w:val="20"/>
                    <w:lang w:val="en-US"/>
                  </w:rPr>
                </m:ctrlPr>
              </m:dPr>
              <m:e>
                <m:r>
                  <w:rPr>
                    <w:rFonts w:ascii="Cambria Math" w:eastAsia="Cambria Math" w:hAnsi="Cambria Math"/>
                    <w:sz w:val="20"/>
                    <w:szCs w:val="20"/>
                    <w:lang w:val="en-US"/>
                  </w:rPr>
                  <m:t>Dv-Ds</m:t>
                </m:r>
              </m:e>
            </m:d>
            <m:r>
              <w:rPr>
                <w:rFonts w:ascii="Cambria Math" w:eastAsia="Cambria Math" w:hAnsi="Cambria Math"/>
                <w:sz w:val="20"/>
                <w:szCs w:val="20"/>
                <w:lang w:val="en-US"/>
              </w:rPr>
              <m:t>+(Dh-Ds)</m:t>
            </m:r>
          </m:num>
          <m:den>
            <m:r>
              <w:rPr>
                <w:rFonts w:ascii="Cambria Math" w:eastAsia="Cambria Math" w:hAnsi="Cambria Math"/>
                <w:sz w:val="20"/>
                <w:szCs w:val="20"/>
                <w:lang w:val="en-US"/>
              </w:rPr>
              <m:t>2</m:t>
            </m:r>
          </m:den>
        </m:f>
      </m:oMath>
      <w:r w:rsidRPr="00A77904">
        <w:rPr>
          <w:sz w:val="20"/>
          <w:szCs w:val="20"/>
          <w:lang w:val="en-US"/>
        </w:rPr>
        <w:t xml:space="preserve">                             </w:t>
      </w:r>
      <w:r w:rsidR="00A77904">
        <w:rPr>
          <w:sz w:val="20"/>
          <w:szCs w:val="20"/>
          <w:lang w:val="en-US"/>
        </w:rPr>
        <w:tab/>
      </w:r>
      <w:r w:rsidR="00A77904">
        <w:rPr>
          <w:sz w:val="20"/>
          <w:szCs w:val="20"/>
          <w:lang w:val="en-US"/>
        </w:rPr>
        <w:tab/>
      </w:r>
      <w:r w:rsidRPr="00A77904">
        <w:rPr>
          <w:sz w:val="20"/>
          <w:szCs w:val="20"/>
          <w:lang w:val="en-US"/>
        </w:rPr>
        <w:t xml:space="preserve"> (</w:t>
      </w:r>
      <w:r w:rsidR="00A77904">
        <w:rPr>
          <w:sz w:val="20"/>
          <w:szCs w:val="20"/>
          <w:lang w:val="en-US"/>
        </w:rPr>
        <w:t>1</w:t>
      </w:r>
      <w:r w:rsidRPr="00A77904">
        <w:rPr>
          <w:sz w:val="20"/>
          <w:szCs w:val="20"/>
          <w:lang w:val="en-US"/>
        </w:rPr>
        <w:t>)</w:t>
      </w:r>
    </w:p>
    <w:p w14:paraId="00000021" w14:textId="77777777" w:rsidR="00125CE4" w:rsidRPr="00A77904" w:rsidRDefault="00000000">
      <w:pPr>
        <w:ind w:left="2790" w:firstLine="270"/>
        <w:jc w:val="both"/>
        <w:rPr>
          <w:sz w:val="20"/>
          <w:szCs w:val="20"/>
          <w:lang w:val="en-US"/>
        </w:rPr>
      </w:pPr>
      <w:proofErr w:type="spellStart"/>
      <w:r w:rsidRPr="00A77904">
        <w:rPr>
          <w:sz w:val="20"/>
          <w:szCs w:val="20"/>
          <w:lang w:val="en-US"/>
        </w:rPr>
        <w:t>Dv</w:t>
      </w:r>
      <w:proofErr w:type="spellEnd"/>
      <w:r w:rsidRPr="00A77904">
        <w:rPr>
          <w:sz w:val="20"/>
          <w:szCs w:val="20"/>
          <w:lang w:val="en-US"/>
        </w:rPr>
        <w:t xml:space="preserve"> = Vertical diameter</w:t>
      </w:r>
    </w:p>
    <w:p w14:paraId="00000022" w14:textId="77777777" w:rsidR="00125CE4" w:rsidRPr="00A77904" w:rsidRDefault="00000000">
      <w:pPr>
        <w:ind w:left="3060"/>
        <w:jc w:val="both"/>
        <w:rPr>
          <w:sz w:val="20"/>
          <w:szCs w:val="20"/>
          <w:lang w:val="en-US"/>
        </w:rPr>
      </w:pPr>
      <w:r w:rsidRPr="00A77904">
        <w:rPr>
          <w:sz w:val="20"/>
          <w:szCs w:val="20"/>
          <w:lang w:val="en-US"/>
        </w:rPr>
        <w:t>Dh = Horizontal diameter</w:t>
      </w:r>
    </w:p>
    <w:p w14:paraId="5685B1EA" w14:textId="4A81F0F6" w:rsidR="00CD0A0B" w:rsidRDefault="00000000" w:rsidP="00A77904">
      <w:pPr>
        <w:ind w:left="3060"/>
        <w:jc w:val="both"/>
        <w:rPr>
          <w:sz w:val="20"/>
          <w:szCs w:val="20"/>
          <w:lang w:val="en-US"/>
        </w:rPr>
      </w:pPr>
      <w:r w:rsidRPr="00A77904">
        <w:rPr>
          <w:sz w:val="20"/>
          <w:szCs w:val="20"/>
          <w:lang w:val="en-US"/>
        </w:rPr>
        <w:t>Ds = Well diameter</w:t>
      </w:r>
    </w:p>
    <w:p w14:paraId="59A3A386" w14:textId="77777777" w:rsidR="00A77904" w:rsidRPr="00A77904" w:rsidRDefault="00A77904" w:rsidP="00A77904">
      <w:pPr>
        <w:ind w:left="3060"/>
        <w:jc w:val="both"/>
        <w:rPr>
          <w:sz w:val="20"/>
          <w:szCs w:val="20"/>
          <w:lang w:val="en-US"/>
        </w:rPr>
      </w:pPr>
    </w:p>
    <w:p w14:paraId="00000026" w14:textId="13E2A36E" w:rsidR="00125CE4" w:rsidRPr="00A77904" w:rsidRDefault="00000000" w:rsidP="00CD0A0B">
      <w:pPr>
        <w:ind w:right="86"/>
        <w:jc w:val="center"/>
        <w:rPr>
          <w:b/>
          <w:lang w:val="en-US"/>
        </w:rPr>
      </w:pPr>
      <w:sdt>
        <w:sdtPr>
          <w:rPr>
            <w:lang w:val="en-US"/>
          </w:rPr>
          <w:tag w:val="goog_rdk_7"/>
          <w:id w:val="628212103"/>
        </w:sdtPr>
        <w:sdtContent>
          <w:sdt>
            <w:sdtPr>
              <w:rPr>
                <w:lang w:val="en-US"/>
              </w:rPr>
              <w:tag w:val="goog_rdk_6"/>
              <w:id w:val="1097930144"/>
              <w:showingPlcHdr/>
            </w:sdtPr>
            <w:sdtContent>
              <w:r w:rsidR="00BB4A83" w:rsidRPr="00A77904">
                <w:rPr>
                  <w:lang w:val="en-US"/>
                </w:rPr>
                <w:t xml:space="preserve">     </w:t>
              </w:r>
            </w:sdtContent>
          </w:sdt>
        </w:sdtContent>
      </w:sdt>
      <w:r w:rsidRPr="00A77904">
        <w:rPr>
          <w:b/>
          <w:sz w:val="24"/>
          <w:szCs w:val="24"/>
          <w:lang w:val="en-US"/>
        </w:rPr>
        <w:t>Antioxidant Activity Test</w:t>
      </w:r>
    </w:p>
    <w:p w14:paraId="1592A5E7" w14:textId="77777777" w:rsidR="00CD0A0B" w:rsidRPr="00A77904" w:rsidRDefault="00CD0A0B" w:rsidP="00CD0A0B">
      <w:pPr>
        <w:ind w:right="86"/>
        <w:jc w:val="center"/>
        <w:rPr>
          <w:b/>
          <w:lang w:val="en-US"/>
        </w:rPr>
      </w:pPr>
    </w:p>
    <w:p w14:paraId="00000027" w14:textId="603AF18C" w:rsidR="00125CE4" w:rsidRPr="00A77904" w:rsidRDefault="00202A80">
      <w:pPr>
        <w:ind w:firstLine="360"/>
        <w:jc w:val="both"/>
        <w:rPr>
          <w:sz w:val="20"/>
          <w:szCs w:val="20"/>
          <w:lang w:val="en-US"/>
        </w:rPr>
      </w:pPr>
      <w:r w:rsidRPr="00A77904">
        <w:rPr>
          <w:sz w:val="20"/>
          <w:szCs w:val="20"/>
          <w:lang w:val="en-US"/>
        </w:rPr>
        <w:t xml:space="preserve">The DPPH assay was employed to assess antioxidant activity. To prepare the DPPH solution, 2.4 mg of DPPH was dissolved in 100 mL of methanol. A 1000 ppm stock solution of </w:t>
      </w:r>
      <w:proofErr w:type="spellStart"/>
      <w:r w:rsidR="00E3378A" w:rsidRPr="00A77904">
        <w:rPr>
          <w:sz w:val="20"/>
          <w:szCs w:val="20"/>
          <w:lang w:val="en-US"/>
        </w:rPr>
        <w:t>Kesambi</w:t>
      </w:r>
      <w:proofErr w:type="spellEnd"/>
      <w:r w:rsidRPr="00A77904">
        <w:rPr>
          <w:sz w:val="20"/>
          <w:szCs w:val="20"/>
          <w:lang w:val="en-US"/>
        </w:rPr>
        <w:t xml:space="preserve"> leaf extract was prepared by dissolving 10 mg of extract in 10 mL of DMSO, followed by serial dilution to 100, 10, 1, and 0.1 ppm. For each concentration, 33 </w:t>
      </w:r>
      <w:proofErr w:type="spellStart"/>
      <w:r w:rsidRPr="00A77904">
        <w:rPr>
          <w:sz w:val="20"/>
          <w:szCs w:val="20"/>
          <w:lang w:val="en-US"/>
        </w:rPr>
        <w:t>μL</w:t>
      </w:r>
      <w:proofErr w:type="spellEnd"/>
      <w:r w:rsidRPr="00A77904">
        <w:rPr>
          <w:sz w:val="20"/>
          <w:szCs w:val="20"/>
          <w:lang w:val="en-US"/>
        </w:rPr>
        <w:t xml:space="preserve"> of the sample was mixed with 1 mL of DPPH solution and incubated at 37 ºC for 30 minutes. The reduction of DPPH by antioxidants was indicated by a color change from purple to pale yellow. Absorbance values were measured at 515 nm using a UV spectrophotometer. The blank consisted of 33 </w:t>
      </w:r>
      <w:proofErr w:type="spellStart"/>
      <w:r w:rsidRPr="00A77904">
        <w:rPr>
          <w:sz w:val="20"/>
          <w:szCs w:val="20"/>
          <w:lang w:val="en-US"/>
        </w:rPr>
        <w:t>μL</w:t>
      </w:r>
      <w:proofErr w:type="spellEnd"/>
      <w:r w:rsidRPr="00A77904">
        <w:rPr>
          <w:sz w:val="20"/>
          <w:szCs w:val="20"/>
          <w:lang w:val="en-US"/>
        </w:rPr>
        <w:t xml:space="preserve"> of DMSO with 1 mL of DPPH in methanol. Ascorbic acid and gallic acid were used as reference standards. The free radical scavenging activity was determined using Equation 2:</w:t>
      </w:r>
    </w:p>
    <w:p w14:paraId="52582329" w14:textId="77777777" w:rsidR="00BB4A83" w:rsidRPr="00A77904" w:rsidRDefault="00BB4A83">
      <w:pPr>
        <w:ind w:firstLine="360"/>
        <w:jc w:val="both"/>
        <w:rPr>
          <w:sz w:val="20"/>
          <w:szCs w:val="20"/>
          <w:lang w:val="en-US"/>
        </w:rPr>
      </w:pPr>
    </w:p>
    <w:p w14:paraId="00000029" w14:textId="48233C11" w:rsidR="00125CE4" w:rsidRPr="00A77904" w:rsidRDefault="00000000" w:rsidP="00A77904">
      <w:pPr>
        <w:ind w:firstLine="1620"/>
        <w:jc w:val="both"/>
        <w:rPr>
          <w:sz w:val="20"/>
          <w:szCs w:val="20"/>
          <w:lang w:val="en-US"/>
        </w:rPr>
      </w:pPr>
      <m:oMath>
        <m:r>
          <w:rPr>
            <w:rFonts w:ascii="Cambria Math" w:eastAsia="Cambria Math" w:hAnsi="Cambria Math"/>
            <w:sz w:val="20"/>
            <w:szCs w:val="20"/>
            <w:lang w:val="en-US"/>
          </w:rPr>
          <m:t>% Inhibition =</m:t>
        </m:r>
        <m:f>
          <m:fPr>
            <m:ctrlPr>
              <w:rPr>
                <w:rFonts w:ascii="Cambria Math" w:eastAsia="Cambria Math" w:hAnsi="Cambria Math"/>
                <w:sz w:val="20"/>
                <w:szCs w:val="20"/>
                <w:lang w:val="en-US"/>
              </w:rPr>
            </m:ctrlPr>
          </m:fPr>
          <m:num>
            <m:r>
              <w:rPr>
                <w:rFonts w:ascii="Cambria Math" w:eastAsia="Cambria Math" w:hAnsi="Cambria Math"/>
                <w:sz w:val="20"/>
                <w:szCs w:val="20"/>
                <w:lang w:val="en-US"/>
              </w:rPr>
              <m:t>(Absorbansi blanko-Absorbasi kontrol</m:t>
            </m:r>
          </m:num>
          <m:den>
            <m:r>
              <w:rPr>
                <w:rFonts w:ascii="Cambria Math" w:eastAsia="Cambria Math" w:hAnsi="Cambria Math"/>
                <w:sz w:val="20"/>
                <w:szCs w:val="20"/>
                <w:lang w:val="en-US"/>
              </w:rPr>
              <m:t>Absorbansi blanko</m:t>
            </m:r>
          </m:den>
        </m:f>
        <m:r>
          <w:rPr>
            <w:rFonts w:ascii="Cambria Math" w:eastAsia="Cambria Math" w:hAnsi="Cambria Math"/>
            <w:sz w:val="20"/>
            <w:szCs w:val="20"/>
            <w:lang w:val="en-US"/>
          </w:rPr>
          <m:t xml:space="preserve"> x 100%</m:t>
        </m:r>
      </m:oMath>
      <w:r w:rsidRPr="00A77904">
        <w:rPr>
          <w:sz w:val="20"/>
          <w:szCs w:val="20"/>
          <w:lang w:val="en-US"/>
        </w:rPr>
        <w:t xml:space="preserve">                      </w:t>
      </w:r>
      <w:r w:rsidR="00A77904">
        <w:rPr>
          <w:sz w:val="20"/>
          <w:szCs w:val="20"/>
          <w:lang w:val="en-US"/>
        </w:rPr>
        <w:tab/>
      </w:r>
      <w:r w:rsidR="00A77904">
        <w:rPr>
          <w:sz w:val="20"/>
          <w:szCs w:val="20"/>
          <w:lang w:val="en-US"/>
        </w:rPr>
        <w:tab/>
      </w:r>
      <w:r w:rsidRPr="00A77904">
        <w:rPr>
          <w:sz w:val="20"/>
          <w:szCs w:val="20"/>
          <w:lang w:val="en-US"/>
        </w:rPr>
        <w:t xml:space="preserve"> (</w:t>
      </w:r>
      <w:r w:rsidR="00A77904">
        <w:rPr>
          <w:sz w:val="20"/>
          <w:szCs w:val="20"/>
          <w:lang w:val="en-US"/>
        </w:rPr>
        <w:t>2</w:t>
      </w:r>
      <w:r w:rsidRPr="00A77904">
        <w:rPr>
          <w:sz w:val="20"/>
          <w:szCs w:val="20"/>
          <w:lang w:val="en-US"/>
        </w:rPr>
        <w:t>)</w:t>
      </w:r>
    </w:p>
    <w:p w14:paraId="0000002A" w14:textId="77777777" w:rsidR="00125CE4" w:rsidRDefault="00125CE4">
      <w:pPr>
        <w:ind w:right="82" w:firstLine="567"/>
        <w:jc w:val="both"/>
        <w:rPr>
          <w:sz w:val="20"/>
          <w:szCs w:val="20"/>
          <w:lang w:val="en-US"/>
        </w:rPr>
      </w:pPr>
    </w:p>
    <w:p w14:paraId="4AE4BE2E" w14:textId="77777777" w:rsidR="00A77904" w:rsidRPr="00A77904" w:rsidRDefault="00A77904">
      <w:pPr>
        <w:ind w:right="82" w:firstLine="567"/>
        <w:jc w:val="both"/>
        <w:rPr>
          <w:sz w:val="20"/>
          <w:szCs w:val="20"/>
          <w:lang w:val="en-US"/>
        </w:rPr>
      </w:pPr>
    </w:p>
    <w:p w14:paraId="0000002C" w14:textId="4460C2C0" w:rsidR="00125CE4" w:rsidRPr="00A77904" w:rsidRDefault="00000000" w:rsidP="00A77904">
      <w:pPr>
        <w:pStyle w:val="Heading1"/>
        <w:ind w:left="0" w:right="86"/>
        <w:rPr>
          <w:lang w:val="en-US"/>
        </w:rPr>
      </w:pPr>
      <w:r w:rsidRPr="00A77904">
        <w:rPr>
          <w:lang w:val="en-US"/>
        </w:rPr>
        <w:t>RESULT AND DISCUSSION</w:t>
      </w:r>
    </w:p>
    <w:p w14:paraId="0000002E" w14:textId="6C5334CB" w:rsidR="00125CE4" w:rsidRPr="00A77904" w:rsidRDefault="00000000" w:rsidP="00CD0A0B">
      <w:pPr>
        <w:ind w:right="86"/>
        <w:jc w:val="center"/>
        <w:rPr>
          <w:b/>
          <w:sz w:val="24"/>
          <w:szCs w:val="24"/>
          <w:lang w:val="en-US"/>
        </w:rPr>
      </w:pPr>
      <w:r w:rsidRPr="00A77904">
        <w:rPr>
          <w:b/>
          <w:sz w:val="24"/>
          <w:szCs w:val="24"/>
          <w:lang w:val="en-US"/>
        </w:rPr>
        <w:t>Sample Preparation and Extraction</w:t>
      </w:r>
    </w:p>
    <w:p w14:paraId="3B45C2D1" w14:textId="77777777" w:rsidR="00CD0A0B" w:rsidRPr="00A77904" w:rsidRDefault="00CD0A0B" w:rsidP="00CD0A0B">
      <w:pPr>
        <w:ind w:right="86"/>
        <w:jc w:val="center"/>
        <w:rPr>
          <w:b/>
          <w:lang w:val="en-US"/>
        </w:rPr>
      </w:pPr>
    </w:p>
    <w:p w14:paraId="0000002F" w14:textId="3CA3E12F" w:rsidR="00125CE4" w:rsidRPr="00A77904" w:rsidRDefault="00000000">
      <w:pPr>
        <w:ind w:firstLine="360"/>
        <w:jc w:val="both"/>
        <w:rPr>
          <w:sz w:val="20"/>
          <w:szCs w:val="20"/>
          <w:lang w:val="en-US"/>
        </w:rPr>
      </w:pPr>
      <w:r w:rsidRPr="00A77904">
        <w:rPr>
          <w:sz w:val="20"/>
          <w:szCs w:val="20"/>
          <w:lang w:val="en-US"/>
        </w:rPr>
        <w:t xml:space="preserve">The preparation and extraction process of </w:t>
      </w:r>
      <w:proofErr w:type="spellStart"/>
      <w:r w:rsidR="00E3378A" w:rsidRPr="00A77904">
        <w:rPr>
          <w:sz w:val="20"/>
          <w:szCs w:val="20"/>
          <w:lang w:val="en-US"/>
        </w:rPr>
        <w:t>Kesambi</w:t>
      </w:r>
      <w:proofErr w:type="spellEnd"/>
      <w:r w:rsidRPr="00A77904">
        <w:rPr>
          <w:sz w:val="20"/>
          <w:szCs w:val="20"/>
          <w:lang w:val="en-US"/>
        </w:rPr>
        <w:t xml:space="preserve"> leaves in this study were meticulously designed to maximize the yield and quality of bioactive compounds. </w:t>
      </w:r>
      <w:r w:rsidR="00540D67" w:rsidRPr="00A77904">
        <w:rPr>
          <w:sz w:val="20"/>
          <w:szCs w:val="20"/>
          <w:lang w:val="en-US"/>
        </w:rPr>
        <w:t>The selection of the 4</w:t>
      </w:r>
      <w:r w:rsidR="00540D67" w:rsidRPr="00A77904">
        <w:rPr>
          <w:sz w:val="20"/>
          <w:szCs w:val="20"/>
          <w:vertAlign w:val="superscript"/>
          <w:lang w:val="en-US"/>
        </w:rPr>
        <w:t>th</w:t>
      </w:r>
      <w:r w:rsidR="00540D67" w:rsidRPr="00A77904">
        <w:rPr>
          <w:sz w:val="20"/>
          <w:szCs w:val="20"/>
          <w:lang w:val="en-US"/>
        </w:rPr>
        <w:t xml:space="preserve"> leaf from the shoot is a critical step, as these leaves are physiologically mature and contain higher concentrations of phytochemical constituents like tannins, alkaloids, and flavonoids</w:t>
      </w:r>
      <w:r w:rsidR="00DE5837" w:rsidRPr="00A77904">
        <w:rPr>
          <w:sz w:val="20"/>
          <w:szCs w:val="20"/>
          <w:lang w:val="en-US"/>
        </w:rPr>
        <w:t xml:space="preserve"> </w:t>
      </w:r>
      <w:r w:rsidR="00261FC7" w:rsidRPr="00A77904">
        <w:rPr>
          <w:sz w:val="20"/>
          <w:szCs w:val="20"/>
          <w:lang w:val="en-US"/>
        </w:rPr>
        <w:fldChar w:fldCharType="begin" w:fldLock="1"/>
      </w:r>
      <w:r w:rsidR="00261FC7" w:rsidRPr="00A77904">
        <w:rPr>
          <w:sz w:val="20"/>
          <w:szCs w:val="20"/>
          <w:lang w:val="en-US"/>
        </w:rPr>
        <w:instrText>ADDIN CSL_CITATION {"citationItems":[{"id":"ITEM-1","itemData":{"abstract":"Shrimp is one of the leading commodity in the fisheries sector of Indonesia. The production of farmed shrimp expected to be able to meet domestic demand. But the production high depressed by vibriosis disease are caused by the bacterium Vibrio sp. This study aimed to find out the potential combination kirinyuh leaf extract as an antibacterial and betel leaf extract which containing antiseptic compounds as formula cures for vibriosis diseases. The method used in this research is by extracting kirinyuh and betel leaf using extractor soxhlet then tested in vitro and in vivo by first doing a test pathogenicity on the shrimp body by soaking method then shrimp maintained in an aquarium as a simulation of ponds that have been given the combination of the extract with a few treatments. The results of in vitro tests was compared to widest inhibitory zone is 1: 1 by 23 mm. While the results of the test in vivo comparison of the best producing the amount of shrimp that survive highest and smallest shrimp mortality is 1:1. Kirinyuh and betel leaf extract give effect in inhibiting the growth of Vibrio sp. on both tests.","author":[{"dropping-particle":"","family":"Manguntungi","given":"Baso","non-dropping-particle":"","parse-names":false,"suffix":""},{"dropping-particle":"","family":"Budhi Kusuma","given":"Ali","non-dropping-particle":"","parse-names":false,"suffix":""},{"dropping-particle":"","family":"Yunianti","given":"dan","non-dropping-particle":"","parse-names":false,"suffix":""}],"id":"ITEM-1","issue":"3","issued":{"date-parts":[["2016"]]},"number-of-pages":"138-144","title":"Pengaruh Kombinasi Ekstrak Kirinyuh (Chromolaena odorata) dan Sirih (Piper betle L) dalam Pengendalian Penyakit Vibriosis pada Udang The Influence of Kirinyuh (Chromolaena odorata) and Betel (Piper betle L) Leaf Extract Combination in Controlling Vibriosis Disease on Shrimp","type":"report","volume":"1"},"uris":["http://www.mendeley.com/documents/?uuid=63ba146b-0e36-31b3-8f5b-964590e001b2"]}],"mendeley":{"formattedCitation":"(14)","manualFormatting":"[14]","plainTextFormattedCitation":"(14)","previouslyFormattedCitation":"(14)"},"properties":{"noteIndex":0},"schema":"https://github.com/citation-style-language/schema/raw/master/csl-citation.json"}</w:instrText>
      </w:r>
      <w:r w:rsidR="00261FC7" w:rsidRPr="00A77904">
        <w:rPr>
          <w:sz w:val="20"/>
          <w:szCs w:val="20"/>
          <w:lang w:val="en-US"/>
        </w:rPr>
        <w:fldChar w:fldCharType="separate"/>
      </w:r>
      <w:r w:rsidR="00261FC7" w:rsidRPr="00A77904">
        <w:rPr>
          <w:noProof/>
          <w:sz w:val="20"/>
          <w:szCs w:val="20"/>
          <w:lang w:val="en-US"/>
        </w:rPr>
        <w:t>[14]</w:t>
      </w:r>
      <w:r w:rsidR="00261FC7" w:rsidRPr="00A77904">
        <w:rPr>
          <w:sz w:val="20"/>
          <w:szCs w:val="20"/>
          <w:lang w:val="en-US"/>
        </w:rPr>
        <w:fldChar w:fldCharType="end"/>
      </w:r>
      <w:r w:rsidR="00261FC7" w:rsidRPr="00A77904">
        <w:rPr>
          <w:sz w:val="20"/>
          <w:szCs w:val="20"/>
          <w:lang w:val="en-US"/>
        </w:rPr>
        <w:t>.</w:t>
      </w:r>
      <w:r w:rsidRPr="00A77904">
        <w:rPr>
          <w:sz w:val="20"/>
          <w:szCs w:val="20"/>
          <w:lang w:val="en-US"/>
        </w:rPr>
        <w:t xml:space="preserve"> This aligns with findings from other studies, which emphasize that mature leaves often exhibit greater bioactive potential due to their fully developed metabolic pathways</w:t>
      </w:r>
      <w:r w:rsidR="00261FC7" w:rsidRPr="00A77904">
        <w:rPr>
          <w:sz w:val="20"/>
          <w:szCs w:val="20"/>
          <w:lang w:val="en-US"/>
        </w:rPr>
        <w:t xml:space="preserve"> </w:t>
      </w:r>
      <w:r w:rsidR="00261FC7" w:rsidRPr="00A77904">
        <w:rPr>
          <w:sz w:val="20"/>
          <w:szCs w:val="20"/>
          <w:lang w:val="en-US"/>
        </w:rPr>
        <w:fldChar w:fldCharType="begin" w:fldLock="1"/>
      </w:r>
      <w:r w:rsidR="00F71EC3" w:rsidRPr="00A77904">
        <w:rPr>
          <w:sz w:val="20"/>
          <w:szCs w:val="20"/>
          <w:lang w:val="en-US"/>
        </w:rPr>
        <w:instrText>ADDIN CSL_CITATION {"citationItems":[{"id":"ITEM-1","itemData":{"author":[{"dropping-particle":"","family":"Riana Ningsih","given":"Dian","non-dropping-particle":"","parse-names":false,"suffix":""},{"dropping-particle":"","family":"Kartika","given":"Dwi","non-dropping-particle":"","parse-names":false,"suffix":""}],"id":"ITEM-1","issued":{"date-parts":[["2016"]]},"title":"Identifikasi Senyawa Metabolit Sekunder serta Uji Aktivitas…(Dian Riana Ningsih dkk) IDENTIFIKASI SENYAWA METABOLIT SEKUNDER SERTA UJI AKTIVITAS EKSTRAK DAUN SIRSAK SEBAGAI ANTIBAKTERI IDENTIFICATION OF SECONDARY METABOLITES COMPOUNDS AND ANTIBACTERIAL ACTIVITIES ON THE EXTRACT OF SOURSOP LEAF","type":"report"},"uris":["http://www.mendeley.com/documents/?uuid=abe4a170-c1a3-347a-92f8-a3d5518b0456"]}],"mendeley":{"formattedCitation":"(15)","manualFormatting":"[15]","plainTextFormattedCitation":"(15)","previouslyFormattedCitation":"(15)"},"properties":{"noteIndex":0},"schema":"https://github.com/citation-style-language/schema/raw/master/csl-citation.json"}</w:instrText>
      </w:r>
      <w:r w:rsidR="00261FC7" w:rsidRPr="00A77904">
        <w:rPr>
          <w:sz w:val="20"/>
          <w:szCs w:val="20"/>
          <w:lang w:val="en-US"/>
        </w:rPr>
        <w:fldChar w:fldCharType="separate"/>
      </w:r>
      <w:r w:rsidR="00261FC7" w:rsidRPr="00A77904">
        <w:rPr>
          <w:noProof/>
          <w:sz w:val="20"/>
          <w:szCs w:val="20"/>
          <w:lang w:val="en-US"/>
        </w:rPr>
        <w:t>[15]</w:t>
      </w:r>
      <w:r w:rsidR="00261FC7" w:rsidRPr="00A77904">
        <w:rPr>
          <w:sz w:val="20"/>
          <w:szCs w:val="20"/>
          <w:lang w:val="en-US"/>
        </w:rPr>
        <w:fldChar w:fldCharType="end"/>
      </w:r>
      <w:r w:rsidRPr="00A77904">
        <w:rPr>
          <w:sz w:val="20"/>
          <w:szCs w:val="20"/>
          <w:lang w:val="en-US"/>
        </w:rPr>
        <w:t>. Air-drying the leaves at room temperature was chosen to preserve the integrity of heat-sensitive compounds. This method avoids the degradation of thermolabile constituents, such as phenolics and flavonoids, which can occur with high-temperature drying techniques</w:t>
      </w:r>
      <w:r w:rsidR="00684C42" w:rsidRPr="00A77904">
        <w:rPr>
          <w:sz w:val="20"/>
          <w:szCs w:val="20"/>
          <w:lang w:val="en-US"/>
        </w:rPr>
        <w:t xml:space="preserve"> [</w:t>
      </w:r>
      <w:r w:rsidR="00684C42" w:rsidRPr="00A77904">
        <w:rPr>
          <w:sz w:val="20"/>
          <w:szCs w:val="20"/>
          <w:lang w:val="en-US"/>
        </w:rPr>
        <w:fldChar w:fldCharType="begin" w:fldLock="1"/>
      </w:r>
      <w:r w:rsidR="00261FC7" w:rsidRPr="00A77904">
        <w:rPr>
          <w:sz w:val="20"/>
          <w:szCs w:val="20"/>
          <w:lang w:val="en-US"/>
        </w:rPr>
        <w:instrText>ADDIN CSL_CITATION {"citationItems":[{"id":"ITEM-1","itemData":{"abstract":"Abstrak Spon merupakan hewan laut yang menghasilkan senyawa bioaktif diketahui mempunyai aktivitas antibakteri. Penelitian ini bertujuan untuk mengetahui aktivitas antibakteri ekstrak etil asetat spon Aplysina aerophoba terhadap Shigella dysenteriae dan Helicobacter pylori. Pengujian aktivitas antibakteri menggunakan metode difusi dilakukan dengan mengukur diameter hambat di sekeliling cakram kertas, dengan menggunakan berbagai konsentrasi yaitu 7%, 5%, 3%, 1%. Hasil penelitian menunjukkan bahwa ekstrak etil asetat Aplysina aerophoba mampu menghambat pertumbuhan bakteri Shigella dysenteriae dan Helicobacter pylori dengan terbentuknya rata-rata diameter hambat pada masing-masing konsentrasi sebesar 10,60 mm; 9,44 mm; 8,3 mm; 5,641 mm pada bakteri Helicobacter pylori. Selanjutnya untuk bakteri Shigella dysenteriae terbentuk rata-rata diameter hambat sebesar 10,05 mm; 9,63 mm; 6 mm; 4,583 mm. Abstract Sponges are marine animals that produce bioactive compounds known to have antibacterial activity. The aim of this research is to know the antibacterial activity of Aplysina aerophoba ethyl acetate extract on Shigella dysenteriae and Helicobacter pylori. Testing of antibacterial activity using diffusion method was done by measuring the inhibitory diameter around the paper disk, using various concentrations is 7%, 5%, 3%, 1%. The results showed that Aplysina aerophoba ethyl acetate extract able to inhibit the growth of Shigella dysenteriae and Helicobacter pylori bacteria with the formation of inhibitory diameter at each concentration of 10.60 mm; 9.44 mm; 8.3 mm; 5.641 mm in Helicobacter pylori bacteria. Furthermore, for Shigella dysenteriae bacteria, the average inhibitory diameter is 10.05 mm; 9.63 mm; 6 mm; 4,583 mm.","author":[{"dropping-particle":"","family":"Fajrina","given":"Anzharni","non-dropping-particle":"","parse-names":false,"suffix":""},{"dropping-particle":"","family":"Dinni","given":"Dwi","non-dropping-particle":"","parse-names":false,"suffix":""},{"dropping-particle":"","family":"Bakhtra","given":"Aulia","non-dropping-particle":"","parse-names":false,"suffix":""},{"dropping-particle":"","family":"Irenda","given":"Yuyun","non-dropping-particle":"","parse-names":false,"suffix":""}],"container-title":"Jurnal Farmasi Higea","id":"ITEM-1","issue":"2","issued":{"date-parts":[["2018"]]},"title":"Uji Aktivitas Antibakteri Ektrak Etil Asetat Spons Aplysina aerophoba Pada Helicobacter pylori dan Shigella dysenteriae","type":"report","volume":"10"},"uris":["http://www.mendeley.com/documents/?uuid=221e2386-d8a1-3961-9a3d-4cb58f4c455c"]}],"mendeley":{"formattedCitation":"(16)","manualFormatting":"16","plainTextFormattedCitation":"(16)","previouslyFormattedCitation":"(16)"},"properties":{"noteIndex":0},"schema":"https://github.com/citation-style-language/schema/raw/master/csl-citation.json"}</w:instrText>
      </w:r>
      <w:r w:rsidR="00684C42" w:rsidRPr="00A77904">
        <w:rPr>
          <w:sz w:val="20"/>
          <w:szCs w:val="20"/>
          <w:lang w:val="en-US"/>
        </w:rPr>
        <w:fldChar w:fldCharType="separate"/>
      </w:r>
      <w:r w:rsidR="00567FF9" w:rsidRPr="00A77904">
        <w:rPr>
          <w:noProof/>
          <w:sz w:val="20"/>
          <w:szCs w:val="20"/>
          <w:lang w:val="en-US"/>
        </w:rPr>
        <w:t>16</w:t>
      </w:r>
      <w:r w:rsidR="00684C42" w:rsidRPr="00A77904">
        <w:rPr>
          <w:sz w:val="20"/>
          <w:szCs w:val="20"/>
          <w:lang w:val="en-US"/>
        </w:rPr>
        <w:fldChar w:fldCharType="end"/>
      </w:r>
      <w:r w:rsidR="00684C42" w:rsidRPr="00A77904">
        <w:rPr>
          <w:sz w:val="20"/>
          <w:szCs w:val="20"/>
          <w:lang w:val="en-US"/>
        </w:rPr>
        <w:t>]</w:t>
      </w:r>
      <w:r w:rsidRPr="00A77904">
        <w:rPr>
          <w:sz w:val="20"/>
          <w:szCs w:val="20"/>
          <w:lang w:val="en-US"/>
        </w:rPr>
        <w:t xml:space="preserve">. Additionally, air-drying minimizes enzymatic reactions and fungal growth, ensuring the chemical composition remains stable during storage </w:t>
      </w:r>
      <w:r w:rsidR="00DE5837" w:rsidRPr="00A77904">
        <w:rPr>
          <w:sz w:val="20"/>
          <w:szCs w:val="20"/>
          <w:lang w:val="en-US"/>
        </w:rPr>
        <w:fldChar w:fldCharType="begin" w:fldLock="1"/>
      </w:r>
      <w:r w:rsidR="00A9365F" w:rsidRPr="00A77904">
        <w:rPr>
          <w:sz w:val="20"/>
          <w:szCs w:val="20"/>
          <w:lang w:val="en-US"/>
        </w:rPr>
        <w:instrText>ADDIN CSL_CITATION {"citationItems":[{"id":"ITEM-1","itemData":{"author":[{"dropping-particle":"","family":"Riana Ningsih","given":"Dian","non-dropping-particle":"","parse-names":false,"suffix":""},{"dropping-particle":"","family":"Kartika","given":"Dwi","non-dropping-particle":"","parse-names":false,"suffix":""}],"id":"ITEM-1","issued":{"date-parts":[["2016"]]},"title":"Identifikasi Senyawa Metabolit Sekunder serta Uji Aktivitas…(Dian Riana Ningsih dkk) IDENTIFIKASI SENYAWA METABOLIT SEKUNDER SERTA UJI AKTIVITAS EKSTRAK DAUN SIRSAK SEBAGAI ANTIBAKTERI IDENTIFICATION OF SECONDARY METABOLITES COMPOUNDS AND ANTIBACTERIAL ACTIVITIES ON THE EXTRACT OF SOURSOP LEAF","type":"report"},"uris":["http://www.mendeley.com/documents/?uuid=abe4a170-c1a3-347a-92f8-a3d5518b0456"]}],"mendeley":{"formattedCitation":"(15)","manualFormatting":"[14]","plainTextFormattedCitation":"(15)","previouslyFormattedCitation":"(15)"},"properties":{"noteIndex":0},"schema":"https://github.com/citation-style-language/schema/raw/master/csl-citation.json"}</w:instrText>
      </w:r>
      <w:r w:rsidR="00DE5837" w:rsidRPr="00A77904">
        <w:rPr>
          <w:sz w:val="20"/>
          <w:szCs w:val="20"/>
          <w:lang w:val="en-US"/>
        </w:rPr>
        <w:fldChar w:fldCharType="separate"/>
      </w:r>
      <w:r w:rsidR="00DE5837" w:rsidRPr="00A77904">
        <w:rPr>
          <w:noProof/>
          <w:sz w:val="20"/>
          <w:szCs w:val="20"/>
          <w:lang w:val="en-US"/>
        </w:rPr>
        <w:t>[14]</w:t>
      </w:r>
      <w:r w:rsidR="00DE5837" w:rsidRPr="00A77904">
        <w:rPr>
          <w:sz w:val="20"/>
          <w:szCs w:val="20"/>
          <w:lang w:val="en-US"/>
        </w:rPr>
        <w:fldChar w:fldCharType="end"/>
      </w:r>
      <w:r w:rsidRPr="00A77904">
        <w:rPr>
          <w:sz w:val="20"/>
          <w:szCs w:val="20"/>
          <w:lang w:val="en-US"/>
        </w:rPr>
        <w:t>. The subsequent grinding of the dried leaves increases the surface area, facilitating more efficient solvent penetration during extraction</w:t>
      </w:r>
      <w:r w:rsidR="00A2604E" w:rsidRPr="00A77904">
        <w:rPr>
          <w:sz w:val="20"/>
          <w:szCs w:val="20"/>
          <w:lang w:val="en-US"/>
        </w:rPr>
        <w:t xml:space="preserve"> </w:t>
      </w:r>
      <w:r w:rsidR="00E748F7" w:rsidRPr="00A77904">
        <w:rPr>
          <w:sz w:val="20"/>
          <w:szCs w:val="20"/>
          <w:lang w:val="en-US"/>
        </w:rPr>
        <w:t>[</w:t>
      </w:r>
      <w:r w:rsidR="00E748F7" w:rsidRPr="00A77904">
        <w:rPr>
          <w:sz w:val="20"/>
          <w:szCs w:val="20"/>
          <w:lang w:val="en-US"/>
        </w:rPr>
        <w:fldChar w:fldCharType="begin" w:fldLock="1"/>
      </w:r>
      <w:r w:rsidR="00261FC7" w:rsidRPr="00A77904">
        <w:rPr>
          <w:sz w:val="20"/>
          <w:szCs w:val="20"/>
          <w:lang w:val="en-US"/>
        </w:rPr>
        <w:instrText>ADDIN CSL_CITATION {"citationItems":[{"id":"ITEM-1","itemData":{"ISSN":"1858-4748","abstract":"ABSTRAK Cymodocea rotundata merupakan salah satu jenis lamun yang berpotensi sebagai antibakteri. Senyawa bioaktif yang bersifat sebagai antibakteri adalah fenol, flavonoid dan tanin. Tujuan penelitian ini adalah untuk mengetahui perbedaan lama inkubasi dan konsentrasi ekstrak lamun C. rotundata yang berbeda terhadap aktivitas antibakteri S. aureus dan E. Coli. Metode penelitian yang digunakan yaitu experimental laboratories dengan menggunakan rancangan dasar penelitian Rancangan Acak Lengkap (RAL) dengan pola faktorial, pola terbagi oleh faktor lama inkubasi bakteri (24 jam, 48 jam dan 72 jam) dan perbedaan konsentrasi ekstrak lamun (5%, 10% dan 15%). Data dianalisis menggunakan SIDIK RAGAM dan dilakukan analisis lanjut Beda Nyata Jujur (BNJ), apabila terdapat perbedaan pada perlakuan. Ekstrak lamun C. rotundata efektif sebagai antibakteri dengan kategori sedang yaitu zona hambat berkisar antara 5-10 mm. Konsentrasi optimum untuk menghambat S.aureus dan E.coli adalah 15% dengan lama inkubasi 48 jam dengan zona hambat yang dihasilkan masing-masing sebesar 6, 123 mm. Dan 5, 833 mm. ABSTRACT Cymodocea rotundata is a type of seagrass that has a potential as an antibacterial. Bioactive compounds which act as such as antibacterial phenols, flavonoids and tannins. The purpose of this study was to determine the effect of different concentration and time of incubation of seagrass C.rotundata as antibacterial against S. aureus and E. coli. The method used was experimental laboratories using the basic design of the study completely randomized design (CRD) with factorial pattern (2 factor). The first factor were different concentration (5%, 10% and 15%) and second factor were time of incubations (24 hours, 48 hours and 72 hours). Data were analyzed using ANOVA and conducted a further test Honestly Significant Difference (HSD), if treatment gave significant effect. C. rotundata extracts had antibacterial activity with medium category which inhibition zone ranges from 5-10 mm. The optimum concentration for inhibiting S. aureus and e. coli were 15% with incubation time of 48 hours resulting inhibition zone 6,123 mm and 5,833 respectively.","author":[{"dropping-particle":"","family":"Nurcahya Dewi dan Ima Wijayanti Program Studi Teknologi Hasil Perikanan Fakultas Perikanan dan Ilmu Kelautan","given":"Eko","non-dropping-particle":"","parse-names":false,"suffix":""}],"container-title":"Available online at Indonesian Journal of Fisheries Science and Technology (IJFST) Saintek Perikanan","id":"ITEM-1","issue":"1","issued":{"date-parts":[["2017"]]},"page":"1-6","title":"AKTIVITAS ANTIBAKTERI EKSTRAK LAMUN (Cymodocea rotundata) TERHADAP BAKTERI Staphylococcus aureus DAN Escherichia coli Antibacterial Activities of Seagrass Extracts (Cymodocea rotundata) Against Staphylococcus aureus and Escherichia coli","type":"article-journal","volume":"13"},"uris":["http://www.mendeley.com/documents/?uuid=edc5b4d7-0048-36a9-92da-df102bb2de11"]}],"mendeley":{"formattedCitation":"(17)","manualFormatting":"17","plainTextFormattedCitation":"(17)","previouslyFormattedCitation":"(17)"},"properties":{"noteIndex":0},"schema":"https://github.com/citation-style-language/schema/raw/master/csl-citation.json"}</w:instrText>
      </w:r>
      <w:r w:rsidR="00E748F7" w:rsidRPr="00A77904">
        <w:rPr>
          <w:sz w:val="20"/>
          <w:szCs w:val="20"/>
          <w:lang w:val="en-US"/>
        </w:rPr>
        <w:fldChar w:fldCharType="separate"/>
      </w:r>
      <w:r w:rsidR="00567FF9" w:rsidRPr="00A77904">
        <w:rPr>
          <w:noProof/>
          <w:sz w:val="20"/>
          <w:szCs w:val="20"/>
          <w:lang w:val="en-US"/>
        </w:rPr>
        <w:t>17</w:t>
      </w:r>
      <w:r w:rsidR="00E748F7" w:rsidRPr="00A77904">
        <w:rPr>
          <w:sz w:val="20"/>
          <w:szCs w:val="20"/>
          <w:lang w:val="en-US"/>
        </w:rPr>
        <w:fldChar w:fldCharType="end"/>
      </w:r>
      <w:r w:rsidR="00E748F7" w:rsidRPr="00A77904">
        <w:rPr>
          <w:sz w:val="20"/>
          <w:szCs w:val="20"/>
          <w:lang w:val="en-US"/>
        </w:rPr>
        <w:t>]</w:t>
      </w:r>
      <w:r w:rsidRPr="00A77904">
        <w:rPr>
          <w:sz w:val="20"/>
          <w:szCs w:val="20"/>
          <w:lang w:val="en-US"/>
        </w:rPr>
        <w:t xml:space="preserve">. </w:t>
      </w:r>
    </w:p>
    <w:p w14:paraId="00000030" w14:textId="0E8940FB" w:rsidR="00125CE4" w:rsidRPr="00A77904" w:rsidRDefault="00000000">
      <w:pPr>
        <w:ind w:firstLine="360"/>
        <w:jc w:val="both"/>
        <w:rPr>
          <w:sz w:val="20"/>
          <w:szCs w:val="20"/>
          <w:lang w:val="en-US"/>
        </w:rPr>
      </w:pPr>
      <w:r w:rsidRPr="00A77904">
        <w:rPr>
          <w:sz w:val="20"/>
          <w:szCs w:val="20"/>
          <w:lang w:val="en-US"/>
        </w:rPr>
        <w:t>The maceration process using 70% ethanol as the solvent is particularly noteworthy. Ethanol is a versatile solvent capable of extracting a wide range of polar and nonpolar compounds, including alkaloids, flavonoids, saponins, and tannins</w:t>
      </w:r>
      <w:r w:rsidR="00E748F7" w:rsidRPr="00A77904">
        <w:rPr>
          <w:sz w:val="20"/>
          <w:szCs w:val="20"/>
          <w:lang w:val="en-US"/>
        </w:rPr>
        <w:t xml:space="preserve"> </w:t>
      </w:r>
      <w:r w:rsidR="00C35560" w:rsidRPr="00A77904">
        <w:rPr>
          <w:sz w:val="20"/>
          <w:szCs w:val="20"/>
          <w:lang w:val="en-US"/>
        </w:rPr>
        <w:t>[</w:t>
      </w:r>
      <w:r w:rsidR="00C35560" w:rsidRPr="00A77904">
        <w:rPr>
          <w:sz w:val="20"/>
          <w:szCs w:val="20"/>
          <w:lang w:val="en-US"/>
        </w:rPr>
        <w:fldChar w:fldCharType="begin" w:fldLock="1"/>
      </w:r>
      <w:r w:rsidR="00726086" w:rsidRPr="00A77904">
        <w:rPr>
          <w:sz w:val="20"/>
          <w:szCs w:val="20"/>
          <w:lang w:val="en-US"/>
        </w:rPr>
        <w:instrText>ADDIN CSL_CITATION {"citationItems":[{"id":"ITEM-1","itemData":{"author":[{"dropping-particle":"","family":"Dwi Pangesti","given":"Rizki","non-dropping-particle":"","parse-names":false,"suffix":""},{"dropping-particle":"","family":"Cahyono","given":"Edy","non-dropping-particle":"","parse-names":false,"suffix":""},{"dropping-particle":"","family":"Ersanghono Kusumo Jurusan Kimia","given":"dan","non-dropping-particle":"","parse-names":false,"suffix":""},{"dropping-particle":"","family":"Matematika dan Ilmu Pengetahuan Alam","given":"Fakultas","non-dropping-particle":"","parse-names":false,"suffix":""}],"container-title":"J. Chem. Sci","id":"ITEM-1","issue":"3","issued":{"date-parts":[["2017"]]},"title":"Indonesian Journal of Chemical Science Perbandingan Daya Antibakteri Ekstrak dan Minyak Piper betle L. terhadap Bakteri Streptococcus mutans","type":"report","volume":"6"},"uris":["http://www.mendeley.com/documents/?uuid=a7c2fc90-0d6d-38a2-b442-40e783a57424"]}],"mendeley":{"formattedCitation":"(18)","manualFormatting":"18","plainTextFormattedCitation":"(18)","previouslyFormattedCitation":"(18)"},"properties":{"noteIndex":0},"schema":"https://github.com/citation-style-language/schema/raw/master/csl-citation.json"}</w:instrText>
      </w:r>
      <w:r w:rsidR="00C35560" w:rsidRPr="00A77904">
        <w:rPr>
          <w:sz w:val="20"/>
          <w:szCs w:val="20"/>
          <w:lang w:val="en-US"/>
        </w:rPr>
        <w:fldChar w:fldCharType="separate"/>
      </w:r>
      <w:r w:rsidR="00567FF9" w:rsidRPr="00A77904">
        <w:rPr>
          <w:noProof/>
          <w:sz w:val="20"/>
          <w:szCs w:val="20"/>
          <w:lang w:val="en-US"/>
        </w:rPr>
        <w:t>18</w:t>
      </w:r>
      <w:r w:rsidR="00C35560" w:rsidRPr="00A77904">
        <w:rPr>
          <w:sz w:val="20"/>
          <w:szCs w:val="20"/>
          <w:lang w:val="en-US"/>
        </w:rPr>
        <w:fldChar w:fldCharType="end"/>
      </w:r>
      <w:r w:rsidR="00C35560" w:rsidRPr="00A77904">
        <w:rPr>
          <w:sz w:val="20"/>
          <w:szCs w:val="20"/>
          <w:lang w:val="en-US"/>
        </w:rPr>
        <w:t>]</w:t>
      </w:r>
      <w:r w:rsidRPr="00A77904">
        <w:rPr>
          <w:sz w:val="20"/>
          <w:szCs w:val="20"/>
          <w:lang w:val="en-US"/>
        </w:rPr>
        <w:t>. Its effectiveness is attributed to its ability to disrupt cell membranes and solubilize intracellular materials. The choice of 70% ethanol is further justified by its optimal balance between polarity and extraction efficiency, which enhances the recovery of bioactive compounds compared to pure ethanol or water</w:t>
      </w:r>
      <w:r w:rsidR="001F1DE4" w:rsidRPr="00A77904">
        <w:rPr>
          <w:sz w:val="20"/>
          <w:szCs w:val="20"/>
          <w:lang w:val="en-US"/>
        </w:rPr>
        <w:t xml:space="preserve"> </w:t>
      </w:r>
      <w:r w:rsidR="001F1DE4" w:rsidRPr="00A77904">
        <w:rPr>
          <w:sz w:val="20"/>
          <w:szCs w:val="20"/>
          <w:lang w:val="en-US"/>
        </w:rPr>
        <w:fldChar w:fldCharType="begin" w:fldLock="1"/>
      </w:r>
      <w:r w:rsidR="00A9365F" w:rsidRPr="00A77904">
        <w:rPr>
          <w:sz w:val="20"/>
          <w:szCs w:val="20"/>
          <w:lang w:val="en-US"/>
        </w:rPr>
        <w:instrText>ADDIN CSL_CITATION {"citationItems":[{"id":"ITEM-1","itemData":{"DOI":"10.29303/jppipa.v11i1.9439","abstract":"Kesambi (Schleichera Oleosa (L.) is one of the beneficial plants in Indonesia which contains fenolic and flavonoids that exhibit antioxidant properties. The presence of antioxidants in plants could be associated with antidiabetic activity of these plants. This research was conducted to determine the antioxidant and antidiabetic activities of n-hexane, ethyl acetate, acetone and methanol extracts from Kesambi leaves. Extraction was carried out by the ultrasonic assisted extraction (UAE) method. The antioxidant activity was determined quantitatively by DPPH and ABTS method, while the antidiabetic activity was evaluated by using α-glukosidase inhibition method. The IC50 values from the determination of antioxidant and antidiabetic activities were obtained by using Microplate reader at the maximum wavelength. Results of the antioxidant determination DPPH method showed that IC50 values of n-hexane, ethyl acetate, acetone and methanol extracts were 414.1993; 57.7862; 6.33 dan 13.4558 µg/mL, respectively. And for ABTS method showed 162.679; 22.6684; 10.7975; dan 146.869 µg/mL. This indicates the acetone and methanol extracts give the best results in antioxidant activity. Meanwhile, IC50 values of in vitro antidiabetic activity of n-hexane, ethyl acetate, acetone and methanol extracts were 99.3235; 272.8723; 1.6799; dan 24.4653 µg/mL, respectively. Acetone and methanol extracts of kesambi leaf give the best results in antidiabetic activity.","author":[{"dropping-particle":"","family":"Nursamsiar","given":"N","non-dropping-particle":"","parse-names":false,"suffix":""},{"dropping-particle":"","family":"Marwati","given":"M","non-dropping-particle":"","parse-names":false,"suffix":""},{"dropping-particle":"","family":"Sami","given":"F J","non-dropping-particle":"","parse-names":false,"suffix":""},{"dropping-particle":"","family":"Nur","given":"S","non-dropping-particle":"","parse-names":false,"suffix":""},{"dropping-particle":"","family":"Kasmawati","given":"H","non-dropping-particle":"","parse-names":false,"suffix":""},{"dropping-particle":"","family":"Asnawi","given":"A","non-dropping-particle":"","parse-names":false,"suffix":""}],"container-title":"JPPIPA","id":"ITEM-1","issue":"1","issued":{"date-parts":[["2025"]]},"title":"Effect of Solvent Polarity on Antioxidant and Antidiabetic Activity of Kesambi Leaf Extract (Schleichera oleosa Effect of Solvent Polarity on Antioxidant and Antidiabetic Activity of Kesambi Leaf Extract (Schleichera oleosa L.)","type":"article-journal","volume":"11"},"uris":["http://www.mendeley.com/documents/?uuid=56d8764b-5c16-3889-823a-dd10f1fa2c6f"]}],"mendeley":{"formattedCitation":"(7)","manualFormatting":"[7]","plainTextFormattedCitation":"(7)","previouslyFormattedCitation":"(7)"},"properties":{"noteIndex":0},"schema":"https://github.com/citation-style-language/schema/raw/master/csl-citation.json"}</w:instrText>
      </w:r>
      <w:r w:rsidR="001F1DE4" w:rsidRPr="00A77904">
        <w:rPr>
          <w:sz w:val="20"/>
          <w:szCs w:val="20"/>
          <w:lang w:val="en-US"/>
        </w:rPr>
        <w:fldChar w:fldCharType="separate"/>
      </w:r>
      <w:r w:rsidR="001F1DE4" w:rsidRPr="00A77904">
        <w:rPr>
          <w:noProof/>
          <w:sz w:val="20"/>
          <w:szCs w:val="20"/>
          <w:lang w:val="en-US"/>
        </w:rPr>
        <w:t>[7]</w:t>
      </w:r>
      <w:r w:rsidR="001F1DE4" w:rsidRPr="00A77904">
        <w:rPr>
          <w:sz w:val="20"/>
          <w:szCs w:val="20"/>
          <w:lang w:val="en-US"/>
        </w:rPr>
        <w:fldChar w:fldCharType="end"/>
      </w:r>
      <w:r w:rsidRPr="00A77904">
        <w:rPr>
          <w:sz w:val="20"/>
          <w:szCs w:val="20"/>
          <w:lang w:val="en-US"/>
        </w:rPr>
        <w:t>. The maceration duration of 2x24 hours ensures thorough extraction by allowing sufficient time for solvent penetration and compound dissolution. This extended period is critical for achieving high yields, as it accounts for the gradual release of compounds from the plant matrix</w:t>
      </w:r>
      <w:r w:rsidR="001F1DE4" w:rsidRPr="00A77904">
        <w:rPr>
          <w:sz w:val="20"/>
          <w:szCs w:val="20"/>
          <w:lang w:val="en-US"/>
        </w:rPr>
        <w:t xml:space="preserve"> </w:t>
      </w:r>
      <w:r w:rsidR="001D5045" w:rsidRPr="00A77904">
        <w:rPr>
          <w:sz w:val="20"/>
          <w:szCs w:val="20"/>
          <w:lang w:val="en-US"/>
        </w:rPr>
        <w:t>[</w:t>
      </w:r>
      <w:r w:rsidR="00BC31A6" w:rsidRPr="00A77904">
        <w:rPr>
          <w:sz w:val="20"/>
          <w:szCs w:val="20"/>
          <w:lang w:val="en-US"/>
        </w:rPr>
        <w:fldChar w:fldCharType="begin" w:fldLock="1"/>
      </w:r>
      <w:r w:rsidR="00726086" w:rsidRPr="00A77904">
        <w:rPr>
          <w:sz w:val="20"/>
          <w:szCs w:val="20"/>
          <w:lang w:val="en-US"/>
        </w:rPr>
        <w:instrText>ADDIN CSL_CITATION {"citationItems":[{"id":"ITEM-1","itemData":{"abstract":"Abstrak Spon merupakan hewan laut yang menghasilkan senyawa bioaktif diketahui mempunyai aktivitas antibakteri. Penelitian ini bertujuan untuk mengetahui aktivitas antibakteri ekstrak etil asetat spon Aplysina aerophoba terhadap Shigella dysenteriae dan Helicobacter pylori. Pengujian aktivitas antibakteri menggunakan metode difusi dilakukan dengan mengukur diameter hambat di sekeliling cakram kertas, dengan menggunakan berbagai konsentrasi yaitu 7%, 5%, 3%, 1%. Hasil penelitian menunjukkan bahwa ekstrak etil asetat Aplysina aerophoba mampu menghambat pertumbuhan bakteri Shigella dysenteriae dan Helicobacter pylori dengan terbentuknya rata-rata diameter hambat pada masing-masing konsentrasi sebesar 10,60 mm; 9,44 mm; 8,3 mm; 5,641 mm pada bakteri Helicobacter pylori. Selanjutnya untuk bakteri Shigella dysenteriae terbentuk rata-rata diameter hambat sebesar 10,05 mm; 9,63 mm; 6 mm; 4,583 mm. Abstract Sponges are marine animals that produce bioactive compounds known to have antibacterial activity. The aim of this research is to know the antibacterial activity of Aplysina aerophoba ethyl acetate extract on Shigella dysenteriae and Helicobacter pylori. Testing of antibacterial activity using diffusion method was done by measuring the inhibitory diameter around the paper disk, using various concentrations is 7%, 5%, 3%, 1%. The results showed that Aplysina aerophoba ethyl acetate extract able to inhibit the growth of Shigella dysenteriae and Helicobacter pylori bacteria with the formation of inhibitory diameter at each concentration of 10.60 mm; 9.44 mm; 8.3 mm; 5.641 mm in Helicobacter pylori bacteria. Furthermore, for Shigella dysenteriae bacteria, the average inhibitory diameter is 10.05 mm; 9.63 mm; 6 mm; 4,583 mm.","author":[{"dropping-particle":"","family":"Fajrina","given":"Anzharni","non-dropping-particle":"","parse-names":false,"suffix":""},{"dropping-particle":"","family":"Dinni","given":"Dwi","non-dropping-particle":"","parse-names":false,"suffix":""},{"dropping-particle":"","family":"Bakhtra","given":"Aulia","non-dropping-particle":"","parse-names":false,"suffix":""},{"dropping-particle":"","family":"Irenda","given":"Yuyun","non-dropping-particle":"","parse-names":false,"suffix":""}],"container-title":"Jurnal Farmasi Higea","id":"ITEM-1","issue":"2","issued":{"date-parts":[["2018"]]},"title":"Uji Aktivitas Antibakteri Ektrak Etil Asetat Spons Aplysina aerophoba Pada Helicobacter pylori dan Shigella dysenteriae","type":"report","volume":"10"},"uris":["http://www.mendeley.com/documents/?uuid=221e2386-d8a1-3961-9a3d-4cb58f4c455c"]}],"mendeley":{"formattedCitation":"(16)","manualFormatting":"16","plainTextFormattedCitation":"(16)","previouslyFormattedCitation":"(16)"},"properties":{"noteIndex":0},"schema":"https://github.com/citation-style-language/schema/raw/master/csl-citation.json"}</w:instrText>
      </w:r>
      <w:r w:rsidR="00BC31A6" w:rsidRPr="00A77904">
        <w:rPr>
          <w:sz w:val="20"/>
          <w:szCs w:val="20"/>
          <w:lang w:val="en-US"/>
        </w:rPr>
        <w:fldChar w:fldCharType="separate"/>
      </w:r>
      <w:r w:rsidR="00567FF9" w:rsidRPr="00A77904">
        <w:rPr>
          <w:noProof/>
          <w:sz w:val="20"/>
          <w:szCs w:val="20"/>
          <w:lang w:val="en-US"/>
        </w:rPr>
        <w:t>16</w:t>
      </w:r>
      <w:r w:rsidR="00BC31A6" w:rsidRPr="00A77904">
        <w:rPr>
          <w:sz w:val="20"/>
          <w:szCs w:val="20"/>
          <w:lang w:val="en-US"/>
        </w:rPr>
        <w:fldChar w:fldCharType="end"/>
      </w:r>
      <w:r w:rsidR="001D5045" w:rsidRPr="00A77904">
        <w:rPr>
          <w:sz w:val="20"/>
          <w:szCs w:val="20"/>
          <w:lang w:val="en-US"/>
        </w:rPr>
        <w:t>]</w:t>
      </w:r>
      <w:r w:rsidRPr="00A77904">
        <w:rPr>
          <w:sz w:val="20"/>
          <w:szCs w:val="20"/>
          <w:lang w:val="en-US"/>
        </w:rPr>
        <w:t>. The use of a rotary evaporator for filtrate concentration is a standard practice to remove solvents while preserving the bioactive properties of the extract. This step is essential for obtaining a pure, concentrated extract suitable for subsequent biological assays</w:t>
      </w:r>
      <w:r w:rsidR="00C35560" w:rsidRPr="00A77904">
        <w:rPr>
          <w:sz w:val="20"/>
          <w:szCs w:val="20"/>
          <w:lang w:val="en-US"/>
        </w:rPr>
        <w:t xml:space="preserve"> [</w:t>
      </w:r>
      <w:r w:rsidR="00C35560" w:rsidRPr="00A77904">
        <w:rPr>
          <w:sz w:val="20"/>
          <w:szCs w:val="20"/>
          <w:lang w:val="en-US"/>
        </w:rPr>
        <w:fldChar w:fldCharType="begin" w:fldLock="1"/>
      </w:r>
      <w:r w:rsidR="00726086" w:rsidRPr="00A77904">
        <w:rPr>
          <w:sz w:val="20"/>
          <w:szCs w:val="20"/>
          <w:lang w:val="en-US"/>
        </w:rPr>
        <w:instrText>ADDIN CSL_CITATION {"citationItems":[{"id":"ITEM-1","itemData":{"author":[{"dropping-particle":"","family":"Dwi Pangesti","given":"Rizki","non-dropping-particle":"","parse-names":false,"suffix":""},{"dropping-particle":"","family":"Cahyono","given":"Edy","non-dropping-particle":"","parse-names":false,"suffix":""},{"dropping-particle":"","family":"Ersanghono Kusumo Jurusan Kimia","given":"dan","non-dropping-particle":"","parse-names":false,"suffix":""},{"dropping-particle":"","family":"Matematika dan Ilmu Pengetahuan Alam","given":"Fakultas","non-dropping-particle":"","parse-names":false,"suffix":""}],"container-title":"J. Chem. Sci","id":"ITEM-1","issue":"3","issued":{"date-parts":[["2017"]]},"title":"Indonesian Journal of Chemical Science Perbandingan Daya Antibakteri Ekstrak dan Minyak Piper betle L. terhadap Bakteri Streptococcus mutans","type":"report","volume":"6"},"uris":["http://www.mendeley.com/documents/?uuid=a7c2fc90-0d6d-38a2-b442-40e783a57424"]}],"mendeley":{"formattedCitation":"(18)","manualFormatting":"18","plainTextFormattedCitation":"(18)","previouslyFormattedCitation":"(18)"},"properties":{"noteIndex":0},"schema":"https://github.com/citation-style-language/schema/raw/master/csl-citation.json"}</w:instrText>
      </w:r>
      <w:r w:rsidR="00C35560" w:rsidRPr="00A77904">
        <w:rPr>
          <w:sz w:val="20"/>
          <w:szCs w:val="20"/>
          <w:lang w:val="en-US"/>
        </w:rPr>
        <w:fldChar w:fldCharType="separate"/>
      </w:r>
      <w:r w:rsidR="00567FF9" w:rsidRPr="00A77904">
        <w:rPr>
          <w:noProof/>
          <w:sz w:val="20"/>
          <w:szCs w:val="20"/>
          <w:lang w:val="en-US"/>
        </w:rPr>
        <w:t>18</w:t>
      </w:r>
      <w:r w:rsidR="00C35560" w:rsidRPr="00A77904">
        <w:rPr>
          <w:sz w:val="20"/>
          <w:szCs w:val="20"/>
          <w:lang w:val="en-US"/>
        </w:rPr>
        <w:fldChar w:fldCharType="end"/>
      </w:r>
      <w:r w:rsidR="00C35560" w:rsidRPr="00A77904">
        <w:rPr>
          <w:sz w:val="20"/>
          <w:szCs w:val="20"/>
          <w:lang w:val="en-US"/>
        </w:rPr>
        <w:t>]</w:t>
      </w:r>
      <w:r w:rsidRPr="00A77904">
        <w:rPr>
          <w:sz w:val="20"/>
          <w:szCs w:val="20"/>
          <w:lang w:val="en-US"/>
        </w:rPr>
        <w:t>.</w:t>
      </w:r>
    </w:p>
    <w:p w14:paraId="00000031" w14:textId="5C77F1C9" w:rsidR="00125CE4" w:rsidRPr="00A77904" w:rsidRDefault="00000000">
      <w:pPr>
        <w:ind w:firstLine="360"/>
        <w:jc w:val="both"/>
        <w:rPr>
          <w:sz w:val="20"/>
          <w:szCs w:val="20"/>
          <w:lang w:val="en-US"/>
        </w:rPr>
      </w:pPr>
      <w:r w:rsidRPr="00A77904">
        <w:rPr>
          <w:sz w:val="20"/>
          <w:szCs w:val="20"/>
          <w:lang w:val="en-US"/>
        </w:rPr>
        <w:t xml:space="preserve">In summary, the sample preparation and extraction protocol in this study is well-optimized to maximize the recovery of bioactive compounds from </w:t>
      </w:r>
      <w:proofErr w:type="spellStart"/>
      <w:r w:rsidR="00E3378A" w:rsidRPr="00A77904">
        <w:rPr>
          <w:sz w:val="20"/>
          <w:szCs w:val="20"/>
          <w:lang w:val="en-US"/>
        </w:rPr>
        <w:t>Kesambi</w:t>
      </w:r>
      <w:proofErr w:type="spellEnd"/>
      <w:r w:rsidRPr="00A77904">
        <w:rPr>
          <w:sz w:val="20"/>
          <w:szCs w:val="20"/>
          <w:lang w:val="en-US"/>
        </w:rPr>
        <w:t xml:space="preserve"> leaves. The methods employed are supported by extensive literature, ensuring the reliability and reproducibility of the results. Future studies could explore the impact of alternative extraction techniques, such as ultrasound-assisted extraction, to further enhance efficiency and yield.</w:t>
      </w:r>
    </w:p>
    <w:p w14:paraId="00000032" w14:textId="77777777" w:rsidR="00125CE4" w:rsidRPr="00A77904" w:rsidRDefault="00125CE4">
      <w:pPr>
        <w:pBdr>
          <w:top w:val="nil"/>
          <w:left w:val="nil"/>
          <w:bottom w:val="nil"/>
          <w:right w:val="nil"/>
          <w:between w:val="nil"/>
        </w:pBdr>
        <w:ind w:right="82"/>
        <w:rPr>
          <w:color w:val="000000"/>
          <w:lang w:val="en-US"/>
        </w:rPr>
      </w:pPr>
    </w:p>
    <w:p w14:paraId="00000034" w14:textId="2FC4DFC5" w:rsidR="00125CE4" w:rsidRPr="00A77904" w:rsidRDefault="00000000" w:rsidP="00435AF3">
      <w:pPr>
        <w:pStyle w:val="Heading1"/>
        <w:ind w:left="0" w:right="86"/>
        <w:rPr>
          <w:lang w:val="en-US"/>
        </w:rPr>
      </w:pPr>
      <w:r w:rsidRPr="00A77904">
        <w:rPr>
          <w:lang w:val="en-US"/>
        </w:rPr>
        <w:t>Antibacterial Activity</w:t>
      </w:r>
    </w:p>
    <w:p w14:paraId="520CD110" w14:textId="77777777" w:rsidR="00CD0A0B" w:rsidRPr="00A77904" w:rsidRDefault="00CD0A0B" w:rsidP="00CD0A0B">
      <w:pPr>
        <w:rPr>
          <w:lang w:val="en-US"/>
        </w:rPr>
      </w:pPr>
    </w:p>
    <w:p w14:paraId="00000035" w14:textId="6BD32733" w:rsidR="00125CE4" w:rsidRPr="00A77904" w:rsidRDefault="00000000" w:rsidP="00253E8A">
      <w:pPr>
        <w:ind w:firstLine="360"/>
        <w:jc w:val="both"/>
        <w:rPr>
          <w:sz w:val="20"/>
          <w:szCs w:val="20"/>
          <w:lang w:val="en-US"/>
        </w:rPr>
      </w:pPr>
      <w:sdt>
        <w:sdtPr>
          <w:rPr>
            <w:lang w:val="en-US"/>
          </w:rPr>
          <w:tag w:val="goog_rdk_12"/>
          <w:id w:val="-180034755"/>
        </w:sdtPr>
        <w:sdtEndPr>
          <w:rPr>
            <w:sz w:val="20"/>
            <w:szCs w:val="20"/>
          </w:rPr>
        </w:sdtEndPr>
        <w:sdtContent>
          <w:r w:rsidR="00253E8A" w:rsidRPr="00A77904">
            <w:rPr>
              <w:sz w:val="20"/>
              <w:szCs w:val="20"/>
              <w:lang w:val="en-US"/>
            </w:rPr>
            <w:t xml:space="preserve">The antibacterial test was performed using the well diffusion technique, which was selected for its simplicity in measuring inhibition zone diameters. The inhibition zone was identified as a clear region surrounding the well, indicating suppression of bacterial growth by the test sample (DMSO). A wider zone reflects stronger antibacterial activity of the tested compound. The concentrated </w:t>
          </w:r>
          <w:proofErr w:type="spellStart"/>
          <w:r w:rsidR="00E3378A" w:rsidRPr="00A77904">
            <w:rPr>
              <w:sz w:val="20"/>
              <w:szCs w:val="20"/>
              <w:lang w:val="en-US"/>
            </w:rPr>
            <w:t>Kesambi</w:t>
          </w:r>
          <w:proofErr w:type="spellEnd"/>
          <w:r w:rsidR="00253E8A" w:rsidRPr="00A77904">
            <w:rPr>
              <w:sz w:val="20"/>
              <w:szCs w:val="20"/>
              <w:lang w:val="en-US"/>
            </w:rPr>
            <w:t xml:space="preserve"> leaf extract was diluted with DMSO, a solvent capable of dissolving both polar and nonpolar compounds. Chloramphenicol served as the positive control because of its broad-spectrum activity against Gram-positive and Gram-negative bacteria</w:t>
          </w:r>
          <w:r w:rsidR="00BC31A6" w:rsidRPr="00A77904">
            <w:rPr>
              <w:sz w:val="20"/>
              <w:szCs w:val="20"/>
              <w:lang w:val="en-US"/>
            </w:rPr>
            <w:t xml:space="preserve"> [</w:t>
          </w:r>
          <w:r w:rsidR="001D5045" w:rsidRPr="00A77904">
            <w:rPr>
              <w:sz w:val="20"/>
              <w:szCs w:val="20"/>
              <w:lang w:val="en-US"/>
            </w:rPr>
            <w:fldChar w:fldCharType="begin" w:fldLock="1"/>
          </w:r>
          <w:r w:rsidR="00726086" w:rsidRPr="00A77904">
            <w:rPr>
              <w:sz w:val="20"/>
              <w:szCs w:val="20"/>
              <w:lang w:val="en-US"/>
            </w:rPr>
            <w:instrText>ADDIN CSL_CITATION {"citationItems":[{"id":"ITEM-1","itemData":{"DOI":"10.1128/aem.01547-22","ISSN":"10985336","PMID":"36519886","abstract":"Antibiotic resistance mediated by bacterial enzyme inactivation plays a crucial role in the degradation of antibiotics in the environment. Chloramphenicol (CAP) resistance by enzymatic inactivation comprises nitro reduction, amide bond hydrolysis, and acetylation modification. However, the molecular mechanism of enzymatic oxidation of CAP remains unknown. Here, a novel oxidase gene, cmO, was identified and confirmed biochemically. The encoded CmO oxidase could catalyze the oxidation at the C-1' and C-3' positions of CAP and thiamphenicol (TAP) in Sphingobium sp. strain CAP-1. CmO is highly conserved in members of the family Sphingomonadaceae and shares the highest amino acid similarity of 41.05% with the biochemically identified glucose methanol choline (GMC) oxidoreductases. Molecular docking and site-directed mutagenesis analyses demonstrated that CAP was anchored inside the protein pocket of CmO with the hydrogen bonding of key residues glycine (G) 99, asparagine (N) 518, methionine (M) 474, and tyrosine (Y) 380. CAP sensitivity tests demonstrated that the acetyltransferase and CmO could enable a higher level of resistance to CAP than the amide bond-hydrolyzing esterase and nitroreductase. This study provides a better theoretical basis and a novel diagnostic gene for understanding and assessing the fate and resistance risk of CAP and TAP in the environment.","author":[{"dropping-particle":"","family":"Ma","given":"Xiaodan","non-dropping-particle":"","parse-names":false,"suffix":""},{"dropping-particle":"","family":"Zhang","given":"Liying","non-dropping-particle":"","parse-names":false,"suffix":""},{"dropping-particle":"","family":"Ren","given":"Yijun","non-dropping-particle":"","parse-names":false,"suffix":""},{"dropping-particle":"","family":"Yun","given":"Hui","non-dropping-particle":"","parse-names":false,"suffix":""},{"dropping-particle":"","family":"Cui","given":"Hanlin","non-dropping-particle":"","parse-names":false,"suffix":""},{"dropping-particle":"","family":"Li","given":"Qian","non-dropping-particle":"","parse-names":false,"suffix":""},{"dropping-particle":"","family":"Guo","given":"Yuanqiang","non-dropping-particle":"","parse-names":false,"suffix":""},{"dropping-particle":"","family":"Gao","given":"Shuhong","non-dropping-particle":"","parse-names":false,"suffix":""},{"dropping-particle":"","family":"Zhang","given":"Fengliang","non-dropping-particle":"","parse-names":false,"suffix":""},{"dropping-particle":"","family":"Wang","given":"Aijie","non-dropping-particle":"","parse-names":false,"suffix":""},{"dropping-particle":"","family":"Liang","given":"Bin","non-dropping-particle":"","parse-names":false,"suffix":""}],"container-title":"Applied and Environmental Microbiology","id":"ITEM-1","issue":"1","issued":{"date-parts":[["2023","1","1"]]},"publisher":"American Society for Microbiology","title":"Molecular Mechanism of Chloramphenicol and Thiamphenicol Resistance Mediated by a Novel Oxidase, CmO, in Sphingomonadaceae","type":"article-journal","volume":"89"},"uris":["http://www.mendeley.com/documents/?uuid=1e64c87d-5b9a-319a-90bd-d48f256e67bf"]}],"mendeley":{"formattedCitation":"(19)","manualFormatting":"19","plainTextFormattedCitation":"(19)","previouslyFormattedCitation":"(19)"},"properties":{"noteIndex":0},"schema":"https://github.com/citation-style-language/schema/raw/master/csl-citation.json"}</w:instrText>
          </w:r>
          <w:r w:rsidR="001D5045" w:rsidRPr="00A77904">
            <w:rPr>
              <w:sz w:val="20"/>
              <w:szCs w:val="20"/>
              <w:lang w:val="en-US"/>
            </w:rPr>
            <w:fldChar w:fldCharType="separate"/>
          </w:r>
          <w:r w:rsidR="00567FF9" w:rsidRPr="00A77904">
            <w:rPr>
              <w:noProof/>
              <w:sz w:val="20"/>
              <w:szCs w:val="20"/>
              <w:lang w:val="en-US"/>
            </w:rPr>
            <w:t>19</w:t>
          </w:r>
          <w:r w:rsidR="001D5045" w:rsidRPr="00A77904">
            <w:rPr>
              <w:sz w:val="20"/>
              <w:szCs w:val="20"/>
              <w:lang w:val="en-US"/>
            </w:rPr>
            <w:fldChar w:fldCharType="end"/>
          </w:r>
          <w:r w:rsidR="00BC31A6" w:rsidRPr="00A77904">
            <w:rPr>
              <w:sz w:val="20"/>
              <w:szCs w:val="20"/>
              <w:lang w:val="en-US"/>
            </w:rPr>
            <w:t>]</w:t>
          </w:r>
          <w:r w:rsidR="00253E8A" w:rsidRPr="00A77904">
            <w:rPr>
              <w:sz w:val="20"/>
              <w:szCs w:val="20"/>
              <w:lang w:val="en-US"/>
            </w:rPr>
            <w:t>. Its antibacterial effect is exerted through the inhibition of bacterial protein synthesis. After applying the test and control solutions, the inoculated media were incubated at 37°C for 41 hours, as the inhibition zone was found to reach its maximum diameter at this incubation period, ensuring optimal visualization of antibacterial activity.</w:t>
          </w:r>
        </w:sdtContent>
      </w:sdt>
      <w:r w:rsidR="00195ED3" w:rsidRPr="00A77904">
        <w:rPr>
          <w:sz w:val="20"/>
          <w:szCs w:val="20"/>
          <w:lang w:val="en-US"/>
        </w:rPr>
        <w:t xml:space="preserve"> </w:t>
      </w:r>
    </w:p>
    <w:sdt>
      <w:sdtPr>
        <w:rPr>
          <w:sz w:val="20"/>
          <w:szCs w:val="20"/>
          <w:lang w:val="en-US"/>
        </w:rPr>
        <w:tag w:val="goog_rdk_14"/>
        <w:id w:val="-1276031959"/>
      </w:sdtPr>
      <w:sdtContent>
        <w:p w14:paraId="66C797AC" w14:textId="63CB2404" w:rsidR="00FE3E15" w:rsidRPr="00A77904" w:rsidRDefault="00B857AC" w:rsidP="00AF2AFC">
          <w:pPr>
            <w:ind w:right="82" w:firstLine="360"/>
            <w:jc w:val="both"/>
            <w:rPr>
              <w:sz w:val="20"/>
              <w:szCs w:val="20"/>
              <w:lang w:val="en-US"/>
            </w:rPr>
          </w:pPr>
          <w:r w:rsidRPr="00A77904">
            <w:rPr>
              <w:sz w:val="20"/>
              <w:szCs w:val="20"/>
              <w:lang w:val="en-US"/>
            </w:rPr>
            <w:t xml:space="preserve">The highland </w:t>
          </w:r>
          <w:proofErr w:type="spellStart"/>
          <w:r w:rsidR="00E3378A" w:rsidRPr="00A77904">
            <w:rPr>
              <w:sz w:val="20"/>
              <w:szCs w:val="20"/>
              <w:lang w:val="en-US"/>
            </w:rPr>
            <w:t>Kesambi</w:t>
          </w:r>
          <w:proofErr w:type="spellEnd"/>
          <w:r w:rsidRPr="00A77904">
            <w:rPr>
              <w:sz w:val="20"/>
              <w:szCs w:val="20"/>
              <w:lang w:val="en-US"/>
            </w:rPr>
            <w:t xml:space="preserve"> leaf extract exhibited a wider inhibition zone diameter than the lowland extract. Both extracts inhibited the growth of </w:t>
          </w:r>
          <w:r w:rsidRPr="00A77904">
            <w:rPr>
              <w:i/>
              <w:iCs/>
              <w:sz w:val="20"/>
              <w:szCs w:val="20"/>
              <w:lang w:val="en-US"/>
            </w:rPr>
            <w:t>P</w:t>
          </w:r>
          <w:r w:rsidR="00E3378A" w:rsidRPr="00A77904">
            <w:rPr>
              <w:i/>
              <w:iCs/>
              <w:sz w:val="20"/>
              <w:szCs w:val="20"/>
              <w:lang w:val="en-US"/>
            </w:rPr>
            <w:t>.</w:t>
          </w:r>
          <w:r w:rsidRPr="00A77904">
            <w:rPr>
              <w:i/>
              <w:iCs/>
              <w:sz w:val="20"/>
              <w:szCs w:val="20"/>
              <w:lang w:val="en-US"/>
            </w:rPr>
            <w:t xml:space="preserve"> aeruginosa</w:t>
          </w:r>
          <w:r w:rsidRPr="00A77904">
            <w:rPr>
              <w:sz w:val="20"/>
              <w:szCs w:val="20"/>
              <w:lang w:val="en-US"/>
            </w:rPr>
            <w:t xml:space="preserve"> and </w:t>
          </w:r>
          <w:r w:rsidRPr="00A77904">
            <w:rPr>
              <w:i/>
              <w:iCs/>
              <w:sz w:val="20"/>
              <w:szCs w:val="20"/>
              <w:lang w:val="en-US"/>
            </w:rPr>
            <w:t>B</w:t>
          </w:r>
          <w:r w:rsidR="00E3378A" w:rsidRPr="00A77904">
            <w:rPr>
              <w:i/>
              <w:iCs/>
              <w:sz w:val="20"/>
              <w:szCs w:val="20"/>
              <w:lang w:val="en-US"/>
            </w:rPr>
            <w:t>.</w:t>
          </w:r>
          <w:r w:rsidRPr="00A77904">
            <w:rPr>
              <w:i/>
              <w:iCs/>
              <w:sz w:val="20"/>
              <w:szCs w:val="20"/>
              <w:lang w:val="en-US"/>
            </w:rPr>
            <w:t xml:space="preserve"> subtilis</w:t>
          </w:r>
          <w:r w:rsidRPr="00A77904">
            <w:rPr>
              <w:sz w:val="20"/>
              <w:szCs w:val="20"/>
              <w:lang w:val="en-US"/>
            </w:rPr>
            <w:t xml:space="preserve">, with the inhibition being more pronounced against </w:t>
          </w:r>
          <w:r w:rsidRPr="00A77904">
            <w:rPr>
              <w:i/>
              <w:iCs/>
              <w:sz w:val="20"/>
              <w:szCs w:val="20"/>
              <w:lang w:val="en-US"/>
            </w:rPr>
            <w:t>P. aeruginosa</w:t>
          </w:r>
          <w:r w:rsidRPr="00A77904">
            <w:rPr>
              <w:sz w:val="20"/>
              <w:szCs w:val="20"/>
              <w:lang w:val="en-US"/>
            </w:rPr>
            <w:t xml:space="preserve"> (Gram-negative). This trend is consistent with previous studies showing that Gram-negative bacteria, despite the presence of an outer membrane, can be more susceptible to certain plant-derived compounds due to differences in membrane permeability</w:t>
          </w:r>
          <w:r w:rsidR="008E4E62" w:rsidRPr="00A77904">
            <w:rPr>
              <w:sz w:val="20"/>
              <w:szCs w:val="20"/>
              <w:lang w:val="en-US"/>
            </w:rPr>
            <w:t xml:space="preserve"> [</w:t>
          </w:r>
          <w:r w:rsidR="00155A3F" w:rsidRPr="00A77904">
            <w:rPr>
              <w:sz w:val="20"/>
              <w:szCs w:val="20"/>
              <w:lang w:val="en-US"/>
            </w:rPr>
            <w:fldChar w:fldCharType="begin" w:fldLock="1"/>
          </w:r>
          <w:r w:rsidR="00726086" w:rsidRPr="00A77904">
            <w:rPr>
              <w:sz w:val="20"/>
              <w:szCs w:val="20"/>
              <w:lang w:val="en-US"/>
            </w:rPr>
            <w:instrText>ADDIN CSL_CITATION {"citationItems":[{"id":"ITEM-1","itemData":{"DOI":"10.12688/f1000research.26215.1","ISSN":"1759796X","PMID":"33537126","abstract":"Background: Disease causing bacteria such as Vibrio alginolyticus, Aeromonas hydrophila, and Pseudomonas aeruginosa present a problem for fish farming. Treatment to remove them are generally carried out using antibiotics which have side effects on fish, the environment and humans. However, the use of antibacterial compounds derived from heterotrophic bacteria serve as a good alternative for antibiotics. Therefore, this study aimed to explore antibacterial activity in the secondary metabolite extracts of heterotrophic bacteria against Vibrio alginolyticus, Aeromonas hydrophila, and Pseudomonas aeruginosa. Methods: Heterotrophic bacteria namely Bacillus sp. JS04 MT102913.1, Bacillus toyonensis JS08 MT102920.1, Bacillus cereus JS10 MT102922.1, Bacillus sp. JS11 MT102923.1, Pseudoalteromonas sp. JS19 MT102924.1, Bacillus cereus JS22 MT102926.1, and Bacillus sp. strain JS25 MT102927.1 were used in this study. The sequences of these bacteria have been deposited and are available from NCBI GenBank. Each heterotrophic bacterium was cultured on 6L nutrient broth for 8 days, and extracts produced using ethyl acetate to obtain their secondary metabolites. These extracts were tested for their phytochemical contents using FT-IR and also tested for their inhibitory property in pathogenic bacteria by agar diffusion method. Results: Phytochemical test results showed that the seven heterotrophic bacterial isolates produced terpenoid compounds. Based on the inhibitory test, the secondary metabolite extracts from Bacillus sp strain JS04 had the highest inhibitory effect on the growth of pathogenic bacteria namely, V. alginolyticus (17.5 mm), A. hydrophila (16.8 mm), and P. aeruginosa (17.3 mm). Conclusion: It was concluded that the secondary metabolite extracts of heterotrophic bacteria inhibit the growth of V. alginolyticus, A. hydrophila, and P. aeruginosa.","author":[{"dropping-particle":"","family":"Feliatra","given":"Feli","non-dropping-particle":"","parse-names":false,"suffix":""},{"dropping-particle":"","family":"Setiaji","given":"Jarod","non-dropping-particle":"","parse-names":false,"suffix":""},{"dropping-particle":"","family":"Teruna","given":"Hilwan Yuda","non-dropping-particle":"","parse-names":false,"suffix":""},{"dropping-particle":"","family":"Lukistyowati","given":"Iesje","non-dropping-particle":"","parse-names":false,"suffix":""},{"dropping-particle":"","family":"Suharman","given":"Indra","non-dropping-particle":"","parse-names":false,"suffix":""},{"dropping-particle":"","family":"Muchlisin","given":"Zainal Abidin","non-dropping-particle":"","parse-names":false,"suffix":""},{"dropping-particle":"","family":"Johan","given":"Teuku Iskandar","non-dropping-particle":"","parse-names":false,"suffix":""}],"container-title":"F1000Research","id":"ITEM-1","issued":{"date-parts":[["2020"]]},"publisher":"F1000 Research Ltd","title":"Antibacterial activity in secondary metabolite extracts of heterotrophic bacteria against Vibrio alginolyticus, Aeromonas hydrophila, and Pseudomonas aeruginosa","type":"article-journal","volume":"9"},"uris":["http://www.mendeley.com/documents/?uuid=7266430c-b69e-367d-b5d3-243ef7b490b5"]}],"mendeley":{"formattedCitation":"(20)","manualFormatting":"20","plainTextFormattedCitation":"(20)","previouslyFormattedCitation":"(20)"},"properties":{"noteIndex":0},"schema":"https://github.com/citation-style-language/schema/raw/master/csl-citation.json"}</w:instrText>
          </w:r>
          <w:r w:rsidR="00155A3F" w:rsidRPr="00A77904">
            <w:rPr>
              <w:sz w:val="20"/>
              <w:szCs w:val="20"/>
              <w:lang w:val="en-US"/>
            </w:rPr>
            <w:fldChar w:fldCharType="separate"/>
          </w:r>
          <w:r w:rsidR="00567FF9" w:rsidRPr="00A77904">
            <w:rPr>
              <w:noProof/>
              <w:sz w:val="20"/>
              <w:szCs w:val="20"/>
              <w:lang w:val="en-US"/>
            </w:rPr>
            <w:t>20</w:t>
          </w:r>
          <w:r w:rsidR="00155A3F" w:rsidRPr="00A77904">
            <w:rPr>
              <w:sz w:val="20"/>
              <w:szCs w:val="20"/>
              <w:lang w:val="en-US"/>
            </w:rPr>
            <w:fldChar w:fldCharType="end"/>
          </w:r>
          <w:r w:rsidR="008E4E62" w:rsidRPr="00A77904">
            <w:rPr>
              <w:sz w:val="20"/>
              <w:szCs w:val="20"/>
              <w:lang w:val="en-US"/>
            </w:rPr>
            <w:t>]</w:t>
          </w:r>
          <w:r w:rsidR="00FD2CEE" w:rsidRPr="00A77904">
            <w:rPr>
              <w:sz w:val="20"/>
              <w:szCs w:val="20"/>
              <w:lang w:val="en-US"/>
            </w:rPr>
            <w:t xml:space="preserve">. </w:t>
          </w:r>
          <w:r w:rsidRPr="00A77904">
            <w:rPr>
              <w:sz w:val="20"/>
              <w:szCs w:val="20"/>
              <w:lang w:val="en-US"/>
            </w:rPr>
            <w:t xml:space="preserve">By contrast, Gram-positive bacteria such as </w:t>
          </w:r>
          <w:r w:rsidRPr="00A77904">
            <w:rPr>
              <w:i/>
              <w:iCs/>
              <w:sz w:val="20"/>
              <w:szCs w:val="20"/>
              <w:lang w:val="en-US"/>
            </w:rPr>
            <w:t>B. subtilis</w:t>
          </w:r>
          <w:r w:rsidRPr="00A77904">
            <w:rPr>
              <w:sz w:val="20"/>
              <w:szCs w:val="20"/>
              <w:lang w:val="en-US"/>
            </w:rPr>
            <w:t xml:space="preserve"> possess a thick peptidoglycan layer that may hinder the penetration of antibacterial agents</w:t>
          </w:r>
          <w:r w:rsidR="00F71EC3" w:rsidRPr="00A77904">
            <w:rPr>
              <w:sz w:val="20"/>
              <w:szCs w:val="20"/>
              <w:lang w:val="en-US"/>
            </w:rPr>
            <w:t xml:space="preserve"> </w:t>
          </w:r>
          <w:r w:rsidR="00F71EC3" w:rsidRPr="00A77904">
            <w:rPr>
              <w:sz w:val="20"/>
              <w:szCs w:val="20"/>
              <w:lang w:val="en-US"/>
            </w:rPr>
            <w:fldChar w:fldCharType="begin" w:fldLock="1"/>
          </w:r>
          <w:r w:rsidR="00F71EC3" w:rsidRPr="00A77904">
            <w:rPr>
              <w:sz w:val="20"/>
              <w:szCs w:val="20"/>
              <w:lang w:val="en-US"/>
            </w:rPr>
            <w:instrText>ADDIN CSL_CITATION {"citationItems":[{"id":"ITEM-1","itemData":{"id":"ITEM-1","issued":{"date-parts":[["0"]]},"title":"CamScanner 19-09-2025 10.28.pdf","type":"article"},"uris":["http://www.mendeley.com/documents/?uuid=1b515b24-7fae-4d9e-8af2-e7a32894782f"]}],"mendeley":{"formattedCitation":"(21)","manualFormatting":"[21]","plainTextFormattedCitation":"(21)","previouslyFormattedCitation":"(21)"},"properties":{"noteIndex":0},"schema":"https://github.com/citation-style-language/schema/raw/master/csl-citation.json"}</w:instrText>
          </w:r>
          <w:r w:rsidR="00F71EC3" w:rsidRPr="00A77904">
            <w:rPr>
              <w:sz w:val="20"/>
              <w:szCs w:val="20"/>
              <w:lang w:val="en-US"/>
            </w:rPr>
            <w:fldChar w:fldCharType="separate"/>
          </w:r>
          <w:r w:rsidR="00F71EC3" w:rsidRPr="00A77904">
            <w:rPr>
              <w:noProof/>
              <w:sz w:val="20"/>
              <w:szCs w:val="20"/>
              <w:lang w:val="en-US"/>
            </w:rPr>
            <w:t>[21]</w:t>
          </w:r>
          <w:r w:rsidR="00F71EC3" w:rsidRPr="00A77904">
            <w:rPr>
              <w:sz w:val="20"/>
              <w:szCs w:val="20"/>
              <w:lang w:val="en-US"/>
            </w:rPr>
            <w:fldChar w:fldCharType="end"/>
          </w:r>
          <w:r w:rsidRPr="00A77904">
            <w:rPr>
              <w:sz w:val="20"/>
              <w:szCs w:val="20"/>
              <w:lang w:val="en-US"/>
            </w:rPr>
            <w:t xml:space="preserve">. The notable effect against </w:t>
          </w:r>
          <w:r w:rsidRPr="00A77904">
            <w:rPr>
              <w:i/>
              <w:iCs/>
              <w:sz w:val="20"/>
              <w:szCs w:val="20"/>
              <w:lang w:val="en-US"/>
            </w:rPr>
            <w:t>P. aeruginosa</w:t>
          </w:r>
          <w:r w:rsidRPr="00A77904">
            <w:rPr>
              <w:sz w:val="20"/>
              <w:szCs w:val="20"/>
              <w:lang w:val="en-US"/>
            </w:rPr>
            <w:t xml:space="preserve"> suggests that the bioactive compounds in </w:t>
          </w:r>
          <w:proofErr w:type="spellStart"/>
          <w:r w:rsidR="00E3378A" w:rsidRPr="00A77904">
            <w:rPr>
              <w:sz w:val="20"/>
              <w:szCs w:val="20"/>
              <w:lang w:val="en-US"/>
            </w:rPr>
            <w:t>Kesambi</w:t>
          </w:r>
          <w:proofErr w:type="spellEnd"/>
          <w:r w:rsidRPr="00A77904">
            <w:rPr>
              <w:sz w:val="20"/>
              <w:szCs w:val="20"/>
              <w:lang w:val="en-US"/>
            </w:rPr>
            <w:t xml:space="preserve"> leaves may interfere with the lipopolysaccharide (LPS) barrier or efflux pump systems, leading to cell damage</w:t>
          </w:r>
          <w:r w:rsidR="00F71EC3" w:rsidRPr="00A77904">
            <w:rPr>
              <w:sz w:val="20"/>
              <w:szCs w:val="20"/>
              <w:lang w:val="en-US"/>
            </w:rPr>
            <w:t xml:space="preserve"> </w:t>
          </w:r>
          <w:r w:rsidR="00F71EC3" w:rsidRPr="00A77904">
            <w:rPr>
              <w:sz w:val="20"/>
              <w:szCs w:val="20"/>
              <w:lang w:val="en-US"/>
            </w:rPr>
            <w:fldChar w:fldCharType="begin" w:fldLock="1"/>
          </w:r>
          <w:r w:rsidR="00AE482A" w:rsidRPr="00A77904">
            <w:rPr>
              <w:sz w:val="20"/>
              <w:szCs w:val="20"/>
              <w:lang w:val="en-US"/>
            </w:rPr>
            <w:instrText>ADDIN CSL_CITATION {"citationItems":[{"id":"ITEM-1","itemData":{"DOI":"10.3390/antibiotics","abstract":"Citation: Yan, Y.; Li, X.; Zhang, C.; Lv, L.; Gao, B.; Li, M. Research Progress on Antibacterial Activities and Mechanisms of Natural Alkaloids: A Review. Antibiotics 2021, 10, 318. Abstract: Alkaloids are nitrogen-containing heterocyclic compounds typically isolated from plants. They represent one of the most important types of natural products because of their large number and structural diversity and complexity. Based on their chemical core structures, alkaloids are classified as isoquinolines, quinolines, indoles, piperidine alkaloids, etc. In-depth analyses of alkaloids have revealed their antibacterial activities. To date, due to the widespread use of antibiotics, the problem of drug-resistant bacterial infections has been gradually increasing, which severely affects the clinical efficacy of antibacterial therapies and patient safety. Therefore, significant research efforts are focused on alkaloids because they represent a potentially new type of natural antibiotic with a wide antibacterial spectrum, rare adverse reactions, and a low tendency to produce drug resistance. Their main antibacterial mechanisms include inhibition of bacterial cell wall synthesis, change in cell membrane permeability, inhibition of bacterial metabolism, and inhibition of nucleic acid and protein synthesis. This article reviews recent reports about the chemical structures and the antibacterial activities and mechanisms of alkaloids. The purpose is to solve the problem of bacterial resistance and to provide a certain theoretical basis and research ideas for the development of new antibacterial drugs.","author":[{"dropping-particle":"","family":"Yan","given":"Yumei","non-dropping-particle":"","parse-names":false,"suffix":""},{"dropping-particle":"","family":"Li","given":"Xing","non-dropping-particle":"","parse-names":false,"suffix":""},{"dropping-particle":"","family":"Zhang","given":"Chunhong","non-dropping-particle":"","parse-names":false,"suffix":""},{"dropping-particle":"","family":"Lv","given":"Lijuan","non-dropping-particle":"","parse-names":false,"suffix":""},{"dropping-particle":"","family":"Gao","given":"Bing","non-dropping-particle":"","parse-names":false,"suffix":""},{"dropping-particle":"","family":"Li","given":"Minhui","non-dropping-particle":"","parse-names":false,"suffix":""}],"id":"ITEM-1","issued":{"date-parts":[["2021"]]},"title":"antibiotics Review Research Progress on Antibacterial Activities and Mechanisms of Natural Alkaloids: A Review","type":"article-journal"},"uris":["http://www.mendeley.com/documents/?uuid=89678113-1725-3d16-bd7a-0680be02ef9c"]}],"mendeley":{"formattedCitation":"(22)","manualFormatting":"[22]","plainTextFormattedCitation":"(22)","previouslyFormattedCitation":"(22)"},"properties":{"noteIndex":0},"schema":"https://github.com/citation-style-language/schema/raw/master/csl-citation.json"}</w:instrText>
          </w:r>
          <w:r w:rsidR="00F71EC3" w:rsidRPr="00A77904">
            <w:rPr>
              <w:sz w:val="20"/>
              <w:szCs w:val="20"/>
              <w:lang w:val="en-US"/>
            </w:rPr>
            <w:fldChar w:fldCharType="separate"/>
          </w:r>
          <w:r w:rsidR="00F71EC3" w:rsidRPr="00A77904">
            <w:rPr>
              <w:noProof/>
              <w:sz w:val="20"/>
              <w:szCs w:val="20"/>
              <w:lang w:val="en-US"/>
            </w:rPr>
            <w:t>[22]</w:t>
          </w:r>
          <w:r w:rsidR="00F71EC3" w:rsidRPr="00A77904">
            <w:rPr>
              <w:sz w:val="20"/>
              <w:szCs w:val="20"/>
              <w:lang w:val="en-US"/>
            </w:rPr>
            <w:fldChar w:fldCharType="end"/>
          </w:r>
          <w:r w:rsidRPr="00A77904">
            <w:rPr>
              <w:sz w:val="20"/>
              <w:szCs w:val="20"/>
              <w:lang w:val="en-US"/>
            </w:rPr>
            <w:t xml:space="preserve">. </w:t>
          </w:r>
          <w:r w:rsidR="00AF2AFC" w:rsidRPr="00A77904">
            <w:rPr>
              <w:sz w:val="20"/>
              <w:szCs w:val="20"/>
              <w:lang w:val="en-US"/>
            </w:rPr>
            <w:t>The antibacterial activity results of the ethanol extract are presented in Table 1.</w:t>
          </w:r>
          <w:r w:rsidRPr="00A77904">
            <w:rPr>
              <w:sz w:val="20"/>
              <w:szCs w:val="20"/>
              <w:lang w:val="en-US"/>
            </w:rPr>
            <w:t xml:space="preserve">     </w:t>
          </w:r>
        </w:p>
        <w:bookmarkStart w:id="2" w:name="_heading=h.1w2mraer9s18" w:colFirst="0" w:colLast="0" w:displacedByCustomXml="next"/>
        <w:bookmarkEnd w:id="2" w:displacedByCustomXml="next"/>
      </w:sdtContent>
    </w:sdt>
    <w:p w14:paraId="06EE087C" w14:textId="77777777" w:rsidR="00FE3E15" w:rsidRPr="00A77904" w:rsidRDefault="00FE3E15" w:rsidP="00FE3E15">
      <w:pPr>
        <w:rPr>
          <w:lang w:val="en-US"/>
        </w:rPr>
      </w:pPr>
    </w:p>
    <w:p w14:paraId="00000038" w14:textId="7DF0D57E" w:rsidR="00125CE4" w:rsidRPr="00A77904" w:rsidRDefault="00000000">
      <w:pPr>
        <w:ind w:right="82"/>
        <w:jc w:val="center"/>
        <w:rPr>
          <w:b/>
          <w:sz w:val="18"/>
          <w:szCs w:val="18"/>
          <w:lang w:val="en-US"/>
        </w:rPr>
      </w:pPr>
      <w:r w:rsidRPr="00A77904">
        <w:rPr>
          <w:b/>
          <w:sz w:val="20"/>
          <w:szCs w:val="20"/>
          <w:lang w:val="en-US"/>
        </w:rPr>
        <w:t>T</w:t>
      </w:r>
      <w:r w:rsidR="00EA63FA" w:rsidRPr="00A77904">
        <w:rPr>
          <w:b/>
          <w:sz w:val="20"/>
          <w:szCs w:val="20"/>
          <w:lang w:val="en-US"/>
        </w:rPr>
        <w:t>ABLE</w:t>
      </w:r>
      <w:r w:rsidRPr="00A77904">
        <w:rPr>
          <w:b/>
          <w:sz w:val="20"/>
          <w:szCs w:val="20"/>
          <w:lang w:val="en-US"/>
        </w:rPr>
        <w:t xml:space="preserve"> 1</w:t>
      </w:r>
      <w:r w:rsidRPr="00A77904">
        <w:rPr>
          <w:b/>
          <w:sz w:val="18"/>
          <w:szCs w:val="18"/>
          <w:lang w:val="en-US"/>
        </w:rPr>
        <w:t xml:space="preserve">. </w:t>
      </w:r>
      <w:bookmarkStart w:id="3" w:name="_Hlk209267049"/>
      <w:r w:rsidRPr="00A77904">
        <w:rPr>
          <w:bCs/>
          <w:sz w:val="20"/>
          <w:szCs w:val="20"/>
          <w:lang w:val="en-US"/>
        </w:rPr>
        <w:t xml:space="preserve">Antibacterial test results of </w:t>
      </w:r>
      <w:proofErr w:type="spellStart"/>
      <w:r w:rsidR="00E3378A" w:rsidRPr="00A77904">
        <w:rPr>
          <w:bCs/>
          <w:sz w:val="20"/>
          <w:szCs w:val="20"/>
          <w:lang w:val="en-US"/>
        </w:rPr>
        <w:t>Kesambi</w:t>
      </w:r>
      <w:proofErr w:type="spellEnd"/>
      <w:r w:rsidRPr="00A77904">
        <w:rPr>
          <w:bCs/>
          <w:sz w:val="20"/>
          <w:szCs w:val="20"/>
          <w:lang w:val="en-US"/>
        </w:rPr>
        <w:t xml:space="preserve"> Leaf Ethanol Extrac</w:t>
      </w:r>
      <w:r w:rsidRPr="00A77904">
        <w:rPr>
          <w:bCs/>
          <w:sz w:val="18"/>
          <w:szCs w:val="18"/>
          <w:lang w:val="en-US"/>
        </w:rPr>
        <w:t>t</w:t>
      </w:r>
      <w:bookmarkEnd w:id="3"/>
    </w:p>
    <w:tbl>
      <w:tblPr>
        <w:tblStyle w:val="a1"/>
        <w:tblW w:w="7459" w:type="dxa"/>
        <w:jc w:val="center"/>
        <w:tblLayout w:type="fixed"/>
        <w:tblLook w:val="0400" w:firstRow="0" w:lastRow="0" w:firstColumn="0" w:lastColumn="0" w:noHBand="0" w:noVBand="1"/>
      </w:tblPr>
      <w:tblGrid>
        <w:gridCol w:w="1890"/>
        <w:gridCol w:w="1854"/>
        <w:gridCol w:w="1359"/>
        <w:gridCol w:w="990"/>
        <w:gridCol w:w="1366"/>
      </w:tblGrid>
      <w:tr w:rsidR="00066437" w:rsidRPr="00A77904" w14:paraId="315FFE09" w14:textId="77777777" w:rsidTr="00066437">
        <w:trPr>
          <w:trHeight w:val="310"/>
          <w:jc w:val="center"/>
        </w:trPr>
        <w:tc>
          <w:tcPr>
            <w:tcW w:w="1890" w:type="dxa"/>
            <w:vMerge w:val="restart"/>
            <w:tcBorders>
              <w:top w:val="single" w:sz="4" w:space="0" w:color="auto"/>
            </w:tcBorders>
            <w:vAlign w:val="center"/>
          </w:tcPr>
          <w:p w14:paraId="00000039" w14:textId="77777777" w:rsidR="00066437" w:rsidRPr="00A77904" w:rsidRDefault="00066437" w:rsidP="001F38A2">
            <w:pPr>
              <w:jc w:val="center"/>
              <w:rPr>
                <w:b/>
                <w:color w:val="000000"/>
                <w:sz w:val="18"/>
                <w:szCs w:val="18"/>
                <w:lang w:val="en-US"/>
              </w:rPr>
            </w:pPr>
            <w:bookmarkStart w:id="4" w:name="_heading=h.hb4sa396vk5d" w:colFirst="0" w:colLast="0"/>
            <w:bookmarkStart w:id="5" w:name="_Hlk209267002"/>
            <w:bookmarkEnd w:id="4"/>
            <w:r w:rsidRPr="00A77904">
              <w:rPr>
                <w:b/>
                <w:color w:val="000000"/>
                <w:sz w:val="18"/>
                <w:szCs w:val="18"/>
                <w:lang w:val="en-US"/>
              </w:rPr>
              <w:t>Bacteria</w:t>
            </w:r>
          </w:p>
        </w:tc>
        <w:tc>
          <w:tcPr>
            <w:tcW w:w="1854" w:type="dxa"/>
            <w:vMerge w:val="restart"/>
            <w:tcBorders>
              <w:top w:val="single" w:sz="4" w:space="0" w:color="auto"/>
            </w:tcBorders>
            <w:vAlign w:val="center"/>
          </w:tcPr>
          <w:p w14:paraId="0000003A" w14:textId="77777777" w:rsidR="00066437" w:rsidRPr="00A77904" w:rsidRDefault="00066437" w:rsidP="001F38A2">
            <w:pPr>
              <w:jc w:val="center"/>
              <w:rPr>
                <w:b/>
                <w:color w:val="000000"/>
                <w:sz w:val="18"/>
                <w:szCs w:val="18"/>
                <w:lang w:val="en-US"/>
              </w:rPr>
            </w:pPr>
            <w:r w:rsidRPr="00A77904">
              <w:rPr>
                <w:b/>
                <w:color w:val="000000"/>
                <w:sz w:val="18"/>
                <w:szCs w:val="18"/>
                <w:lang w:val="en-US"/>
              </w:rPr>
              <w:t>Sample</w:t>
            </w:r>
          </w:p>
        </w:tc>
        <w:tc>
          <w:tcPr>
            <w:tcW w:w="2349" w:type="dxa"/>
            <w:gridSpan w:val="2"/>
            <w:tcBorders>
              <w:top w:val="single" w:sz="4" w:space="0" w:color="auto"/>
            </w:tcBorders>
            <w:vAlign w:val="center"/>
          </w:tcPr>
          <w:p w14:paraId="0000003B" w14:textId="77777777" w:rsidR="00066437" w:rsidRPr="00A77904" w:rsidRDefault="00066437" w:rsidP="001F38A2">
            <w:pPr>
              <w:jc w:val="center"/>
              <w:rPr>
                <w:b/>
                <w:color w:val="000000"/>
                <w:sz w:val="18"/>
                <w:szCs w:val="18"/>
                <w:lang w:val="en-US"/>
              </w:rPr>
            </w:pPr>
            <w:r w:rsidRPr="00A77904">
              <w:rPr>
                <w:b/>
                <w:color w:val="000000"/>
                <w:sz w:val="18"/>
                <w:szCs w:val="18"/>
                <w:lang w:val="en-US"/>
              </w:rPr>
              <w:t>Inhibition Zone (mm)</w:t>
            </w:r>
          </w:p>
        </w:tc>
        <w:tc>
          <w:tcPr>
            <w:tcW w:w="1366" w:type="dxa"/>
            <w:vMerge w:val="restart"/>
            <w:tcBorders>
              <w:top w:val="single" w:sz="4" w:space="0" w:color="auto"/>
            </w:tcBorders>
            <w:vAlign w:val="center"/>
          </w:tcPr>
          <w:p w14:paraId="0000003D" w14:textId="77777777" w:rsidR="00066437" w:rsidRPr="00A77904" w:rsidRDefault="00066437" w:rsidP="001F38A2">
            <w:pPr>
              <w:jc w:val="center"/>
              <w:rPr>
                <w:b/>
                <w:color w:val="000000"/>
                <w:sz w:val="18"/>
                <w:szCs w:val="18"/>
                <w:lang w:val="en-US"/>
              </w:rPr>
            </w:pPr>
            <w:r w:rsidRPr="00A77904">
              <w:rPr>
                <w:b/>
                <w:color w:val="000000"/>
                <w:sz w:val="18"/>
                <w:szCs w:val="18"/>
                <w:lang w:val="en-US"/>
              </w:rPr>
              <w:t>Inhibition Zone (mm)</w:t>
            </w:r>
          </w:p>
        </w:tc>
      </w:tr>
      <w:tr w:rsidR="00066437" w:rsidRPr="00A77904" w14:paraId="4AA1669A" w14:textId="77777777" w:rsidTr="006D44BF">
        <w:trPr>
          <w:trHeight w:val="310"/>
          <w:jc w:val="center"/>
        </w:trPr>
        <w:tc>
          <w:tcPr>
            <w:tcW w:w="1890" w:type="dxa"/>
            <w:vMerge/>
            <w:tcBorders>
              <w:top w:val="single" w:sz="4" w:space="0" w:color="000000"/>
            </w:tcBorders>
            <w:vAlign w:val="center"/>
          </w:tcPr>
          <w:p w14:paraId="0000003E" w14:textId="77777777" w:rsidR="00066437" w:rsidRPr="00A77904" w:rsidRDefault="00066437" w:rsidP="001F38A2">
            <w:pPr>
              <w:pBdr>
                <w:top w:val="nil"/>
                <w:left w:val="nil"/>
                <w:bottom w:val="nil"/>
                <w:right w:val="nil"/>
                <w:between w:val="nil"/>
              </w:pBdr>
              <w:rPr>
                <w:b/>
                <w:color w:val="000000"/>
                <w:sz w:val="18"/>
                <w:szCs w:val="18"/>
                <w:lang w:val="en-US"/>
              </w:rPr>
            </w:pPr>
          </w:p>
        </w:tc>
        <w:tc>
          <w:tcPr>
            <w:tcW w:w="1854" w:type="dxa"/>
            <w:vMerge/>
            <w:tcBorders>
              <w:top w:val="single" w:sz="4" w:space="0" w:color="000000"/>
            </w:tcBorders>
            <w:vAlign w:val="center"/>
          </w:tcPr>
          <w:p w14:paraId="0000003F" w14:textId="77777777" w:rsidR="00066437" w:rsidRPr="00A77904" w:rsidRDefault="00066437" w:rsidP="001F38A2">
            <w:pPr>
              <w:pBdr>
                <w:top w:val="nil"/>
                <w:left w:val="nil"/>
                <w:bottom w:val="nil"/>
                <w:right w:val="nil"/>
                <w:between w:val="nil"/>
              </w:pBdr>
              <w:rPr>
                <w:b/>
                <w:color w:val="000000"/>
                <w:sz w:val="18"/>
                <w:szCs w:val="18"/>
                <w:lang w:val="en-US"/>
              </w:rPr>
            </w:pPr>
          </w:p>
        </w:tc>
        <w:tc>
          <w:tcPr>
            <w:tcW w:w="1359" w:type="dxa"/>
            <w:tcBorders>
              <w:bottom w:val="single" w:sz="4" w:space="0" w:color="000000"/>
            </w:tcBorders>
            <w:vAlign w:val="center"/>
          </w:tcPr>
          <w:p w14:paraId="00000040" w14:textId="77777777" w:rsidR="00066437" w:rsidRPr="00A77904" w:rsidRDefault="00066437" w:rsidP="001F38A2">
            <w:pPr>
              <w:jc w:val="center"/>
              <w:rPr>
                <w:b/>
                <w:color w:val="000000"/>
                <w:sz w:val="18"/>
                <w:szCs w:val="18"/>
                <w:lang w:val="en-US"/>
              </w:rPr>
            </w:pPr>
            <w:r w:rsidRPr="00A77904">
              <w:rPr>
                <w:b/>
                <w:color w:val="000000"/>
                <w:sz w:val="18"/>
                <w:szCs w:val="18"/>
                <w:lang w:val="en-US"/>
              </w:rPr>
              <w:t>Horizontal</w:t>
            </w:r>
          </w:p>
        </w:tc>
        <w:tc>
          <w:tcPr>
            <w:tcW w:w="990" w:type="dxa"/>
            <w:tcBorders>
              <w:bottom w:val="single" w:sz="4" w:space="0" w:color="000000"/>
            </w:tcBorders>
            <w:vAlign w:val="center"/>
          </w:tcPr>
          <w:p w14:paraId="00000041" w14:textId="77777777" w:rsidR="00066437" w:rsidRPr="00A77904" w:rsidRDefault="00066437" w:rsidP="001F38A2">
            <w:pPr>
              <w:jc w:val="center"/>
              <w:rPr>
                <w:b/>
                <w:color w:val="000000"/>
                <w:sz w:val="18"/>
                <w:szCs w:val="18"/>
                <w:lang w:val="en-US"/>
              </w:rPr>
            </w:pPr>
            <w:r w:rsidRPr="00A77904">
              <w:rPr>
                <w:b/>
                <w:color w:val="000000"/>
                <w:sz w:val="18"/>
                <w:szCs w:val="18"/>
                <w:lang w:val="en-US"/>
              </w:rPr>
              <w:t>Vertical</w:t>
            </w:r>
          </w:p>
        </w:tc>
        <w:tc>
          <w:tcPr>
            <w:tcW w:w="1366" w:type="dxa"/>
            <w:vMerge/>
            <w:vAlign w:val="center"/>
          </w:tcPr>
          <w:p w14:paraId="00000042" w14:textId="77777777" w:rsidR="00066437" w:rsidRPr="00A77904" w:rsidRDefault="00066437" w:rsidP="001F38A2">
            <w:pPr>
              <w:pBdr>
                <w:top w:val="nil"/>
                <w:left w:val="nil"/>
                <w:bottom w:val="nil"/>
                <w:right w:val="nil"/>
                <w:between w:val="nil"/>
              </w:pBdr>
              <w:rPr>
                <w:b/>
                <w:color w:val="000000"/>
                <w:sz w:val="18"/>
                <w:szCs w:val="18"/>
                <w:lang w:val="en-US"/>
              </w:rPr>
            </w:pPr>
          </w:p>
        </w:tc>
      </w:tr>
      <w:tr w:rsidR="00125CE4" w:rsidRPr="00A77904" w14:paraId="2CE9F8CA" w14:textId="77777777" w:rsidTr="00FE3E15">
        <w:trPr>
          <w:trHeight w:val="310"/>
          <w:jc w:val="center"/>
        </w:trPr>
        <w:tc>
          <w:tcPr>
            <w:tcW w:w="1890" w:type="dxa"/>
            <w:vMerge w:val="restart"/>
            <w:tcBorders>
              <w:top w:val="single" w:sz="4" w:space="0" w:color="000000"/>
            </w:tcBorders>
            <w:vAlign w:val="center"/>
          </w:tcPr>
          <w:p w14:paraId="00000043" w14:textId="77777777" w:rsidR="00125CE4" w:rsidRPr="00A77904" w:rsidRDefault="00000000" w:rsidP="001F38A2">
            <w:pPr>
              <w:jc w:val="center"/>
              <w:rPr>
                <w:i/>
                <w:color w:val="000000"/>
                <w:sz w:val="18"/>
                <w:szCs w:val="18"/>
                <w:lang w:val="en-US"/>
              </w:rPr>
            </w:pPr>
            <w:r w:rsidRPr="00A77904">
              <w:rPr>
                <w:i/>
                <w:color w:val="000000"/>
                <w:sz w:val="18"/>
                <w:szCs w:val="18"/>
                <w:lang w:val="en-US"/>
              </w:rPr>
              <w:t>P. aeruginosa</w:t>
            </w:r>
          </w:p>
        </w:tc>
        <w:tc>
          <w:tcPr>
            <w:tcW w:w="1854" w:type="dxa"/>
            <w:tcBorders>
              <w:top w:val="single" w:sz="4" w:space="0" w:color="000000"/>
              <w:bottom w:val="single" w:sz="4" w:space="0" w:color="000000"/>
            </w:tcBorders>
            <w:vAlign w:val="center"/>
          </w:tcPr>
          <w:p w14:paraId="00000044" w14:textId="77777777" w:rsidR="00125CE4" w:rsidRPr="00A77904" w:rsidRDefault="00000000" w:rsidP="001F38A2">
            <w:pPr>
              <w:jc w:val="center"/>
              <w:rPr>
                <w:color w:val="000000"/>
                <w:sz w:val="18"/>
                <w:szCs w:val="18"/>
                <w:lang w:val="en-US"/>
              </w:rPr>
            </w:pPr>
            <w:r w:rsidRPr="00A77904">
              <w:rPr>
                <w:color w:val="000000"/>
                <w:sz w:val="18"/>
                <w:szCs w:val="18"/>
                <w:lang w:val="en-US"/>
              </w:rPr>
              <w:t>DT</w:t>
            </w:r>
          </w:p>
        </w:tc>
        <w:tc>
          <w:tcPr>
            <w:tcW w:w="1359" w:type="dxa"/>
            <w:tcBorders>
              <w:top w:val="single" w:sz="4" w:space="0" w:color="000000"/>
              <w:bottom w:val="single" w:sz="4" w:space="0" w:color="000000"/>
            </w:tcBorders>
            <w:vAlign w:val="center"/>
          </w:tcPr>
          <w:p w14:paraId="00000045" w14:textId="77777777" w:rsidR="00125CE4" w:rsidRPr="00A77904" w:rsidRDefault="00000000" w:rsidP="001F38A2">
            <w:pPr>
              <w:jc w:val="center"/>
              <w:rPr>
                <w:color w:val="000000"/>
                <w:sz w:val="18"/>
                <w:szCs w:val="18"/>
                <w:lang w:val="en-US"/>
              </w:rPr>
            </w:pPr>
            <w:r w:rsidRPr="00A77904">
              <w:rPr>
                <w:color w:val="000000"/>
                <w:sz w:val="18"/>
                <w:szCs w:val="18"/>
                <w:lang w:val="en-US"/>
              </w:rPr>
              <w:t>19.5</w:t>
            </w:r>
          </w:p>
        </w:tc>
        <w:tc>
          <w:tcPr>
            <w:tcW w:w="990" w:type="dxa"/>
            <w:tcBorders>
              <w:top w:val="single" w:sz="4" w:space="0" w:color="000000"/>
              <w:bottom w:val="single" w:sz="4" w:space="0" w:color="000000"/>
            </w:tcBorders>
            <w:vAlign w:val="center"/>
          </w:tcPr>
          <w:p w14:paraId="00000046" w14:textId="77777777" w:rsidR="00125CE4" w:rsidRPr="00A77904" w:rsidRDefault="00000000" w:rsidP="001F38A2">
            <w:pPr>
              <w:jc w:val="center"/>
              <w:rPr>
                <w:color w:val="000000"/>
                <w:sz w:val="18"/>
                <w:szCs w:val="18"/>
                <w:lang w:val="en-US"/>
              </w:rPr>
            </w:pPr>
            <w:r w:rsidRPr="00A77904">
              <w:rPr>
                <w:color w:val="000000"/>
                <w:sz w:val="18"/>
                <w:szCs w:val="18"/>
                <w:lang w:val="en-US"/>
              </w:rPr>
              <w:t>20</w:t>
            </w:r>
          </w:p>
        </w:tc>
        <w:tc>
          <w:tcPr>
            <w:tcW w:w="1366" w:type="dxa"/>
            <w:tcBorders>
              <w:top w:val="single" w:sz="4" w:space="0" w:color="000000"/>
              <w:bottom w:val="single" w:sz="4" w:space="0" w:color="000000"/>
            </w:tcBorders>
            <w:vAlign w:val="bottom"/>
          </w:tcPr>
          <w:p w14:paraId="00000047" w14:textId="77777777" w:rsidR="00125CE4" w:rsidRPr="00A77904" w:rsidRDefault="00000000" w:rsidP="001F38A2">
            <w:pPr>
              <w:jc w:val="center"/>
              <w:rPr>
                <w:color w:val="000000"/>
                <w:sz w:val="18"/>
                <w:szCs w:val="18"/>
                <w:lang w:val="en-US"/>
              </w:rPr>
            </w:pPr>
            <w:r w:rsidRPr="00A77904">
              <w:rPr>
                <w:color w:val="000000"/>
                <w:sz w:val="18"/>
                <w:szCs w:val="18"/>
                <w:lang w:val="en-US"/>
              </w:rPr>
              <w:t>12.75</w:t>
            </w:r>
          </w:p>
        </w:tc>
      </w:tr>
      <w:tr w:rsidR="00125CE4" w:rsidRPr="00A77904" w14:paraId="26FA24DE" w14:textId="77777777" w:rsidTr="00FE3E15">
        <w:trPr>
          <w:trHeight w:val="310"/>
          <w:jc w:val="center"/>
        </w:trPr>
        <w:tc>
          <w:tcPr>
            <w:tcW w:w="1890" w:type="dxa"/>
            <w:vMerge/>
            <w:tcBorders>
              <w:top w:val="single" w:sz="4" w:space="0" w:color="000000"/>
            </w:tcBorders>
            <w:vAlign w:val="center"/>
          </w:tcPr>
          <w:p w14:paraId="00000048" w14:textId="77777777" w:rsidR="00125CE4" w:rsidRPr="00A77904" w:rsidRDefault="00125CE4" w:rsidP="001F38A2">
            <w:pPr>
              <w:pBdr>
                <w:top w:val="nil"/>
                <w:left w:val="nil"/>
                <w:bottom w:val="nil"/>
                <w:right w:val="nil"/>
                <w:between w:val="nil"/>
              </w:pBdr>
              <w:rPr>
                <w:color w:val="000000"/>
                <w:sz w:val="18"/>
                <w:szCs w:val="18"/>
                <w:lang w:val="en-US"/>
              </w:rPr>
            </w:pPr>
          </w:p>
        </w:tc>
        <w:tc>
          <w:tcPr>
            <w:tcW w:w="1854" w:type="dxa"/>
            <w:tcBorders>
              <w:top w:val="single" w:sz="4" w:space="0" w:color="000000"/>
              <w:bottom w:val="single" w:sz="4" w:space="0" w:color="000000"/>
            </w:tcBorders>
            <w:vAlign w:val="center"/>
          </w:tcPr>
          <w:p w14:paraId="00000049" w14:textId="77777777" w:rsidR="00125CE4" w:rsidRPr="00A77904" w:rsidRDefault="00000000" w:rsidP="001F38A2">
            <w:pPr>
              <w:jc w:val="center"/>
              <w:rPr>
                <w:color w:val="000000"/>
                <w:sz w:val="18"/>
                <w:szCs w:val="18"/>
                <w:lang w:val="en-US"/>
              </w:rPr>
            </w:pPr>
            <w:r w:rsidRPr="00A77904">
              <w:rPr>
                <w:color w:val="000000"/>
                <w:sz w:val="18"/>
                <w:szCs w:val="18"/>
                <w:lang w:val="en-US"/>
              </w:rPr>
              <w:t>DR</w:t>
            </w:r>
          </w:p>
        </w:tc>
        <w:tc>
          <w:tcPr>
            <w:tcW w:w="1359" w:type="dxa"/>
            <w:tcBorders>
              <w:top w:val="single" w:sz="4" w:space="0" w:color="000000"/>
              <w:bottom w:val="single" w:sz="4" w:space="0" w:color="000000"/>
            </w:tcBorders>
            <w:vAlign w:val="center"/>
          </w:tcPr>
          <w:p w14:paraId="0000004A" w14:textId="77777777" w:rsidR="00125CE4" w:rsidRPr="00A77904" w:rsidRDefault="00000000" w:rsidP="001F38A2">
            <w:pPr>
              <w:jc w:val="center"/>
              <w:rPr>
                <w:color w:val="000000"/>
                <w:sz w:val="18"/>
                <w:szCs w:val="18"/>
                <w:lang w:val="en-US"/>
              </w:rPr>
            </w:pPr>
            <w:r w:rsidRPr="00A77904">
              <w:rPr>
                <w:color w:val="000000"/>
                <w:sz w:val="18"/>
                <w:szCs w:val="18"/>
                <w:lang w:val="en-US"/>
              </w:rPr>
              <w:t>13</w:t>
            </w:r>
          </w:p>
        </w:tc>
        <w:tc>
          <w:tcPr>
            <w:tcW w:w="990" w:type="dxa"/>
            <w:tcBorders>
              <w:top w:val="single" w:sz="4" w:space="0" w:color="000000"/>
              <w:bottom w:val="single" w:sz="4" w:space="0" w:color="000000"/>
            </w:tcBorders>
            <w:vAlign w:val="center"/>
          </w:tcPr>
          <w:p w14:paraId="0000004B" w14:textId="77777777" w:rsidR="00125CE4" w:rsidRPr="00A77904" w:rsidRDefault="00000000" w:rsidP="001F38A2">
            <w:pPr>
              <w:jc w:val="center"/>
              <w:rPr>
                <w:color w:val="000000"/>
                <w:sz w:val="18"/>
                <w:szCs w:val="18"/>
                <w:lang w:val="en-US"/>
              </w:rPr>
            </w:pPr>
            <w:r w:rsidRPr="00A77904">
              <w:rPr>
                <w:color w:val="000000"/>
                <w:sz w:val="18"/>
                <w:szCs w:val="18"/>
                <w:lang w:val="en-US"/>
              </w:rPr>
              <w:t>15</w:t>
            </w:r>
          </w:p>
        </w:tc>
        <w:tc>
          <w:tcPr>
            <w:tcW w:w="1366" w:type="dxa"/>
            <w:tcBorders>
              <w:top w:val="single" w:sz="4" w:space="0" w:color="000000"/>
              <w:bottom w:val="single" w:sz="4" w:space="0" w:color="000000"/>
            </w:tcBorders>
            <w:vAlign w:val="bottom"/>
          </w:tcPr>
          <w:p w14:paraId="0000004C" w14:textId="77777777" w:rsidR="00125CE4" w:rsidRPr="00A77904" w:rsidRDefault="00000000" w:rsidP="001F38A2">
            <w:pPr>
              <w:jc w:val="center"/>
              <w:rPr>
                <w:color w:val="000000"/>
                <w:sz w:val="18"/>
                <w:szCs w:val="18"/>
                <w:lang w:val="en-US"/>
              </w:rPr>
            </w:pPr>
            <w:r w:rsidRPr="00A77904">
              <w:rPr>
                <w:color w:val="000000"/>
                <w:sz w:val="18"/>
                <w:szCs w:val="18"/>
                <w:lang w:val="en-US"/>
              </w:rPr>
              <w:t>7</w:t>
            </w:r>
          </w:p>
        </w:tc>
      </w:tr>
      <w:tr w:rsidR="00125CE4" w:rsidRPr="00A77904" w14:paraId="65651710" w14:textId="77777777" w:rsidTr="00FE3E15">
        <w:trPr>
          <w:trHeight w:val="310"/>
          <w:jc w:val="center"/>
        </w:trPr>
        <w:tc>
          <w:tcPr>
            <w:tcW w:w="1890" w:type="dxa"/>
            <w:vMerge/>
            <w:tcBorders>
              <w:top w:val="single" w:sz="4" w:space="0" w:color="000000"/>
            </w:tcBorders>
            <w:vAlign w:val="center"/>
          </w:tcPr>
          <w:p w14:paraId="0000004D" w14:textId="77777777" w:rsidR="00125CE4" w:rsidRPr="00A77904" w:rsidRDefault="00125CE4" w:rsidP="001F38A2">
            <w:pPr>
              <w:pBdr>
                <w:top w:val="nil"/>
                <w:left w:val="nil"/>
                <w:bottom w:val="nil"/>
                <w:right w:val="nil"/>
                <w:between w:val="nil"/>
              </w:pBdr>
              <w:rPr>
                <w:color w:val="000000"/>
                <w:sz w:val="18"/>
                <w:szCs w:val="18"/>
                <w:lang w:val="en-US"/>
              </w:rPr>
            </w:pPr>
          </w:p>
        </w:tc>
        <w:tc>
          <w:tcPr>
            <w:tcW w:w="1854" w:type="dxa"/>
            <w:tcBorders>
              <w:top w:val="single" w:sz="4" w:space="0" w:color="000000"/>
              <w:bottom w:val="single" w:sz="4" w:space="0" w:color="000000"/>
            </w:tcBorders>
            <w:vAlign w:val="center"/>
          </w:tcPr>
          <w:p w14:paraId="0000004E" w14:textId="77777777" w:rsidR="00125CE4" w:rsidRPr="00A77904" w:rsidRDefault="00000000" w:rsidP="001F38A2">
            <w:pPr>
              <w:jc w:val="center"/>
              <w:rPr>
                <w:color w:val="000000"/>
                <w:sz w:val="18"/>
                <w:szCs w:val="18"/>
                <w:lang w:val="en-US"/>
              </w:rPr>
            </w:pPr>
            <w:r w:rsidRPr="00A77904">
              <w:rPr>
                <w:color w:val="000000"/>
                <w:sz w:val="18"/>
                <w:szCs w:val="18"/>
                <w:lang w:val="en-US"/>
              </w:rPr>
              <w:t>Chloramphenicol</w:t>
            </w:r>
          </w:p>
        </w:tc>
        <w:tc>
          <w:tcPr>
            <w:tcW w:w="1359" w:type="dxa"/>
            <w:tcBorders>
              <w:top w:val="single" w:sz="4" w:space="0" w:color="000000"/>
              <w:bottom w:val="single" w:sz="4" w:space="0" w:color="000000"/>
            </w:tcBorders>
            <w:vAlign w:val="center"/>
          </w:tcPr>
          <w:p w14:paraId="0000004F" w14:textId="77777777" w:rsidR="00125CE4" w:rsidRPr="00A77904" w:rsidRDefault="00000000" w:rsidP="001F38A2">
            <w:pPr>
              <w:jc w:val="center"/>
              <w:rPr>
                <w:color w:val="000000"/>
                <w:sz w:val="18"/>
                <w:szCs w:val="18"/>
                <w:lang w:val="en-US"/>
              </w:rPr>
            </w:pPr>
            <w:r w:rsidRPr="00A77904">
              <w:rPr>
                <w:color w:val="000000"/>
                <w:sz w:val="18"/>
                <w:szCs w:val="18"/>
                <w:lang w:val="en-US"/>
              </w:rPr>
              <w:t>15</w:t>
            </w:r>
          </w:p>
        </w:tc>
        <w:tc>
          <w:tcPr>
            <w:tcW w:w="990" w:type="dxa"/>
            <w:tcBorders>
              <w:top w:val="single" w:sz="4" w:space="0" w:color="000000"/>
              <w:bottom w:val="single" w:sz="4" w:space="0" w:color="000000"/>
            </w:tcBorders>
            <w:vAlign w:val="center"/>
          </w:tcPr>
          <w:p w14:paraId="00000050" w14:textId="77777777" w:rsidR="00125CE4" w:rsidRPr="00A77904" w:rsidRDefault="00000000" w:rsidP="001F38A2">
            <w:pPr>
              <w:jc w:val="center"/>
              <w:rPr>
                <w:color w:val="000000"/>
                <w:sz w:val="18"/>
                <w:szCs w:val="18"/>
                <w:lang w:val="en-US"/>
              </w:rPr>
            </w:pPr>
            <w:r w:rsidRPr="00A77904">
              <w:rPr>
                <w:color w:val="000000"/>
                <w:sz w:val="18"/>
                <w:szCs w:val="18"/>
                <w:lang w:val="en-US"/>
              </w:rPr>
              <w:t>16</w:t>
            </w:r>
          </w:p>
        </w:tc>
        <w:tc>
          <w:tcPr>
            <w:tcW w:w="1366" w:type="dxa"/>
            <w:tcBorders>
              <w:top w:val="single" w:sz="4" w:space="0" w:color="000000"/>
              <w:bottom w:val="single" w:sz="4" w:space="0" w:color="000000"/>
            </w:tcBorders>
            <w:vAlign w:val="bottom"/>
          </w:tcPr>
          <w:p w14:paraId="00000051" w14:textId="77777777" w:rsidR="00125CE4" w:rsidRPr="00A77904" w:rsidRDefault="00000000" w:rsidP="001F38A2">
            <w:pPr>
              <w:jc w:val="center"/>
              <w:rPr>
                <w:color w:val="000000"/>
                <w:sz w:val="18"/>
                <w:szCs w:val="18"/>
                <w:lang w:val="en-US"/>
              </w:rPr>
            </w:pPr>
            <w:r w:rsidRPr="00A77904">
              <w:rPr>
                <w:color w:val="000000"/>
                <w:sz w:val="18"/>
                <w:szCs w:val="18"/>
                <w:lang w:val="en-US"/>
              </w:rPr>
              <w:t>8.5</w:t>
            </w:r>
          </w:p>
        </w:tc>
      </w:tr>
      <w:tr w:rsidR="00125CE4" w:rsidRPr="00A77904" w14:paraId="7232A66A" w14:textId="77777777" w:rsidTr="00FE3E15">
        <w:trPr>
          <w:trHeight w:val="310"/>
          <w:jc w:val="center"/>
        </w:trPr>
        <w:tc>
          <w:tcPr>
            <w:tcW w:w="1890" w:type="dxa"/>
            <w:vMerge/>
            <w:tcBorders>
              <w:top w:val="single" w:sz="4" w:space="0" w:color="000000"/>
            </w:tcBorders>
            <w:vAlign w:val="center"/>
          </w:tcPr>
          <w:p w14:paraId="00000052" w14:textId="77777777" w:rsidR="00125CE4" w:rsidRPr="00A77904" w:rsidRDefault="00125CE4" w:rsidP="001F38A2">
            <w:pPr>
              <w:pBdr>
                <w:top w:val="nil"/>
                <w:left w:val="nil"/>
                <w:bottom w:val="nil"/>
                <w:right w:val="nil"/>
                <w:between w:val="nil"/>
              </w:pBdr>
              <w:rPr>
                <w:color w:val="000000"/>
                <w:sz w:val="18"/>
                <w:szCs w:val="18"/>
                <w:lang w:val="en-US"/>
              </w:rPr>
            </w:pPr>
          </w:p>
        </w:tc>
        <w:tc>
          <w:tcPr>
            <w:tcW w:w="1854" w:type="dxa"/>
            <w:tcBorders>
              <w:top w:val="single" w:sz="4" w:space="0" w:color="000000"/>
              <w:bottom w:val="single" w:sz="4" w:space="0" w:color="000000"/>
            </w:tcBorders>
            <w:vAlign w:val="center"/>
          </w:tcPr>
          <w:p w14:paraId="00000053" w14:textId="77777777" w:rsidR="00125CE4" w:rsidRPr="00A77904" w:rsidRDefault="00000000" w:rsidP="001F38A2">
            <w:pPr>
              <w:jc w:val="center"/>
              <w:rPr>
                <w:color w:val="000000"/>
                <w:sz w:val="18"/>
                <w:szCs w:val="18"/>
                <w:lang w:val="en-US"/>
              </w:rPr>
            </w:pPr>
            <w:r w:rsidRPr="00A77904">
              <w:rPr>
                <w:color w:val="000000"/>
                <w:sz w:val="18"/>
                <w:szCs w:val="18"/>
                <w:lang w:val="en-US"/>
              </w:rPr>
              <w:t>DMSO</w:t>
            </w:r>
          </w:p>
        </w:tc>
        <w:tc>
          <w:tcPr>
            <w:tcW w:w="1359" w:type="dxa"/>
            <w:tcBorders>
              <w:top w:val="single" w:sz="4" w:space="0" w:color="000000"/>
              <w:bottom w:val="single" w:sz="4" w:space="0" w:color="000000"/>
            </w:tcBorders>
            <w:vAlign w:val="center"/>
          </w:tcPr>
          <w:p w14:paraId="00000054" w14:textId="77777777" w:rsidR="00125CE4" w:rsidRPr="00A77904" w:rsidRDefault="00000000" w:rsidP="001F38A2">
            <w:pPr>
              <w:jc w:val="center"/>
              <w:rPr>
                <w:color w:val="000000"/>
                <w:sz w:val="18"/>
                <w:szCs w:val="18"/>
                <w:lang w:val="en-US"/>
              </w:rPr>
            </w:pPr>
            <w:r w:rsidRPr="00A77904">
              <w:rPr>
                <w:color w:val="000000"/>
                <w:sz w:val="18"/>
                <w:szCs w:val="18"/>
                <w:lang w:val="en-US"/>
              </w:rPr>
              <w:t>0</w:t>
            </w:r>
          </w:p>
        </w:tc>
        <w:tc>
          <w:tcPr>
            <w:tcW w:w="990" w:type="dxa"/>
            <w:tcBorders>
              <w:top w:val="single" w:sz="4" w:space="0" w:color="000000"/>
              <w:bottom w:val="single" w:sz="4" w:space="0" w:color="000000"/>
            </w:tcBorders>
            <w:vAlign w:val="center"/>
          </w:tcPr>
          <w:p w14:paraId="00000055" w14:textId="77777777" w:rsidR="00125CE4" w:rsidRPr="00A77904" w:rsidRDefault="00000000" w:rsidP="001F38A2">
            <w:pPr>
              <w:jc w:val="center"/>
              <w:rPr>
                <w:color w:val="000000"/>
                <w:sz w:val="18"/>
                <w:szCs w:val="18"/>
                <w:lang w:val="en-US"/>
              </w:rPr>
            </w:pPr>
            <w:r w:rsidRPr="00A77904">
              <w:rPr>
                <w:color w:val="000000"/>
                <w:sz w:val="18"/>
                <w:szCs w:val="18"/>
                <w:lang w:val="en-US"/>
              </w:rPr>
              <w:t>0</w:t>
            </w:r>
          </w:p>
        </w:tc>
        <w:tc>
          <w:tcPr>
            <w:tcW w:w="1366" w:type="dxa"/>
            <w:tcBorders>
              <w:top w:val="single" w:sz="4" w:space="0" w:color="000000"/>
              <w:bottom w:val="single" w:sz="4" w:space="0" w:color="000000"/>
            </w:tcBorders>
            <w:vAlign w:val="bottom"/>
          </w:tcPr>
          <w:p w14:paraId="00000056" w14:textId="77777777" w:rsidR="00125CE4" w:rsidRPr="00A77904" w:rsidRDefault="00000000" w:rsidP="001F38A2">
            <w:pPr>
              <w:jc w:val="center"/>
              <w:rPr>
                <w:color w:val="000000"/>
                <w:sz w:val="18"/>
                <w:szCs w:val="18"/>
                <w:lang w:val="en-US"/>
              </w:rPr>
            </w:pPr>
            <w:r w:rsidRPr="00A77904">
              <w:rPr>
                <w:color w:val="000000"/>
                <w:sz w:val="18"/>
                <w:szCs w:val="18"/>
                <w:lang w:val="en-US"/>
              </w:rPr>
              <w:t>0 </w:t>
            </w:r>
          </w:p>
        </w:tc>
      </w:tr>
      <w:tr w:rsidR="00125CE4" w:rsidRPr="00A77904" w14:paraId="1C27160A" w14:textId="77777777" w:rsidTr="00B857AC">
        <w:trPr>
          <w:trHeight w:val="310"/>
          <w:jc w:val="center"/>
        </w:trPr>
        <w:tc>
          <w:tcPr>
            <w:tcW w:w="1890" w:type="dxa"/>
            <w:vMerge w:val="restart"/>
            <w:tcBorders>
              <w:top w:val="single" w:sz="4" w:space="0" w:color="000000"/>
              <w:bottom w:val="single" w:sz="4" w:space="0" w:color="000000"/>
            </w:tcBorders>
            <w:vAlign w:val="center"/>
          </w:tcPr>
          <w:p w14:paraId="00000057" w14:textId="74C82B5A" w:rsidR="00125CE4" w:rsidRPr="00A77904" w:rsidRDefault="00000000" w:rsidP="00B857AC">
            <w:pPr>
              <w:jc w:val="center"/>
              <w:rPr>
                <w:i/>
                <w:sz w:val="18"/>
                <w:szCs w:val="18"/>
                <w:lang w:val="en-US"/>
              </w:rPr>
            </w:pPr>
            <w:r w:rsidRPr="00A77904">
              <w:rPr>
                <w:i/>
                <w:sz w:val="18"/>
                <w:szCs w:val="18"/>
                <w:lang w:val="en-US"/>
              </w:rPr>
              <w:t>B.</w:t>
            </w:r>
            <w:r w:rsidR="00FE3E15" w:rsidRPr="00A77904">
              <w:rPr>
                <w:i/>
                <w:sz w:val="18"/>
                <w:szCs w:val="18"/>
                <w:lang w:val="en-US"/>
              </w:rPr>
              <w:t xml:space="preserve"> </w:t>
            </w:r>
            <w:r w:rsidRPr="00A77904">
              <w:rPr>
                <w:i/>
                <w:sz w:val="18"/>
                <w:szCs w:val="18"/>
                <w:lang w:val="en-US"/>
              </w:rPr>
              <w:t>subtilis</w:t>
            </w:r>
          </w:p>
        </w:tc>
        <w:tc>
          <w:tcPr>
            <w:tcW w:w="1854" w:type="dxa"/>
            <w:tcBorders>
              <w:top w:val="single" w:sz="4" w:space="0" w:color="000000"/>
              <w:bottom w:val="single" w:sz="4" w:space="0" w:color="000000"/>
            </w:tcBorders>
            <w:vAlign w:val="center"/>
          </w:tcPr>
          <w:p w14:paraId="00000058" w14:textId="77777777" w:rsidR="00125CE4" w:rsidRPr="00A77904" w:rsidRDefault="00000000" w:rsidP="001F38A2">
            <w:pPr>
              <w:jc w:val="center"/>
              <w:rPr>
                <w:color w:val="000000"/>
                <w:sz w:val="18"/>
                <w:szCs w:val="18"/>
                <w:lang w:val="en-US"/>
              </w:rPr>
            </w:pPr>
            <w:r w:rsidRPr="00A77904">
              <w:rPr>
                <w:color w:val="000000"/>
                <w:sz w:val="18"/>
                <w:szCs w:val="18"/>
                <w:lang w:val="en-US"/>
              </w:rPr>
              <w:t>DT</w:t>
            </w:r>
          </w:p>
        </w:tc>
        <w:tc>
          <w:tcPr>
            <w:tcW w:w="1359" w:type="dxa"/>
            <w:tcBorders>
              <w:top w:val="single" w:sz="4" w:space="0" w:color="000000"/>
              <w:left w:val="nil"/>
              <w:bottom w:val="single" w:sz="4" w:space="0" w:color="000000"/>
            </w:tcBorders>
            <w:vAlign w:val="center"/>
          </w:tcPr>
          <w:p w14:paraId="00000059" w14:textId="77777777" w:rsidR="00125CE4" w:rsidRPr="00A77904" w:rsidRDefault="00000000" w:rsidP="001F38A2">
            <w:pPr>
              <w:jc w:val="center"/>
              <w:rPr>
                <w:color w:val="000000"/>
                <w:sz w:val="18"/>
                <w:szCs w:val="18"/>
                <w:lang w:val="en-US"/>
              </w:rPr>
            </w:pPr>
            <w:r w:rsidRPr="00A77904">
              <w:rPr>
                <w:color w:val="000000"/>
                <w:sz w:val="18"/>
                <w:szCs w:val="18"/>
                <w:lang w:val="en-US"/>
              </w:rPr>
              <w:t>13</w:t>
            </w:r>
          </w:p>
        </w:tc>
        <w:tc>
          <w:tcPr>
            <w:tcW w:w="990" w:type="dxa"/>
            <w:tcBorders>
              <w:top w:val="single" w:sz="4" w:space="0" w:color="000000"/>
              <w:bottom w:val="single" w:sz="4" w:space="0" w:color="000000"/>
            </w:tcBorders>
            <w:vAlign w:val="center"/>
          </w:tcPr>
          <w:p w14:paraId="0000005A" w14:textId="77777777" w:rsidR="00125CE4" w:rsidRPr="00A77904" w:rsidRDefault="00000000" w:rsidP="001F38A2">
            <w:pPr>
              <w:jc w:val="center"/>
              <w:rPr>
                <w:color w:val="000000"/>
                <w:sz w:val="18"/>
                <w:szCs w:val="18"/>
                <w:lang w:val="en-US"/>
              </w:rPr>
            </w:pPr>
            <w:r w:rsidRPr="00A77904">
              <w:rPr>
                <w:color w:val="000000"/>
                <w:sz w:val="18"/>
                <w:szCs w:val="18"/>
                <w:lang w:val="en-US"/>
              </w:rPr>
              <w:t>14</w:t>
            </w:r>
          </w:p>
        </w:tc>
        <w:tc>
          <w:tcPr>
            <w:tcW w:w="1366" w:type="dxa"/>
            <w:tcBorders>
              <w:top w:val="single" w:sz="4" w:space="0" w:color="000000"/>
              <w:bottom w:val="single" w:sz="4" w:space="0" w:color="000000"/>
            </w:tcBorders>
            <w:vAlign w:val="bottom"/>
          </w:tcPr>
          <w:p w14:paraId="0000005B" w14:textId="77777777" w:rsidR="00125CE4" w:rsidRPr="00A77904" w:rsidRDefault="00000000" w:rsidP="001F38A2">
            <w:pPr>
              <w:jc w:val="center"/>
              <w:rPr>
                <w:color w:val="000000"/>
                <w:sz w:val="18"/>
                <w:szCs w:val="18"/>
                <w:lang w:val="en-US"/>
              </w:rPr>
            </w:pPr>
            <w:r w:rsidRPr="00A77904">
              <w:rPr>
                <w:color w:val="000000"/>
                <w:sz w:val="18"/>
                <w:szCs w:val="18"/>
                <w:lang w:val="en-US"/>
              </w:rPr>
              <w:t>6.5</w:t>
            </w:r>
          </w:p>
        </w:tc>
      </w:tr>
      <w:tr w:rsidR="00125CE4" w:rsidRPr="00A77904" w14:paraId="228535E8" w14:textId="77777777" w:rsidTr="00FE3E15">
        <w:trPr>
          <w:trHeight w:val="310"/>
          <w:jc w:val="center"/>
        </w:trPr>
        <w:tc>
          <w:tcPr>
            <w:tcW w:w="1890" w:type="dxa"/>
            <w:vMerge/>
            <w:tcBorders>
              <w:top w:val="single" w:sz="4" w:space="0" w:color="000000"/>
              <w:bottom w:val="single" w:sz="4" w:space="0" w:color="000000"/>
            </w:tcBorders>
            <w:vAlign w:val="bottom"/>
          </w:tcPr>
          <w:p w14:paraId="0000005C" w14:textId="77777777" w:rsidR="00125CE4" w:rsidRPr="00A77904" w:rsidRDefault="00125CE4" w:rsidP="001F38A2">
            <w:pPr>
              <w:pBdr>
                <w:top w:val="nil"/>
                <w:left w:val="nil"/>
                <w:bottom w:val="nil"/>
                <w:right w:val="nil"/>
                <w:between w:val="nil"/>
              </w:pBdr>
              <w:rPr>
                <w:color w:val="000000"/>
                <w:sz w:val="18"/>
                <w:szCs w:val="18"/>
                <w:lang w:val="en-US"/>
              </w:rPr>
            </w:pPr>
          </w:p>
        </w:tc>
        <w:tc>
          <w:tcPr>
            <w:tcW w:w="1854" w:type="dxa"/>
            <w:tcBorders>
              <w:top w:val="single" w:sz="4" w:space="0" w:color="000000"/>
              <w:bottom w:val="single" w:sz="4" w:space="0" w:color="000000"/>
            </w:tcBorders>
            <w:vAlign w:val="center"/>
          </w:tcPr>
          <w:p w14:paraId="0000005D" w14:textId="77777777" w:rsidR="00125CE4" w:rsidRPr="00A77904" w:rsidRDefault="00000000" w:rsidP="001F38A2">
            <w:pPr>
              <w:jc w:val="center"/>
              <w:rPr>
                <w:color w:val="000000"/>
                <w:sz w:val="18"/>
                <w:szCs w:val="18"/>
                <w:lang w:val="en-US"/>
              </w:rPr>
            </w:pPr>
            <w:r w:rsidRPr="00A77904">
              <w:rPr>
                <w:color w:val="000000"/>
                <w:sz w:val="18"/>
                <w:szCs w:val="18"/>
                <w:lang w:val="en-US"/>
              </w:rPr>
              <w:t>DR</w:t>
            </w:r>
          </w:p>
        </w:tc>
        <w:tc>
          <w:tcPr>
            <w:tcW w:w="1359" w:type="dxa"/>
            <w:tcBorders>
              <w:top w:val="single" w:sz="4" w:space="0" w:color="000000"/>
              <w:bottom w:val="single" w:sz="4" w:space="0" w:color="000000"/>
            </w:tcBorders>
            <w:vAlign w:val="center"/>
          </w:tcPr>
          <w:p w14:paraId="0000005E" w14:textId="77777777" w:rsidR="00125CE4" w:rsidRPr="00A77904" w:rsidRDefault="00000000" w:rsidP="001F38A2">
            <w:pPr>
              <w:jc w:val="center"/>
              <w:rPr>
                <w:color w:val="000000"/>
                <w:sz w:val="18"/>
                <w:szCs w:val="18"/>
                <w:lang w:val="en-US"/>
              </w:rPr>
            </w:pPr>
            <w:r w:rsidRPr="00A77904">
              <w:rPr>
                <w:color w:val="000000"/>
                <w:sz w:val="18"/>
                <w:szCs w:val="18"/>
                <w:lang w:val="en-US"/>
              </w:rPr>
              <w:t>10</w:t>
            </w:r>
          </w:p>
        </w:tc>
        <w:tc>
          <w:tcPr>
            <w:tcW w:w="990" w:type="dxa"/>
            <w:tcBorders>
              <w:top w:val="single" w:sz="4" w:space="0" w:color="000000"/>
              <w:bottom w:val="single" w:sz="4" w:space="0" w:color="000000"/>
            </w:tcBorders>
            <w:vAlign w:val="center"/>
          </w:tcPr>
          <w:p w14:paraId="0000005F" w14:textId="77777777" w:rsidR="00125CE4" w:rsidRPr="00A77904" w:rsidRDefault="00000000" w:rsidP="001F38A2">
            <w:pPr>
              <w:jc w:val="center"/>
              <w:rPr>
                <w:color w:val="000000"/>
                <w:sz w:val="18"/>
                <w:szCs w:val="18"/>
                <w:lang w:val="en-US"/>
              </w:rPr>
            </w:pPr>
            <w:r w:rsidRPr="00A77904">
              <w:rPr>
                <w:color w:val="000000"/>
                <w:sz w:val="18"/>
                <w:szCs w:val="18"/>
                <w:lang w:val="en-US"/>
              </w:rPr>
              <w:t>12</w:t>
            </w:r>
          </w:p>
        </w:tc>
        <w:tc>
          <w:tcPr>
            <w:tcW w:w="1366" w:type="dxa"/>
            <w:tcBorders>
              <w:top w:val="single" w:sz="4" w:space="0" w:color="000000"/>
              <w:bottom w:val="single" w:sz="4" w:space="0" w:color="000000"/>
            </w:tcBorders>
            <w:vAlign w:val="bottom"/>
          </w:tcPr>
          <w:p w14:paraId="00000060" w14:textId="77777777" w:rsidR="00125CE4" w:rsidRPr="00A77904" w:rsidRDefault="00000000" w:rsidP="001F38A2">
            <w:pPr>
              <w:jc w:val="center"/>
              <w:rPr>
                <w:color w:val="000000"/>
                <w:sz w:val="18"/>
                <w:szCs w:val="18"/>
                <w:lang w:val="en-US"/>
              </w:rPr>
            </w:pPr>
            <w:r w:rsidRPr="00A77904">
              <w:rPr>
                <w:color w:val="000000"/>
                <w:sz w:val="18"/>
                <w:szCs w:val="18"/>
                <w:lang w:val="en-US"/>
              </w:rPr>
              <w:t>4</w:t>
            </w:r>
          </w:p>
        </w:tc>
      </w:tr>
      <w:tr w:rsidR="00125CE4" w:rsidRPr="00A77904" w14:paraId="6B71C891" w14:textId="77777777" w:rsidTr="00FE3E15">
        <w:trPr>
          <w:trHeight w:val="310"/>
          <w:jc w:val="center"/>
        </w:trPr>
        <w:tc>
          <w:tcPr>
            <w:tcW w:w="1890" w:type="dxa"/>
            <w:vMerge/>
            <w:tcBorders>
              <w:top w:val="single" w:sz="4" w:space="0" w:color="000000"/>
              <w:bottom w:val="single" w:sz="4" w:space="0" w:color="000000"/>
            </w:tcBorders>
            <w:vAlign w:val="bottom"/>
          </w:tcPr>
          <w:p w14:paraId="00000061" w14:textId="77777777" w:rsidR="00125CE4" w:rsidRPr="00A77904" w:rsidRDefault="00125CE4" w:rsidP="001F38A2">
            <w:pPr>
              <w:pBdr>
                <w:top w:val="nil"/>
                <w:left w:val="nil"/>
                <w:bottom w:val="nil"/>
                <w:right w:val="nil"/>
                <w:between w:val="nil"/>
              </w:pBdr>
              <w:rPr>
                <w:color w:val="000000"/>
                <w:sz w:val="18"/>
                <w:szCs w:val="18"/>
                <w:lang w:val="en-US"/>
              </w:rPr>
            </w:pPr>
          </w:p>
        </w:tc>
        <w:tc>
          <w:tcPr>
            <w:tcW w:w="1854" w:type="dxa"/>
            <w:tcBorders>
              <w:top w:val="single" w:sz="4" w:space="0" w:color="000000"/>
              <w:bottom w:val="single" w:sz="4" w:space="0" w:color="000000"/>
            </w:tcBorders>
            <w:vAlign w:val="center"/>
          </w:tcPr>
          <w:p w14:paraId="00000062" w14:textId="77777777" w:rsidR="00125CE4" w:rsidRPr="00A77904" w:rsidRDefault="00000000" w:rsidP="001F38A2">
            <w:pPr>
              <w:jc w:val="center"/>
              <w:rPr>
                <w:color w:val="000000"/>
                <w:sz w:val="18"/>
                <w:szCs w:val="18"/>
                <w:lang w:val="en-US"/>
              </w:rPr>
            </w:pPr>
            <w:r w:rsidRPr="00A77904">
              <w:rPr>
                <w:color w:val="000000"/>
                <w:sz w:val="18"/>
                <w:szCs w:val="18"/>
                <w:lang w:val="en-US"/>
              </w:rPr>
              <w:t>Chloramphenicol</w:t>
            </w:r>
          </w:p>
        </w:tc>
        <w:tc>
          <w:tcPr>
            <w:tcW w:w="1359" w:type="dxa"/>
            <w:tcBorders>
              <w:top w:val="single" w:sz="4" w:space="0" w:color="000000"/>
              <w:bottom w:val="single" w:sz="4" w:space="0" w:color="000000"/>
            </w:tcBorders>
            <w:vAlign w:val="center"/>
          </w:tcPr>
          <w:p w14:paraId="00000063" w14:textId="77777777" w:rsidR="00125CE4" w:rsidRPr="00A77904" w:rsidRDefault="00000000" w:rsidP="001F38A2">
            <w:pPr>
              <w:jc w:val="center"/>
              <w:rPr>
                <w:color w:val="000000"/>
                <w:sz w:val="18"/>
                <w:szCs w:val="18"/>
                <w:lang w:val="en-US"/>
              </w:rPr>
            </w:pPr>
            <w:r w:rsidRPr="00A77904">
              <w:rPr>
                <w:color w:val="000000"/>
                <w:sz w:val="18"/>
                <w:szCs w:val="18"/>
                <w:lang w:val="en-US"/>
              </w:rPr>
              <w:t>26</w:t>
            </w:r>
          </w:p>
        </w:tc>
        <w:tc>
          <w:tcPr>
            <w:tcW w:w="990" w:type="dxa"/>
            <w:tcBorders>
              <w:top w:val="single" w:sz="4" w:space="0" w:color="000000"/>
              <w:bottom w:val="single" w:sz="4" w:space="0" w:color="000000"/>
            </w:tcBorders>
            <w:vAlign w:val="center"/>
          </w:tcPr>
          <w:p w14:paraId="00000064" w14:textId="77777777" w:rsidR="00125CE4" w:rsidRPr="00A77904" w:rsidRDefault="00000000" w:rsidP="001F38A2">
            <w:pPr>
              <w:jc w:val="center"/>
              <w:rPr>
                <w:color w:val="000000"/>
                <w:sz w:val="18"/>
                <w:szCs w:val="18"/>
                <w:lang w:val="en-US"/>
              </w:rPr>
            </w:pPr>
            <w:r w:rsidRPr="00A77904">
              <w:rPr>
                <w:color w:val="000000"/>
                <w:sz w:val="18"/>
                <w:szCs w:val="18"/>
                <w:lang w:val="en-US"/>
              </w:rPr>
              <w:t>29</w:t>
            </w:r>
          </w:p>
        </w:tc>
        <w:tc>
          <w:tcPr>
            <w:tcW w:w="1366" w:type="dxa"/>
            <w:tcBorders>
              <w:top w:val="single" w:sz="4" w:space="0" w:color="000000"/>
              <w:bottom w:val="single" w:sz="4" w:space="0" w:color="000000"/>
            </w:tcBorders>
            <w:vAlign w:val="bottom"/>
          </w:tcPr>
          <w:p w14:paraId="00000065" w14:textId="77777777" w:rsidR="00125CE4" w:rsidRPr="00A77904" w:rsidRDefault="00000000" w:rsidP="001F38A2">
            <w:pPr>
              <w:jc w:val="center"/>
              <w:rPr>
                <w:color w:val="000000"/>
                <w:sz w:val="18"/>
                <w:szCs w:val="18"/>
                <w:lang w:val="en-US"/>
              </w:rPr>
            </w:pPr>
            <w:r w:rsidRPr="00A77904">
              <w:rPr>
                <w:color w:val="000000"/>
                <w:sz w:val="18"/>
                <w:szCs w:val="18"/>
                <w:lang w:val="en-US"/>
              </w:rPr>
              <w:t>20.5</w:t>
            </w:r>
          </w:p>
        </w:tc>
      </w:tr>
      <w:tr w:rsidR="00125CE4" w:rsidRPr="00A77904" w14:paraId="072840DD" w14:textId="77777777" w:rsidTr="00FE3E15">
        <w:trPr>
          <w:trHeight w:val="310"/>
          <w:jc w:val="center"/>
        </w:trPr>
        <w:tc>
          <w:tcPr>
            <w:tcW w:w="1890" w:type="dxa"/>
            <w:vMerge/>
            <w:tcBorders>
              <w:top w:val="single" w:sz="4" w:space="0" w:color="000000"/>
              <w:bottom w:val="single" w:sz="4" w:space="0" w:color="000000"/>
            </w:tcBorders>
            <w:vAlign w:val="bottom"/>
          </w:tcPr>
          <w:p w14:paraId="00000066" w14:textId="77777777" w:rsidR="00125CE4" w:rsidRPr="00A77904" w:rsidRDefault="00125CE4" w:rsidP="001F38A2">
            <w:pPr>
              <w:pBdr>
                <w:top w:val="nil"/>
                <w:left w:val="nil"/>
                <w:bottom w:val="nil"/>
                <w:right w:val="nil"/>
                <w:between w:val="nil"/>
              </w:pBdr>
              <w:rPr>
                <w:color w:val="000000"/>
                <w:sz w:val="18"/>
                <w:szCs w:val="18"/>
                <w:lang w:val="en-US"/>
              </w:rPr>
            </w:pPr>
          </w:p>
        </w:tc>
        <w:tc>
          <w:tcPr>
            <w:tcW w:w="1854" w:type="dxa"/>
            <w:tcBorders>
              <w:top w:val="single" w:sz="4" w:space="0" w:color="000000"/>
              <w:bottom w:val="single" w:sz="4" w:space="0" w:color="000000"/>
            </w:tcBorders>
            <w:vAlign w:val="center"/>
          </w:tcPr>
          <w:p w14:paraId="00000067" w14:textId="77777777" w:rsidR="00125CE4" w:rsidRPr="00A77904" w:rsidRDefault="00000000" w:rsidP="001F38A2">
            <w:pPr>
              <w:jc w:val="center"/>
              <w:rPr>
                <w:color w:val="000000"/>
                <w:sz w:val="18"/>
                <w:szCs w:val="18"/>
                <w:lang w:val="en-US"/>
              </w:rPr>
            </w:pPr>
            <w:r w:rsidRPr="00A77904">
              <w:rPr>
                <w:color w:val="000000"/>
                <w:sz w:val="18"/>
                <w:szCs w:val="18"/>
                <w:lang w:val="en-US"/>
              </w:rPr>
              <w:t>DMSO</w:t>
            </w:r>
          </w:p>
        </w:tc>
        <w:tc>
          <w:tcPr>
            <w:tcW w:w="1359" w:type="dxa"/>
            <w:tcBorders>
              <w:top w:val="single" w:sz="4" w:space="0" w:color="000000"/>
              <w:bottom w:val="single" w:sz="4" w:space="0" w:color="000000"/>
            </w:tcBorders>
            <w:vAlign w:val="center"/>
          </w:tcPr>
          <w:p w14:paraId="00000068" w14:textId="77777777" w:rsidR="00125CE4" w:rsidRPr="00A77904" w:rsidRDefault="00000000" w:rsidP="001F38A2">
            <w:pPr>
              <w:jc w:val="center"/>
              <w:rPr>
                <w:color w:val="000000"/>
                <w:sz w:val="18"/>
                <w:szCs w:val="18"/>
                <w:lang w:val="en-US"/>
              </w:rPr>
            </w:pPr>
            <w:r w:rsidRPr="00A77904">
              <w:rPr>
                <w:color w:val="000000"/>
                <w:sz w:val="18"/>
                <w:szCs w:val="18"/>
                <w:lang w:val="en-US"/>
              </w:rPr>
              <w:t>0</w:t>
            </w:r>
          </w:p>
        </w:tc>
        <w:tc>
          <w:tcPr>
            <w:tcW w:w="990" w:type="dxa"/>
            <w:tcBorders>
              <w:top w:val="single" w:sz="4" w:space="0" w:color="000000"/>
              <w:bottom w:val="single" w:sz="4" w:space="0" w:color="000000"/>
            </w:tcBorders>
            <w:vAlign w:val="center"/>
          </w:tcPr>
          <w:p w14:paraId="00000069" w14:textId="77777777" w:rsidR="00125CE4" w:rsidRPr="00A77904" w:rsidRDefault="00000000" w:rsidP="001F38A2">
            <w:pPr>
              <w:jc w:val="center"/>
              <w:rPr>
                <w:color w:val="000000"/>
                <w:sz w:val="18"/>
                <w:szCs w:val="18"/>
                <w:lang w:val="en-US"/>
              </w:rPr>
            </w:pPr>
            <w:r w:rsidRPr="00A77904">
              <w:rPr>
                <w:color w:val="000000"/>
                <w:sz w:val="18"/>
                <w:szCs w:val="18"/>
                <w:lang w:val="en-US"/>
              </w:rPr>
              <w:t>0</w:t>
            </w:r>
          </w:p>
        </w:tc>
        <w:tc>
          <w:tcPr>
            <w:tcW w:w="1366" w:type="dxa"/>
            <w:tcBorders>
              <w:top w:val="single" w:sz="4" w:space="0" w:color="000000"/>
              <w:bottom w:val="single" w:sz="4" w:space="0" w:color="000000"/>
            </w:tcBorders>
            <w:vAlign w:val="bottom"/>
          </w:tcPr>
          <w:p w14:paraId="0000006A" w14:textId="77777777" w:rsidR="00125CE4" w:rsidRPr="00A77904" w:rsidRDefault="00000000" w:rsidP="001F38A2">
            <w:pPr>
              <w:jc w:val="center"/>
              <w:rPr>
                <w:color w:val="000000"/>
                <w:sz w:val="18"/>
                <w:szCs w:val="18"/>
                <w:lang w:val="en-US"/>
              </w:rPr>
            </w:pPr>
            <w:r w:rsidRPr="00A77904">
              <w:rPr>
                <w:color w:val="000000"/>
                <w:sz w:val="18"/>
                <w:szCs w:val="18"/>
                <w:lang w:val="en-US"/>
              </w:rPr>
              <w:t>0 </w:t>
            </w:r>
          </w:p>
        </w:tc>
      </w:tr>
    </w:tbl>
    <w:bookmarkEnd w:id="5"/>
    <w:p w14:paraId="28E6EF46" w14:textId="77777777" w:rsidR="00BE53AA" w:rsidRPr="00A77904" w:rsidRDefault="00BE53AA" w:rsidP="00BE53AA">
      <w:pPr>
        <w:pStyle w:val="NormalWeb"/>
        <w:ind w:left="720"/>
        <w:rPr>
          <w:color w:val="000000" w:themeColor="text1"/>
          <w:sz w:val="18"/>
          <w:szCs w:val="18"/>
          <w:lang w:val="en-US"/>
        </w:rPr>
      </w:pPr>
      <w:r w:rsidRPr="00A77904">
        <w:rPr>
          <w:color w:val="000000" w:themeColor="text1"/>
          <w:sz w:val="18"/>
          <w:szCs w:val="18"/>
          <w:lang w:val="en-US"/>
        </w:rPr>
        <w:t>Note: Values represent single measurements; no replicates were performed.</w:t>
      </w:r>
    </w:p>
    <w:p w14:paraId="0000006B" w14:textId="49B32A0C" w:rsidR="00125CE4" w:rsidRPr="00A77904" w:rsidRDefault="00000000" w:rsidP="003870CB">
      <w:pPr>
        <w:ind w:left="630" w:firstLine="720"/>
        <w:rPr>
          <w:sz w:val="20"/>
          <w:szCs w:val="20"/>
          <w:lang w:val="en-US"/>
        </w:rPr>
      </w:pPr>
      <w:r w:rsidRPr="00A77904">
        <w:rPr>
          <w:sz w:val="20"/>
          <w:szCs w:val="20"/>
          <w:lang w:val="en-US"/>
        </w:rPr>
        <w:t xml:space="preserve">DT = </w:t>
      </w:r>
      <w:proofErr w:type="spellStart"/>
      <w:r w:rsidR="00E3378A" w:rsidRPr="00A77904">
        <w:rPr>
          <w:sz w:val="20"/>
          <w:szCs w:val="20"/>
          <w:lang w:val="en-US"/>
        </w:rPr>
        <w:t>Kesambi</w:t>
      </w:r>
      <w:proofErr w:type="spellEnd"/>
      <w:r w:rsidRPr="00A77904">
        <w:rPr>
          <w:sz w:val="20"/>
          <w:szCs w:val="20"/>
          <w:lang w:val="en-US"/>
        </w:rPr>
        <w:t xml:space="preserve"> Highlands,</w:t>
      </w:r>
    </w:p>
    <w:p w14:paraId="2BB67E44" w14:textId="18AF9C0F" w:rsidR="00BB4A83" w:rsidRPr="00A77904" w:rsidRDefault="00000000" w:rsidP="00903809">
      <w:pPr>
        <w:ind w:left="1350"/>
        <w:rPr>
          <w:sz w:val="20"/>
          <w:szCs w:val="20"/>
          <w:lang w:val="en-US"/>
        </w:rPr>
      </w:pPr>
      <w:r w:rsidRPr="00A77904">
        <w:rPr>
          <w:sz w:val="20"/>
          <w:szCs w:val="20"/>
          <w:lang w:val="en-US"/>
        </w:rPr>
        <w:t xml:space="preserve">DR = </w:t>
      </w:r>
      <w:proofErr w:type="spellStart"/>
      <w:r w:rsidR="00E3378A" w:rsidRPr="00A77904">
        <w:rPr>
          <w:sz w:val="20"/>
          <w:szCs w:val="20"/>
          <w:lang w:val="en-US"/>
        </w:rPr>
        <w:t>Kesambi</w:t>
      </w:r>
      <w:proofErr w:type="spellEnd"/>
      <w:r w:rsidRPr="00A77904">
        <w:rPr>
          <w:sz w:val="20"/>
          <w:szCs w:val="20"/>
          <w:lang w:val="en-US"/>
        </w:rPr>
        <w:t xml:space="preserve"> Lowlands</w:t>
      </w:r>
    </w:p>
    <w:p w14:paraId="168BAC9E" w14:textId="77777777" w:rsidR="008E4E62" w:rsidRPr="00A77904" w:rsidRDefault="008E4E62" w:rsidP="00195ED3">
      <w:pPr>
        <w:ind w:firstLine="360"/>
        <w:jc w:val="both"/>
        <w:rPr>
          <w:sz w:val="20"/>
          <w:szCs w:val="20"/>
          <w:lang w:val="en-US"/>
        </w:rPr>
      </w:pPr>
    </w:p>
    <w:p w14:paraId="0B313D2F" w14:textId="0331AA23" w:rsidR="00A9365F" w:rsidRPr="00A77904" w:rsidRDefault="00A87411" w:rsidP="00A9365F">
      <w:pPr>
        <w:ind w:firstLine="360"/>
        <w:jc w:val="both"/>
        <w:rPr>
          <w:sz w:val="20"/>
          <w:szCs w:val="20"/>
          <w:lang w:val="en-US"/>
        </w:rPr>
      </w:pPr>
      <w:r w:rsidRPr="00A77904">
        <w:rPr>
          <w:sz w:val="20"/>
          <w:szCs w:val="20"/>
          <w:lang w:val="en-US"/>
        </w:rPr>
        <w:t xml:space="preserve">Table 1 shows that the highland extract is more effective than the lowland extract. Table 1 shows that the highland extract is more effective than the lowland extract. This is reflected in the larger inhibition zones observed for the highland extract. The </w:t>
      </w:r>
      <w:r w:rsidRPr="00A77904">
        <w:rPr>
          <w:i/>
          <w:iCs/>
          <w:sz w:val="20"/>
          <w:szCs w:val="20"/>
          <w:lang w:val="en-US"/>
        </w:rPr>
        <w:t>S. oleosa</w:t>
      </w:r>
      <w:r w:rsidRPr="00A77904">
        <w:rPr>
          <w:sz w:val="20"/>
          <w:szCs w:val="20"/>
          <w:lang w:val="en-US"/>
        </w:rPr>
        <w:t xml:space="preserve"> leaf extract demonstrated stronger activity against </w:t>
      </w:r>
      <w:r w:rsidRPr="00A77904">
        <w:rPr>
          <w:i/>
          <w:iCs/>
          <w:sz w:val="20"/>
          <w:szCs w:val="20"/>
          <w:lang w:val="en-US"/>
        </w:rPr>
        <w:t>P. aeruginosa</w:t>
      </w:r>
      <w:r w:rsidRPr="00A77904">
        <w:rPr>
          <w:sz w:val="20"/>
          <w:szCs w:val="20"/>
          <w:lang w:val="en-US"/>
        </w:rPr>
        <w:t xml:space="preserve"> compared to the lowland extract, with inhibition zones in some cases </w:t>
      </w:r>
      <w:proofErr w:type="gramStart"/>
      <w:r w:rsidRPr="00A77904">
        <w:rPr>
          <w:sz w:val="20"/>
          <w:szCs w:val="20"/>
          <w:lang w:val="en-US"/>
        </w:rPr>
        <w:t>similar to</w:t>
      </w:r>
      <w:proofErr w:type="gramEnd"/>
      <w:r w:rsidRPr="00A77904">
        <w:rPr>
          <w:sz w:val="20"/>
          <w:szCs w:val="20"/>
          <w:lang w:val="en-US"/>
        </w:rPr>
        <w:t xml:space="preserve"> or slightly exceeding those of chloramphenicol. In contrast, chloramphenicol showed a markedly higher inhibitory effect against </w:t>
      </w:r>
      <w:r w:rsidRPr="00A77904">
        <w:rPr>
          <w:i/>
          <w:iCs/>
          <w:sz w:val="20"/>
          <w:szCs w:val="20"/>
          <w:lang w:val="en-US"/>
        </w:rPr>
        <w:t>B. subtilis</w:t>
      </w:r>
      <w:r w:rsidRPr="00A77904">
        <w:rPr>
          <w:sz w:val="20"/>
          <w:szCs w:val="20"/>
          <w:lang w:val="en-US"/>
        </w:rPr>
        <w:t xml:space="preserve"> than either of the extracts. </w:t>
      </w:r>
      <w:r w:rsidR="007C39BE" w:rsidRPr="00A77904">
        <w:rPr>
          <w:sz w:val="20"/>
          <w:szCs w:val="20"/>
          <w:lang w:val="en-US"/>
        </w:rPr>
        <w:t xml:space="preserve">According to </w:t>
      </w:r>
      <w:r w:rsidR="00E35E23" w:rsidRPr="00A77904">
        <w:rPr>
          <w:sz w:val="20"/>
          <w:szCs w:val="20"/>
          <w:lang w:val="en-US"/>
        </w:rPr>
        <w:fldChar w:fldCharType="begin" w:fldLock="1"/>
      </w:r>
      <w:r w:rsidR="00D3715B" w:rsidRPr="00A77904">
        <w:rPr>
          <w:sz w:val="20"/>
          <w:szCs w:val="20"/>
          <w:lang w:val="en-US"/>
        </w:rPr>
        <w:instrText>ADDIN CSL_CITATION {"citationItems":[{"id":"ITEM-1","itemData":{"ISBN":"1562388657","author":[{"dropping-particle":"","family":"Testing","given":"Susceptibility","non-dropping-particle":"","parse-names":false,"suffix":""}],"id":"ITEM-1","issue":"January","issued":{"date-parts":[["2013"]]},"title":"M100-S23 Performance Standards for Antimicrobial","type":"book"},"uris":["http://www.mendeley.com/documents/?uuid=eef01e00-04aa-43a9-b611-63f8fd49cd4d"]}],"mendeley":{"formattedCitation":"(23)","manualFormatting":"[23]","plainTextFormattedCitation":"(23)","previouslyFormattedCitation":"(23)"},"properties":{"noteIndex":0},"schema":"https://github.com/citation-style-language/schema/raw/master/csl-citation.json"}</w:instrText>
      </w:r>
      <w:r w:rsidR="00E35E23" w:rsidRPr="00A77904">
        <w:rPr>
          <w:sz w:val="20"/>
          <w:szCs w:val="20"/>
          <w:lang w:val="en-US"/>
        </w:rPr>
        <w:fldChar w:fldCharType="separate"/>
      </w:r>
      <w:r w:rsidR="00A9365F" w:rsidRPr="00A77904">
        <w:rPr>
          <w:noProof/>
          <w:sz w:val="20"/>
          <w:szCs w:val="20"/>
          <w:lang w:val="en-US"/>
        </w:rPr>
        <w:t>[23]</w:t>
      </w:r>
      <w:r w:rsidR="00E35E23" w:rsidRPr="00A77904">
        <w:rPr>
          <w:sz w:val="20"/>
          <w:szCs w:val="20"/>
          <w:lang w:val="en-US"/>
        </w:rPr>
        <w:fldChar w:fldCharType="end"/>
      </w:r>
      <w:r w:rsidR="007C39BE" w:rsidRPr="00A77904">
        <w:rPr>
          <w:sz w:val="20"/>
          <w:szCs w:val="20"/>
          <w:lang w:val="en-US"/>
        </w:rPr>
        <w:t>,</w:t>
      </w:r>
      <w:r w:rsidR="00A9365F" w:rsidRPr="00A77904">
        <w:rPr>
          <w:sz w:val="20"/>
          <w:szCs w:val="20"/>
          <w:lang w:val="en-US"/>
        </w:rPr>
        <w:t xml:space="preserve"> the inhibition zones observed for the lowland and highland </w:t>
      </w:r>
      <w:r w:rsidR="00A9365F" w:rsidRPr="00A77904">
        <w:rPr>
          <w:i/>
          <w:iCs/>
          <w:sz w:val="20"/>
          <w:szCs w:val="20"/>
          <w:lang w:val="en-US"/>
        </w:rPr>
        <w:t>S. oleosa</w:t>
      </w:r>
      <w:r w:rsidR="00A9365F" w:rsidRPr="00A77904">
        <w:rPr>
          <w:sz w:val="20"/>
          <w:szCs w:val="20"/>
          <w:lang w:val="en-US"/>
        </w:rPr>
        <w:t xml:space="preserve"> leaf extract treatments fall within the resistant category for </w:t>
      </w:r>
      <w:r w:rsidR="00A9365F" w:rsidRPr="00A77904">
        <w:rPr>
          <w:i/>
          <w:iCs/>
          <w:sz w:val="20"/>
          <w:szCs w:val="20"/>
          <w:lang w:val="en-US"/>
        </w:rPr>
        <w:t>P. aeruginosa</w:t>
      </w:r>
      <w:r w:rsidR="00A9365F" w:rsidRPr="00A77904">
        <w:rPr>
          <w:sz w:val="20"/>
          <w:szCs w:val="20"/>
          <w:lang w:val="en-US"/>
        </w:rPr>
        <w:t xml:space="preserve"> and </w:t>
      </w:r>
      <w:r w:rsidR="00A9365F" w:rsidRPr="00A77904">
        <w:rPr>
          <w:i/>
          <w:iCs/>
          <w:sz w:val="20"/>
          <w:szCs w:val="20"/>
          <w:lang w:val="en-US"/>
        </w:rPr>
        <w:t>B. subtilis</w:t>
      </w:r>
      <w:r w:rsidR="00A9365F" w:rsidRPr="00A77904">
        <w:rPr>
          <w:sz w:val="20"/>
          <w:szCs w:val="20"/>
          <w:lang w:val="en-US"/>
        </w:rPr>
        <w:t>, as the measured zones were ≤13 mm.</w:t>
      </w:r>
    </w:p>
    <w:p w14:paraId="547BD5D1" w14:textId="7B04DEA1" w:rsidR="00AA51C3" w:rsidRPr="00A77904" w:rsidRDefault="00AA51C3" w:rsidP="00A87411">
      <w:pPr>
        <w:ind w:firstLine="360"/>
        <w:jc w:val="both"/>
        <w:rPr>
          <w:sz w:val="20"/>
          <w:szCs w:val="20"/>
          <w:lang w:val="en-US"/>
        </w:rPr>
      </w:pPr>
    </w:p>
    <w:p w14:paraId="0000006E" w14:textId="4DAC9ACF" w:rsidR="00125CE4" w:rsidRPr="00A77904" w:rsidRDefault="00A44505" w:rsidP="00195ED3">
      <w:pPr>
        <w:ind w:firstLine="360"/>
        <w:jc w:val="both"/>
        <w:rPr>
          <w:sz w:val="20"/>
          <w:szCs w:val="20"/>
          <w:lang w:val="en-US"/>
        </w:rPr>
      </w:pPr>
      <w:r w:rsidRPr="00A77904">
        <w:rPr>
          <w:sz w:val="20"/>
          <w:szCs w:val="20"/>
          <w:lang w:val="en-US"/>
        </w:rPr>
        <w:t xml:space="preserve">Bioactive compounds from </w:t>
      </w:r>
      <w:r w:rsidRPr="00A77904">
        <w:rPr>
          <w:i/>
          <w:iCs/>
          <w:sz w:val="20"/>
          <w:szCs w:val="20"/>
          <w:lang w:val="en-US"/>
        </w:rPr>
        <w:t xml:space="preserve">S. </w:t>
      </w:r>
      <w:proofErr w:type="spellStart"/>
      <w:r w:rsidRPr="00A77904">
        <w:rPr>
          <w:i/>
          <w:iCs/>
          <w:sz w:val="20"/>
          <w:szCs w:val="20"/>
          <w:lang w:val="en-US"/>
        </w:rPr>
        <w:t>oleaosa</w:t>
      </w:r>
      <w:proofErr w:type="spellEnd"/>
      <w:r w:rsidRPr="00A77904">
        <w:rPr>
          <w:sz w:val="20"/>
          <w:szCs w:val="20"/>
          <w:lang w:val="en-US"/>
        </w:rPr>
        <w:t xml:space="preserve"> leaf exert their biological effects via multiple </w:t>
      </w:r>
      <w:r w:rsidR="00E3378A" w:rsidRPr="00A77904">
        <w:rPr>
          <w:sz w:val="20"/>
          <w:szCs w:val="20"/>
          <w:lang w:val="en-US"/>
        </w:rPr>
        <w:t>mechanisms.</w:t>
      </w:r>
      <w:r w:rsidR="00195ED3" w:rsidRPr="00A77904">
        <w:rPr>
          <w:sz w:val="20"/>
          <w:szCs w:val="20"/>
          <w:lang w:val="en-US"/>
        </w:rPr>
        <w:t xml:space="preserve"> </w:t>
      </w:r>
      <w:r w:rsidRPr="00A77904">
        <w:rPr>
          <w:sz w:val="20"/>
          <w:szCs w:val="20"/>
          <w:lang w:val="en-US"/>
        </w:rPr>
        <w:t xml:space="preserve">Flavonoids disrupt the synthesis of nucleic acids by targeting key bacterial enzymes like DNA gyrase and topoisomerase, which are essential for replication </w:t>
      </w:r>
      <w:r w:rsidR="00E35E23" w:rsidRPr="00A77904">
        <w:rPr>
          <w:sz w:val="20"/>
          <w:szCs w:val="20"/>
          <w:lang w:val="en-US"/>
        </w:rPr>
        <w:fldChar w:fldCharType="begin" w:fldLock="1"/>
      </w:r>
      <w:r w:rsidR="00A9365F" w:rsidRPr="00A77904">
        <w:rPr>
          <w:sz w:val="20"/>
          <w:szCs w:val="20"/>
          <w:lang w:val="en-US"/>
        </w:rPr>
        <w:instrText>ADDIN CSL_CITATION {"citationItems":[{"id":"ITEM-1","itemData":{"id":"ITEM-1","issued":{"date-parts":[["0"]]},"title":"CamScanner 19-09-2025 10.28.pdf","type":"article"},"uris":["http://www.mendeley.com/documents/?uuid=1b515b24-7fae-4d9e-8af2-e7a32894782f"]}],"mendeley":{"formattedCitation":"(21)","manualFormatting":"[20]","plainTextFormattedCitation":"(21)","previouslyFormattedCitation":"(21)"},"properties":{"noteIndex":0},"schema":"https://github.com/citation-style-language/schema/raw/master/csl-citation.json"}</w:instrText>
      </w:r>
      <w:r w:rsidR="00E35E23" w:rsidRPr="00A77904">
        <w:rPr>
          <w:sz w:val="20"/>
          <w:szCs w:val="20"/>
          <w:lang w:val="en-US"/>
        </w:rPr>
        <w:fldChar w:fldCharType="separate"/>
      </w:r>
      <w:r w:rsidR="00E35E23" w:rsidRPr="00A77904">
        <w:rPr>
          <w:noProof/>
          <w:sz w:val="20"/>
          <w:szCs w:val="20"/>
          <w:lang w:val="en-US"/>
        </w:rPr>
        <w:t>[20]</w:t>
      </w:r>
      <w:r w:rsidR="00E35E23" w:rsidRPr="00A77904">
        <w:rPr>
          <w:sz w:val="20"/>
          <w:szCs w:val="20"/>
          <w:lang w:val="en-US"/>
        </w:rPr>
        <w:fldChar w:fldCharType="end"/>
      </w:r>
      <w:r w:rsidRPr="00A77904">
        <w:rPr>
          <w:sz w:val="20"/>
          <w:szCs w:val="20"/>
          <w:lang w:val="en-US"/>
        </w:rPr>
        <w:t xml:space="preserve">. Tannins compromise bacterial cell integrity by binding with proteins and polysaccharides, thereby weakening the cell wall </w:t>
      </w:r>
      <w:r w:rsidR="00E35E23" w:rsidRPr="00A77904">
        <w:rPr>
          <w:sz w:val="20"/>
          <w:szCs w:val="20"/>
          <w:lang w:val="en-US"/>
        </w:rPr>
        <w:fldChar w:fldCharType="begin" w:fldLock="1"/>
      </w:r>
      <w:r w:rsidR="00A9365F" w:rsidRPr="00A77904">
        <w:rPr>
          <w:sz w:val="20"/>
          <w:szCs w:val="20"/>
          <w:lang w:val="en-US"/>
        </w:rPr>
        <w:instrText>ADDIN CSL_CITATION {"citationItems":[{"id":"ITEM-1","itemData":{"DOI":"10.12688/f1000research.26215.1","ISSN":"1759796X","PMID":"33537126","abstract":"Background: Disease causing bacteria such as Vibrio alginolyticus, Aeromonas hydrophila, and Pseudomonas aeruginosa present a problem for fish farming. Treatment to remove them are generally carried out using antibiotics which have side effects on fish, the environment and humans. However, the use of antibacterial compounds derived from heterotrophic bacteria serve as a good alternative for antibiotics. Therefore, this study aimed to explore antibacterial activity in the secondary metabolite extracts of heterotrophic bacteria against Vibrio alginolyticus, Aeromonas hydrophila, and Pseudomonas aeruginosa. Methods: Heterotrophic bacteria namely Bacillus sp. JS04 MT102913.1, Bacillus toyonensis JS08 MT102920.1, Bacillus cereus JS10 MT102922.1, Bacillus sp. JS11 MT102923.1, Pseudoalteromonas sp. JS19 MT102924.1, Bacillus cereus JS22 MT102926.1, and Bacillus sp. strain JS25 MT102927.1 were used in this study. The sequences of these bacteria have been deposited and are available from NCBI GenBank. Each heterotrophic bacterium was cultured on 6L nutrient broth for 8 days, and extracts produced using ethyl acetate to obtain their secondary metabolites. These extracts were tested for their phytochemical contents using FT-IR and also tested for their inhibitory property in pathogenic bacteria by agar diffusion method. Results: Phytochemical test results showed that the seven heterotrophic bacterial isolates produced terpenoid compounds. Based on the inhibitory test, the secondary metabolite extracts from Bacillus sp strain JS04 had the highest inhibitory effect on the growth of pathogenic bacteria namely, V. alginolyticus (17.5 mm), A. hydrophila (16.8 mm), and P. aeruginosa (17.3 mm). Conclusion: It was concluded that the secondary metabolite extracts of heterotrophic bacteria inhibit the growth of V. alginolyticus, A. hydrophila, and P. aeruginosa.","author":[{"dropping-particle":"","family":"Feliatra","given":"Feli","non-dropping-particle":"","parse-names":false,"suffix":""},{"dropping-particle":"","family":"Setiaji","given":"Jarod","non-dropping-particle":"","parse-names":false,"suffix":""},{"dropping-particle":"","family":"Teruna","given":"Hilwan Yuda","non-dropping-particle":"","parse-names":false,"suffix":""},{"dropping-particle":"","family":"Lukistyowati","given":"Iesje","non-dropping-particle":"","parse-names":false,"suffix":""},{"dropping-particle":"","family":"Suharman","given":"Indra","non-dropping-particle":"","parse-names":false,"suffix":""},{"dropping-particle":"","family":"Muchlisin","given":"Zainal Abidin","non-dropping-particle":"","parse-names":false,"suffix":""},{"dropping-particle":"","family":"Johan","given":"Teuku Iskandar","non-dropping-particle":"","parse-names":false,"suffix":""}],"container-title":"F1000Research","id":"ITEM-1","issued":{"date-parts":[["2020"]]},"publisher":"F1000 Research Ltd","title":"Antibacterial activity in secondary metabolite extracts of heterotrophic bacteria against Vibrio alginolyticus, Aeromonas hydrophila, and Pseudomonas aeruginosa","type":"article-journal","volume":"9"},"uris":["http://www.mendeley.com/documents/?uuid=7266430c-b69e-367d-b5d3-243ef7b490b5"]}],"mendeley":{"formattedCitation":"(20)","manualFormatting":"[19]","plainTextFormattedCitation":"(20)","previouslyFormattedCitation":"(20)"},"properties":{"noteIndex":0},"schema":"https://github.com/citation-style-language/schema/raw/master/csl-citation.json"}</w:instrText>
      </w:r>
      <w:r w:rsidR="00E35E23" w:rsidRPr="00A77904">
        <w:rPr>
          <w:sz w:val="20"/>
          <w:szCs w:val="20"/>
          <w:lang w:val="en-US"/>
        </w:rPr>
        <w:fldChar w:fldCharType="separate"/>
      </w:r>
      <w:r w:rsidR="00E35E23" w:rsidRPr="00A77904">
        <w:rPr>
          <w:noProof/>
          <w:sz w:val="20"/>
          <w:szCs w:val="20"/>
          <w:lang w:val="en-US"/>
        </w:rPr>
        <w:t>[19]</w:t>
      </w:r>
      <w:r w:rsidR="00E35E23" w:rsidRPr="00A77904">
        <w:rPr>
          <w:sz w:val="20"/>
          <w:szCs w:val="20"/>
          <w:lang w:val="en-US"/>
        </w:rPr>
        <w:fldChar w:fldCharType="end"/>
      </w:r>
      <w:r w:rsidRPr="00A77904">
        <w:rPr>
          <w:sz w:val="20"/>
          <w:szCs w:val="20"/>
          <w:lang w:val="en-US"/>
        </w:rPr>
        <w:t>. Saponins, with their surfactant-like behavior, increase the permeability of bacterial membranes, leading to the leakage of intracellular components</w:t>
      </w:r>
      <w:r w:rsidR="00E35E23" w:rsidRPr="00A77904">
        <w:rPr>
          <w:sz w:val="20"/>
          <w:szCs w:val="20"/>
          <w:lang w:val="en-US"/>
        </w:rPr>
        <w:t xml:space="preserve"> </w:t>
      </w:r>
      <w:r w:rsidR="00E3378A" w:rsidRPr="00A77904">
        <w:rPr>
          <w:sz w:val="20"/>
          <w:szCs w:val="20"/>
          <w:lang w:val="en-US"/>
        </w:rPr>
        <w:t>[21].</w:t>
      </w:r>
      <w:r w:rsidRPr="00A77904">
        <w:rPr>
          <w:sz w:val="20"/>
          <w:szCs w:val="20"/>
          <w:lang w:val="en-US"/>
        </w:rPr>
        <w:t xml:space="preserve"> Meanwhile, alkaloids work by inhibiting bacterial efflux systems and interfering with quorum sensing, thereby diminishing the bacteria's virulence and ability to form biofilms </w:t>
      </w:r>
      <w:r w:rsidR="00E35E23" w:rsidRPr="00A77904">
        <w:rPr>
          <w:sz w:val="20"/>
          <w:szCs w:val="20"/>
          <w:lang w:val="en-US"/>
        </w:rPr>
        <w:fldChar w:fldCharType="begin" w:fldLock="1"/>
      </w:r>
      <w:r w:rsidR="00A9365F" w:rsidRPr="00A77904">
        <w:rPr>
          <w:sz w:val="20"/>
          <w:szCs w:val="20"/>
          <w:lang w:val="en-US"/>
        </w:rPr>
        <w:instrText>ADDIN CSL_CITATION {"citationItems":[{"id":"ITEM-1","itemData":{"DOI":"10.1128/aem.01547-22","ISSN":"10985336","PMID":"36519886","abstract":"Antibiotic resistance mediated by bacterial enzyme inactivation plays a crucial role in the degradation of antibiotics in the environment. Chloramphenicol (CAP) resistance by enzymatic inactivation comprises nitro reduction, amide bond hydrolysis, and acetylation modification. However, the molecular mechanism of enzymatic oxidation of CAP remains unknown. Here, a novel oxidase gene, cmO, was identified and confirmed biochemically. The encoded CmO oxidase could catalyze the oxidation at the C-1' and C-3' positions of CAP and thiamphenicol (TAP) in Sphingobium sp. strain CAP-1. CmO is highly conserved in members of the family Sphingomonadaceae and shares the highest amino acid similarity of 41.05% with the biochemically identified glucose methanol choline (GMC) oxidoreductases. Molecular docking and site-directed mutagenesis analyses demonstrated that CAP was anchored inside the protein pocket of CmO with the hydrogen bonding of key residues glycine (G) 99, asparagine (N) 518, methionine (M) 474, and tyrosine (Y) 380. CAP sensitivity tests demonstrated that the acetyltransferase and CmO could enable a higher level of resistance to CAP than the amide bond-hydrolyzing esterase and nitroreductase. This study provides a better theoretical basis and a novel diagnostic gene for understanding and assessing the fate and resistance risk of CAP and TAP in the environment.","author":[{"dropping-particle":"","family":"Ma","given":"Xiaodan","non-dropping-particle":"","parse-names":false,"suffix":""},{"dropping-particle":"","family":"Zhang","given":"Liying","non-dropping-particle":"","parse-names":false,"suffix":""},{"dropping-particle":"","family":"Ren","given":"Yijun","non-dropping-particle":"","parse-names":false,"suffix":""},{"dropping-particle":"","family":"Yun","given":"Hui","non-dropping-particle":"","parse-names":false,"suffix":""},{"dropping-particle":"","family":"Cui","given":"Hanlin","non-dropping-particle":"","parse-names":false,"suffix":""},{"dropping-particle":"","family":"Li","given":"Qian","non-dropping-particle":"","parse-names":false,"suffix":""},{"dropping-particle":"","family":"Guo","given":"Yuanqiang","non-dropping-particle":"","parse-names":false,"suffix":""},{"dropping-particle":"","family":"Gao","given":"Shuhong","non-dropping-particle":"","parse-names":false,"suffix":""},{"dropping-particle":"","family":"Zhang","given":"Fengliang","non-dropping-particle":"","parse-names":false,"suffix":""},{"dropping-particle":"","family":"Wang","given":"Aijie","non-dropping-particle":"","parse-names":false,"suffix":""},{"dropping-particle":"","family":"Liang","given":"Bin","non-dropping-particle":"","parse-names":false,"suffix":""}],"container-title":"Applied and Environmental Microbiology","id":"ITEM-1","issue":"1","issued":{"date-parts":[["2023","1","1"]]},"publisher":"American Society for Microbiology","title":"Molecular Mechanism of Chloramphenicol and Thiamphenicol Resistance Mediated by a Novel Oxidase, CmO, in Sphingomonadaceae","type":"article-journal","volume":"89"},"uris":["http://www.mendeley.com/documents/?uuid=1e64c87d-5b9a-319a-90bd-d48f256e67bf"]}],"mendeley":{"formattedCitation":"(19)","manualFormatting":"[18].","plainTextFormattedCitation":"(19)","previouslyFormattedCitation":"(19)"},"properties":{"noteIndex":0},"schema":"https://github.com/citation-style-language/schema/raw/master/csl-citation.json"}</w:instrText>
      </w:r>
      <w:r w:rsidR="00E35E23" w:rsidRPr="00A77904">
        <w:rPr>
          <w:sz w:val="20"/>
          <w:szCs w:val="20"/>
          <w:lang w:val="en-US"/>
        </w:rPr>
        <w:fldChar w:fldCharType="separate"/>
      </w:r>
      <w:r w:rsidR="00E35E23" w:rsidRPr="00A77904">
        <w:rPr>
          <w:noProof/>
          <w:sz w:val="20"/>
          <w:szCs w:val="20"/>
          <w:lang w:val="en-US"/>
        </w:rPr>
        <w:t>[18].</w:t>
      </w:r>
      <w:r w:rsidR="00E35E23" w:rsidRPr="00A77904">
        <w:rPr>
          <w:sz w:val="20"/>
          <w:szCs w:val="20"/>
          <w:lang w:val="en-US"/>
        </w:rPr>
        <w:fldChar w:fldCharType="end"/>
      </w:r>
    </w:p>
    <w:p w14:paraId="0000006F" w14:textId="6BCDA6BA" w:rsidR="00125CE4" w:rsidRPr="00A77904" w:rsidRDefault="00000000">
      <w:pPr>
        <w:ind w:firstLine="360"/>
        <w:jc w:val="both"/>
        <w:rPr>
          <w:sz w:val="20"/>
          <w:szCs w:val="20"/>
          <w:lang w:val="en-US"/>
        </w:rPr>
      </w:pPr>
      <w:r w:rsidRPr="00A77904">
        <w:rPr>
          <w:sz w:val="20"/>
          <w:szCs w:val="20"/>
          <w:lang w:val="en-US"/>
        </w:rPr>
        <w:t xml:space="preserve">The superior antibacterial activity of highland </w:t>
      </w:r>
      <w:proofErr w:type="spellStart"/>
      <w:r w:rsidR="00E3378A" w:rsidRPr="00A77904">
        <w:rPr>
          <w:sz w:val="20"/>
          <w:szCs w:val="20"/>
          <w:lang w:val="en-US"/>
        </w:rPr>
        <w:t>Kesambi</w:t>
      </w:r>
      <w:proofErr w:type="spellEnd"/>
      <w:r w:rsidRPr="00A77904">
        <w:rPr>
          <w:sz w:val="20"/>
          <w:szCs w:val="20"/>
          <w:lang w:val="en-US"/>
        </w:rPr>
        <w:t xml:space="preserve"> extracts compared to lowland extracts may be linked </w:t>
      </w:r>
      <w:r w:rsidRPr="00A77904">
        <w:rPr>
          <w:sz w:val="20"/>
          <w:szCs w:val="20"/>
          <w:lang w:val="en-US"/>
        </w:rPr>
        <w:lastRenderedPageBreak/>
        <w:t xml:space="preserve">to environmental stress factors, such as cooler temperatures and higher UV exposure, which can enhance the production of defensive secondary metabolites </w:t>
      </w:r>
      <w:r w:rsidR="00534754" w:rsidRPr="00A77904">
        <w:rPr>
          <w:sz w:val="20"/>
          <w:szCs w:val="20"/>
          <w:lang w:val="en-US"/>
        </w:rPr>
        <w:fldChar w:fldCharType="begin" w:fldLock="1"/>
      </w:r>
      <w:r w:rsidR="00A9365F" w:rsidRPr="00A77904">
        <w:rPr>
          <w:sz w:val="20"/>
          <w:szCs w:val="20"/>
          <w:lang w:val="en-US"/>
        </w:rPr>
        <w:instrText>ADDIN CSL_CITATION {"citationItems":[{"id":"ITEM-1","itemData":{"abstract":"Kesambi (Schleichera oleosa) is one of the forest plants from Indonesia that has potential as medicine. Kesambi has active compounds that act as antioxidants. The purpose of this study was to determine the potential of kesambi leaf as an antioxidant using the DPPH method. Samples of kesambi leaf were extracted in methanol, ethanol, and water solvents by the maceration method. The class of compounds contained in kesambi leaf was tested by the colour reaction test method for alkaloids, flavonoids, triterpenoids, phenols, steroids, saponins, and tannins. Antioxidant activity was tested by the DPPH method to determine IC50 values. Based on the results of the colour reaction test showed that methanol and ethanol solvents were able to bind 6 classes of compounds (alkaloids, flavonoids, triterpenoid, phenols, saponins, and tannins) and water solvents were only able to bind 5 classes of compounds (flavonoids, triterpenoid, phenols, saponins, and tannins) contained in kesambi leaf. The results of antioxidant activity tests using the DPPH method showed the lowest IC50 value was methanol extract (16,12µg/ml) compared to ethanol extract (20,43µg/ml) and water (904,28µg/ml). It was concluded that the leaf extract of kesambi has potential as an antioxidant and which has the best antioxidant ability was extracted in methanol. The class of compounds which were thought to be responsible for the antioxidant activity of the kesambi leaf extract based on the color reaction test were phenols, flavonoids and tannins.","author":[{"dropping-particle":"","family":"Holil","given":"Kholifah","non-dropping-particle":"","parse-names":false,"suffix":""},{"dropping-particle":"","family":"Pramesti Griana","given":"Tias","non-dropping-particle":"","parse-names":false,"suffix":""},{"dropping-particle":"","family":"Biologi","given":"Jurusan","non-dropping-particle":"","parse-names":false,"suffix":""},{"dropping-particle":"","family":"Sains dan Teknologi","given":"Fakultas","non-dropping-particle":"","parse-names":false,"suffix":""},{"dropping-particle":"","family":"Maulana Malik Ibrahim Malang","given":"Uin","non-dropping-particle":"","parse-names":false,"suffix":""},{"dropping-particle":"","family":"Studi Pendidikan Dokter","given":"Program","non-dropping-particle":"","parse-names":false,"suffix":""},{"dropping-particle":"","family":"Kedokteran dan Ilmu Kesehatan","given":"Fakultas","non-dropping-particle":"","parse-names":false,"suffix":""}],"container-title":"Holil and Griana","id":"ITEM-1","issue":"1","issued":{"date-parts":[["0"]]},"number-of-pages":"28-32","title":"Analisis Fitokimia dan Aktivitas Antioksidan Ekstrak Daun Kesambi (Schleichera oleosa) Metode DPPH","type":"report","volume":"5"},"uris":["http://www.mendeley.com/documents/?uuid=195df7bc-ddb3-396f-b76b-9908a98155c4"]}],"mendeley":{"formattedCitation":"(6)","manualFormatting":"[6]","plainTextFormattedCitation":"(6)","previouslyFormattedCitation":"(6)"},"properties":{"noteIndex":0},"schema":"https://github.com/citation-style-language/schema/raw/master/csl-citation.json"}</w:instrText>
      </w:r>
      <w:r w:rsidR="00534754" w:rsidRPr="00A77904">
        <w:rPr>
          <w:sz w:val="20"/>
          <w:szCs w:val="20"/>
          <w:lang w:val="en-US"/>
        </w:rPr>
        <w:fldChar w:fldCharType="separate"/>
      </w:r>
      <w:r w:rsidR="00534754" w:rsidRPr="00A77904">
        <w:rPr>
          <w:noProof/>
          <w:sz w:val="20"/>
          <w:szCs w:val="20"/>
          <w:lang w:val="en-US"/>
        </w:rPr>
        <w:t>[6]</w:t>
      </w:r>
      <w:r w:rsidR="00534754" w:rsidRPr="00A77904">
        <w:rPr>
          <w:sz w:val="20"/>
          <w:szCs w:val="20"/>
          <w:lang w:val="en-US"/>
        </w:rPr>
        <w:fldChar w:fldCharType="end"/>
      </w:r>
      <w:r w:rsidRPr="00A77904">
        <w:rPr>
          <w:sz w:val="20"/>
          <w:szCs w:val="20"/>
          <w:lang w:val="en-US"/>
        </w:rPr>
        <w:t xml:space="preserve">. This phenomenon is consistent with studies showing that plants grown in harsher conditions often accumulate higher levels of antimicrobial compounds as a survival strategy </w:t>
      </w:r>
      <w:r w:rsidR="00534754" w:rsidRPr="00A77904">
        <w:rPr>
          <w:sz w:val="20"/>
          <w:szCs w:val="20"/>
          <w:lang w:val="en-US"/>
        </w:rPr>
        <w:fldChar w:fldCharType="begin" w:fldLock="1"/>
      </w:r>
      <w:r w:rsidR="00A9365F" w:rsidRPr="00A77904">
        <w:rPr>
          <w:sz w:val="20"/>
          <w:szCs w:val="20"/>
          <w:lang w:val="en-US"/>
        </w:rPr>
        <w:instrText>ADDIN CSL_CITATION {"citationItems":[{"id":"ITEM-1","itemData":{"DOI":"10.29303/jppipa.v11i1.9439","abstract":"Kesambi (Schleichera Oleosa (L.) is one of the beneficial plants in Indonesia which contains fenolic and flavonoids that exhibit antioxidant properties. The presence of antioxidants in plants could be associated with antidiabetic activity of these plants. This research was conducted to determine the antioxidant and antidiabetic activities of n-hexane, ethyl acetate, acetone and methanol extracts from Kesambi leaves. Extraction was carried out by the ultrasonic assisted extraction (UAE) method. The antioxidant activity was determined quantitatively by DPPH and ABTS method, while the antidiabetic activity was evaluated by using α-glukosidase inhibition method. The IC50 values from the determination of antioxidant and antidiabetic activities were obtained by using Microplate reader at the maximum wavelength. Results of the antioxidant determination DPPH method showed that IC50 values of n-hexane, ethyl acetate, acetone and methanol extracts were 414.1993; 57.7862; 6.33 dan 13.4558 µg/mL, respectively. And for ABTS method showed 162.679; 22.6684; 10.7975; dan 146.869 µg/mL. This indicates the acetone and methanol extracts give the best results in antioxidant activity. Meanwhile, IC50 values of in vitro antidiabetic activity of n-hexane, ethyl acetate, acetone and methanol extracts were 99.3235; 272.8723; 1.6799; dan 24.4653 µg/mL, respectively. Acetone and methanol extracts of kesambi leaf give the best results in antidiabetic activity.","author":[{"dropping-particle":"","family":"Nursamsiar","given":"N","non-dropping-particle":"","parse-names":false,"suffix":""},{"dropping-particle":"","family":"Marwati","given":"M","non-dropping-particle":"","parse-names":false,"suffix":""},{"dropping-particle":"","family":"Sami","given":"F J","non-dropping-particle":"","parse-names":false,"suffix":""},{"dropping-particle":"","family":"Nur","given":"S","non-dropping-particle":"","parse-names":false,"suffix":""},{"dropping-particle":"","family":"Kasmawati","given":"H","non-dropping-particle":"","parse-names":false,"suffix":""},{"dropping-particle":"","family":"Asnawi","given":"A","non-dropping-particle":"","parse-names":false,"suffix":""}],"container-title":"JPPIPA","id":"ITEM-1","issue":"1","issued":{"date-parts":[["2025"]]},"title":"Effect of Solvent Polarity on Antioxidant and Antidiabetic Activity of Kesambi Leaf Extract (Schleichera oleosa Effect of Solvent Polarity on Antioxidant and Antidiabetic Activity of Kesambi Leaf Extract (Schleichera oleosa L.)","type":"article-journal","volume":"11"},"uris":["http://www.mendeley.com/documents/?uuid=56d8764b-5c16-3889-823a-dd10f1fa2c6f"]}],"mendeley":{"formattedCitation":"(7)","manualFormatting":"[7]","plainTextFormattedCitation":"(7)","previouslyFormattedCitation":"(7)"},"properties":{"noteIndex":0},"schema":"https://github.com/citation-style-language/schema/raw/master/csl-citation.json"}</w:instrText>
      </w:r>
      <w:r w:rsidR="00534754" w:rsidRPr="00A77904">
        <w:rPr>
          <w:sz w:val="20"/>
          <w:szCs w:val="20"/>
          <w:lang w:val="en-US"/>
        </w:rPr>
        <w:fldChar w:fldCharType="separate"/>
      </w:r>
      <w:r w:rsidR="00534754" w:rsidRPr="00A77904">
        <w:rPr>
          <w:noProof/>
          <w:sz w:val="20"/>
          <w:szCs w:val="20"/>
          <w:lang w:val="en-US"/>
        </w:rPr>
        <w:t>[7]</w:t>
      </w:r>
      <w:r w:rsidR="00534754" w:rsidRPr="00A77904">
        <w:rPr>
          <w:sz w:val="20"/>
          <w:szCs w:val="20"/>
          <w:lang w:val="en-US"/>
        </w:rPr>
        <w:fldChar w:fldCharType="end"/>
      </w:r>
      <w:r w:rsidRPr="00A77904">
        <w:rPr>
          <w:sz w:val="20"/>
          <w:szCs w:val="20"/>
          <w:lang w:val="en-US"/>
        </w:rPr>
        <w:t xml:space="preserve">. While the inhibition zones of </w:t>
      </w:r>
      <w:proofErr w:type="spellStart"/>
      <w:r w:rsidR="00E3378A" w:rsidRPr="00A77904">
        <w:rPr>
          <w:sz w:val="20"/>
          <w:szCs w:val="20"/>
          <w:lang w:val="en-US"/>
        </w:rPr>
        <w:t>Kesambi</w:t>
      </w:r>
      <w:proofErr w:type="spellEnd"/>
      <w:r w:rsidRPr="00A77904">
        <w:rPr>
          <w:sz w:val="20"/>
          <w:szCs w:val="20"/>
          <w:lang w:val="en-US"/>
        </w:rPr>
        <w:t xml:space="preserve"> extracts were smaller than those of chloramphenicol (a broad-spectrum antibiotic), their activity against </w:t>
      </w:r>
      <w:r w:rsidRPr="00A77904">
        <w:rPr>
          <w:i/>
          <w:sz w:val="20"/>
          <w:szCs w:val="20"/>
          <w:lang w:val="en-US"/>
        </w:rPr>
        <w:t>P. aeruginosa</w:t>
      </w:r>
      <w:r w:rsidRPr="00A77904">
        <w:rPr>
          <w:sz w:val="20"/>
          <w:szCs w:val="20"/>
          <w:lang w:val="en-US"/>
        </w:rPr>
        <w:t xml:space="preserve"> (12.75 mm for highland extract) is noteworthy, given the increasing resistance of this pathogen to conventional antibiotics </w:t>
      </w:r>
      <w:r w:rsidR="00534754" w:rsidRPr="00A77904">
        <w:rPr>
          <w:sz w:val="20"/>
          <w:szCs w:val="20"/>
          <w:lang w:val="en-US"/>
        </w:rPr>
        <w:fldChar w:fldCharType="begin" w:fldLock="1"/>
      </w:r>
      <w:r w:rsidR="00A9365F" w:rsidRPr="00A77904">
        <w:rPr>
          <w:sz w:val="20"/>
          <w:szCs w:val="20"/>
          <w:lang w:val="en-US"/>
        </w:rPr>
        <w:instrText>ADDIN CSL_CITATION {"citationItems":[{"id":"ITEM-1","itemData":{"DOI":"10.12688/f1000research.26215.1","ISSN":"1759796X","PMID":"33537126","abstract":"Background: Disease causing bacteria such as Vibrio alginolyticus, Aeromonas hydrophila, and Pseudomonas aeruginosa present a problem for fish farming. Treatment to remove them are generally carried out using antibiotics which have side effects on fish, the environment and humans. However, the use of antibacterial compounds derived from heterotrophic bacteria serve as a good alternative for antibiotics. Therefore, this study aimed to explore antibacterial activity in the secondary metabolite extracts of heterotrophic bacteria against Vibrio alginolyticus, Aeromonas hydrophila, and Pseudomonas aeruginosa. Methods: Heterotrophic bacteria namely Bacillus sp. JS04 MT102913.1, Bacillus toyonensis JS08 MT102920.1, Bacillus cereus JS10 MT102922.1, Bacillus sp. JS11 MT102923.1, Pseudoalteromonas sp. JS19 MT102924.1, Bacillus cereus JS22 MT102926.1, and Bacillus sp. strain JS25 MT102927.1 were used in this study. The sequences of these bacteria have been deposited and are available from NCBI GenBank. Each heterotrophic bacterium was cultured on 6L nutrient broth for 8 days, and extracts produced using ethyl acetate to obtain their secondary metabolites. These extracts were tested for their phytochemical contents using FT-IR and also tested for their inhibitory property in pathogenic bacteria by agar diffusion method. Results: Phytochemical test results showed that the seven heterotrophic bacterial isolates produced terpenoid compounds. Based on the inhibitory test, the secondary metabolite extracts from Bacillus sp strain JS04 had the highest inhibitory effect on the growth of pathogenic bacteria namely, V. alginolyticus (17.5 mm), A. hydrophila (16.8 mm), and P. aeruginosa (17.3 mm). Conclusion: It was concluded that the secondary metabolite extracts of heterotrophic bacteria inhibit the growth of V. alginolyticus, A. hydrophila, and P. aeruginosa.","author":[{"dropping-particle":"","family":"Feliatra","given":"Feli","non-dropping-particle":"","parse-names":false,"suffix":""},{"dropping-particle":"","family":"Setiaji","given":"Jarod","non-dropping-particle":"","parse-names":false,"suffix":""},{"dropping-particle":"","family":"Teruna","given":"Hilwan Yuda","non-dropping-particle":"","parse-names":false,"suffix":""},{"dropping-particle":"","family":"Lukistyowati","given":"Iesje","non-dropping-particle":"","parse-names":false,"suffix":""},{"dropping-particle":"","family":"Suharman","given":"Indra","non-dropping-particle":"","parse-names":false,"suffix":""},{"dropping-particle":"","family":"Muchlisin","given":"Zainal Abidin","non-dropping-particle":"","parse-names":false,"suffix":""},{"dropping-particle":"","family":"Johan","given":"Teuku Iskandar","non-dropping-particle":"","parse-names":false,"suffix":""}],"container-title":"F1000Research","id":"ITEM-1","issued":{"date-parts":[["2020"]]},"publisher":"F1000 Research Ltd","title":"Antibacterial activity in secondary metabolite extracts of heterotrophic bacteria against Vibrio alginolyticus, Aeromonas hydrophila, and Pseudomonas aeruginosa","type":"article-journal","volume":"9"},"uris":["http://www.mendeley.com/documents/?uuid=7266430c-b69e-367d-b5d3-243ef7b490b5"]}],"mendeley":{"formattedCitation":"(20)","manualFormatting":"[19]","plainTextFormattedCitation":"(20)","previouslyFormattedCitation":"(20)"},"properties":{"noteIndex":0},"schema":"https://github.com/citation-style-language/schema/raw/master/csl-citation.json"}</w:instrText>
      </w:r>
      <w:r w:rsidR="00534754" w:rsidRPr="00A77904">
        <w:rPr>
          <w:sz w:val="20"/>
          <w:szCs w:val="20"/>
          <w:lang w:val="en-US"/>
        </w:rPr>
        <w:fldChar w:fldCharType="separate"/>
      </w:r>
      <w:r w:rsidR="00534754" w:rsidRPr="00A77904">
        <w:rPr>
          <w:noProof/>
          <w:sz w:val="20"/>
          <w:szCs w:val="20"/>
          <w:lang w:val="en-US"/>
        </w:rPr>
        <w:t>[19]</w:t>
      </w:r>
      <w:r w:rsidR="00534754" w:rsidRPr="00A77904">
        <w:rPr>
          <w:sz w:val="20"/>
          <w:szCs w:val="20"/>
          <w:lang w:val="en-US"/>
        </w:rPr>
        <w:fldChar w:fldCharType="end"/>
      </w:r>
      <w:r w:rsidRPr="00A77904">
        <w:rPr>
          <w:sz w:val="20"/>
          <w:szCs w:val="20"/>
          <w:lang w:val="en-US"/>
        </w:rPr>
        <w:t xml:space="preserve">. This suggests that </w:t>
      </w:r>
      <w:proofErr w:type="spellStart"/>
      <w:r w:rsidR="00E3378A" w:rsidRPr="00A77904">
        <w:rPr>
          <w:sz w:val="20"/>
          <w:szCs w:val="20"/>
          <w:lang w:val="en-US"/>
        </w:rPr>
        <w:t>Kesambi</w:t>
      </w:r>
      <w:proofErr w:type="spellEnd"/>
      <w:r w:rsidRPr="00A77904">
        <w:rPr>
          <w:sz w:val="20"/>
          <w:szCs w:val="20"/>
          <w:lang w:val="en-US"/>
        </w:rPr>
        <w:t xml:space="preserve"> extracts could serve as complementary or alternative treatments, particularly in cases of </w:t>
      </w:r>
      <w:r w:rsidR="00E3378A" w:rsidRPr="00A77904">
        <w:rPr>
          <w:sz w:val="20"/>
          <w:szCs w:val="20"/>
          <w:lang w:val="en-US"/>
        </w:rPr>
        <w:t>antibiotic-resistant</w:t>
      </w:r>
      <w:r w:rsidRPr="00A77904">
        <w:rPr>
          <w:sz w:val="20"/>
          <w:szCs w:val="20"/>
          <w:lang w:val="en-US"/>
        </w:rPr>
        <w:t xml:space="preserve"> infections.</w:t>
      </w:r>
    </w:p>
    <w:p w14:paraId="00000070" w14:textId="77777777" w:rsidR="00125CE4" w:rsidRPr="00A77904" w:rsidRDefault="00125CE4">
      <w:pPr>
        <w:pBdr>
          <w:top w:val="nil"/>
          <w:left w:val="nil"/>
          <w:bottom w:val="nil"/>
          <w:right w:val="nil"/>
          <w:between w:val="nil"/>
        </w:pBdr>
        <w:ind w:right="82"/>
        <w:rPr>
          <w:color w:val="000000"/>
          <w:lang w:val="en-US"/>
        </w:rPr>
      </w:pPr>
    </w:p>
    <w:p w14:paraId="00000072" w14:textId="09875A76" w:rsidR="00125CE4" w:rsidRPr="00A77904" w:rsidRDefault="00000000" w:rsidP="00435AF3">
      <w:pPr>
        <w:pStyle w:val="Heading1"/>
        <w:ind w:left="0" w:right="86"/>
        <w:rPr>
          <w:lang w:val="en-US"/>
        </w:rPr>
      </w:pPr>
      <w:r w:rsidRPr="00A77904">
        <w:rPr>
          <w:lang w:val="en-US"/>
        </w:rPr>
        <w:t>Antioxidant Activities</w:t>
      </w:r>
    </w:p>
    <w:p w14:paraId="256EAFD6" w14:textId="77777777" w:rsidR="00CD0A0B" w:rsidRPr="00A77904" w:rsidRDefault="00CD0A0B" w:rsidP="00CD0A0B">
      <w:pPr>
        <w:rPr>
          <w:lang w:val="en-US"/>
        </w:rPr>
      </w:pPr>
    </w:p>
    <w:sdt>
      <w:sdtPr>
        <w:rPr>
          <w:lang w:val="en-US"/>
        </w:rPr>
        <w:tag w:val="goog_rdk_16"/>
        <w:id w:val="515710878"/>
      </w:sdtPr>
      <w:sdtEndPr>
        <w:rPr>
          <w:sz w:val="20"/>
          <w:szCs w:val="20"/>
        </w:rPr>
      </w:sdtEndPr>
      <w:sdtContent>
        <w:p w14:paraId="003D5263" w14:textId="7C53F8A3" w:rsidR="00FE3E15" w:rsidRPr="00A77904" w:rsidRDefault="00083071" w:rsidP="00CD0A0B">
          <w:pPr>
            <w:ind w:right="82" w:firstLine="426"/>
            <w:jc w:val="both"/>
            <w:rPr>
              <w:sz w:val="20"/>
              <w:szCs w:val="20"/>
              <w:lang w:val="en-US"/>
            </w:rPr>
          </w:pPr>
          <w:r w:rsidRPr="00A77904">
            <w:rPr>
              <w:sz w:val="20"/>
              <w:szCs w:val="20"/>
              <w:lang w:val="en-US"/>
            </w:rPr>
            <w:t xml:space="preserve">The antioxidant activity of </w:t>
          </w:r>
          <w:proofErr w:type="spellStart"/>
          <w:r w:rsidR="00E3378A" w:rsidRPr="00A77904">
            <w:rPr>
              <w:sz w:val="20"/>
              <w:szCs w:val="20"/>
              <w:lang w:val="en-US"/>
            </w:rPr>
            <w:t>Kesambi</w:t>
          </w:r>
          <w:proofErr w:type="spellEnd"/>
          <w:r w:rsidRPr="00A77904">
            <w:rPr>
              <w:sz w:val="20"/>
              <w:szCs w:val="20"/>
              <w:lang w:val="en-US"/>
            </w:rPr>
            <w:t xml:space="preserve"> leaf extract was evaluated using the DPPH (2,2-diphenyl-1-picrylhydrazyl) method. </w:t>
          </w:r>
          <w:r w:rsidR="00FE0875" w:rsidRPr="00A77904">
            <w:rPr>
              <w:sz w:val="20"/>
              <w:szCs w:val="20"/>
              <w:lang w:val="en-US"/>
            </w:rPr>
            <w:t>For this assay, incubation was carried out for 30 minutes to homogenize the sample with DPPH, allowing complete interaction between the antioxidant compounds and DPPH radicals through hydrogen atom donation.</w:t>
          </w:r>
          <w:r w:rsidRPr="00A77904">
            <w:rPr>
              <w:sz w:val="20"/>
              <w:szCs w:val="20"/>
              <w:lang w:val="en-US"/>
            </w:rPr>
            <w:t xml:space="preserve"> The reduction of DPPH is indicated by a visible color change from deep purple to yellow, which results from the proton donation of natural antioxidants to DPPH</w:t>
          </w:r>
          <w:r w:rsidR="00AE482A" w:rsidRPr="00A77904">
            <w:rPr>
              <w:sz w:val="20"/>
              <w:szCs w:val="20"/>
              <w:lang w:val="en-US"/>
            </w:rPr>
            <w:t xml:space="preserve"> </w:t>
          </w:r>
          <w:r w:rsidR="00AE482A" w:rsidRPr="00A77904">
            <w:rPr>
              <w:sz w:val="20"/>
              <w:szCs w:val="20"/>
              <w:lang w:val="en-US"/>
            </w:rPr>
            <w:fldChar w:fldCharType="begin" w:fldLock="1"/>
          </w:r>
          <w:r w:rsidR="00AE482A" w:rsidRPr="00A77904">
            <w:rPr>
              <w:sz w:val="20"/>
              <w:szCs w:val="20"/>
              <w:lang w:val="en-US"/>
            </w:rPr>
            <w:instrText>ADDIN CSL_CITATION {"citationItems":[{"id":"ITEM-1","itemData":{"DOI":"10.1016/j.ijbiomac.2024.130808","ISSN":"18790003","PMID":"38490386","abstract":"We report a facile strategy to prepare chitosan (CS) hydrogels that eliminates the need for chemical crosslinking for advanced biomedical therapies. This approach gives controlled properties to the hydrogels by incorporating a natural bioactive phenolic compound, phloroglucinol (PG), into their microstructure. The adsorption of PG onto CS chains enhanced the hydrogels' antioxidant activity by up to 25 % and resulted in a denser, more entangled structure, reducing the pore size by 59 μm while maintaining porosity above 94 %. This allowed us to finely adjust pore size and swelling capacity. These structural properties make these hydrogels well-suited for wound healing dressings, promoting fibroblast proliferation and exhibiting excellent hemocompatibility. Furthermore, to ensure the versatility of these hydrogels, herein, we demonstrate their potential as drug delivery systems, particularly for dermal infections. The drug release can be controlled by a combination of drug diffusion through the swollen hydrogel and relaxation of the CS chains. In summary, our hydrogels leverage the synergistic effects of CS's antibacterial and antifungal properties with PG's antimicrobial and anti-inflammatory attributes, positioning them as promising candidates for biomedical and pharmaceutical applications, more specifically in advanced wound healing therapies with local drug delivery.","author":[{"dropping-particle":"","family":"Polez","given":"Roberta Teixeira","non-dropping-particle":"","parse-names":false,"suffix":""},{"dropping-particle":"","family":"Ajiboye","given":"Margaret A.","non-dropping-particle":"","parse-names":false,"suffix":""},{"dropping-particle":"","family":"Österberg","given":"Monika","non-dropping-particle":"","parse-names":false,"suffix":""},{"dropping-particle":"","family":"Horn","given":"Marilia M.","non-dropping-particle":"","parse-names":false,"suffix":""}],"container-title":"International Journal of Biological Macromolecules","id":"ITEM-1","issue":"February","issued":{"date-parts":[["2024"]]},"title":"Chitosan hydrogels enriched with bioactive phloroglucinol for controlled drug diffusion and potential wound healing","type":"article-journal","volume":"265"},"uris":["http://www.mendeley.com/documents/?uuid=9da4995c-ef8a-4fda-bf7d-454c41c3b17b"]}],"mendeley":{"formattedCitation":"(24)","manualFormatting":"[24]","plainTextFormattedCitation":"(24)","previouslyFormattedCitation":"(24)"},"properties":{"noteIndex":0},"schema":"https://github.com/citation-style-language/schema/raw/master/csl-citation.json"}</w:instrText>
          </w:r>
          <w:r w:rsidR="00AE482A" w:rsidRPr="00A77904">
            <w:rPr>
              <w:sz w:val="20"/>
              <w:szCs w:val="20"/>
              <w:lang w:val="en-US"/>
            </w:rPr>
            <w:fldChar w:fldCharType="separate"/>
          </w:r>
          <w:r w:rsidR="00AE482A" w:rsidRPr="00A77904">
            <w:rPr>
              <w:noProof/>
              <w:sz w:val="20"/>
              <w:szCs w:val="20"/>
              <w:lang w:val="en-US"/>
            </w:rPr>
            <w:t>[24]</w:t>
          </w:r>
          <w:r w:rsidR="00AE482A" w:rsidRPr="00A77904">
            <w:rPr>
              <w:sz w:val="20"/>
              <w:szCs w:val="20"/>
              <w:lang w:val="en-US"/>
            </w:rPr>
            <w:fldChar w:fldCharType="end"/>
          </w:r>
          <w:r w:rsidRPr="00A77904">
            <w:rPr>
              <w:sz w:val="20"/>
              <w:szCs w:val="20"/>
              <w:lang w:val="en-US"/>
            </w:rPr>
            <w:t xml:space="preserve">. This color transition serves as the basis for measurement using a visible light spectrophotometer. Following absorbance determination with a UV-Vis spectrophotometer, the percentage of inhibition was calculated. The inhibition values obtained for both highland and lowland </w:t>
          </w:r>
          <w:proofErr w:type="spellStart"/>
          <w:r w:rsidR="00E3378A" w:rsidRPr="00A77904">
            <w:rPr>
              <w:sz w:val="20"/>
              <w:szCs w:val="20"/>
              <w:lang w:val="en-US"/>
            </w:rPr>
            <w:t>Kesambi</w:t>
          </w:r>
          <w:proofErr w:type="spellEnd"/>
          <w:r w:rsidRPr="00A77904">
            <w:rPr>
              <w:sz w:val="20"/>
              <w:szCs w:val="20"/>
              <w:lang w:val="en-US"/>
            </w:rPr>
            <w:t xml:space="preserve"> leaf extracts are presented in Table 2</w:t>
          </w:r>
          <w:r w:rsidR="00AE482A" w:rsidRPr="00A77904">
            <w:rPr>
              <w:sz w:val="20"/>
              <w:szCs w:val="20"/>
              <w:lang w:val="en-US"/>
            </w:rPr>
            <w:t>.</w:t>
          </w:r>
          <w:r w:rsidRPr="00A77904">
            <w:rPr>
              <w:sz w:val="20"/>
              <w:szCs w:val="20"/>
              <w:lang w:val="en-US"/>
            </w:rPr>
            <w:t xml:space="preserve">     </w:t>
          </w:r>
          <w:sdt>
            <w:sdtPr>
              <w:rPr>
                <w:sz w:val="20"/>
                <w:szCs w:val="20"/>
                <w:lang w:val="en-US"/>
              </w:rPr>
              <w:tag w:val="goog_rdk_15"/>
              <w:id w:val="365003940"/>
              <w:showingPlcHdr/>
            </w:sdtPr>
            <w:sdtContent>
              <w:r w:rsidR="007C39BE" w:rsidRPr="00A77904">
                <w:rPr>
                  <w:sz w:val="20"/>
                  <w:szCs w:val="20"/>
                  <w:lang w:val="en-US"/>
                </w:rPr>
                <w:t xml:space="preserve">     </w:t>
              </w:r>
            </w:sdtContent>
          </w:sdt>
        </w:p>
        <w:p w14:paraId="29206A21" w14:textId="77777777" w:rsidR="00CD0A0B" w:rsidRPr="00A77904" w:rsidRDefault="00000000" w:rsidP="00CD0A0B">
          <w:pPr>
            <w:ind w:right="82" w:firstLine="426"/>
            <w:jc w:val="both"/>
            <w:rPr>
              <w:sz w:val="20"/>
              <w:szCs w:val="20"/>
              <w:lang w:val="en-US"/>
            </w:rPr>
          </w:pPr>
        </w:p>
      </w:sdtContent>
    </w:sdt>
    <w:p w14:paraId="00000075" w14:textId="3328F723" w:rsidR="00125CE4" w:rsidRPr="00A77904" w:rsidRDefault="00000000">
      <w:pPr>
        <w:ind w:right="82"/>
        <w:jc w:val="center"/>
        <w:rPr>
          <w:b/>
          <w:sz w:val="20"/>
          <w:szCs w:val="20"/>
          <w:lang w:val="en-US"/>
        </w:rPr>
      </w:pPr>
      <w:bookmarkStart w:id="6" w:name="_Hlk209267343"/>
      <w:r w:rsidRPr="00A77904">
        <w:rPr>
          <w:b/>
          <w:sz w:val="20"/>
          <w:szCs w:val="20"/>
          <w:lang w:val="en-US"/>
        </w:rPr>
        <w:t>T</w:t>
      </w:r>
      <w:r w:rsidR="00FC4B04" w:rsidRPr="00A77904">
        <w:rPr>
          <w:b/>
          <w:sz w:val="20"/>
          <w:szCs w:val="20"/>
          <w:lang w:val="en-US"/>
        </w:rPr>
        <w:t>ABLE</w:t>
      </w:r>
      <w:r w:rsidRPr="00A77904">
        <w:rPr>
          <w:b/>
          <w:sz w:val="20"/>
          <w:szCs w:val="20"/>
          <w:lang w:val="en-US"/>
        </w:rPr>
        <w:t xml:space="preserve"> 2. </w:t>
      </w:r>
      <w:r w:rsidRPr="00A77904">
        <w:rPr>
          <w:bCs/>
          <w:sz w:val="20"/>
          <w:szCs w:val="20"/>
          <w:lang w:val="en-US"/>
        </w:rPr>
        <w:t xml:space="preserve">Percentage of inhibition of </w:t>
      </w:r>
      <w:proofErr w:type="spellStart"/>
      <w:r w:rsidR="00E3378A" w:rsidRPr="00A77904">
        <w:rPr>
          <w:bCs/>
          <w:sz w:val="20"/>
          <w:szCs w:val="20"/>
          <w:lang w:val="en-US"/>
        </w:rPr>
        <w:t>Kesambi</w:t>
      </w:r>
      <w:proofErr w:type="spellEnd"/>
      <w:r w:rsidRPr="00A77904">
        <w:rPr>
          <w:bCs/>
          <w:sz w:val="20"/>
          <w:szCs w:val="20"/>
          <w:lang w:val="en-US"/>
        </w:rPr>
        <w:t xml:space="preserve"> leaf </w:t>
      </w:r>
      <w:r w:rsidR="00504D5D" w:rsidRPr="00A77904">
        <w:rPr>
          <w:bCs/>
          <w:sz w:val="20"/>
          <w:szCs w:val="20"/>
          <w:lang w:val="en-US"/>
        </w:rPr>
        <w:t xml:space="preserve">ethanol </w:t>
      </w:r>
      <w:r w:rsidRPr="00A77904">
        <w:rPr>
          <w:bCs/>
          <w:sz w:val="20"/>
          <w:szCs w:val="20"/>
          <w:lang w:val="en-US"/>
        </w:rPr>
        <w:t>extract</w:t>
      </w:r>
    </w:p>
    <w:tbl>
      <w:tblPr>
        <w:tblStyle w:val="a2"/>
        <w:tblW w:w="5845" w:type="dxa"/>
        <w:jc w:val="center"/>
        <w:tblBorders>
          <w:top w:val="single" w:sz="4" w:space="0" w:color="000000"/>
          <w:bottom w:val="single" w:sz="4" w:space="0" w:color="000000"/>
        </w:tblBorders>
        <w:tblLayout w:type="fixed"/>
        <w:tblLook w:val="0400" w:firstRow="0" w:lastRow="0" w:firstColumn="0" w:lastColumn="0" w:noHBand="0" w:noVBand="1"/>
      </w:tblPr>
      <w:tblGrid>
        <w:gridCol w:w="1600"/>
        <w:gridCol w:w="2355"/>
        <w:gridCol w:w="1890"/>
      </w:tblGrid>
      <w:tr w:rsidR="00E3378A" w:rsidRPr="00A77904" w14:paraId="2E4D1E33" w14:textId="5B526DE4" w:rsidTr="00E3378A">
        <w:trPr>
          <w:trHeight w:val="290"/>
          <w:jc w:val="center"/>
        </w:trPr>
        <w:tc>
          <w:tcPr>
            <w:tcW w:w="1600" w:type="dxa"/>
            <w:tcBorders>
              <w:top w:val="single" w:sz="4" w:space="0" w:color="000000"/>
              <w:bottom w:val="single" w:sz="4" w:space="0" w:color="000000"/>
            </w:tcBorders>
            <w:vAlign w:val="center"/>
          </w:tcPr>
          <w:p w14:paraId="00000076" w14:textId="77777777" w:rsidR="00E3378A" w:rsidRPr="00A77904" w:rsidRDefault="00E3378A">
            <w:pPr>
              <w:widowControl/>
              <w:jc w:val="center"/>
              <w:rPr>
                <w:b/>
                <w:color w:val="000000" w:themeColor="text1"/>
                <w:sz w:val="18"/>
                <w:szCs w:val="18"/>
                <w:lang w:val="en-US"/>
              </w:rPr>
            </w:pPr>
            <w:r w:rsidRPr="00A77904">
              <w:rPr>
                <w:b/>
                <w:color w:val="000000" w:themeColor="text1"/>
                <w:sz w:val="18"/>
                <w:szCs w:val="18"/>
                <w:lang w:val="en-US"/>
              </w:rPr>
              <w:t>Concentration (ppm)</w:t>
            </w:r>
          </w:p>
        </w:tc>
        <w:tc>
          <w:tcPr>
            <w:tcW w:w="2355" w:type="dxa"/>
            <w:tcBorders>
              <w:top w:val="single" w:sz="4" w:space="0" w:color="000000"/>
              <w:bottom w:val="single" w:sz="4" w:space="0" w:color="000000"/>
            </w:tcBorders>
            <w:vAlign w:val="center"/>
          </w:tcPr>
          <w:p w14:paraId="00000077" w14:textId="52DAFF7B" w:rsidR="00E3378A" w:rsidRPr="00A77904" w:rsidRDefault="00E3378A">
            <w:pPr>
              <w:widowControl/>
              <w:jc w:val="center"/>
              <w:rPr>
                <w:b/>
                <w:color w:val="000000" w:themeColor="text1"/>
                <w:sz w:val="18"/>
                <w:szCs w:val="18"/>
                <w:lang w:val="en-US"/>
              </w:rPr>
            </w:pPr>
            <w:r w:rsidRPr="00A77904">
              <w:rPr>
                <w:b/>
                <w:color w:val="000000" w:themeColor="text1"/>
                <w:sz w:val="18"/>
                <w:szCs w:val="18"/>
                <w:lang w:val="en-US"/>
              </w:rPr>
              <w:t xml:space="preserve">% Inhibition of Highland </w:t>
            </w:r>
            <w:proofErr w:type="spellStart"/>
            <w:r w:rsidRPr="00A77904">
              <w:rPr>
                <w:b/>
                <w:color w:val="000000" w:themeColor="text1"/>
                <w:sz w:val="18"/>
                <w:szCs w:val="18"/>
                <w:lang w:val="en-US"/>
              </w:rPr>
              <w:t>Kesambi</w:t>
            </w:r>
            <w:proofErr w:type="spellEnd"/>
            <w:r w:rsidRPr="00A77904">
              <w:rPr>
                <w:b/>
                <w:color w:val="000000" w:themeColor="text1"/>
                <w:sz w:val="18"/>
                <w:szCs w:val="18"/>
                <w:lang w:val="en-US"/>
              </w:rPr>
              <w:t xml:space="preserve"> ± SD</w:t>
            </w:r>
          </w:p>
        </w:tc>
        <w:tc>
          <w:tcPr>
            <w:tcW w:w="1890" w:type="dxa"/>
            <w:tcBorders>
              <w:top w:val="single" w:sz="4" w:space="0" w:color="000000"/>
              <w:bottom w:val="single" w:sz="4" w:space="0" w:color="000000"/>
            </w:tcBorders>
            <w:vAlign w:val="center"/>
          </w:tcPr>
          <w:p w14:paraId="00000078" w14:textId="195D2E98" w:rsidR="00E3378A" w:rsidRPr="00A77904" w:rsidRDefault="00E3378A">
            <w:pPr>
              <w:widowControl/>
              <w:jc w:val="center"/>
              <w:rPr>
                <w:b/>
                <w:color w:val="000000" w:themeColor="text1"/>
                <w:sz w:val="18"/>
                <w:szCs w:val="18"/>
                <w:lang w:val="en-US"/>
              </w:rPr>
            </w:pPr>
            <w:r w:rsidRPr="00A77904">
              <w:rPr>
                <w:b/>
                <w:color w:val="000000" w:themeColor="text1"/>
                <w:sz w:val="18"/>
                <w:szCs w:val="18"/>
                <w:lang w:val="en-US"/>
              </w:rPr>
              <w:t xml:space="preserve">% Inhibition of Lowland </w:t>
            </w:r>
            <w:proofErr w:type="spellStart"/>
            <w:r w:rsidRPr="00A77904">
              <w:rPr>
                <w:b/>
                <w:color w:val="000000" w:themeColor="text1"/>
                <w:sz w:val="18"/>
                <w:szCs w:val="18"/>
                <w:lang w:val="en-US"/>
              </w:rPr>
              <w:t>Kesambi</w:t>
            </w:r>
            <w:proofErr w:type="spellEnd"/>
            <w:r w:rsidRPr="00A77904">
              <w:rPr>
                <w:b/>
                <w:color w:val="000000" w:themeColor="text1"/>
                <w:sz w:val="18"/>
                <w:szCs w:val="18"/>
                <w:lang w:val="en-US"/>
              </w:rPr>
              <w:t xml:space="preserve"> ± SD</w:t>
            </w:r>
          </w:p>
        </w:tc>
      </w:tr>
      <w:tr w:rsidR="00E3378A" w:rsidRPr="00A77904" w14:paraId="5F8C620B" w14:textId="5784D4F9" w:rsidTr="00E3378A">
        <w:trPr>
          <w:trHeight w:val="310"/>
          <w:jc w:val="center"/>
        </w:trPr>
        <w:tc>
          <w:tcPr>
            <w:tcW w:w="1600" w:type="dxa"/>
            <w:tcBorders>
              <w:top w:val="single" w:sz="4" w:space="0" w:color="000000"/>
              <w:bottom w:val="single" w:sz="4" w:space="0" w:color="000000"/>
            </w:tcBorders>
            <w:vAlign w:val="center"/>
          </w:tcPr>
          <w:p w14:paraId="00000079"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1000</w:t>
            </w:r>
          </w:p>
        </w:tc>
        <w:tc>
          <w:tcPr>
            <w:tcW w:w="2355" w:type="dxa"/>
            <w:tcBorders>
              <w:top w:val="single" w:sz="4" w:space="0" w:color="000000"/>
              <w:bottom w:val="single" w:sz="4" w:space="0" w:color="000000"/>
            </w:tcBorders>
            <w:vAlign w:val="center"/>
          </w:tcPr>
          <w:p w14:paraId="0000007A"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90.98 ± 1.12</w:t>
            </w:r>
          </w:p>
        </w:tc>
        <w:tc>
          <w:tcPr>
            <w:tcW w:w="1890" w:type="dxa"/>
            <w:tcBorders>
              <w:top w:val="single" w:sz="4" w:space="0" w:color="000000"/>
              <w:bottom w:val="single" w:sz="4" w:space="0" w:color="000000"/>
            </w:tcBorders>
            <w:vAlign w:val="center"/>
          </w:tcPr>
          <w:p w14:paraId="0000007B"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90.82 ± 1.62</w:t>
            </w:r>
          </w:p>
        </w:tc>
      </w:tr>
      <w:tr w:rsidR="00E3378A" w:rsidRPr="00A77904" w14:paraId="279A1FD5" w14:textId="633F0110" w:rsidTr="00E3378A">
        <w:trPr>
          <w:trHeight w:val="310"/>
          <w:jc w:val="center"/>
        </w:trPr>
        <w:tc>
          <w:tcPr>
            <w:tcW w:w="1600" w:type="dxa"/>
            <w:tcBorders>
              <w:top w:val="single" w:sz="4" w:space="0" w:color="000000"/>
              <w:bottom w:val="single" w:sz="4" w:space="0" w:color="000000"/>
            </w:tcBorders>
            <w:vAlign w:val="center"/>
          </w:tcPr>
          <w:p w14:paraId="0000007C"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100</w:t>
            </w:r>
          </w:p>
        </w:tc>
        <w:tc>
          <w:tcPr>
            <w:tcW w:w="2355" w:type="dxa"/>
            <w:tcBorders>
              <w:top w:val="single" w:sz="4" w:space="0" w:color="000000"/>
              <w:bottom w:val="single" w:sz="4" w:space="0" w:color="000000"/>
            </w:tcBorders>
            <w:vAlign w:val="center"/>
          </w:tcPr>
          <w:p w14:paraId="0000007D"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75.93 ± 5.14</w:t>
            </w:r>
          </w:p>
        </w:tc>
        <w:tc>
          <w:tcPr>
            <w:tcW w:w="1890" w:type="dxa"/>
            <w:tcBorders>
              <w:top w:val="single" w:sz="4" w:space="0" w:color="000000"/>
              <w:bottom w:val="single" w:sz="4" w:space="0" w:color="000000"/>
            </w:tcBorders>
            <w:vAlign w:val="center"/>
          </w:tcPr>
          <w:p w14:paraId="0000007E"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89.83 ± 0.90</w:t>
            </w:r>
          </w:p>
        </w:tc>
      </w:tr>
      <w:tr w:rsidR="00E3378A" w:rsidRPr="00A77904" w14:paraId="5EC3EE11" w14:textId="6521431A" w:rsidTr="00E3378A">
        <w:trPr>
          <w:trHeight w:val="310"/>
          <w:jc w:val="center"/>
        </w:trPr>
        <w:tc>
          <w:tcPr>
            <w:tcW w:w="1600" w:type="dxa"/>
            <w:tcBorders>
              <w:top w:val="single" w:sz="4" w:space="0" w:color="000000"/>
              <w:bottom w:val="single" w:sz="4" w:space="0" w:color="000000"/>
            </w:tcBorders>
            <w:vAlign w:val="center"/>
          </w:tcPr>
          <w:p w14:paraId="0000007F"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10</w:t>
            </w:r>
          </w:p>
        </w:tc>
        <w:tc>
          <w:tcPr>
            <w:tcW w:w="2355" w:type="dxa"/>
            <w:tcBorders>
              <w:top w:val="single" w:sz="4" w:space="0" w:color="000000"/>
              <w:bottom w:val="single" w:sz="4" w:space="0" w:color="000000"/>
            </w:tcBorders>
            <w:vAlign w:val="center"/>
          </w:tcPr>
          <w:p w14:paraId="00000080"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61.53 ± 2.03</w:t>
            </w:r>
          </w:p>
        </w:tc>
        <w:tc>
          <w:tcPr>
            <w:tcW w:w="1890" w:type="dxa"/>
            <w:tcBorders>
              <w:top w:val="single" w:sz="4" w:space="0" w:color="000000"/>
              <w:bottom w:val="single" w:sz="4" w:space="0" w:color="000000"/>
            </w:tcBorders>
            <w:vAlign w:val="center"/>
          </w:tcPr>
          <w:p w14:paraId="00000081"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64.56 ± 6.85</w:t>
            </w:r>
          </w:p>
        </w:tc>
      </w:tr>
      <w:tr w:rsidR="00E3378A" w:rsidRPr="00A77904" w14:paraId="1D90EB27" w14:textId="614C5DF9" w:rsidTr="00E3378A">
        <w:trPr>
          <w:trHeight w:val="310"/>
          <w:jc w:val="center"/>
        </w:trPr>
        <w:tc>
          <w:tcPr>
            <w:tcW w:w="1600" w:type="dxa"/>
            <w:tcBorders>
              <w:top w:val="single" w:sz="4" w:space="0" w:color="000000"/>
              <w:bottom w:val="single" w:sz="4" w:space="0" w:color="000000"/>
            </w:tcBorders>
            <w:vAlign w:val="center"/>
          </w:tcPr>
          <w:p w14:paraId="00000082"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1</w:t>
            </w:r>
          </w:p>
        </w:tc>
        <w:tc>
          <w:tcPr>
            <w:tcW w:w="2355" w:type="dxa"/>
            <w:tcBorders>
              <w:top w:val="single" w:sz="4" w:space="0" w:color="000000"/>
              <w:bottom w:val="single" w:sz="4" w:space="0" w:color="000000"/>
            </w:tcBorders>
            <w:vAlign w:val="center"/>
          </w:tcPr>
          <w:p w14:paraId="00000083"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31.64 ± 1.19</w:t>
            </w:r>
          </w:p>
        </w:tc>
        <w:tc>
          <w:tcPr>
            <w:tcW w:w="1890" w:type="dxa"/>
            <w:tcBorders>
              <w:top w:val="single" w:sz="4" w:space="0" w:color="000000"/>
              <w:bottom w:val="single" w:sz="4" w:space="0" w:color="000000"/>
            </w:tcBorders>
            <w:vAlign w:val="center"/>
          </w:tcPr>
          <w:p w14:paraId="00000084"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30.71 ± 2.74</w:t>
            </w:r>
          </w:p>
        </w:tc>
      </w:tr>
      <w:tr w:rsidR="00E3378A" w:rsidRPr="00A77904" w14:paraId="5B99FD00" w14:textId="1BCBC700" w:rsidTr="00E3378A">
        <w:trPr>
          <w:trHeight w:val="310"/>
          <w:jc w:val="center"/>
        </w:trPr>
        <w:tc>
          <w:tcPr>
            <w:tcW w:w="1600" w:type="dxa"/>
            <w:tcBorders>
              <w:top w:val="single" w:sz="4" w:space="0" w:color="000000"/>
              <w:bottom w:val="single" w:sz="4" w:space="0" w:color="000000"/>
            </w:tcBorders>
            <w:vAlign w:val="center"/>
          </w:tcPr>
          <w:p w14:paraId="00000085"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0.1</w:t>
            </w:r>
          </w:p>
        </w:tc>
        <w:tc>
          <w:tcPr>
            <w:tcW w:w="2355" w:type="dxa"/>
            <w:tcBorders>
              <w:top w:val="single" w:sz="4" w:space="0" w:color="000000"/>
              <w:bottom w:val="single" w:sz="4" w:space="0" w:color="000000"/>
            </w:tcBorders>
            <w:vAlign w:val="center"/>
          </w:tcPr>
          <w:p w14:paraId="00000086"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6.22 ± 4.86</w:t>
            </w:r>
          </w:p>
        </w:tc>
        <w:tc>
          <w:tcPr>
            <w:tcW w:w="1890" w:type="dxa"/>
            <w:tcBorders>
              <w:top w:val="single" w:sz="4" w:space="0" w:color="000000"/>
              <w:bottom w:val="single" w:sz="4" w:space="0" w:color="000000"/>
            </w:tcBorders>
            <w:vAlign w:val="center"/>
          </w:tcPr>
          <w:p w14:paraId="00000087" w14:textId="77777777" w:rsidR="00E3378A" w:rsidRPr="00A77904" w:rsidRDefault="00E3378A">
            <w:pPr>
              <w:widowControl/>
              <w:jc w:val="center"/>
              <w:rPr>
                <w:color w:val="000000" w:themeColor="text1"/>
                <w:sz w:val="18"/>
                <w:szCs w:val="18"/>
                <w:lang w:val="en-US"/>
              </w:rPr>
            </w:pPr>
            <w:r w:rsidRPr="00A77904">
              <w:rPr>
                <w:color w:val="000000" w:themeColor="text1"/>
                <w:sz w:val="18"/>
                <w:szCs w:val="18"/>
                <w:lang w:val="en-US"/>
              </w:rPr>
              <w:t>10.59 ± 2.14</w:t>
            </w:r>
          </w:p>
        </w:tc>
      </w:tr>
    </w:tbl>
    <w:bookmarkEnd w:id="6"/>
    <w:p w14:paraId="16B4CF1D" w14:textId="61D3AFAA" w:rsidR="00E3378A" w:rsidRPr="00A77904" w:rsidRDefault="00835624" w:rsidP="00835624">
      <w:pPr>
        <w:ind w:right="82" w:firstLine="426"/>
        <w:jc w:val="center"/>
        <w:rPr>
          <w:sz w:val="16"/>
          <w:szCs w:val="16"/>
          <w:lang w:val="en-US"/>
        </w:rPr>
      </w:pPr>
      <w:r w:rsidRPr="00A77904">
        <w:rPr>
          <w:sz w:val="16"/>
          <w:szCs w:val="16"/>
          <w:lang w:val="en-US"/>
        </w:rPr>
        <w:t>*</w:t>
      </w:r>
      <w:r w:rsidR="00E3378A" w:rsidRPr="00A77904">
        <w:rPr>
          <w:sz w:val="16"/>
          <w:szCs w:val="16"/>
          <w:lang w:val="en-US"/>
        </w:rPr>
        <w:t>Data points represent means and standard deviations (n</w:t>
      </w:r>
      <w:r w:rsidRPr="00A77904">
        <w:rPr>
          <w:sz w:val="16"/>
          <w:szCs w:val="16"/>
          <w:lang w:val="en-US"/>
        </w:rPr>
        <w:t>=</w:t>
      </w:r>
      <w:r w:rsidR="00E3378A" w:rsidRPr="00A77904">
        <w:rPr>
          <w:sz w:val="16"/>
          <w:szCs w:val="16"/>
          <w:lang w:val="en-US"/>
        </w:rPr>
        <w:t>3).</w:t>
      </w:r>
    </w:p>
    <w:p w14:paraId="5B46FE2B" w14:textId="77777777" w:rsidR="00E3378A" w:rsidRPr="00A77904" w:rsidRDefault="00E3378A" w:rsidP="00E3378A">
      <w:pPr>
        <w:ind w:right="82" w:firstLine="426"/>
        <w:jc w:val="both"/>
        <w:rPr>
          <w:sz w:val="20"/>
          <w:szCs w:val="20"/>
          <w:lang w:val="en-US"/>
        </w:rPr>
      </w:pPr>
    </w:p>
    <w:p w14:paraId="0000008A" w14:textId="0A9A449D" w:rsidR="00125CE4" w:rsidRPr="00A77904" w:rsidRDefault="00083071" w:rsidP="00E3378A">
      <w:pPr>
        <w:ind w:right="82" w:firstLine="426"/>
        <w:jc w:val="both"/>
        <w:rPr>
          <w:sz w:val="20"/>
          <w:szCs w:val="20"/>
          <w:lang w:val="en-US"/>
        </w:rPr>
      </w:pPr>
      <w:r w:rsidRPr="00A77904">
        <w:rPr>
          <w:sz w:val="20"/>
          <w:szCs w:val="20"/>
          <w:lang w:val="en-US"/>
        </w:rPr>
        <w:t xml:space="preserve">After obtaining the percentage of inhibition, a calibration curve was constructed by plotting % inhibition against the sample concentration, from which a linear regression equation (y = ax + b) was generated to determine the IC₅₀ value. The antioxidant activity of </w:t>
      </w:r>
      <w:proofErr w:type="spellStart"/>
      <w:r w:rsidR="00E3378A" w:rsidRPr="00A77904">
        <w:rPr>
          <w:sz w:val="20"/>
          <w:szCs w:val="20"/>
          <w:lang w:val="en-US"/>
        </w:rPr>
        <w:t>Kesambi</w:t>
      </w:r>
      <w:proofErr w:type="spellEnd"/>
      <w:r w:rsidRPr="00A77904">
        <w:rPr>
          <w:sz w:val="20"/>
          <w:szCs w:val="20"/>
          <w:lang w:val="en-US"/>
        </w:rPr>
        <w:t xml:space="preserve"> leaf extract was expressed using the IC₅₀ parameter, which reflects the concentration of extract required to inhibit 50% of free radicals in the DPPH assay. A lower IC₅₀ value indicates stronger antioxidant activity</w:t>
      </w:r>
      <w:r w:rsidR="00AE482A" w:rsidRPr="00A77904">
        <w:rPr>
          <w:sz w:val="20"/>
          <w:szCs w:val="20"/>
          <w:lang w:val="en-US"/>
        </w:rPr>
        <w:t xml:space="preserve"> </w:t>
      </w:r>
      <w:r w:rsidR="00AE482A" w:rsidRPr="00A77904">
        <w:rPr>
          <w:sz w:val="20"/>
          <w:szCs w:val="20"/>
          <w:lang w:val="en-US"/>
        </w:rPr>
        <w:fldChar w:fldCharType="begin" w:fldLock="1"/>
      </w:r>
      <w:r w:rsidR="00AE482A" w:rsidRPr="00A77904">
        <w:rPr>
          <w:sz w:val="20"/>
          <w:szCs w:val="20"/>
          <w:lang w:val="en-US"/>
        </w:rPr>
        <w:instrText>ADDIN CSL_CITATION {"citationItems":[{"id":"ITEM-1","itemData":{"abstract":"The aim of this study was to evaluate antioxidant and antibacterial activities of Ischaemum indicum leaves extracts based on different polarity solvents: water, methanol, ethyl acetate, dichloromethane, and n-hexane. The antioxidant activity was evaluated using ABTS and DPPH methods, while the antibacterial activity was determined by broth dilution method against Pseudomonas aeruginosa and Bacillus subtilis. The results showed that water and methanol extracts of I. indicum gave the highest antioxidant activity in ABTS assay with an IC50 73.80 and 46.32 µg/mL, respectively. On the other hand, The IC50 on DPPH assay for water extracts w a s 117.51 µg/mL, this value was higher than that of methanol extract with no inhibition. Methanol and water extracts showed the antibacterial a c t i v i t y against B. subtilis with inhibition of 48.62 and 45.11%, whereas inhibition of P. aeruginosa were 31.95 and 30.31%, respectively. This study denoted that I. indicum is a new potential candidate as antioxidant source.","author":[{"dropping-particle":"","family":"Auwaliyah","given":"Fithrotul","non-dropping-particle":"","parse-names":false,"suffix":""},{"dropping-particle":"","family":"Rizqi","given":"Hamdan Dwi","non-dropping-particle":"","parse-names":false,"suffix":""},{"dropping-particle":"","family":"Purnomo","given":"Adi Setyo","non-dropping-particle":"","parse-names":false,"suffix":""},{"dropping-particle":"","family":"Fatmawati","given":"Sri","non-dropping-particle":"","parse-names":false,"suffix":""}],"container-title":"/ Malaysian Journal of Fundamental and Applied Sciences","id":"ITEM-1","issue":"3","issued":{"date-parts":[["2019"]]},"number-of-pages":"436-440","title":"Antioxidant and antibacterial activities of Ischaemum indicum leaves extracted using different solvents Article history","type":"report","volume":"15"},"uris":["http://www.mendeley.com/documents/?uuid=feefa8b7-409e-3c95-a508-b8b02afbb697"]}],"mendeley":{"formattedCitation":"(25)","manualFormatting":"[25]","plainTextFormattedCitation":"(25)","previouslyFormattedCitation":"(25)"},"properties":{"noteIndex":0},"schema":"https://github.com/citation-style-language/schema/raw/master/csl-citation.json"}</w:instrText>
      </w:r>
      <w:r w:rsidR="00AE482A" w:rsidRPr="00A77904">
        <w:rPr>
          <w:sz w:val="20"/>
          <w:szCs w:val="20"/>
          <w:lang w:val="en-US"/>
        </w:rPr>
        <w:fldChar w:fldCharType="separate"/>
      </w:r>
      <w:r w:rsidR="00AE482A" w:rsidRPr="00A77904">
        <w:rPr>
          <w:noProof/>
          <w:sz w:val="20"/>
          <w:szCs w:val="20"/>
          <w:lang w:val="en-US"/>
        </w:rPr>
        <w:t>[25]</w:t>
      </w:r>
      <w:r w:rsidR="00AE482A" w:rsidRPr="00A77904">
        <w:rPr>
          <w:sz w:val="20"/>
          <w:szCs w:val="20"/>
          <w:lang w:val="en-US"/>
        </w:rPr>
        <w:fldChar w:fldCharType="end"/>
      </w:r>
      <w:r w:rsidRPr="00A77904">
        <w:rPr>
          <w:sz w:val="20"/>
          <w:szCs w:val="20"/>
          <w:lang w:val="en-US"/>
        </w:rPr>
        <w:t>.</w:t>
      </w:r>
    </w:p>
    <w:p w14:paraId="0000008B" w14:textId="55666F6D" w:rsidR="00125CE4" w:rsidRPr="00A77904" w:rsidRDefault="00000000">
      <w:pPr>
        <w:ind w:right="82"/>
        <w:jc w:val="center"/>
        <w:rPr>
          <w:lang w:val="en-US"/>
        </w:rPr>
      </w:pPr>
      <w:sdt>
        <w:sdtPr>
          <w:rPr>
            <w:lang w:val="en-US"/>
          </w:rPr>
          <w:tag w:val="goog_rdk_19"/>
          <w:id w:val="-1487857378"/>
          <w:showingPlcHdr/>
        </w:sdtPr>
        <w:sdtContent>
          <w:r w:rsidR="00CA6BC6" w:rsidRPr="00A77904">
            <w:rPr>
              <w:lang w:val="en-US"/>
            </w:rPr>
            <w:t xml:space="preserve">     </w:t>
          </w:r>
        </w:sdtContent>
      </w:sdt>
      <w:r w:rsidRPr="00A77904">
        <w:rPr>
          <w:noProof/>
          <w:lang w:val="en-US"/>
        </w:rPr>
        <w:drawing>
          <wp:inline distT="0" distB="0" distL="0" distR="0" wp14:anchorId="2F8197D5" wp14:editId="4735DE2E">
            <wp:extent cx="2978150" cy="2216150"/>
            <wp:effectExtent l="0" t="0" r="0" b="0"/>
            <wp:docPr id="1876557561" name="Chart 187655756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r w:rsidRPr="00A77904">
        <w:rPr>
          <w:lang w:val="en-US"/>
        </w:rPr>
        <w:t xml:space="preserve"> </w:t>
      </w:r>
    </w:p>
    <w:p w14:paraId="2845D906" w14:textId="2DD03ECE" w:rsidR="00504D5D" w:rsidRPr="00A77904" w:rsidRDefault="00000000" w:rsidP="00BE53AA">
      <w:pPr>
        <w:ind w:right="82"/>
        <w:jc w:val="both"/>
        <w:rPr>
          <w:lang w:val="en-US"/>
        </w:rPr>
      </w:pPr>
      <w:r w:rsidRPr="00A77904">
        <w:rPr>
          <w:b/>
          <w:sz w:val="18"/>
          <w:szCs w:val="18"/>
          <w:lang w:val="en-US"/>
        </w:rPr>
        <w:t>F</w:t>
      </w:r>
      <w:r w:rsidR="00FC4B04" w:rsidRPr="00A77904">
        <w:rPr>
          <w:b/>
          <w:sz w:val="18"/>
          <w:szCs w:val="18"/>
          <w:lang w:val="en-US"/>
        </w:rPr>
        <w:t>IGURE</w:t>
      </w:r>
      <w:r w:rsidRPr="00A77904">
        <w:rPr>
          <w:b/>
          <w:sz w:val="18"/>
          <w:szCs w:val="18"/>
          <w:lang w:val="en-US"/>
        </w:rPr>
        <w:t xml:space="preserve"> 1</w:t>
      </w:r>
      <w:r w:rsidRPr="00A77904">
        <w:rPr>
          <w:b/>
          <w:lang w:val="en-US"/>
        </w:rPr>
        <w:t xml:space="preserve">. </w:t>
      </w:r>
      <w:r w:rsidR="00FA617D" w:rsidRPr="00A77904">
        <w:rPr>
          <w:bCs/>
          <w:sz w:val="18"/>
          <w:szCs w:val="18"/>
          <w:lang w:val="en-US"/>
        </w:rPr>
        <w:t xml:space="preserve">Antioxidant activity of </w:t>
      </w:r>
      <w:r w:rsidR="00FA617D" w:rsidRPr="00A77904">
        <w:rPr>
          <w:bCs/>
          <w:i/>
          <w:iCs/>
          <w:sz w:val="18"/>
          <w:szCs w:val="18"/>
          <w:lang w:val="en-US"/>
        </w:rPr>
        <w:t>S</w:t>
      </w:r>
      <w:r w:rsidR="00835624" w:rsidRPr="00A77904">
        <w:rPr>
          <w:bCs/>
          <w:i/>
          <w:iCs/>
          <w:sz w:val="18"/>
          <w:szCs w:val="18"/>
          <w:lang w:val="en-US"/>
        </w:rPr>
        <w:t>.</w:t>
      </w:r>
      <w:r w:rsidR="00FA617D" w:rsidRPr="00A77904">
        <w:rPr>
          <w:bCs/>
          <w:i/>
          <w:iCs/>
          <w:sz w:val="18"/>
          <w:szCs w:val="18"/>
          <w:lang w:val="en-US"/>
        </w:rPr>
        <w:t xml:space="preserve"> oleosa</w:t>
      </w:r>
      <w:r w:rsidR="00FA617D" w:rsidRPr="00A77904">
        <w:rPr>
          <w:bCs/>
          <w:sz w:val="18"/>
          <w:szCs w:val="18"/>
          <w:lang w:val="en-US"/>
        </w:rPr>
        <w:t xml:space="preserve"> leaf extracts from lowland and highland regions, compared to standard antioxidants (ascorbic acid and gallic acid), measured as IC₅₀ (ppm) using the DPPH assay. Samples </w:t>
      </w:r>
      <w:r w:rsidR="00835624" w:rsidRPr="00A77904">
        <w:rPr>
          <w:bCs/>
          <w:sz w:val="18"/>
          <w:szCs w:val="18"/>
          <w:lang w:val="en-US"/>
        </w:rPr>
        <w:t>were incubated</w:t>
      </w:r>
      <w:r w:rsidR="00FA617D" w:rsidRPr="00A77904">
        <w:rPr>
          <w:bCs/>
          <w:sz w:val="18"/>
          <w:szCs w:val="18"/>
          <w:lang w:val="en-US"/>
        </w:rPr>
        <w:t xml:space="preserve"> for 30 minutes at room temperature.</w:t>
      </w:r>
    </w:p>
    <w:p w14:paraId="6272B8EA" w14:textId="77777777" w:rsidR="00FA617D" w:rsidRPr="00A77904" w:rsidRDefault="00FA617D">
      <w:pPr>
        <w:ind w:firstLine="360"/>
        <w:jc w:val="both"/>
        <w:rPr>
          <w:sz w:val="20"/>
          <w:szCs w:val="20"/>
          <w:lang w:val="en-US"/>
        </w:rPr>
      </w:pPr>
    </w:p>
    <w:p w14:paraId="0000008E" w14:textId="65E4984D" w:rsidR="00125CE4" w:rsidRPr="00A77904" w:rsidRDefault="00000000">
      <w:pPr>
        <w:ind w:firstLine="360"/>
        <w:jc w:val="both"/>
        <w:rPr>
          <w:sz w:val="20"/>
          <w:szCs w:val="20"/>
          <w:lang w:val="en-US"/>
        </w:rPr>
      </w:pPr>
      <w:r w:rsidRPr="00A77904">
        <w:rPr>
          <w:sz w:val="20"/>
          <w:szCs w:val="20"/>
          <w:lang w:val="en-US"/>
        </w:rPr>
        <w:t xml:space="preserve">From Figure 1, ascorbic acid as a positive control has the lowest IC₅₀ value (1.74±0.13 ppm), meaning it has the strongest inhibitory activity compared to other samples. Lowland </w:t>
      </w:r>
      <w:proofErr w:type="spellStart"/>
      <w:r w:rsidR="00E3378A" w:rsidRPr="00A77904">
        <w:rPr>
          <w:sz w:val="20"/>
          <w:szCs w:val="20"/>
          <w:lang w:val="en-US"/>
        </w:rPr>
        <w:t>Kesambi</w:t>
      </w:r>
      <w:proofErr w:type="spellEnd"/>
      <w:r w:rsidRPr="00A77904">
        <w:rPr>
          <w:sz w:val="20"/>
          <w:szCs w:val="20"/>
          <w:lang w:val="en-US"/>
        </w:rPr>
        <w:t xml:space="preserve"> extract (4.81±1.00 ppm) is more effective than highland </w:t>
      </w:r>
      <w:proofErr w:type="spellStart"/>
      <w:r w:rsidR="00E3378A" w:rsidRPr="00A77904">
        <w:rPr>
          <w:sz w:val="20"/>
          <w:szCs w:val="20"/>
          <w:lang w:val="en-US"/>
        </w:rPr>
        <w:t>Kesambi</w:t>
      </w:r>
      <w:proofErr w:type="spellEnd"/>
      <w:r w:rsidRPr="00A77904">
        <w:rPr>
          <w:sz w:val="20"/>
          <w:szCs w:val="20"/>
          <w:lang w:val="en-US"/>
        </w:rPr>
        <w:t xml:space="preserve"> extract (7.16±0.61</w:t>
      </w:r>
      <w:r w:rsidR="00BB4A83" w:rsidRPr="00A77904">
        <w:rPr>
          <w:sz w:val="20"/>
          <w:szCs w:val="20"/>
          <w:lang w:val="en-US"/>
        </w:rPr>
        <w:t xml:space="preserve"> </w:t>
      </w:r>
      <w:r w:rsidRPr="00A77904">
        <w:rPr>
          <w:sz w:val="20"/>
          <w:szCs w:val="20"/>
          <w:lang w:val="en-US"/>
        </w:rPr>
        <w:t xml:space="preserve">ppm) and gallic acid as a positive control (6.07±1.03 ppm). The differences observed between highland and lowland samples may be attributed to varying abiotic stress conditions. Lowland plants are typically exposed to higher temperatures and oxidative stress, which can stimulate the production of antioxidant compounds such as flavonoids as a defense mechanism </w:t>
      </w:r>
      <w:r w:rsidR="000E37AE" w:rsidRPr="00A77904">
        <w:rPr>
          <w:sz w:val="20"/>
          <w:szCs w:val="20"/>
          <w:lang w:val="en-US"/>
        </w:rPr>
        <w:fldChar w:fldCharType="begin" w:fldLock="1"/>
      </w:r>
      <w:r w:rsidR="00A9365F" w:rsidRPr="00A77904">
        <w:rPr>
          <w:sz w:val="20"/>
          <w:szCs w:val="20"/>
          <w:lang w:val="en-US"/>
        </w:rPr>
        <w:instrText>ADDIN CSL_CITATION {"citationItems":[{"id":"ITEM-1","itemData":{"abstract":"Kesambi (Schleichera oleosa) is one of the forest plants from Indonesia that has potential as medicine. Kesambi has active compounds that act as antioxidants. The purpose of this study was to determine the potential of kesambi leaf as an antioxidant using the DPPH method. Samples of kesambi leaf were extracted in methanol, ethanol, and water solvents by the maceration method. The class of compounds contained in kesambi leaf was tested by the colour reaction test method for alkaloids, flavonoids, triterpenoids, phenols, steroids, saponins, and tannins. Antioxidant activity was tested by the DPPH method to determine IC50 values. Based on the results of the colour reaction test showed that methanol and ethanol solvents were able to bind 6 classes of compounds (alkaloids, flavonoids, triterpenoid, phenols, saponins, and tannins) and water solvents were only able to bind 5 classes of compounds (flavonoids, triterpenoid, phenols, saponins, and tannins) contained in kesambi leaf. The results of antioxidant activity tests using the DPPH method showed the lowest IC50 value was methanol extract (16,12µg/ml) compared to ethanol extract (20,43µg/ml) and water (904,28µg/ml). It was concluded that the leaf extract of kesambi has potential as an antioxidant and which has the best antioxidant ability was extracted in methanol. The class of compounds which were thought to be responsible for the antioxidant activity of the kesambi leaf extract based on the color reaction test were phenols, flavonoids and tannins.","author":[{"dropping-particle":"","family":"Holil","given":"Kholifah","non-dropping-particle":"","parse-names":false,"suffix":""},{"dropping-particle":"","family":"Pramesti Griana","given":"Tias","non-dropping-particle":"","parse-names":false,"suffix":""},{"dropping-particle":"","family":"Biologi","given":"Jurusan","non-dropping-particle":"","parse-names":false,"suffix":""},{"dropping-particle":"","family":"Sains dan Teknologi","given":"Fakultas","non-dropping-particle":"","parse-names":false,"suffix":""},{"dropping-particle":"","family":"Maulana Malik Ibrahim Malang","given":"Uin","non-dropping-particle":"","parse-names":false,"suffix":""},{"dropping-particle":"","family":"Studi Pendidikan Dokter","given":"Program","non-dropping-particle":"","parse-names":false,"suffix":""},{"dropping-particle":"","family":"Kedokteran dan Ilmu Kesehatan","given":"Fakultas","non-dropping-particle":"","parse-names":false,"suffix":""}],"container-title":"Holil and Griana","id":"ITEM-1","issue":"1","issued":{"date-parts":[["0"]]},"number-of-pages":"28-32","title":"Analisis Fitokimia dan Aktivitas Antioksidan Ekstrak Daun Kesambi (Schleichera oleosa) Metode DPPH","type":"report","volume":"5"},"uris":["http://www.mendeley.com/documents/?uuid=195df7bc-ddb3-396f-b76b-9908a98155c4"]}],"mendeley":{"formattedCitation":"(6)","manualFormatting":"[6]","plainTextFormattedCitation":"(6)","previouslyFormattedCitation":"(6)"},"properties":{"noteIndex":0},"schema":"https://github.com/citation-style-language/schema/raw/master/csl-citation.json"}</w:instrText>
      </w:r>
      <w:r w:rsidR="000E37AE" w:rsidRPr="00A77904">
        <w:rPr>
          <w:sz w:val="20"/>
          <w:szCs w:val="20"/>
          <w:lang w:val="en-US"/>
        </w:rPr>
        <w:fldChar w:fldCharType="separate"/>
      </w:r>
      <w:r w:rsidR="000E37AE" w:rsidRPr="00A77904">
        <w:rPr>
          <w:noProof/>
          <w:sz w:val="20"/>
          <w:szCs w:val="20"/>
          <w:lang w:val="en-US"/>
        </w:rPr>
        <w:t>[6]</w:t>
      </w:r>
      <w:r w:rsidR="000E37AE" w:rsidRPr="00A77904">
        <w:rPr>
          <w:sz w:val="20"/>
          <w:szCs w:val="20"/>
          <w:lang w:val="en-US"/>
        </w:rPr>
        <w:fldChar w:fldCharType="end"/>
      </w:r>
      <w:r w:rsidRPr="00A77904">
        <w:rPr>
          <w:sz w:val="20"/>
          <w:szCs w:val="20"/>
          <w:lang w:val="en-US"/>
        </w:rPr>
        <w:t xml:space="preserve">. In contrast, highland plants, which experience cooler environments, may allocate more metabolic resources toward cold-adaptive compounds rather than antioxidants, resulting in slightly reduced antioxidant activity </w:t>
      </w:r>
      <w:r w:rsidR="000E37AE" w:rsidRPr="00A77904">
        <w:rPr>
          <w:sz w:val="20"/>
          <w:szCs w:val="20"/>
          <w:lang w:val="en-US"/>
        </w:rPr>
        <w:fldChar w:fldCharType="begin" w:fldLock="1"/>
      </w:r>
      <w:r w:rsidR="00A9365F" w:rsidRPr="00A77904">
        <w:rPr>
          <w:sz w:val="20"/>
          <w:szCs w:val="20"/>
          <w:lang w:val="en-US"/>
        </w:rPr>
        <w:instrText>ADDIN CSL_CITATION {"citationItems":[{"id":"ITEM-1","itemData":{"abstract":"Graphical abstract Abstract Antioxidant and antibacterial activities of Ananas comosus peel extracts (n-hexane, dichloromethane, ethyl acetate, methanol and aqueous) had been evaluated. The antioxidant activity had been evaluated by using DPPH (2,2-diphenyl-2-picrylhydrazyl) and ABTS (2,2'-azinobis-3-ethylbenzothiazole-6-sulfonic acid) methods, while antibacterial activity has been evaluated by using broth dilution method. The aqueous extract showed the highest DPPH activity with IC50 value of 266.02 μg/mL, while the methanol extract showed the highest ABTS activity with IC50 value of 46.49 μg/mL. Furthermore, the n-hexane extract showed antibacterial activity against Pseudomonas aeruginosa with inhibition value of 5.03% while the aqueous extract showed antibacterial activity against Bacillus subtilis about 11.65% of inhibition. This study showed that A. comosus peel has potency as antioxidant and antibacterial agents.","author":[{"dropping-particle":"","family":"Putri","given":"Devi Anggraini","non-dropping-particle":"","parse-names":false,"suffix":""},{"dropping-particle":"","family":"Ulfi","given":"Aulia","non-dropping-particle":"","parse-names":false,"suffix":""},{"dropping-particle":"","family":"Purnomo","given":"Adi Setyo","non-dropping-particle":"","parse-names":false,"suffix":""},{"dropping-particle":"","family":"Fatmawati","given":"Sri","non-dropping-particle":"","parse-names":false,"suffix":""}],"container-title":"/ Malaysian Journal of Fundamental and Applied Sciences","id":"ITEM-1","issue":"2","issued":{"date-parts":[["2018"]]},"number-of-pages":"307-311","title":"Antioxidant and antibacterial activities of Ananas comosus peel extracts","type":"report","volume":"14"},"uris":["http://www.mendeley.com/documents/?uuid=a286a061-806f-3f0b-97ff-804f5096b512"]}],"mendeley":{"formattedCitation":"(3)","manualFormatting":"[3]","plainTextFormattedCitation":"(3)","previouslyFormattedCitation":"(3)"},"properties":{"noteIndex":0},"schema":"https://github.com/citation-style-language/schema/raw/master/csl-citation.json"}</w:instrText>
      </w:r>
      <w:r w:rsidR="000E37AE" w:rsidRPr="00A77904">
        <w:rPr>
          <w:sz w:val="20"/>
          <w:szCs w:val="20"/>
          <w:lang w:val="en-US"/>
        </w:rPr>
        <w:fldChar w:fldCharType="separate"/>
      </w:r>
      <w:r w:rsidR="000E37AE" w:rsidRPr="00A77904">
        <w:rPr>
          <w:noProof/>
          <w:sz w:val="20"/>
          <w:szCs w:val="20"/>
          <w:lang w:val="en-US"/>
        </w:rPr>
        <w:t>[3]</w:t>
      </w:r>
      <w:r w:rsidR="000E37AE" w:rsidRPr="00A77904">
        <w:rPr>
          <w:sz w:val="20"/>
          <w:szCs w:val="20"/>
          <w:lang w:val="en-US"/>
        </w:rPr>
        <w:fldChar w:fldCharType="end"/>
      </w:r>
      <w:r w:rsidRPr="00A77904">
        <w:rPr>
          <w:sz w:val="20"/>
          <w:szCs w:val="20"/>
          <w:lang w:val="en-US"/>
        </w:rPr>
        <w:t xml:space="preserve">. This pattern is consistent with findings in other species, where environmental factors like UV exposure and drought in lowland regions have been shown to enhance antioxidant capacity </w:t>
      </w:r>
      <w:r w:rsidR="006B4BC1" w:rsidRPr="00A77904">
        <w:rPr>
          <w:sz w:val="20"/>
          <w:szCs w:val="20"/>
          <w:lang w:val="en-US"/>
        </w:rPr>
        <w:fldChar w:fldCharType="begin" w:fldLock="1"/>
      </w:r>
      <w:r w:rsidR="00A9365F" w:rsidRPr="00A77904">
        <w:rPr>
          <w:sz w:val="20"/>
          <w:szCs w:val="20"/>
          <w:lang w:val="en-US"/>
        </w:rPr>
        <w:instrText>ADDIN CSL_CITATION {"citationItems":[{"id":"ITEM-1","itemData":{"id":"ITEM-1","issued":{"date-parts":[["0"]]},"title":"CamScanner 19-09-2025 10.28.pdf","type":"article"},"uris":["http://www.mendeley.com/documents/?uuid=1b515b24-7fae-4d9e-8af2-e7a32894782f"]}],"mendeley":{"formattedCitation":"(21)","manualFormatting":"[20]","plainTextFormattedCitation":"(21)","previouslyFormattedCitation":"(21)"},"properties":{"noteIndex":0},"schema":"https://github.com/citation-style-language/schema/raw/master/csl-citation.json"}</w:instrText>
      </w:r>
      <w:r w:rsidR="006B4BC1" w:rsidRPr="00A77904">
        <w:rPr>
          <w:sz w:val="20"/>
          <w:szCs w:val="20"/>
          <w:lang w:val="en-US"/>
        </w:rPr>
        <w:fldChar w:fldCharType="separate"/>
      </w:r>
      <w:r w:rsidR="006B4BC1" w:rsidRPr="00A77904">
        <w:rPr>
          <w:noProof/>
          <w:sz w:val="20"/>
          <w:szCs w:val="20"/>
          <w:lang w:val="en-US"/>
        </w:rPr>
        <w:t>[20]</w:t>
      </w:r>
      <w:r w:rsidR="006B4BC1" w:rsidRPr="00A77904">
        <w:rPr>
          <w:sz w:val="20"/>
          <w:szCs w:val="20"/>
          <w:lang w:val="en-US"/>
        </w:rPr>
        <w:fldChar w:fldCharType="end"/>
      </w:r>
      <w:r w:rsidRPr="00A77904">
        <w:rPr>
          <w:sz w:val="20"/>
          <w:szCs w:val="20"/>
          <w:lang w:val="en-US"/>
        </w:rPr>
        <w:t>.</w:t>
      </w:r>
    </w:p>
    <w:p w14:paraId="0000008F" w14:textId="6DF017EA" w:rsidR="00125CE4" w:rsidRPr="00A77904" w:rsidRDefault="00083071">
      <w:pPr>
        <w:pStyle w:val="Heading1"/>
        <w:ind w:left="0" w:right="82" w:firstLine="360"/>
        <w:jc w:val="both"/>
        <w:rPr>
          <w:b w:val="0"/>
          <w:sz w:val="20"/>
          <w:szCs w:val="20"/>
          <w:lang w:val="en-US"/>
        </w:rPr>
      </w:pPr>
      <w:r w:rsidRPr="00A77904">
        <w:rPr>
          <w:b w:val="0"/>
          <w:sz w:val="20"/>
          <w:szCs w:val="20"/>
          <w:lang w:val="en-US"/>
        </w:rPr>
        <w:t>The antioxidant activity increases with higher flavonoid content. Flavonoids and phenolic compounds are recognized as potential antioxidants. As polyphenolic compounds, flavonoids are capable of donating hydrogen atoms to free radicals, thereby contributing to antioxidant activity through neutralization of free radicals or by terminating ongoing chain reactions. The ability of flavonoids to complex with metal ions such as iron allows it to increase its antioxidant effect</w:t>
      </w:r>
      <w:r w:rsidR="00AE482A" w:rsidRPr="00A77904">
        <w:rPr>
          <w:b w:val="0"/>
          <w:sz w:val="20"/>
          <w:szCs w:val="20"/>
          <w:lang w:val="en-US"/>
        </w:rPr>
        <w:t xml:space="preserve"> </w:t>
      </w:r>
      <w:r w:rsidR="00AE482A" w:rsidRPr="00A77904">
        <w:rPr>
          <w:b w:val="0"/>
          <w:sz w:val="20"/>
          <w:szCs w:val="20"/>
          <w:lang w:val="en-US"/>
        </w:rPr>
        <w:fldChar w:fldCharType="begin" w:fldLock="1"/>
      </w:r>
      <w:r w:rsidR="00AE482A" w:rsidRPr="00A77904">
        <w:rPr>
          <w:b w:val="0"/>
          <w:sz w:val="20"/>
          <w:szCs w:val="20"/>
          <w:lang w:val="en-US"/>
        </w:rPr>
        <w:instrText>ADDIN CSL_CITATION {"citationItems":[{"id":"ITEM-1","itemData":{"DOI":"10.46984/sebatik.v25i2.1353","ISSN":"1410-3737","abstract":"Mahkota dewa (Phaleria macrocarpa) merupakan tanaman perdu yang berasal dari family Thymelaceae. Senyawa  bioaktif yang terkandung di dalam tanaman ini dapat digunakan sebagai obat. Penelitian ini bertujuan untuk mengetahui kandungan golongan senyawa dan aktivitas antioksidan ekstrak metanol daging buah mahkota dewa. Metode yang digunakan dalam penelitian ini yaitu ekstraksi dengan pelarut metanol dan metode 1,1-difenil-2-pikrilhidrazyl (DPPH) untuk uji aktivitas antioksidan. Hasil penelitian menunjukkan bahwa ekstrak metanol daging buah mahkota dewa mengandung golongan senyawa flavonoid, alkaloid, terpenoid dan fenolik. Uji aktivitas antioksidan memberikan nilai IC50 sebesar 127,983 ppm dengan kategori antioksidan sedang.","author":[{"dropping-particle":"","family":"Kurang","given":"Rosalina Yuliana","non-dropping-particle":"","parse-names":false,"suffix":""},{"dropping-particle":"","family":"Malaipada","given":"Naomi A.","non-dropping-particle":"","parse-names":false,"suffix":""}],"container-title":"Sebatik","id":"ITEM-1","issue":"2","issued":{"date-parts":[["2021","12","1"]]},"page":"767-772","publisher":"STMIK Widya Cipta Dharma","title":"UJI FITOKIMIA DAN AKTIVITAS ANTIOKSIDAN EKSTRAK METANOL DAGING BUAH MAHKOTA DEWA (PHALERIA MACROCARPA)","type":"article-journal","volume":"25"},"uris":["http://www.mendeley.com/documents/?uuid=59ecfc0e-ec6c-32d9-8381-ee0ac3eadda4"]}],"mendeley":{"formattedCitation":"(26)","manualFormatting":"[26]","plainTextFormattedCitation":"(26)","previouslyFormattedCitation":"(26)"},"properties":{"noteIndex":0},"schema":"https://github.com/citation-style-language/schema/raw/master/csl-citation.json"}</w:instrText>
      </w:r>
      <w:r w:rsidR="00AE482A" w:rsidRPr="00A77904">
        <w:rPr>
          <w:b w:val="0"/>
          <w:sz w:val="20"/>
          <w:szCs w:val="20"/>
          <w:lang w:val="en-US"/>
        </w:rPr>
        <w:fldChar w:fldCharType="separate"/>
      </w:r>
      <w:r w:rsidR="00AE482A" w:rsidRPr="00A77904">
        <w:rPr>
          <w:b w:val="0"/>
          <w:noProof/>
          <w:sz w:val="20"/>
          <w:szCs w:val="20"/>
          <w:lang w:val="en-US"/>
        </w:rPr>
        <w:t>[26]</w:t>
      </w:r>
      <w:r w:rsidR="00AE482A" w:rsidRPr="00A77904">
        <w:rPr>
          <w:b w:val="0"/>
          <w:sz w:val="20"/>
          <w:szCs w:val="20"/>
          <w:lang w:val="en-US"/>
        </w:rPr>
        <w:fldChar w:fldCharType="end"/>
      </w:r>
      <w:r w:rsidRPr="00A77904">
        <w:rPr>
          <w:b w:val="0"/>
          <w:sz w:val="20"/>
          <w:szCs w:val="20"/>
          <w:lang w:val="en-US"/>
        </w:rPr>
        <w:t xml:space="preserve">. Gallic acid and ascorbic acid are natural antioxidants that function to protect the body from oxidative damage. Gallic acid is derived from phenolic compounds with strong antioxidant activity and additional benefits in the treatment of diseases, while ascorbic acid is </w:t>
      </w:r>
      <w:r w:rsidR="00835624" w:rsidRPr="00A77904">
        <w:rPr>
          <w:b w:val="0"/>
          <w:sz w:val="20"/>
          <w:szCs w:val="20"/>
          <w:lang w:val="en-US"/>
        </w:rPr>
        <w:t>vitamin C,</w:t>
      </w:r>
      <w:r w:rsidRPr="00A77904">
        <w:rPr>
          <w:b w:val="0"/>
          <w:sz w:val="20"/>
          <w:szCs w:val="20"/>
          <w:lang w:val="en-US"/>
        </w:rPr>
        <w:t xml:space="preserve"> which is very important for metabolism and the immune system, with antioxidant abilities that are also very effective</w:t>
      </w:r>
      <w:r w:rsidR="00AE482A" w:rsidRPr="00A77904">
        <w:rPr>
          <w:b w:val="0"/>
          <w:sz w:val="20"/>
          <w:szCs w:val="20"/>
          <w:lang w:val="en-US"/>
        </w:rPr>
        <w:t xml:space="preserve"> </w:t>
      </w:r>
      <w:r w:rsidR="00AE482A" w:rsidRPr="00A77904">
        <w:rPr>
          <w:b w:val="0"/>
          <w:sz w:val="20"/>
          <w:szCs w:val="20"/>
          <w:lang w:val="en-US"/>
        </w:rPr>
        <w:fldChar w:fldCharType="begin" w:fldLock="1"/>
      </w:r>
      <w:r w:rsidR="00AE482A" w:rsidRPr="00A77904">
        <w:rPr>
          <w:b w:val="0"/>
          <w:sz w:val="20"/>
          <w:szCs w:val="20"/>
          <w:lang w:val="en-US"/>
        </w:rPr>
        <w:instrText>ADDIN CSL_CITATION {"citationItems":[{"id":"ITEM-1","itemData":{"DOI":"10.1016/j.ejbt.2017.03.004","ISSN":"07173458","abstract":"Background Dietary plant-based foods contain combinations of various bioactive compounds such as phytochemical compounds and vitamins. The combined effect of these vitamins and phytochemicals remains unknown, especially in the prevention of diabetes and its complications. The present study aimed to investigate the combined effect of ascorbic acid and gallic acid on fructose-induced protein glycation and oxidation. Results Ascorbic acid (15 μg/mL) and gallic acid (0.1 μg/mL) reduced fructose-induced formation of advanced glycation end products (AGEs) in bovine serum albumin (BSA; 10 mg/mL) by 15.06% and 37.83%, respectively. The combination of ascorbic acid and gallic acid demonstrated additive inhibition on the formation of AGEs after 2 weeks of incubation. In addition, synergistic inhibition on the formation of amyloid cross-β structure and protein carbonyl content in fructose-glycated BSA was observed. At the same concentration, the combination of ascorbic acid and gallic acid produced a significant additive effect on the 2,2-diphenyl-1-picrylhydrazyl radical scavenging activity. Conclusion Combining natural compounds such as ascorbic acid and gallic acid seems to be a promising strategy to prevent the formation of AGEs.","author":[{"dropping-particle":"","family":"Adisakwattana","given":"Sirichai","non-dropping-particle":"","parse-names":false,"suffix":""},{"dropping-particle":"","family":"Thilavech","given":"Thavaree","non-dropping-particle":"","parse-names":false,"suffix":""},{"dropping-particle":"","family":"Sompong","given":"Weerachat","non-dropping-particle":"","parse-names":false,"suffix":""},{"dropping-particle":"","family":"Pasukamonset","given":"Porntip","non-dropping-particle":"","parse-names":false,"suffix":""}],"container-title":"Electronic Journal of Biotechnology","id":"ITEM-1","issued":{"date-parts":[["2017","5","1"]]},"page":"32-36","publisher":"Pontificia Universidad Catolica de Valparaiso","title":"Interaction between ascorbic acid and gallic acid in a model of fructose-mediated protein glycation and oxidation","type":"article-journal","volume":"27"},"uris":["http://www.mendeley.com/documents/?uuid=46649fdc-91c4-3609-8468-e45e39b69599"]}],"mendeley":{"formattedCitation":"(27)","manualFormatting":"[27]","plainTextFormattedCitation":"(27)"},"properties":{"noteIndex":0},"schema":"https://github.com/citation-style-language/schema/raw/master/csl-citation.json"}</w:instrText>
      </w:r>
      <w:r w:rsidR="00AE482A" w:rsidRPr="00A77904">
        <w:rPr>
          <w:b w:val="0"/>
          <w:sz w:val="20"/>
          <w:szCs w:val="20"/>
          <w:lang w:val="en-US"/>
        </w:rPr>
        <w:fldChar w:fldCharType="separate"/>
      </w:r>
      <w:r w:rsidR="00AE482A" w:rsidRPr="00A77904">
        <w:rPr>
          <w:b w:val="0"/>
          <w:noProof/>
          <w:sz w:val="20"/>
          <w:szCs w:val="20"/>
          <w:lang w:val="en-US"/>
        </w:rPr>
        <w:t>[27]</w:t>
      </w:r>
      <w:r w:rsidR="00AE482A" w:rsidRPr="00A77904">
        <w:rPr>
          <w:b w:val="0"/>
          <w:sz w:val="20"/>
          <w:szCs w:val="20"/>
          <w:lang w:val="en-US"/>
        </w:rPr>
        <w:fldChar w:fldCharType="end"/>
      </w:r>
      <w:r w:rsidRPr="00A77904">
        <w:rPr>
          <w:b w:val="0"/>
          <w:sz w:val="20"/>
          <w:szCs w:val="20"/>
          <w:lang w:val="en-US"/>
        </w:rPr>
        <w:t>.</w:t>
      </w:r>
    </w:p>
    <w:p w14:paraId="00000090" w14:textId="77777777" w:rsidR="00125CE4" w:rsidRPr="00A77904" w:rsidRDefault="00125CE4">
      <w:pPr>
        <w:pStyle w:val="Heading1"/>
        <w:ind w:left="0" w:right="82" w:firstLine="360"/>
        <w:jc w:val="both"/>
        <w:rPr>
          <w:b w:val="0"/>
          <w:sz w:val="22"/>
          <w:szCs w:val="22"/>
          <w:lang w:val="en-US"/>
        </w:rPr>
      </w:pPr>
    </w:p>
    <w:p w14:paraId="573D8A9F" w14:textId="6F9BC506" w:rsidR="00435AF3" w:rsidRPr="00A77904" w:rsidRDefault="00000000" w:rsidP="000C47FC">
      <w:pPr>
        <w:pStyle w:val="Heading1"/>
        <w:ind w:left="0" w:right="86" w:firstLine="360"/>
        <w:rPr>
          <w:lang w:val="en-US"/>
        </w:rPr>
      </w:pPr>
      <w:r w:rsidRPr="00A77904">
        <w:rPr>
          <w:lang w:val="en-US"/>
        </w:rPr>
        <w:t>CONCLUSION</w:t>
      </w:r>
    </w:p>
    <w:p w14:paraId="19A39807" w14:textId="77777777" w:rsidR="000C47FC" w:rsidRPr="00A77904" w:rsidRDefault="000C47FC" w:rsidP="000C47FC">
      <w:pPr>
        <w:rPr>
          <w:lang w:val="en-US"/>
        </w:rPr>
      </w:pPr>
    </w:p>
    <w:p w14:paraId="7E553A39" w14:textId="2443CF2E" w:rsidR="00835624" w:rsidRDefault="00D14AB7" w:rsidP="00A77904">
      <w:pPr>
        <w:pStyle w:val="Heading1"/>
        <w:ind w:left="0" w:right="82" w:firstLine="360"/>
        <w:jc w:val="both"/>
        <w:rPr>
          <w:b w:val="0"/>
          <w:bCs/>
          <w:sz w:val="20"/>
          <w:szCs w:val="20"/>
          <w:lang w:val="en-US"/>
        </w:rPr>
      </w:pPr>
      <w:r w:rsidRPr="00A77904">
        <w:rPr>
          <w:b w:val="0"/>
          <w:bCs/>
          <w:sz w:val="20"/>
          <w:szCs w:val="20"/>
          <w:lang w:val="en-US"/>
        </w:rPr>
        <w:t xml:space="preserve">The leaf extract of </w:t>
      </w:r>
      <w:r w:rsidRPr="00A77904">
        <w:rPr>
          <w:b w:val="0"/>
          <w:bCs/>
          <w:i/>
          <w:iCs/>
          <w:sz w:val="20"/>
          <w:szCs w:val="20"/>
          <w:lang w:val="en-US"/>
        </w:rPr>
        <w:t>S</w:t>
      </w:r>
      <w:r w:rsidR="00835624" w:rsidRPr="00A77904">
        <w:rPr>
          <w:b w:val="0"/>
          <w:bCs/>
          <w:i/>
          <w:iCs/>
          <w:sz w:val="20"/>
          <w:szCs w:val="20"/>
          <w:lang w:val="en-US"/>
        </w:rPr>
        <w:t>.</w:t>
      </w:r>
      <w:r w:rsidRPr="00A77904">
        <w:rPr>
          <w:b w:val="0"/>
          <w:bCs/>
          <w:i/>
          <w:iCs/>
          <w:sz w:val="20"/>
          <w:szCs w:val="20"/>
          <w:lang w:val="en-US"/>
        </w:rPr>
        <w:t xml:space="preserve"> oleosa</w:t>
      </w:r>
      <w:r w:rsidRPr="00A77904">
        <w:rPr>
          <w:b w:val="0"/>
          <w:bCs/>
          <w:sz w:val="20"/>
          <w:szCs w:val="20"/>
          <w:lang w:val="en-US"/>
        </w:rPr>
        <w:t xml:space="preserve"> (</w:t>
      </w:r>
      <w:proofErr w:type="spellStart"/>
      <w:r w:rsidR="00E3378A" w:rsidRPr="00A77904">
        <w:rPr>
          <w:b w:val="0"/>
          <w:bCs/>
          <w:sz w:val="20"/>
          <w:szCs w:val="20"/>
          <w:lang w:val="en-US"/>
        </w:rPr>
        <w:t>Kesambi</w:t>
      </w:r>
      <w:proofErr w:type="spellEnd"/>
      <w:r w:rsidRPr="00A77904">
        <w:rPr>
          <w:b w:val="0"/>
          <w:bCs/>
          <w:sz w:val="20"/>
          <w:szCs w:val="20"/>
          <w:lang w:val="en-US"/>
        </w:rPr>
        <w:t xml:space="preserve">) from Alor Regency demonstrated notable bioactivity. Antioxidant analysis revealed that lowland samples possessed stronger activity (IC₅₀ 4.81 ppm) than highland samples (IC₅₀ 7.16 ppm), highlighting their potential as superior natural antioxidants. In contrast, antibacterial assays showed that highland leaf extracts were more effective against </w:t>
      </w:r>
      <w:r w:rsidRPr="00A77904">
        <w:rPr>
          <w:b w:val="0"/>
          <w:bCs/>
          <w:i/>
          <w:iCs/>
          <w:sz w:val="20"/>
          <w:szCs w:val="20"/>
          <w:lang w:val="en-US"/>
        </w:rPr>
        <w:t>P</w:t>
      </w:r>
      <w:r w:rsidR="00835624" w:rsidRPr="00A77904">
        <w:rPr>
          <w:b w:val="0"/>
          <w:bCs/>
          <w:i/>
          <w:iCs/>
          <w:sz w:val="20"/>
          <w:szCs w:val="20"/>
          <w:lang w:val="en-US"/>
        </w:rPr>
        <w:t>.</w:t>
      </w:r>
      <w:r w:rsidRPr="00A77904">
        <w:rPr>
          <w:b w:val="0"/>
          <w:bCs/>
          <w:i/>
          <w:iCs/>
          <w:sz w:val="20"/>
          <w:szCs w:val="20"/>
          <w:lang w:val="en-US"/>
        </w:rPr>
        <w:t xml:space="preserve"> aeruginosa</w:t>
      </w:r>
      <w:r w:rsidRPr="00A77904">
        <w:rPr>
          <w:b w:val="0"/>
          <w:bCs/>
          <w:sz w:val="20"/>
          <w:szCs w:val="20"/>
          <w:lang w:val="en-US"/>
        </w:rPr>
        <w:t xml:space="preserve"> (12.75 mm inhibition zone), while activity against </w:t>
      </w:r>
      <w:r w:rsidRPr="00A77904">
        <w:rPr>
          <w:b w:val="0"/>
          <w:bCs/>
          <w:i/>
          <w:iCs/>
          <w:sz w:val="20"/>
          <w:szCs w:val="20"/>
          <w:lang w:val="en-US"/>
        </w:rPr>
        <w:t>B</w:t>
      </w:r>
      <w:r w:rsidR="00835624" w:rsidRPr="00A77904">
        <w:rPr>
          <w:b w:val="0"/>
          <w:bCs/>
          <w:i/>
          <w:iCs/>
          <w:sz w:val="20"/>
          <w:szCs w:val="20"/>
          <w:lang w:val="en-US"/>
        </w:rPr>
        <w:t>.</w:t>
      </w:r>
      <w:r w:rsidRPr="00A77904">
        <w:rPr>
          <w:b w:val="0"/>
          <w:bCs/>
          <w:i/>
          <w:iCs/>
          <w:sz w:val="20"/>
          <w:szCs w:val="20"/>
          <w:lang w:val="en-US"/>
        </w:rPr>
        <w:t xml:space="preserve"> subtilis</w:t>
      </w:r>
      <w:r w:rsidRPr="00A77904">
        <w:rPr>
          <w:b w:val="0"/>
          <w:bCs/>
          <w:sz w:val="20"/>
          <w:szCs w:val="20"/>
          <w:lang w:val="en-US"/>
        </w:rPr>
        <w:t xml:space="preserve"> was lower than that of chloramphenicol. Overall, these findings indicate that lowland </w:t>
      </w:r>
      <w:proofErr w:type="spellStart"/>
      <w:r w:rsidR="00E3378A" w:rsidRPr="00A77904">
        <w:rPr>
          <w:b w:val="0"/>
          <w:bCs/>
          <w:sz w:val="20"/>
          <w:szCs w:val="20"/>
          <w:lang w:val="en-US"/>
        </w:rPr>
        <w:t>Kesambi</w:t>
      </w:r>
      <w:proofErr w:type="spellEnd"/>
      <w:r w:rsidRPr="00A77904">
        <w:rPr>
          <w:b w:val="0"/>
          <w:bCs/>
          <w:sz w:val="20"/>
          <w:szCs w:val="20"/>
          <w:lang w:val="en-US"/>
        </w:rPr>
        <w:t xml:space="preserve"> leaves are promising sources of antioxidants, whereas highland leaves exhibit stronger antibacterial properties, particularly against Gram-negative bacteria. </w:t>
      </w:r>
      <w:bookmarkStart w:id="7" w:name="_Hlk209264911"/>
      <w:r w:rsidR="00871A3B" w:rsidRPr="00A77904">
        <w:rPr>
          <w:b w:val="0"/>
          <w:bCs/>
          <w:sz w:val="20"/>
          <w:szCs w:val="20"/>
          <w:lang w:val="en-US"/>
        </w:rPr>
        <w:t xml:space="preserve">Future studies should include MIC and MBC assays, as well as the isolation and characterization of bioactive compounds, </w:t>
      </w:r>
      <w:proofErr w:type="gramStart"/>
      <w:r w:rsidR="00871A3B" w:rsidRPr="00A77904">
        <w:rPr>
          <w:b w:val="0"/>
          <w:bCs/>
          <w:sz w:val="20"/>
          <w:szCs w:val="20"/>
          <w:lang w:val="en-US"/>
        </w:rPr>
        <w:t>in order to</w:t>
      </w:r>
      <w:proofErr w:type="gramEnd"/>
      <w:r w:rsidR="00871A3B" w:rsidRPr="00A77904">
        <w:rPr>
          <w:b w:val="0"/>
          <w:bCs/>
          <w:sz w:val="20"/>
          <w:szCs w:val="20"/>
          <w:lang w:val="en-US"/>
        </w:rPr>
        <w:t xml:space="preserve"> provide a more comprehensive evaluation and validation of the therapeutic potential of </w:t>
      </w:r>
      <w:r w:rsidR="00871A3B" w:rsidRPr="00A77904">
        <w:rPr>
          <w:b w:val="0"/>
          <w:bCs/>
          <w:i/>
          <w:iCs/>
          <w:sz w:val="20"/>
          <w:szCs w:val="20"/>
          <w:lang w:val="en-US"/>
        </w:rPr>
        <w:t>S</w:t>
      </w:r>
      <w:r w:rsidR="00835624" w:rsidRPr="00A77904">
        <w:rPr>
          <w:b w:val="0"/>
          <w:bCs/>
          <w:i/>
          <w:iCs/>
          <w:sz w:val="20"/>
          <w:szCs w:val="20"/>
          <w:lang w:val="en-US"/>
        </w:rPr>
        <w:t>.</w:t>
      </w:r>
      <w:r w:rsidR="00871A3B" w:rsidRPr="00A77904">
        <w:rPr>
          <w:b w:val="0"/>
          <w:bCs/>
          <w:i/>
          <w:iCs/>
          <w:sz w:val="20"/>
          <w:szCs w:val="20"/>
          <w:lang w:val="en-US"/>
        </w:rPr>
        <w:t xml:space="preserve"> oleosa</w:t>
      </w:r>
      <w:r w:rsidR="00871A3B" w:rsidRPr="00A77904">
        <w:rPr>
          <w:b w:val="0"/>
          <w:bCs/>
          <w:sz w:val="20"/>
          <w:szCs w:val="20"/>
          <w:lang w:val="en-US"/>
        </w:rPr>
        <w:t xml:space="preserve"> (</w:t>
      </w:r>
      <w:proofErr w:type="spellStart"/>
      <w:r w:rsidR="00E3378A" w:rsidRPr="00A77904">
        <w:rPr>
          <w:b w:val="0"/>
          <w:bCs/>
          <w:sz w:val="20"/>
          <w:szCs w:val="20"/>
          <w:lang w:val="en-US"/>
        </w:rPr>
        <w:t>Kesambi</w:t>
      </w:r>
      <w:proofErr w:type="spellEnd"/>
      <w:r w:rsidR="00871A3B" w:rsidRPr="00A77904">
        <w:rPr>
          <w:b w:val="0"/>
          <w:bCs/>
          <w:sz w:val="20"/>
          <w:szCs w:val="20"/>
          <w:lang w:val="en-US"/>
        </w:rPr>
        <w:t>) leaves.</w:t>
      </w:r>
      <w:bookmarkEnd w:id="7"/>
    </w:p>
    <w:p w14:paraId="5A912842" w14:textId="77777777" w:rsidR="00A77904" w:rsidRPr="00A77904" w:rsidRDefault="00A77904" w:rsidP="00A77904">
      <w:pPr>
        <w:rPr>
          <w:lang w:val="en-US"/>
        </w:rPr>
      </w:pPr>
    </w:p>
    <w:p w14:paraId="00000095" w14:textId="2D7F0E52" w:rsidR="00125CE4" w:rsidRPr="00A77904" w:rsidRDefault="00835624">
      <w:pPr>
        <w:pStyle w:val="Heading1"/>
        <w:ind w:left="0" w:right="82"/>
        <w:rPr>
          <w:lang w:val="en-US"/>
        </w:rPr>
      </w:pPr>
      <w:r w:rsidRPr="00A77904">
        <w:rPr>
          <w:lang w:val="en-US"/>
        </w:rPr>
        <w:t>REFERENCES</w:t>
      </w:r>
    </w:p>
    <w:p w14:paraId="00000096" w14:textId="77777777" w:rsidR="00125CE4" w:rsidRPr="00A77904" w:rsidRDefault="00125CE4">
      <w:pPr>
        <w:pStyle w:val="Heading1"/>
        <w:ind w:firstLine="307"/>
        <w:rPr>
          <w:sz w:val="22"/>
          <w:szCs w:val="22"/>
          <w:lang w:val="en-US"/>
        </w:rPr>
      </w:pPr>
    </w:p>
    <w:p w14:paraId="6D84CAC3" w14:textId="6F4BAE4A" w:rsidR="00A50AED" w:rsidRPr="00A77904" w:rsidRDefault="00A50AED" w:rsidP="00A50AED">
      <w:pPr>
        <w:pStyle w:val="ListParagraph"/>
        <w:numPr>
          <w:ilvl w:val="0"/>
          <w:numId w:val="4"/>
        </w:numPr>
        <w:ind w:left="360"/>
        <w:jc w:val="both"/>
        <w:rPr>
          <w:sz w:val="20"/>
          <w:szCs w:val="20"/>
          <w:lang w:val="en-US"/>
        </w:rPr>
      </w:pPr>
      <w:bookmarkStart w:id="8" w:name="_Hlk209268458"/>
      <w:r w:rsidRPr="00A77904">
        <w:rPr>
          <w:sz w:val="20"/>
          <w:szCs w:val="20"/>
          <w:lang w:val="en-US"/>
        </w:rPr>
        <w:t xml:space="preserve">G. Pizzino, N. Irrera, M. Cucinotta, G. </w:t>
      </w:r>
      <w:proofErr w:type="spellStart"/>
      <w:r w:rsidRPr="00A77904">
        <w:rPr>
          <w:sz w:val="20"/>
          <w:szCs w:val="20"/>
          <w:lang w:val="en-US"/>
        </w:rPr>
        <w:t>Pallio</w:t>
      </w:r>
      <w:proofErr w:type="spellEnd"/>
      <w:r w:rsidRPr="00A77904">
        <w:rPr>
          <w:sz w:val="20"/>
          <w:szCs w:val="20"/>
          <w:lang w:val="en-US"/>
        </w:rPr>
        <w:t xml:space="preserve">, F. Mannino, V. Arcoraci, et al., Oxid. Med. Cell </w:t>
      </w:r>
      <w:proofErr w:type="spellStart"/>
      <w:r w:rsidRPr="00A77904">
        <w:rPr>
          <w:sz w:val="20"/>
          <w:szCs w:val="20"/>
          <w:lang w:val="en-US"/>
        </w:rPr>
        <w:t>Longev</w:t>
      </w:r>
      <w:proofErr w:type="spellEnd"/>
      <w:r w:rsidRPr="00A77904">
        <w:rPr>
          <w:sz w:val="20"/>
          <w:szCs w:val="20"/>
          <w:lang w:val="en-US"/>
        </w:rPr>
        <w:t>. 6510197 (2017).</w:t>
      </w:r>
    </w:p>
    <w:p w14:paraId="7878E4C2"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K. Laili, N. </w:t>
      </w:r>
      <w:proofErr w:type="spellStart"/>
      <w:r w:rsidRPr="00A77904">
        <w:rPr>
          <w:sz w:val="20"/>
          <w:szCs w:val="20"/>
          <w:lang w:val="en-US"/>
        </w:rPr>
        <w:t>Fatati</w:t>
      </w:r>
      <w:proofErr w:type="spellEnd"/>
      <w:r w:rsidRPr="00A77904">
        <w:rPr>
          <w:sz w:val="20"/>
          <w:szCs w:val="20"/>
          <w:lang w:val="en-US"/>
        </w:rPr>
        <w:t xml:space="preserve">, I. </w:t>
      </w:r>
      <w:proofErr w:type="spellStart"/>
      <w:r w:rsidRPr="00A77904">
        <w:rPr>
          <w:sz w:val="20"/>
          <w:szCs w:val="20"/>
          <w:lang w:val="en-US"/>
        </w:rPr>
        <w:t>Fatmawati</w:t>
      </w:r>
      <w:proofErr w:type="spellEnd"/>
      <w:r w:rsidRPr="00A77904">
        <w:rPr>
          <w:sz w:val="20"/>
          <w:szCs w:val="20"/>
          <w:lang w:val="en-US"/>
        </w:rPr>
        <w:t xml:space="preserve">, A.S. Purnomo, S. Mardi, E. Taslim, and S. </w:t>
      </w:r>
      <w:proofErr w:type="spellStart"/>
      <w:r w:rsidRPr="00A77904">
        <w:rPr>
          <w:sz w:val="20"/>
          <w:szCs w:val="20"/>
          <w:lang w:val="en-US"/>
        </w:rPr>
        <w:t>Fatmawati</w:t>
      </w:r>
      <w:proofErr w:type="spellEnd"/>
      <w:r w:rsidRPr="00A77904">
        <w:rPr>
          <w:sz w:val="20"/>
          <w:szCs w:val="20"/>
          <w:lang w:val="en-US"/>
        </w:rPr>
        <w:t xml:space="preserve">, Res. J. Chem. Environ. </w:t>
      </w:r>
      <w:r w:rsidRPr="00A77904">
        <w:rPr>
          <w:b/>
          <w:bCs/>
          <w:sz w:val="20"/>
          <w:szCs w:val="20"/>
          <w:lang w:val="en-US"/>
        </w:rPr>
        <w:t>22</w:t>
      </w:r>
      <w:r w:rsidRPr="00A77904">
        <w:rPr>
          <w:sz w:val="20"/>
          <w:szCs w:val="20"/>
          <w:lang w:val="en-US"/>
        </w:rPr>
        <w:t>, 10 (2018).</w:t>
      </w:r>
    </w:p>
    <w:p w14:paraId="0A2A30C1"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D.A. Putri, A. Ulfi, A.S. Purnomo, and S. </w:t>
      </w:r>
      <w:proofErr w:type="spellStart"/>
      <w:r w:rsidRPr="00A77904">
        <w:rPr>
          <w:sz w:val="20"/>
          <w:szCs w:val="20"/>
          <w:lang w:val="en-US"/>
        </w:rPr>
        <w:t>Fatmawati</w:t>
      </w:r>
      <w:proofErr w:type="spellEnd"/>
      <w:r w:rsidRPr="00A77904">
        <w:rPr>
          <w:sz w:val="20"/>
          <w:szCs w:val="20"/>
          <w:lang w:val="en-US"/>
        </w:rPr>
        <w:t xml:space="preserve">, Malays. J. </w:t>
      </w:r>
      <w:proofErr w:type="spellStart"/>
      <w:r w:rsidRPr="00A77904">
        <w:rPr>
          <w:sz w:val="20"/>
          <w:szCs w:val="20"/>
          <w:lang w:val="en-US"/>
        </w:rPr>
        <w:t>Fundam</w:t>
      </w:r>
      <w:proofErr w:type="spellEnd"/>
      <w:r w:rsidRPr="00A77904">
        <w:rPr>
          <w:sz w:val="20"/>
          <w:szCs w:val="20"/>
          <w:lang w:val="en-US"/>
        </w:rPr>
        <w:t xml:space="preserve">. Appl. Sci. </w:t>
      </w:r>
      <w:r w:rsidRPr="00A77904">
        <w:rPr>
          <w:b/>
          <w:bCs/>
          <w:sz w:val="20"/>
          <w:szCs w:val="20"/>
          <w:lang w:val="en-US"/>
        </w:rPr>
        <w:t>14</w:t>
      </w:r>
      <w:r w:rsidRPr="00A77904">
        <w:rPr>
          <w:sz w:val="20"/>
          <w:szCs w:val="20"/>
          <w:lang w:val="en-US"/>
        </w:rPr>
        <w:t>, 307 (2018).</w:t>
      </w:r>
    </w:p>
    <w:p w14:paraId="08521E25" w14:textId="456A4FC8"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N.R. </w:t>
      </w:r>
      <w:proofErr w:type="spellStart"/>
      <w:r w:rsidRPr="00A77904">
        <w:rPr>
          <w:sz w:val="20"/>
          <w:szCs w:val="20"/>
          <w:lang w:val="en-US"/>
        </w:rPr>
        <w:t>Ramadhania</w:t>
      </w:r>
      <w:proofErr w:type="spellEnd"/>
      <w:r w:rsidRPr="00A77904">
        <w:rPr>
          <w:sz w:val="20"/>
          <w:szCs w:val="20"/>
          <w:lang w:val="en-US"/>
        </w:rPr>
        <w:t xml:space="preserve">, A.S. Purnomo, and S. </w:t>
      </w:r>
      <w:proofErr w:type="spellStart"/>
      <w:r w:rsidRPr="00A77904">
        <w:rPr>
          <w:sz w:val="20"/>
          <w:szCs w:val="20"/>
          <w:lang w:val="en-US"/>
        </w:rPr>
        <w:t>Fatmawati</w:t>
      </w:r>
      <w:proofErr w:type="spellEnd"/>
      <w:r w:rsidRPr="00A77904">
        <w:rPr>
          <w:sz w:val="20"/>
          <w:szCs w:val="20"/>
          <w:lang w:val="en-US"/>
        </w:rPr>
        <w:t>, AIP Conf. Proc. 020045 (2018).</w:t>
      </w:r>
    </w:p>
    <w:p w14:paraId="5AB0F472"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N.R. </w:t>
      </w:r>
      <w:proofErr w:type="spellStart"/>
      <w:r w:rsidRPr="00A77904">
        <w:rPr>
          <w:sz w:val="20"/>
          <w:szCs w:val="20"/>
          <w:lang w:val="en-US"/>
        </w:rPr>
        <w:t>Ramadhania</w:t>
      </w:r>
      <w:proofErr w:type="spellEnd"/>
      <w:r w:rsidRPr="00A77904">
        <w:rPr>
          <w:sz w:val="20"/>
          <w:szCs w:val="20"/>
          <w:lang w:val="en-US"/>
        </w:rPr>
        <w:t xml:space="preserve">, F. Harun, A.S. Purnomo, and S. </w:t>
      </w:r>
      <w:proofErr w:type="spellStart"/>
      <w:r w:rsidRPr="00A77904">
        <w:rPr>
          <w:sz w:val="20"/>
          <w:szCs w:val="20"/>
          <w:lang w:val="en-US"/>
        </w:rPr>
        <w:t>Fatmawati</w:t>
      </w:r>
      <w:proofErr w:type="spellEnd"/>
      <w:r w:rsidRPr="00A77904">
        <w:rPr>
          <w:sz w:val="20"/>
          <w:szCs w:val="20"/>
          <w:lang w:val="en-US"/>
        </w:rPr>
        <w:t xml:space="preserve">, Malays. J. </w:t>
      </w:r>
      <w:proofErr w:type="spellStart"/>
      <w:r w:rsidRPr="00A77904">
        <w:rPr>
          <w:sz w:val="20"/>
          <w:szCs w:val="20"/>
          <w:lang w:val="en-US"/>
        </w:rPr>
        <w:t>Fundam</w:t>
      </w:r>
      <w:proofErr w:type="spellEnd"/>
      <w:r w:rsidRPr="00A77904">
        <w:rPr>
          <w:sz w:val="20"/>
          <w:szCs w:val="20"/>
          <w:lang w:val="en-US"/>
        </w:rPr>
        <w:t xml:space="preserve">. Appl. Sci. </w:t>
      </w:r>
      <w:r w:rsidRPr="00A77904">
        <w:rPr>
          <w:b/>
          <w:bCs/>
          <w:sz w:val="20"/>
          <w:szCs w:val="20"/>
          <w:lang w:val="en-US"/>
        </w:rPr>
        <w:t>15</w:t>
      </w:r>
      <w:r w:rsidRPr="00A77904">
        <w:rPr>
          <w:sz w:val="20"/>
          <w:szCs w:val="20"/>
          <w:lang w:val="en-US"/>
        </w:rPr>
        <w:t>, 194 (2019).</w:t>
      </w:r>
    </w:p>
    <w:p w14:paraId="583186D2"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K. Holil and T.P. </w:t>
      </w:r>
      <w:proofErr w:type="spellStart"/>
      <w:r w:rsidRPr="00A77904">
        <w:rPr>
          <w:sz w:val="20"/>
          <w:szCs w:val="20"/>
          <w:lang w:val="en-US"/>
        </w:rPr>
        <w:t>Griana</w:t>
      </w:r>
      <w:proofErr w:type="spellEnd"/>
      <w:r w:rsidRPr="00A77904">
        <w:rPr>
          <w:sz w:val="20"/>
          <w:szCs w:val="20"/>
          <w:lang w:val="en-US"/>
        </w:rPr>
        <w:t xml:space="preserve">, J. Isl. Pharm. </w:t>
      </w:r>
      <w:r w:rsidRPr="00A77904">
        <w:rPr>
          <w:b/>
          <w:bCs/>
          <w:sz w:val="20"/>
          <w:szCs w:val="20"/>
          <w:lang w:val="en-US"/>
        </w:rPr>
        <w:t>5</w:t>
      </w:r>
      <w:r w:rsidRPr="00A77904">
        <w:rPr>
          <w:sz w:val="20"/>
          <w:szCs w:val="20"/>
          <w:lang w:val="en-US"/>
        </w:rPr>
        <w:t>, 12 (2020).</w:t>
      </w:r>
    </w:p>
    <w:p w14:paraId="5181038A" w14:textId="77777777" w:rsidR="00A50AED" w:rsidRPr="00A77904" w:rsidRDefault="00A50AED" w:rsidP="00A50AED">
      <w:pPr>
        <w:pStyle w:val="ListParagraph"/>
        <w:numPr>
          <w:ilvl w:val="0"/>
          <w:numId w:val="4"/>
        </w:numPr>
        <w:ind w:left="360"/>
        <w:jc w:val="both"/>
        <w:rPr>
          <w:sz w:val="20"/>
          <w:szCs w:val="20"/>
          <w:lang w:val="en-US"/>
        </w:rPr>
      </w:pPr>
      <w:proofErr w:type="spellStart"/>
      <w:r w:rsidRPr="00A77904">
        <w:rPr>
          <w:sz w:val="20"/>
          <w:szCs w:val="20"/>
          <w:lang w:val="en-US"/>
        </w:rPr>
        <w:t>Nursamsiar</w:t>
      </w:r>
      <w:proofErr w:type="spellEnd"/>
      <w:r w:rsidRPr="00A77904">
        <w:rPr>
          <w:sz w:val="20"/>
          <w:szCs w:val="20"/>
          <w:lang w:val="en-US"/>
        </w:rPr>
        <w:t xml:space="preserve">, </w:t>
      </w:r>
      <w:proofErr w:type="spellStart"/>
      <w:r w:rsidRPr="00A77904">
        <w:rPr>
          <w:sz w:val="20"/>
          <w:szCs w:val="20"/>
          <w:lang w:val="en-US"/>
        </w:rPr>
        <w:t>Marwati</w:t>
      </w:r>
      <w:proofErr w:type="spellEnd"/>
      <w:r w:rsidRPr="00A77904">
        <w:rPr>
          <w:sz w:val="20"/>
          <w:szCs w:val="20"/>
          <w:lang w:val="en-US"/>
        </w:rPr>
        <w:t xml:space="preserve">, F.J. Sami, S. Nur, H. </w:t>
      </w:r>
      <w:proofErr w:type="spellStart"/>
      <w:r w:rsidRPr="00A77904">
        <w:rPr>
          <w:sz w:val="20"/>
          <w:szCs w:val="20"/>
          <w:lang w:val="en-US"/>
        </w:rPr>
        <w:t>Kasmawati</w:t>
      </w:r>
      <w:proofErr w:type="spellEnd"/>
      <w:r w:rsidRPr="00A77904">
        <w:rPr>
          <w:sz w:val="20"/>
          <w:szCs w:val="20"/>
          <w:lang w:val="en-US"/>
        </w:rPr>
        <w:t xml:space="preserve">, and A. </w:t>
      </w:r>
      <w:proofErr w:type="spellStart"/>
      <w:r w:rsidRPr="00A77904">
        <w:rPr>
          <w:sz w:val="20"/>
          <w:szCs w:val="20"/>
          <w:lang w:val="en-US"/>
        </w:rPr>
        <w:t>Asnawi</w:t>
      </w:r>
      <w:proofErr w:type="spellEnd"/>
      <w:r w:rsidRPr="00A77904">
        <w:rPr>
          <w:sz w:val="20"/>
          <w:szCs w:val="20"/>
          <w:lang w:val="en-US"/>
        </w:rPr>
        <w:t xml:space="preserve">, </w:t>
      </w:r>
      <w:proofErr w:type="spellStart"/>
      <w:r w:rsidRPr="00A77904">
        <w:rPr>
          <w:sz w:val="20"/>
          <w:szCs w:val="20"/>
          <w:lang w:val="en-US"/>
        </w:rPr>
        <w:t>Penelit</w:t>
      </w:r>
      <w:proofErr w:type="spellEnd"/>
      <w:r w:rsidRPr="00A77904">
        <w:rPr>
          <w:sz w:val="20"/>
          <w:szCs w:val="20"/>
          <w:lang w:val="en-US"/>
        </w:rPr>
        <w:t xml:space="preserve">. </w:t>
      </w:r>
      <w:proofErr w:type="spellStart"/>
      <w:r w:rsidRPr="00A77904">
        <w:rPr>
          <w:sz w:val="20"/>
          <w:szCs w:val="20"/>
          <w:lang w:val="en-US"/>
        </w:rPr>
        <w:t>Pendidik</w:t>
      </w:r>
      <w:proofErr w:type="spellEnd"/>
      <w:r w:rsidRPr="00A77904">
        <w:rPr>
          <w:sz w:val="20"/>
          <w:szCs w:val="20"/>
          <w:lang w:val="en-US"/>
        </w:rPr>
        <w:t xml:space="preserve">. IPA </w:t>
      </w:r>
      <w:r w:rsidRPr="00A77904">
        <w:rPr>
          <w:b/>
          <w:bCs/>
          <w:sz w:val="20"/>
          <w:szCs w:val="20"/>
          <w:lang w:val="en-US"/>
        </w:rPr>
        <w:t>11</w:t>
      </w:r>
      <w:r w:rsidRPr="00A77904">
        <w:rPr>
          <w:sz w:val="20"/>
          <w:szCs w:val="20"/>
          <w:lang w:val="en-US"/>
        </w:rPr>
        <w:t>, 55 (2025).</w:t>
      </w:r>
    </w:p>
    <w:p w14:paraId="0DF7523F"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P. Sari, P. Sugita, and A. Santoso, J. Jamu </w:t>
      </w:r>
      <w:proofErr w:type="spellStart"/>
      <w:r w:rsidRPr="00A77904">
        <w:rPr>
          <w:sz w:val="20"/>
          <w:szCs w:val="20"/>
          <w:lang w:val="en-US"/>
        </w:rPr>
        <w:t>Indones</w:t>
      </w:r>
      <w:proofErr w:type="spellEnd"/>
      <w:r w:rsidRPr="00A77904">
        <w:rPr>
          <w:sz w:val="20"/>
          <w:szCs w:val="20"/>
          <w:lang w:val="en-US"/>
        </w:rPr>
        <w:t xml:space="preserve">. </w:t>
      </w:r>
      <w:r w:rsidRPr="00A77904">
        <w:rPr>
          <w:b/>
          <w:bCs/>
          <w:sz w:val="20"/>
          <w:szCs w:val="20"/>
          <w:lang w:val="en-US"/>
        </w:rPr>
        <w:t>4</w:t>
      </w:r>
      <w:r w:rsidRPr="00A77904">
        <w:rPr>
          <w:sz w:val="20"/>
          <w:szCs w:val="20"/>
          <w:lang w:val="en-US"/>
        </w:rPr>
        <w:t>, 112 (2019).</w:t>
      </w:r>
    </w:p>
    <w:p w14:paraId="652FD5A0"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R. </w:t>
      </w:r>
      <w:proofErr w:type="spellStart"/>
      <w:r w:rsidRPr="00A77904">
        <w:rPr>
          <w:sz w:val="20"/>
          <w:szCs w:val="20"/>
          <w:lang w:val="en-US"/>
        </w:rPr>
        <w:t>Febriani</w:t>
      </w:r>
      <w:proofErr w:type="spellEnd"/>
      <w:r w:rsidRPr="00A77904">
        <w:rPr>
          <w:sz w:val="20"/>
          <w:szCs w:val="20"/>
          <w:lang w:val="en-US"/>
        </w:rPr>
        <w:t xml:space="preserve">, A.M. Salasa, and St. </w:t>
      </w:r>
      <w:proofErr w:type="spellStart"/>
      <w:r w:rsidRPr="00A77904">
        <w:rPr>
          <w:sz w:val="20"/>
          <w:szCs w:val="20"/>
          <w:lang w:val="en-US"/>
        </w:rPr>
        <w:t>Ratnah</w:t>
      </w:r>
      <w:proofErr w:type="spellEnd"/>
      <w:r w:rsidRPr="00A77904">
        <w:rPr>
          <w:sz w:val="20"/>
          <w:szCs w:val="20"/>
          <w:lang w:val="en-US"/>
        </w:rPr>
        <w:t xml:space="preserve">, J. </w:t>
      </w:r>
      <w:proofErr w:type="spellStart"/>
      <w:r w:rsidRPr="00A77904">
        <w:rPr>
          <w:sz w:val="20"/>
          <w:szCs w:val="20"/>
          <w:lang w:val="en-US"/>
        </w:rPr>
        <w:t>Pharmascience</w:t>
      </w:r>
      <w:proofErr w:type="spellEnd"/>
      <w:r w:rsidRPr="00A77904">
        <w:rPr>
          <w:sz w:val="20"/>
          <w:szCs w:val="20"/>
          <w:lang w:val="en-US"/>
        </w:rPr>
        <w:t xml:space="preserve"> </w:t>
      </w:r>
      <w:r w:rsidRPr="00A77904">
        <w:rPr>
          <w:b/>
          <w:bCs/>
          <w:sz w:val="20"/>
          <w:szCs w:val="20"/>
          <w:lang w:val="en-US"/>
        </w:rPr>
        <w:t>11</w:t>
      </w:r>
      <w:r w:rsidRPr="00A77904">
        <w:rPr>
          <w:sz w:val="20"/>
          <w:szCs w:val="20"/>
          <w:lang w:val="en-US"/>
        </w:rPr>
        <w:t>, 88 (2024).</w:t>
      </w:r>
    </w:p>
    <w:p w14:paraId="38A448F2"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P. Vanaja, N.S.H.N. Moorthy, V.S. Rajpoot, et al., Front. Mol. </w:t>
      </w:r>
      <w:proofErr w:type="spellStart"/>
      <w:r w:rsidRPr="00A77904">
        <w:rPr>
          <w:sz w:val="20"/>
          <w:szCs w:val="20"/>
          <w:lang w:val="en-US"/>
        </w:rPr>
        <w:t>Biosci</w:t>
      </w:r>
      <w:proofErr w:type="spellEnd"/>
      <w:r w:rsidRPr="00A77904">
        <w:rPr>
          <w:sz w:val="20"/>
          <w:szCs w:val="20"/>
          <w:lang w:val="en-US"/>
        </w:rPr>
        <w:t xml:space="preserve">. </w:t>
      </w:r>
      <w:r w:rsidRPr="00A77904">
        <w:rPr>
          <w:b/>
          <w:bCs/>
          <w:sz w:val="20"/>
          <w:szCs w:val="20"/>
          <w:lang w:val="en-US"/>
        </w:rPr>
        <w:t>12</w:t>
      </w:r>
      <w:r w:rsidRPr="00A77904">
        <w:rPr>
          <w:sz w:val="20"/>
          <w:szCs w:val="20"/>
          <w:lang w:val="en-US"/>
        </w:rPr>
        <w:t>, 1543939 (2025).</w:t>
      </w:r>
    </w:p>
    <w:p w14:paraId="5E2C7533"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R.K. Sahu, B. Kumar, R. Singh, et al., Asian Pac. J. Cancer Prev. </w:t>
      </w:r>
      <w:r w:rsidRPr="00A77904">
        <w:rPr>
          <w:b/>
          <w:bCs/>
          <w:sz w:val="20"/>
          <w:szCs w:val="20"/>
          <w:lang w:val="en-US"/>
        </w:rPr>
        <w:t>23</w:t>
      </w:r>
      <w:r w:rsidRPr="00A77904">
        <w:rPr>
          <w:sz w:val="20"/>
          <w:szCs w:val="20"/>
          <w:lang w:val="en-US"/>
        </w:rPr>
        <w:t>, 15 (2022).</w:t>
      </w:r>
    </w:p>
    <w:p w14:paraId="7A8F2402" w14:textId="77777777" w:rsidR="00A50AED" w:rsidRPr="00A77904" w:rsidRDefault="00A50AED" w:rsidP="00A50AED">
      <w:pPr>
        <w:pStyle w:val="ListParagraph"/>
        <w:numPr>
          <w:ilvl w:val="0"/>
          <w:numId w:val="4"/>
        </w:numPr>
        <w:ind w:left="360"/>
        <w:jc w:val="both"/>
        <w:rPr>
          <w:sz w:val="20"/>
          <w:szCs w:val="20"/>
          <w:lang w:val="en-US"/>
        </w:rPr>
      </w:pPr>
      <w:proofErr w:type="spellStart"/>
      <w:r w:rsidRPr="00A77904">
        <w:rPr>
          <w:sz w:val="20"/>
          <w:szCs w:val="20"/>
          <w:lang w:val="en-US"/>
        </w:rPr>
        <w:t>Nursamsiar</w:t>
      </w:r>
      <w:proofErr w:type="spellEnd"/>
      <w:r w:rsidRPr="00A77904">
        <w:rPr>
          <w:sz w:val="20"/>
          <w:szCs w:val="20"/>
          <w:lang w:val="en-US"/>
        </w:rPr>
        <w:t xml:space="preserve">, </w:t>
      </w:r>
      <w:proofErr w:type="spellStart"/>
      <w:r w:rsidRPr="00A77904">
        <w:rPr>
          <w:sz w:val="20"/>
          <w:szCs w:val="20"/>
          <w:lang w:val="en-US"/>
        </w:rPr>
        <w:t>Marwati</w:t>
      </w:r>
      <w:proofErr w:type="spellEnd"/>
      <w:r w:rsidRPr="00A77904">
        <w:rPr>
          <w:sz w:val="20"/>
          <w:szCs w:val="20"/>
          <w:lang w:val="en-US"/>
        </w:rPr>
        <w:t xml:space="preserve">, Khairuddin, et al., J. Pharm. </w:t>
      </w:r>
      <w:proofErr w:type="spellStart"/>
      <w:r w:rsidRPr="00A77904">
        <w:rPr>
          <w:sz w:val="20"/>
          <w:szCs w:val="20"/>
          <w:lang w:val="en-US"/>
        </w:rPr>
        <w:t>Pharmacogn</w:t>
      </w:r>
      <w:proofErr w:type="spellEnd"/>
      <w:r w:rsidRPr="00A77904">
        <w:rPr>
          <w:sz w:val="20"/>
          <w:szCs w:val="20"/>
          <w:lang w:val="en-US"/>
        </w:rPr>
        <w:t xml:space="preserve">. Res. </w:t>
      </w:r>
      <w:r w:rsidRPr="00A77904">
        <w:rPr>
          <w:b/>
          <w:bCs/>
          <w:sz w:val="20"/>
          <w:szCs w:val="20"/>
          <w:lang w:val="en-US"/>
        </w:rPr>
        <w:t>13</w:t>
      </w:r>
      <w:r w:rsidRPr="00A77904">
        <w:rPr>
          <w:sz w:val="20"/>
          <w:szCs w:val="20"/>
          <w:lang w:val="en-US"/>
        </w:rPr>
        <w:t>, 101 (2025).</w:t>
      </w:r>
    </w:p>
    <w:p w14:paraId="459B9FDB" w14:textId="44881515"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E. </w:t>
      </w:r>
      <w:proofErr w:type="spellStart"/>
      <w:r w:rsidRPr="00A77904">
        <w:rPr>
          <w:sz w:val="20"/>
          <w:szCs w:val="20"/>
          <w:lang w:val="en-US"/>
        </w:rPr>
        <w:t>Kipimbob</w:t>
      </w:r>
      <w:proofErr w:type="spellEnd"/>
      <w:r w:rsidRPr="00A77904">
        <w:rPr>
          <w:sz w:val="20"/>
          <w:szCs w:val="20"/>
          <w:lang w:val="en-US"/>
        </w:rPr>
        <w:t xml:space="preserve">, R. Bara, P.M. Wowor, and J. </w:t>
      </w:r>
      <w:proofErr w:type="spellStart"/>
      <w:r w:rsidRPr="00A77904">
        <w:rPr>
          <w:sz w:val="20"/>
          <w:szCs w:val="20"/>
          <w:lang w:val="en-US"/>
        </w:rPr>
        <w:t>Posangi</w:t>
      </w:r>
      <w:proofErr w:type="spellEnd"/>
      <w:r w:rsidRPr="00A77904">
        <w:rPr>
          <w:sz w:val="20"/>
          <w:szCs w:val="20"/>
          <w:lang w:val="en-US"/>
        </w:rPr>
        <w:t>, J. e-</w:t>
      </w:r>
      <w:proofErr w:type="spellStart"/>
      <w:r w:rsidRPr="00A77904">
        <w:rPr>
          <w:sz w:val="20"/>
          <w:szCs w:val="20"/>
          <w:lang w:val="en-US"/>
        </w:rPr>
        <w:t>Biomedik</w:t>
      </w:r>
      <w:proofErr w:type="spellEnd"/>
      <w:r w:rsidR="00DE7B14" w:rsidRPr="00A77904">
        <w:rPr>
          <w:sz w:val="20"/>
          <w:szCs w:val="20"/>
          <w:lang w:val="en-US"/>
        </w:rPr>
        <w:t>.</w:t>
      </w:r>
      <w:r w:rsidRPr="00A77904">
        <w:rPr>
          <w:sz w:val="20"/>
          <w:szCs w:val="20"/>
          <w:lang w:val="en-US"/>
        </w:rPr>
        <w:t xml:space="preserve"> </w:t>
      </w:r>
      <w:r w:rsidRPr="00A77904">
        <w:rPr>
          <w:b/>
          <w:bCs/>
          <w:sz w:val="20"/>
          <w:szCs w:val="20"/>
          <w:lang w:val="en-US"/>
        </w:rPr>
        <w:t>7</w:t>
      </w:r>
      <w:r w:rsidRPr="00A77904">
        <w:rPr>
          <w:sz w:val="20"/>
          <w:szCs w:val="20"/>
          <w:lang w:val="en-US"/>
        </w:rPr>
        <w:t>, 55 (2018).</w:t>
      </w:r>
    </w:p>
    <w:p w14:paraId="04AC250C" w14:textId="1A839216"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B. </w:t>
      </w:r>
      <w:proofErr w:type="spellStart"/>
      <w:r w:rsidRPr="00A77904">
        <w:rPr>
          <w:sz w:val="20"/>
          <w:szCs w:val="20"/>
          <w:lang w:val="en-US"/>
        </w:rPr>
        <w:t>Manguntungi</w:t>
      </w:r>
      <w:proofErr w:type="spellEnd"/>
      <w:r w:rsidRPr="00A77904">
        <w:rPr>
          <w:sz w:val="20"/>
          <w:szCs w:val="20"/>
          <w:lang w:val="en-US"/>
        </w:rPr>
        <w:t xml:space="preserve">, A.B. Kusuma, and D. </w:t>
      </w:r>
      <w:proofErr w:type="spellStart"/>
      <w:r w:rsidRPr="00A77904">
        <w:rPr>
          <w:sz w:val="20"/>
          <w:szCs w:val="20"/>
          <w:lang w:val="en-US"/>
        </w:rPr>
        <w:t>Yunianti</w:t>
      </w:r>
      <w:proofErr w:type="spellEnd"/>
      <w:r w:rsidRPr="00A77904">
        <w:rPr>
          <w:sz w:val="20"/>
          <w:szCs w:val="20"/>
          <w:lang w:val="en-US"/>
        </w:rPr>
        <w:t>, Biota</w:t>
      </w:r>
      <w:r w:rsidR="00DE7B14" w:rsidRPr="00A77904">
        <w:rPr>
          <w:sz w:val="20"/>
          <w:szCs w:val="20"/>
          <w:lang w:val="en-US"/>
        </w:rPr>
        <w:t>.</w:t>
      </w:r>
      <w:r w:rsidRPr="00A77904">
        <w:rPr>
          <w:sz w:val="20"/>
          <w:szCs w:val="20"/>
          <w:lang w:val="en-US"/>
        </w:rPr>
        <w:t xml:space="preserve"> </w:t>
      </w:r>
      <w:r w:rsidRPr="00A77904">
        <w:rPr>
          <w:b/>
          <w:bCs/>
          <w:sz w:val="20"/>
          <w:szCs w:val="20"/>
          <w:lang w:val="en-US"/>
        </w:rPr>
        <w:t>1</w:t>
      </w:r>
      <w:r w:rsidRPr="00A77904">
        <w:rPr>
          <w:sz w:val="20"/>
          <w:szCs w:val="20"/>
          <w:lang w:val="en-US"/>
        </w:rPr>
        <w:t>, 33 (2016).</w:t>
      </w:r>
    </w:p>
    <w:p w14:paraId="3CC8EFE0" w14:textId="75B5CCFA"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D.R. Ningsih, </w:t>
      </w:r>
      <w:proofErr w:type="spellStart"/>
      <w:r w:rsidRPr="00A77904">
        <w:rPr>
          <w:sz w:val="20"/>
          <w:szCs w:val="20"/>
          <w:lang w:val="en-US"/>
        </w:rPr>
        <w:t>Zusfahair</w:t>
      </w:r>
      <w:proofErr w:type="spellEnd"/>
      <w:r w:rsidRPr="00A77904">
        <w:rPr>
          <w:sz w:val="20"/>
          <w:szCs w:val="20"/>
          <w:lang w:val="en-US"/>
        </w:rPr>
        <w:t xml:space="preserve">, and D. Kartika, </w:t>
      </w:r>
      <w:proofErr w:type="spellStart"/>
      <w:r w:rsidRPr="00A77904">
        <w:rPr>
          <w:sz w:val="20"/>
          <w:szCs w:val="20"/>
          <w:lang w:val="en-US"/>
        </w:rPr>
        <w:t>Moleku</w:t>
      </w:r>
      <w:r w:rsidR="00DE7B14" w:rsidRPr="00A77904">
        <w:rPr>
          <w:sz w:val="20"/>
          <w:szCs w:val="20"/>
          <w:lang w:val="en-US"/>
        </w:rPr>
        <w:t>l</w:t>
      </w:r>
      <w:proofErr w:type="spellEnd"/>
      <w:r w:rsidR="00DE7B14" w:rsidRPr="00A77904">
        <w:rPr>
          <w:sz w:val="20"/>
          <w:szCs w:val="20"/>
          <w:lang w:val="en-US"/>
        </w:rPr>
        <w:t>.</w:t>
      </w:r>
      <w:r w:rsidRPr="00A77904">
        <w:rPr>
          <w:sz w:val="20"/>
          <w:szCs w:val="20"/>
          <w:lang w:val="en-US"/>
        </w:rPr>
        <w:t xml:space="preserve"> </w:t>
      </w:r>
      <w:r w:rsidRPr="00A77904">
        <w:rPr>
          <w:b/>
          <w:bCs/>
          <w:sz w:val="20"/>
          <w:szCs w:val="20"/>
          <w:lang w:val="en-US"/>
        </w:rPr>
        <w:t>11</w:t>
      </w:r>
      <w:r w:rsidRPr="00A77904">
        <w:rPr>
          <w:sz w:val="20"/>
          <w:szCs w:val="20"/>
          <w:lang w:val="en-US"/>
        </w:rPr>
        <w:t>, 101 (2016).</w:t>
      </w:r>
    </w:p>
    <w:p w14:paraId="1EC34D4E" w14:textId="339D9E39"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A. </w:t>
      </w:r>
      <w:proofErr w:type="spellStart"/>
      <w:r w:rsidRPr="00A77904">
        <w:rPr>
          <w:sz w:val="20"/>
          <w:szCs w:val="20"/>
          <w:lang w:val="en-US"/>
        </w:rPr>
        <w:t>Fajrina</w:t>
      </w:r>
      <w:proofErr w:type="spellEnd"/>
      <w:r w:rsidRPr="00A77904">
        <w:rPr>
          <w:sz w:val="20"/>
          <w:szCs w:val="20"/>
          <w:lang w:val="en-US"/>
        </w:rPr>
        <w:t xml:space="preserve">, D. Dinni, A. </w:t>
      </w:r>
      <w:proofErr w:type="spellStart"/>
      <w:r w:rsidRPr="00A77904">
        <w:rPr>
          <w:sz w:val="20"/>
          <w:szCs w:val="20"/>
          <w:lang w:val="en-US"/>
        </w:rPr>
        <w:t>Bakhtra</w:t>
      </w:r>
      <w:proofErr w:type="spellEnd"/>
      <w:r w:rsidRPr="00A77904">
        <w:rPr>
          <w:sz w:val="20"/>
          <w:szCs w:val="20"/>
          <w:lang w:val="en-US"/>
        </w:rPr>
        <w:t xml:space="preserve">, and Y. </w:t>
      </w:r>
      <w:proofErr w:type="spellStart"/>
      <w:r w:rsidRPr="00A77904">
        <w:rPr>
          <w:sz w:val="20"/>
          <w:szCs w:val="20"/>
          <w:lang w:val="en-US"/>
        </w:rPr>
        <w:t>Irenda</w:t>
      </w:r>
      <w:proofErr w:type="spellEnd"/>
      <w:r w:rsidRPr="00A77904">
        <w:rPr>
          <w:sz w:val="20"/>
          <w:szCs w:val="20"/>
          <w:lang w:val="en-US"/>
        </w:rPr>
        <w:t>, J. Farm. Higea</w:t>
      </w:r>
      <w:r w:rsidR="00DE7B14" w:rsidRPr="00A77904">
        <w:rPr>
          <w:sz w:val="20"/>
          <w:szCs w:val="20"/>
          <w:lang w:val="en-US"/>
        </w:rPr>
        <w:t>.</w:t>
      </w:r>
      <w:r w:rsidRPr="00A77904">
        <w:rPr>
          <w:sz w:val="20"/>
          <w:szCs w:val="20"/>
          <w:lang w:val="en-US"/>
        </w:rPr>
        <w:t xml:space="preserve"> </w:t>
      </w:r>
      <w:r w:rsidRPr="00A77904">
        <w:rPr>
          <w:b/>
          <w:bCs/>
          <w:sz w:val="20"/>
          <w:szCs w:val="20"/>
          <w:lang w:val="en-US"/>
        </w:rPr>
        <w:t>10</w:t>
      </w:r>
      <w:r w:rsidRPr="00A77904">
        <w:rPr>
          <w:sz w:val="20"/>
          <w:szCs w:val="20"/>
          <w:lang w:val="en-US"/>
        </w:rPr>
        <w:t>, 85 (2018).</w:t>
      </w:r>
    </w:p>
    <w:p w14:paraId="51A75B91"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N. Dewi and I. Wijayanti, J. Fish. Sci. Technol. </w:t>
      </w:r>
      <w:r w:rsidRPr="00A77904">
        <w:rPr>
          <w:b/>
          <w:bCs/>
          <w:sz w:val="20"/>
          <w:szCs w:val="20"/>
          <w:lang w:val="en-US"/>
        </w:rPr>
        <w:t>13</w:t>
      </w:r>
      <w:r w:rsidRPr="00A77904">
        <w:rPr>
          <w:sz w:val="20"/>
          <w:szCs w:val="20"/>
          <w:lang w:val="en-US"/>
        </w:rPr>
        <w:t>, 21 (2017).</w:t>
      </w:r>
    </w:p>
    <w:p w14:paraId="300037CF"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R.D. </w:t>
      </w:r>
      <w:proofErr w:type="spellStart"/>
      <w:r w:rsidRPr="00A77904">
        <w:rPr>
          <w:sz w:val="20"/>
          <w:szCs w:val="20"/>
          <w:lang w:val="en-US"/>
        </w:rPr>
        <w:t>Pangesti</w:t>
      </w:r>
      <w:proofErr w:type="spellEnd"/>
      <w:r w:rsidRPr="00A77904">
        <w:rPr>
          <w:sz w:val="20"/>
          <w:szCs w:val="20"/>
          <w:lang w:val="en-US"/>
        </w:rPr>
        <w:t xml:space="preserve">, E. Cahyono, and E. Kusumo, </w:t>
      </w:r>
      <w:proofErr w:type="spellStart"/>
      <w:r w:rsidRPr="00A77904">
        <w:rPr>
          <w:sz w:val="20"/>
          <w:szCs w:val="20"/>
          <w:lang w:val="en-US"/>
        </w:rPr>
        <w:t>Indones</w:t>
      </w:r>
      <w:proofErr w:type="spellEnd"/>
      <w:r w:rsidRPr="00A77904">
        <w:rPr>
          <w:sz w:val="20"/>
          <w:szCs w:val="20"/>
          <w:lang w:val="en-US"/>
        </w:rPr>
        <w:t xml:space="preserve">. J. Chem. Sci. </w:t>
      </w:r>
      <w:r w:rsidRPr="00A77904">
        <w:rPr>
          <w:b/>
          <w:bCs/>
          <w:sz w:val="20"/>
          <w:szCs w:val="20"/>
          <w:lang w:val="en-US"/>
        </w:rPr>
        <w:t>6</w:t>
      </w:r>
      <w:r w:rsidRPr="00A77904">
        <w:rPr>
          <w:sz w:val="20"/>
          <w:szCs w:val="20"/>
          <w:lang w:val="en-US"/>
        </w:rPr>
        <w:t>, 155 (2017).</w:t>
      </w:r>
    </w:p>
    <w:p w14:paraId="197FFD89"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lastRenderedPageBreak/>
        <w:t xml:space="preserve">X. Ma, L. Zhang, Y. Ren, H. Yun, H. Cui, Q. Li, et al., Appl. Environ. </w:t>
      </w:r>
      <w:proofErr w:type="spellStart"/>
      <w:r w:rsidRPr="00A77904">
        <w:rPr>
          <w:sz w:val="20"/>
          <w:szCs w:val="20"/>
          <w:lang w:val="en-US"/>
        </w:rPr>
        <w:t>Microbiol</w:t>
      </w:r>
      <w:proofErr w:type="spellEnd"/>
      <w:r w:rsidRPr="00A77904">
        <w:rPr>
          <w:sz w:val="20"/>
          <w:szCs w:val="20"/>
          <w:lang w:val="en-US"/>
        </w:rPr>
        <w:t xml:space="preserve">. </w:t>
      </w:r>
      <w:r w:rsidRPr="00A77904">
        <w:rPr>
          <w:b/>
          <w:bCs/>
          <w:sz w:val="20"/>
          <w:szCs w:val="20"/>
          <w:lang w:val="en-US"/>
        </w:rPr>
        <w:t>89</w:t>
      </w:r>
      <w:r w:rsidRPr="00A77904">
        <w:rPr>
          <w:sz w:val="20"/>
          <w:szCs w:val="20"/>
          <w:lang w:val="en-US"/>
        </w:rPr>
        <w:t>, e01234 (2023).</w:t>
      </w:r>
    </w:p>
    <w:p w14:paraId="257A50C1" w14:textId="5A858F46"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F. </w:t>
      </w:r>
      <w:proofErr w:type="spellStart"/>
      <w:r w:rsidRPr="00A77904">
        <w:rPr>
          <w:sz w:val="20"/>
          <w:szCs w:val="20"/>
          <w:lang w:val="en-US"/>
        </w:rPr>
        <w:t>Feliatra</w:t>
      </w:r>
      <w:proofErr w:type="spellEnd"/>
      <w:r w:rsidRPr="00A77904">
        <w:rPr>
          <w:sz w:val="20"/>
          <w:szCs w:val="20"/>
          <w:lang w:val="en-US"/>
        </w:rPr>
        <w:t xml:space="preserve">, J. </w:t>
      </w:r>
      <w:proofErr w:type="spellStart"/>
      <w:r w:rsidRPr="00A77904">
        <w:rPr>
          <w:sz w:val="20"/>
          <w:szCs w:val="20"/>
          <w:lang w:val="en-US"/>
        </w:rPr>
        <w:t>Setiaji</w:t>
      </w:r>
      <w:proofErr w:type="spellEnd"/>
      <w:r w:rsidRPr="00A77904">
        <w:rPr>
          <w:sz w:val="20"/>
          <w:szCs w:val="20"/>
          <w:lang w:val="en-US"/>
        </w:rPr>
        <w:t xml:space="preserve">, H.Y. Teruna, I. </w:t>
      </w:r>
      <w:proofErr w:type="spellStart"/>
      <w:r w:rsidRPr="00A77904">
        <w:rPr>
          <w:sz w:val="20"/>
          <w:szCs w:val="20"/>
          <w:lang w:val="en-US"/>
        </w:rPr>
        <w:t>Lukistyowati</w:t>
      </w:r>
      <w:proofErr w:type="spellEnd"/>
      <w:r w:rsidRPr="00A77904">
        <w:rPr>
          <w:sz w:val="20"/>
          <w:szCs w:val="20"/>
          <w:lang w:val="en-US"/>
        </w:rPr>
        <w:t>, et al., F1000Research</w:t>
      </w:r>
      <w:r w:rsidR="00DE7B14" w:rsidRPr="00A77904">
        <w:rPr>
          <w:sz w:val="20"/>
          <w:szCs w:val="20"/>
          <w:lang w:val="en-US"/>
        </w:rPr>
        <w:t>.</w:t>
      </w:r>
      <w:r w:rsidRPr="00A77904">
        <w:rPr>
          <w:sz w:val="20"/>
          <w:szCs w:val="20"/>
          <w:lang w:val="en-US"/>
        </w:rPr>
        <w:t xml:space="preserve"> </w:t>
      </w:r>
      <w:r w:rsidRPr="00A77904">
        <w:rPr>
          <w:b/>
          <w:bCs/>
          <w:sz w:val="20"/>
          <w:szCs w:val="20"/>
          <w:lang w:val="en-US"/>
        </w:rPr>
        <w:t>9</w:t>
      </w:r>
      <w:r w:rsidRPr="00A77904">
        <w:rPr>
          <w:sz w:val="20"/>
          <w:szCs w:val="20"/>
          <w:lang w:val="en-US"/>
        </w:rPr>
        <w:t>, 155 (2020).</w:t>
      </w:r>
    </w:p>
    <w:p w14:paraId="32737F83"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H. Rao, I. Rao, L. Saeed, H.Y. Aati, S. Aati, M. Zeeshan, et al., Saudi J. Biol. Sci. </w:t>
      </w:r>
      <w:r w:rsidRPr="00A77904">
        <w:rPr>
          <w:b/>
          <w:bCs/>
          <w:sz w:val="20"/>
          <w:szCs w:val="20"/>
          <w:lang w:val="en-US"/>
        </w:rPr>
        <w:t>30</w:t>
      </w:r>
      <w:r w:rsidRPr="00A77904">
        <w:rPr>
          <w:sz w:val="20"/>
          <w:szCs w:val="20"/>
          <w:lang w:val="en-US"/>
        </w:rPr>
        <w:t>, 1055 (2023).</w:t>
      </w:r>
    </w:p>
    <w:p w14:paraId="10DAE019" w14:textId="50D66564"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Y. Yan, X. Li, C. Zhang, et al., Antibiotics</w:t>
      </w:r>
      <w:r w:rsidR="00DE7B14" w:rsidRPr="00A77904">
        <w:rPr>
          <w:sz w:val="20"/>
          <w:szCs w:val="20"/>
          <w:lang w:val="en-US"/>
        </w:rPr>
        <w:t>.</w:t>
      </w:r>
      <w:r w:rsidRPr="00A77904">
        <w:rPr>
          <w:sz w:val="20"/>
          <w:szCs w:val="20"/>
          <w:lang w:val="en-US"/>
        </w:rPr>
        <w:t xml:space="preserve"> </w:t>
      </w:r>
      <w:r w:rsidRPr="00A77904">
        <w:rPr>
          <w:b/>
          <w:bCs/>
          <w:sz w:val="20"/>
          <w:szCs w:val="20"/>
          <w:lang w:val="en-US"/>
        </w:rPr>
        <w:t>10</w:t>
      </w:r>
      <w:r w:rsidRPr="00A77904">
        <w:rPr>
          <w:sz w:val="20"/>
          <w:szCs w:val="20"/>
          <w:lang w:val="en-US"/>
        </w:rPr>
        <w:t>, 318 (2021).</w:t>
      </w:r>
    </w:p>
    <w:p w14:paraId="6DC8B6A0"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Clinical and Laboratory Standards Institute, </w:t>
      </w:r>
      <w:r w:rsidRPr="00A77904">
        <w:rPr>
          <w:i/>
          <w:iCs/>
          <w:sz w:val="20"/>
          <w:szCs w:val="20"/>
          <w:lang w:val="en-US"/>
        </w:rPr>
        <w:t>Performance Standards for Antimicrobial Susceptibility Testing; Twenty-Third Informational Supplement</w:t>
      </w:r>
      <w:r w:rsidRPr="00A77904">
        <w:rPr>
          <w:sz w:val="20"/>
          <w:szCs w:val="20"/>
          <w:lang w:val="en-US"/>
        </w:rPr>
        <w:t>, CLSI document M100-S23 (Clinical and Laboratory Standards Institute, 2013).</w:t>
      </w:r>
    </w:p>
    <w:p w14:paraId="190ACB52"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R.T. Polez, M.A. Ajiboye, M. Österberg, and M.M. Horn, Int. J. Biol. </w:t>
      </w:r>
      <w:proofErr w:type="spellStart"/>
      <w:r w:rsidRPr="00A77904">
        <w:rPr>
          <w:sz w:val="20"/>
          <w:szCs w:val="20"/>
          <w:lang w:val="en-US"/>
        </w:rPr>
        <w:t>Macromol</w:t>
      </w:r>
      <w:proofErr w:type="spellEnd"/>
      <w:r w:rsidRPr="00A77904">
        <w:rPr>
          <w:sz w:val="20"/>
          <w:szCs w:val="20"/>
          <w:lang w:val="en-US"/>
        </w:rPr>
        <w:t xml:space="preserve">. </w:t>
      </w:r>
      <w:r w:rsidRPr="00A77904">
        <w:rPr>
          <w:b/>
          <w:bCs/>
          <w:sz w:val="20"/>
          <w:szCs w:val="20"/>
          <w:lang w:val="en-US"/>
        </w:rPr>
        <w:t>265</w:t>
      </w:r>
      <w:r w:rsidRPr="00A77904">
        <w:rPr>
          <w:sz w:val="20"/>
          <w:szCs w:val="20"/>
          <w:lang w:val="en-US"/>
        </w:rPr>
        <w:t>, 125 (2024).</w:t>
      </w:r>
    </w:p>
    <w:p w14:paraId="4A86EB99" w14:textId="77777777"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F. </w:t>
      </w:r>
      <w:proofErr w:type="spellStart"/>
      <w:r w:rsidRPr="00A77904">
        <w:rPr>
          <w:sz w:val="20"/>
          <w:szCs w:val="20"/>
          <w:lang w:val="en-US"/>
        </w:rPr>
        <w:t>Auwaliyah</w:t>
      </w:r>
      <w:proofErr w:type="spellEnd"/>
      <w:r w:rsidRPr="00A77904">
        <w:rPr>
          <w:sz w:val="20"/>
          <w:szCs w:val="20"/>
          <w:lang w:val="en-US"/>
        </w:rPr>
        <w:t xml:space="preserve">, H.D. </w:t>
      </w:r>
      <w:proofErr w:type="spellStart"/>
      <w:r w:rsidRPr="00A77904">
        <w:rPr>
          <w:sz w:val="20"/>
          <w:szCs w:val="20"/>
          <w:lang w:val="en-US"/>
        </w:rPr>
        <w:t>Rizqi</w:t>
      </w:r>
      <w:proofErr w:type="spellEnd"/>
      <w:r w:rsidRPr="00A77904">
        <w:rPr>
          <w:sz w:val="20"/>
          <w:szCs w:val="20"/>
          <w:lang w:val="en-US"/>
        </w:rPr>
        <w:t xml:space="preserve">, A.S. Purnomo, and S. </w:t>
      </w:r>
      <w:proofErr w:type="spellStart"/>
      <w:r w:rsidRPr="00A77904">
        <w:rPr>
          <w:sz w:val="20"/>
          <w:szCs w:val="20"/>
          <w:lang w:val="en-US"/>
        </w:rPr>
        <w:t>Fatmawati</w:t>
      </w:r>
      <w:proofErr w:type="spellEnd"/>
      <w:r w:rsidRPr="00A77904">
        <w:rPr>
          <w:sz w:val="20"/>
          <w:szCs w:val="20"/>
          <w:lang w:val="en-US"/>
        </w:rPr>
        <w:t xml:space="preserve">, Malays. J. </w:t>
      </w:r>
      <w:proofErr w:type="spellStart"/>
      <w:r w:rsidRPr="00A77904">
        <w:rPr>
          <w:sz w:val="20"/>
          <w:szCs w:val="20"/>
          <w:lang w:val="en-US"/>
        </w:rPr>
        <w:t>Fundam</w:t>
      </w:r>
      <w:proofErr w:type="spellEnd"/>
      <w:r w:rsidRPr="00A77904">
        <w:rPr>
          <w:sz w:val="20"/>
          <w:szCs w:val="20"/>
          <w:lang w:val="en-US"/>
        </w:rPr>
        <w:t xml:space="preserve">. Appl. Sci. </w:t>
      </w:r>
      <w:r w:rsidRPr="00A77904">
        <w:rPr>
          <w:b/>
          <w:bCs/>
          <w:sz w:val="20"/>
          <w:szCs w:val="20"/>
          <w:lang w:val="en-US"/>
        </w:rPr>
        <w:t>15</w:t>
      </w:r>
      <w:r w:rsidRPr="00A77904">
        <w:rPr>
          <w:sz w:val="20"/>
          <w:szCs w:val="20"/>
          <w:lang w:val="en-US"/>
        </w:rPr>
        <w:t>, 436 (2019).</w:t>
      </w:r>
    </w:p>
    <w:p w14:paraId="62B79E7A" w14:textId="4BFC9BEC"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R.Y. Kurang and N.A. </w:t>
      </w:r>
      <w:proofErr w:type="spellStart"/>
      <w:r w:rsidRPr="00A77904">
        <w:rPr>
          <w:sz w:val="20"/>
          <w:szCs w:val="20"/>
          <w:lang w:val="en-US"/>
        </w:rPr>
        <w:t>Malaipada</w:t>
      </w:r>
      <w:proofErr w:type="spellEnd"/>
      <w:r w:rsidRPr="00A77904">
        <w:rPr>
          <w:sz w:val="20"/>
          <w:szCs w:val="20"/>
          <w:lang w:val="en-US"/>
        </w:rPr>
        <w:t xml:space="preserve">, </w:t>
      </w:r>
      <w:proofErr w:type="spellStart"/>
      <w:r w:rsidRPr="00A77904">
        <w:rPr>
          <w:sz w:val="20"/>
          <w:szCs w:val="20"/>
          <w:lang w:val="en-US"/>
        </w:rPr>
        <w:t>Sebatik</w:t>
      </w:r>
      <w:proofErr w:type="spellEnd"/>
      <w:r w:rsidR="00DE7B14" w:rsidRPr="00A77904">
        <w:rPr>
          <w:sz w:val="20"/>
          <w:szCs w:val="20"/>
          <w:lang w:val="en-US"/>
        </w:rPr>
        <w:t>.</w:t>
      </w:r>
      <w:r w:rsidRPr="00A77904">
        <w:rPr>
          <w:sz w:val="20"/>
          <w:szCs w:val="20"/>
          <w:lang w:val="en-US"/>
        </w:rPr>
        <w:t xml:space="preserve"> </w:t>
      </w:r>
      <w:r w:rsidRPr="00A77904">
        <w:rPr>
          <w:b/>
          <w:bCs/>
          <w:sz w:val="20"/>
          <w:szCs w:val="20"/>
          <w:lang w:val="en-US"/>
        </w:rPr>
        <w:t>25</w:t>
      </w:r>
      <w:r w:rsidRPr="00A77904">
        <w:rPr>
          <w:sz w:val="20"/>
          <w:szCs w:val="20"/>
          <w:lang w:val="en-US"/>
        </w:rPr>
        <w:t>, 115 (2021).</w:t>
      </w:r>
    </w:p>
    <w:p w14:paraId="73B51D69" w14:textId="367C899A" w:rsidR="00A50AED" w:rsidRPr="00A77904" w:rsidRDefault="00A50AED" w:rsidP="00A50AED">
      <w:pPr>
        <w:pStyle w:val="ListParagraph"/>
        <w:numPr>
          <w:ilvl w:val="0"/>
          <w:numId w:val="4"/>
        </w:numPr>
        <w:ind w:left="360"/>
        <w:jc w:val="both"/>
        <w:rPr>
          <w:sz w:val="20"/>
          <w:szCs w:val="20"/>
          <w:lang w:val="en-US"/>
        </w:rPr>
      </w:pPr>
      <w:r w:rsidRPr="00A77904">
        <w:rPr>
          <w:sz w:val="20"/>
          <w:szCs w:val="20"/>
          <w:lang w:val="en-US"/>
        </w:rPr>
        <w:t xml:space="preserve">S. </w:t>
      </w:r>
      <w:proofErr w:type="spellStart"/>
      <w:r w:rsidRPr="00A77904">
        <w:rPr>
          <w:sz w:val="20"/>
          <w:szCs w:val="20"/>
          <w:lang w:val="en-US"/>
        </w:rPr>
        <w:t>Adisakwattana</w:t>
      </w:r>
      <w:proofErr w:type="spellEnd"/>
      <w:r w:rsidRPr="00A77904">
        <w:rPr>
          <w:sz w:val="20"/>
          <w:szCs w:val="20"/>
          <w:lang w:val="en-US"/>
        </w:rPr>
        <w:t xml:space="preserve">, T. </w:t>
      </w:r>
      <w:proofErr w:type="spellStart"/>
      <w:r w:rsidRPr="00A77904">
        <w:rPr>
          <w:sz w:val="20"/>
          <w:szCs w:val="20"/>
          <w:lang w:val="en-US"/>
        </w:rPr>
        <w:t>Thilavech</w:t>
      </w:r>
      <w:proofErr w:type="spellEnd"/>
      <w:r w:rsidRPr="00A77904">
        <w:rPr>
          <w:sz w:val="20"/>
          <w:szCs w:val="20"/>
          <w:lang w:val="en-US"/>
        </w:rPr>
        <w:t xml:space="preserve">, W. Sompong, and P. </w:t>
      </w:r>
      <w:proofErr w:type="spellStart"/>
      <w:r w:rsidRPr="00A77904">
        <w:rPr>
          <w:sz w:val="20"/>
          <w:szCs w:val="20"/>
          <w:lang w:val="en-US"/>
        </w:rPr>
        <w:t>Pasukamonset</w:t>
      </w:r>
      <w:proofErr w:type="spellEnd"/>
      <w:r w:rsidRPr="00A77904">
        <w:rPr>
          <w:sz w:val="20"/>
          <w:szCs w:val="20"/>
          <w:lang w:val="en-US"/>
        </w:rPr>
        <w:t xml:space="preserve">, Electron. J. </w:t>
      </w:r>
      <w:proofErr w:type="spellStart"/>
      <w:r w:rsidRPr="00A77904">
        <w:rPr>
          <w:sz w:val="20"/>
          <w:szCs w:val="20"/>
          <w:lang w:val="en-US"/>
        </w:rPr>
        <w:t>Biotechnol</w:t>
      </w:r>
      <w:proofErr w:type="spellEnd"/>
      <w:r w:rsidRPr="00A77904">
        <w:rPr>
          <w:sz w:val="20"/>
          <w:szCs w:val="20"/>
          <w:lang w:val="en-US"/>
        </w:rPr>
        <w:t xml:space="preserve">. </w:t>
      </w:r>
      <w:r w:rsidRPr="00A77904">
        <w:rPr>
          <w:b/>
          <w:bCs/>
          <w:sz w:val="20"/>
          <w:szCs w:val="20"/>
          <w:lang w:val="en-US"/>
        </w:rPr>
        <w:t>27</w:t>
      </w:r>
      <w:r w:rsidRPr="00A77904">
        <w:rPr>
          <w:sz w:val="20"/>
          <w:szCs w:val="20"/>
          <w:lang w:val="en-US"/>
        </w:rPr>
        <w:t>, 55 (2017).</w:t>
      </w:r>
    </w:p>
    <w:bookmarkEnd w:id="8"/>
    <w:p w14:paraId="5A3ECF85" w14:textId="77777777" w:rsidR="00D3715B" w:rsidRPr="00E3378A" w:rsidRDefault="00D3715B" w:rsidP="00D3715B">
      <w:pPr>
        <w:jc w:val="both"/>
        <w:rPr>
          <w:color w:val="000000"/>
          <w:sz w:val="20"/>
          <w:szCs w:val="20"/>
          <w:lang w:val="en-US"/>
        </w:rPr>
      </w:pPr>
    </w:p>
    <w:sectPr w:rsidR="00D3715B" w:rsidRPr="00E3378A" w:rsidSect="00887BD3">
      <w:pgSz w:w="12240" w:h="15840"/>
      <w:pgMar w:top="1380" w:right="1320" w:bottom="1686" w:left="189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CA488" w14:textId="77777777" w:rsidR="008B006C" w:rsidRDefault="008B006C">
      <w:r>
        <w:separator/>
      </w:r>
    </w:p>
  </w:endnote>
  <w:endnote w:type="continuationSeparator" w:id="0">
    <w:p w14:paraId="18744CFC" w14:textId="77777777" w:rsidR="008B006C" w:rsidRDefault="008B00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1" w:fontKey="{F26851D6-7E24-4C50-80FC-6941CBF615AC}"/>
    <w:embedItalic r:id="rId2" w:fontKey="{E7D80643-66CF-47C9-93A3-AA29BF516AD1}"/>
  </w:font>
  <w:font w:name="Cambria Math">
    <w:panose1 w:val="02040503050406030204"/>
    <w:charset w:val="00"/>
    <w:family w:val="roman"/>
    <w:pitch w:val="variable"/>
    <w:sig w:usb0="E00006FF" w:usb1="420024FF" w:usb2="02000000" w:usb3="00000000" w:csb0="0000019F" w:csb1="00000000"/>
    <w:embedRegular r:id="rId3" w:fontKey="{347330E8-3676-4908-9B77-71AC8CEF4078}"/>
    <w:embedItalic r:id="rId4" w:fontKey="{6685F160-61ED-4EDA-97CA-920DAB9DA12C}"/>
  </w:font>
  <w:font w:name="Cambria">
    <w:panose1 w:val="02040503050406030204"/>
    <w:charset w:val="00"/>
    <w:family w:val="roman"/>
    <w:pitch w:val="variable"/>
    <w:sig w:usb0="E00006FF" w:usb1="420024FF" w:usb2="02000000" w:usb3="00000000" w:csb0="0000019F" w:csb1="00000000"/>
    <w:embedRegular r:id="rId5" w:fontKey="{97E4004B-561C-40C1-9BCB-F2F4538338A7}"/>
  </w:font>
  <w:font w:name="Calibri">
    <w:panose1 w:val="020F0502020204030204"/>
    <w:charset w:val="00"/>
    <w:family w:val="swiss"/>
    <w:pitch w:val="variable"/>
    <w:sig w:usb0="E4002EFF" w:usb1="C200247B" w:usb2="00000009" w:usb3="00000000" w:csb0="000001FF" w:csb1="00000000"/>
    <w:embedRegular r:id="rId6" w:fontKey="{91CA71BF-40A4-4BA0-9F03-045A73A8BC9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862594" w14:textId="77777777" w:rsidR="008B006C" w:rsidRDefault="008B006C">
      <w:r>
        <w:separator/>
      </w:r>
    </w:p>
  </w:footnote>
  <w:footnote w:type="continuationSeparator" w:id="0">
    <w:p w14:paraId="2CE728C7" w14:textId="77777777" w:rsidR="008B006C" w:rsidRDefault="008B006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6D3D07"/>
    <w:multiLevelType w:val="multilevel"/>
    <w:tmpl w:val="06D0D752"/>
    <w:lvl w:ilvl="0">
      <w:start w:val="1"/>
      <w:numFmt w:val="lowerLetter"/>
      <w:lvlText w:val="(%1)"/>
      <w:lvlJc w:val="left"/>
      <w:pPr>
        <w:ind w:left="9030" w:hanging="4470"/>
      </w:pPr>
    </w:lvl>
    <w:lvl w:ilvl="1">
      <w:start w:val="1"/>
      <w:numFmt w:val="lowerLetter"/>
      <w:lvlText w:val="%2."/>
      <w:lvlJc w:val="left"/>
      <w:pPr>
        <w:ind w:left="5640" w:hanging="360"/>
      </w:pPr>
    </w:lvl>
    <w:lvl w:ilvl="2">
      <w:start w:val="1"/>
      <w:numFmt w:val="lowerRoman"/>
      <w:lvlText w:val="%3."/>
      <w:lvlJc w:val="right"/>
      <w:pPr>
        <w:ind w:left="6360" w:hanging="180"/>
      </w:pPr>
    </w:lvl>
    <w:lvl w:ilvl="3">
      <w:start w:val="1"/>
      <w:numFmt w:val="decimal"/>
      <w:lvlText w:val="%4."/>
      <w:lvlJc w:val="left"/>
      <w:pPr>
        <w:ind w:left="540" w:hanging="360"/>
      </w:pPr>
    </w:lvl>
    <w:lvl w:ilvl="4">
      <w:start w:val="1"/>
      <w:numFmt w:val="lowerLetter"/>
      <w:lvlText w:val="%5."/>
      <w:lvlJc w:val="left"/>
      <w:pPr>
        <w:ind w:left="7800" w:hanging="360"/>
      </w:pPr>
    </w:lvl>
    <w:lvl w:ilvl="5">
      <w:start w:val="1"/>
      <w:numFmt w:val="lowerRoman"/>
      <w:lvlText w:val="%6."/>
      <w:lvlJc w:val="right"/>
      <w:pPr>
        <w:ind w:left="8520" w:hanging="180"/>
      </w:pPr>
    </w:lvl>
    <w:lvl w:ilvl="6">
      <w:start w:val="1"/>
      <w:numFmt w:val="decimal"/>
      <w:lvlText w:val="%7."/>
      <w:lvlJc w:val="left"/>
      <w:pPr>
        <w:ind w:left="9240" w:hanging="360"/>
      </w:pPr>
    </w:lvl>
    <w:lvl w:ilvl="7">
      <w:start w:val="1"/>
      <w:numFmt w:val="lowerLetter"/>
      <w:lvlText w:val="%8."/>
      <w:lvlJc w:val="left"/>
      <w:pPr>
        <w:ind w:left="9960" w:hanging="360"/>
      </w:pPr>
    </w:lvl>
    <w:lvl w:ilvl="8">
      <w:start w:val="1"/>
      <w:numFmt w:val="lowerRoman"/>
      <w:lvlText w:val="%9."/>
      <w:lvlJc w:val="right"/>
      <w:pPr>
        <w:ind w:left="10680" w:hanging="180"/>
      </w:pPr>
    </w:lvl>
  </w:abstractNum>
  <w:abstractNum w:abstractNumId="1" w15:restartNumberingAfterBreak="0">
    <w:nsid w:val="31D50185"/>
    <w:multiLevelType w:val="hybridMultilevel"/>
    <w:tmpl w:val="DF30CE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1F311B2"/>
    <w:multiLevelType w:val="hybridMultilevel"/>
    <w:tmpl w:val="393C449A"/>
    <w:lvl w:ilvl="0" w:tplc="04090001">
      <w:start w:val="10"/>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B6A3681"/>
    <w:multiLevelType w:val="hybridMultilevel"/>
    <w:tmpl w:val="BDD88E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50340F1"/>
    <w:multiLevelType w:val="hybridMultilevel"/>
    <w:tmpl w:val="C6E48F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02406301">
    <w:abstractNumId w:val="0"/>
  </w:num>
  <w:num w:numId="2" w16cid:durableId="614679560">
    <w:abstractNumId w:val="1"/>
  </w:num>
  <w:num w:numId="3" w16cid:durableId="1135224002">
    <w:abstractNumId w:val="3"/>
  </w:num>
  <w:num w:numId="4" w16cid:durableId="304242900">
    <w:abstractNumId w:val="4"/>
  </w:num>
  <w:num w:numId="5" w16cid:durableId="105921194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5CE4"/>
    <w:rsid w:val="000058B7"/>
    <w:rsid w:val="00007394"/>
    <w:rsid w:val="000160C2"/>
    <w:rsid w:val="00031DCC"/>
    <w:rsid w:val="0004695C"/>
    <w:rsid w:val="00065B21"/>
    <w:rsid w:val="00066437"/>
    <w:rsid w:val="00081300"/>
    <w:rsid w:val="00083071"/>
    <w:rsid w:val="000938B7"/>
    <w:rsid w:val="0009504F"/>
    <w:rsid w:val="000C47FC"/>
    <w:rsid w:val="000E37AE"/>
    <w:rsid w:val="00111323"/>
    <w:rsid w:val="00125CE4"/>
    <w:rsid w:val="00132F29"/>
    <w:rsid w:val="00155A3F"/>
    <w:rsid w:val="001567C1"/>
    <w:rsid w:val="00166278"/>
    <w:rsid w:val="0017419A"/>
    <w:rsid w:val="00181CFB"/>
    <w:rsid w:val="001903B6"/>
    <w:rsid w:val="00191C10"/>
    <w:rsid w:val="00195ED3"/>
    <w:rsid w:val="001A180A"/>
    <w:rsid w:val="001D1E33"/>
    <w:rsid w:val="001D5045"/>
    <w:rsid w:val="001F1DE4"/>
    <w:rsid w:val="001F38A2"/>
    <w:rsid w:val="00202A80"/>
    <w:rsid w:val="00211106"/>
    <w:rsid w:val="002400B2"/>
    <w:rsid w:val="00253E8A"/>
    <w:rsid w:val="00261FC7"/>
    <w:rsid w:val="0029043A"/>
    <w:rsid w:val="00292AAD"/>
    <w:rsid w:val="00297706"/>
    <w:rsid w:val="002A1A70"/>
    <w:rsid w:val="0037503E"/>
    <w:rsid w:val="003870CB"/>
    <w:rsid w:val="003B41BA"/>
    <w:rsid w:val="003D1F41"/>
    <w:rsid w:val="003E2E25"/>
    <w:rsid w:val="00404242"/>
    <w:rsid w:val="00406562"/>
    <w:rsid w:val="004114FE"/>
    <w:rsid w:val="00414277"/>
    <w:rsid w:val="00434CE7"/>
    <w:rsid w:val="00435AF3"/>
    <w:rsid w:val="004448A3"/>
    <w:rsid w:val="004A410E"/>
    <w:rsid w:val="004F2EFD"/>
    <w:rsid w:val="004F5DED"/>
    <w:rsid w:val="00502DD2"/>
    <w:rsid w:val="00504D5D"/>
    <w:rsid w:val="005256CC"/>
    <w:rsid w:val="00534754"/>
    <w:rsid w:val="00540D67"/>
    <w:rsid w:val="00567FF9"/>
    <w:rsid w:val="0058776D"/>
    <w:rsid w:val="005F212C"/>
    <w:rsid w:val="0062611F"/>
    <w:rsid w:val="0063303E"/>
    <w:rsid w:val="00663B7B"/>
    <w:rsid w:val="00683A47"/>
    <w:rsid w:val="00684C42"/>
    <w:rsid w:val="00690691"/>
    <w:rsid w:val="006B4BC1"/>
    <w:rsid w:val="007017A9"/>
    <w:rsid w:val="00701F95"/>
    <w:rsid w:val="00726086"/>
    <w:rsid w:val="00734D55"/>
    <w:rsid w:val="00740AD9"/>
    <w:rsid w:val="00763543"/>
    <w:rsid w:val="007A4C23"/>
    <w:rsid w:val="007B386D"/>
    <w:rsid w:val="007B6CAB"/>
    <w:rsid w:val="007C2EE8"/>
    <w:rsid w:val="007C39BE"/>
    <w:rsid w:val="007E413C"/>
    <w:rsid w:val="00800237"/>
    <w:rsid w:val="00801DF2"/>
    <w:rsid w:val="00814E1F"/>
    <w:rsid w:val="00835624"/>
    <w:rsid w:val="00843214"/>
    <w:rsid w:val="00871A3B"/>
    <w:rsid w:val="00887BD3"/>
    <w:rsid w:val="00894781"/>
    <w:rsid w:val="008B006C"/>
    <w:rsid w:val="008E4E62"/>
    <w:rsid w:val="00903809"/>
    <w:rsid w:val="00913C34"/>
    <w:rsid w:val="00915553"/>
    <w:rsid w:val="00923AFF"/>
    <w:rsid w:val="0095442B"/>
    <w:rsid w:val="00964296"/>
    <w:rsid w:val="009661B2"/>
    <w:rsid w:val="0096656C"/>
    <w:rsid w:val="009868BC"/>
    <w:rsid w:val="009A6550"/>
    <w:rsid w:val="00A2604E"/>
    <w:rsid w:val="00A44505"/>
    <w:rsid w:val="00A4568F"/>
    <w:rsid w:val="00A50A99"/>
    <w:rsid w:val="00A50AED"/>
    <w:rsid w:val="00A71925"/>
    <w:rsid w:val="00A71AD2"/>
    <w:rsid w:val="00A7727A"/>
    <w:rsid w:val="00A77904"/>
    <w:rsid w:val="00A779BE"/>
    <w:rsid w:val="00A833EA"/>
    <w:rsid w:val="00A87411"/>
    <w:rsid w:val="00A87580"/>
    <w:rsid w:val="00A912C2"/>
    <w:rsid w:val="00A9365F"/>
    <w:rsid w:val="00A94DDC"/>
    <w:rsid w:val="00AA51C3"/>
    <w:rsid w:val="00AB5DD5"/>
    <w:rsid w:val="00AB72C8"/>
    <w:rsid w:val="00AE482A"/>
    <w:rsid w:val="00AF2AFC"/>
    <w:rsid w:val="00B37AD4"/>
    <w:rsid w:val="00B410A4"/>
    <w:rsid w:val="00B60457"/>
    <w:rsid w:val="00B622CE"/>
    <w:rsid w:val="00B75349"/>
    <w:rsid w:val="00B857AC"/>
    <w:rsid w:val="00BB024C"/>
    <w:rsid w:val="00BB4A83"/>
    <w:rsid w:val="00BC31A6"/>
    <w:rsid w:val="00BC6486"/>
    <w:rsid w:val="00BE53AA"/>
    <w:rsid w:val="00BE6541"/>
    <w:rsid w:val="00BF6627"/>
    <w:rsid w:val="00C1658C"/>
    <w:rsid w:val="00C2240F"/>
    <w:rsid w:val="00C23356"/>
    <w:rsid w:val="00C31297"/>
    <w:rsid w:val="00C35560"/>
    <w:rsid w:val="00C452C6"/>
    <w:rsid w:val="00C47358"/>
    <w:rsid w:val="00CA6BC6"/>
    <w:rsid w:val="00CB50BB"/>
    <w:rsid w:val="00CC0105"/>
    <w:rsid w:val="00CC4963"/>
    <w:rsid w:val="00CD0A0B"/>
    <w:rsid w:val="00CD758A"/>
    <w:rsid w:val="00CF0CBD"/>
    <w:rsid w:val="00CF60EF"/>
    <w:rsid w:val="00D14AB7"/>
    <w:rsid w:val="00D15427"/>
    <w:rsid w:val="00D24B8B"/>
    <w:rsid w:val="00D3715B"/>
    <w:rsid w:val="00D4163A"/>
    <w:rsid w:val="00D8610A"/>
    <w:rsid w:val="00D9051E"/>
    <w:rsid w:val="00D97D7C"/>
    <w:rsid w:val="00DE5837"/>
    <w:rsid w:val="00DE5CA3"/>
    <w:rsid w:val="00DE7B14"/>
    <w:rsid w:val="00DE7ECA"/>
    <w:rsid w:val="00E26DE1"/>
    <w:rsid w:val="00E31908"/>
    <w:rsid w:val="00E3378A"/>
    <w:rsid w:val="00E35E23"/>
    <w:rsid w:val="00E44EED"/>
    <w:rsid w:val="00E45B0A"/>
    <w:rsid w:val="00E64B38"/>
    <w:rsid w:val="00E748F7"/>
    <w:rsid w:val="00E80880"/>
    <w:rsid w:val="00EA63FA"/>
    <w:rsid w:val="00EC1169"/>
    <w:rsid w:val="00F118A9"/>
    <w:rsid w:val="00F153C9"/>
    <w:rsid w:val="00F1782C"/>
    <w:rsid w:val="00F46AA8"/>
    <w:rsid w:val="00F52076"/>
    <w:rsid w:val="00F71EC3"/>
    <w:rsid w:val="00FA21F2"/>
    <w:rsid w:val="00FA617D"/>
    <w:rsid w:val="00FC0483"/>
    <w:rsid w:val="00FC24DC"/>
    <w:rsid w:val="00FC4B04"/>
    <w:rsid w:val="00FD2CEE"/>
    <w:rsid w:val="00FD2E9D"/>
    <w:rsid w:val="00FE0875"/>
    <w:rsid w:val="00FE3E15"/>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B6A2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n"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ind w:left="307" w:right="322"/>
      <w:jc w:val="center"/>
      <w:outlineLvl w:val="0"/>
    </w:pPr>
    <w:rPr>
      <w:b/>
      <w:sz w:val="24"/>
      <w:szCs w:val="24"/>
    </w:rPr>
  </w:style>
  <w:style w:type="paragraph" w:styleId="Heading2">
    <w:name w:val="heading 2"/>
    <w:basedOn w:val="Normal"/>
    <w:next w:val="Normal"/>
    <w:uiPriority w:val="9"/>
    <w:semiHidden/>
    <w:unhideWhenUsed/>
    <w:qFormat/>
    <w:pPr>
      <w:spacing w:before="10"/>
      <w:ind w:left="20"/>
      <w:outlineLvl w:val="1"/>
    </w:pPr>
    <w:rPr>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before="220"/>
      <w:ind w:left="307" w:right="324"/>
      <w:jc w:val="center"/>
    </w:pPr>
    <w:rPr>
      <w:b/>
      <w:sz w:val="36"/>
      <w:szCs w:val="36"/>
    </w:rPr>
  </w:style>
  <w:style w:type="table" w:customStyle="1" w:styleId="TableNormal1">
    <w:name w:val="TableNormal"/>
    <w:tblPr>
      <w:tblCellMar>
        <w:top w:w="0" w:type="dxa"/>
        <w:left w:w="0" w:type="dxa"/>
        <w:bottom w:w="0" w:type="dxa"/>
        <w:right w:w="0" w:type="dxa"/>
      </w:tblCellMar>
    </w:tblPr>
  </w:style>
  <w:style w:type="paragraph" w:styleId="BodyText">
    <w:name w:val="Body Text"/>
    <w:basedOn w:val="Normal"/>
    <w:uiPriority w:val="1"/>
    <w:qFormat/>
    <w:rPr>
      <w:sz w:val="20"/>
      <w:szCs w:val="20"/>
    </w:rPr>
  </w:style>
  <w:style w:type="paragraph" w:styleId="ListParagraph">
    <w:name w:val="List Paragraph"/>
    <w:basedOn w:val="Normal"/>
    <w:uiPriority w:val="1"/>
    <w:qFormat/>
    <w:pPr>
      <w:ind w:left="551" w:hanging="452"/>
    </w:pPr>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DA5169"/>
    <w:rPr>
      <w:color w:val="0000FF" w:themeColor="hyperlink"/>
      <w:u w:val="single"/>
    </w:rPr>
  </w:style>
  <w:style w:type="character" w:styleId="UnresolvedMention">
    <w:name w:val="Unresolved Mention"/>
    <w:basedOn w:val="DefaultParagraphFont"/>
    <w:uiPriority w:val="99"/>
    <w:semiHidden/>
    <w:unhideWhenUsed/>
    <w:rsid w:val="00DA5169"/>
    <w:rPr>
      <w:color w:val="605E5C"/>
      <w:shd w:val="clear" w:color="auto" w:fill="E1DFDD"/>
    </w:rPr>
  </w:style>
  <w:style w:type="paragraph" w:styleId="Revision">
    <w:name w:val="Revision"/>
    <w:hidden/>
    <w:uiPriority w:val="99"/>
    <w:semiHidden/>
    <w:rsid w:val="00DA5169"/>
    <w:pPr>
      <w:widowControl/>
    </w:pPr>
  </w:style>
  <w:style w:type="character" w:styleId="CommentReference">
    <w:name w:val="annotation reference"/>
    <w:basedOn w:val="DefaultParagraphFont"/>
    <w:uiPriority w:val="99"/>
    <w:semiHidden/>
    <w:unhideWhenUsed/>
    <w:rsid w:val="00DA5169"/>
    <w:rPr>
      <w:sz w:val="16"/>
      <w:szCs w:val="16"/>
    </w:rPr>
  </w:style>
  <w:style w:type="paragraph" w:styleId="CommentText">
    <w:name w:val="annotation text"/>
    <w:basedOn w:val="Normal"/>
    <w:link w:val="CommentTextChar"/>
    <w:uiPriority w:val="99"/>
    <w:semiHidden/>
    <w:unhideWhenUsed/>
    <w:rsid w:val="00DA5169"/>
    <w:rPr>
      <w:sz w:val="20"/>
      <w:szCs w:val="20"/>
    </w:rPr>
  </w:style>
  <w:style w:type="character" w:customStyle="1" w:styleId="CommentTextChar">
    <w:name w:val="Comment Text Char"/>
    <w:basedOn w:val="DefaultParagraphFont"/>
    <w:link w:val="CommentText"/>
    <w:uiPriority w:val="99"/>
    <w:semiHidden/>
    <w:rsid w:val="00DA516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A5169"/>
    <w:rPr>
      <w:b/>
      <w:bCs/>
    </w:rPr>
  </w:style>
  <w:style w:type="character" w:customStyle="1" w:styleId="CommentSubjectChar">
    <w:name w:val="Comment Subject Char"/>
    <w:basedOn w:val="CommentTextChar"/>
    <w:link w:val="CommentSubject"/>
    <w:uiPriority w:val="99"/>
    <w:semiHidden/>
    <w:rsid w:val="00DA5169"/>
    <w:rPr>
      <w:rFonts w:ascii="Times New Roman" w:eastAsia="Times New Roman" w:hAnsi="Times New Roman" w:cs="Times New Roman"/>
      <w:b/>
      <w:bCs/>
      <w:sz w:val="20"/>
      <w:szCs w:val="20"/>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paragraph" w:styleId="NormalWeb">
    <w:name w:val="Normal (Web)"/>
    <w:basedOn w:val="Normal"/>
    <w:uiPriority w:val="99"/>
    <w:unhideWhenUsed/>
    <w:rsid w:val="00253E8A"/>
    <w:rPr>
      <w:sz w:val="24"/>
      <w:szCs w:val="24"/>
    </w:rPr>
  </w:style>
  <w:style w:type="character" w:styleId="PlaceholderText">
    <w:name w:val="Placeholder Text"/>
    <w:basedOn w:val="DefaultParagraphFont"/>
    <w:uiPriority w:val="99"/>
    <w:semiHidden/>
    <w:rsid w:val="00814E1F"/>
    <w:rPr>
      <w:color w:val="666666"/>
    </w:rPr>
  </w:style>
  <w:style w:type="paragraph" w:styleId="Header">
    <w:name w:val="header"/>
    <w:basedOn w:val="Normal"/>
    <w:link w:val="HeaderChar"/>
    <w:uiPriority w:val="99"/>
    <w:unhideWhenUsed/>
    <w:rsid w:val="00B410A4"/>
    <w:pPr>
      <w:tabs>
        <w:tab w:val="center" w:pos="4680"/>
        <w:tab w:val="right" w:pos="9360"/>
      </w:tabs>
    </w:pPr>
  </w:style>
  <w:style w:type="character" w:customStyle="1" w:styleId="HeaderChar">
    <w:name w:val="Header Char"/>
    <w:basedOn w:val="DefaultParagraphFont"/>
    <w:link w:val="Header"/>
    <w:uiPriority w:val="99"/>
    <w:rsid w:val="00B410A4"/>
  </w:style>
  <w:style w:type="paragraph" w:styleId="Footer">
    <w:name w:val="footer"/>
    <w:basedOn w:val="Normal"/>
    <w:link w:val="FooterChar"/>
    <w:uiPriority w:val="99"/>
    <w:unhideWhenUsed/>
    <w:rsid w:val="00B410A4"/>
    <w:pPr>
      <w:tabs>
        <w:tab w:val="center" w:pos="4680"/>
        <w:tab w:val="right" w:pos="9360"/>
      </w:tabs>
    </w:pPr>
  </w:style>
  <w:style w:type="character" w:customStyle="1" w:styleId="FooterChar">
    <w:name w:val="Footer Char"/>
    <w:basedOn w:val="DefaultParagraphFont"/>
    <w:link w:val="Footer"/>
    <w:uiPriority w:val="99"/>
    <w:rsid w:val="00B410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chart" Target="charts/chart1.xml"/><Relationship Id="rId4" Type="http://schemas.openxmlformats.org/officeDocument/2006/relationships/styles" Target="styles.xml"/><Relationship Id="rId9" Type="http://schemas.openxmlformats.org/officeDocument/2006/relationships/hyperlink" Target="mailto:adi_setyo@its.ac.id"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3" Type="http://schemas.openxmlformats.org/officeDocument/2006/relationships/oleObject" Target="file:///C:\Users\LENOVO\Documents\bioassay\hasil%20antioksidan.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gradFill rotWithShape="1">
              <a:gsLst>
                <a:gs pos="0">
                  <a:schemeClr val="accent1">
                    <a:lumMod val="110000"/>
                    <a:satMod val="105000"/>
                    <a:tint val="67000"/>
                  </a:schemeClr>
                </a:gs>
                <a:gs pos="50000">
                  <a:schemeClr val="accent1">
                    <a:lumMod val="105000"/>
                    <a:satMod val="103000"/>
                    <a:tint val="73000"/>
                  </a:schemeClr>
                </a:gs>
                <a:gs pos="100000">
                  <a:schemeClr val="accent1">
                    <a:lumMod val="105000"/>
                    <a:satMod val="109000"/>
                    <a:tint val="81000"/>
                  </a:schemeClr>
                </a:gs>
              </a:gsLst>
              <a:lin ang="5400000" scaled="0"/>
            </a:gradFill>
            <a:ln w="9525" cap="flat" cmpd="sng" algn="ctr">
              <a:solidFill>
                <a:schemeClr val="accent1">
                  <a:shade val="95000"/>
                </a:schemeClr>
              </a:solidFill>
              <a:round/>
            </a:ln>
            <a:effectLst/>
          </c:spPr>
          <c:invertIfNegative val="0"/>
          <c:dLbls>
            <c:dLbl>
              <c:idx val="0"/>
              <c:layout>
                <c:manualLayout>
                  <c:x val="0"/>
                  <c:y val="0.16016427104722791"/>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9FF-4612-B9DA-0A169CEBFDA0}"/>
                </c:ext>
              </c:extLst>
            </c:dLbl>
            <c:dLbl>
              <c:idx val="1"/>
              <c:layout>
                <c:manualLayout>
                  <c:x val="2.7434836323118428E-3"/>
                  <c:y val="0.1683778234086242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9FF-4612-B9DA-0A169CEBFDA0}"/>
                </c:ext>
              </c:extLst>
            </c:dLbl>
            <c:dLbl>
              <c:idx val="2"/>
              <c:layout>
                <c:manualLayout>
                  <c:x val="5.4869672646236855E-3"/>
                  <c:y val="0.1519507186858316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9FF-4612-B9DA-0A169CEBFDA0}"/>
                </c:ext>
              </c:extLst>
            </c:dLbl>
            <c:dLbl>
              <c:idx val="3"/>
              <c:layout>
                <c:manualLayout>
                  <c:x val="5.4869672646235849E-3"/>
                  <c:y val="9.445585215605749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9FF-4612-B9DA-0A169CEBFDA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50000"/>
                        <a:lumOff val="50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errBars>
            <c:errBarType val="both"/>
            <c:errValType val="cust"/>
            <c:noEndCap val="0"/>
            <c:plus>
              <c:numRef>
                <c:f>'1000'!$H$59:$H$62</c:f>
                <c:numCache>
                  <c:formatCode>General</c:formatCode>
                  <c:ptCount val="4"/>
                  <c:pt idx="0">
                    <c:v>1.0028193020006335</c:v>
                  </c:pt>
                  <c:pt idx="1">
                    <c:v>0.61904383827086085</c:v>
                  </c:pt>
                  <c:pt idx="2">
                    <c:v>1.0304394433101458</c:v>
                  </c:pt>
                  <c:pt idx="3">
                    <c:v>0.13574566312915451</c:v>
                  </c:pt>
                </c:numCache>
              </c:numRef>
            </c:plus>
            <c:minus>
              <c:numRef>
                <c:f>'1000'!$H$59:$H$62</c:f>
                <c:numCache>
                  <c:formatCode>General</c:formatCode>
                  <c:ptCount val="4"/>
                  <c:pt idx="0">
                    <c:v>1.0028193020006335</c:v>
                  </c:pt>
                  <c:pt idx="1">
                    <c:v>0.61904383827086085</c:v>
                  </c:pt>
                  <c:pt idx="2">
                    <c:v>1.0304394433101458</c:v>
                  </c:pt>
                  <c:pt idx="3">
                    <c:v>0.13574566312915451</c:v>
                  </c:pt>
                </c:numCache>
              </c:numRef>
            </c:minus>
            <c:spPr>
              <a:noFill/>
              <a:ln w="9525">
                <a:solidFill>
                  <a:schemeClr val="tx1">
                    <a:lumMod val="50000"/>
                    <a:lumOff val="50000"/>
                  </a:schemeClr>
                </a:solidFill>
              </a:ln>
              <a:effectLst/>
            </c:spPr>
          </c:errBars>
          <c:cat>
            <c:strRef>
              <c:f>'1000'!$F$59:$F$62</c:f>
              <c:strCache>
                <c:ptCount val="4"/>
                <c:pt idx="0">
                  <c:v>Lowland kesambi</c:v>
                </c:pt>
                <c:pt idx="1">
                  <c:v>Highland kesambi</c:v>
                </c:pt>
                <c:pt idx="2">
                  <c:v>Ascorbic acid</c:v>
                </c:pt>
                <c:pt idx="3">
                  <c:v>Gallic acid</c:v>
                </c:pt>
              </c:strCache>
            </c:strRef>
          </c:cat>
          <c:val>
            <c:numRef>
              <c:f>'1000'!$G$59:$G$62</c:f>
              <c:numCache>
                <c:formatCode>General</c:formatCode>
                <c:ptCount val="4"/>
                <c:pt idx="0">
                  <c:v>4.8099999999999996</c:v>
                </c:pt>
                <c:pt idx="1">
                  <c:v>7.16</c:v>
                </c:pt>
                <c:pt idx="2">
                  <c:v>6.07</c:v>
                </c:pt>
                <c:pt idx="3">
                  <c:v>1.74</c:v>
                </c:pt>
              </c:numCache>
            </c:numRef>
          </c:val>
          <c:extLst>
            <c:ext xmlns:c16="http://schemas.microsoft.com/office/drawing/2014/chart" uri="{C3380CC4-5D6E-409C-BE32-E72D297353CC}">
              <c16:uniqueId val="{00000004-39FF-4612-B9DA-0A169CEBFDA0}"/>
            </c:ext>
          </c:extLst>
        </c:ser>
        <c:dLbls>
          <c:dLblPos val="outEnd"/>
          <c:showLegendKey val="0"/>
          <c:showVal val="1"/>
          <c:showCatName val="0"/>
          <c:showSerName val="0"/>
          <c:showPercent val="0"/>
          <c:showBubbleSize val="0"/>
        </c:dLbls>
        <c:gapWidth val="100"/>
        <c:overlap val="-24"/>
        <c:axId val="536723807"/>
        <c:axId val="536740607"/>
      </c:barChart>
      <c:catAx>
        <c:axId val="536723807"/>
        <c:scaling>
          <c:orientation val="minMax"/>
        </c:scaling>
        <c:delete val="0"/>
        <c:axPos val="b"/>
        <c:numFmt formatCode="General" sourceLinked="1"/>
        <c:majorTickMark val="none"/>
        <c:minorTickMark val="none"/>
        <c:tickLblPos val="nextTo"/>
        <c:spPr>
          <a:noFill/>
          <a:ln w="9525" cap="flat" cmpd="sng" algn="ctr">
            <a:solidFill>
              <a:schemeClr val="dk1">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536740607"/>
        <c:crosses val="autoZero"/>
        <c:auto val="1"/>
        <c:lblAlgn val="ctr"/>
        <c:lblOffset val="100"/>
        <c:noMultiLvlLbl val="0"/>
      </c:catAx>
      <c:valAx>
        <c:axId val="536740607"/>
        <c:scaling>
          <c:orientation val="minMax"/>
        </c:scaling>
        <c:delete val="0"/>
        <c:axPos val="l"/>
        <c:title>
          <c:tx>
            <c:rich>
              <a:bodyPr rot="-5400000" spcFirstLastPara="1" vertOverflow="ellipsis" vert="horz" wrap="square" anchor="ctr" anchorCtr="1"/>
              <a:lstStyle/>
              <a:p>
                <a:pPr>
                  <a:defRPr sz="900" b="0" i="0" u="none" strike="noStrike" kern="1200" cap="all" baseline="0">
                    <a:solidFill>
                      <a:schemeClr val="tx1">
                        <a:lumMod val="50000"/>
                        <a:lumOff val="50000"/>
                      </a:schemeClr>
                    </a:solidFill>
                    <a:latin typeface="+mn-lt"/>
                    <a:ea typeface="+mn-ea"/>
                    <a:cs typeface="+mn-cs"/>
                  </a:defRPr>
                </a:pPr>
                <a:r>
                  <a:rPr lang="en-US">
                    <a:solidFill>
                      <a:sysClr val="windowText" lastClr="000000"/>
                    </a:solidFill>
                    <a:latin typeface="Times New Roman" panose="02020603050405020304" pitchFamily="18" charset="0"/>
                    <a:cs typeface="Times New Roman" panose="02020603050405020304" pitchFamily="18" charset="0"/>
                  </a:rPr>
                  <a:t>IC </a:t>
                </a:r>
                <a:r>
                  <a:rPr lang="en-US" baseline="-25000">
                    <a:solidFill>
                      <a:sysClr val="windowText" lastClr="000000"/>
                    </a:solidFill>
                    <a:latin typeface="Times New Roman" panose="02020603050405020304" pitchFamily="18" charset="0"/>
                    <a:cs typeface="Times New Roman" panose="02020603050405020304" pitchFamily="18" charset="0"/>
                  </a:rPr>
                  <a:t>50</a:t>
                </a:r>
                <a:r>
                  <a:rPr lang="en-US" baseline="0">
                    <a:solidFill>
                      <a:sysClr val="windowText" lastClr="000000"/>
                    </a:solidFill>
                    <a:latin typeface="Times New Roman" panose="02020603050405020304" pitchFamily="18" charset="0"/>
                    <a:cs typeface="Times New Roman" panose="02020603050405020304" pitchFamily="18" charset="0"/>
                  </a:rPr>
                  <a:t> (</a:t>
                </a:r>
                <a:r>
                  <a:rPr lang="en-US" cap="none" baseline="0">
                    <a:solidFill>
                      <a:sysClr val="windowText" lastClr="000000"/>
                    </a:solidFill>
                    <a:latin typeface="Times New Roman" panose="02020603050405020304" pitchFamily="18" charset="0"/>
                    <a:cs typeface="Times New Roman" panose="02020603050405020304" pitchFamily="18" charset="0"/>
                  </a:rPr>
                  <a:t>ppm</a:t>
                </a:r>
                <a:r>
                  <a:rPr lang="en-US" baseline="0">
                    <a:solidFill>
                      <a:sysClr val="windowText" lastClr="000000"/>
                    </a:solidFill>
                    <a:latin typeface="Times New Roman" panose="02020603050405020304" pitchFamily="18" charset="0"/>
                    <a:cs typeface="Times New Roman" panose="02020603050405020304" pitchFamily="18" charset="0"/>
                  </a:rPr>
                  <a:t>)</a:t>
                </a:r>
                <a:endParaRPr lang="en-US" baseline="-250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50000"/>
                      <a:lumOff val="50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dk1">
                <a:shade val="95000"/>
                <a:satMod val="105000"/>
              </a:schemeClr>
            </a:solidFill>
            <a:prstDash val="soli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36723807"/>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6">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X81LGGZWmrzdKg1mzW52wNMECSQ==">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</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FBA736D-7191-41AE-9DD1-1515C949C6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17898</Words>
  <Characters>102022</Characters>
  <Application>Microsoft Office Word</Application>
  <DocSecurity>0</DocSecurity>
  <Lines>850</Lines>
  <Paragraphs>239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2025-10-02T11:49:00Z</dcterms:created>
  <dcterms:modified xsi:type="dcterms:W3CDTF">2025-10-02T11:57:00Z</dcterms:modified>
</cp:coreProperties>
</file>