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1F6496" w14:textId="77777777" w:rsidR="00672E03" w:rsidRDefault="00672E03">
      <w:pPr>
        <w:pBdr>
          <w:top w:val="nil"/>
          <w:left w:val="nil"/>
          <w:bottom w:val="nil"/>
          <w:right w:val="nil"/>
          <w:between w:val="nil"/>
        </w:pBdr>
        <w:rPr>
          <w:color w:val="000000"/>
          <w:sz w:val="20"/>
          <w:szCs w:val="20"/>
        </w:rPr>
      </w:pPr>
    </w:p>
    <w:p w14:paraId="09626F64" w14:textId="77777777" w:rsidR="00672E03" w:rsidRDefault="00000000">
      <w:pPr>
        <w:pStyle w:val="Title"/>
        <w:ind w:firstLine="307"/>
      </w:pPr>
      <w:r>
        <w:t xml:space="preserve">Antioxidant Activity of </w:t>
      </w:r>
      <w:proofErr w:type="spellStart"/>
      <w:r>
        <w:rPr>
          <w:i/>
        </w:rPr>
        <w:t>Inocarpus</w:t>
      </w:r>
      <w:proofErr w:type="spellEnd"/>
      <w:r>
        <w:rPr>
          <w:i/>
        </w:rPr>
        <w:t xml:space="preserve"> </w:t>
      </w:r>
      <w:proofErr w:type="spellStart"/>
      <w:r>
        <w:rPr>
          <w:i/>
        </w:rPr>
        <w:t>fagifer</w:t>
      </w:r>
      <w:proofErr w:type="spellEnd"/>
      <w:r>
        <w:t xml:space="preserve"> Seed Extract Using Non-Polar Solvents</w:t>
      </w:r>
    </w:p>
    <w:p w14:paraId="2057F8D8" w14:textId="77777777" w:rsidR="00672E03" w:rsidRDefault="00000000">
      <w:pPr>
        <w:spacing w:before="359" w:line="242" w:lineRule="auto"/>
        <w:ind w:left="307" w:right="322"/>
        <w:jc w:val="center"/>
        <w:rPr>
          <w:sz w:val="28"/>
          <w:szCs w:val="28"/>
        </w:rPr>
      </w:pPr>
      <w:r>
        <w:rPr>
          <w:sz w:val="28"/>
          <w:szCs w:val="28"/>
        </w:rPr>
        <w:t xml:space="preserve">Moch. </w:t>
      </w:r>
      <w:proofErr w:type="spellStart"/>
      <w:r>
        <w:rPr>
          <w:sz w:val="28"/>
          <w:szCs w:val="28"/>
        </w:rPr>
        <w:t>Nurhasan</w:t>
      </w:r>
      <w:proofErr w:type="spellEnd"/>
      <w:r>
        <w:rPr>
          <w:sz w:val="28"/>
          <w:szCs w:val="28"/>
        </w:rPr>
        <w:t xml:space="preserve">, Adi Setyo </w:t>
      </w:r>
      <w:proofErr w:type="spellStart"/>
      <w:r>
        <w:rPr>
          <w:sz w:val="28"/>
          <w:szCs w:val="28"/>
        </w:rPr>
        <w:t>Purnomo</w:t>
      </w:r>
      <w:r>
        <w:rPr>
          <w:sz w:val="28"/>
          <w:szCs w:val="28"/>
          <w:vertAlign w:val="superscript"/>
        </w:rPr>
        <w:t>a</w:t>
      </w:r>
      <w:proofErr w:type="spellEnd"/>
      <w:r>
        <w:rPr>
          <w:sz w:val="28"/>
          <w:szCs w:val="28"/>
          <w:vertAlign w:val="superscript"/>
        </w:rPr>
        <w:t>)</w:t>
      </w:r>
    </w:p>
    <w:p w14:paraId="69F232B3" w14:textId="77777777" w:rsidR="00672E03" w:rsidRDefault="00672E03">
      <w:pPr>
        <w:pBdr>
          <w:top w:val="nil"/>
          <w:left w:val="nil"/>
          <w:bottom w:val="nil"/>
          <w:right w:val="nil"/>
          <w:between w:val="nil"/>
        </w:pBdr>
        <w:rPr>
          <w:color w:val="000000"/>
          <w:sz w:val="31"/>
          <w:szCs w:val="31"/>
        </w:rPr>
      </w:pPr>
    </w:p>
    <w:p w14:paraId="0B8FEF7C" w14:textId="77777777" w:rsidR="00672E03" w:rsidRDefault="00000000">
      <w:pPr>
        <w:ind w:left="307" w:right="333"/>
        <w:jc w:val="center"/>
        <w:rPr>
          <w:i/>
          <w:sz w:val="20"/>
          <w:szCs w:val="20"/>
        </w:rPr>
      </w:pPr>
      <w:r>
        <w:rPr>
          <w:i/>
        </w:rPr>
        <w:t xml:space="preserve">Department of Chemistry, </w:t>
      </w:r>
      <w:proofErr w:type="spellStart"/>
      <w:r>
        <w:rPr>
          <w:i/>
        </w:rPr>
        <w:t>Institut</w:t>
      </w:r>
      <w:proofErr w:type="spellEnd"/>
      <w:r>
        <w:rPr>
          <w:i/>
        </w:rPr>
        <w:t xml:space="preserve"> </w:t>
      </w:r>
      <w:proofErr w:type="spellStart"/>
      <w:r>
        <w:rPr>
          <w:i/>
        </w:rPr>
        <w:t>Teknologi</w:t>
      </w:r>
      <w:proofErr w:type="spellEnd"/>
      <w:r>
        <w:rPr>
          <w:i/>
        </w:rPr>
        <w:t xml:space="preserve"> </w:t>
      </w:r>
      <w:proofErr w:type="spellStart"/>
      <w:r>
        <w:rPr>
          <w:i/>
        </w:rPr>
        <w:t>Sepuluh</w:t>
      </w:r>
      <w:proofErr w:type="spellEnd"/>
      <w:r>
        <w:rPr>
          <w:i/>
        </w:rPr>
        <w:t xml:space="preserve"> </w:t>
      </w:r>
      <w:proofErr w:type="spellStart"/>
      <w:r>
        <w:rPr>
          <w:i/>
        </w:rPr>
        <w:t>Nopember</w:t>
      </w:r>
      <w:proofErr w:type="spellEnd"/>
      <w:r>
        <w:rPr>
          <w:i/>
        </w:rPr>
        <w:t xml:space="preserve"> (ITS), Kampus ITS </w:t>
      </w:r>
      <w:proofErr w:type="spellStart"/>
      <w:r>
        <w:rPr>
          <w:i/>
        </w:rPr>
        <w:t>Sukolilo</w:t>
      </w:r>
      <w:proofErr w:type="spellEnd"/>
      <w:r>
        <w:rPr>
          <w:i/>
        </w:rPr>
        <w:t>, Surabaya 60111, Indonesia</w:t>
      </w:r>
      <w:r>
        <w:rPr>
          <w:i/>
          <w:sz w:val="20"/>
          <w:szCs w:val="20"/>
        </w:rPr>
        <w:t>.</w:t>
      </w:r>
    </w:p>
    <w:p w14:paraId="2BE319CD" w14:textId="77777777" w:rsidR="00672E03" w:rsidRDefault="00672E03">
      <w:pPr>
        <w:pBdr>
          <w:top w:val="nil"/>
          <w:left w:val="nil"/>
          <w:bottom w:val="nil"/>
          <w:right w:val="nil"/>
          <w:between w:val="nil"/>
        </w:pBdr>
        <w:spacing w:before="10"/>
        <w:rPr>
          <w:i/>
          <w:color w:val="000000"/>
          <w:sz w:val="19"/>
          <w:szCs w:val="19"/>
        </w:rPr>
      </w:pPr>
    </w:p>
    <w:p w14:paraId="42619854" w14:textId="77777777" w:rsidR="00672E03" w:rsidRDefault="00000000">
      <w:pPr>
        <w:pBdr>
          <w:top w:val="nil"/>
          <w:left w:val="nil"/>
          <w:bottom w:val="nil"/>
          <w:right w:val="nil"/>
          <w:between w:val="nil"/>
        </w:pBdr>
        <w:ind w:left="1614" w:hanging="1614"/>
        <w:jc w:val="center"/>
        <w:rPr>
          <w:color w:val="000000"/>
          <w:sz w:val="20"/>
          <w:szCs w:val="20"/>
        </w:rPr>
      </w:pPr>
      <w:r>
        <w:rPr>
          <w:color w:val="000000"/>
          <w:sz w:val="20"/>
          <w:szCs w:val="20"/>
          <w:vertAlign w:val="superscript"/>
        </w:rPr>
        <w:t>a)</w:t>
      </w:r>
      <w:r>
        <w:rPr>
          <w:color w:val="000000"/>
          <w:sz w:val="20"/>
          <w:szCs w:val="20"/>
        </w:rPr>
        <w:t xml:space="preserve"> Corresponding author: </w:t>
      </w:r>
      <w:hyperlink r:id="rId8">
        <w:r>
          <w:rPr>
            <w:color w:val="0000FF"/>
            <w:sz w:val="20"/>
            <w:szCs w:val="20"/>
            <w:u w:val="single"/>
          </w:rPr>
          <w:t>adi_setyo@its.ac.id</w:t>
        </w:r>
      </w:hyperlink>
    </w:p>
    <w:p w14:paraId="351D939A" w14:textId="77777777" w:rsidR="00672E03" w:rsidRDefault="00672E03">
      <w:pPr>
        <w:pBdr>
          <w:top w:val="nil"/>
          <w:left w:val="nil"/>
          <w:bottom w:val="nil"/>
          <w:right w:val="nil"/>
          <w:between w:val="nil"/>
        </w:pBdr>
        <w:spacing w:before="3"/>
        <w:rPr>
          <w:color w:val="000000"/>
          <w:sz w:val="23"/>
          <w:szCs w:val="23"/>
        </w:rPr>
      </w:pPr>
    </w:p>
    <w:p w14:paraId="4AB4408E" w14:textId="77777777" w:rsidR="00672E03" w:rsidRDefault="00000000">
      <w:pPr>
        <w:pBdr>
          <w:top w:val="nil"/>
          <w:left w:val="nil"/>
          <w:bottom w:val="nil"/>
          <w:right w:val="nil"/>
          <w:between w:val="nil"/>
        </w:pBdr>
        <w:ind w:left="100" w:right="112" w:firstLine="283"/>
        <w:jc w:val="both"/>
        <w:rPr>
          <w:color w:val="000000"/>
          <w:sz w:val="18"/>
          <w:szCs w:val="18"/>
        </w:rPr>
      </w:pPr>
      <w:r>
        <w:rPr>
          <w:b/>
          <w:color w:val="000000"/>
          <w:sz w:val="18"/>
          <w:szCs w:val="18"/>
        </w:rPr>
        <w:t xml:space="preserve">Abstract. </w:t>
      </w:r>
      <w:r>
        <w:rPr>
          <w:color w:val="000000"/>
          <w:sz w:val="18"/>
          <w:szCs w:val="18"/>
        </w:rPr>
        <w:t>The Gayam plant (</w:t>
      </w:r>
      <w:proofErr w:type="spellStart"/>
      <w:r>
        <w:rPr>
          <w:i/>
          <w:color w:val="000000"/>
          <w:sz w:val="18"/>
          <w:szCs w:val="18"/>
        </w:rPr>
        <w:t>Inocarpus</w:t>
      </w:r>
      <w:proofErr w:type="spellEnd"/>
      <w:r>
        <w:rPr>
          <w:i/>
          <w:color w:val="000000"/>
          <w:sz w:val="18"/>
          <w:szCs w:val="18"/>
        </w:rPr>
        <w:t xml:space="preserve"> </w:t>
      </w:r>
      <w:proofErr w:type="spellStart"/>
      <w:r>
        <w:rPr>
          <w:i/>
          <w:color w:val="000000"/>
          <w:sz w:val="18"/>
          <w:szCs w:val="18"/>
        </w:rPr>
        <w:t>fagifer</w:t>
      </w:r>
      <w:proofErr w:type="spellEnd"/>
      <w:r>
        <w:rPr>
          <w:color w:val="000000"/>
          <w:sz w:val="18"/>
          <w:szCs w:val="18"/>
        </w:rPr>
        <w:t xml:space="preserve">) is a crucial part of tropical ecosystem conservation. This plant, a member of the legume family, can grow up to 30 meters tall, and its fruit is commonly known as </w:t>
      </w:r>
      <w:proofErr w:type="spellStart"/>
      <w:r>
        <w:rPr>
          <w:color w:val="000000"/>
          <w:sz w:val="18"/>
          <w:szCs w:val="18"/>
        </w:rPr>
        <w:t>Gatep</w:t>
      </w:r>
      <w:proofErr w:type="spellEnd"/>
      <w:r>
        <w:rPr>
          <w:color w:val="000000"/>
          <w:sz w:val="18"/>
          <w:szCs w:val="18"/>
        </w:rPr>
        <w:t>. Scientific studies have shown that the leaves, bark, and seeds of the Gayam plant contain compounds with both antioxidant and antimicrobial properties. The maceration process produced a thick extract of Gayam seeds with a distinctive aroma and a dark brown color in DCM solvent and orange in n-hexane solvent. In addition, the yield was 2.97% in DCM solvent and 2.01% in n-hexane solvent. Inhibition (%) of Gayam seed extract was 14.16% in DCM solvent and 6.13% in n-hexane solvent.</w:t>
      </w:r>
    </w:p>
    <w:p w14:paraId="001D579D" w14:textId="77777777" w:rsidR="00672E03" w:rsidRDefault="00672E03">
      <w:pPr>
        <w:pBdr>
          <w:top w:val="nil"/>
          <w:left w:val="nil"/>
          <w:bottom w:val="nil"/>
          <w:right w:val="nil"/>
          <w:between w:val="nil"/>
        </w:pBdr>
        <w:rPr>
          <w:color w:val="000000"/>
          <w:sz w:val="20"/>
          <w:szCs w:val="20"/>
        </w:rPr>
      </w:pPr>
    </w:p>
    <w:p w14:paraId="00B6D537" w14:textId="77777777" w:rsidR="00672E03" w:rsidRDefault="00000000">
      <w:pPr>
        <w:pStyle w:val="Heading1"/>
        <w:spacing w:before="129"/>
        <w:ind w:right="323" w:firstLine="307"/>
      </w:pPr>
      <w:r>
        <w:t>INTRODUCTION</w:t>
      </w:r>
    </w:p>
    <w:p w14:paraId="011E54C9" w14:textId="77777777" w:rsidR="00672E03" w:rsidRDefault="00672E03">
      <w:pPr>
        <w:pBdr>
          <w:top w:val="nil"/>
          <w:left w:val="nil"/>
          <w:bottom w:val="nil"/>
          <w:right w:val="nil"/>
          <w:between w:val="nil"/>
        </w:pBdr>
        <w:rPr>
          <w:b/>
          <w:color w:val="000000"/>
          <w:sz w:val="21"/>
          <w:szCs w:val="21"/>
        </w:rPr>
      </w:pPr>
    </w:p>
    <w:p w14:paraId="03A74E8B" w14:textId="77777777" w:rsidR="00672E03" w:rsidRDefault="00000000">
      <w:pPr>
        <w:pBdr>
          <w:top w:val="nil"/>
          <w:left w:val="nil"/>
          <w:bottom w:val="nil"/>
          <w:right w:val="nil"/>
          <w:between w:val="nil"/>
        </w:pBdr>
        <w:ind w:left="100" w:right="112" w:firstLine="283"/>
        <w:jc w:val="both"/>
        <w:rPr>
          <w:color w:val="000000"/>
          <w:sz w:val="20"/>
          <w:szCs w:val="20"/>
        </w:rPr>
      </w:pPr>
      <w:r>
        <w:rPr>
          <w:color w:val="000000"/>
          <w:sz w:val="20"/>
          <w:szCs w:val="20"/>
        </w:rPr>
        <w:t xml:space="preserve">Tropical ecosystems are among the world's richest sources of biodiversity, providing terrestrial habitats that play a crucial role in maintaining Earth's highly diverse and productive biological variety. Through the significant contributions of their flora and fauna, these ecosystems help sustain global ecological balance. However, Indonesia, as an integral part of tropical ecosystems, faces serious environmental threats, particularly in relation to species extinction and habitat degradation, which lead to a decline in biodiversity. Rapid population growth has driven an increase in basic needs, triggering land-use changes involving forests, rice fields, and community gardens, carried out by both the government and private sector. These impacts are highly detrimental, causing simultaneous declines in the populations of various </w:t>
      </w:r>
      <w:proofErr w:type="gramStart"/>
      <w:r>
        <w:rPr>
          <w:color w:val="000000"/>
          <w:sz w:val="20"/>
          <w:szCs w:val="20"/>
        </w:rPr>
        <w:t>plant</w:t>
      </w:r>
      <w:proofErr w:type="gramEnd"/>
      <w:r>
        <w:rPr>
          <w:color w:val="000000"/>
          <w:sz w:val="20"/>
          <w:szCs w:val="20"/>
        </w:rPr>
        <w:t>, animal, and microbial species. As a result, Indonesia has been designated as one of the global priority areas for biodiversity conservation [1].</w:t>
      </w:r>
    </w:p>
    <w:p w14:paraId="447CE70A" w14:textId="77777777" w:rsidR="00672E03" w:rsidRDefault="00000000">
      <w:pPr>
        <w:pBdr>
          <w:top w:val="nil"/>
          <w:left w:val="nil"/>
          <w:bottom w:val="nil"/>
          <w:right w:val="nil"/>
          <w:between w:val="nil"/>
        </w:pBdr>
        <w:ind w:left="100" w:right="112" w:firstLine="283"/>
        <w:jc w:val="both"/>
        <w:rPr>
          <w:color w:val="000000"/>
          <w:sz w:val="20"/>
          <w:szCs w:val="20"/>
        </w:rPr>
      </w:pPr>
      <w:r>
        <w:rPr>
          <w:color w:val="000000"/>
          <w:sz w:val="20"/>
          <w:szCs w:val="20"/>
        </w:rPr>
        <w:t>One key component of this conservation strategy is the Gayam plant (</w:t>
      </w:r>
      <w:proofErr w:type="spellStart"/>
      <w:r>
        <w:rPr>
          <w:i/>
          <w:color w:val="000000"/>
          <w:sz w:val="20"/>
          <w:szCs w:val="20"/>
        </w:rPr>
        <w:t>Inocarpus</w:t>
      </w:r>
      <w:proofErr w:type="spellEnd"/>
      <w:r>
        <w:rPr>
          <w:i/>
          <w:color w:val="000000"/>
          <w:sz w:val="20"/>
          <w:szCs w:val="20"/>
        </w:rPr>
        <w:t xml:space="preserve"> </w:t>
      </w:r>
      <w:proofErr w:type="spellStart"/>
      <w:r>
        <w:rPr>
          <w:i/>
          <w:color w:val="000000"/>
          <w:sz w:val="20"/>
          <w:szCs w:val="20"/>
        </w:rPr>
        <w:t>fagifer</w:t>
      </w:r>
      <w:proofErr w:type="spellEnd"/>
      <w:r>
        <w:rPr>
          <w:color w:val="000000"/>
          <w:sz w:val="20"/>
          <w:szCs w:val="20"/>
        </w:rPr>
        <w:t>), which plays a strategic role in maintaining the balance of tropical ecosystems. This plant contributes significantly to addressing the environmental and economic challenges faced by Indonesia. As the sustainability of tropical ecosystems becomes increasingly threatened, the preservation of the Gayam plant stands out as a fundamental pillar of conservation efforts.</w:t>
      </w:r>
    </w:p>
    <w:p w14:paraId="06B8527A" w14:textId="77777777" w:rsidR="00672E03" w:rsidRDefault="00000000">
      <w:pPr>
        <w:pBdr>
          <w:top w:val="nil"/>
          <w:left w:val="nil"/>
          <w:bottom w:val="nil"/>
          <w:right w:val="nil"/>
          <w:between w:val="nil"/>
        </w:pBdr>
        <w:ind w:left="100" w:right="112" w:firstLine="283"/>
        <w:jc w:val="both"/>
        <w:rPr>
          <w:color w:val="000000"/>
          <w:sz w:val="20"/>
          <w:szCs w:val="20"/>
        </w:rPr>
      </w:pPr>
      <w:r>
        <w:rPr>
          <w:color w:val="000000"/>
          <w:sz w:val="20"/>
          <w:szCs w:val="20"/>
        </w:rPr>
        <w:t xml:space="preserve">The Gayam fruit, also known as </w:t>
      </w:r>
      <w:proofErr w:type="spellStart"/>
      <w:r>
        <w:rPr>
          <w:color w:val="000000"/>
          <w:sz w:val="20"/>
          <w:szCs w:val="20"/>
        </w:rPr>
        <w:t>Gatep</w:t>
      </w:r>
      <w:proofErr w:type="spellEnd"/>
      <w:r>
        <w:rPr>
          <w:color w:val="000000"/>
          <w:sz w:val="20"/>
          <w:szCs w:val="20"/>
        </w:rPr>
        <w:t xml:space="preserve">, belongs to the legume family (Fabaceae) and can grow up to 20–30 meters in height. The fruit is flat and kidney-shaped, with </w:t>
      </w:r>
      <w:proofErr w:type="gramStart"/>
      <w:r>
        <w:rPr>
          <w:color w:val="000000"/>
          <w:sz w:val="20"/>
          <w:szCs w:val="20"/>
        </w:rPr>
        <w:t>a tough</w:t>
      </w:r>
      <w:proofErr w:type="gramEnd"/>
      <w:r>
        <w:rPr>
          <w:color w:val="000000"/>
          <w:sz w:val="20"/>
          <w:szCs w:val="20"/>
        </w:rPr>
        <w:t xml:space="preserve"> outer skin and a smooth surface. Gayam trees are classified as perennials, and their fruits have a relatively hard texture and lack ovaries, unlike most other fruits. The seeds of the Gayam contain sap and are encased in a hard outer shell. When unripe, the fruit is green, turning yellow or brown as it ripens. Gayam trees can grow as tall as 30 meters, with trunk diameters reaching up to 65 cm. The trunks often feature irregular grooves and may develop buttress roots, with drooping branches that offer various potential </w:t>
      </w:r>
      <w:r>
        <w:rPr>
          <w:sz w:val="20"/>
          <w:szCs w:val="20"/>
        </w:rPr>
        <w:t>benefits</w:t>
      </w:r>
      <w:r>
        <w:rPr>
          <w:color w:val="000000"/>
          <w:sz w:val="20"/>
          <w:szCs w:val="20"/>
        </w:rPr>
        <w:t>. Scientific studies have reported that Gayam leaves, bark, and seeds all have antioxidant and antimicrobial properties [2].</w:t>
      </w:r>
    </w:p>
    <w:p w14:paraId="6840D36E" w14:textId="77777777" w:rsidR="00672E03" w:rsidRDefault="00000000">
      <w:pPr>
        <w:pBdr>
          <w:top w:val="nil"/>
          <w:left w:val="nil"/>
          <w:bottom w:val="nil"/>
          <w:right w:val="nil"/>
          <w:between w:val="nil"/>
        </w:pBdr>
        <w:ind w:left="100" w:right="112" w:firstLine="283"/>
        <w:jc w:val="both"/>
        <w:rPr>
          <w:color w:val="000000"/>
          <w:sz w:val="20"/>
          <w:szCs w:val="20"/>
        </w:rPr>
      </w:pPr>
      <w:r>
        <w:rPr>
          <w:color w:val="000000"/>
          <w:sz w:val="20"/>
          <w:szCs w:val="20"/>
        </w:rPr>
        <w:t>Antioxidants are compounds that prevent or slow down the oxidation of lipids and other biomolecules. They do this by stopping the start or spread of oxidative chain reactions. These compounds are crucial for protecting cells from free radical damage, as they balance the creation and removal of these radicals. By neutralizing them, antioxidants prevent further cellular damage and can lower the risk of various diseases. Ultimately, antioxidants are important for their ability to suppress free radical activity in both food and biological systems [3].</w:t>
      </w:r>
    </w:p>
    <w:p w14:paraId="19FC1D3F" w14:textId="77777777" w:rsidR="00672E03" w:rsidRDefault="00000000">
      <w:pPr>
        <w:pBdr>
          <w:top w:val="nil"/>
          <w:left w:val="nil"/>
          <w:bottom w:val="nil"/>
          <w:right w:val="nil"/>
          <w:between w:val="nil"/>
        </w:pBdr>
        <w:ind w:left="100" w:right="112" w:firstLine="283"/>
        <w:jc w:val="both"/>
        <w:rPr>
          <w:color w:val="000000"/>
          <w:sz w:val="20"/>
          <w:szCs w:val="20"/>
        </w:rPr>
      </w:pPr>
      <w:r>
        <w:rPr>
          <w:color w:val="000000"/>
          <w:sz w:val="20"/>
          <w:szCs w:val="20"/>
        </w:rPr>
        <w:t>In the food industry, antioxidants are used to prevent food from going rancid. While synthetic antioxidants like butylated hydroxytoluene (BHT) and butylated hydroxyanisole (BHA) are effective, their use has raised concerns due to potential side effects, including toxicity and even links to cancer. Because of this, plants are now seen as a safer and more effective alternative to these synthetic options [4-6].</w:t>
      </w:r>
    </w:p>
    <w:p w14:paraId="77FABE25" w14:textId="77777777" w:rsidR="00672E03" w:rsidRDefault="00672E03">
      <w:pPr>
        <w:pBdr>
          <w:top w:val="nil"/>
          <w:left w:val="nil"/>
          <w:bottom w:val="nil"/>
          <w:right w:val="nil"/>
          <w:between w:val="nil"/>
        </w:pBdr>
        <w:ind w:left="100" w:right="112" w:firstLine="283"/>
        <w:jc w:val="both"/>
        <w:rPr>
          <w:color w:val="000000"/>
          <w:sz w:val="20"/>
          <w:szCs w:val="20"/>
        </w:rPr>
      </w:pPr>
    </w:p>
    <w:p w14:paraId="695D7D7C" w14:textId="77777777" w:rsidR="00672E03" w:rsidRDefault="00000000">
      <w:pPr>
        <w:pBdr>
          <w:top w:val="nil"/>
          <w:left w:val="nil"/>
          <w:bottom w:val="nil"/>
          <w:right w:val="nil"/>
          <w:between w:val="nil"/>
        </w:pBdr>
        <w:ind w:left="100" w:right="112" w:firstLine="283"/>
        <w:jc w:val="both"/>
        <w:rPr>
          <w:color w:val="000000"/>
          <w:sz w:val="20"/>
          <w:szCs w:val="20"/>
        </w:rPr>
      </w:pPr>
      <w:r>
        <w:rPr>
          <w:color w:val="000000"/>
          <w:sz w:val="20"/>
          <w:szCs w:val="20"/>
        </w:rPr>
        <w:lastRenderedPageBreak/>
        <w:t>Antioxidant activity is a key metric for characterizing compounds and food samples, whether natural or synthetic. It measures their ability to neutralize or scavenge free radicals, which are harmful to biological systems. The presence of these protective compounds is directly related to a substance's antioxidant power. Various methods exist to test for this activity, with the 2,2'-azino-bis (3-ethylbenzothiazoline-6-sulfonic acid) (ABTS) and 2,2-diphenyl-1-picrylhydrazyl (DPPH) assays being among the most common [7,</w:t>
      </w:r>
      <w:r>
        <w:rPr>
          <w:sz w:val="20"/>
          <w:szCs w:val="20"/>
        </w:rPr>
        <w:t xml:space="preserve"> </w:t>
      </w:r>
      <w:r>
        <w:rPr>
          <w:color w:val="000000"/>
          <w:sz w:val="20"/>
          <w:szCs w:val="20"/>
        </w:rPr>
        <w:t>8].</w:t>
      </w:r>
    </w:p>
    <w:p w14:paraId="42A3FB8D" w14:textId="77777777" w:rsidR="00672E03" w:rsidRDefault="00672E03">
      <w:pPr>
        <w:pBdr>
          <w:top w:val="nil"/>
          <w:left w:val="nil"/>
          <w:bottom w:val="nil"/>
          <w:right w:val="nil"/>
          <w:between w:val="nil"/>
        </w:pBdr>
        <w:spacing w:before="9"/>
        <w:rPr>
          <w:color w:val="000000"/>
          <w:sz w:val="20"/>
          <w:szCs w:val="20"/>
        </w:rPr>
      </w:pPr>
    </w:p>
    <w:p w14:paraId="27F63394" w14:textId="77777777" w:rsidR="00672E03" w:rsidRDefault="00672E03">
      <w:pPr>
        <w:pBdr>
          <w:top w:val="nil"/>
          <w:left w:val="nil"/>
          <w:bottom w:val="nil"/>
          <w:right w:val="nil"/>
          <w:between w:val="nil"/>
        </w:pBdr>
        <w:spacing w:before="9"/>
        <w:rPr>
          <w:color w:val="000000"/>
          <w:sz w:val="20"/>
          <w:szCs w:val="20"/>
        </w:rPr>
      </w:pPr>
    </w:p>
    <w:p w14:paraId="2B258910" w14:textId="77777777" w:rsidR="00672E03" w:rsidRDefault="00000000">
      <w:pPr>
        <w:pStyle w:val="Heading1"/>
        <w:ind w:left="2409" w:right="2423"/>
      </w:pPr>
      <w:r>
        <w:t>MATERIALS AND METHOD</w:t>
      </w:r>
    </w:p>
    <w:p w14:paraId="5A07EB8D" w14:textId="77777777" w:rsidR="00672E03" w:rsidRDefault="00672E03">
      <w:pPr>
        <w:pBdr>
          <w:top w:val="nil"/>
          <w:left w:val="nil"/>
          <w:bottom w:val="nil"/>
          <w:right w:val="nil"/>
          <w:between w:val="nil"/>
        </w:pBdr>
        <w:spacing w:before="10"/>
        <w:rPr>
          <w:b/>
          <w:color w:val="000000"/>
          <w:sz w:val="20"/>
          <w:szCs w:val="20"/>
        </w:rPr>
      </w:pPr>
    </w:p>
    <w:p w14:paraId="7CE457A9" w14:textId="77777777" w:rsidR="00672E03" w:rsidRDefault="00000000">
      <w:pPr>
        <w:ind w:left="307" w:right="328"/>
        <w:jc w:val="center"/>
        <w:rPr>
          <w:b/>
          <w:sz w:val="24"/>
          <w:szCs w:val="24"/>
        </w:rPr>
      </w:pPr>
      <w:r>
        <w:rPr>
          <w:b/>
          <w:sz w:val="24"/>
          <w:szCs w:val="24"/>
        </w:rPr>
        <w:t>Materials</w:t>
      </w:r>
    </w:p>
    <w:p w14:paraId="5F03ED9F" w14:textId="77777777" w:rsidR="00672E03" w:rsidRDefault="00672E03">
      <w:pPr>
        <w:ind w:left="307" w:right="328"/>
        <w:jc w:val="both"/>
        <w:rPr>
          <w:b/>
          <w:sz w:val="24"/>
          <w:szCs w:val="24"/>
        </w:rPr>
      </w:pPr>
    </w:p>
    <w:p w14:paraId="34BFD716" w14:textId="77777777" w:rsidR="00672E03" w:rsidRDefault="00000000">
      <w:pPr>
        <w:ind w:firstLine="202"/>
        <w:jc w:val="both"/>
        <w:rPr>
          <w:sz w:val="20"/>
          <w:szCs w:val="20"/>
        </w:rPr>
      </w:pPr>
      <w:r>
        <w:rPr>
          <w:sz w:val="20"/>
          <w:szCs w:val="20"/>
        </w:rPr>
        <w:t xml:space="preserve">The primary material used was Gayam seeds, which were collected from Bantul, Special Region of Yogyakarta. Furthermore, other materials used for extraction include n-hexane (Merck, Germany), DCM (Merck, Germany), gallic acid, and DPPH reagent (Rey’s Laboratory). </w:t>
      </w:r>
    </w:p>
    <w:p w14:paraId="3EAB372A" w14:textId="77777777" w:rsidR="00672E03" w:rsidRDefault="00672E03">
      <w:pPr>
        <w:pBdr>
          <w:top w:val="nil"/>
          <w:left w:val="nil"/>
          <w:bottom w:val="nil"/>
          <w:right w:val="nil"/>
          <w:between w:val="nil"/>
        </w:pBdr>
        <w:ind w:firstLine="307"/>
        <w:jc w:val="both"/>
        <w:rPr>
          <w:color w:val="000000"/>
          <w:sz w:val="20"/>
          <w:szCs w:val="20"/>
        </w:rPr>
      </w:pPr>
    </w:p>
    <w:p w14:paraId="49702DBC" w14:textId="77777777" w:rsidR="00672E03" w:rsidRDefault="00672E03">
      <w:pPr>
        <w:pBdr>
          <w:top w:val="nil"/>
          <w:left w:val="nil"/>
          <w:bottom w:val="nil"/>
          <w:right w:val="nil"/>
          <w:between w:val="nil"/>
        </w:pBdr>
        <w:spacing w:before="8"/>
        <w:rPr>
          <w:color w:val="000000"/>
          <w:sz w:val="20"/>
          <w:szCs w:val="20"/>
        </w:rPr>
      </w:pPr>
    </w:p>
    <w:p w14:paraId="6F975937" w14:textId="77777777" w:rsidR="00672E03" w:rsidRDefault="00000000">
      <w:pPr>
        <w:pStyle w:val="Heading1"/>
        <w:ind w:right="332" w:firstLine="307"/>
      </w:pPr>
      <w:r>
        <w:t>Maceration Process</w:t>
      </w:r>
    </w:p>
    <w:p w14:paraId="1C467D9B" w14:textId="77777777" w:rsidR="00672E03" w:rsidRDefault="00672E03">
      <w:pPr>
        <w:pBdr>
          <w:top w:val="nil"/>
          <w:left w:val="nil"/>
          <w:bottom w:val="nil"/>
          <w:right w:val="nil"/>
          <w:between w:val="nil"/>
        </w:pBdr>
        <w:spacing w:before="2"/>
        <w:rPr>
          <w:b/>
          <w:color w:val="000000"/>
          <w:sz w:val="21"/>
          <w:szCs w:val="21"/>
        </w:rPr>
      </w:pPr>
    </w:p>
    <w:p w14:paraId="574D6911" w14:textId="77777777" w:rsidR="00672E03" w:rsidRDefault="00000000">
      <w:pPr>
        <w:pBdr>
          <w:top w:val="nil"/>
          <w:left w:val="nil"/>
          <w:bottom w:val="nil"/>
          <w:right w:val="nil"/>
          <w:between w:val="nil"/>
        </w:pBdr>
        <w:spacing w:before="2"/>
        <w:ind w:firstLine="307"/>
        <w:jc w:val="both"/>
        <w:rPr>
          <w:color w:val="000000"/>
          <w:sz w:val="20"/>
          <w:szCs w:val="20"/>
        </w:rPr>
      </w:pPr>
      <w:r>
        <w:rPr>
          <w:color w:val="000000"/>
          <w:sz w:val="20"/>
          <w:szCs w:val="20"/>
        </w:rPr>
        <w:t xml:space="preserve">The Gayam seeds (1 kg) were collected, sorted, and cleaned. The seeds were then cut into smaller pieces and air-dried at room temperature. They were </w:t>
      </w:r>
      <w:proofErr w:type="gramStart"/>
      <w:r>
        <w:rPr>
          <w:color w:val="000000"/>
          <w:sz w:val="20"/>
          <w:szCs w:val="20"/>
        </w:rPr>
        <w:t>ground</w:t>
      </w:r>
      <w:proofErr w:type="gramEnd"/>
      <w:r>
        <w:rPr>
          <w:color w:val="000000"/>
          <w:sz w:val="20"/>
          <w:szCs w:val="20"/>
        </w:rPr>
        <w:t xml:space="preserve"> into a fine powder using a grinder with 60-mesh. Finely ground Gayam seed powder was weighed at 100 grams and macerated in a jar with the addition of 500 mL each of </w:t>
      </w:r>
      <w:r>
        <w:rPr>
          <w:i/>
          <w:color w:val="000000"/>
          <w:sz w:val="20"/>
          <w:szCs w:val="20"/>
        </w:rPr>
        <w:t>n</w:t>
      </w:r>
      <w:r>
        <w:rPr>
          <w:color w:val="000000"/>
          <w:sz w:val="20"/>
          <w:szCs w:val="20"/>
        </w:rPr>
        <w:t xml:space="preserve">-hexane and DCM (dichloromethane) for 48 hours on the first day. The </w:t>
      </w:r>
      <w:r>
        <w:rPr>
          <w:i/>
          <w:color w:val="000000"/>
          <w:sz w:val="20"/>
          <w:szCs w:val="20"/>
        </w:rPr>
        <w:t>n</w:t>
      </w:r>
      <w:r>
        <w:rPr>
          <w:color w:val="000000"/>
          <w:sz w:val="20"/>
          <w:szCs w:val="20"/>
        </w:rPr>
        <w:t xml:space="preserve">-hexane and DCM macerates </w:t>
      </w:r>
      <w:proofErr w:type="gramStart"/>
      <w:r>
        <w:rPr>
          <w:color w:val="000000"/>
          <w:sz w:val="20"/>
          <w:szCs w:val="20"/>
        </w:rPr>
        <w:t>were each</w:t>
      </w:r>
      <w:proofErr w:type="gramEnd"/>
      <w:r>
        <w:rPr>
          <w:color w:val="000000"/>
          <w:sz w:val="20"/>
          <w:szCs w:val="20"/>
        </w:rPr>
        <w:t xml:space="preserve"> filtered using filter paper. The obtained filtrates were measured using a measuring cylinder, followed by </w:t>
      </w:r>
      <w:proofErr w:type="spellStart"/>
      <w:r>
        <w:rPr>
          <w:color w:val="000000"/>
          <w:sz w:val="20"/>
          <w:szCs w:val="20"/>
        </w:rPr>
        <w:t>remaceration</w:t>
      </w:r>
      <w:proofErr w:type="spellEnd"/>
      <w:r>
        <w:rPr>
          <w:color w:val="000000"/>
          <w:sz w:val="20"/>
          <w:szCs w:val="20"/>
        </w:rPr>
        <w:t xml:space="preserve"> by adding 500 mL each of </w:t>
      </w:r>
      <w:r>
        <w:rPr>
          <w:i/>
          <w:color w:val="000000"/>
          <w:sz w:val="20"/>
          <w:szCs w:val="20"/>
        </w:rPr>
        <w:t>n</w:t>
      </w:r>
      <w:r>
        <w:rPr>
          <w:color w:val="000000"/>
          <w:sz w:val="20"/>
          <w:szCs w:val="20"/>
        </w:rPr>
        <w:t>-hexane and DCM on the second day to obtain macerates I and II. All the macerates were combined into a single container, and evaporation was performed using a rotary vacuum evaporator, yielding a thick extract.</w:t>
      </w:r>
    </w:p>
    <w:p w14:paraId="4FC48F23" w14:textId="77777777" w:rsidR="00672E03" w:rsidRDefault="00672E03">
      <w:pPr>
        <w:pBdr>
          <w:top w:val="nil"/>
          <w:left w:val="nil"/>
          <w:bottom w:val="nil"/>
          <w:right w:val="nil"/>
          <w:between w:val="nil"/>
        </w:pBdr>
        <w:spacing w:before="2"/>
        <w:ind w:firstLine="307"/>
        <w:jc w:val="both"/>
        <w:rPr>
          <w:b/>
          <w:color w:val="000000"/>
          <w:sz w:val="21"/>
          <w:szCs w:val="21"/>
        </w:rPr>
      </w:pPr>
    </w:p>
    <w:p w14:paraId="42B40303" w14:textId="77777777" w:rsidR="00672E03" w:rsidRDefault="00000000">
      <w:pPr>
        <w:pStyle w:val="Heading1"/>
        <w:ind w:right="332" w:firstLine="307"/>
      </w:pPr>
      <w:r>
        <w:t>Antioxidant Assay</w:t>
      </w:r>
    </w:p>
    <w:p w14:paraId="0EE46701" w14:textId="77777777" w:rsidR="00672E03" w:rsidRDefault="00672E03">
      <w:pPr>
        <w:pBdr>
          <w:top w:val="nil"/>
          <w:left w:val="nil"/>
          <w:bottom w:val="nil"/>
          <w:right w:val="nil"/>
          <w:between w:val="nil"/>
        </w:pBdr>
        <w:rPr>
          <w:color w:val="000000"/>
          <w:sz w:val="21"/>
          <w:szCs w:val="21"/>
        </w:rPr>
      </w:pPr>
    </w:p>
    <w:p w14:paraId="6B504DD4" w14:textId="77777777" w:rsidR="00672E03" w:rsidRDefault="00000000">
      <w:pPr>
        <w:pBdr>
          <w:top w:val="nil"/>
          <w:left w:val="nil"/>
          <w:bottom w:val="nil"/>
          <w:right w:val="nil"/>
          <w:between w:val="nil"/>
        </w:pBdr>
        <w:ind w:left="100" w:right="115" w:firstLine="283"/>
        <w:jc w:val="both"/>
        <w:rPr>
          <w:color w:val="000000"/>
          <w:sz w:val="20"/>
          <w:szCs w:val="20"/>
        </w:rPr>
      </w:pPr>
      <w:r>
        <w:rPr>
          <w:color w:val="000000"/>
          <w:sz w:val="20"/>
          <w:szCs w:val="20"/>
        </w:rPr>
        <w:t>The ability of Gayam</w:t>
      </w:r>
      <w:r>
        <w:rPr>
          <w:i/>
          <w:color w:val="000000"/>
          <w:sz w:val="20"/>
          <w:szCs w:val="20"/>
        </w:rPr>
        <w:t xml:space="preserve"> </w:t>
      </w:r>
      <w:r>
        <w:rPr>
          <w:color w:val="000000"/>
          <w:sz w:val="20"/>
          <w:szCs w:val="20"/>
        </w:rPr>
        <w:t>seed extract to scavenge DPPH radicals was followed by a slightly adjusted version of the method from Lestari et al. [7]. The test solution was prepared by dissolving the extract in methanol at a concentration of 10 mg/</w:t>
      </w:r>
      <w:proofErr w:type="spellStart"/>
      <w:r>
        <w:rPr>
          <w:color w:val="000000"/>
          <w:sz w:val="20"/>
          <w:szCs w:val="20"/>
        </w:rPr>
        <w:t>mL.</w:t>
      </w:r>
      <w:proofErr w:type="spellEnd"/>
      <w:r>
        <w:rPr>
          <w:color w:val="000000"/>
          <w:sz w:val="20"/>
          <w:szCs w:val="20"/>
        </w:rPr>
        <w:t xml:space="preserve"> For the reaction, 33 µL of this extract was added to 1 mL of DPPH solution. The mixture was then incubated at 37°C for 20 minutes before its absorbance was read at 517 nm on a UV-Vis spectrophotometer. A blank was prepared with methanol instead of the extract, and gallic acid was used for comparison as a positive control. The percentage of DPPH radical scavenging activity was calculated using Equation 1:</w:t>
      </w:r>
    </w:p>
    <w:p w14:paraId="02C6AE43" w14:textId="77777777" w:rsidR="00672E03" w:rsidRDefault="00672E03">
      <w:pPr>
        <w:pBdr>
          <w:top w:val="nil"/>
          <w:left w:val="nil"/>
          <w:bottom w:val="nil"/>
          <w:right w:val="nil"/>
          <w:between w:val="nil"/>
        </w:pBdr>
        <w:ind w:left="100" w:right="115" w:firstLine="283"/>
        <w:jc w:val="both"/>
        <w:rPr>
          <w:color w:val="000000"/>
          <w:sz w:val="20"/>
          <w:szCs w:val="20"/>
        </w:rPr>
      </w:pPr>
    </w:p>
    <w:p w14:paraId="1B17F7B7" w14:textId="77777777" w:rsidR="00672E03" w:rsidRDefault="00000000">
      <w:pPr>
        <w:pBdr>
          <w:top w:val="nil"/>
          <w:left w:val="nil"/>
          <w:bottom w:val="nil"/>
          <w:right w:val="nil"/>
          <w:between w:val="nil"/>
        </w:pBdr>
        <w:ind w:left="100" w:right="115" w:firstLine="283"/>
        <w:jc w:val="center"/>
        <w:rPr>
          <w:color w:val="000000"/>
          <w:sz w:val="20"/>
          <w:szCs w:val="20"/>
        </w:rPr>
      </w:pPr>
      <w:r>
        <w:rPr>
          <w:color w:val="000000"/>
          <w:sz w:val="20"/>
          <w:szCs w:val="20"/>
        </w:rPr>
        <w:t xml:space="preserve">DPPH radical scavenging activity (%) = </w:t>
      </w:r>
      <m:oMath>
        <m:f>
          <m:fPr>
            <m:ctrlPr>
              <w:rPr>
                <w:rFonts w:ascii="Cambria Math" w:eastAsia="Cambria Math" w:hAnsi="Cambria Math" w:cs="Cambria Math"/>
                <w:color w:val="000000"/>
                <w:sz w:val="20"/>
                <w:szCs w:val="20"/>
              </w:rPr>
            </m:ctrlPr>
          </m:fPr>
          <m:num>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Abs</m:t>
                </m:r>
              </m:e>
              <m:sub>
                <m:r>
                  <w:rPr>
                    <w:rFonts w:ascii="Cambria Math" w:eastAsia="Cambria Math" w:hAnsi="Cambria Math" w:cs="Cambria Math"/>
                    <w:color w:val="000000"/>
                    <w:sz w:val="20"/>
                    <w:szCs w:val="20"/>
                  </w:rPr>
                  <m:t>blank</m:t>
                </m:r>
              </m:sub>
            </m:sSub>
            <m:r>
              <w:rPr>
                <w:rFonts w:ascii="Cambria Math" w:eastAsia="Cambria Math" w:hAnsi="Cambria Math" w:cs="Cambria Math"/>
                <w:color w:val="000000"/>
                <w:sz w:val="20"/>
                <w:szCs w:val="20"/>
              </w:rPr>
              <m:t>-</m:t>
            </m:r>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Abs</m:t>
                </m:r>
              </m:e>
              <m:sub>
                <m:r>
                  <w:rPr>
                    <w:rFonts w:ascii="Cambria Math" w:eastAsia="Cambria Math" w:hAnsi="Cambria Math" w:cs="Cambria Math"/>
                    <w:color w:val="000000"/>
                    <w:sz w:val="20"/>
                    <w:szCs w:val="20"/>
                  </w:rPr>
                  <m:t>sample</m:t>
                </m:r>
              </m:sub>
            </m:sSub>
          </m:num>
          <m:den>
            <m:sSub>
              <m:sSubPr>
                <m:ctrlPr>
                  <w:rPr>
                    <w:rFonts w:ascii="Cambria Math" w:eastAsia="Cambria Math" w:hAnsi="Cambria Math" w:cs="Cambria Math"/>
                    <w:color w:val="000000"/>
                    <w:sz w:val="20"/>
                    <w:szCs w:val="20"/>
                  </w:rPr>
                </m:ctrlPr>
              </m:sSubPr>
              <m:e>
                <m:r>
                  <w:rPr>
                    <w:rFonts w:ascii="Cambria Math" w:eastAsia="Cambria Math" w:hAnsi="Cambria Math" w:cs="Cambria Math"/>
                    <w:color w:val="000000"/>
                    <w:sz w:val="20"/>
                    <w:szCs w:val="20"/>
                  </w:rPr>
                  <m:t>Abs</m:t>
                </m:r>
              </m:e>
              <m:sub>
                <m:r>
                  <w:rPr>
                    <w:rFonts w:ascii="Cambria Math" w:eastAsia="Cambria Math" w:hAnsi="Cambria Math" w:cs="Cambria Math"/>
                    <w:color w:val="000000"/>
                    <w:sz w:val="20"/>
                    <w:szCs w:val="20"/>
                  </w:rPr>
                  <m:t>blank</m:t>
                </m:r>
              </m:sub>
            </m:sSub>
          </m:den>
        </m:f>
        <m:r>
          <w:rPr>
            <w:rFonts w:ascii="Cambria Math" w:eastAsia="Cambria Math" w:hAnsi="Cambria Math" w:cs="Cambria Math"/>
            <w:color w:val="000000"/>
            <w:sz w:val="20"/>
            <w:szCs w:val="20"/>
          </w:rPr>
          <m:t>×100%</m:t>
        </m:r>
      </m:oMath>
      <w:r>
        <w:rPr>
          <w:color w:val="000000"/>
          <w:sz w:val="20"/>
          <w:szCs w:val="20"/>
        </w:rPr>
        <w:tab/>
      </w:r>
      <w:r>
        <w:rPr>
          <w:color w:val="000000"/>
          <w:sz w:val="20"/>
          <w:szCs w:val="20"/>
        </w:rPr>
        <w:tab/>
        <w:t>(Eq. 1)</w:t>
      </w:r>
    </w:p>
    <w:p w14:paraId="0186E3E1" w14:textId="77777777" w:rsidR="00672E03" w:rsidRDefault="00672E03">
      <w:pPr>
        <w:pBdr>
          <w:top w:val="nil"/>
          <w:left w:val="nil"/>
          <w:bottom w:val="nil"/>
          <w:right w:val="nil"/>
          <w:between w:val="nil"/>
        </w:pBdr>
        <w:ind w:left="100" w:right="115" w:firstLine="283"/>
        <w:jc w:val="center"/>
        <w:rPr>
          <w:color w:val="000000"/>
          <w:sz w:val="20"/>
          <w:szCs w:val="20"/>
        </w:rPr>
      </w:pPr>
    </w:p>
    <w:p w14:paraId="2EE0E24A" w14:textId="77777777" w:rsidR="00672E03" w:rsidRDefault="00000000">
      <w:pPr>
        <w:pBdr>
          <w:top w:val="nil"/>
          <w:left w:val="nil"/>
          <w:bottom w:val="nil"/>
          <w:right w:val="nil"/>
          <w:between w:val="nil"/>
        </w:pBdr>
        <w:ind w:left="100" w:right="115" w:firstLine="283"/>
        <w:jc w:val="both"/>
        <w:rPr>
          <w:color w:val="000000"/>
          <w:sz w:val="20"/>
          <w:szCs w:val="20"/>
        </w:rPr>
      </w:pPr>
      <w:r>
        <w:rPr>
          <w:color w:val="000000"/>
          <w:sz w:val="20"/>
          <w:szCs w:val="20"/>
        </w:rPr>
        <w:t>Extracts showing high DPPH scavenging activity were further analyzed to determine their IC₅₀ values (</w:t>
      </w:r>
      <w:proofErr w:type="spellStart"/>
      <w:r>
        <w:rPr>
          <w:color w:val="000000"/>
          <w:sz w:val="20"/>
          <w:szCs w:val="20"/>
        </w:rPr>
        <w:t>μg</w:t>
      </w:r>
      <w:proofErr w:type="spellEnd"/>
      <w:r>
        <w:rPr>
          <w:color w:val="000000"/>
          <w:sz w:val="20"/>
          <w:szCs w:val="20"/>
        </w:rPr>
        <w:t xml:space="preserve">/mL). The IC₅₀ was calculated using linear regression from a plot of extract concentrations versus the average percentage of antioxidant activity, based on triplicate measurements. The IC₅₀ value shows the concentration of the extract needed to neutralize half of the DPPH radicals, which is a measure of its antioxidant effectiveness [8]. </w:t>
      </w:r>
    </w:p>
    <w:p w14:paraId="04560987" w14:textId="77777777" w:rsidR="00672E03" w:rsidRDefault="00672E03">
      <w:pPr>
        <w:pBdr>
          <w:top w:val="nil"/>
          <w:left w:val="nil"/>
          <w:bottom w:val="nil"/>
          <w:right w:val="nil"/>
          <w:between w:val="nil"/>
        </w:pBdr>
        <w:ind w:left="100" w:right="115" w:firstLine="283"/>
        <w:jc w:val="both"/>
        <w:rPr>
          <w:color w:val="000000"/>
          <w:sz w:val="20"/>
          <w:szCs w:val="20"/>
        </w:rPr>
      </w:pPr>
    </w:p>
    <w:p w14:paraId="73B83A72" w14:textId="77777777" w:rsidR="00672E03" w:rsidRDefault="00672E03">
      <w:pPr>
        <w:pBdr>
          <w:top w:val="nil"/>
          <w:left w:val="nil"/>
          <w:bottom w:val="nil"/>
          <w:right w:val="nil"/>
          <w:between w:val="nil"/>
        </w:pBdr>
        <w:ind w:left="100" w:right="115" w:firstLine="283"/>
        <w:jc w:val="both"/>
        <w:rPr>
          <w:color w:val="000000"/>
          <w:sz w:val="20"/>
          <w:szCs w:val="20"/>
        </w:rPr>
      </w:pPr>
    </w:p>
    <w:p w14:paraId="7DA72B06" w14:textId="77777777" w:rsidR="00672E03" w:rsidRDefault="00000000">
      <w:pPr>
        <w:pStyle w:val="Heading1"/>
        <w:spacing w:before="90"/>
        <w:ind w:left="2409" w:right="2423"/>
      </w:pPr>
      <w:r>
        <w:t>RESULT AND DISCUSSION</w:t>
      </w:r>
    </w:p>
    <w:p w14:paraId="112A744D" w14:textId="77777777" w:rsidR="00672E03" w:rsidRDefault="00672E03">
      <w:pPr>
        <w:pBdr>
          <w:top w:val="nil"/>
          <w:left w:val="nil"/>
          <w:bottom w:val="nil"/>
          <w:right w:val="nil"/>
          <w:between w:val="nil"/>
        </w:pBdr>
        <w:spacing w:before="9"/>
        <w:rPr>
          <w:b/>
          <w:color w:val="000000"/>
          <w:sz w:val="20"/>
          <w:szCs w:val="20"/>
        </w:rPr>
      </w:pPr>
    </w:p>
    <w:p w14:paraId="24BC6FD6" w14:textId="77777777" w:rsidR="00672E03" w:rsidRDefault="00000000">
      <w:pPr>
        <w:spacing w:before="1"/>
        <w:ind w:left="307" w:right="325"/>
        <w:jc w:val="center"/>
        <w:rPr>
          <w:b/>
          <w:sz w:val="24"/>
          <w:szCs w:val="24"/>
        </w:rPr>
      </w:pPr>
      <w:r>
        <w:rPr>
          <w:b/>
          <w:sz w:val="24"/>
          <w:szCs w:val="24"/>
        </w:rPr>
        <w:t>Extraction of Gayam Seed</w:t>
      </w:r>
    </w:p>
    <w:p w14:paraId="6C1B319E" w14:textId="77777777" w:rsidR="00672E03" w:rsidRDefault="00672E03">
      <w:pPr>
        <w:pBdr>
          <w:top w:val="nil"/>
          <w:left w:val="nil"/>
          <w:bottom w:val="nil"/>
          <w:right w:val="nil"/>
          <w:between w:val="nil"/>
        </w:pBdr>
        <w:spacing w:before="11"/>
        <w:rPr>
          <w:b/>
          <w:color w:val="000000"/>
          <w:sz w:val="20"/>
          <w:szCs w:val="20"/>
        </w:rPr>
      </w:pPr>
    </w:p>
    <w:p w14:paraId="6A4B622C" w14:textId="77777777" w:rsidR="00672E03" w:rsidRDefault="00000000">
      <w:pPr>
        <w:pBdr>
          <w:top w:val="nil"/>
          <w:left w:val="nil"/>
          <w:bottom w:val="nil"/>
          <w:right w:val="nil"/>
          <w:between w:val="nil"/>
        </w:pBdr>
        <w:ind w:left="100" w:right="123" w:firstLine="271"/>
        <w:jc w:val="both"/>
        <w:rPr>
          <w:color w:val="000000"/>
          <w:sz w:val="20"/>
          <w:szCs w:val="20"/>
        </w:rPr>
      </w:pPr>
      <w:r>
        <w:rPr>
          <w:color w:val="000000"/>
          <w:sz w:val="20"/>
          <w:szCs w:val="20"/>
        </w:rPr>
        <w:t xml:space="preserve">The extraction process was carried out using the maceration method. An interaction occurs between the solvent and the </w:t>
      </w:r>
      <w:proofErr w:type="gramStart"/>
      <w:r>
        <w:rPr>
          <w:color w:val="000000"/>
          <w:sz w:val="20"/>
          <w:szCs w:val="20"/>
        </w:rPr>
        <w:t>simplicial</w:t>
      </w:r>
      <w:proofErr w:type="gramEnd"/>
      <w:r>
        <w:rPr>
          <w:color w:val="000000"/>
          <w:sz w:val="20"/>
          <w:szCs w:val="20"/>
        </w:rPr>
        <w:t xml:space="preserve"> during maceration, leading to a pressure difference between the inside and outside of the cells. This causes groups of secondary metabolite compounds present in the cytoplasm to dissolve in the solvent and be extracted homogeneously from the Gayam seeds. This method of extraction is beneficial because it's simple, uses inexpensive equipment, and is effective at pulling out natural compounds [</w:t>
      </w:r>
      <w:r>
        <w:rPr>
          <w:sz w:val="20"/>
          <w:szCs w:val="20"/>
        </w:rPr>
        <w:t>7, 9</w:t>
      </w:r>
      <w:r>
        <w:rPr>
          <w:color w:val="000000"/>
          <w:sz w:val="20"/>
          <w:szCs w:val="20"/>
        </w:rPr>
        <w:t xml:space="preserve">]. The maceration process produced a thick extract of Gayam seeds with a distinctive aroma and a dark </w:t>
      </w:r>
      <w:proofErr w:type="gramStart"/>
      <w:r>
        <w:rPr>
          <w:color w:val="000000"/>
          <w:sz w:val="20"/>
          <w:szCs w:val="20"/>
        </w:rPr>
        <w:t>brown color in</w:t>
      </w:r>
      <w:proofErr w:type="gramEnd"/>
      <w:r>
        <w:rPr>
          <w:color w:val="000000"/>
          <w:sz w:val="20"/>
          <w:szCs w:val="20"/>
        </w:rPr>
        <w:t xml:space="preserve"> DCM solvent and orange in </w:t>
      </w:r>
      <w:r>
        <w:rPr>
          <w:i/>
          <w:color w:val="000000"/>
          <w:sz w:val="20"/>
          <w:szCs w:val="20"/>
        </w:rPr>
        <w:t>n</w:t>
      </w:r>
      <w:r>
        <w:rPr>
          <w:color w:val="000000"/>
          <w:sz w:val="20"/>
          <w:szCs w:val="20"/>
        </w:rPr>
        <w:t xml:space="preserve">-hexane solvent </w:t>
      </w:r>
      <w:r>
        <w:rPr>
          <w:color w:val="000000"/>
          <w:sz w:val="20"/>
          <w:szCs w:val="20"/>
        </w:rPr>
        <w:lastRenderedPageBreak/>
        <w:t>(Figure 1). In addition, the yield was 2.97% in DCM solvent and 2.01% in n-hexane solvent (Table 1). The yield of the Gayam seed extract was significantly affected by the extraction temperature, type of solvent, extraction time, and the ratio of solvent to material [10].</w:t>
      </w:r>
    </w:p>
    <w:p w14:paraId="690221DA" w14:textId="77777777" w:rsidR="00672E03" w:rsidRDefault="00672E03">
      <w:pPr>
        <w:pBdr>
          <w:top w:val="nil"/>
          <w:left w:val="nil"/>
          <w:bottom w:val="nil"/>
          <w:right w:val="nil"/>
          <w:between w:val="nil"/>
        </w:pBdr>
        <w:spacing w:before="7"/>
        <w:rPr>
          <w:color w:val="000000"/>
          <w:sz w:val="11"/>
          <w:szCs w:val="11"/>
        </w:rPr>
      </w:pPr>
    </w:p>
    <w:p w14:paraId="11D9894E" w14:textId="77777777" w:rsidR="00672E03" w:rsidRDefault="00672E03">
      <w:pPr>
        <w:pBdr>
          <w:top w:val="nil"/>
          <w:left w:val="nil"/>
          <w:bottom w:val="nil"/>
          <w:right w:val="nil"/>
          <w:between w:val="nil"/>
        </w:pBdr>
        <w:spacing w:before="7"/>
        <w:rPr>
          <w:color w:val="000000"/>
          <w:sz w:val="11"/>
          <w:szCs w:val="11"/>
        </w:rPr>
      </w:pPr>
    </w:p>
    <w:p w14:paraId="61753865" w14:textId="77777777" w:rsidR="00672E03" w:rsidRDefault="00672E03">
      <w:pPr>
        <w:pBdr>
          <w:top w:val="nil"/>
          <w:left w:val="nil"/>
          <w:bottom w:val="nil"/>
          <w:right w:val="nil"/>
          <w:between w:val="nil"/>
        </w:pBdr>
        <w:spacing w:before="7"/>
        <w:rPr>
          <w:color w:val="000000"/>
          <w:sz w:val="11"/>
          <w:szCs w:val="11"/>
        </w:rPr>
      </w:pPr>
    </w:p>
    <w:p w14:paraId="69016A55" w14:textId="77777777" w:rsidR="00672E03" w:rsidRDefault="00000000">
      <w:pPr>
        <w:pBdr>
          <w:top w:val="nil"/>
          <w:left w:val="nil"/>
          <w:bottom w:val="nil"/>
          <w:right w:val="nil"/>
          <w:between w:val="nil"/>
        </w:pBdr>
        <w:spacing w:before="7"/>
        <w:rPr>
          <w:color w:val="000000"/>
          <w:sz w:val="11"/>
          <w:szCs w:val="11"/>
        </w:rPr>
      </w:pPr>
      <w:r>
        <w:rPr>
          <w:noProof/>
        </w:rPr>
        <w:drawing>
          <wp:anchor distT="0" distB="0" distL="0" distR="0" simplePos="0" relativeHeight="251658240" behindDoc="1" locked="0" layoutInCell="1" hidden="0" allowOverlap="1" wp14:anchorId="76F155FD" wp14:editId="237CC51F">
            <wp:simplePos x="0" y="0"/>
            <wp:positionH relativeFrom="column">
              <wp:posOffset>1824718</wp:posOffset>
            </wp:positionH>
            <wp:positionV relativeFrom="paragraph">
              <wp:posOffset>5443</wp:posOffset>
            </wp:positionV>
            <wp:extent cx="947420" cy="1079500"/>
            <wp:effectExtent l="0" t="0" r="0" b="0"/>
            <wp:wrapNone/>
            <wp:docPr id="1021955155" name="image1.jpg" descr="A close-up of a scal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jpg" descr="A close-up of a scale&#10;&#10;AI-generated content may be incorrect."/>
                    <pic:cNvPicPr preferRelativeResize="0"/>
                  </pic:nvPicPr>
                  <pic:blipFill>
                    <a:blip r:embed="rId9"/>
                    <a:srcRect l="41310" t="11587" r="43333" b="65078"/>
                    <a:stretch>
                      <a:fillRect/>
                    </a:stretch>
                  </pic:blipFill>
                  <pic:spPr>
                    <a:xfrm>
                      <a:off x="0" y="0"/>
                      <a:ext cx="947420" cy="1079500"/>
                    </a:xfrm>
                    <a:prstGeom prst="rect">
                      <a:avLst/>
                    </a:prstGeom>
                    <a:ln/>
                  </pic:spPr>
                </pic:pic>
              </a:graphicData>
            </a:graphic>
          </wp:anchor>
        </w:drawing>
      </w:r>
      <w:r>
        <w:rPr>
          <w:noProof/>
        </w:rPr>
        <w:drawing>
          <wp:anchor distT="0" distB="0" distL="0" distR="0" simplePos="0" relativeHeight="251659264" behindDoc="1" locked="0" layoutInCell="1" hidden="0" allowOverlap="1" wp14:anchorId="04A2F3A2" wp14:editId="7A693842">
            <wp:simplePos x="0" y="0"/>
            <wp:positionH relativeFrom="column">
              <wp:posOffset>3342187</wp:posOffset>
            </wp:positionH>
            <wp:positionV relativeFrom="paragraph">
              <wp:posOffset>12065</wp:posOffset>
            </wp:positionV>
            <wp:extent cx="857873" cy="1080000"/>
            <wp:effectExtent l="0" t="0" r="0" b="0"/>
            <wp:wrapNone/>
            <wp:docPr id="1021955156" name="image2.jpg" descr="A scale with a blue screen&#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jpg" descr="A scale with a blue screen&#10;&#10;AI-generated content may be incorrect."/>
                    <pic:cNvPicPr preferRelativeResize="0"/>
                  </pic:nvPicPr>
                  <pic:blipFill>
                    <a:blip r:embed="rId10"/>
                    <a:srcRect l="42381" t="10317" r="44286" b="67300"/>
                    <a:stretch>
                      <a:fillRect/>
                    </a:stretch>
                  </pic:blipFill>
                  <pic:spPr>
                    <a:xfrm>
                      <a:off x="0" y="0"/>
                      <a:ext cx="857873" cy="1080000"/>
                    </a:xfrm>
                    <a:prstGeom prst="rect">
                      <a:avLst/>
                    </a:prstGeom>
                    <a:ln/>
                  </pic:spPr>
                </pic:pic>
              </a:graphicData>
            </a:graphic>
          </wp:anchor>
        </w:drawing>
      </w:r>
    </w:p>
    <w:p w14:paraId="76593171" w14:textId="77777777" w:rsidR="00672E03" w:rsidRDefault="00672E03">
      <w:pPr>
        <w:pBdr>
          <w:top w:val="nil"/>
          <w:left w:val="nil"/>
          <w:bottom w:val="nil"/>
          <w:right w:val="nil"/>
          <w:between w:val="nil"/>
        </w:pBdr>
        <w:spacing w:before="7"/>
        <w:rPr>
          <w:color w:val="000000"/>
          <w:sz w:val="11"/>
          <w:szCs w:val="11"/>
        </w:rPr>
      </w:pPr>
    </w:p>
    <w:p w14:paraId="56CAB1D6" w14:textId="77777777" w:rsidR="00672E03" w:rsidRDefault="00672E03">
      <w:pPr>
        <w:pBdr>
          <w:top w:val="nil"/>
          <w:left w:val="nil"/>
          <w:bottom w:val="nil"/>
          <w:right w:val="nil"/>
          <w:between w:val="nil"/>
        </w:pBdr>
        <w:spacing w:before="7"/>
        <w:rPr>
          <w:color w:val="000000"/>
          <w:sz w:val="11"/>
          <w:szCs w:val="11"/>
        </w:rPr>
      </w:pPr>
    </w:p>
    <w:p w14:paraId="39154D43" w14:textId="77777777" w:rsidR="00672E03" w:rsidRDefault="00672E03">
      <w:pPr>
        <w:pBdr>
          <w:top w:val="nil"/>
          <w:left w:val="nil"/>
          <w:bottom w:val="nil"/>
          <w:right w:val="nil"/>
          <w:between w:val="nil"/>
        </w:pBdr>
        <w:spacing w:before="7"/>
        <w:rPr>
          <w:color w:val="000000"/>
          <w:sz w:val="11"/>
          <w:szCs w:val="11"/>
        </w:rPr>
      </w:pPr>
    </w:p>
    <w:p w14:paraId="0141DA1C" w14:textId="77777777" w:rsidR="00672E03" w:rsidRDefault="00672E03">
      <w:pPr>
        <w:pBdr>
          <w:top w:val="nil"/>
          <w:left w:val="nil"/>
          <w:bottom w:val="nil"/>
          <w:right w:val="nil"/>
          <w:between w:val="nil"/>
        </w:pBdr>
        <w:spacing w:before="7"/>
        <w:rPr>
          <w:color w:val="000000"/>
          <w:sz w:val="11"/>
          <w:szCs w:val="11"/>
        </w:rPr>
      </w:pPr>
    </w:p>
    <w:p w14:paraId="565924AF" w14:textId="77777777" w:rsidR="00672E03" w:rsidRDefault="00672E03">
      <w:pPr>
        <w:pBdr>
          <w:top w:val="nil"/>
          <w:left w:val="nil"/>
          <w:bottom w:val="nil"/>
          <w:right w:val="nil"/>
          <w:between w:val="nil"/>
        </w:pBdr>
        <w:spacing w:before="7"/>
        <w:rPr>
          <w:color w:val="000000"/>
          <w:sz w:val="11"/>
          <w:szCs w:val="11"/>
        </w:rPr>
      </w:pPr>
    </w:p>
    <w:p w14:paraId="34E1367A" w14:textId="77777777" w:rsidR="00672E03" w:rsidRDefault="00672E03">
      <w:pPr>
        <w:pBdr>
          <w:top w:val="nil"/>
          <w:left w:val="nil"/>
          <w:bottom w:val="nil"/>
          <w:right w:val="nil"/>
          <w:between w:val="nil"/>
        </w:pBdr>
        <w:spacing w:before="7"/>
        <w:rPr>
          <w:color w:val="000000"/>
          <w:sz w:val="11"/>
          <w:szCs w:val="11"/>
        </w:rPr>
      </w:pPr>
    </w:p>
    <w:p w14:paraId="3EF3B0A6" w14:textId="77777777" w:rsidR="00672E03" w:rsidRDefault="00672E03">
      <w:pPr>
        <w:pBdr>
          <w:top w:val="nil"/>
          <w:left w:val="nil"/>
          <w:bottom w:val="nil"/>
          <w:right w:val="nil"/>
          <w:between w:val="nil"/>
        </w:pBdr>
        <w:spacing w:before="7"/>
        <w:rPr>
          <w:color w:val="000000"/>
          <w:sz w:val="11"/>
          <w:szCs w:val="11"/>
        </w:rPr>
      </w:pPr>
    </w:p>
    <w:p w14:paraId="25CCB157" w14:textId="77777777" w:rsidR="00672E03" w:rsidRDefault="00672E03">
      <w:pPr>
        <w:pBdr>
          <w:top w:val="nil"/>
          <w:left w:val="nil"/>
          <w:bottom w:val="nil"/>
          <w:right w:val="nil"/>
          <w:between w:val="nil"/>
        </w:pBdr>
        <w:spacing w:before="7"/>
        <w:rPr>
          <w:color w:val="000000"/>
          <w:sz w:val="11"/>
          <w:szCs w:val="11"/>
        </w:rPr>
      </w:pPr>
    </w:p>
    <w:p w14:paraId="38BC12B3" w14:textId="77777777" w:rsidR="00672E03" w:rsidRDefault="00672E03">
      <w:pPr>
        <w:pBdr>
          <w:top w:val="nil"/>
          <w:left w:val="nil"/>
          <w:bottom w:val="nil"/>
          <w:right w:val="nil"/>
          <w:between w:val="nil"/>
        </w:pBdr>
        <w:spacing w:before="7"/>
        <w:rPr>
          <w:color w:val="000000"/>
          <w:sz w:val="11"/>
          <w:szCs w:val="11"/>
        </w:rPr>
      </w:pPr>
    </w:p>
    <w:p w14:paraId="22262A6E" w14:textId="77777777" w:rsidR="00672E03" w:rsidRDefault="00672E03">
      <w:pPr>
        <w:pBdr>
          <w:top w:val="nil"/>
          <w:left w:val="nil"/>
          <w:bottom w:val="nil"/>
          <w:right w:val="nil"/>
          <w:between w:val="nil"/>
        </w:pBdr>
        <w:spacing w:before="7"/>
        <w:rPr>
          <w:color w:val="000000"/>
          <w:sz w:val="11"/>
          <w:szCs w:val="11"/>
        </w:rPr>
      </w:pPr>
    </w:p>
    <w:p w14:paraId="2D3689CA" w14:textId="77777777" w:rsidR="00672E03" w:rsidRDefault="00672E03">
      <w:pPr>
        <w:pBdr>
          <w:top w:val="nil"/>
          <w:left w:val="nil"/>
          <w:bottom w:val="nil"/>
          <w:right w:val="nil"/>
          <w:between w:val="nil"/>
        </w:pBdr>
        <w:spacing w:before="7"/>
        <w:rPr>
          <w:color w:val="000000"/>
          <w:sz w:val="11"/>
          <w:szCs w:val="11"/>
        </w:rPr>
      </w:pPr>
    </w:p>
    <w:p w14:paraId="2050DD55" w14:textId="77777777" w:rsidR="00672E03" w:rsidRDefault="00672E03">
      <w:pPr>
        <w:pBdr>
          <w:top w:val="nil"/>
          <w:left w:val="nil"/>
          <w:bottom w:val="nil"/>
          <w:right w:val="nil"/>
          <w:between w:val="nil"/>
        </w:pBdr>
        <w:spacing w:before="7"/>
        <w:rPr>
          <w:color w:val="000000"/>
          <w:sz w:val="11"/>
          <w:szCs w:val="11"/>
        </w:rPr>
      </w:pPr>
    </w:p>
    <w:p w14:paraId="5947BC47" w14:textId="77777777" w:rsidR="00672E03" w:rsidRDefault="00000000">
      <w:pPr>
        <w:spacing w:before="105"/>
        <w:ind w:left="2409" w:right="2428"/>
        <w:jc w:val="center"/>
        <w:rPr>
          <w:sz w:val="18"/>
          <w:szCs w:val="18"/>
        </w:rPr>
      </w:pPr>
      <w:r>
        <w:rPr>
          <w:b/>
          <w:sz w:val="18"/>
          <w:szCs w:val="18"/>
        </w:rPr>
        <w:t>FIGURE 1</w:t>
      </w:r>
      <w:r>
        <w:rPr>
          <w:sz w:val="18"/>
          <w:szCs w:val="18"/>
        </w:rPr>
        <w:t>. Gayam seed extract using different solvent</w:t>
      </w:r>
    </w:p>
    <w:p w14:paraId="300EC4B0" w14:textId="77777777" w:rsidR="00672E03" w:rsidRDefault="00672E03">
      <w:pPr>
        <w:ind w:right="2428"/>
        <w:rPr>
          <w:b/>
          <w:sz w:val="18"/>
          <w:szCs w:val="18"/>
        </w:rPr>
      </w:pPr>
    </w:p>
    <w:p w14:paraId="419C660F" w14:textId="77777777" w:rsidR="00672E03" w:rsidRDefault="00672E03">
      <w:pPr>
        <w:ind w:right="2428"/>
        <w:rPr>
          <w:b/>
          <w:sz w:val="18"/>
          <w:szCs w:val="18"/>
        </w:rPr>
      </w:pPr>
    </w:p>
    <w:p w14:paraId="28042A4A" w14:textId="77777777" w:rsidR="00672E03" w:rsidRDefault="00000000">
      <w:pPr>
        <w:ind w:left="2409" w:right="2428"/>
        <w:jc w:val="center"/>
        <w:rPr>
          <w:sz w:val="18"/>
          <w:szCs w:val="18"/>
        </w:rPr>
      </w:pPr>
      <w:r>
        <w:rPr>
          <w:b/>
          <w:sz w:val="18"/>
          <w:szCs w:val="18"/>
        </w:rPr>
        <w:t>TABLE 1</w:t>
      </w:r>
      <w:r>
        <w:rPr>
          <w:sz w:val="18"/>
          <w:szCs w:val="18"/>
        </w:rPr>
        <w:t>. Color and % Yield of Gayam Seed Extract</w:t>
      </w:r>
    </w:p>
    <w:tbl>
      <w:tblPr>
        <w:tblStyle w:val="a0"/>
        <w:tblW w:w="5507" w:type="dxa"/>
        <w:tblInd w:w="2032" w:type="dxa"/>
        <w:tblLayout w:type="fixed"/>
        <w:tblLook w:val="0000" w:firstRow="0" w:lastRow="0" w:firstColumn="0" w:lastColumn="0" w:noHBand="0" w:noVBand="0"/>
      </w:tblPr>
      <w:tblGrid>
        <w:gridCol w:w="1928"/>
        <w:gridCol w:w="1675"/>
        <w:gridCol w:w="1904"/>
      </w:tblGrid>
      <w:tr w:rsidR="00672E03" w14:paraId="7EE8CEDE" w14:textId="77777777">
        <w:trPr>
          <w:trHeight w:val="690"/>
        </w:trPr>
        <w:tc>
          <w:tcPr>
            <w:tcW w:w="1928" w:type="dxa"/>
            <w:tcBorders>
              <w:top w:val="single" w:sz="4" w:space="0" w:color="000000"/>
              <w:bottom w:val="single" w:sz="4" w:space="0" w:color="000000"/>
            </w:tcBorders>
            <w:vAlign w:val="center"/>
          </w:tcPr>
          <w:p w14:paraId="42D70E62" w14:textId="77777777" w:rsidR="00672E03" w:rsidRDefault="00000000">
            <w:pPr>
              <w:pBdr>
                <w:top w:val="nil"/>
                <w:left w:val="nil"/>
                <w:bottom w:val="nil"/>
                <w:right w:val="nil"/>
                <w:between w:val="nil"/>
              </w:pBdr>
              <w:ind w:right="219"/>
              <w:jc w:val="center"/>
              <w:rPr>
                <w:b/>
                <w:color w:val="000000"/>
                <w:sz w:val="20"/>
                <w:szCs w:val="20"/>
              </w:rPr>
            </w:pPr>
            <w:r>
              <w:rPr>
                <w:b/>
                <w:color w:val="000000"/>
                <w:sz w:val="20"/>
                <w:szCs w:val="20"/>
              </w:rPr>
              <w:t>Sample in solvent</w:t>
            </w:r>
          </w:p>
        </w:tc>
        <w:tc>
          <w:tcPr>
            <w:tcW w:w="1675" w:type="dxa"/>
            <w:tcBorders>
              <w:top w:val="single" w:sz="4" w:space="0" w:color="000000"/>
              <w:bottom w:val="single" w:sz="4" w:space="0" w:color="000000"/>
            </w:tcBorders>
            <w:vAlign w:val="center"/>
          </w:tcPr>
          <w:p w14:paraId="4F4F939A" w14:textId="77777777" w:rsidR="00672E03" w:rsidRDefault="00000000">
            <w:pPr>
              <w:pBdr>
                <w:top w:val="nil"/>
                <w:left w:val="nil"/>
                <w:bottom w:val="nil"/>
                <w:right w:val="nil"/>
                <w:between w:val="nil"/>
              </w:pBdr>
              <w:ind w:left="237" w:right="259" w:firstLine="1"/>
              <w:jc w:val="center"/>
              <w:rPr>
                <w:b/>
                <w:color w:val="000000"/>
                <w:sz w:val="20"/>
                <w:szCs w:val="20"/>
              </w:rPr>
            </w:pPr>
            <w:r>
              <w:rPr>
                <w:b/>
                <w:color w:val="000000"/>
                <w:sz w:val="20"/>
                <w:szCs w:val="20"/>
              </w:rPr>
              <w:t>Color</w:t>
            </w:r>
          </w:p>
        </w:tc>
        <w:tc>
          <w:tcPr>
            <w:tcW w:w="1904" w:type="dxa"/>
            <w:tcBorders>
              <w:top w:val="single" w:sz="4" w:space="0" w:color="000000"/>
              <w:bottom w:val="single" w:sz="4" w:space="0" w:color="000000"/>
            </w:tcBorders>
            <w:vAlign w:val="center"/>
          </w:tcPr>
          <w:p w14:paraId="3ADE5828" w14:textId="77777777" w:rsidR="00672E03" w:rsidRDefault="00000000">
            <w:pPr>
              <w:pBdr>
                <w:top w:val="nil"/>
                <w:left w:val="nil"/>
                <w:bottom w:val="nil"/>
                <w:right w:val="nil"/>
                <w:between w:val="nil"/>
              </w:pBdr>
              <w:ind w:right="173"/>
              <w:jc w:val="center"/>
              <w:rPr>
                <w:b/>
                <w:color w:val="000000"/>
                <w:sz w:val="20"/>
                <w:szCs w:val="20"/>
              </w:rPr>
            </w:pPr>
            <w:r>
              <w:rPr>
                <w:b/>
                <w:color w:val="000000"/>
                <w:sz w:val="20"/>
                <w:szCs w:val="20"/>
              </w:rPr>
              <w:t>Yield (%)</w:t>
            </w:r>
          </w:p>
        </w:tc>
      </w:tr>
      <w:tr w:rsidR="00672E03" w14:paraId="6398A5A8" w14:textId="77777777">
        <w:trPr>
          <w:trHeight w:val="230"/>
        </w:trPr>
        <w:tc>
          <w:tcPr>
            <w:tcW w:w="1928" w:type="dxa"/>
            <w:tcBorders>
              <w:top w:val="single" w:sz="4" w:space="0" w:color="000000"/>
              <w:bottom w:val="single" w:sz="4" w:space="0" w:color="000000"/>
            </w:tcBorders>
            <w:vAlign w:val="center"/>
          </w:tcPr>
          <w:p w14:paraId="445520C5" w14:textId="77777777" w:rsidR="00672E03" w:rsidRDefault="00000000">
            <w:pPr>
              <w:pBdr>
                <w:top w:val="nil"/>
                <w:left w:val="nil"/>
                <w:bottom w:val="nil"/>
                <w:right w:val="nil"/>
                <w:between w:val="nil"/>
              </w:pBdr>
              <w:spacing w:line="210" w:lineRule="auto"/>
              <w:ind w:left="139" w:right="219"/>
              <w:jc w:val="center"/>
              <w:rPr>
                <w:color w:val="000000"/>
                <w:sz w:val="20"/>
                <w:szCs w:val="20"/>
              </w:rPr>
            </w:pPr>
            <w:r>
              <w:rPr>
                <w:color w:val="000000"/>
                <w:sz w:val="20"/>
                <w:szCs w:val="20"/>
              </w:rPr>
              <w:t>DCM</w:t>
            </w:r>
          </w:p>
        </w:tc>
        <w:tc>
          <w:tcPr>
            <w:tcW w:w="1675" w:type="dxa"/>
            <w:tcBorders>
              <w:top w:val="single" w:sz="4" w:space="0" w:color="000000"/>
              <w:bottom w:val="single" w:sz="4" w:space="0" w:color="000000"/>
            </w:tcBorders>
            <w:vAlign w:val="center"/>
          </w:tcPr>
          <w:p w14:paraId="10D704CE" w14:textId="77777777" w:rsidR="00672E03" w:rsidRDefault="00000000">
            <w:pPr>
              <w:pBdr>
                <w:top w:val="nil"/>
                <w:left w:val="nil"/>
                <w:bottom w:val="nil"/>
                <w:right w:val="nil"/>
                <w:between w:val="nil"/>
              </w:pBdr>
              <w:spacing w:line="210" w:lineRule="auto"/>
              <w:ind w:right="603"/>
              <w:jc w:val="center"/>
              <w:rPr>
                <w:color w:val="000000"/>
                <w:sz w:val="20"/>
                <w:szCs w:val="20"/>
              </w:rPr>
            </w:pPr>
            <w:r>
              <w:rPr>
                <w:color w:val="000000"/>
                <w:sz w:val="20"/>
                <w:szCs w:val="20"/>
              </w:rPr>
              <w:t xml:space="preserve">          Brown</w:t>
            </w:r>
          </w:p>
        </w:tc>
        <w:tc>
          <w:tcPr>
            <w:tcW w:w="1904" w:type="dxa"/>
            <w:tcBorders>
              <w:top w:val="single" w:sz="4" w:space="0" w:color="000000"/>
              <w:bottom w:val="single" w:sz="4" w:space="0" w:color="000000"/>
            </w:tcBorders>
            <w:vAlign w:val="center"/>
          </w:tcPr>
          <w:p w14:paraId="23E00125" w14:textId="77777777" w:rsidR="00672E03" w:rsidRDefault="00000000">
            <w:pPr>
              <w:pBdr>
                <w:top w:val="nil"/>
                <w:left w:val="nil"/>
                <w:bottom w:val="nil"/>
                <w:right w:val="nil"/>
                <w:between w:val="nil"/>
              </w:pBdr>
              <w:spacing w:line="210" w:lineRule="auto"/>
              <w:ind w:left="237" w:right="172"/>
              <w:jc w:val="center"/>
              <w:rPr>
                <w:color w:val="000000"/>
                <w:sz w:val="20"/>
                <w:szCs w:val="20"/>
              </w:rPr>
            </w:pPr>
            <w:r>
              <w:rPr>
                <w:color w:val="000000"/>
                <w:sz w:val="20"/>
                <w:szCs w:val="20"/>
              </w:rPr>
              <w:t>2.97</w:t>
            </w:r>
          </w:p>
        </w:tc>
      </w:tr>
      <w:tr w:rsidR="00672E03" w14:paraId="2F376465" w14:textId="77777777">
        <w:trPr>
          <w:trHeight w:val="230"/>
        </w:trPr>
        <w:tc>
          <w:tcPr>
            <w:tcW w:w="1928" w:type="dxa"/>
            <w:tcBorders>
              <w:top w:val="single" w:sz="4" w:space="0" w:color="000000"/>
              <w:bottom w:val="single" w:sz="4" w:space="0" w:color="000000"/>
            </w:tcBorders>
            <w:vAlign w:val="center"/>
          </w:tcPr>
          <w:p w14:paraId="7218073A" w14:textId="77777777" w:rsidR="00672E03" w:rsidRDefault="00000000">
            <w:pPr>
              <w:pBdr>
                <w:top w:val="nil"/>
                <w:left w:val="nil"/>
                <w:bottom w:val="nil"/>
                <w:right w:val="nil"/>
                <w:between w:val="nil"/>
              </w:pBdr>
              <w:spacing w:line="210" w:lineRule="auto"/>
              <w:ind w:left="139" w:right="217"/>
              <w:jc w:val="center"/>
              <w:rPr>
                <w:color w:val="000000"/>
                <w:sz w:val="20"/>
                <w:szCs w:val="20"/>
              </w:rPr>
            </w:pPr>
            <w:r>
              <w:rPr>
                <w:i/>
                <w:color w:val="000000"/>
                <w:sz w:val="20"/>
                <w:szCs w:val="20"/>
              </w:rPr>
              <w:t>n</w:t>
            </w:r>
            <w:r>
              <w:rPr>
                <w:color w:val="000000"/>
                <w:sz w:val="20"/>
                <w:szCs w:val="20"/>
              </w:rPr>
              <w:t>-hexane</w:t>
            </w:r>
          </w:p>
        </w:tc>
        <w:tc>
          <w:tcPr>
            <w:tcW w:w="1675" w:type="dxa"/>
            <w:tcBorders>
              <w:top w:val="single" w:sz="4" w:space="0" w:color="000000"/>
              <w:bottom w:val="single" w:sz="4" w:space="0" w:color="000000"/>
            </w:tcBorders>
            <w:vAlign w:val="center"/>
          </w:tcPr>
          <w:p w14:paraId="1EDA3D2D" w14:textId="77777777" w:rsidR="00672E03" w:rsidRDefault="00000000">
            <w:pPr>
              <w:pBdr>
                <w:top w:val="nil"/>
                <w:left w:val="nil"/>
                <w:bottom w:val="nil"/>
                <w:right w:val="nil"/>
                <w:between w:val="nil"/>
              </w:pBdr>
              <w:spacing w:line="210" w:lineRule="auto"/>
              <w:ind w:right="603"/>
              <w:jc w:val="center"/>
              <w:rPr>
                <w:color w:val="000000"/>
                <w:sz w:val="20"/>
                <w:szCs w:val="20"/>
              </w:rPr>
            </w:pPr>
            <w:r>
              <w:rPr>
                <w:color w:val="000000"/>
                <w:sz w:val="20"/>
                <w:szCs w:val="20"/>
              </w:rPr>
              <w:t xml:space="preserve">         Orange</w:t>
            </w:r>
          </w:p>
        </w:tc>
        <w:tc>
          <w:tcPr>
            <w:tcW w:w="1904" w:type="dxa"/>
            <w:tcBorders>
              <w:top w:val="single" w:sz="4" w:space="0" w:color="000000"/>
              <w:bottom w:val="single" w:sz="4" w:space="0" w:color="000000"/>
            </w:tcBorders>
            <w:vAlign w:val="center"/>
          </w:tcPr>
          <w:p w14:paraId="356999A0" w14:textId="77777777" w:rsidR="00672E03" w:rsidRDefault="00000000">
            <w:pPr>
              <w:pBdr>
                <w:top w:val="nil"/>
                <w:left w:val="nil"/>
                <w:bottom w:val="nil"/>
                <w:right w:val="nil"/>
                <w:between w:val="nil"/>
              </w:pBdr>
              <w:spacing w:line="210" w:lineRule="auto"/>
              <w:ind w:left="237" w:right="172"/>
              <w:jc w:val="center"/>
              <w:rPr>
                <w:color w:val="000000"/>
                <w:sz w:val="20"/>
                <w:szCs w:val="20"/>
              </w:rPr>
            </w:pPr>
            <w:r>
              <w:rPr>
                <w:color w:val="000000"/>
                <w:sz w:val="20"/>
                <w:szCs w:val="20"/>
              </w:rPr>
              <w:t>2.01</w:t>
            </w:r>
          </w:p>
        </w:tc>
      </w:tr>
    </w:tbl>
    <w:p w14:paraId="7B13454A" w14:textId="77777777" w:rsidR="00672E03" w:rsidRDefault="00672E03">
      <w:pPr>
        <w:pBdr>
          <w:top w:val="nil"/>
          <w:left w:val="nil"/>
          <w:bottom w:val="nil"/>
          <w:right w:val="nil"/>
          <w:between w:val="nil"/>
        </w:pBdr>
        <w:spacing w:before="9"/>
        <w:rPr>
          <w:color w:val="000000"/>
          <w:sz w:val="20"/>
          <w:szCs w:val="20"/>
        </w:rPr>
      </w:pPr>
    </w:p>
    <w:p w14:paraId="2D56167A" w14:textId="77777777" w:rsidR="00672E03" w:rsidRDefault="00672E03">
      <w:pPr>
        <w:pBdr>
          <w:top w:val="nil"/>
          <w:left w:val="nil"/>
          <w:bottom w:val="nil"/>
          <w:right w:val="nil"/>
          <w:between w:val="nil"/>
        </w:pBdr>
        <w:spacing w:before="9"/>
        <w:rPr>
          <w:color w:val="000000"/>
          <w:sz w:val="20"/>
          <w:szCs w:val="20"/>
        </w:rPr>
      </w:pPr>
    </w:p>
    <w:p w14:paraId="5AA9240E" w14:textId="77777777" w:rsidR="00672E03" w:rsidRDefault="00000000">
      <w:pPr>
        <w:pStyle w:val="Heading1"/>
        <w:ind w:right="320" w:firstLine="307"/>
        <w:rPr>
          <w:i/>
        </w:rPr>
      </w:pPr>
      <w:r>
        <w:t>Inhibition of Gayam Seed Extract</w:t>
      </w:r>
    </w:p>
    <w:p w14:paraId="25D90FD8" w14:textId="77777777" w:rsidR="00672E03" w:rsidRDefault="00672E03">
      <w:pPr>
        <w:pBdr>
          <w:top w:val="nil"/>
          <w:left w:val="nil"/>
          <w:bottom w:val="nil"/>
          <w:right w:val="nil"/>
          <w:between w:val="nil"/>
        </w:pBdr>
        <w:rPr>
          <w:b/>
          <w:i/>
          <w:color w:val="000000"/>
          <w:sz w:val="21"/>
          <w:szCs w:val="21"/>
        </w:rPr>
      </w:pPr>
    </w:p>
    <w:p w14:paraId="13419462" w14:textId="77777777" w:rsidR="00672E03" w:rsidRDefault="00000000">
      <w:pPr>
        <w:pBdr>
          <w:top w:val="nil"/>
          <w:left w:val="nil"/>
          <w:bottom w:val="nil"/>
          <w:right w:val="nil"/>
          <w:between w:val="nil"/>
        </w:pBdr>
        <w:ind w:left="100" w:right="114" w:firstLine="271"/>
        <w:jc w:val="both"/>
        <w:rPr>
          <w:color w:val="000000"/>
          <w:sz w:val="20"/>
          <w:szCs w:val="20"/>
        </w:rPr>
      </w:pPr>
      <w:r>
        <w:rPr>
          <w:color w:val="000000"/>
          <w:sz w:val="20"/>
          <w:szCs w:val="20"/>
        </w:rPr>
        <w:t>The antioxidant activity test of each extract with different solvents was carried out using the DPPH method at a maximum wavelength of 517 nm, using several concentration variations, namely 10</w:t>
      </w:r>
      <w:r>
        <w:rPr>
          <w:sz w:val="20"/>
          <w:szCs w:val="20"/>
        </w:rPr>
        <w:t>,</w:t>
      </w:r>
      <w:r>
        <w:rPr>
          <w:color w:val="000000"/>
          <w:sz w:val="20"/>
          <w:szCs w:val="20"/>
        </w:rPr>
        <w:t xml:space="preserve">000 ppm, with gallic acid as a comparison solution (control). The use of a comparison solution was intended to determine the absorbance of DPPH (radical) in reducing the sample. DPPH compound is a stable free radical that is purple in color. When reduced, the free radical will turn yellow (diphenyl </w:t>
      </w:r>
      <w:r>
        <w:rPr>
          <w:sz w:val="20"/>
          <w:szCs w:val="20"/>
        </w:rPr>
        <w:t>picryl hydrazine</w:t>
      </w:r>
      <w:r>
        <w:rPr>
          <w:color w:val="000000"/>
          <w:sz w:val="20"/>
          <w:szCs w:val="20"/>
        </w:rPr>
        <w:t>), functioning to measure single electron transfer activity as well as to measure radical scavenging activity.</w:t>
      </w:r>
    </w:p>
    <w:p w14:paraId="55E62EF2" w14:textId="77777777" w:rsidR="00672E03" w:rsidRDefault="00000000">
      <w:pPr>
        <w:pBdr>
          <w:top w:val="nil"/>
          <w:left w:val="nil"/>
          <w:bottom w:val="nil"/>
          <w:right w:val="nil"/>
          <w:between w:val="nil"/>
        </w:pBdr>
        <w:ind w:left="100" w:right="114" w:firstLine="271"/>
        <w:jc w:val="both"/>
        <w:rPr>
          <w:color w:val="000000"/>
          <w:sz w:val="20"/>
          <w:szCs w:val="20"/>
        </w:rPr>
      </w:pPr>
      <w:r>
        <w:rPr>
          <w:color w:val="000000"/>
          <w:sz w:val="20"/>
          <w:szCs w:val="20"/>
        </w:rPr>
        <w:t>The sample solution and DPPH reagent mixture were incubated at 37°C for 30 minutes. DPPH is an enzyme with an active site that binds substrates in reactions to produce a product, while antioxidants are inhibitors that can bind to the enzyme, thereby stabilizing it. Therefore, an optimum temperature is required for the enzyme to function optimally.</w:t>
      </w:r>
      <w:r>
        <w:t xml:space="preserve"> </w:t>
      </w:r>
      <w:r>
        <w:rPr>
          <w:color w:val="000000"/>
          <w:sz w:val="20"/>
          <w:szCs w:val="20"/>
        </w:rPr>
        <w:t>The reaction's absorbance was measured at a wavelength of 517 nm using a UV-Vis spectrophotometer, where the UV-Vis spectrophotometer is an instrument using spectrophotometric techniques in the ultraviolet and visible light regions. This instrument is used to measure the absorption of ultraviolet or visible light by a substance in solution form. The brighter the color of the dissolved particles, the lower the absorbance value obtained [10].</w:t>
      </w:r>
    </w:p>
    <w:p w14:paraId="7AA3CE5B" w14:textId="77777777" w:rsidR="00672E03" w:rsidRDefault="00000000">
      <w:pPr>
        <w:pBdr>
          <w:top w:val="nil"/>
          <w:left w:val="nil"/>
          <w:bottom w:val="nil"/>
          <w:right w:val="nil"/>
          <w:between w:val="nil"/>
        </w:pBdr>
        <w:ind w:left="100" w:right="114" w:firstLine="271"/>
        <w:jc w:val="both"/>
        <w:rPr>
          <w:color w:val="000000"/>
          <w:sz w:val="20"/>
          <w:szCs w:val="20"/>
        </w:rPr>
      </w:pPr>
      <w:r>
        <w:rPr>
          <w:color w:val="000000"/>
          <w:sz w:val="20"/>
          <w:szCs w:val="20"/>
        </w:rPr>
        <w:t>The interaction between antioxidants and DPPH occurs when the antioxidants in the sample can neutralize the free radicals of DPPH used. The antioxidant compounds will act by donating their hydrogen atom to DPPH radicals. This process changes the test solution's color from purple to yellow, which indicates the antioxidant's effectiveness at neutralizing the DPPH free radicals through electron pairing [11].</w:t>
      </w:r>
    </w:p>
    <w:p w14:paraId="79306E18" w14:textId="77777777" w:rsidR="00672E03" w:rsidRDefault="00672E03">
      <w:pPr>
        <w:pBdr>
          <w:top w:val="nil"/>
          <w:left w:val="nil"/>
          <w:bottom w:val="nil"/>
          <w:right w:val="nil"/>
          <w:between w:val="nil"/>
        </w:pBdr>
        <w:rPr>
          <w:color w:val="000000"/>
          <w:sz w:val="20"/>
          <w:szCs w:val="20"/>
        </w:rPr>
      </w:pPr>
    </w:p>
    <w:p w14:paraId="51FC846E" w14:textId="77777777" w:rsidR="00672E03" w:rsidRDefault="00000000">
      <w:pPr>
        <w:pBdr>
          <w:top w:val="nil"/>
          <w:left w:val="nil"/>
          <w:bottom w:val="nil"/>
          <w:right w:val="nil"/>
          <w:between w:val="nil"/>
        </w:pBdr>
        <w:spacing w:before="7"/>
        <w:jc w:val="center"/>
        <w:rPr>
          <w:color w:val="000000"/>
          <w:sz w:val="20"/>
          <w:szCs w:val="20"/>
        </w:rPr>
      </w:pPr>
      <w:r>
        <w:rPr>
          <w:noProof/>
          <w:color w:val="000000"/>
          <w:sz w:val="19"/>
          <w:szCs w:val="19"/>
        </w:rPr>
        <w:lastRenderedPageBreak/>
        <w:drawing>
          <wp:inline distT="0" distB="0" distL="0" distR="0" wp14:anchorId="31A034D6" wp14:editId="6A17CF21">
            <wp:extent cx="3616519" cy="2084886"/>
            <wp:effectExtent l="0" t="0" r="0" b="0"/>
            <wp:docPr id="1021955157" name="image3.png" descr="A graph of a number of blue rectangular objects&#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png" descr="A graph of a number of blue rectangular objects&#10;&#10;AI-generated content may be incorrect."/>
                    <pic:cNvPicPr preferRelativeResize="0"/>
                  </pic:nvPicPr>
                  <pic:blipFill>
                    <a:blip r:embed="rId11"/>
                    <a:srcRect/>
                    <a:stretch>
                      <a:fillRect/>
                    </a:stretch>
                  </pic:blipFill>
                  <pic:spPr>
                    <a:xfrm>
                      <a:off x="0" y="0"/>
                      <a:ext cx="3616519" cy="2084886"/>
                    </a:xfrm>
                    <a:prstGeom prst="rect">
                      <a:avLst/>
                    </a:prstGeom>
                    <a:ln/>
                  </pic:spPr>
                </pic:pic>
              </a:graphicData>
            </a:graphic>
          </wp:inline>
        </w:drawing>
      </w:r>
    </w:p>
    <w:p w14:paraId="5F715796" w14:textId="77777777" w:rsidR="00672E03" w:rsidRDefault="00672E03">
      <w:pPr>
        <w:pBdr>
          <w:top w:val="nil"/>
          <w:left w:val="nil"/>
          <w:bottom w:val="nil"/>
          <w:right w:val="nil"/>
          <w:between w:val="nil"/>
        </w:pBdr>
        <w:spacing w:before="6"/>
        <w:jc w:val="center"/>
        <w:rPr>
          <w:b/>
          <w:color w:val="000000"/>
          <w:sz w:val="19"/>
          <w:szCs w:val="19"/>
        </w:rPr>
      </w:pPr>
    </w:p>
    <w:p w14:paraId="1A39F75A" w14:textId="77777777" w:rsidR="00672E03" w:rsidRDefault="00000000">
      <w:pPr>
        <w:ind w:left="1000" w:hanging="900"/>
        <w:jc w:val="center"/>
        <w:rPr>
          <w:sz w:val="18"/>
          <w:szCs w:val="18"/>
        </w:rPr>
      </w:pPr>
      <w:r>
        <w:rPr>
          <w:b/>
          <w:sz w:val="18"/>
          <w:szCs w:val="18"/>
        </w:rPr>
        <w:t>FIGURE 2. Inhibition (%) of Gayam Seed Extract</w:t>
      </w:r>
    </w:p>
    <w:p w14:paraId="3CD2F3B7" w14:textId="77777777" w:rsidR="00672E03" w:rsidRDefault="00672E03">
      <w:pPr>
        <w:pBdr>
          <w:top w:val="nil"/>
          <w:left w:val="nil"/>
          <w:bottom w:val="nil"/>
          <w:right w:val="nil"/>
          <w:between w:val="nil"/>
        </w:pBdr>
        <w:spacing w:before="5"/>
        <w:rPr>
          <w:b/>
          <w:color w:val="000000"/>
          <w:sz w:val="18"/>
          <w:szCs w:val="18"/>
        </w:rPr>
      </w:pPr>
    </w:p>
    <w:p w14:paraId="03DC79EB" w14:textId="77777777" w:rsidR="00672E03" w:rsidRPr="00F20CED" w:rsidRDefault="00672E03">
      <w:pPr>
        <w:pBdr>
          <w:top w:val="nil"/>
          <w:left w:val="nil"/>
          <w:bottom w:val="nil"/>
          <w:right w:val="nil"/>
          <w:between w:val="nil"/>
        </w:pBdr>
        <w:spacing w:before="1"/>
        <w:ind w:left="100" w:right="112" w:firstLine="271"/>
        <w:jc w:val="both"/>
        <w:rPr>
          <w:sz w:val="20"/>
          <w:szCs w:val="20"/>
        </w:rPr>
      </w:pPr>
      <w:bookmarkStart w:id="0" w:name="_heading=h.c2noh7votruy" w:colFirst="0" w:colLast="0"/>
      <w:bookmarkEnd w:id="0"/>
    </w:p>
    <w:p w14:paraId="3C3DD5F5" w14:textId="77777777" w:rsidR="00672E03" w:rsidRPr="00F20CED" w:rsidRDefault="00000000">
      <w:pPr>
        <w:pBdr>
          <w:top w:val="nil"/>
          <w:left w:val="nil"/>
          <w:bottom w:val="nil"/>
          <w:right w:val="nil"/>
          <w:between w:val="nil"/>
        </w:pBdr>
        <w:spacing w:before="1"/>
        <w:ind w:left="100" w:right="112" w:firstLine="271"/>
        <w:jc w:val="both"/>
        <w:rPr>
          <w:sz w:val="20"/>
          <w:szCs w:val="20"/>
        </w:rPr>
      </w:pPr>
      <w:bookmarkStart w:id="1" w:name="_heading=h.csuq6vvo4ek1" w:colFirst="0" w:colLast="0"/>
      <w:bookmarkEnd w:id="1"/>
      <w:r w:rsidRPr="00F20CED">
        <w:rPr>
          <w:sz w:val="20"/>
          <w:szCs w:val="20"/>
        </w:rPr>
        <w:t xml:space="preserve">The DPPH inhibition of Gayam seed extract reached 14.16% in DCM solvent and 6.13% in </w:t>
      </w:r>
      <w:r w:rsidRPr="00F20CED">
        <w:rPr>
          <w:i/>
          <w:sz w:val="20"/>
          <w:szCs w:val="20"/>
        </w:rPr>
        <w:t>n</w:t>
      </w:r>
      <w:r w:rsidRPr="00F20CED">
        <w:rPr>
          <w:sz w:val="20"/>
          <w:szCs w:val="20"/>
        </w:rPr>
        <w:t>-hexane solvent, suggesting that the active compounds in Gayam seeds are more soluble in polar solvents. Based on existing studies, the dichloromethane extract showed an IC</w:t>
      </w:r>
      <w:r w:rsidRPr="00F20CED">
        <w:rPr>
          <w:sz w:val="20"/>
          <w:szCs w:val="20"/>
          <w:vertAlign w:val="subscript"/>
        </w:rPr>
        <w:t>50</w:t>
      </w:r>
      <w:r w:rsidRPr="00F20CED">
        <w:rPr>
          <w:sz w:val="20"/>
          <w:szCs w:val="20"/>
        </w:rPr>
        <w:t xml:space="preserve"> value of 230 ppm, which is also considered moderate antioxidant activity. In another study, the </w:t>
      </w:r>
      <w:r w:rsidRPr="00F20CED">
        <w:rPr>
          <w:i/>
          <w:sz w:val="20"/>
          <w:szCs w:val="20"/>
        </w:rPr>
        <w:t>n</w:t>
      </w:r>
      <w:r w:rsidRPr="00F20CED">
        <w:rPr>
          <w:sz w:val="20"/>
          <w:szCs w:val="20"/>
        </w:rPr>
        <w:t>-hexane extract from Gayam seeds has an IC</w:t>
      </w:r>
      <w:r w:rsidRPr="00F20CED">
        <w:rPr>
          <w:sz w:val="20"/>
          <w:szCs w:val="20"/>
          <w:vertAlign w:val="subscript"/>
        </w:rPr>
        <w:t>50</w:t>
      </w:r>
      <w:r w:rsidRPr="00F20CED">
        <w:rPr>
          <w:sz w:val="20"/>
          <w:szCs w:val="20"/>
        </w:rPr>
        <w:t xml:space="preserve"> value of 156 ppm, indicating a moderate level of antioxidant activity. Gallic acid has an IC</w:t>
      </w:r>
      <w:r w:rsidRPr="00F20CED">
        <w:rPr>
          <w:sz w:val="20"/>
          <w:szCs w:val="20"/>
          <w:vertAlign w:val="subscript"/>
        </w:rPr>
        <w:t>50</w:t>
      </w:r>
      <w:r w:rsidRPr="00F20CED">
        <w:rPr>
          <w:sz w:val="20"/>
          <w:szCs w:val="20"/>
        </w:rPr>
        <w:t xml:space="preserve"> value of 0.39 ppm as a positive control.</w:t>
      </w:r>
    </w:p>
    <w:p w14:paraId="2B45EA94" w14:textId="77777777" w:rsidR="00672E03" w:rsidRPr="00F20CED" w:rsidRDefault="00000000">
      <w:pPr>
        <w:pBdr>
          <w:top w:val="nil"/>
          <w:left w:val="nil"/>
          <w:bottom w:val="nil"/>
          <w:right w:val="nil"/>
          <w:between w:val="nil"/>
        </w:pBdr>
        <w:spacing w:before="1"/>
        <w:ind w:left="100" w:right="112" w:firstLine="271"/>
        <w:jc w:val="both"/>
        <w:rPr>
          <w:sz w:val="20"/>
          <w:szCs w:val="20"/>
        </w:rPr>
      </w:pPr>
      <w:bookmarkStart w:id="2" w:name="_heading=h.m0aym4mp58te" w:colFirst="0" w:colLast="0"/>
      <w:bookmarkEnd w:id="2"/>
      <w:r w:rsidRPr="00F20CED">
        <w:rPr>
          <w:sz w:val="20"/>
          <w:szCs w:val="20"/>
        </w:rPr>
        <w:t>Dichloromethane (DCM) is a semi-polar solvent that's capable of pulling out a broader range of substances from Gayam seeds than non-</w:t>
      </w:r>
      <w:proofErr w:type="gramStart"/>
      <w:r w:rsidRPr="00F20CED">
        <w:rPr>
          <w:sz w:val="20"/>
          <w:szCs w:val="20"/>
        </w:rPr>
        <w:t>polar n-</w:t>
      </w:r>
      <w:proofErr w:type="gramEnd"/>
      <w:r w:rsidRPr="00F20CED">
        <w:rPr>
          <w:sz w:val="20"/>
          <w:szCs w:val="20"/>
        </w:rPr>
        <w:t xml:space="preserve">hexane. A GS/MS analysis of the DCM extract would probably show all the compounds from the n-hexane extract, plus additional compounds that are slightly more polar. These would likely include phenolic compounds, alkaloids, flavonoids, and various other semi-polar substances like phthalates. The use of n-hexane, a non-polar solvent, for extracting Gayam seeds is expected to yield primarily non-polar compounds. Consequently, GS/MS data from this extract would probably show a significant presence of fatty acids and their derivatives—a common feature in seeds rich in fats and oils. Other likely components include plant sterols (like beta-sitosterol), waxes, long-chain hydrocarbons, and non-polar terpenoids such as squalene. </w:t>
      </w:r>
    </w:p>
    <w:p w14:paraId="3444E9B0" w14:textId="77777777" w:rsidR="00672E03" w:rsidRPr="00F20CED" w:rsidRDefault="00000000">
      <w:pPr>
        <w:pBdr>
          <w:top w:val="nil"/>
          <w:left w:val="nil"/>
          <w:bottom w:val="nil"/>
          <w:right w:val="nil"/>
          <w:between w:val="nil"/>
        </w:pBdr>
        <w:spacing w:before="1"/>
        <w:ind w:left="100" w:right="112" w:firstLine="271"/>
        <w:jc w:val="both"/>
        <w:rPr>
          <w:sz w:val="20"/>
          <w:szCs w:val="20"/>
        </w:rPr>
      </w:pPr>
      <w:bookmarkStart w:id="3" w:name="_heading=h.m6vdjqlhvvzx" w:colFirst="0" w:colLast="0"/>
      <w:bookmarkEnd w:id="3"/>
      <w:r w:rsidRPr="00F20CED">
        <w:rPr>
          <w:sz w:val="20"/>
          <w:szCs w:val="20"/>
        </w:rPr>
        <w:t xml:space="preserve">According to Mazza et.al, the factor that causes the low antioxidant activity of flavonoid compounds in DCM extract is that the flavonoid compounds in the extract are not in a pure form, so the flavonoid compounds present in the extract may still be bound to glycoside groups. This is because glycoside groups bound to flavonoids can reduce antioxidant activity. In addition, the low antioxidant activity in the extract can be seen from the phytochemical content of each organ [12]. The seed extract of the Gayam plant contains flavonoids, alkaloids, and carbohydrates ranging from 75.79% to 77.70%, making them a potential alternative food source. In addition to carbohydrates, Gayam seeds also contain 7% fat, 10% albumin, and 2.5% ash, as well as protein ranging from 10.54% to 11.64%, moisture content of 4.09% to 6.53%, fat content of 2.26% to 2.50%, ash content of 2.95% to 4.04%, and crude fiber ranging from 0.83% to 1.13% [13]. </w:t>
      </w:r>
    </w:p>
    <w:p w14:paraId="52C5C813" w14:textId="77777777" w:rsidR="00672E03" w:rsidRDefault="00000000">
      <w:pPr>
        <w:pBdr>
          <w:top w:val="nil"/>
          <w:left w:val="nil"/>
          <w:bottom w:val="nil"/>
          <w:right w:val="nil"/>
          <w:between w:val="nil"/>
        </w:pBdr>
        <w:spacing w:before="1"/>
        <w:ind w:left="100" w:right="112" w:firstLine="271"/>
        <w:jc w:val="both"/>
        <w:rPr>
          <w:color w:val="000000"/>
          <w:sz w:val="18"/>
          <w:szCs w:val="18"/>
        </w:rPr>
      </w:pPr>
      <w:bookmarkStart w:id="4" w:name="_heading=h.2d9mn55tkfvh" w:colFirst="0" w:colLast="0"/>
      <w:bookmarkEnd w:id="4"/>
      <w:r w:rsidRPr="00F20CED">
        <w:rPr>
          <w:sz w:val="20"/>
          <w:szCs w:val="20"/>
        </w:rPr>
        <w:t>The ethanol extract from Gayam seeds exhibits strong antioxidant activity with an IC</w:t>
      </w:r>
      <w:r w:rsidRPr="00F20CED">
        <w:rPr>
          <w:sz w:val="20"/>
          <w:szCs w:val="20"/>
          <w:vertAlign w:val="subscript"/>
        </w:rPr>
        <w:t>50</w:t>
      </w:r>
      <w:r w:rsidRPr="00F20CED">
        <w:rPr>
          <w:sz w:val="20"/>
          <w:szCs w:val="20"/>
        </w:rPr>
        <w:t xml:space="preserve"> value of 66.03 ppm. Meanwhile, the methanol extract from Gayam seeds also shows very strong activity with an IC</w:t>
      </w:r>
      <w:r w:rsidRPr="00F20CED">
        <w:rPr>
          <w:sz w:val="20"/>
          <w:szCs w:val="20"/>
          <w:vertAlign w:val="subscript"/>
        </w:rPr>
        <w:t>50</w:t>
      </w:r>
      <w:r w:rsidRPr="00F20CED">
        <w:rPr>
          <w:sz w:val="20"/>
          <w:szCs w:val="20"/>
        </w:rPr>
        <w:t xml:space="preserve"> value of 31.24 ppm. Methanol is more polar than ethanol. It is generally more effective at dissolving and extracting the highest concentration of the most potent polar antioxidant compounds. The GC/MS data for Gayam seed extracts using methanol and ethanol would primarily show a high concentration of phenolic acids and flavonoids, which are the main contributors to their strong antioxidant properties. The exact profile and relative abundance of these compounds would differ slightly between the two solvents, reflecting their different polarities. The extract is composed of thirteen different components: one flavonoid (</w:t>
      </w:r>
      <w:proofErr w:type="spellStart"/>
      <w:r w:rsidRPr="00F20CED">
        <w:rPr>
          <w:sz w:val="20"/>
          <w:szCs w:val="20"/>
        </w:rPr>
        <w:t>homopterocarpine</w:t>
      </w:r>
      <w:proofErr w:type="spellEnd"/>
      <w:r w:rsidRPr="00F20CED">
        <w:rPr>
          <w:sz w:val="20"/>
          <w:szCs w:val="20"/>
        </w:rPr>
        <w:t>), eight fatty acids and their esters (including palmitic acid, linoleic acid, and ethyl oleic), and four compounds that have not yet been identified</w:t>
      </w:r>
      <w:r w:rsidRPr="00F20CED">
        <w:t xml:space="preserve"> </w:t>
      </w:r>
      <w:r w:rsidRPr="00F20CED">
        <w:rPr>
          <w:color w:val="000000"/>
          <w:sz w:val="20"/>
          <w:szCs w:val="20"/>
        </w:rPr>
        <w:t>[11].</w:t>
      </w:r>
    </w:p>
    <w:p w14:paraId="08995127" w14:textId="77777777" w:rsidR="00672E03" w:rsidRDefault="00672E03">
      <w:pPr>
        <w:pBdr>
          <w:top w:val="nil"/>
          <w:left w:val="nil"/>
          <w:bottom w:val="nil"/>
          <w:right w:val="nil"/>
          <w:between w:val="nil"/>
        </w:pBdr>
        <w:spacing w:before="1"/>
        <w:ind w:left="100" w:right="112" w:firstLine="271"/>
        <w:jc w:val="both"/>
        <w:rPr>
          <w:color w:val="000000"/>
          <w:sz w:val="18"/>
          <w:szCs w:val="18"/>
        </w:rPr>
      </w:pPr>
    </w:p>
    <w:p w14:paraId="7CCB0D3F" w14:textId="77777777" w:rsidR="00672E03" w:rsidRDefault="00672E03">
      <w:pPr>
        <w:pBdr>
          <w:top w:val="nil"/>
          <w:left w:val="nil"/>
          <w:bottom w:val="nil"/>
          <w:right w:val="nil"/>
          <w:between w:val="nil"/>
        </w:pBdr>
        <w:spacing w:before="9"/>
        <w:rPr>
          <w:color w:val="000000"/>
          <w:sz w:val="20"/>
          <w:szCs w:val="20"/>
        </w:rPr>
      </w:pPr>
    </w:p>
    <w:p w14:paraId="14C8200D" w14:textId="77777777" w:rsidR="00672E03" w:rsidRDefault="00000000">
      <w:pPr>
        <w:pStyle w:val="Heading1"/>
        <w:ind w:right="323" w:firstLine="307"/>
      </w:pPr>
      <w:r>
        <w:t>CONCLUSION</w:t>
      </w:r>
    </w:p>
    <w:p w14:paraId="5C82576E" w14:textId="77777777" w:rsidR="00672E03" w:rsidRDefault="00672E03">
      <w:pPr>
        <w:pBdr>
          <w:top w:val="nil"/>
          <w:left w:val="nil"/>
          <w:bottom w:val="nil"/>
          <w:right w:val="nil"/>
          <w:between w:val="nil"/>
        </w:pBdr>
        <w:spacing w:before="9"/>
        <w:rPr>
          <w:b/>
          <w:color w:val="000000"/>
          <w:sz w:val="20"/>
          <w:szCs w:val="20"/>
        </w:rPr>
      </w:pPr>
    </w:p>
    <w:p w14:paraId="0F610675" w14:textId="77777777" w:rsidR="00672E03" w:rsidRDefault="00000000">
      <w:pPr>
        <w:pBdr>
          <w:top w:val="nil"/>
          <w:left w:val="nil"/>
          <w:bottom w:val="nil"/>
          <w:right w:val="nil"/>
          <w:between w:val="nil"/>
        </w:pBdr>
        <w:ind w:left="100" w:right="117" w:firstLine="283"/>
        <w:jc w:val="both"/>
        <w:rPr>
          <w:color w:val="000000"/>
          <w:sz w:val="20"/>
          <w:szCs w:val="20"/>
        </w:rPr>
      </w:pPr>
      <w:r>
        <w:rPr>
          <w:color w:val="000000"/>
          <w:sz w:val="20"/>
          <w:szCs w:val="20"/>
        </w:rPr>
        <w:t xml:space="preserve">A thick extract of Gayam seeds with a distinctive aroma and a dark brown color in DCM solvent and orange in n-hexane solvent. In addition, the yield was 2.97% in DCM solvent and 2.01% in </w:t>
      </w:r>
      <w:r>
        <w:rPr>
          <w:i/>
          <w:color w:val="000000"/>
          <w:sz w:val="20"/>
          <w:szCs w:val="20"/>
        </w:rPr>
        <w:t>n</w:t>
      </w:r>
      <w:r>
        <w:rPr>
          <w:color w:val="000000"/>
          <w:sz w:val="20"/>
          <w:szCs w:val="20"/>
        </w:rPr>
        <w:t xml:space="preserve">-hexane solvent. Inhibition (%) of </w:t>
      </w:r>
      <w:r>
        <w:rPr>
          <w:color w:val="000000"/>
          <w:sz w:val="20"/>
          <w:szCs w:val="20"/>
        </w:rPr>
        <w:lastRenderedPageBreak/>
        <w:t xml:space="preserve">Gayam seed extract was 14.16% in DCM solvent and 6.13% in </w:t>
      </w:r>
      <w:r>
        <w:rPr>
          <w:i/>
          <w:color w:val="000000"/>
          <w:sz w:val="20"/>
          <w:szCs w:val="20"/>
        </w:rPr>
        <w:t>n</w:t>
      </w:r>
      <w:r>
        <w:rPr>
          <w:color w:val="000000"/>
          <w:sz w:val="20"/>
          <w:szCs w:val="20"/>
        </w:rPr>
        <w:t>-hexane solvent. The factor that causes the low antioxidant activity of flavonoid compounds in DCM extract is that the flavonoid compounds in the extract are not in a pure form, so the flavonoid compounds present in the extract may still be bound to glycoside groups.</w:t>
      </w:r>
    </w:p>
    <w:p w14:paraId="184174C6" w14:textId="77777777" w:rsidR="00672E03" w:rsidRDefault="00672E03">
      <w:pPr>
        <w:pBdr>
          <w:top w:val="nil"/>
          <w:left w:val="nil"/>
          <w:bottom w:val="nil"/>
          <w:right w:val="nil"/>
          <w:between w:val="nil"/>
        </w:pBdr>
        <w:spacing w:before="11"/>
        <w:rPr>
          <w:color w:val="000000"/>
          <w:sz w:val="12"/>
          <w:szCs w:val="12"/>
        </w:rPr>
      </w:pPr>
    </w:p>
    <w:p w14:paraId="2229813C" w14:textId="77777777" w:rsidR="00672E03" w:rsidRDefault="00672E03">
      <w:pPr>
        <w:pBdr>
          <w:top w:val="nil"/>
          <w:left w:val="nil"/>
          <w:bottom w:val="nil"/>
          <w:right w:val="nil"/>
          <w:between w:val="nil"/>
        </w:pBdr>
        <w:spacing w:before="1"/>
        <w:rPr>
          <w:color w:val="000000"/>
          <w:sz w:val="13"/>
          <w:szCs w:val="13"/>
        </w:rPr>
      </w:pPr>
    </w:p>
    <w:p w14:paraId="2D4FA234" w14:textId="77777777" w:rsidR="00672E03" w:rsidRDefault="00000000">
      <w:pPr>
        <w:pStyle w:val="Heading1"/>
        <w:spacing w:before="90"/>
        <w:ind w:firstLine="307"/>
      </w:pPr>
      <w:r>
        <w:t>REFERENCES</w:t>
      </w:r>
    </w:p>
    <w:p w14:paraId="630E82B3" w14:textId="77777777" w:rsidR="00672E03" w:rsidRDefault="00672E03"/>
    <w:p w14:paraId="2DBA6812" w14:textId="77777777" w:rsidR="00F20CED" w:rsidRDefault="00000000" w:rsidP="00F20CED">
      <w:pPr>
        <w:numPr>
          <w:ilvl w:val="0"/>
          <w:numId w:val="1"/>
        </w:numPr>
        <w:ind w:left="426"/>
        <w:rPr>
          <w:sz w:val="20"/>
          <w:szCs w:val="20"/>
        </w:rPr>
      </w:pPr>
      <w:r>
        <w:rPr>
          <w:sz w:val="20"/>
          <w:szCs w:val="20"/>
        </w:rPr>
        <w:t xml:space="preserve">Y. Maulana, A. Nurul Shabrina, B. </w:t>
      </w:r>
      <w:proofErr w:type="spellStart"/>
      <w:r>
        <w:rPr>
          <w:sz w:val="20"/>
          <w:szCs w:val="20"/>
        </w:rPr>
        <w:t>Karyadi</w:t>
      </w:r>
      <w:proofErr w:type="spellEnd"/>
      <w:r>
        <w:rPr>
          <w:sz w:val="20"/>
          <w:szCs w:val="20"/>
        </w:rPr>
        <w:t xml:space="preserve">, </w:t>
      </w:r>
      <w:r>
        <w:rPr>
          <w:i/>
          <w:sz w:val="20"/>
          <w:szCs w:val="20"/>
        </w:rPr>
        <w:t>J. Agron. Tanam. Trop.</w:t>
      </w:r>
      <w:r>
        <w:rPr>
          <w:sz w:val="20"/>
          <w:szCs w:val="20"/>
        </w:rPr>
        <w:t>, vol. 6, no. 1, 116–127, (2024)</w:t>
      </w:r>
    </w:p>
    <w:p w14:paraId="1390DB12" w14:textId="77777777" w:rsidR="00F20CED" w:rsidRDefault="00000000" w:rsidP="00F20CED">
      <w:pPr>
        <w:numPr>
          <w:ilvl w:val="0"/>
          <w:numId w:val="1"/>
        </w:numPr>
        <w:ind w:left="426"/>
        <w:rPr>
          <w:sz w:val="20"/>
          <w:szCs w:val="20"/>
        </w:rPr>
      </w:pPr>
      <w:r w:rsidRPr="00F20CED">
        <w:rPr>
          <w:sz w:val="20"/>
          <w:szCs w:val="20"/>
        </w:rPr>
        <w:t xml:space="preserve">L. Huml </w:t>
      </w:r>
      <w:r w:rsidRPr="00F20CED">
        <w:rPr>
          <w:i/>
          <w:sz w:val="20"/>
          <w:szCs w:val="20"/>
        </w:rPr>
        <w:t>et al.</w:t>
      </w:r>
      <w:r w:rsidRPr="00F20CED">
        <w:rPr>
          <w:sz w:val="20"/>
          <w:szCs w:val="20"/>
        </w:rPr>
        <w:t xml:space="preserve">, </w:t>
      </w:r>
      <w:r w:rsidRPr="00F20CED">
        <w:rPr>
          <w:i/>
          <w:sz w:val="20"/>
          <w:szCs w:val="20"/>
        </w:rPr>
        <w:t>J. Appl. Bot. Food Qual.</w:t>
      </w:r>
      <w:r w:rsidRPr="00F20CED">
        <w:rPr>
          <w:sz w:val="20"/>
          <w:szCs w:val="20"/>
        </w:rPr>
        <w:t xml:space="preserve">, vol. 89, 264–269, (2016) </w:t>
      </w:r>
    </w:p>
    <w:p w14:paraId="7B7B6EAA" w14:textId="77777777" w:rsidR="00F20CED" w:rsidRDefault="00000000" w:rsidP="00F20CED">
      <w:pPr>
        <w:numPr>
          <w:ilvl w:val="0"/>
          <w:numId w:val="1"/>
        </w:numPr>
        <w:ind w:left="426"/>
        <w:rPr>
          <w:sz w:val="20"/>
          <w:szCs w:val="20"/>
        </w:rPr>
      </w:pPr>
      <w:r w:rsidRPr="00F20CED">
        <w:rPr>
          <w:sz w:val="20"/>
          <w:szCs w:val="20"/>
        </w:rPr>
        <w:t>F. A</w:t>
      </w:r>
      <w:proofErr w:type="spellStart"/>
      <w:r w:rsidRPr="00F20CED">
        <w:rPr>
          <w:sz w:val="20"/>
          <w:szCs w:val="20"/>
        </w:rPr>
        <w:t>uwaliyah</w:t>
      </w:r>
      <w:proofErr w:type="spellEnd"/>
      <w:r w:rsidRPr="00F20CED">
        <w:rPr>
          <w:sz w:val="20"/>
          <w:szCs w:val="20"/>
        </w:rPr>
        <w:t xml:space="preserve">, H. D. </w:t>
      </w:r>
      <w:proofErr w:type="spellStart"/>
      <w:r w:rsidRPr="00F20CED">
        <w:rPr>
          <w:sz w:val="20"/>
          <w:szCs w:val="20"/>
        </w:rPr>
        <w:t>Rizqi</w:t>
      </w:r>
      <w:proofErr w:type="spellEnd"/>
      <w:r w:rsidRPr="00F20CED">
        <w:rPr>
          <w:sz w:val="20"/>
          <w:szCs w:val="20"/>
        </w:rPr>
        <w:t xml:space="preserve">, A. S. Purnomo, S. </w:t>
      </w:r>
      <w:proofErr w:type="spellStart"/>
      <w:r w:rsidRPr="00F20CED">
        <w:rPr>
          <w:sz w:val="20"/>
          <w:szCs w:val="20"/>
        </w:rPr>
        <w:t>Fatmawati</w:t>
      </w:r>
      <w:proofErr w:type="spellEnd"/>
      <w:r w:rsidRPr="00F20CED">
        <w:rPr>
          <w:sz w:val="20"/>
          <w:szCs w:val="20"/>
        </w:rPr>
        <w:t xml:space="preserve">, </w:t>
      </w:r>
      <w:r w:rsidRPr="00F20CED">
        <w:rPr>
          <w:i/>
          <w:sz w:val="20"/>
          <w:szCs w:val="20"/>
        </w:rPr>
        <w:t xml:space="preserve">Malaysian J. </w:t>
      </w:r>
      <w:proofErr w:type="spellStart"/>
      <w:r w:rsidRPr="00F20CED">
        <w:rPr>
          <w:i/>
          <w:sz w:val="20"/>
          <w:szCs w:val="20"/>
        </w:rPr>
        <w:t>Fundam</w:t>
      </w:r>
      <w:proofErr w:type="spellEnd"/>
      <w:r w:rsidRPr="00F20CED">
        <w:rPr>
          <w:i/>
          <w:sz w:val="20"/>
          <w:szCs w:val="20"/>
        </w:rPr>
        <w:t>. Appl. Sci.</w:t>
      </w:r>
      <w:r w:rsidRPr="00F20CED">
        <w:rPr>
          <w:sz w:val="20"/>
          <w:szCs w:val="20"/>
        </w:rPr>
        <w:t xml:space="preserve">, vol. 15, no. 3, 436–440, (2019) </w:t>
      </w:r>
    </w:p>
    <w:p w14:paraId="0ED8A5E7" w14:textId="77777777" w:rsidR="00F20CED" w:rsidRDefault="00000000" w:rsidP="00F20CED">
      <w:pPr>
        <w:numPr>
          <w:ilvl w:val="0"/>
          <w:numId w:val="1"/>
        </w:numPr>
        <w:ind w:left="426"/>
        <w:rPr>
          <w:sz w:val="20"/>
          <w:szCs w:val="20"/>
        </w:rPr>
      </w:pPr>
      <w:proofErr w:type="spellStart"/>
      <w:r w:rsidRPr="00F20CED">
        <w:rPr>
          <w:sz w:val="20"/>
          <w:szCs w:val="20"/>
        </w:rPr>
        <w:t>Asranudin</w:t>
      </w:r>
      <w:proofErr w:type="spellEnd"/>
      <w:r w:rsidRPr="00F20CED">
        <w:rPr>
          <w:sz w:val="20"/>
          <w:szCs w:val="20"/>
        </w:rPr>
        <w:t xml:space="preserve">, S. </w:t>
      </w:r>
      <w:proofErr w:type="spellStart"/>
      <w:r w:rsidRPr="00F20CED">
        <w:rPr>
          <w:sz w:val="20"/>
          <w:szCs w:val="20"/>
        </w:rPr>
        <w:t>Fatmawati</w:t>
      </w:r>
      <w:proofErr w:type="spellEnd"/>
      <w:r w:rsidRPr="00F20CED">
        <w:rPr>
          <w:sz w:val="20"/>
          <w:szCs w:val="20"/>
        </w:rPr>
        <w:t xml:space="preserve">, A. S. Purnomo, </w:t>
      </w:r>
      <w:proofErr w:type="spellStart"/>
      <w:r w:rsidRPr="00F20CED">
        <w:rPr>
          <w:sz w:val="20"/>
          <w:szCs w:val="20"/>
        </w:rPr>
        <w:t>Holilah</w:t>
      </w:r>
      <w:proofErr w:type="spellEnd"/>
      <w:r w:rsidRPr="00F20CED">
        <w:rPr>
          <w:sz w:val="20"/>
          <w:szCs w:val="20"/>
        </w:rPr>
        <w:t xml:space="preserve">, A. A. </w:t>
      </w:r>
      <w:proofErr w:type="spellStart"/>
      <w:r w:rsidRPr="00F20CED">
        <w:rPr>
          <w:sz w:val="20"/>
          <w:szCs w:val="20"/>
        </w:rPr>
        <w:t>Rohmah</w:t>
      </w:r>
      <w:proofErr w:type="spellEnd"/>
      <w:r w:rsidRPr="00F20CED">
        <w:rPr>
          <w:sz w:val="20"/>
          <w:szCs w:val="20"/>
        </w:rPr>
        <w:t xml:space="preserve">, </w:t>
      </w:r>
      <w:r w:rsidRPr="00F20CED">
        <w:rPr>
          <w:i/>
          <w:sz w:val="20"/>
          <w:szCs w:val="20"/>
        </w:rPr>
        <w:t>AIP Conf. Proc.</w:t>
      </w:r>
      <w:r w:rsidRPr="00F20CED">
        <w:rPr>
          <w:sz w:val="20"/>
          <w:szCs w:val="20"/>
        </w:rPr>
        <w:t xml:space="preserve">, vol. 2638, (2022) </w:t>
      </w:r>
    </w:p>
    <w:p w14:paraId="2F9AC6A7" w14:textId="77777777" w:rsidR="00F20CED" w:rsidRDefault="00000000" w:rsidP="00F20CED">
      <w:pPr>
        <w:numPr>
          <w:ilvl w:val="0"/>
          <w:numId w:val="1"/>
        </w:numPr>
        <w:ind w:left="426"/>
        <w:rPr>
          <w:sz w:val="20"/>
          <w:szCs w:val="20"/>
        </w:rPr>
      </w:pPr>
      <w:r w:rsidRPr="00F20CED">
        <w:rPr>
          <w:sz w:val="20"/>
          <w:szCs w:val="20"/>
        </w:rPr>
        <w:t xml:space="preserve">N. R. </w:t>
      </w:r>
      <w:proofErr w:type="spellStart"/>
      <w:r w:rsidRPr="00F20CED">
        <w:rPr>
          <w:sz w:val="20"/>
          <w:szCs w:val="20"/>
        </w:rPr>
        <w:t>Ramadhania</w:t>
      </w:r>
      <w:proofErr w:type="spellEnd"/>
      <w:r w:rsidRPr="00F20CED">
        <w:rPr>
          <w:sz w:val="20"/>
          <w:szCs w:val="20"/>
        </w:rPr>
        <w:t xml:space="preserve">, F. Harun, A. S. Purnomo, S. </w:t>
      </w:r>
      <w:proofErr w:type="spellStart"/>
      <w:r w:rsidRPr="00F20CED">
        <w:rPr>
          <w:sz w:val="20"/>
          <w:szCs w:val="20"/>
        </w:rPr>
        <w:t>Fatmawati</w:t>
      </w:r>
      <w:proofErr w:type="spellEnd"/>
      <w:r w:rsidRPr="00F20CED">
        <w:rPr>
          <w:sz w:val="20"/>
          <w:szCs w:val="20"/>
        </w:rPr>
        <w:t xml:space="preserve">, </w:t>
      </w:r>
      <w:r w:rsidRPr="00F20CED">
        <w:rPr>
          <w:i/>
          <w:sz w:val="20"/>
          <w:szCs w:val="20"/>
        </w:rPr>
        <w:t xml:space="preserve">Malaysian J. </w:t>
      </w:r>
      <w:proofErr w:type="spellStart"/>
      <w:r w:rsidRPr="00F20CED">
        <w:rPr>
          <w:i/>
          <w:sz w:val="20"/>
          <w:szCs w:val="20"/>
        </w:rPr>
        <w:t>Fundam</w:t>
      </w:r>
      <w:proofErr w:type="spellEnd"/>
      <w:r w:rsidRPr="00F20CED">
        <w:rPr>
          <w:i/>
          <w:sz w:val="20"/>
          <w:szCs w:val="20"/>
        </w:rPr>
        <w:t>. Appl. Sci.</w:t>
      </w:r>
      <w:r w:rsidRPr="00F20CED">
        <w:rPr>
          <w:sz w:val="20"/>
          <w:szCs w:val="20"/>
        </w:rPr>
        <w:t xml:space="preserve">, vol. 15, no. 2, 194–199, (2019) </w:t>
      </w:r>
    </w:p>
    <w:p w14:paraId="6F1F4645" w14:textId="77777777" w:rsidR="00F20CED" w:rsidRDefault="00000000" w:rsidP="00F20CED">
      <w:pPr>
        <w:numPr>
          <w:ilvl w:val="0"/>
          <w:numId w:val="1"/>
        </w:numPr>
        <w:ind w:left="426"/>
        <w:rPr>
          <w:sz w:val="20"/>
          <w:szCs w:val="20"/>
        </w:rPr>
      </w:pPr>
      <w:r w:rsidRPr="00F20CED">
        <w:rPr>
          <w:sz w:val="20"/>
          <w:szCs w:val="20"/>
        </w:rPr>
        <w:t xml:space="preserve">D. F. Taber, S. Patel, T. M. Hambleton, E. E. Winkel, no. July 2007, (2021) </w:t>
      </w:r>
    </w:p>
    <w:p w14:paraId="3E3C2CA7" w14:textId="77777777" w:rsidR="00F20CED" w:rsidRDefault="00000000" w:rsidP="00F20CED">
      <w:pPr>
        <w:numPr>
          <w:ilvl w:val="0"/>
          <w:numId w:val="1"/>
        </w:numPr>
        <w:ind w:left="426"/>
        <w:rPr>
          <w:sz w:val="20"/>
          <w:szCs w:val="20"/>
        </w:rPr>
      </w:pPr>
      <w:r w:rsidRPr="00F20CED">
        <w:rPr>
          <w:sz w:val="20"/>
          <w:szCs w:val="20"/>
        </w:rPr>
        <w:t xml:space="preserve">D. M. Lestari, N. </w:t>
      </w:r>
      <w:proofErr w:type="spellStart"/>
      <w:r w:rsidRPr="00F20CED">
        <w:rPr>
          <w:sz w:val="20"/>
          <w:szCs w:val="20"/>
        </w:rPr>
        <w:t>Mahmudati</w:t>
      </w:r>
      <w:proofErr w:type="spellEnd"/>
      <w:r w:rsidRPr="00F20CED">
        <w:rPr>
          <w:sz w:val="20"/>
          <w:szCs w:val="20"/>
        </w:rPr>
        <w:t xml:space="preserve">, S. Sukarsono, N. </w:t>
      </w:r>
      <w:proofErr w:type="spellStart"/>
      <w:r w:rsidRPr="00F20CED">
        <w:rPr>
          <w:sz w:val="20"/>
          <w:szCs w:val="20"/>
        </w:rPr>
        <w:t>Nurwidodo</w:t>
      </w:r>
      <w:proofErr w:type="spellEnd"/>
      <w:r w:rsidRPr="00F20CED">
        <w:rPr>
          <w:sz w:val="20"/>
          <w:szCs w:val="20"/>
        </w:rPr>
        <w:t xml:space="preserve">, H. </w:t>
      </w:r>
      <w:proofErr w:type="spellStart"/>
      <w:r w:rsidRPr="00F20CED">
        <w:rPr>
          <w:sz w:val="20"/>
          <w:szCs w:val="20"/>
        </w:rPr>
        <w:t>Husamah</w:t>
      </w:r>
      <w:proofErr w:type="spellEnd"/>
      <w:r w:rsidRPr="00F20CED">
        <w:rPr>
          <w:sz w:val="20"/>
          <w:szCs w:val="20"/>
        </w:rPr>
        <w:t xml:space="preserve">, </w:t>
      </w:r>
      <w:r w:rsidRPr="00F20CED">
        <w:rPr>
          <w:i/>
          <w:sz w:val="20"/>
          <w:szCs w:val="20"/>
        </w:rPr>
        <w:t>Biosfera</w:t>
      </w:r>
      <w:r w:rsidRPr="00F20CED">
        <w:rPr>
          <w:sz w:val="20"/>
          <w:szCs w:val="20"/>
        </w:rPr>
        <w:t xml:space="preserve">, vol. 35, no. 1, </w:t>
      </w:r>
      <w:proofErr w:type="spellStart"/>
      <w:r w:rsidRPr="00F20CED">
        <w:rPr>
          <w:sz w:val="20"/>
          <w:szCs w:val="20"/>
        </w:rPr>
        <w:t>hal</w:t>
      </w:r>
      <w:proofErr w:type="spellEnd"/>
      <w:r w:rsidRPr="00F20CED">
        <w:rPr>
          <w:sz w:val="20"/>
          <w:szCs w:val="20"/>
        </w:rPr>
        <w:t>. 37, (2018)</w:t>
      </w:r>
    </w:p>
    <w:p w14:paraId="5E054E7D" w14:textId="77777777" w:rsidR="00F20CED" w:rsidRDefault="00000000" w:rsidP="00F20CED">
      <w:pPr>
        <w:numPr>
          <w:ilvl w:val="0"/>
          <w:numId w:val="1"/>
        </w:numPr>
        <w:ind w:left="426"/>
        <w:rPr>
          <w:sz w:val="20"/>
          <w:szCs w:val="20"/>
        </w:rPr>
      </w:pPr>
      <w:r w:rsidRPr="00F20CED">
        <w:rPr>
          <w:sz w:val="20"/>
          <w:szCs w:val="20"/>
        </w:rPr>
        <w:t xml:space="preserve">P. S. Negi, G. K. </w:t>
      </w:r>
      <w:proofErr w:type="spellStart"/>
      <w:r w:rsidRPr="00F20CED">
        <w:rPr>
          <w:sz w:val="20"/>
          <w:szCs w:val="20"/>
        </w:rPr>
        <w:t>Jayaprakasha</w:t>
      </w:r>
      <w:proofErr w:type="spellEnd"/>
      <w:r w:rsidRPr="00F20CED">
        <w:rPr>
          <w:sz w:val="20"/>
          <w:szCs w:val="20"/>
        </w:rPr>
        <w:t xml:space="preserve">, </w:t>
      </w:r>
      <w:r w:rsidRPr="00F20CED">
        <w:rPr>
          <w:i/>
          <w:sz w:val="20"/>
          <w:szCs w:val="20"/>
        </w:rPr>
        <w:t>J. Food Sci.</w:t>
      </w:r>
      <w:r w:rsidRPr="00F20CED">
        <w:rPr>
          <w:sz w:val="20"/>
          <w:szCs w:val="20"/>
        </w:rPr>
        <w:t>, vol. 68, no. 4, 1473–1477, (2003)</w:t>
      </w:r>
    </w:p>
    <w:p w14:paraId="5ED3966A" w14:textId="77777777" w:rsidR="00F20CED" w:rsidRDefault="00000000" w:rsidP="00F20CED">
      <w:pPr>
        <w:numPr>
          <w:ilvl w:val="0"/>
          <w:numId w:val="1"/>
        </w:numPr>
        <w:ind w:left="426"/>
        <w:rPr>
          <w:sz w:val="20"/>
          <w:szCs w:val="20"/>
        </w:rPr>
      </w:pPr>
      <w:r w:rsidRPr="00F20CED">
        <w:rPr>
          <w:sz w:val="20"/>
          <w:szCs w:val="20"/>
        </w:rPr>
        <w:t>W. Putu, S. Yasa, (2018)</w:t>
      </w:r>
    </w:p>
    <w:p w14:paraId="4AA29817" w14:textId="77777777" w:rsidR="00F20CED" w:rsidRDefault="00000000" w:rsidP="00F20CED">
      <w:pPr>
        <w:numPr>
          <w:ilvl w:val="0"/>
          <w:numId w:val="1"/>
        </w:numPr>
        <w:ind w:left="426"/>
        <w:rPr>
          <w:sz w:val="20"/>
          <w:szCs w:val="20"/>
        </w:rPr>
      </w:pPr>
      <w:r w:rsidRPr="00F20CED">
        <w:rPr>
          <w:sz w:val="20"/>
          <w:szCs w:val="20"/>
        </w:rPr>
        <w:t>Y. W</w:t>
      </w:r>
      <w:proofErr w:type="spellStart"/>
      <w:r w:rsidRPr="00F20CED">
        <w:rPr>
          <w:sz w:val="20"/>
          <w:szCs w:val="20"/>
        </w:rPr>
        <w:t>idayati</w:t>
      </w:r>
      <w:proofErr w:type="spellEnd"/>
      <w:r w:rsidRPr="00F20CED">
        <w:rPr>
          <w:sz w:val="20"/>
          <w:szCs w:val="20"/>
        </w:rPr>
        <w:t xml:space="preserve">, U. </w:t>
      </w:r>
      <w:proofErr w:type="spellStart"/>
      <w:r w:rsidRPr="00F20CED">
        <w:rPr>
          <w:sz w:val="20"/>
          <w:szCs w:val="20"/>
        </w:rPr>
        <w:t>Umarudin</w:t>
      </w:r>
      <w:proofErr w:type="spellEnd"/>
      <w:r w:rsidRPr="00F20CED">
        <w:rPr>
          <w:sz w:val="20"/>
          <w:szCs w:val="20"/>
        </w:rPr>
        <w:t xml:space="preserve">, </w:t>
      </w:r>
      <w:r w:rsidRPr="00F20CED">
        <w:rPr>
          <w:i/>
          <w:sz w:val="20"/>
          <w:szCs w:val="20"/>
        </w:rPr>
        <w:t xml:space="preserve">Spizaetus J. Biol. dan </w:t>
      </w:r>
      <w:proofErr w:type="spellStart"/>
      <w:r w:rsidRPr="00F20CED">
        <w:rPr>
          <w:i/>
          <w:sz w:val="20"/>
          <w:szCs w:val="20"/>
        </w:rPr>
        <w:t>Pendidik</w:t>
      </w:r>
      <w:proofErr w:type="spellEnd"/>
      <w:r w:rsidRPr="00F20CED">
        <w:rPr>
          <w:i/>
          <w:sz w:val="20"/>
          <w:szCs w:val="20"/>
        </w:rPr>
        <w:t>. Biol.</w:t>
      </w:r>
      <w:r w:rsidRPr="00F20CED">
        <w:rPr>
          <w:sz w:val="20"/>
          <w:szCs w:val="20"/>
        </w:rPr>
        <w:t xml:space="preserve">, vol. 3, no. 3, 104, (2022) </w:t>
      </w:r>
    </w:p>
    <w:p w14:paraId="36D8BCB0" w14:textId="77777777" w:rsidR="00F20CED" w:rsidRDefault="00000000" w:rsidP="00F20CED">
      <w:pPr>
        <w:numPr>
          <w:ilvl w:val="0"/>
          <w:numId w:val="1"/>
        </w:numPr>
        <w:ind w:left="426"/>
        <w:rPr>
          <w:sz w:val="20"/>
          <w:szCs w:val="20"/>
        </w:rPr>
      </w:pPr>
      <w:r w:rsidRPr="00F20CED">
        <w:rPr>
          <w:sz w:val="20"/>
          <w:szCs w:val="20"/>
        </w:rPr>
        <w:t xml:space="preserve">I. M. </w:t>
      </w:r>
      <w:proofErr w:type="spellStart"/>
      <w:r w:rsidRPr="00F20CED">
        <w:rPr>
          <w:sz w:val="20"/>
          <w:szCs w:val="20"/>
        </w:rPr>
        <w:t>Sukadana</w:t>
      </w:r>
      <w:proofErr w:type="spellEnd"/>
      <w:r w:rsidRPr="00F20CED">
        <w:rPr>
          <w:sz w:val="20"/>
          <w:szCs w:val="20"/>
        </w:rPr>
        <w:t xml:space="preserve">, S. R. Santi, </w:t>
      </w:r>
      <w:r w:rsidRPr="00F20CED">
        <w:rPr>
          <w:i/>
          <w:sz w:val="20"/>
          <w:szCs w:val="20"/>
        </w:rPr>
        <w:t>J. Pharm. Sci. Res.</w:t>
      </w:r>
      <w:r w:rsidRPr="00F20CED">
        <w:rPr>
          <w:sz w:val="20"/>
          <w:szCs w:val="20"/>
        </w:rPr>
        <w:t>, vol. 9, no. 5, 690–694, 2017.</w:t>
      </w:r>
    </w:p>
    <w:p w14:paraId="4207214C" w14:textId="77777777" w:rsidR="00F20CED" w:rsidRDefault="00000000" w:rsidP="00F20CED">
      <w:pPr>
        <w:numPr>
          <w:ilvl w:val="0"/>
          <w:numId w:val="1"/>
        </w:numPr>
        <w:ind w:left="426"/>
        <w:rPr>
          <w:sz w:val="20"/>
          <w:szCs w:val="20"/>
        </w:rPr>
      </w:pPr>
      <w:r w:rsidRPr="00F20CED">
        <w:rPr>
          <w:sz w:val="20"/>
          <w:szCs w:val="20"/>
        </w:rPr>
        <w:t xml:space="preserve">Mazza, Fukumoto, 2000, </w:t>
      </w:r>
      <w:r w:rsidRPr="00F20CED">
        <w:rPr>
          <w:i/>
          <w:sz w:val="20"/>
          <w:szCs w:val="20"/>
        </w:rPr>
        <w:t>J. Agric. Food Chem</w:t>
      </w:r>
      <w:r w:rsidRPr="00F20CED">
        <w:rPr>
          <w:sz w:val="20"/>
          <w:szCs w:val="20"/>
        </w:rPr>
        <w:t>, vol. 43, 3597-3604, (2000)</w:t>
      </w:r>
    </w:p>
    <w:p w14:paraId="143928D2" w14:textId="27F6CC44" w:rsidR="00672E03" w:rsidRPr="00F20CED" w:rsidRDefault="00000000" w:rsidP="00F20CED">
      <w:pPr>
        <w:numPr>
          <w:ilvl w:val="0"/>
          <w:numId w:val="1"/>
        </w:numPr>
        <w:ind w:left="426"/>
        <w:rPr>
          <w:sz w:val="20"/>
          <w:szCs w:val="20"/>
        </w:rPr>
      </w:pPr>
      <w:r w:rsidRPr="00F20CED">
        <w:rPr>
          <w:sz w:val="20"/>
          <w:szCs w:val="20"/>
        </w:rPr>
        <w:t>N. S</w:t>
      </w:r>
      <w:proofErr w:type="spellStart"/>
      <w:r w:rsidRPr="00F20CED">
        <w:rPr>
          <w:sz w:val="20"/>
          <w:szCs w:val="20"/>
        </w:rPr>
        <w:t>etyowati</w:t>
      </w:r>
      <w:proofErr w:type="spellEnd"/>
      <w:r w:rsidRPr="00F20CED">
        <w:rPr>
          <w:sz w:val="20"/>
          <w:szCs w:val="20"/>
        </w:rPr>
        <w:t>, vol. 1, 71–77, (2015)</w:t>
      </w:r>
    </w:p>
    <w:p w14:paraId="6FDFC765" w14:textId="77777777" w:rsidR="00672E03" w:rsidRDefault="00672E03">
      <w:pPr>
        <w:pBdr>
          <w:top w:val="nil"/>
          <w:left w:val="nil"/>
          <w:bottom w:val="nil"/>
          <w:right w:val="nil"/>
          <w:between w:val="nil"/>
        </w:pBdr>
        <w:spacing w:before="1"/>
        <w:ind w:left="100"/>
        <w:jc w:val="both"/>
        <w:rPr>
          <w:color w:val="000000"/>
          <w:sz w:val="20"/>
          <w:szCs w:val="20"/>
        </w:rPr>
      </w:pPr>
    </w:p>
    <w:sectPr w:rsidR="00672E03">
      <w:pgSz w:w="12240" w:h="15840"/>
      <w:pgMar w:top="1380" w:right="1320" w:bottom="1560" w:left="13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B4B9DF" w14:textId="77777777" w:rsidR="00835C04" w:rsidRDefault="00835C04" w:rsidP="00E345F7">
      <w:r>
        <w:separator/>
      </w:r>
    </w:p>
  </w:endnote>
  <w:endnote w:type="continuationSeparator" w:id="0">
    <w:p w14:paraId="643BEF2A" w14:textId="77777777" w:rsidR="00835C04" w:rsidRDefault="00835C04" w:rsidP="00E345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31B83F57-B246-4807-BA34-05F86B0F9DED}"/>
    <w:embedItalic r:id="rId2" w:fontKey="{8A057CBD-CFB4-4B08-9DB0-6CEDD7FC885A}"/>
  </w:font>
  <w:font w:name="Cambria Math">
    <w:panose1 w:val="02040503050406030204"/>
    <w:charset w:val="00"/>
    <w:family w:val="roman"/>
    <w:pitch w:val="variable"/>
    <w:sig w:usb0="E00006FF" w:usb1="420024FF" w:usb2="02000000" w:usb3="00000000" w:csb0="0000019F" w:csb1="00000000"/>
    <w:embedRegular r:id="rId3" w:fontKey="{0E179017-69FC-4022-B2AC-1631CD0ECCD6}"/>
    <w:embedItalic r:id="rId4" w:fontKey="{C2E280D0-DC1E-4FFD-A259-0E4EAEA81DF9}"/>
  </w:font>
  <w:font w:name="Cambria">
    <w:panose1 w:val="02040503050406030204"/>
    <w:charset w:val="00"/>
    <w:family w:val="roman"/>
    <w:pitch w:val="variable"/>
    <w:sig w:usb0="E00006FF" w:usb1="420024FF" w:usb2="02000000" w:usb3="00000000" w:csb0="0000019F" w:csb1="00000000"/>
    <w:embedRegular r:id="rId5" w:fontKey="{A810C6DF-9214-4F43-942D-B85AA45840D5}"/>
  </w:font>
  <w:font w:name="Calibri">
    <w:panose1 w:val="020F0502020204030204"/>
    <w:charset w:val="00"/>
    <w:family w:val="swiss"/>
    <w:pitch w:val="variable"/>
    <w:sig w:usb0="E4002EFF" w:usb1="C200247B" w:usb2="00000009" w:usb3="00000000" w:csb0="000001FF" w:csb1="00000000"/>
    <w:embedRegular r:id="rId6" w:fontKey="{3D24178F-E006-494D-8C8B-7FCD7175A0A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4E8E6F" w14:textId="77777777" w:rsidR="00835C04" w:rsidRDefault="00835C04" w:rsidP="00E345F7">
      <w:r>
        <w:separator/>
      </w:r>
    </w:p>
  </w:footnote>
  <w:footnote w:type="continuationSeparator" w:id="0">
    <w:p w14:paraId="1AE584BC" w14:textId="77777777" w:rsidR="00835C04" w:rsidRDefault="00835C04" w:rsidP="00E345F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455533"/>
    <w:multiLevelType w:val="multilevel"/>
    <w:tmpl w:val="950C92E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6596551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2E03"/>
    <w:rsid w:val="003B41BA"/>
    <w:rsid w:val="00672E03"/>
    <w:rsid w:val="00835C04"/>
    <w:rsid w:val="00E20D34"/>
    <w:rsid w:val="00E345F7"/>
    <w:rsid w:val="00F20CED"/>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A4A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 w:eastAsia="id-ID"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ind w:left="307" w:right="322"/>
      <w:jc w:val="center"/>
      <w:outlineLvl w:val="0"/>
    </w:pPr>
    <w:rPr>
      <w:b/>
      <w:sz w:val="24"/>
      <w:szCs w:val="24"/>
    </w:rPr>
  </w:style>
  <w:style w:type="paragraph" w:styleId="Heading2">
    <w:name w:val="heading 2"/>
    <w:basedOn w:val="Normal"/>
    <w:next w:val="Normal"/>
    <w:uiPriority w:val="9"/>
    <w:semiHidden/>
    <w:unhideWhenUsed/>
    <w:qFormat/>
    <w:pPr>
      <w:spacing w:before="10"/>
      <w:ind w:left="20"/>
      <w:outlineLvl w:val="1"/>
    </w:pPr>
    <w:rPr>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spacing w:before="220"/>
      <w:ind w:left="307" w:right="324"/>
      <w:jc w:val="center"/>
    </w:pPr>
    <w:rPr>
      <w:b/>
      <w:sz w:val="36"/>
      <w:szCs w:val="36"/>
    </w:rPr>
  </w:style>
  <w:style w:type="table" w:customStyle="1" w:styleId="TableNormal1">
    <w:name w:val="TableNormal"/>
    <w:tblPr>
      <w:tblCellMar>
        <w:top w:w="0" w:type="dxa"/>
        <w:left w:w="0" w:type="dxa"/>
        <w:bottom w:w="0" w:type="dxa"/>
        <w:right w:w="0" w:type="dxa"/>
      </w:tblCellMar>
    </w:tblPr>
  </w:style>
  <w:style w:type="paragraph" w:styleId="BodyText">
    <w:name w:val="Body Text"/>
    <w:basedOn w:val="Normal"/>
    <w:uiPriority w:val="1"/>
    <w:qFormat/>
    <w:rPr>
      <w:sz w:val="20"/>
      <w:szCs w:val="20"/>
    </w:rPr>
  </w:style>
  <w:style w:type="paragraph" w:styleId="ListParagraph">
    <w:name w:val="List Paragraph"/>
    <w:basedOn w:val="Normal"/>
    <w:uiPriority w:val="1"/>
    <w:qFormat/>
    <w:pPr>
      <w:ind w:left="551" w:hanging="452"/>
    </w:pPr>
  </w:style>
  <w:style w:type="paragraph" w:customStyle="1" w:styleId="TableParagraph">
    <w:name w:val="Table Paragraph"/>
    <w:basedOn w:val="Normal"/>
    <w:uiPriority w:val="1"/>
    <w:qFormat/>
  </w:style>
  <w:style w:type="paragraph" w:styleId="NormalWeb">
    <w:name w:val="Normal (Web)"/>
    <w:basedOn w:val="Normal"/>
    <w:uiPriority w:val="99"/>
    <w:semiHidden/>
    <w:unhideWhenUsed/>
    <w:rsid w:val="005E36D9"/>
    <w:rPr>
      <w:sz w:val="24"/>
      <w:szCs w:val="24"/>
    </w:rPr>
  </w:style>
  <w:style w:type="character" w:styleId="PlaceholderText">
    <w:name w:val="Placeholder Text"/>
    <w:basedOn w:val="DefaultParagraphFont"/>
    <w:uiPriority w:val="99"/>
    <w:semiHidden/>
    <w:rsid w:val="007B7025"/>
    <w:rPr>
      <w:color w:val="666666"/>
    </w:rPr>
  </w:style>
  <w:style w:type="character" w:styleId="Hyperlink">
    <w:name w:val="Hyperlink"/>
    <w:basedOn w:val="DefaultParagraphFont"/>
    <w:uiPriority w:val="99"/>
    <w:unhideWhenUsed/>
    <w:rsid w:val="009A7BBF"/>
    <w:rPr>
      <w:color w:val="0000FF" w:themeColor="hyperlink"/>
      <w:u w:val="single"/>
    </w:rPr>
  </w:style>
  <w:style w:type="character" w:styleId="UnresolvedMention">
    <w:name w:val="Unresolved Mention"/>
    <w:basedOn w:val="DefaultParagraphFont"/>
    <w:uiPriority w:val="99"/>
    <w:semiHidden/>
    <w:unhideWhenUsed/>
    <w:rsid w:val="009A7BBF"/>
    <w:rPr>
      <w:color w:val="605E5C"/>
      <w:shd w:val="clear" w:color="auto" w:fill="E1DFDD"/>
    </w:rPr>
  </w:style>
  <w:style w:type="paragraph" w:styleId="Revision">
    <w:name w:val="Revision"/>
    <w:hidden/>
    <w:uiPriority w:val="99"/>
    <w:semiHidden/>
    <w:rsid w:val="009A7BBF"/>
    <w:pPr>
      <w:widowControl/>
    </w:pPr>
  </w:style>
  <w:style w:type="character" w:styleId="CommentReference">
    <w:name w:val="annotation reference"/>
    <w:basedOn w:val="DefaultParagraphFont"/>
    <w:uiPriority w:val="99"/>
    <w:semiHidden/>
    <w:unhideWhenUsed/>
    <w:rsid w:val="006D6DF0"/>
    <w:rPr>
      <w:sz w:val="16"/>
      <w:szCs w:val="16"/>
    </w:rPr>
  </w:style>
  <w:style w:type="paragraph" w:styleId="CommentText">
    <w:name w:val="annotation text"/>
    <w:basedOn w:val="Normal"/>
    <w:link w:val="CommentTextChar"/>
    <w:uiPriority w:val="99"/>
    <w:semiHidden/>
    <w:unhideWhenUsed/>
    <w:rsid w:val="006D6DF0"/>
    <w:rPr>
      <w:sz w:val="20"/>
      <w:szCs w:val="20"/>
    </w:rPr>
  </w:style>
  <w:style w:type="character" w:customStyle="1" w:styleId="CommentTextChar">
    <w:name w:val="Comment Text Char"/>
    <w:basedOn w:val="DefaultParagraphFont"/>
    <w:link w:val="CommentText"/>
    <w:uiPriority w:val="99"/>
    <w:semiHidden/>
    <w:rsid w:val="006D6DF0"/>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D6DF0"/>
    <w:rPr>
      <w:b/>
      <w:bCs/>
    </w:rPr>
  </w:style>
  <w:style w:type="character" w:customStyle="1" w:styleId="CommentSubjectChar">
    <w:name w:val="Comment Subject Char"/>
    <w:basedOn w:val="CommentTextChar"/>
    <w:link w:val="CommentSubject"/>
    <w:uiPriority w:val="99"/>
    <w:semiHidden/>
    <w:rsid w:val="006D6DF0"/>
    <w:rPr>
      <w:rFonts w:ascii="Times New Roman" w:eastAsia="Times New Roman" w:hAnsi="Times New Roman" w:cs="Times New Roman"/>
      <w:b/>
      <w:bCs/>
      <w:sz w:val="20"/>
      <w:szCs w:val="20"/>
    </w:rPr>
  </w:style>
  <w:style w:type="table" w:customStyle="1" w:styleId="a">
    <w:basedOn w:val="TableNormal"/>
    <w:tblPr>
      <w:tblStyleRowBandSize w:val="1"/>
      <w:tblStyleColBandSize w:val="1"/>
      <w:tblCellMar>
        <w:left w:w="0" w:type="dxa"/>
        <w:right w:w="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0">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E345F7"/>
    <w:pPr>
      <w:tabs>
        <w:tab w:val="center" w:pos="4513"/>
        <w:tab w:val="right" w:pos="9026"/>
      </w:tabs>
    </w:pPr>
  </w:style>
  <w:style w:type="character" w:customStyle="1" w:styleId="HeaderChar">
    <w:name w:val="Header Char"/>
    <w:basedOn w:val="DefaultParagraphFont"/>
    <w:link w:val="Header"/>
    <w:uiPriority w:val="99"/>
    <w:rsid w:val="00E345F7"/>
  </w:style>
  <w:style w:type="paragraph" w:styleId="Footer">
    <w:name w:val="footer"/>
    <w:basedOn w:val="Normal"/>
    <w:link w:val="FooterChar"/>
    <w:uiPriority w:val="99"/>
    <w:unhideWhenUsed/>
    <w:rsid w:val="00E345F7"/>
    <w:pPr>
      <w:tabs>
        <w:tab w:val="center" w:pos="4513"/>
        <w:tab w:val="right" w:pos="9026"/>
      </w:tabs>
    </w:pPr>
  </w:style>
  <w:style w:type="character" w:customStyle="1" w:styleId="FooterChar">
    <w:name w:val="Footer Char"/>
    <w:basedOn w:val="DefaultParagraphFont"/>
    <w:link w:val="Footer"/>
    <w:uiPriority w:val="99"/>
    <w:rsid w:val="00E345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adi_setyo@its.ac.id"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jp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9M6/3E79396VKhjYYE8/xaukwQ==">CgMxLjAyDmguYzJub2g3dm90cnV5Mg5oLmNzdXE2dnZvNGVrMTIOaC5tMGF5bTRtcDU4dGUyDmgubTZ2ZGpxbGh2dnp4Mg5oLjJkOW1uNTV0a2Z2aDgAciExTlpVVmJ3ekt4OURKc2dIcUJyNFBTRjBWeEE5SUR0bUg=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2282</Words>
  <Characters>13013</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2025-10-02T11:47:00Z</dcterms:created>
  <dcterms:modified xsi:type="dcterms:W3CDTF">2025-10-02T11:47:00Z</dcterms:modified>
</cp:coreProperties>
</file>