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744F6F" w14:textId="77777777" w:rsidR="006551B2" w:rsidRDefault="00000000">
      <w:pPr>
        <w:pBdr>
          <w:top w:val="nil"/>
          <w:left w:val="nil"/>
          <w:bottom w:val="nil"/>
          <w:right w:val="nil"/>
          <w:between w:val="nil"/>
        </w:pBdr>
        <w:spacing w:before="360" w:after="360"/>
        <w:jc w:val="center"/>
        <w:rPr>
          <w:b/>
          <w:color w:val="000000"/>
          <w:sz w:val="36"/>
          <w:szCs w:val="36"/>
        </w:rPr>
      </w:pPr>
      <w:r>
        <w:rPr>
          <w:b/>
          <w:color w:val="000000"/>
          <w:sz w:val="36"/>
          <w:szCs w:val="36"/>
        </w:rPr>
        <w:t xml:space="preserve">Study of Antibacterial Bioactive Compounds from </w:t>
      </w:r>
      <w:r>
        <w:rPr>
          <w:b/>
          <w:i/>
          <w:color w:val="000000"/>
          <w:sz w:val="36"/>
          <w:szCs w:val="36"/>
        </w:rPr>
        <w:t>Hibiscus sabdariffa</w:t>
      </w:r>
      <w:r>
        <w:rPr>
          <w:b/>
          <w:color w:val="000000"/>
          <w:sz w:val="36"/>
          <w:szCs w:val="36"/>
        </w:rPr>
        <w:t xml:space="preserve"> and </w:t>
      </w:r>
      <w:proofErr w:type="spellStart"/>
      <w:r>
        <w:rPr>
          <w:b/>
          <w:i/>
          <w:color w:val="000000"/>
          <w:sz w:val="36"/>
          <w:szCs w:val="36"/>
        </w:rPr>
        <w:t>Syzygium</w:t>
      </w:r>
      <w:proofErr w:type="spellEnd"/>
      <w:r>
        <w:rPr>
          <w:b/>
          <w:i/>
          <w:color w:val="000000"/>
          <w:sz w:val="36"/>
          <w:szCs w:val="36"/>
        </w:rPr>
        <w:t xml:space="preserve"> aromaticum</w:t>
      </w:r>
      <w:r>
        <w:rPr>
          <w:b/>
          <w:color w:val="000000"/>
          <w:sz w:val="36"/>
          <w:szCs w:val="36"/>
        </w:rPr>
        <w:t xml:space="preserve"> Extracts as an Alternative for Handling Methicillin Resistant </w:t>
      </w:r>
      <w:r>
        <w:rPr>
          <w:b/>
          <w:i/>
          <w:color w:val="000000"/>
          <w:sz w:val="36"/>
          <w:szCs w:val="36"/>
        </w:rPr>
        <w:t>Staphylococcus aureus</w:t>
      </w:r>
      <w:r>
        <w:rPr>
          <w:b/>
          <w:color w:val="000000"/>
          <w:sz w:val="36"/>
          <w:szCs w:val="36"/>
        </w:rPr>
        <w:t xml:space="preserve"> (MRSA) Infections</w:t>
      </w:r>
    </w:p>
    <w:p w14:paraId="4C181B3B" w14:textId="77777777" w:rsidR="006551B2" w:rsidRDefault="00000000">
      <w:pPr>
        <w:pBdr>
          <w:top w:val="nil"/>
          <w:left w:val="nil"/>
          <w:bottom w:val="nil"/>
          <w:right w:val="nil"/>
          <w:between w:val="nil"/>
        </w:pBdr>
        <w:spacing w:before="360" w:after="360"/>
        <w:jc w:val="center"/>
        <w:rPr>
          <w:color w:val="000000"/>
          <w:sz w:val="28"/>
          <w:szCs w:val="28"/>
          <w:vertAlign w:val="superscript"/>
        </w:rPr>
      </w:pPr>
      <w:proofErr w:type="spellStart"/>
      <w:r>
        <w:rPr>
          <w:color w:val="000000"/>
          <w:sz w:val="28"/>
          <w:szCs w:val="28"/>
        </w:rPr>
        <w:t>Herdiani</w:t>
      </w:r>
      <w:proofErr w:type="spellEnd"/>
      <w:r>
        <w:rPr>
          <w:color w:val="000000"/>
          <w:sz w:val="28"/>
          <w:szCs w:val="28"/>
        </w:rPr>
        <w:t xml:space="preserve"> </w:t>
      </w:r>
      <w:proofErr w:type="spellStart"/>
      <w:r>
        <w:rPr>
          <w:color w:val="000000"/>
          <w:sz w:val="28"/>
          <w:szCs w:val="28"/>
        </w:rPr>
        <w:t>Sulistyo</w:t>
      </w:r>
      <w:proofErr w:type="spellEnd"/>
      <w:r>
        <w:rPr>
          <w:color w:val="000000"/>
          <w:sz w:val="28"/>
          <w:szCs w:val="28"/>
        </w:rPr>
        <w:t xml:space="preserve"> Putri</w:t>
      </w:r>
      <w:r>
        <w:rPr>
          <w:color w:val="000000"/>
          <w:sz w:val="28"/>
          <w:szCs w:val="28"/>
          <w:vertAlign w:val="superscript"/>
        </w:rPr>
        <w:t>1</w:t>
      </w:r>
      <w:r>
        <w:rPr>
          <w:color w:val="000000"/>
          <w:sz w:val="28"/>
          <w:szCs w:val="28"/>
        </w:rPr>
        <w:t xml:space="preserve">, </w:t>
      </w:r>
      <w:proofErr w:type="spellStart"/>
      <w:r>
        <w:rPr>
          <w:color w:val="000000"/>
          <w:sz w:val="28"/>
          <w:szCs w:val="28"/>
        </w:rPr>
        <w:t>Herdayanto</w:t>
      </w:r>
      <w:proofErr w:type="spellEnd"/>
      <w:r>
        <w:rPr>
          <w:color w:val="000000"/>
          <w:sz w:val="28"/>
          <w:szCs w:val="28"/>
        </w:rPr>
        <w:t xml:space="preserve"> </w:t>
      </w:r>
      <w:proofErr w:type="spellStart"/>
      <w:r>
        <w:rPr>
          <w:color w:val="000000"/>
          <w:sz w:val="28"/>
          <w:szCs w:val="28"/>
        </w:rPr>
        <w:t>Sulistyo</w:t>
      </w:r>
      <w:proofErr w:type="spellEnd"/>
      <w:r>
        <w:rPr>
          <w:color w:val="000000"/>
          <w:sz w:val="28"/>
          <w:szCs w:val="28"/>
        </w:rPr>
        <w:t xml:space="preserve"> Putro</w:t>
      </w:r>
      <w:r>
        <w:rPr>
          <w:color w:val="000000"/>
          <w:sz w:val="28"/>
          <w:szCs w:val="28"/>
          <w:vertAlign w:val="superscript"/>
        </w:rPr>
        <w:t>2, a)</w:t>
      </w:r>
      <w:r>
        <w:rPr>
          <w:color w:val="000000"/>
          <w:sz w:val="28"/>
          <w:szCs w:val="28"/>
        </w:rPr>
        <w:t>, Tan Nicko Octora</w:t>
      </w:r>
      <w:r>
        <w:rPr>
          <w:color w:val="000000"/>
          <w:sz w:val="28"/>
          <w:szCs w:val="28"/>
          <w:vertAlign w:val="superscript"/>
        </w:rPr>
        <w:t>1,3</w:t>
      </w:r>
      <w:r>
        <w:rPr>
          <w:color w:val="000000"/>
          <w:sz w:val="28"/>
          <w:szCs w:val="28"/>
        </w:rPr>
        <w:t>, Achmad Basir Rachman</w:t>
      </w:r>
      <w:r>
        <w:rPr>
          <w:color w:val="000000"/>
          <w:sz w:val="28"/>
          <w:szCs w:val="28"/>
          <w:vertAlign w:val="superscript"/>
        </w:rPr>
        <w:t>1,3</w:t>
      </w:r>
      <w:r>
        <w:rPr>
          <w:color w:val="000000"/>
          <w:sz w:val="28"/>
          <w:szCs w:val="28"/>
        </w:rPr>
        <w:t xml:space="preserve">, </w:t>
      </w:r>
      <w:proofErr w:type="spellStart"/>
      <w:r>
        <w:rPr>
          <w:color w:val="000000"/>
          <w:sz w:val="28"/>
          <w:szCs w:val="28"/>
        </w:rPr>
        <w:t>Miftahul</w:t>
      </w:r>
      <w:proofErr w:type="spellEnd"/>
      <w:r>
        <w:rPr>
          <w:color w:val="000000"/>
          <w:sz w:val="28"/>
          <w:szCs w:val="28"/>
        </w:rPr>
        <w:t xml:space="preserve"> Jannah</w:t>
      </w:r>
      <w:r>
        <w:rPr>
          <w:color w:val="000000"/>
          <w:sz w:val="28"/>
          <w:szCs w:val="28"/>
          <w:vertAlign w:val="superscript"/>
        </w:rPr>
        <w:t>2</w:t>
      </w:r>
      <w:r>
        <w:rPr>
          <w:color w:val="000000"/>
          <w:sz w:val="28"/>
          <w:szCs w:val="28"/>
        </w:rPr>
        <w:t>, Anisa Rahma Maharani</w:t>
      </w:r>
      <w:r>
        <w:rPr>
          <w:color w:val="000000"/>
          <w:sz w:val="28"/>
          <w:szCs w:val="28"/>
          <w:vertAlign w:val="superscript"/>
        </w:rPr>
        <w:t>2</w:t>
      </w:r>
      <w:r>
        <w:rPr>
          <w:color w:val="000000"/>
          <w:sz w:val="28"/>
          <w:szCs w:val="28"/>
        </w:rPr>
        <w:t>, Fifi Risma Mailani Farikhah</w:t>
      </w:r>
      <w:r>
        <w:rPr>
          <w:color w:val="000000"/>
          <w:sz w:val="28"/>
          <w:szCs w:val="28"/>
          <w:vertAlign w:val="superscript"/>
        </w:rPr>
        <w:t>2</w:t>
      </w:r>
      <w:r>
        <w:rPr>
          <w:color w:val="000000"/>
          <w:sz w:val="28"/>
          <w:szCs w:val="28"/>
        </w:rPr>
        <w:t xml:space="preserve">, Vien Aisyah </w:t>
      </w:r>
      <w:proofErr w:type="spellStart"/>
      <w:r>
        <w:rPr>
          <w:color w:val="000000"/>
          <w:sz w:val="28"/>
          <w:szCs w:val="28"/>
        </w:rPr>
        <w:t>Abhiramada</w:t>
      </w:r>
      <w:proofErr w:type="spellEnd"/>
      <w:r>
        <w:rPr>
          <w:color w:val="000000"/>
          <w:sz w:val="28"/>
          <w:szCs w:val="28"/>
          <w:vertAlign w:val="superscript"/>
        </w:rPr>
        <w:t xml:space="preserve"> 2</w:t>
      </w:r>
      <w:r>
        <w:rPr>
          <w:color w:val="000000"/>
          <w:sz w:val="28"/>
          <w:szCs w:val="28"/>
        </w:rPr>
        <w:t>, Muhammad Alvan Thariq Risqullah</w:t>
      </w:r>
      <w:r>
        <w:rPr>
          <w:color w:val="000000"/>
          <w:sz w:val="28"/>
          <w:szCs w:val="28"/>
          <w:vertAlign w:val="superscript"/>
        </w:rPr>
        <w:t>2</w:t>
      </w:r>
    </w:p>
    <w:p w14:paraId="53D99254" w14:textId="77777777" w:rsidR="006551B2" w:rsidRDefault="00000000">
      <w:pPr>
        <w:pBdr>
          <w:top w:val="nil"/>
          <w:left w:val="nil"/>
          <w:bottom w:val="nil"/>
          <w:right w:val="nil"/>
          <w:between w:val="nil"/>
        </w:pBdr>
        <w:jc w:val="center"/>
        <w:rPr>
          <w:i/>
          <w:color w:val="000000"/>
          <w:sz w:val="20"/>
          <w:szCs w:val="20"/>
        </w:rPr>
      </w:pPr>
      <w:r>
        <w:rPr>
          <w:i/>
          <w:color w:val="000000"/>
          <w:sz w:val="20"/>
          <w:szCs w:val="20"/>
          <w:vertAlign w:val="superscript"/>
        </w:rPr>
        <w:t>1</w:t>
      </w:r>
      <w:r>
        <w:rPr>
          <w:i/>
          <w:color w:val="000000"/>
          <w:sz w:val="20"/>
          <w:szCs w:val="20"/>
        </w:rPr>
        <w:t xml:space="preserve">Department of </w:t>
      </w:r>
      <w:proofErr w:type="spellStart"/>
      <w:r>
        <w:rPr>
          <w:i/>
          <w:color w:val="000000"/>
          <w:sz w:val="20"/>
          <w:szCs w:val="20"/>
        </w:rPr>
        <w:t>Anesthesiology</w:t>
      </w:r>
      <w:proofErr w:type="spellEnd"/>
      <w:r>
        <w:rPr>
          <w:i/>
          <w:color w:val="000000"/>
          <w:sz w:val="20"/>
          <w:szCs w:val="20"/>
        </w:rPr>
        <w:t xml:space="preserve"> and Intensive Care, Faculty of Medicine, Universitas Airlangga, Surabaya, INDONESIA</w:t>
      </w:r>
    </w:p>
    <w:p w14:paraId="5CCF8FEF" w14:textId="77777777" w:rsidR="006551B2" w:rsidRDefault="00000000">
      <w:pPr>
        <w:pBdr>
          <w:top w:val="nil"/>
          <w:left w:val="nil"/>
          <w:bottom w:val="nil"/>
          <w:right w:val="nil"/>
          <w:between w:val="nil"/>
        </w:pBdr>
        <w:jc w:val="center"/>
        <w:rPr>
          <w:i/>
          <w:color w:val="000000"/>
          <w:sz w:val="20"/>
          <w:szCs w:val="20"/>
        </w:rPr>
      </w:pPr>
      <w:r>
        <w:rPr>
          <w:color w:val="000000"/>
          <w:sz w:val="20"/>
          <w:szCs w:val="20"/>
          <w:vertAlign w:val="superscript"/>
        </w:rPr>
        <w:t>2</w:t>
      </w:r>
      <w:r>
        <w:rPr>
          <w:i/>
          <w:color w:val="000000"/>
          <w:sz w:val="20"/>
          <w:szCs w:val="20"/>
        </w:rPr>
        <w:t xml:space="preserve">Laboratory of Microbial Chemistry, Department of Chemistry, </w:t>
      </w:r>
      <w:proofErr w:type="spellStart"/>
      <w:r>
        <w:rPr>
          <w:i/>
          <w:color w:val="000000"/>
          <w:sz w:val="20"/>
          <w:szCs w:val="20"/>
        </w:rPr>
        <w:t>Institut</w:t>
      </w:r>
      <w:proofErr w:type="spellEnd"/>
      <w:r>
        <w:rPr>
          <w:i/>
          <w:color w:val="000000"/>
          <w:sz w:val="20"/>
          <w:szCs w:val="20"/>
        </w:rPr>
        <w:t xml:space="preserve"> </w:t>
      </w:r>
      <w:proofErr w:type="spellStart"/>
      <w:r>
        <w:rPr>
          <w:i/>
          <w:color w:val="000000"/>
          <w:sz w:val="20"/>
          <w:szCs w:val="20"/>
        </w:rPr>
        <w:t>Teknologi</w:t>
      </w:r>
      <w:proofErr w:type="spellEnd"/>
      <w:r>
        <w:rPr>
          <w:i/>
          <w:color w:val="000000"/>
          <w:sz w:val="20"/>
          <w:szCs w:val="20"/>
        </w:rPr>
        <w:t xml:space="preserve"> </w:t>
      </w:r>
      <w:proofErr w:type="spellStart"/>
      <w:r>
        <w:rPr>
          <w:i/>
          <w:color w:val="000000"/>
          <w:sz w:val="20"/>
          <w:szCs w:val="20"/>
        </w:rPr>
        <w:t>Sepuluh</w:t>
      </w:r>
      <w:proofErr w:type="spellEnd"/>
      <w:r>
        <w:rPr>
          <w:i/>
          <w:color w:val="000000"/>
          <w:sz w:val="20"/>
          <w:szCs w:val="20"/>
        </w:rPr>
        <w:t xml:space="preserve"> </w:t>
      </w:r>
      <w:proofErr w:type="spellStart"/>
      <w:r>
        <w:rPr>
          <w:i/>
          <w:color w:val="000000"/>
          <w:sz w:val="20"/>
          <w:szCs w:val="20"/>
        </w:rPr>
        <w:t>Nopember</w:t>
      </w:r>
      <w:proofErr w:type="spellEnd"/>
      <w:r>
        <w:rPr>
          <w:i/>
          <w:color w:val="000000"/>
          <w:sz w:val="20"/>
          <w:szCs w:val="20"/>
        </w:rPr>
        <w:t>, Surabaya, INDONESIA</w:t>
      </w:r>
    </w:p>
    <w:p w14:paraId="21D1A17D" w14:textId="77777777" w:rsidR="006551B2" w:rsidRDefault="00000000">
      <w:pPr>
        <w:pBdr>
          <w:top w:val="nil"/>
          <w:left w:val="nil"/>
          <w:bottom w:val="nil"/>
          <w:right w:val="nil"/>
          <w:between w:val="nil"/>
        </w:pBdr>
        <w:jc w:val="center"/>
        <w:rPr>
          <w:i/>
          <w:color w:val="000000"/>
          <w:sz w:val="20"/>
          <w:szCs w:val="20"/>
        </w:rPr>
      </w:pPr>
      <w:r>
        <w:rPr>
          <w:i/>
          <w:color w:val="000000"/>
          <w:sz w:val="20"/>
          <w:szCs w:val="20"/>
          <w:vertAlign w:val="superscript"/>
        </w:rPr>
        <w:t>3</w:t>
      </w:r>
      <w:r>
        <w:rPr>
          <w:i/>
          <w:color w:val="000000"/>
          <w:sz w:val="20"/>
          <w:szCs w:val="20"/>
        </w:rPr>
        <w:t xml:space="preserve">Department of </w:t>
      </w:r>
      <w:proofErr w:type="spellStart"/>
      <w:r>
        <w:rPr>
          <w:i/>
          <w:color w:val="000000"/>
          <w:sz w:val="20"/>
          <w:szCs w:val="20"/>
        </w:rPr>
        <w:t>Anesthesiology</w:t>
      </w:r>
      <w:proofErr w:type="spellEnd"/>
      <w:r>
        <w:rPr>
          <w:i/>
          <w:color w:val="000000"/>
          <w:sz w:val="20"/>
          <w:szCs w:val="20"/>
        </w:rPr>
        <w:t xml:space="preserve"> and Reanimation, </w:t>
      </w:r>
      <w:proofErr w:type="spellStart"/>
      <w:r>
        <w:rPr>
          <w:i/>
          <w:color w:val="000000"/>
          <w:sz w:val="20"/>
          <w:szCs w:val="20"/>
        </w:rPr>
        <w:t>Soetomo</w:t>
      </w:r>
      <w:proofErr w:type="spellEnd"/>
      <w:r>
        <w:rPr>
          <w:i/>
          <w:color w:val="000000"/>
          <w:sz w:val="20"/>
          <w:szCs w:val="20"/>
        </w:rPr>
        <w:t xml:space="preserve"> General Academic Hospital, Surabaya, INDONESIA</w:t>
      </w:r>
    </w:p>
    <w:p w14:paraId="022CEDD7" w14:textId="77777777" w:rsidR="006551B2" w:rsidRDefault="00000000">
      <w:pPr>
        <w:pBdr>
          <w:top w:val="nil"/>
          <w:left w:val="nil"/>
          <w:bottom w:val="nil"/>
          <w:right w:val="nil"/>
          <w:between w:val="nil"/>
        </w:pBdr>
        <w:ind w:left="720" w:hanging="720"/>
        <w:jc w:val="center"/>
        <w:rPr>
          <w:i/>
          <w:color w:val="000000"/>
          <w:sz w:val="20"/>
          <w:szCs w:val="20"/>
        </w:rPr>
      </w:pPr>
      <w:proofErr w:type="gramStart"/>
      <w:r>
        <w:rPr>
          <w:i/>
          <w:color w:val="000000"/>
          <w:sz w:val="20"/>
          <w:szCs w:val="20"/>
          <w:vertAlign w:val="superscript"/>
        </w:rPr>
        <w:t>a)</w:t>
      </w:r>
      <w:r>
        <w:rPr>
          <w:i/>
          <w:color w:val="000000"/>
          <w:sz w:val="20"/>
          <w:szCs w:val="20"/>
        </w:rPr>
        <w:t>Corresponding</w:t>
      </w:r>
      <w:proofErr w:type="gramEnd"/>
      <w:r>
        <w:rPr>
          <w:i/>
          <w:color w:val="000000"/>
          <w:sz w:val="20"/>
          <w:szCs w:val="20"/>
        </w:rPr>
        <w:t xml:space="preserve"> author: </w:t>
      </w:r>
      <w:hyperlink r:id="rId6">
        <w:r>
          <w:rPr>
            <w:i/>
            <w:color w:val="0000FF"/>
            <w:sz w:val="20"/>
            <w:szCs w:val="20"/>
            <w:u w:val="single"/>
          </w:rPr>
          <w:t>hsputro@its.ac.id</w:t>
        </w:r>
      </w:hyperlink>
      <w:r>
        <w:rPr>
          <w:i/>
          <w:color w:val="000000"/>
          <w:sz w:val="20"/>
          <w:szCs w:val="20"/>
        </w:rPr>
        <w:t xml:space="preserve">  </w:t>
      </w:r>
    </w:p>
    <w:p w14:paraId="10ACF1C7" w14:textId="77777777" w:rsidR="006551B2" w:rsidRDefault="00000000">
      <w:pPr>
        <w:pBdr>
          <w:top w:val="nil"/>
          <w:left w:val="nil"/>
          <w:bottom w:val="nil"/>
          <w:right w:val="nil"/>
          <w:between w:val="nil"/>
        </w:pBdr>
        <w:spacing w:before="360" w:after="360"/>
        <w:ind w:left="289" w:right="289"/>
        <w:jc w:val="both"/>
        <w:rPr>
          <w:color w:val="000000"/>
          <w:sz w:val="18"/>
          <w:szCs w:val="18"/>
        </w:rPr>
      </w:pPr>
      <w:r>
        <w:rPr>
          <w:b/>
          <w:color w:val="000000"/>
          <w:sz w:val="18"/>
          <w:szCs w:val="18"/>
        </w:rPr>
        <w:t>Abstract.</w:t>
      </w:r>
      <w:r>
        <w:rPr>
          <w:color w:val="000000"/>
          <w:sz w:val="18"/>
          <w:szCs w:val="18"/>
        </w:rPr>
        <w:t xml:space="preserve"> The global rise in infectious disease-related mortality, coupled with the uncontrolled use of antibiotics, has significantly contributed to the emergence of antibiotic-resistant bacteria. In response to this public health threat, plant-derived compounds have gained attention as promising, renewable antibacterial agents. This study aimed to investigate the antibacterial activity of clove (</w:t>
      </w:r>
      <w:proofErr w:type="spellStart"/>
      <w:r>
        <w:rPr>
          <w:i/>
          <w:color w:val="000000"/>
          <w:sz w:val="18"/>
          <w:szCs w:val="18"/>
        </w:rPr>
        <w:t>Syzygium</w:t>
      </w:r>
      <w:proofErr w:type="spellEnd"/>
      <w:r>
        <w:rPr>
          <w:i/>
          <w:color w:val="000000"/>
          <w:sz w:val="18"/>
          <w:szCs w:val="18"/>
        </w:rPr>
        <w:t xml:space="preserve"> aromaticum</w:t>
      </w:r>
      <w:r>
        <w:rPr>
          <w:color w:val="000000"/>
          <w:sz w:val="18"/>
          <w:szCs w:val="18"/>
        </w:rPr>
        <w:t>) and roselle (</w:t>
      </w:r>
      <w:r>
        <w:rPr>
          <w:i/>
          <w:color w:val="000000"/>
          <w:sz w:val="18"/>
          <w:szCs w:val="18"/>
        </w:rPr>
        <w:t>Hibiscus sabdariffa</w:t>
      </w:r>
      <w:r>
        <w:rPr>
          <w:color w:val="000000"/>
          <w:sz w:val="18"/>
          <w:szCs w:val="18"/>
        </w:rPr>
        <w:t xml:space="preserve">) flower extracts against </w:t>
      </w:r>
      <w:r>
        <w:rPr>
          <w:i/>
          <w:color w:val="000000"/>
          <w:sz w:val="18"/>
          <w:szCs w:val="18"/>
        </w:rPr>
        <w:t>Escherichia coli</w:t>
      </w:r>
      <w:r>
        <w:rPr>
          <w:color w:val="000000"/>
          <w:sz w:val="18"/>
          <w:szCs w:val="18"/>
        </w:rPr>
        <w:t xml:space="preserve"> and </w:t>
      </w:r>
      <w:r>
        <w:rPr>
          <w:i/>
          <w:color w:val="000000"/>
          <w:sz w:val="18"/>
          <w:szCs w:val="18"/>
        </w:rPr>
        <w:t>Staphylococcus aureus</w:t>
      </w:r>
      <w:r>
        <w:rPr>
          <w:color w:val="000000"/>
          <w:sz w:val="18"/>
          <w:szCs w:val="18"/>
        </w:rPr>
        <w:t xml:space="preserve">. Both plants were extracted via the maceration method using a variety of solvents: ethanol, acetone, ethyl acetate, and distilled water (at room temperature and 100°C). The phytochemical screening revealed the presence of flavonoids, alkaloids, and tannins in all extracts, while saponins and glycosides were detected only in selected solvents. Antibacterial activity was evaluated using the disc diffusion and microdilution methods. The ethyl acetate extracts of both clove and roselle demonstrated the highest antibacterial efficacy, with inhibition zones of up to 32.5 mm and 25 mm for </w:t>
      </w:r>
      <w:r>
        <w:rPr>
          <w:i/>
          <w:color w:val="000000"/>
          <w:sz w:val="18"/>
          <w:szCs w:val="18"/>
        </w:rPr>
        <w:t>E. coli</w:t>
      </w:r>
      <w:r>
        <w:rPr>
          <w:color w:val="000000"/>
          <w:sz w:val="18"/>
          <w:szCs w:val="18"/>
        </w:rPr>
        <w:t xml:space="preserve"> and </w:t>
      </w:r>
      <w:r>
        <w:rPr>
          <w:i/>
          <w:color w:val="000000"/>
          <w:sz w:val="18"/>
          <w:szCs w:val="18"/>
        </w:rPr>
        <w:t>S. aureus</w:t>
      </w:r>
      <w:r>
        <w:rPr>
          <w:color w:val="000000"/>
          <w:sz w:val="18"/>
          <w:szCs w:val="18"/>
        </w:rPr>
        <w:t>, respectively. The minimum inhibitory concentration (MIC) for clove extract was 41.7 mg/mL (</w:t>
      </w:r>
      <w:r>
        <w:rPr>
          <w:i/>
          <w:color w:val="000000"/>
          <w:sz w:val="18"/>
          <w:szCs w:val="18"/>
        </w:rPr>
        <w:t>E. coli</w:t>
      </w:r>
      <w:r>
        <w:rPr>
          <w:color w:val="000000"/>
          <w:sz w:val="18"/>
          <w:szCs w:val="18"/>
        </w:rPr>
        <w:t>) and 85.7 mg/mL (</w:t>
      </w:r>
      <w:r>
        <w:rPr>
          <w:i/>
          <w:color w:val="000000"/>
          <w:sz w:val="18"/>
          <w:szCs w:val="18"/>
        </w:rPr>
        <w:t>S. aureus</w:t>
      </w:r>
      <w:r>
        <w:rPr>
          <w:color w:val="000000"/>
          <w:sz w:val="18"/>
          <w:szCs w:val="18"/>
        </w:rPr>
        <w:t xml:space="preserve">), whereas roselle extract exhibited MIC values of approximately 33.4 mg/mL for both bacteria. These findings suggest that </w:t>
      </w:r>
      <w:r>
        <w:rPr>
          <w:i/>
          <w:color w:val="000000"/>
          <w:sz w:val="18"/>
          <w:szCs w:val="18"/>
        </w:rPr>
        <w:t>H. sabdariffa</w:t>
      </w:r>
      <w:r>
        <w:rPr>
          <w:color w:val="000000"/>
          <w:sz w:val="18"/>
          <w:szCs w:val="18"/>
        </w:rPr>
        <w:t xml:space="preserve"> and </w:t>
      </w:r>
      <w:r>
        <w:rPr>
          <w:i/>
          <w:color w:val="000000"/>
          <w:sz w:val="18"/>
          <w:szCs w:val="18"/>
        </w:rPr>
        <w:t>S. aromaticum</w:t>
      </w:r>
      <w:r>
        <w:rPr>
          <w:color w:val="000000"/>
          <w:sz w:val="18"/>
          <w:szCs w:val="18"/>
        </w:rPr>
        <w:t xml:space="preserve"> extracts contain significant antibacterial compounds—particularly flavonoids and phenolic compounds—and hold potential as natural alternatives to combat antibiotic-resistant bacterial infections.</w:t>
      </w:r>
    </w:p>
    <w:p w14:paraId="55C41A43" w14:textId="77777777" w:rsidR="006551B2" w:rsidRDefault="00000000">
      <w:pPr>
        <w:pStyle w:val="Heading1"/>
      </w:pPr>
      <w:r>
        <w:t>INTRODUCTIONs</w:t>
      </w:r>
    </w:p>
    <w:p w14:paraId="5F306B4F"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Infectious diseases represent a paramount global health concern, contributing significantly to morbidity and mortality rates worldwide [1]. It is estimated that 26.1% of the 56.2 million total global deaths are due to infectious causes, a figure that underscores the persistent threat these diseases pose to public health. The primary drivers of this mortality include lower respiratory tract infections, diarrheal diseases, tuberculosis, malaria, and notably, Human Immunodeficiency Virus (HIV) / Acquired Immune Deficiency Syndrome (AIDS) [2]. The challenge of managing these diseases is critically exacerbated by the escalating crisis of antimicrobial resistance (AMR), a phenomenon that threatens to undermine decades of medical progress. The overuse and misuse of antibiotics in human and veterinary medicine have accelerated the natural evolutionary process, leading to the selection and proliferation of resistant bacterial strains.</w:t>
      </w:r>
    </w:p>
    <w:p w14:paraId="5F918FE9"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This widespread and often injudicious use of antibiotics has led to the emergence of multidrug-resistant pathogens, rendering conventional therapies ineffective and increasing the risk of prolonged illness, disability, and death [3]. Patients with compromised immune systems, such as those with advanced HIV/AIDS, are particularly susceptible to opportunistic infections caused by these resistant bacteria. Among the most formidable of these pathogens is Methicillin-Resistant </w:t>
      </w:r>
      <w:r>
        <w:rPr>
          <w:i/>
          <w:color w:val="000000"/>
          <w:sz w:val="20"/>
          <w:szCs w:val="20"/>
        </w:rPr>
        <w:t>Staphylococcus aureus</w:t>
      </w:r>
      <w:r>
        <w:rPr>
          <w:color w:val="000000"/>
          <w:sz w:val="20"/>
          <w:szCs w:val="20"/>
        </w:rPr>
        <w:t xml:space="preserve"> (MRSA), which has evolved from a manageable bacterium into a "superbug" responsible for severe infections in both healthcare and community settings [4]. The intersection of pre-</w:t>
      </w:r>
      <w:r>
        <w:rPr>
          <w:color w:val="000000"/>
          <w:sz w:val="20"/>
          <w:szCs w:val="20"/>
        </w:rPr>
        <w:lastRenderedPageBreak/>
        <w:t xml:space="preserve">existing infectious diseases and AMR </w:t>
      </w:r>
      <w:proofErr w:type="gramStart"/>
      <w:r>
        <w:rPr>
          <w:color w:val="000000"/>
          <w:sz w:val="20"/>
          <w:szCs w:val="20"/>
        </w:rPr>
        <w:t>creates</w:t>
      </w:r>
      <w:proofErr w:type="gramEnd"/>
      <w:r>
        <w:rPr>
          <w:color w:val="000000"/>
          <w:sz w:val="20"/>
          <w:szCs w:val="20"/>
        </w:rPr>
        <w:t xml:space="preserve"> a perilous clinical scenario and an urgent need for novel therapeutic strategies. The projected rise in mortality due to AMR, estimated to reach 10 million annually by 2050, further highlights the necessity for immediate and innovative action to develop new lines of </w:t>
      </w:r>
      <w:proofErr w:type="spellStart"/>
      <w:r>
        <w:rPr>
          <w:color w:val="000000"/>
          <w:sz w:val="20"/>
          <w:szCs w:val="20"/>
        </w:rPr>
        <w:t>defense</w:t>
      </w:r>
      <w:proofErr w:type="spellEnd"/>
      <w:r>
        <w:rPr>
          <w:color w:val="000000"/>
          <w:sz w:val="20"/>
          <w:szCs w:val="20"/>
        </w:rPr>
        <w:t xml:space="preserve"> [5].</w:t>
      </w:r>
    </w:p>
    <w:p w14:paraId="6E4AD228" w14:textId="7FC71B09"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In response to this challenge, there is a renewed scientific focus on natural products, particularly medicinal plants, as a promising reservoir of novel therapeutic compounds. For centuries, traditional medicine systems have relied on herbal remedies to treat various ailments. Modern science is now validating this ancient knowledge, identifying specific bioactive compounds responsible for these therapeutic effects. Herbal plants are known to synthesize a vast array of secondary metabolites—including flavonoids, alkaloids, tannins, and other phenolic compounds—which are not essential for their primary growth but serve crucial roles in </w:t>
      </w:r>
      <w:proofErr w:type="spellStart"/>
      <w:r>
        <w:rPr>
          <w:color w:val="000000"/>
          <w:sz w:val="20"/>
          <w:szCs w:val="20"/>
        </w:rPr>
        <w:t>defense</w:t>
      </w:r>
      <w:proofErr w:type="spellEnd"/>
      <w:r>
        <w:rPr>
          <w:color w:val="000000"/>
          <w:sz w:val="20"/>
          <w:szCs w:val="20"/>
        </w:rPr>
        <w:t xml:space="preserve"> against pathogens and herbivores. These compounds exhibit potent biological activities, including significant antibacterial properties [6],[7]. Species such as </w:t>
      </w:r>
      <w:r>
        <w:rPr>
          <w:i/>
          <w:color w:val="000000"/>
          <w:sz w:val="20"/>
          <w:szCs w:val="20"/>
        </w:rPr>
        <w:t>Hibiscus sabdariffa</w:t>
      </w:r>
      <w:r>
        <w:rPr>
          <w:color w:val="000000"/>
          <w:sz w:val="20"/>
          <w:szCs w:val="20"/>
        </w:rPr>
        <w:t xml:space="preserve"> (roselle), known for its rich anthocyanin content, and </w:t>
      </w:r>
      <w:proofErr w:type="spellStart"/>
      <w:r>
        <w:rPr>
          <w:i/>
          <w:color w:val="000000"/>
          <w:sz w:val="20"/>
          <w:szCs w:val="20"/>
        </w:rPr>
        <w:t>Syzygium</w:t>
      </w:r>
      <w:proofErr w:type="spellEnd"/>
      <w:r>
        <w:rPr>
          <w:i/>
          <w:color w:val="000000"/>
          <w:sz w:val="20"/>
          <w:szCs w:val="20"/>
        </w:rPr>
        <w:t xml:space="preserve"> aromaticum</w:t>
      </w:r>
      <w:r>
        <w:rPr>
          <w:color w:val="000000"/>
          <w:sz w:val="20"/>
          <w:szCs w:val="20"/>
        </w:rPr>
        <w:t xml:space="preserve"> (clove), a potent source of the phenolic compound eugenol, have been traditionally utilized for their medicinal properties and have demonstrated significant antimicrobial potential in scientific studies [8], [9]. These natural compounds often target multiple pathways in bacterial cells, offering alternative mechanisms of action that can be effective against strains resistant to single-target conventional antibiotics.</w:t>
      </w:r>
    </w:p>
    <w:p w14:paraId="476D33AE"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While the individual antimicrobial properties of these plants are recognized, their combined potential against highly resistant pathogens remains an area of active investigation. The complexity of natural extracts, containing multiple bioactive compounds, suggests the possibility of synergistic interactions, where the combined effect is greater than the sum of the individual parts. This study, therefore, aims to investigate the synergistic antibacterial activity of a formulation combining extracts from </w:t>
      </w:r>
      <w:r>
        <w:rPr>
          <w:i/>
          <w:color w:val="000000"/>
          <w:sz w:val="20"/>
          <w:szCs w:val="20"/>
        </w:rPr>
        <w:t>H. sabdariffa</w:t>
      </w:r>
      <w:r>
        <w:rPr>
          <w:color w:val="000000"/>
          <w:sz w:val="20"/>
          <w:szCs w:val="20"/>
        </w:rPr>
        <w:t xml:space="preserve"> and </w:t>
      </w:r>
      <w:r>
        <w:rPr>
          <w:i/>
          <w:color w:val="000000"/>
          <w:sz w:val="20"/>
          <w:szCs w:val="20"/>
        </w:rPr>
        <w:t>S. aromaticum</w:t>
      </w:r>
      <w:r>
        <w:rPr>
          <w:color w:val="000000"/>
          <w:sz w:val="20"/>
          <w:szCs w:val="20"/>
        </w:rPr>
        <w:t xml:space="preserve"> against MRSA. By elucidating the phytochemical basis of their efficacy and evaluating their combined antimicrobial effect, this research seeks to contribute to the development of a novel, plant-derived alternative for managing infections, particularly in the context of the global AMR crisis</w:t>
      </w:r>
    </w:p>
    <w:p w14:paraId="43646A76" w14:textId="77777777" w:rsidR="006551B2" w:rsidRDefault="00000000">
      <w:pPr>
        <w:pStyle w:val="Heading2"/>
      </w:pPr>
      <w:r>
        <w:t>MATERIAL AND METHODS</w:t>
      </w:r>
    </w:p>
    <w:p w14:paraId="7E54F8F2" w14:textId="77777777" w:rsidR="006551B2" w:rsidRDefault="00000000">
      <w:pPr>
        <w:pStyle w:val="Heading2"/>
      </w:pPr>
      <w:r>
        <w:t>Materials</w:t>
      </w:r>
    </w:p>
    <w:p w14:paraId="1CDF5214"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The primary plant materials used in this study were roselle flowers (</w:t>
      </w:r>
      <w:r>
        <w:rPr>
          <w:i/>
          <w:color w:val="000000"/>
          <w:sz w:val="20"/>
          <w:szCs w:val="20"/>
        </w:rPr>
        <w:t>H. sabdariffa</w:t>
      </w:r>
      <w:r>
        <w:rPr>
          <w:color w:val="000000"/>
          <w:sz w:val="20"/>
          <w:szCs w:val="20"/>
        </w:rPr>
        <w:t>) and clove buds (</w:t>
      </w:r>
      <w:r>
        <w:rPr>
          <w:i/>
          <w:color w:val="000000"/>
          <w:sz w:val="20"/>
          <w:szCs w:val="20"/>
        </w:rPr>
        <w:t>S. aromaticum</w:t>
      </w:r>
      <w:r>
        <w:rPr>
          <w:color w:val="000000"/>
          <w:sz w:val="20"/>
          <w:szCs w:val="20"/>
        </w:rPr>
        <w:t xml:space="preserve">). Clinical isolates of </w:t>
      </w:r>
      <w:r>
        <w:rPr>
          <w:i/>
          <w:color w:val="000000"/>
          <w:sz w:val="20"/>
          <w:szCs w:val="20"/>
        </w:rPr>
        <w:t>S. aureus</w:t>
      </w:r>
      <w:r>
        <w:rPr>
          <w:color w:val="000000"/>
          <w:sz w:val="20"/>
          <w:szCs w:val="20"/>
        </w:rPr>
        <w:t xml:space="preserve"> (ATCC 14990) and </w:t>
      </w:r>
      <w:r>
        <w:rPr>
          <w:i/>
          <w:color w:val="000000"/>
          <w:sz w:val="20"/>
          <w:szCs w:val="20"/>
        </w:rPr>
        <w:t>E. coli</w:t>
      </w:r>
      <w:r>
        <w:rPr>
          <w:color w:val="000000"/>
          <w:sz w:val="20"/>
          <w:szCs w:val="20"/>
        </w:rPr>
        <w:t xml:space="preserve"> (ATCC 35218) were utilized. The solvents for extraction included 96% ethanol, acetone, ethyl acetate, and distilled water. Reagents for phytochemical analysis included 2-propanol, sodium hydroxide (NaOH), 5% hydrochloric acid (HCl), Wagner's reagent (prepared by dissolving 1.27 g of I₂ and 2 g of KI in 5 mL of distilled water, then diluting to 100 mL), acetic anhydride, concentrated sulfuric acid (H₂SO₄), 10% ferric chloride (</w:t>
      </w:r>
      <w:proofErr w:type="spellStart"/>
      <w:r>
        <w:rPr>
          <w:color w:val="000000"/>
          <w:sz w:val="20"/>
          <w:szCs w:val="20"/>
        </w:rPr>
        <w:t>FeCl</w:t>
      </w:r>
      <w:proofErr w:type="spellEnd"/>
      <w:r>
        <w:rPr>
          <w:color w:val="000000"/>
          <w:sz w:val="20"/>
          <w:szCs w:val="20"/>
        </w:rPr>
        <w:t>₃), and glacial acetic acid. Dimethyl sulfoxide (DMSO) was used for reconstituting extracts, and chloramphenicol (250 mg capsules) served as the positive control. Microbiological media included Nutrient Broth (NB), Nutrient Agar (NA), Mueller-Hinton Agar (MHA), and Mueller-Hinton Broth (MHB). The research utilized standard laboratory equipment, including Erlenmeyer flasks (250 mL), test tubes, a mechanical blender, Whatman No. 1 filter paper, a rotary evaporator, an autoclave, an incubator, an orbital shaker, UV-Vis spectrophotometer, gas chromatography-mass spectrometer (</w:t>
      </w:r>
      <w:proofErr w:type="spellStart"/>
      <w:r>
        <w:rPr>
          <w:color w:val="000000"/>
          <w:sz w:val="20"/>
          <w:szCs w:val="20"/>
        </w:rPr>
        <w:t>Thermo</w:t>
      </w:r>
      <w:proofErr w:type="spellEnd"/>
      <w:r>
        <w:rPr>
          <w:color w:val="000000"/>
          <w:sz w:val="20"/>
          <w:szCs w:val="20"/>
        </w:rPr>
        <w:t xml:space="preserve"> Scientific TSQ 9610 Triple Quadrupole GC-MS), a 96-well microwell plate reader, sterile 6 mm paper discs, 96-well microtiter plates, micropipettes, a digital analytical balance, and other standard laboratory glassware and tools such as spatulas, </w:t>
      </w:r>
      <w:proofErr w:type="spellStart"/>
      <w:r>
        <w:rPr>
          <w:color w:val="000000"/>
          <w:sz w:val="20"/>
          <w:szCs w:val="20"/>
        </w:rPr>
        <w:t>ose</w:t>
      </w:r>
      <w:proofErr w:type="spellEnd"/>
      <w:r>
        <w:rPr>
          <w:color w:val="000000"/>
          <w:sz w:val="20"/>
          <w:szCs w:val="20"/>
        </w:rPr>
        <w:t xml:space="preserve"> needles, and spreaders.</w:t>
      </w:r>
    </w:p>
    <w:p w14:paraId="3E5C8DFA" w14:textId="77777777" w:rsidR="006551B2" w:rsidRDefault="00000000">
      <w:pPr>
        <w:pStyle w:val="Heading2"/>
      </w:pPr>
      <w:r>
        <w:t>Methods</w:t>
      </w:r>
    </w:p>
    <w:p w14:paraId="7FBF78F2"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 xml:space="preserve">Preparation of Plant </w:t>
      </w:r>
      <w:proofErr w:type="spellStart"/>
      <w:r>
        <w:rPr>
          <w:i/>
          <w:color w:val="000000"/>
          <w:sz w:val="20"/>
          <w:szCs w:val="20"/>
        </w:rPr>
        <w:t>Simplicia</w:t>
      </w:r>
      <w:proofErr w:type="spellEnd"/>
    </w:p>
    <w:p w14:paraId="6F8FE6E7" w14:textId="77777777" w:rsidR="006551B2" w:rsidRDefault="006551B2">
      <w:pPr>
        <w:pBdr>
          <w:top w:val="nil"/>
          <w:left w:val="nil"/>
          <w:bottom w:val="nil"/>
          <w:right w:val="nil"/>
          <w:between w:val="nil"/>
        </w:pBdr>
        <w:jc w:val="center"/>
        <w:rPr>
          <w:i/>
          <w:color w:val="000000"/>
          <w:sz w:val="20"/>
          <w:szCs w:val="20"/>
        </w:rPr>
      </w:pPr>
    </w:p>
    <w:p w14:paraId="7E9A2A05"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The collected plant materials (</w:t>
      </w:r>
      <w:r>
        <w:rPr>
          <w:i/>
          <w:color w:val="000000"/>
          <w:sz w:val="20"/>
          <w:szCs w:val="20"/>
        </w:rPr>
        <w:t>H. sabdariffa</w:t>
      </w:r>
      <w:r>
        <w:rPr>
          <w:color w:val="000000"/>
          <w:sz w:val="20"/>
          <w:szCs w:val="20"/>
        </w:rPr>
        <w:t xml:space="preserve"> and </w:t>
      </w:r>
      <w:r>
        <w:rPr>
          <w:i/>
          <w:color w:val="000000"/>
          <w:sz w:val="20"/>
          <w:szCs w:val="20"/>
        </w:rPr>
        <w:t>S. aromaticum</w:t>
      </w:r>
      <w:r>
        <w:rPr>
          <w:color w:val="000000"/>
          <w:sz w:val="20"/>
          <w:szCs w:val="20"/>
        </w:rPr>
        <w:t xml:space="preserve">) were first subjected to a wet sorting process to remove foreign contaminants. They were then washed thoroughly under running water. To prepare the </w:t>
      </w:r>
      <w:proofErr w:type="spellStart"/>
      <w:r>
        <w:rPr>
          <w:color w:val="000000"/>
          <w:sz w:val="20"/>
          <w:szCs w:val="20"/>
        </w:rPr>
        <w:t>simplicia</w:t>
      </w:r>
      <w:proofErr w:type="spellEnd"/>
      <w:r>
        <w:rPr>
          <w:color w:val="000000"/>
          <w:sz w:val="20"/>
          <w:szCs w:val="20"/>
        </w:rPr>
        <w:t xml:space="preserve">, the materials were air-dried in a shaded, well-ventilated area for approximately two weeks until a constant weight was achieved. The dried </w:t>
      </w:r>
      <w:proofErr w:type="spellStart"/>
      <w:r>
        <w:rPr>
          <w:color w:val="000000"/>
          <w:sz w:val="20"/>
          <w:szCs w:val="20"/>
        </w:rPr>
        <w:t>simplicia</w:t>
      </w:r>
      <w:proofErr w:type="spellEnd"/>
      <w:r>
        <w:rPr>
          <w:color w:val="000000"/>
          <w:sz w:val="20"/>
          <w:szCs w:val="20"/>
        </w:rPr>
        <w:t xml:space="preserve"> was then pulverized into a fine, homogenous powder using a mechanical blender and stored in airtight containers to prevent moisture absorption and contamination until further use.</w:t>
      </w:r>
    </w:p>
    <w:p w14:paraId="7B4AF6A0" w14:textId="77777777" w:rsidR="006551B2" w:rsidRDefault="00000000">
      <w:pPr>
        <w:pStyle w:val="Heading2"/>
        <w:rPr>
          <w:b w:val="0"/>
          <w:i/>
          <w:sz w:val="20"/>
          <w:szCs w:val="20"/>
        </w:rPr>
      </w:pPr>
      <w:r>
        <w:rPr>
          <w:b w:val="0"/>
          <w:i/>
          <w:sz w:val="20"/>
          <w:szCs w:val="20"/>
        </w:rPr>
        <w:t>Extraction of Bioactive Compounds</w:t>
      </w:r>
    </w:p>
    <w:p w14:paraId="05E45F39"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Extraction was performed via the maceration method. A 25-gram sample of each powdered </w:t>
      </w:r>
      <w:proofErr w:type="spellStart"/>
      <w:r>
        <w:rPr>
          <w:color w:val="000000"/>
          <w:sz w:val="20"/>
          <w:szCs w:val="20"/>
        </w:rPr>
        <w:t>simplicia</w:t>
      </w:r>
      <w:proofErr w:type="spellEnd"/>
      <w:r>
        <w:rPr>
          <w:color w:val="000000"/>
          <w:sz w:val="20"/>
          <w:szCs w:val="20"/>
        </w:rPr>
        <w:t xml:space="preserve"> was placed in a 250 mL Erlenmeyer flask and macerated with 250 mL of a designated solvent (96% ethanol, acetone, ethyl acetate, </w:t>
      </w:r>
      <w:r>
        <w:rPr>
          <w:color w:val="000000"/>
          <w:sz w:val="20"/>
          <w:szCs w:val="20"/>
        </w:rPr>
        <w:lastRenderedPageBreak/>
        <w:t>or water at 28°C and 100°C). The flasks were sealed and left for 72 hours for organic solvents and 24 hours for aqueous solvents, with periodic agitation. The mixture was then filtered through Whatman No. 1 filter paper. The resulting filtrate was concentrated using a rotary evaporator under reduced pressure at a temperature corresponding to each solvent's boiling point. The final crude extract was weighed, and the percentage yield was calculated.</w:t>
      </w:r>
    </w:p>
    <w:p w14:paraId="2525D45E" w14:textId="77777777" w:rsidR="006551B2" w:rsidRDefault="006551B2">
      <w:pPr>
        <w:pBdr>
          <w:top w:val="nil"/>
          <w:left w:val="nil"/>
          <w:bottom w:val="nil"/>
          <w:right w:val="nil"/>
          <w:between w:val="nil"/>
        </w:pBdr>
        <w:ind w:firstLine="284"/>
        <w:jc w:val="both"/>
        <w:rPr>
          <w:color w:val="000000"/>
          <w:sz w:val="20"/>
          <w:szCs w:val="20"/>
        </w:rPr>
      </w:pPr>
    </w:p>
    <w:p w14:paraId="3750D8A4" w14:textId="77777777" w:rsidR="006551B2" w:rsidRDefault="00000000">
      <w:pPr>
        <w:pStyle w:val="Heading2"/>
        <w:rPr>
          <w:b w:val="0"/>
          <w:i/>
          <w:sz w:val="20"/>
          <w:szCs w:val="20"/>
        </w:rPr>
      </w:pPr>
      <w:r>
        <w:rPr>
          <w:b w:val="0"/>
          <w:i/>
          <w:sz w:val="20"/>
          <w:szCs w:val="20"/>
        </w:rPr>
        <w:t>Phytochemical Screening</w:t>
      </w:r>
    </w:p>
    <w:p w14:paraId="3393D1C9" w14:textId="77777777" w:rsidR="006551B2" w:rsidRDefault="00000000">
      <w:pPr>
        <w:pBdr>
          <w:top w:val="nil"/>
          <w:left w:val="nil"/>
          <w:bottom w:val="nil"/>
          <w:right w:val="nil"/>
          <w:between w:val="nil"/>
        </w:pBdr>
        <w:jc w:val="center"/>
        <w:rPr>
          <w:color w:val="000000"/>
          <w:sz w:val="20"/>
          <w:szCs w:val="20"/>
        </w:rPr>
      </w:pPr>
      <w:r>
        <w:rPr>
          <w:color w:val="000000"/>
          <w:sz w:val="20"/>
          <w:szCs w:val="20"/>
        </w:rPr>
        <w:t xml:space="preserve"> Qualitative phytochemical tests were conducted on all crude extracts to detect the presence of secondary metabolites. The phytochemicals screened were </w:t>
      </w:r>
      <w:r>
        <w:rPr>
          <w:i/>
          <w:color w:val="000000"/>
          <w:sz w:val="20"/>
          <w:szCs w:val="20"/>
        </w:rPr>
        <w:t>flavonoids, alkaloids, saponins, tannins, steroids and terpenoids, glycosides</w:t>
      </w:r>
      <w:r>
        <w:rPr>
          <w:color w:val="000000"/>
          <w:sz w:val="20"/>
          <w:szCs w:val="20"/>
        </w:rPr>
        <w:t>.</w:t>
      </w:r>
    </w:p>
    <w:p w14:paraId="48E3ED6D" w14:textId="77777777" w:rsidR="006551B2" w:rsidRDefault="006551B2">
      <w:pPr>
        <w:pBdr>
          <w:top w:val="nil"/>
          <w:left w:val="nil"/>
          <w:bottom w:val="nil"/>
          <w:right w:val="nil"/>
          <w:between w:val="nil"/>
        </w:pBdr>
        <w:ind w:firstLine="284"/>
        <w:jc w:val="both"/>
        <w:rPr>
          <w:i/>
          <w:color w:val="000000"/>
          <w:sz w:val="20"/>
          <w:szCs w:val="20"/>
        </w:rPr>
      </w:pPr>
    </w:p>
    <w:p w14:paraId="6B184D88"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Flavonoids</w:t>
      </w:r>
    </w:p>
    <w:p w14:paraId="1E633991"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10 mg of extract was dissolved in 1 mL of 2-propanol, followed by the addition of 3 drops of 10% NaOH. A change in </w:t>
      </w:r>
      <w:proofErr w:type="spellStart"/>
      <w:r>
        <w:rPr>
          <w:color w:val="000000"/>
          <w:sz w:val="20"/>
          <w:szCs w:val="20"/>
        </w:rPr>
        <w:t>color</w:t>
      </w:r>
      <w:proofErr w:type="spellEnd"/>
      <w:r>
        <w:rPr>
          <w:color w:val="000000"/>
          <w:sz w:val="20"/>
          <w:szCs w:val="20"/>
        </w:rPr>
        <w:t xml:space="preserve"> to yellow-red, orange, or </w:t>
      </w:r>
      <w:proofErr w:type="gramStart"/>
      <w:r>
        <w:rPr>
          <w:color w:val="000000"/>
          <w:sz w:val="20"/>
          <w:szCs w:val="20"/>
        </w:rPr>
        <w:t>purple-red</w:t>
      </w:r>
      <w:proofErr w:type="gramEnd"/>
      <w:r>
        <w:rPr>
          <w:color w:val="000000"/>
          <w:sz w:val="20"/>
          <w:szCs w:val="20"/>
        </w:rPr>
        <w:t xml:space="preserve"> indicated a positive result.</w:t>
      </w:r>
    </w:p>
    <w:p w14:paraId="5FA43D86"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Alkaloids</w:t>
      </w:r>
    </w:p>
    <w:p w14:paraId="3AD93351"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10 mg of extract was dissolved in 2 mL of 5% HCl. A few drops of Wagner's reagent were added. The formation of a brown/reddish-brown precipitate indicated the presence of alkaloids.</w:t>
      </w:r>
    </w:p>
    <w:p w14:paraId="39928B02"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Saponins</w:t>
      </w:r>
    </w:p>
    <w:p w14:paraId="45EBAABC"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10 mg of extract was dissolved in 1 mL of 2-propanol. Ten drops of this solution were added to 1 mL of distilled water in a test tube and shaken vigorously. The formation of a stable foam layer was considered a positive test.</w:t>
      </w:r>
    </w:p>
    <w:p w14:paraId="7D01D46C"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Tannins</w:t>
      </w:r>
    </w:p>
    <w:p w14:paraId="4A3F232D"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10 </w:t>
      </w:r>
      <w:r>
        <w:rPr>
          <w:color w:val="000000"/>
          <w:sz w:val="20"/>
          <w:szCs w:val="20"/>
        </w:rPr>
        <w:tab/>
        <w:t xml:space="preserve">mg of extract was dissolved in 1 mL of 96% ethanol, followed by the addition of 2 mL of distilled water and 4 drops of 10% </w:t>
      </w:r>
      <w:proofErr w:type="spellStart"/>
      <w:r>
        <w:rPr>
          <w:color w:val="000000"/>
          <w:sz w:val="20"/>
          <w:szCs w:val="20"/>
        </w:rPr>
        <w:t>FeCl</w:t>
      </w:r>
      <w:proofErr w:type="spellEnd"/>
      <w:r>
        <w:rPr>
          <w:color w:val="000000"/>
          <w:sz w:val="20"/>
          <w:szCs w:val="20"/>
        </w:rPr>
        <w:t xml:space="preserve">₃ solution. A dark-green or bluish-black </w:t>
      </w:r>
      <w:proofErr w:type="spellStart"/>
      <w:r>
        <w:rPr>
          <w:color w:val="000000"/>
          <w:sz w:val="20"/>
          <w:szCs w:val="20"/>
        </w:rPr>
        <w:t>color</w:t>
      </w:r>
      <w:proofErr w:type="spellEnd"/>
      <w:r>
        <w:rPr>
          <w:color w:val="000000"/>
          <w:sz w:val="20"/>
          <w:szCs w:val="20"/>
        </w:rPr>
        <w:t xml:space="preserve"> indicated the presence of tannins.</w:t>
      </w:r>
    </w:p>
    <w:p w14:paraId="73355D92"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Steroids and Terpenoids (Liebermann-Burchard Test)</w:t>
      </w:r>
    </w:p>
    <w:p w14:paraId="61539D47"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20 mg of extract was dissolved in 2 mL of 2-propanol. 1 mL of acetic anhydride and 3 drops of concentrated H₂SO₄ were added. A blue-green </w:t>
      </w:r>
      <w:proofErr w:type="spellStart"/>
      <w:r>
        <w:rPr>
          <w:color w:val="000000"/>
          <w:sz w:val="20"/>
          <w:szCs w:val="20"/>
        </w:rPr>
        <w:t>color</w:t>
      </w:r>
      <w:proofErr w:type="spellEnd"/>
      <w:r>
        <w:rPr>
          <w:color w:val="000000"/>
          <w:sz w:val="20"/>
          <w:szCs w:val="20"/>
        </w:rPr>
        <w:t xml:space="preserve"> indicated steroids, while a pink, red, or violet </w:t>
      </w:r>
      <w:proofErr w:type="spellStart"/>
      <w:r>
        <w:rPr>
          <w:color w:val="000000"/>
          <w:sz w:val="20"/>
          <w:szCs w:val="20"/>
        </w:rPr>
        <w:t>color</w:t>
      </w:r>
      <w:proofErr w:type="spellEnd"/>
      <w:r>
        <w:rPr>
          <w:color w:val="000000"/>
          <w:sz w:val="20"/>
          <w:szCs w:val="20"/>
        </w:rPr>
        <w:t xml:space="preserve"> indicated terpenoids.</w:t>
      </w:r>
    </w:p>
    <w:p w14:paraId="5FC594B8"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Glycosides</w:t>
      </w:r>
    </w:p>
    <w:p w14:paraId="39E72E36"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10 mg of extract was dissolved in 5 mL of glacial acetic acid, followed by the addition of 10 drops of concentrated H₂SO₄. A </w:t>
      </w:r>
      <w:proofErr w:type="spellStart"/>
      <w:r>
        <w:rPr>
          <w:color w:val="000000"/>
          <w:sz w:val="20"/>
          <w:szCs w:val="20"/>
        </w:rPr>
        <w:t>color</w:t>
      </w:r>
      <w:proofErr w:type="spellEnd"/>
      <w:r>
        <w:rPr>
          <w:color w:val="000000"/>
          <w:sz w:val="20"/>
          <w:szCs w:val="20"/>
        </w:rPr>
        <w:t xml:space="preserve"> change was observed and recorded.</w:t>
      </w:r>
    </w:p>
    <w:p w14:paraId="74E49F83" w14:textId="77777777" w:rsidR="006551B2" w:rsidRDefault="006551B2">
      <w:pPr>
        <w:pBdr>
          <w:top w:val="nil"/>
          <w:left w:val="nil"/>
          <w:bottom w:val="nil"/>
          <w:right w:val="nil"/>
          <w:between w:val="nil"/>
        </w:pBdr>
        <w:jc w:val="both"/>
        <w:rPr>
          <w:color w:val="000000"/>
          <w:sz w:val="20"/>
          <w:szCs w:val="20"/>
        </w:rPr>
      </w:pPr>
    </w:p>
    <w:p w14:paraId="01C852E3" w14:textId="77777777" w:rsidR="006551B2" w:rsidRDefault="00000000">
      <w:pPr>
        <w:pBdr>
          <w:top w:val="nil"/>
          <w:left w:val="nil"/>
          <w:bottom w:val="nil"/>
          <w:right w:val="nil"/>
          <w:between w:val="nil"/>
        </w:pBdr>
        <w:jc w:val="center"/>
        <w:rPr>
          <w:i/>
          <w:color w:val="000000"/>
          <w:sz w:val="20"/>
          <w:szCs w:val="20"/>
        </w:rPr>
      </w:pPr>
      <w:r>
        <w:rPr>
          <w:i/>
          <w:color w:val="000000"/>
          <w:sz w:val="20"/>
          <w:szCs w:val="20"/>
        </w:rPr>
        <w:t>Preparation and Standardization of Bacterial Cultures</w:t>
      </w:r>
    </w:p>
    <w:p w14:paraId="7D209053" w14:textId="77777777" w:rsidR="006551B2" w:rsidRDefault="00000000">
      <w:pPr>
        <w:pStyle w:val="Heading2"/>
        <w:rPr>
          <w:b w:val="0"/>
          <w:i/>
          <w:sz w:val="20"/>
          <w:szCs w:val="20"/>
        </w:rPr>
      </w:pPr>
      <w:r>
        <w:rPr>
          <w:b w:val="0"/>
          <w:i/>
          <w:sz w:val="20"/>
          <w:szCs w:val="20"/>
        </w:rPr>
        <w:t>Media Preparation</w:t>
      </w:r>
    </w:p>
    <w:p w14:paraId="654DB364" w14:textId="77777777" w:rsidR="006551B2" w:rsidRDefault="00000000">
      <w:pPr>
        <w:pBdr>
          <w:top w:val="nil"/>
          <w:left w:val="nil"/>
          <w:bottom w:val="nil"/>
          <w:right w:val="nil"/>
          <w:between w:val="nil"/>
        </w:pBdr>
        <w:ind w:firstLine="273"/>
        <w:jc w:val="both"/>
        <w:rPr>
          <w:color w:val="000000"/>
          <w:sz w:val="20"/>
          <w:szCs w:val="20"/>
        </w:rPr>
      </w:pPr>
      <w:r>
        <w:rPr>
          <w:color w:val="000000"/>
          <w:sz w:val="20"/>
          <w:szCs w:val="20"/>
        </w:rPr>
        <w:t>NB medium was prepared by dissolving 8 g of NB powder in 1 L of distilled water. NA medium was prepared by dissolving 20 g of NA powder in 1 L of distilled water. Both media were sterilized by autoclaving at 121°C for 20 minutes.</w:t>
      </w:r>
    </w:p>
    <w:p w14:paraId="70E8022E" w14:textId="77777777" w:rsidR="006551B2" w:rsidRDefault="00000000">
      <w:pPr>
        <w:pStyle w:val="Heading2"/>
        <w:rPr>
          <w:b w:val="0"/>
          <w:i/>
          <w:sz w:val="20"/>
          <w:szCs w:val="20"/>
        </w:rPr>
      </w:pPr>
      <w:r>
        <w:rPr>
          <w:b w:val="0"/>
          <w:i/>
          <w:sz w:val="20"/>
          <w:szCs w:val="20"/>
        </w:rPr>
        <w:t>Bacterial Regeneration and Growth Curve</w:t>
      </w:r>
    </w:p>
    <w:p w14:paraId="0FA88C69"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Stock cultures of </w:t>
      </w:r>
      <w:r>
        <w:rPr>
          <w:i/>
          <w:color w:val="000000"/>
          <w:sz w:val="20"/>
          <w:szCs w:val="20"/>
        </w:rPr>
        <w:t>S. aureus</w:t>
      </w:r>
      <w:r>
        <w:rPr>
          <w:color w:val="000000"/>
          <w:sz w:val="20"/>
          <w:szCs w:val="20"/>
        </w:rPr>
        <w:t xml:space="preserve"> and </w:t>
      </w:r>
      <w:r>
        <w:rPr>
          <w:i/>
          <w:color w:val="000000"/>
          <w:sz w:val="20"/>
          <w:szCs w:val="20"/>
        </w:rPr>
        <w:t>E. coli</w:t>
      </w:r>
      <w:r>
        <w:rPr>
          <w:color w:val="000000"/>
          <w:sz w:val="20"/>
          <w:szCs w:val="20"/>
        </w:rPr>
        <w:t xml:space="preserve"> were regenerated by streaking onto fresh NA plates and incubating at 37°C for 24 hours. A single colony was then used to inoculate a 20 mL NB pre-culture, which was incubated on a shaker for 24 hours. This pre-culture was used to inoculate a larger 180 mL NB culture. The growth was monitored by measuring the absorbance (OD₆₃₀) every hour for 72 hours to establish the growth curve and identify the log and stationary phases.</w:t>
      </w:r>
    </w:p>
    <w:p w14:paraId="501F489F" w14:textId="77777777" w:rsidR="006551B2" w:rsidRDefault="00000000">
      <w:pPr>
        <w:pStyle w:val="Heading2"/>
        <w:rPr>
          <w:b w:val="0"/>
          <w:i/>
          <w:sz w:val="20"/>
          <w:szCs w:val="20"/>
        </w:rPr>
      </w:pPr>
      <w:r>
        <w:rPr>
          <w:b w:val="0"/>
          <w:i/>
          <w:sz w:val="20"/>
          <w:szCs w:val="20"/>
        </w:rPr>
        <w:t>Inoculum Preparation</w:t>
      </w:r>
    </w:p>
    <w:p w14:paraId="5B31E99B" w14:textId="77777777" w:rsidR="006551B2" w:rsidRDefault="00000000">
      <w:pPr>
        <w:pBdr>
          <w:top w:val="nil"/>
          <w:left w:val="nil"/>
          <w:bottom w:val="nil"/>
          <w:right w:val="nil"/>
          <w:between w:val="nil"/>
        </w:pBdr>
        <w:ind w:firstLine="284"/>
        <w:jc w:val="both"/>
        <w:rPr>
          <w:color w:val="000000"/>
          <w:sz w:val="20"/>
          <w:szCs w:val="20"/>
        </w:rPr>
      </w:pPr>
      <w:sdt>
        <w:sdtPr>
          <w:tag w:val="goog_rdk_0"/>
          <w:id w:val="-821282860"/>
        </w:sdtPr>
        <w:sdtContent>
          <w:r>
            <w:rPr>
              <w:rFonts w:ascii="Caudex" w:eastAsia="Caudex" w:hAnsi="Caudex" w:cs="Caudex"/>
              <w:color w:val="000000"/>
              <w:sz w:val="20"/>
              <w:szCs w:val="20"/>
            </w:rPr>
            <w:t>For antibacterial tests, a fresh culture was grown to its stationary phase (OD₆₃₀ ≈ 0.8). The bacterial suspension was then diluted in sterile broth to match the 0.5 McFarland turbidity standard, corresponding to a density of approximately 1.5 × 10⁸ CFU/</w:t>
          </w:r>
          <w:proofErr w:type="spellStart"/>
          <w:r>
            <w:rPr>
              <w:rFonts w:ascii="Caudex" w:eastAsia="Caudex" w:hAnsi="Caudex" w:cs="Caudex"/>
              <w:color w:val="000000"/>
              <w:sz w:val="20"/>
              <w:szCs w:val="20"/>
            </w:rPr>
            <w:t>mL.</w:t>
          </w:r>
          <w:proofErr w:type="spellEnd"/>
        </w:sdtContent>
      </w:sdt>
    </w:p>
    <w:p w14:paraId="24DBC417" w14:textId="77777777" w:rsidR="006551B2" w:rsidRDefault="00000000">
      <w:pPr>
        <w:pStyle w:val="Heading2"/>
        <w:rPr>
          <w:b w:val="0"/>
          <w:i/>
          <w:sz w:val="20"/>
          <w:szCs w:val="20"/>
        </w:rPr>
      </w:pPr>
      <w:r>
        <w:rPr>
          <w:b w:val="0"/>
          <w:i/>
          <w:sz w:val="20"/>
          <w:szCs w:val="20"/>
        </w:rPr>
        <w:t>Antibacterial Susceptibility Testing</w:t>
      </w:r>
    </w:p>
    <w:p w14:paraId="1DFE6599" w14:textId="77777777" w:rsidR="006551B2" w:rsidRDefault="00000000">
      <w:pPr>
        <w:jc w:val="center"/>
        <w:rPr>
          <w:i/>
          <w:sz w:val="20"/>
          <w:szCs w:val="20"/>
        </w:rPr>
      </w:pPr>
      <w:r>
        <w:rPr>
          <w:i/>
          <w:sz w:val="20"/>
          <w:szCs w:val="20"/>
        </w:rPr>
        <w:t>Disc Diffusion Method</w:t>
      </w:r>
    </w:p>
    <w:p w14:paraId="438C5DBF" w14:textId="77777777" w:rsidR="006551B2" w:rsidRDefault="00000000">
      <w:pPr>
        <w:pBdr>
          <w:top w:val="nil"/>
          <w:left w:val="nil"/>
          <w:bottom w:val="nil"/>
          <w:right w:val="nil"/>
          <w:between w:val="nil"/>
        </w:pBdr>
        <w:ind w:firstLine="273"/>
        <w:jc w:val="both"/>
        <w:rPr>
          <w:color w:val="000000"/>
          <w:sz w:val="20"/>
          <w:szCs w:val="20"/>
        </w:rPr>
      </w:pPr>
      <w:r>
        <w:rPr>
          <w:color w:val="000000"/>
          <w:sz w:val="20"/>
          <w:szCs w:val="20"/>
        </w:rPr>
        <w:lastRenderedPageBreak/>
        <w:t xml:space="preserve">MHA plates were uniformly inoculated with the standardized bacterial suspension. Sterile 6 mm paper discs were impregnated with 5 µL of the plant extracts (reconstituted in DMSO at concentrations of 1000, 750, and 500 mg/mL). The discs were placed on the agar surface. DMSO and chloramphenicol discs served as negative and positive controls, respectively. The plates were incubated at 37°C for 24 hours, and the diameter of the inhibition zones was measured in </w:t>
      </w:r>
      <w:proofErr w:type="spellStart"/>
      <w:r>
        <w:rPr>
          <w:color w:val="000000"/>
          <w:sz w:val="20"/>
          <w:szCs w:val="20"/>
        </w:rPr>
        <w:t>millimeters</w:t>
      </w:r>
      <w:proofErr w:type="spellEnd"/>
      <w:r>
        <w:rPr>
          <w:color w:val="000000"/>
          <w:sz w:val="20"/>
          <w:szCs w:val="20"/>
        </w:rPr>
        <w:t>.</w:t>
      </w:r>
    </w:p>
    <w:p w14:paraId="7AF546F1" w14:textId="77777777" w:rsidR="006551B2" w:rsidRDefault="00000000">
      <w:pPr>
        <w:pBdr>
          <w:top w:val="nil"/>
          <w:left w:val="nil"/>
          <w:bottom w:val="nil"/>
          <w:right w:val="nil"/>
          <w:between w:val="nil"/>
        </w:pBdr>
        <w:ind w:firstLine="284"/>
        <w:jc w:val="center"/>
        <w:rPr>
          <w:i/>
          <w:color w:val="000000"/>
          <w:sz w:val="20"/>
          <w:szCs w:val="20"/>
        </w:rPr>
      </w:pPr>
      <w:r>
        <w:rPr>
          <w:i/>
          <w:color w:val="000000"/>
          <w:sz w:val="20"/>
          <w:szCs w:val="20"/>
        </w:rPr>
        <w:t>Broth Microdilution Method (MIC Determination)</w:t>
      </w:r>
    </w:p>
    <w:p w14:paraId="2EAF9499"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The MIC was determined in 96-well microtiter plates. The most potent extract was serially diluted in MHB. A 50 µL volume of the standardized bacterial inoculum was added to each well, resulting in a final volume of 150 µL per well. Appropriate positive (bacteria + broth) and negative (extract + broth) controls were included. The plates were incubated at 37°C for 24 hours. The MIC was defined as the lowest extract concentration that showed no visible turbidity. Absorbance at 630 nm was measured using a microplate reader to quantify growth inhibition.</w:t>
      </w:r>
    </w:p>
    <w:p w14:paraId="20E46D9A" w14:textId="77777777" w:rsidR="006551B2" w:rsidRDefault="00000000">
      <w:pPr>
        <w:pStyle w:val="Heading2"/>
      </w:pPr>
      <w:r>
        <w:t>RESULT AND DISCUSS</w:t>
      </w:r>
    </w:p>
    <w:p w14:paraId="764D7360" w14:textId="77777777" w:rsidR="006551B2" w:rsidRDefault="00000000">
      <w:pPr>
        <w:pStyle w:val="Heading2"/>
        <w:rPr>
          <w:b w:val="0"/>
          <w:i/>
          <w:sz w:val="20"/>
          <w:szCs w:val="20"/>
        </w:rPr>
      </w:pPr>
      <w:r>
        <w:rPr>
          <w:b w:val="0"/>
          <w:i/>
          <w:sz w:val="20"/>
          <w:szCs w:val="20"/>
        </w:rPr>
        <w:t>Clove (</w:t>
      </w:r>
      <w:proofErr w:type="spellStart"/>
      <w:r>
        <w:rPr>
          <w:b w:val="0"/>
          <w:i/>
          <w:sz w:val="20"/>
          <w:szCs w:val="20"/>
        </w:rPr>
        <w:t>Syzygium</w:t>
      </w:r>
      <w:proofErr w:type="spellEnd"/>
      <w:r>
        <w:rPr>
          <w:b w:val="0"/>
          <w:i/>
          <w:sz w:val="20"/>
          <w:szCs w:val="20"/>
        </w:rPr>
        <w:t xml:space="preserve"> aromaticum) Extract</w:t>
      </w:r>
    </w:p>
    <w:p w14:paraId="14502031"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The ethanol extract of clove flowers showed strong antibacterial activity. Phytochemical screening indicated that all clove extracts contained flavonoids, alkaloids and tannins, while lacking steroids and terpenoids [11]. In disc-diffusion assays, the ethyl acetate extract produced the largest inhibition zones against both </w:t>
      </w:r>
      <w:r>
        <w:rPr>
          <w:i/>
          <w:color w:val="000000"/>
          <w:sz w:val="20"/>
          <w:szCs w:val="20"/>
        </w:rPr>
        <w:t>E. coli</w:t>
      </w:r>
      <w:r>
        <w:rPr>
          <w:color w:val="000000"/>
          <w:sz w:val="20"/>
          <w:szCs w:val="20"/>
        </w:rPr>
        <w:t xml:space="preserve"> and </w:t>
      </w:r>
      <w:r>
        <w:rPr>
          <w:i/>
          <w:color w:val="000000"/>
          <w:sz w:val="20"/>
          <w:szCs w:val="20"/>
        </w:rPr>
        <w:t>S. aureus</w:t>
      </w:r>
      <w:r>
        <w:rPr>
          <w:color w:val="000000"/>
          <w:sz w:val="20"/>
          <w:szCs w:val="20"/>
        </w:rPr>
        <w:t xml:space="preserve">, consistent with it having the highest bioactivity [11]. Quantitative tests revealed a minimum inhibitory concentration (MIC) of ~41.7 mg/mL against </w:t>
      </w:r>
      <w:r>
        <w:rPr>
          <w:i/>
          <w:color w:val="000000"/>
          <w:sz w:val="20"/>
          <w:szCs w:val="20"/>
        </w:rPr>
        <w:t>E. coli</w:t>
      </w:r>
      <w:r>
        <w:rPr>
          <w:color w:val="000000"/>
          <w:sz w:val="20"/>
          <w:szCs w:val="20"/>
        </w:rPr>
        <w:t xml:space="preserve"> and ~85.7 mg/mL against </w:t>
      </w:r>
      <w:r>
        <w:rPr>
          <w:i/>
          <w:color w:val="000000"/>
          <w:sz w:val="20"/>
          <w:szCs w:val="20"/>
        </w:rPr>
        <w:t>S. aureus</w:t>
      </w:r>
      <w:r>
        <w:rPr>
          <w:color w:val="000000"/>
          <w:sz w:val="20"/>
          <w:szCs w:val="20"/>
        </w:rPr>
        <w:t xml:space="preserve"> [12]. These MIC values (and correspondingly higher MBC values) indicate that the clove extract is bacteriostatic at moderate concentrations.</w:t>
      </w:r>
    </w:p>
    <w:p w14:paraId="60EFA415"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The potency is attributed to its rich phenolic content: GC–MS profiling confirmed that eugenol dominated the clove extract (e.g. ~68.9% relative area in one run), with trans-isoeugenol as the second major component (~83.9% in another run). Eugenol is a phenylpropanoid known to disrupt bacterial membranes and exert broad anti-</w:t>
      </w:r>
      <w:r>
        <w:rPr>
          <w:i/>
          <w:color w:val="000000"/>
          <w:sz w:val="20"/>
          <w:szCs w:val="20"/>
        </w:rPr>
        <w:t>Staphylococcal</w:t>
      </w:r>
      <w:r>
        <w:rPr>
          <w:color w:val="000000"/>
          <w:sz w:val="20"/>
          <w:szCs w:val="20"/>
        </w:rPr>
        <w:t xml:space="preserve"> effects; its abundance explains clove’s strong anti-MRSA potential [13]. The GC–MS chromatograms of clove (Figure 1) illustrate the large eugenol peak at ~14.07 min. Table 1 lists these major compounds identified by GC–MS, which are well-recognized antibacterials.</w:t>
      </w:r>
    </w:p>
    <w:p w14:paraId="6476A0E1" w14:textId="41ACF0E0" w:rsidR="006551B2" w:rsidRDefault="006551B2">
      <w:pPr>
        <w:pBdr>
          <w:top w:val="nil"/>
          <w:left w:val="nil"/>
          <w:bottom w:val="nil"/>
          <w:right w:val="nil"/>
          <w:between w:val="nil"/>
        </w:pBdr>
        <w:jc w:val="both"/>
        <w:rPr>
          <w:color w:val="000000"/>
          <w:sz w:val="20"/>
          <w:szCs w:val="20"/>
        </w:rPr>
      </w:pPr>
    </w:p>
    <w:tbl>
      <w:tblPr>
        <w:tblStyle w:val="a"/>
        <w:tblW w:w="9360" w:type="dxa"/>
        <w:tblBorders>
          <w:top w:val="nil"/>
          <w:left w:val="nil"/>
          <w:bottom w:val="nil"/>
          <w:right w:val="nil"/>
          <w:insideH w:val="nil"/>
          <w:insideV w:val="nil"/>
        </w:tblBorders>
        <w:tblLayout w:type="fixed"/>
        <w:tblLook w:val="0400" w:firstRow="0" w:lastRow="0" w:firstColumn="0" w:lastColumn="0" w:noHBand="0" w:noVBand="1"/>
      </w:tblPr>
      <w:tblGrid>
        <w:gridCol w:w="4777"/>
        <w:gridCol w:w="4583"/>
      </w:tblGrid>
      <w:tr w:rsidR="006551B2" w14:paraId="67EE92B7" w14:textId="77777777">
        <w:tc>
          <w:tcPr>
            <w:tcW w:w="4777" w:type="dxa"/>
          </w:tcPr>
          <w:p w14:paraId="3606BD1E" w14:textId="5C304DE8" w:rsidR="006551B2" w:rsidRDefault="00D6763C">
            <w:pPr>
              <w:pBdr>
                <w:top w:val="nil"/>
                <w:left w:val="nil"/>
                <w:bottom w:val="nil"/>
                <w:right w:val="nil"/>
                <w:between w:val="nil"/>
              </w:pBdr>
              <w:jc w:val="both"/>
              <w:rPr>
                <w:color w:val="000000"/>
                <w:sz w:val="20"/>
                <w:szCs w:val="20"/>
              </w:rPr>
            </w:pPr>
            <w:r>
              <w:rPr>
                <w:noProof/>
              </w:rPr>
              <mc:AlternateContent>
                <mc:Choice Requires="wps">
                  <w:drawing>
                    <wp:anchor distT="0" distB="0" distL="114300" distR="114300" simplePos="0" relativeHeight="251660288" behindDoc="0" locked="0" layoutInCell="1" hidden="0" allowOverlap="1" wp14:anchorId="17B9BAE7" wp14:editId="0C605D60">
                      <wp:simplePos x="0" y="0"/>
                      <wp:positionH relativeFrom="column">
                        <wp:posOffset>-297497</wp:posOffset>
                      </wp:positionH>
                      <wp:positionV relativeFrom="paragraph">
                        <wp:posOffset>333691</wp:posOffset>
                      </wp:positionV>
                      <wp:extent cx="662940" cy="366715"/>
                      <wp:effectExtent l="0" t="0" r="0" b="0"/>
                      <wp:wrapNone/>
                      <wp:docPr id="2117390502" name="Rectangle 2117390502"/>
                      <wp:cNvGraphicFramePr/>
                      <a:graphic xmlns:a="http://schemas.openxmlformats.org/drawingml/2006/main">
                        <a:graphicData uri="http://schemas.microsoft.com/office/word/2010/wordprocessingShape">
                          <wps:wsp>
                            <wps:cNvSpPr/>
                            <wps:spPr>
                              <a:xfrm rot="16200000" flipH="1">
                                <a:off x="0" y="0"/>
                                <a:ext cx="662940" cy="366715"/>
                              </a:xfrm>
                              <a:prstGeom prst="rect">
                                <a:avLst/>
                              </a:prstGeom>
                              <a:noFill/>
                              <a:ln>
                                <a:noFill/>
                              </a:ln>
                            </wps:spPr>
                            <wps:txbx>
                              <w:txbxContent>
                                <w:p w14:paraId="1F2DB31F" w14:textId="77777777" w:rsidR="006551B2" w:rsidRPr="00D6763C" w:rsidRDefault="00000000">
                                  <w:pPr>
                                    <w:jc w:val="center"/>
                                    <w:textDirection w:val="btLr"/>
                                    <w:rPr>
                                      <w:sz w:val="20"/>
                                      <w:szCs w:val="20"/>
                                    </w:rPr>
                                  </w:pPr>
                                  <w:r w:rsidRPr="00D6763C">
                                    <w:rPr>
                                      <w:color w:val="000000"/>
                                      <w:sz w:val="10"/>
                                      <w:szCs w:val="20"/>
                                    </w:rPr>
                                    <w:t>Intensity [counts]</w:t>
                                  </w:r>
                                </w:p>
                              </w:txbxContent>
                            </wps:txbx>
                            <wps:bodyPr spcFirstLastPara="1" vert="horz"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7B9BAE7" id="Rectangle 2117390502" o:spid="_x0000_s1026" style="position:absolute;left:0;text-align:left;margin-left:-23.4pt;margin-top:26.25pt;width:52.2pt;height:28.9pt;rotation:90;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" filled="f" stroked="f">
                      <v:textbox inset="2.53958mm,1.2694mm,2.53958mm,1.2694mm">
                        <w:txbxContent>
                          <w:p w14:paraId="1F2DB31F" w14:textId="77777777" w:rsidR="006551B2" w:rsidRPr="00D6763C" w:rsidRDefault="00000000">
                            <w:pPr>
                              <w:jc w:val="center"/>
                              <w:textDirection w:val="btLr"/>
                              <w:rPr>
                                <w:sz w:val="20"/>
                                <w:szCs w:val="20"/>
                              </w:rPr>
                            </w:pPr>
                            <w:r w:rsidRPr="00D6763C">
                              <w:rPr>
                                <w:color w:val="000000"/>
                                <w:sz w:val="10"/>
                                <w:szCs w:val="20"/>
                              </w:rPr>
                              <w:t>Intensity [counts]</w:t>
                            </w:r>
                          </w:p>
                        </w:txbxContent>
                      </v:textbox>
                    </v:rect>
                  </w:pict>
                </mc:Fallback>
              </mc:AlternateContent>
            </w:r>
            <w:r w:rsidR="00000000">
              <w:rPr>
                <w:noProof/>
                <w:color w:val="000000"/>
                <w:sz w:val="18"/>
                <w:szCs w:val="18"/>
              </w:rPr>
              <w:drawing>
                <wp:inline distT="0" distB="0" distL="0" distR="0" wp14:anchorId="562006E5" wp14:editId="25B56CAA">
                  <wp:extent cx="2931613" cy="1176605"/>
                  <wp:effectExtent l="0" t="0" r="0" b="0"/>
                  <wp:docPr id="2117390521" name="image1.jpg" descr="A graph of a person's body&#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jpg" descr="A graph of a person's body&#10;&#10;AI-generated content may be incorrect."/>
                          <pic:cNvPicPr preferRelativeResize="0"/>
                        </pic:nvPicPr>
                        <pic:blipFill>
                          <a:blip r:embed="rId7"/>
                          <a:srcRect b="3261"/>
                          <a:stretch>
                            <a:fillRect/>
                          </a:stretch>
                        </pic:blipFill>
                        <pic:spPr>
                          <a:xfrm>
                            <a:off x="0" y="0"/>
                            <a:ext cx="2931613" cy="1176605"/>
                          </a:xfrm>
                          <a:prstGeom prst="rect">
                            <a:avLst/>
                          </a:prstGeom>
                          <a:ln/>
                        </pic:spPr>
                      </pic:pic>
                    </a:graphicData>
                  </a:graphic>
                </wp:inline>
              </w:drawing>
            </w:r>
            <w:r w:rsidR="00000000">
              <w:rPr>
                <w:noProof/>
              </w:rPr>
              <mc:AlternateContent>
                <mc:Choice Requires="wpg">
                  <w:drawing>
                    <wp:anchor distT="0" distB="0" distL="114300" distR="114300" simplePos="0" relativeHeight="251658240" behindDoc="0" locked="0" layoutInCell="1" hidden="0" allowOverlap="1" wp14:anchorId="3C1677B2" wp14:editId="44FABB82">
                      <wp:simplePos x="0" y="0"/>
                      <wp:positionH relativeFrom="column">
                        <wp:posOffset>1039813</wp:posOffset>
                      </wp:positionH>
                      <wp:positionV relativeFrom="paragraph">
                        <wp:posOffset>1108181</wp:posOffset>
                      </wp:positionV>
                      <wp:extent cx="760793" cy="207636"/>
                      <wp:effectExtent l="0" t="0" r="0" b="0"/>
                      <wp:wrapNone/>
                      <wp:docPr id="2117390511" name="Rectangle 2117390511"/>
                      <wp:cNvGraphicFramePr/>
                      <a:graphic xmlns:a="http://schemas.openxmlformats.org/drawingml/2006/main">
                        <a:graphicData uri="http://schemas.microsoft.com/office/word/2010/wordprocessingShape">
                          <wps:wsp>
                            <wps:cNvSpPr/>
                            <wps:spPr>
                              <a:xfrm>
                                <a:off x="4970366" y="3680945"/>
                                <a:ext cx="751268" cy="198111"/>
                              </a:xfrm>
                              <a:prstGeom prst="rect">
                                <a:avLst/>
                              </a:prstGeom>
                              <a:noFill/>
                              <a:ln>
                                <a:noFill/>
                              </a:ln>
                            </wps:spPr>
                            <wps:txbx>
                              <w:txbxContent>
                                <w:p w14:paraId="64586540"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1039813</wp:posOffset>
                      </wp:positionH>
                      <wp:positionV relativeFrom="paragraph">
                        <wp:posOffset>1108181</wp:posOffset>
                      </wp:positionV>
                      <wp:extent cx="760793" cy="207636"/>
                      <wp:effectExtent b="0" l="0" r="0" t="0"/>
                      <wp:wrapNone/>
                      <wp:docPr id="2117390511" name="image23.png"/>
                      <a:graphic>
                        <a:graphicData uri="http://schemas.openxmlformats.org/drawingml/2006/picture">
                          <pic:pic>
                            <pic:nvPicPr>
                              <pic:cNvPr id="0" name="image23.png"/>
                              <pic:cNvPicPr preferRelativeResize="0"/>
                            </pic:nvPicPr>
                            <pic:blipFill>
                              <a:blip r:embed="rId9"/>
                              <a:srcRect/>
                              <a:stretch>
                                <a:fillRect/>
                              </a:stretch>
                            </pic:blipFill>
                            <pic:spPr>
                              <a:xfrm>
                                <a:off x="0" y="0"/>
                                <a:ext cx="760793" cy="207636"/>
                              </a:xfrm>
                              <a:prstGeom prst="rect"/>
                              <a:ln/>
                            </pic:spPr>
                          </pic:pic>
                        </a:graphicData>
                      </a:graphic>
                    </wp:anchor>
                  </w:drawing>
                </mc:Fallback>
              </mc:AlternateContent>
            </w:r>
            <w:r w:rsidR="00000000">
              <w:rPr>
                <w:noProof/>
              </w:rPr>
              <mc:AlternateContent>
                <mc:Choice Requires="wps">
                  <w:drawing>
                    <wp:anchor distT="0" distB="0" distL="114300" distR="114300" simplePos="0" relativeHeight="251659264" behindDoc="0" locked="0" layoutInCell="1" hidden="0" allowOverlap="1" wp14:anchorId="61F84DE1" wp14:editId="7AF32F44">
                      <wp:simplePos x="0" y="0"/>
                      <wp:positionH relativeFrom="column">
                        <wp:posOffset>-27743</wp:posOffset>
                      </wp:positionH>
                      <wp:positionV relativeFrom="paragraph">
                        <wp:posOffset>424811</wp:posOffset>
                      </wp:positionV>
                      <wp:extent cx="64944" cy="378056"/>
                      <wp:effectExtent l="0" t="0" r="0" b="0"/>
                      <wp:wrapNone/>
                      <wp:docPr id="2117390508" name="Rectangle 2117390508"/>
                      <wp:cNvGraphicFramePr/>
                      <a:graphic xmlns:a="http://schemas.openxmlformats.org/drawingml/2006/main">
                        <a:graphicData uri="http://schemas.microsoft.com/office/word/2010/wordprocessingShape">
                          <wps:wsp>
                            <wps:cNvSpPr/>
                            <wps:spPr>
                              <a:xfrm>
                                <a:off x="5318291" y="3595735"/>
                                <a:ext cx="55419" cy="368531"/>
                              </a:xfrm>
                              <a:prstGeom prst="rect">
                                <a:avLst/>
                              </a:prstGeom>
                              <a:solidFill>
                                <a:schemeClr val="lt1"/>
                              </a:solidFill>
                              <a:ln>
                                <a:noFill/>
                              </a:ln>
                            </wps:spPr>
                            <wps:txbx>
                              <w:txbxContent>
                                <w:p w14:paraId="2E3D7ACC"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w:pict>
                    <v:rect w14:anchorId="61F84DE1" id="Rectangle 2117390508" o:spid="_x0000_s1028" style="position:absolute;left:0;text-align:left;margin-left:-2.2pt;margin-top:33.45pt;width:5.1pt;height:29.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" fillcolor="white [3201]" stroked="f">
                      <v:textbox inset="2.53958mm,2.53958mm,2.53958mm,2.53958mm">
                        <w:txbxContent>
                          <w:p w14:paraId="2E3D7ACC" w14:textId="77777777" w:rsidR="006551B2" w:rsidRDefault="006551B2">
                            <w:pPr>
                              <w:textDirection w:val="btLr"/>
                            </w:pPr>
                          </w:p>
                        </w:txbxContent>
                      </v:textbox>
                    </v:rect>
                  </w:pict>
                </mc:Fallback>
              </mc:AlternateContent>
            </w:r>
          </w:p>
          <w:p w14:paraId="3B91F886" w14:textId="6DD14AAF" w:rsidR="006551B2" w:rsidRDefault="006551B2">
            <w:pPr>
              <w:pBdr>
                <w:top w:val="nil"/>
                <w:left w:val="nil"/>
                <w:bottom w:val="nil"/>
                <w:right w:val="nil"/>
                <w:between w:val="nil"/>
              </w:pBdr>
              <w:jc w:val="both"/>
              <w:rPr>
                <w:color w:val="000000"/>
                <w:sz w:val="20"/>
                <w:szCs w:val="20"/>
              </w:rPr>
            </w:pPr>
          </w:p>
        </w:tc>
        <w:tc>
          <w:tcPr>
            <w:tcW w:w="4583" w:type="dxa"/>
          </w:tcPr>
          <w:p w14:paraId="69F7F13D" w14:textId="0C42F93F" w:rsidR="006551B2" w:rsidRDefault="00D6763C">
            <w:pPr>
              <w:pBdr>
                <w:top w:val="nil"/>
                <w:left w:val="nil"/>
                <w:bottom w:val="nil"/>
                <w:right w:val="nil"/>
                <w:between w:val="nil"/>
              </w:pBdr>
              <w:jc w:val="both"/>
              <w:rPr>
                <w:color w:val="000000"/>
                <w:sz w:val="20"/>
                <w:szCs w:val="20"/>
              </w:rPr>
            </w:pPr>
            <w:r>
              <w:rPr>
                <w:noProof/>
              </w:rPr>
              <mc:AlternateContent>
                <mc:Choice Requires="wps">
                  <w:drawing>
                    <wp:anchor distT="0" distB="0" distL="114300" distR="114300" simplePos="0" relativeHeight="251687936" behindDoc="0" locked="0" layoutInCell="1" hidden="0" allowOverlap="1" wp14:anchorId="365FE407" wp14:editId="6D9FD2D8">
                      <wp:simplePos x="0" y="0"/>
                      <wp:positionH relativeFrom="column">
                        <wp:posOffset>-257493</wp:posOffset>
                      </wp:positionH>
                      <wp:positionV relativeFrom="paragraph">
                        <wp:posOffset>406083</wp:posOffset>
                      </wp:positionV>
                      <wp:extent cx="662940" cy="366715"/>
                      <wp:effectExtent l="0" t="0" r="0" b="0"/>
                      <wp:wrapNone/>
                      <wp:docPr id="1507072442" name="Rectangle 1507072442"/>
                      <wp:cNvGraphicFramePr/>
                      <a:graphic xmlns:a="http://schemas.openxmlformats.org/drawingml/2006/main">
                        <a:graphicData uri="http://schemas.microsoft.com/office/word/2010/wordprocessingShape">
                          <wps:wsp>
                            <wps:cNvSpPr/>
                            <wps:spPr>
                              <a:xfrm rot="16200000" flipH="1">
                                <a:off x="0" y="0"/>
                                <a:ext cx="662940" cy="366715"/>
                              </a:xfrm>
                              <a:prstGeom prst="rect">
                                <a:avLst/>
                              </a:prstGeom>
                              <a:noFill/>
                              <a:ln>
                                <a:noFill/>
                              </a:ln>
                            </wps:spPr>
                            <wps:txbx>
                              <w:txbxContent>
                                <w:p w14:paraId="24E2365F" w14:textId="77777777" w:rsidR="00D6763C" w:rsidRPr="00D6763C" w:rsidRDefault="00D6763C" w:rsidP="00D6763C">
                                  <w:pPr>
                                    <w:jc w:val="center"/>
                                    <w:textDirection w:val="btLr"/>
                                    <w:rPr>
                                      <w:sz w:val="20"/>
                                      <w:szCs w:val="20"/>
                                    </w:rPr>
                                  </w:pPr>
                                  <w:r w:rsidRPr="00D6763C">
                                    <w:rPr>
                                      <w:color w:val="000000"/>
                                      <w:sz w:val="10"/>
                                      <w:szCs w:val="20"/>
                                    </w:rPr>
                                    <w:t>Intensity [counts]</w:t>
                                  </w:r>
                                </w:p>
                              </w:txbxContent>
                            </wps:txbx>
                            <wps:bodyPr spcFirstLastPara="1" vert="horz"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365FE407" id="Rectangle 1507072442" o:spid="_x0000_s1029" style="position:absolute;left:0;text-align:left;margin-left:-20.3pt;margin-top:32pt;width:52.2pt;height:28.9pt;rotation:90;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" filled="f" stroked="f">
                      <v:textbox inset="2.53958mm,1.2694mm,2.53958mm,1.2694mm">
                        <w:txbxContent>
                          <w:p w14:paraId="24E2365F" w14:textId="77777777" w:rsidR="00D6763C" w:rsidRPr="00D6763C" w:rsidRDefault="00D6763C" w:rsidP="00D6763C">
                            <w:pPr>
                              <w:jc w:val="center"/>
                              <w:textDirection w:val="btLr"/>
                              <w:rPr>
                                <w:sz w:val="20"/>
                                <w:szCs w:val="20"/>
                              </w:rPr>
                            </w:pPr>
                            <w:r w:rsidRPr="00D6763C">
                              <w:rPr>
                                <w:color w:val="000000"/>
                                <w:sz w:val="10"/>
                                <w:szCs w:val="20"/>
                              </w:rPr>
                              <w:t>Intensity [counts]</w:t>
                            </w:r>
                          </w:p>
                        </w:txbxContent>
                      </v:textbox>
                    </v:rect>
                  </w:pict>
                </mc:Fallback>
              </mc:AlternateContent>
            </w:r>
            <w:r w:rsidR="00000000">
              <w:rPr>
                <w:noProof/>
                <w:color w:val="000000"/>
                <w:sz w:val="18"/>
                <w:szCs w:val="18"/>
              </w:rPr>
              <w:drawing>
                <wp:inline distT="0" distB="0" distL="0" distR="0" wp14:anchorId="0654ECEB" wp14:editId="0311B17E">
                  <wp:extent cx="2816720" cy="1226539"/>
                  <wp:effectExtent l="0" t="0" r="0" b="0"/>
                  <wp:docPr id="2117390523" name="image3.jpg" descr="A graph of a person's body&#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jpg" descr="A graph of a person's body&#10;&#10;AI-generated content may be incorrect."/>
                          <pic:cNvPicPr preferRelativeResize="0"/>
                        </pic:nvPicPr>
                        <pic:blipFill>
                          <a:blip r:embed="rId10"/>
                          <a:srcRect b="2363"/>
                          <a:stretch>
                            <a:fillRect/>
                          </a:stretch>
                        </pic:blipFill>
                        <pic:spPr>
                          <a:xfrm>
                            <a:off x="0" y="0"/>
                            <a:ext cx="2816720" cy="1226539"/>
                          </a:xfrm>
                          <a:prstGeom prst="rect">
                            <a:avLst/>
                          </a:prstGeom>
                          <a:ln/>
                        </pic:spPr>
                      </pic:pic>
                    </a:graphicData>
                  </a:graphic>
                </wp:inline>
              </w:drawing>
            </w:r>
            <w:r w:rsidR="00000000">
              <w:rPr>
                <w:noProof/>
              </w:rPr>
              <mc:AlternateContent>
                <mc:Choice Requires="wpg">
                  <w:drawing>
                    <wp:anchor distT="0" distB="0" distL="114300" distR="114300" simplePos="0" relativeHeight="251661312" behindDoc="0" locked="0" layoutInCell="1" hidden="0" allowOverlap="1" wp14:anchorId="58D2D223" wp14:editId="2AD47EBB">
                      <wp:simplePos x="0" y="0"/>
                      <wp:positionH relativeFrom="column">
                        <wp:posOffset>-30669</wp:posOffset>
                      </wp:positionH>
                      <wp:positionV relativeFrom="paragraph">
                        <wp:posOffset>408622</wp:posOffset>
                      </wp:positionV>
                      <wp:extent cx="64944" cy="378056"/>
                      <wp:effectExtent l="0" t="0" r="0" b="0"/>
                      <wp:wrapNone/>
                      <wp:docPr id="2117390512" name="Rectangle 2117390512"/>
                      <wp:cNvGraphicFramePr/>
                      <a:graphic xmlns:a="http://schemas.openxmlformats.org/drawingml/2006/main">
                        <a:graphicData uri="http://schemas.microsoft.com/office/word/2010/wordprocessingShape">
                          <wps:wsp>
                            <wps:cNvSpPr/>
                            <wps:spPr>
                              <a:xfrm>
                                <a:off x="5318291" y="3595735"/>
                                <a:ext cx="55419" cy="368531"/>
                              </a:xfrm>
                              <a:prstGeom prst="rect">
                                <a:avLst/>
                              </a:prstGeom>
                              <a:solidFill>
                                <a:schemeClr val="lt1"/>
                              </a:solidFill>
                              <a:ln>
                                <a:noFill/>
                              </a:ln>
                            </wps:spPr>
                            <wps:txbx>
                              <w:txbxContent>
                                <w:p w14:paraId="4A7FF0F5"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-30669</wp:posOffset>
                      </wp:positionH>
                      <wp:positionV relativeFrom="paragraph">
                        <wp:posOffset>408622</wp:posOffset>
                      </wp:positionV>
                      <wp:extent cx="64944" cy="378056"/>
                      <wp:effectExtent b="0" l="0" r="0" t="0"/>
                      <wp:wrapNone/>
                      <wp:docPr id="2117390512" name="image24.png"/>
                      <a:graphic>
                        <a:graphicData uri="http://schemas.openxmlformats.org/drawingml/2006/picture">
                          <pic:pic>
                            <pic:nvPicPr>
                              <pic:cNvPr id="0" name="image24.png"/>
                              <pic:cNvPicPr preferRelativeResize="0"/>
                            </pic:nvPicPr>
                            <pic:blipFill>
                              <a:blip r:embed="rId9"/>
                              <a:srcRect/>
                              <a:stretch>
                                <a:fillRect/>
                              </a:stretch>
                            </pic:blipFill>
                            <pic:spPr>
                              <a:xfrm>
                                <a:off x="0" y="0"/>
                                <a:ext cx="64944" cy="378056"/>
                              </a:xfrm>
                              <a:prstGeom prst="rect"/>
                              <a:ln/>
                            </pic:spPr>
                          </pic:pic>
                        </a:graphicData>
                      </a:graphic>
                    </wp:anchor>
                  </w:drawing>
                </mc:Fallback>
              </mc:AlternateContent>
            </w:r>
            <w:r w:rsidR="00000000">
              <w:rPr>
                <w:noProof/>
              </w:rPr>
              <mc:AlternateContent>
                <mc:Choice Requires="wpg">
                  <w:drawing>
                    <wp:anchor distT="0" distB="0" distL="114300" distR="114300" simplePos="0" relativeHeight="251662336" behindDoc="0" locked="0" layoutInCell="1" hidden="0" allowOverlap="1" wp14:anchorId="350E99A3" wp14:editId="0C28C38E">
                      <wp:simplePos x="0" y="0"/>
                      <wp:positionH relativeFrom="column">
                        <wp:posOffset>1045224</wp:posOffset>
                      </wp:positionH>
                      <wp:positionV relativeFrom="paragraph">
                        <wp:posOffset>1111596</wp:posOffset>
                      </wp:positionV>
                      <wp:extent cx="760730" cy="207010"/>
                      <wp:effectExtent l="0" t="0" r="0" b="0"/>
                      <wp:wrapNone/>
                      <wp:docPr id="2117390509" name="Rectangle 2117390509"/>
                      <wp:cNvGraphicFramePr/>
                      <a:graphic xmlns:a="http://schemas.openxmlformats.org/drawingml/2006/main">
                        <a:graphicData uri="http://schemas.microsoft.com/office/word/2010/wordprocessingShape">
                          <wps:wsp>
                            <wps:cNvSpPr/>
                            <wps:spPr>
                              <a:xfrm>
                                <a:off x="4970398" y="3681258"/>
                                <a:ext cx="751205" cy="197485"/>
                              </a:xfrm>
                              <a:prstGeom prst="rect">
                                <a:avLst/>
                              </a:prstGeom>
                              <a:noFill/>
                              <a:ln>
                                <a:noFill/>
                              </a:ln>
                            </wps:spPr>
                            <wps:txbx>
                              <w:txbxContent>
                                <w:p w14:paraId="5C84F55E"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1045224</wp:posOffset>
                      </wp:positionH>
                      <wp:positionV relativeFrom="paragraph">
                        <wp:posOffset>1111596</wp:posOffset>
                      </wp:positionV>
                      <wp:extent cx="760730" cy="207010"/>
                      <wp:effectExtent b="0" l="0" r="0" t="0"/>
                      <wp:wrapNone/>
                      <wp:docPr id="2117390509" name="image21.png"/>
                      <a:graphic>
                        <a:graphicData uri="http://schemas.openxmlformats.org/drawingml/2006/picture">
                          <pic:pic>
                            <pic:nvPicPr>
                              <pic:cNvPr id="0" name="image21.png"/>
                              <pic:cNvPicPr preferRelativeResize="0"/>
                            </pic:nvPicPr>
                            <pic:blipFill>
                              <a:blip r:embed="rId9"/>
                              <a:srcRect/>
                              <a:stretch>
                                <a:fillRect/>
                              </a:stretch>
                            </pic:blipFill>
                            <pic:spPr>
                              <a:xfrm>
                                <a:off x="0" y="0"/>
                                <a:ext cx="760730" cy="207010"/>
                              </a:xfrm>
                              <a:prstGeom prst="rect"/>
                              <a:ln/>
                            </pic:spPr>
                          </pic:pic>
                        </a:graphicData>
                      </a:graphic>
                    </wp:anchor>
                  </w:drawing>
                </mc:Fallback>
              </mc:AlternateContent>
            </w:r>
          </w:p>
        </w:tc>
      </w:tr>
      <w:tr w:rsidR="006551B2" w14:paraId="7EB770B3" w14:textId="77777777">
        <w:tc>
          <w:tcPr>
            <w:tcW w:w="4777" w:type="dxa"/>
          </w:tcPr>
          <w:p w14:paraId="467F635A" w14:textId="4B810B27" w:rsidR="006551B2" w:rsidRDefault="00D6763C">
            <w:pPr>
              <w:pBdr>
                <w:top w:val="nil"/>
                <w:left w:val="nil"/>
                <w:bottom w:val="nil"/>
                <w:right w:val="nil"/>
                <w:between w:val="nil"/>
              </w:pBdr>
              <w:jc w:val="both"/>
              <w:rPr>
                <w:color w:val="000000"/>
                <w:sz w:val="20"/>
                <w:szCs w:val="20"/>
              </w:rPr>
            </w:pPr>
            <w:r>
              <w:rPr>
                <w:noProof/>
              </w:rPr>
              <mc:AlternateContent>
                <mc:Choice Requires="wps">
                  <w:drawing>
                    <wp:anchor distT="0" distB="0" distL="114300" distR="114300" simplePos="0" relativeHeight="251685888" behindDoc="0" locked="0" layoutInCell="1" hidden="0" allowOverlap="1" wp14:anchorId="7DEFC7BF" wp14:editId="3F8D2571">
                      <wp:simplePos x="0" y="0"/>
                      <wp:positionH relativeFrom="column">
                        <wp:posOffset>2775268</wp:posOffset>
                      </wp:positionH>
                      <wp:positionV relativeFrom="paragraph">
                        <wp:posOffset>395287</wp:posOffset>
                      </wp:positionV>
                      <wp:extent cx="662940" cy="366395"/>
                      <wp:effectExtent l="0" t="0" r="0" b="0"/>
                      <wp:wrapNone/>
                      <wp:docPr id="2068981020" name="Rectangle 2068981020"/>
                      <wp:cNvGraphicFramePr/>
                      <a:graphic xmlns:a="http://schemas.openxmlformats.org/drawingml/2006/main">
                        <a:graphicData uri="http://schemas.microsoft.com/office/word/2010/wordprocessingShape">
                          <wps:wsp>
                            <wps:cNvSpPr/>
                            <wps:spPr>
                              <a:xfrm rot="16200000" flipH="1">
                                <a:off x="0" y="0"/>
                                <a:ext cx="662940" cy="366395"/>
                              </a:xfrm>
                              <a:prstGeom prst="rect">
                                <a:avLst/>
                              </a:prstGeom>
                              <a:noFill/>
                              <a:ln>
                                <a:noFill/>
                              </a:ln>
                            </wps:spPr>
                            <wps:txbx>
                              <w:txbxContent>
                                <w:p w14:paraId="2C64645D" w14:textId="77777777" w:rsidR="00D6763C" w:rsidRPr="00D6763C" w:rsidRDefault="00D6763C" w:rsidP="00D6763C">
                                  <w:pPr>
                                    <w:jc w:val="center"/>
                                    <w:textDirection w:val="btLr"/>
                                    <w:rPr>
                                      <w:sz w:val="20"/>
                                      <w:szCs w:val="20"/>
                                    </w:rPr>
                                  </w:pPr>
                                  <w:r w:rsidRPr="00D6763C">
                                    <w:rPr>
                                      <w:color w:val="000000"/>
                                      <w:sz w:val="10"/>
                                      <w:szCs w:val="20"/>
                                    </w:rPr>
                                    <w:t>Intensity [counts]</w:t>
                                  </w:r>
                                </w:p>
                              </w:txbxContent>
                            </wps:txbx>
                            <wps:bodyPr spcFirstLastPara="1" vert="horz"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DEFC7BF" id="Rectangle 2068981020" o:spid="_x0000_s1032" style="position:absolute;left:0;text-align:left;margin-left:218.55pt;margin-top:31.1pt;width:52.2pt;height:28.85pt;rotation:90;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" filled="f" stroked="f">
                      <v:textbox inset="2.53958mm,1.2694mm,2.53958mm,1.2694mm">
                        <w:txbxContent>
                          <w:p w14:paraId="2C64645D" w14:textId="77777777" w:rsidR="00D6763C" w:rsidRPr="00D6763C" w:rsidRDefault="00D6763C" w:rsidP="00D6763C">
                            <w:pPr>
                              <w:jc w:val="center"/>
                              <w:textDirection w:val="btLr"/>
                              <w:rPr>
                                <w:sz w:val="20"/>
                                <w:szCs w:val="20"/>
                              </w:rPr>
                            </w:pPr>
                            <w:r w:rsidRPr="00D6763C">
                              <w:rPr>
                                <w:color w:val="000000"/>
                                <w:sz w:val="10"/>
                                <w:szCs w:val="20"/>
                              </w:rPr>
                              <w:t>Intensity [counts]</w:t>
                            </w:r>
                          </w:p>
                        </w:txbxContent>
                      </v:textbox>
                    </v:rect>
                  </w:pict>
                </mc:Fallback>
              </mc:AlternateContent>
            </w:r>
            <w:r>
              <w:rPr>
                <w:noProof/>
              </w:rPr>
              <mc:AlternateContent>
                <mc:Choice Requires="wps">
                  <w:drawing>
                    <wp:anchor distT="0" distB="0" distL="114300" distR="114300" simplePos="0" relativeHeight="251683840" behindDoc="0" locked="0" layoutInCell="1" hidden="0" allowOverlap="1" wp14:anchorId="39DE07C2" wp14:editId="2846B791">
                      <wp:simplePos x="0" y="0"/>
                      <wp:positionH relativeFrom="column">
                        <wp:posOffset>-298766</wp:posOffset>
                      </wp:positionH>
                      <wp:positionV relativeFrom="paragraph">
                        <wp:posOffset>389571</wp:posOffset>
                      </wp:positionV>
                      <wp:extent cx="662940" cy="366715"/>
                      <wp:effectExtent l="0" t="0" r="0" b="0"/>
                      <wp:wrapNone/>
                      <wp:docPr id="1013050010" name="Rectangle 1013050010"/>
                      <wp:cNvGraphicFramePr/>
                      <a:graphic xmlns:a="http://schemas.openxmlformats.org/drawingml/2006/main">
                        <a:graphicData uri="http://schemas.microsoft.com/office/word/2010/wordprocessingShape">
                          <wps:wsp>
                            <wps:cNvSpPr/>
                            <wps:spPr>
                              <a:xfrm rot="16200000" flipH="1">
                                <a:off x="0" y="0"/>
                                <a:ext cx="662940" cy="366715"/>
                              </a:xfrm>
                              <a:prstGeom prst="rect">
                                <a:avLst/>
                              </a:prstGeom>
                              <a:noFill/>
                              <a:ln>
                                <a:noFill/>
                              </a:ln>
                            </wps:spPr>
                            <wps:txbx>
                              <w:txbxContent>
                                <w:p w14:paraId="04A8F963" w14:textId="77777777" w:rsidR="00D6763C" w:rsidRPr="00D6763C" w:rsidRDefault="00D6763C" w:rsidP="00D6763C">
                                  <w:pPr>
                                    <w:jc w:val="center"/>
                                    <w:textDirection w:val="btLr"/>
                                    <w:rPr>
                                      <w:sz w:val="20"/>
                                      <w:szCs w:val="20"/>
                                    </w:rPr>
                                  </w:pPr>
                                  <w:r w:rsidRPr="00D6763C">
                                    <w:rPr>
                                      <w:color w:val="000000"/>
                                      <w:sz w:val="10"/>
                                      <w:szCs w:val="20"/>
                                    </w:rPr>
                                    <w:t>Intensity [counts]</w:t>
                                  </w:r>
                                </w:p>
                              </w:txbxContent>
                            </wps:txbx>
                            <wps:bodyPr spcFirstLastPara="1" vert="horz"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39DE07C2" id="Rectangle 1013050010" o:spid="_x0000_s1033" style="position:absolute;left:0;text-align:left;margin-left:-23.5pt;margin-top:30.65pt;width:52.2pt;height:28.9pt;rotation:90;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" filled="f" stroked="f">
                      <v:textbox inset="2.53958mm,1.2694mm,2.53958mm,1.2694mm">
                        <w:txbxContent>
                          <w:p w14:paraId="04A8F963" w14:textId="77777777" w:rsidR="00D6763C" w:rsidRPr="00D6763C" w:rsidRDefault="00D6763C" w:rsidP="00D6763C">
                            <w:pPr>
                              <w:jc w:val="center"/>
                              <w:textDirection w:val="btLr"/>
                              <w:rPr>
                                <w:sz w:val="20"/>
                                <w:szCs w:val="20"/>
                              </w:rPr>
                            </w:pPr>
                            <w:r w:rsidRPr="00D6763C">
                              <w:rPr>
                                <w:color w:val="000000"/>
                                <w:sz w:val="10"/>
                                <w:szCs w:val="20"/>
                              </w:rPr>
                              <w:t>Intensity [counts]</w:t>
                            </w:r>
                          </w:p>
                        </w:txbxContent>
                      </v:textbox>
                    </v:rect>
                  </w:pict>
                </mc:Fallback>
              </mc:AlternateContent>
            </w:r>
            <w:r w:rsidR="00000000">
              <w:rPr>
                <w:noProof/>
                <w:color w:val="000000"/>
                <w:sz w:val="18"/>
                <w:szCs w:val="18"/>
              </w:rPr>
              <w:drawing>
                <wp:inline distT="0" distB="0" distL="0" distR="0" wp14:anchorId="4FF40591" wp14:editId="5F867E77">
                  <wp:extent cx="2953279" cy="1236606"/>
                  <wp:effectExtent l="0" t="0" r="0" b="0"/>
                  <wp:docPr id="2117390522" name="image2.jpg" descr="A graph of a person's puls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jpg" descr="A graph of a person's pulse&#10;&#10;AI-generated content may be incorrect."/>
                          <pic:cNvPicPr preferRelativeResize="0"/>
                        </pic:nvPicPr>
                        <pic:blipFill>
                          <a:blip r:embed="rId11"/>
                          <a:srcRect b="3378"/>
                          <a:stretch>
                            <a:fillRect/>
                          </a:stretch>
                        </pic:blipFill>
                        <pic:spPr>
                          <a:xfrm>
                            <a:off x="0" y="0"/>
                            <a:ext cx="2953279" cy="1236606"/>
                          </a:xfrm>
                          <a:prstGeom prst="rect">
                            <a:avLst/>
                          </a:prstGeom>
                          <a:ln/>
                        </pic:spPr>
                      </pic:pic>
                    </a:graphicData>
                  </a:graphic>
                </wp:inline>
              </w:drawing>
            </w:r>
            <w:r w:rsidR="00000000">
              <w:rPr>
                <w:noProof/>
              </w:rPr>
              <mc:AlternateContent>
                <mc:Choice Requires="wpg">
                  <w:drawing>
                    <wp:anchor distT="0" distB="0" distL="114300" distR="114300" simplePos="0" relativeHeight="251664384" behindDoc="0" locked="0" layoutInCell="1" hidden="0" allowOverlap="1" wp14:anchorId="45AE7F8F" wp14:editId="5260731B">
                      <wp:simplePos x="0" y="0"/>
                      <wp:positionH relativeFrom="column">
                        <wp:posOffset>-33505</wp:posOffset>
                      </wp:positionH>
                      <wp:positionV relativeFrom="paragraph">
                        <wp:posOffset>415998</wp:posOffset>
                      </wp:positionV>
                      <wp:extent cx="64944" cy="378056"/>
                      <wp:effectExtent l="0" t="0" r="0" b="0"/>
                      <wp:wrapNone/>
                      <wp:docPr id="2117390507" name="Rectangle 2117390507"/>
                      <wp:cNvGraphicFramePr/>
                      <a:graphic xmlns:a="http://schemas.openxmlformats.org/drawingml/2006/main">
                        <a:graphicData uri="http://schemas.microsoft.com/office/word/2010/wordprocessingShape">
                          <wps:wsp>
                            <wps:cNvSpPr/>
                            <wps:spPr>
                              <a:xfrm>
                                <a:off x="5318291" y="3595735"/>
                                <a:ext cx="55419" cy="368531"/>
                              </a:xfrm>
                              <a:prstGeom prst="rect">
                                <a:avLst/>
                              </a:prstGeom>
                              <a:solidFill>
                                <a:schemeClr val="lt1"/>
                              </a:solidFill>
                              <a:ln>
                                <a:noFill/>
                              </a:ln>
                            </wps:spPr>
                            <wps:txbx>
                              <w:txbxContent>
                                <w:p w14:paraId="2F9F167B"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-33505</wp:posOffset>
                      </wp:positionH>
                      <wp:positionV relativeFrom="paragraph">
                        <wp:posOffset>415998</wp:posOffset>
                      </wp:positionV>
                      <wp:extent cx="64944" cy="378056"/>
                      <wp:effectExtent b="0" l="0" r="0" t="0"/>
                      <wp:wrapNone/>
                      <wp:docPr id="2117390507" name="image19.png"/>
                      <a:graphic>
                        <a:graphicData uri="http://schemas.openxmlformats.org/drawingml/2006/picture">
                          <pic:pic>
                            <pic:nvPicPr>
                              <pic:cNvPr id="0" name="image19.png"/>
                              <pic:cNvPicPr preferRelativeResize="0"/>
                            </pic:nvPicPr>
                            <pic:blipFill>
                              <a:blip r:embed="rId9"/>
                              <a:srcRect/>
                              <a:stretch>
                                <a:fillRect/>
                              </a:stretch>
                            </pic:blipFill>
                            <pic:spPr>
                              <a:xfrm>
                                <a:off x="0" y="0"/>
                                <a:ext cx="64944" cy="378056"/>
                              </a:xfrm>
                              <a:prstGeom prst="rect"/>
                              <a:ln/>
                            </pic:spPr>
                          </pic:pic>
                        </a:graphicData>
                      </a:graphic>
                    </wp:anchor>
                  </w:drawing>
                </mc:Fallback>
              </mc:AlternateContent>
            </w:r>
            <w:r w:rsidR="00000000">
              <w:rPr>
                <w:noProof/>
              </w:rPr>
              <mc:AlternateContent>
                <mc:Choice Requires="wpg">
                  <w:drawing>
                    <wp:anchor distT="0" distB="0" distL="114300" distR="114300" simplePos="0" relativeHeight="251665408" behindDoc="0" locked="0" layoutInCell="1" hidden="0" allowOverlap="1" wp14:anchorId="592CAAB3" wp14:editId="219D7157">
                      <wp:simplePos x="0" y="0"/>
                      <wp:positionH relativeFrom="column">
                        <wp:posOffset>1042988</wp:posOffset>
                      </wp:positionH>
                      <wp:positionV relativeFrom="paragraph">
                        <wp:posOffset>1174856</wp:posOffset>
                      </wp:positionV>
                      <wp:extent cx="760730" cy="207010"/>
                      <wp:effectExtent l="0" t="0" r="0" b="0"/>
                      <wp:wrapNone/>
                      <wp:docPr id="2117390519" name="Rectangle 2117390519"/>
                      <wp:cNvGraphicFramePr/>
                      <a:graphic xmlns:a="http://schemas.openxmlformats.org/drawingml/2006/main">
                        <a:graphicData uri="http://schemas.microsoft.com/office/word/2010/wordprocessingShape">
                          <wps:wsp>
                            <wps:cNvSpPr/>
                            <wps:spPr>
                              <a:xfrm>
                                <a:off x="4970398" y="3681258"/>
                                <a:ext cx="751205" cy="197485"/>
                              </a:xfrm>
                              <a:prstGeom prst="rect">
                                <a:avLst/>
                              </a:prstGeom>
                              <a:noFill/>
                              <a:ln>
                                <a:noFill/>
                              </a:ln>
                            </wps:spPr>
                            <wps:txbx>
                              <w:txbxContent>
                                <w:p w14:paraId="56A88A26"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1042988</wp:posOffset>
                      </wp:positionH>
                      <wp:positionV relativeFrom="paragraph">
                        <wp:posOffset>1174856</wp:posOffset>
                      </wp:positionV>
                      <wp:extent cx="760730" cy="207010"/>
                      <wp:effectExtent b="0" l="0" r="0" t="0"/>
                      <wp:wrapNone/>
                      <wp:docPr id="2117390519" name="image31.png"/>
                      <a:graphic>
                        <a:graphicData uri="http://schemas.openxmlformats.org/drawingml/2006/picture">
                          <pic:pic>
                            <pic:nvPicPr>
                              <pic:cNvPr id="0" name="image31.png"/>
                              <pic:cNvPicPr preferRelativeResize="0"/>
                            </pic:nvPicPr>
                            <pic:blipFill>
                              <a:blip r:embed="rId9"/>
                              <a:srcRect/>
                              <a:stretch>
                                <a:fillRect/>
                              </a:stretch>
                            </pic:blipFill>
                            <pic:spPr>
                              <a:xfrm>
                                <a:off x="0" y="0"/>
                                <a:ext cx="760730" cy="207010"/>
                              </a:xfrm>
                              <a:prstGeom prst="rect"/>
                              <a:ln/>
                            </pic:spPr>
                          </pic:pic>
                        </a:graphicData>
                      </a:graphic>
                    </wp:anchor>
                  </w:drawing>
                </mc:Fallback>
              </mc:AlternateContent>
            </w:r>
          </w:p>
          <w:p w14:paraId="20134A9D" w14:textId="6E1CC44F" w:rsidR="006551B2" w:rsidRDefault="006551B2">
            <w:pPr>
              <w:pBdr>
                <w:top w:val="nil"/>
                <w:left w:val="nil"/>
                <w:bottom w:val="nil"/>
                <w:right w:val="nil"/>
                <w:between w:val="nil"/>
              </w:pBdr>
              <w:jc w:val="both"/>
              <w:rPr>
                <w:color w:val="000000"/>
                <w:sz w:val="20"/>
                <w:szCs w:val="20"/>
              </w:rPr>
            </w:pPr>
          </w:p>
        </w:tc>
        <w:tc>
          <w:tcPr>
            <w:tcW w:w="4583" w:type="dxa"/>
          </w:tcPr>
          <w:p w14:paraId="1F22377D" w14:textId="0358B489" w:rsidR="006551B2" w:rsidRDefault="00000000">
            <w:pPr>
              <w:pBdr>
                <w:top w:val="nil"/>
                <w:left w:val="nil"/>
                <w:bottom w:val="nil"/>
                <w:right w:val="nil"/>
                <w:between w:val="nil"/>
              </w:pBdr>
              <w:jc w:val="both"/>
              <w:rPr>
                <w:color w:val="000000"/>
                <w:sz w:val="20"/>
                <w:szCs w:val="20"/>
              </w:rPr>
            </w:pPr>
            <w:r>
              <w:rPr>
                <w:noProof/>
                <w:color w:val="000000"/>
                <w:sz w:val="18"/>
                <w:szCs w:val="18"/>
              </w:rPr>
              <w:drawing>
                <wp:inline distT="0" distB="0" distL="0" distR="0" wp14:anchorId="32AE2CA1" wp14:editId="5EF2E71E">
                  <wp:extent cx="2824879" cy="1257415"/>
                  <wp:effectExtent l="0" t="0" r="0" b="0"/>
                  <wp:docPr id="2117390525" name="image5.jpg" descr="A graph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5.jpg" descr="A graph of a graph&#10;&#10;AI-generated content may be incorrect."/>
                          <pic:cNvPicPr preferRelativeResize="0"/>
                        </pic:nvPicPr>
                        <pic:blipFill>
                          <a:blip r:embed="rId12"/>
                          <a:srcRect b="3522"/>
                          <a:stretch>
                            <a:fillRect/>
                          </a:stretch>
                        </pic:blipFill>
                        <pic:spPr>
                          <a:xfrm>
                            <a:off x="0" y="0"/>
                            <a:ext cx="2824879" cy="1257415"/>
                          </a:xfrm>
                          <a:prstGeom prst="rect">
                            <a:avLst/>
                          </a:prstGeom>
                          <a:ln/>
                        </pic:spPr>
                      </pic:pic>
                    </a:graphicData>
                  </a:graphic>
                </wp:inline>
              </w:drawing>
            </w:r>
            <w:r>
              <w:rPr>
                <w:noProof/>
              </w:rPr>
              <mc:AlternateContent>
                <mc:Choice Requires="wpg">
                  <w:drawing>
                    <wp:anchor distT="0" distB="0" distL="114300" distR="114300" simplePos="0" relativeHeight="251667456" behindDoc="0" locked="0" layoutInCell="1" hidden="0" allowOverlap="1" wp14:anchorId="27994071" wp14:editId="3D4A0106">
                      <wp:simplePos x="0" y="0"/>
                      <wp:positionH relativeFrom="column">
                        <wp:posOffset>-28129</wp:posOffset>
                      </wp:positionH>
                      <wp:positionV relativeFrom="paragraph">
                        <wp:posOffset>391478</wp:posOffset>
                      </wp:positionV>
                      <wp:extent cx="64944" cy="378056"/>
                      <wp:effectExtent l="0" t="0" r="0" b="0"/>
                      <wp:wrapNone/>
                      <wp:docPr id="2117390500" name="Rectangle 2117390500"/>
                      <wp:cNvGraphicFramePr/>
                      <a:graphic xmlns:a="http://schemas.openxmlformats.org/drawingml/2006/main">
                        <a:graphicData uri="http://schemas.microsoft.com/office/word/2010/wordprocessingShape">
                          <wps:wsp>
                            <wps:cNvSpPr/>
                            <wps:spPr>
                              <a:xfrm>
                                <a:off x="5318291" y="3595735"/>
                                <a:ext cx="55419" cy="368531"/>
                              </a:xfrm>
                              <a:prstGeom prst="rect">
                                <a:avLst/>
                              </a:prstGeom>
                              <a:solidFill>
                                <a:schemeClr val="lt1"/>
                              </a:solidFill>
                              <a:ln>
                                <a:noFill/>
                              </a:ln>
                            </wps:spPr>
                            <wps:txbx>
                              <w:txbxContent>
                                <w:p w14:paraId="73E4EDFA"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-28129</wp:posOffset>
                      </wp:positionH>
                      <wp:positionV relativeFrom="paragraph">
                        <wp:posOffset>391478</wp:posOffset>
                      </wp:positionV>
                      <wp:extent cx="64944" cy="378056"/>
                      <wp:effectExtent b="0" l="0" r="0" t="0"/>
                      <wp:wrapNone/>
                      <wp:docPr id="2117390500" name="image12.png"/>
                      <a:graphic>
                        <a:graphicData uri="http://schemas.openxmlformats.org/drawingml/2006/picture">
                          <pic:pic>
                            <pic:nvPicPr>
                              <pic:cNvPr id="0" name="image12.png"/>
                              <pic:cNvPicPr preferRelativeResize="0"/>
                            </pic:nvPicPr>
                            <pic:blipFill>
                              <a:blip r:embed="rId9"/>
                              <a:srcRect/>
                              <a:stretch>
                                <a:fillRect/>
                              </a:stretch>
                            </pic:blipFill>
                            <pic:spPr>
                              <a:xfrm>
                                <a:off x="0" y="0"/>
                                <a:ext cx="64944" cy="378056"/>
                              </a:xfrm>
                              <a:prstGeom prst="rect"/>
                              <a:ln/>
                            </pic:spPr>
                          </pic:pic>
                        </a:graphicData>
                      </a:graphic>
                    </wp:anchor>
                  </w:drawing>
                </mc:Fallback>
              </mc:AlternateContent>
            </w:r>
            <w:r>
              <w:rPr>
                <w:noProof/>
              </w:rPr>
              <mc:AlternateContent>
                <mc:Choice Requires="wps">
                  <w:drawing>
                    <wp:anchor distT="0" distB="0" distL="114300" distR="114300" simplePos="0" relativeHeight="251668480" behindDoc="0" locked="0" layoutInCell="1" hidden="0" allowOverlap="1" wp14:anchorId="5B161214" wp14:editId="02574937">
                      <wp:simplePos x="0" y="0"/>
                      <wp:positionH relativeFrom="column">
                        <wp:posOffset>1047432</wp:posOffset>
                      </wp:positionH>
                      <wp:positionV relativeFrom="paragraph">
                        <wp:posOffset>1179541</wp:posOffset>
                      </wp:positionV>
                      <wp:extent cx="760730" cy="207010"/>
                      <wp:effectExtent l="0" t="0" r="0" b="0"/>
                      <wp:wrapNone/>
                      <wp:docPr id="2117390503" name="Rectangle 2117390503"/>
                      <wp:cNvGraphicFramePr/>
                      <a:graphic xmlns:a="http://schemas.openxmlformats.org/drawingml/2006/main">
                        <a:graphicData uri="http://schemas.microsoft.com/office/word/2010/wordprocessingShape">
                          <wps:wsp>
                            <wps:cNvSpPr/>
                            <wps:spPr>
                              <a:xfrm>
                                <a:off x="4970398" y="3681258"/>
                                <a:ext cx="751205" cy="197485"/>
                              </a:xfrm>
                              <a:prstGeom prst="rect">
                                <a:avLst/>
                              </a:prstGeom>
                              <a:noFill/>
                              <a:ln>
                                <a:noFill/>
                              </a:ln>
                            </wps:spPr>
                            <wps:txbx>
                              <w:txbxContent>
                                <w:p w14:paraId="4E065076"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w:pict>
                    <v:rect w14:anchorId="5B161214" id="Rectangle 2117390503" o:spid="_x0000_s1037" style="position:absolute;left:0;text-align:left;margin-left:82.45pt;margin-top:92.9pt;width:59.9pt;height:16.3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" filled="f" stroked="f">
                      <v:textbox inset="2.53958mm,1.2694mm,2.53958mm,1.2694mm">
                        <w:txbxContent>
                          <w:p w14:paraId="4E065076" w14:textId="77777777" w:rsidR="006551B2" w:rsidRDefault="00000000">
                            <w:pPr>
                              <w:jc w:val="center"/>
                              <w:textDirection w:val="btLr"/>
                            </w:pPr>
                            <w:r>
                              <w:rPr>
                                <w:color w:val="000000"/>
                                <w:sz w:val="14"/>
                              </w:rPr>
                              <w:t>Time (min)</w:t>
                            </w:r>
                          </w:p>
                        </w:txbxContent>
                      </v:textbox>
                    </v:rect>
                  </w:pict>
                </mc:Fallback>
              </mc:AlternateContent>
            </w:r>
          </w:p>
        </w:tc>
      </w:tr>
    </w:tbl>
    <w:p w14:paraId="5E6B8F5E" w14:textId="77777777" w:rsidR="006551B2" w:rsidRDefault="006551B2">
      <w:pPr>
        <w:pBdr>
          <w:top w:val="nil"/>
          <w:left w:val="nil"/>
          <w:bottom w:val="nil"/>
          <w:right w:val="nil"/>
          <w:between w:val="nil"/>
        </w:pBdr>
        <w:jc w:val="both"/>
        <w:rPr>
          <w:color w:val="000000"/>
          <w:sz w:val="20"/>
          <w:szCs w:val="20"/>
        </w:rPr>
      </w:pPr>
    </w:p>
    <w:p w14:paraId="5F67EB3A" w14:textId="3A77429B" w:rsidR="006551B2" w:rsidRDefault="00000000">
      <w:pPr>
        <w:pStyle w:val="Heading2"/>
        <w:jc w:val="both"/>
        <w:rPr>
          <w:b w:val="0"/>
          <w:sz w:val="20"/>
          <w:szCs w:val="20"/>
        </w:rPr>
      </w:pPr>
      <w:r>
        <w:rPr>
          <w:sz w:val="20"/>
          <w:szCs w:val="20"/>
        </w:rPr>
        <w:t>FIGURE 1.</w:t>
      </w:r>
      <w:r>
        <w:rPr>
          <w:b w:val="0"/>
          <w:i/>
          <w:sz w:val="20"/>
          <w:szCs w:val="20"/>
        </w:rPr>
        <w:t xml:space="preserve"> </w:t>
      </w:r>
      <w:r>
        <w:rPr>
          <w:b w:val="0"/>
          <w:sz w:val="20"/>
          <w:szCs w:val="20"/>
        </w:rPr>
        <w:t>GC–MS profile of clove extract (sample C1). The dominant peak at RT ~14.07 min corresponds to eugenol (68.94% area). Trans-isoeugenol (~83.85%) was similarly abundant in a replicate (C3).</w:t>
      </w:r>
    </w:p>
    <w:p w14:paraId="30B8075B" w14:textId="77777777" w:rsidR="006551B2" w:rsidRDefault="006551B2">
      <w:pPr>
        <w:pBdr>
          <w:top w:val="nil"/>
          <w:left w:val="nil"/>
          <w:bottom w:val="nil"/>
          <w:right w:val="nil"/>
          <w:between w:val="nil"/>
        </w:pBdr>
        <w:jc w:val="both"/>
        <w:rPr>
          <w:color w:val="000000"/>
          <w:sz w:val="20"/>
          <w:szCs w:val="20"/>
        </w:rPr>
      </w:pPr>
    </w:p>
    <w:p w14:paraId="1EFF0E7E" w14:textId="77777777" w:rsidR="006551B2" w:rsidRDefault="00000000">
      <w:pPr>
        <w:pStyle w:val="Heading2"/>
        <w:rPr>
          <w:b w:val="0"/>
          <w:i/>
          <w:sz w:val="20"/>
          <w:szCs w:val="20"/>
        </w:rPr>
      </w:pPr>
      <w:r>
        <w:rPr>
          <w:b w:val="0"/>
          <w:i/>
          <w:sz w:val="20"/>
          <w:szCs w:val="20"/>
        </w:rPr>
        <w:lastRenderedPageBreak/>
        <w:t>Roselle (Hibiscus sabdariffa) Extract</w:t>
      </w:r>
    </w:p>
    <w:p w14:paraId="39DBC8D9" w14:textId="77777777" w:rsidR="006551B2" w:rsidRDefault="00000000">
      <w:pPr>
        <w:pBdr>
          <w:top w:val="nil"/>
          <w:left w:val="nil"/>
          <w:bottom w:val="nil"/>
          <w:right w:val="nil"/>
          <w:between w:val="nil"/>
        </w:pBdr>
        <w:ind w:firstLine="284"/>
        <w:jc w:val="both"/>
        <w:rPr>
          <w:b/>
          <w:color w:val="000000"/>
          <w:sz w:val="20"/>
          <w:szCs w:val="20"/>
        </w:rPr>
      </w:pPr>
      <w:r>
        <w:rPr>
          <w:color w:val="000000"/>
          <w:sz w:val="20"/>
          <w:szCs w:val="20"/>
        </w:rPr>
        <w:t xml:space="preserve">Roselle </w:t>
      </w:r>
      <w:proofErr w:type="gramStart"/>
      <w:r>
        <w:rPr>
          <w:color w:val="000000"/>
          <w:sz w:val="20"/>
          <w:szCs w:val="20"/>
        </w:rPr>
        <w:t>calyx</w:t>
      </w:r>
      <w:proofErr w:type="gramEnd"/>
      <w:r>
        <w:rPr>
          <w:color w:val="000000"/>
          <w:sz w:val="20"/>
          <w:szCs w:val="20"/>
        </w:rPr>
        <w:t xml:space="preserve"> extract also exhibited antibacterial effects, though slightly weaker than clove. Extraction yields were highest with cold water (30.4%) and ethanol (26.4%) [14]. Phytochemical assays (Table 2) showed roselle extracts rich in flavonoids, tannins and alkaloids; again, no steroids or terpenoids were detected [14]. In agar diffusion tests, the ethyl acetate fraction (REA) showed the largest inhibition zones: at 1000 mg/mL it yielded ~32.5 mm against </w:t>
      </w:r>
      <w:r>
        <w:rPr>
          <w:i/>
          <w:color w:val="000000"/>
          <w:sz w:val="20"/>
          <w:szCs w:val="20"/>
        </w:rPr>
        <w:t>E. coli</w:t>
      </w:r>
      <w:r>
        <w:rPr>
          <w:color w:val="000000"/>
          <w:sz w:val="20"/>
          <w:szCs w:val="20"/>
        </w:rPr>
        <w:t xml:space="preserve"> and ~25.0 mm against </w:t>
      </w:r>
      <w:r>
        <w:rPr>
          <w:i/>
          <w:color w:val="000000"/>
          <w:sz w:val="20"/>
          <w:szCs w:val="20"/>
        </w:rPr>
        <w:t>S. aureus</w:t>
      </w:r>
      <w:r>
        <w:rPr>
          <w:color w:val="000000"/>
          <w:sz w:val="20"/>
          <w:szCs w:val="20"/>
        </w:rPr>
        <w:t xml:space="preserve">, comparable to typical antibiotic controls [15]. Correspondingly, the MIC for both </w:t>
      </w:r>
      <w:r>
        <w:rPr>
          <w:i/>
          <w:color w:val="000000"/>
          <w:sz w:val="20"/>
          <w:szCs w:val="20"/>
        </w:rPr>
        <w:t>E. coli</w:t>
      </w:r>
      <w:r>
        <w:rPr>
          <w:color w:val="000000"/>
          <w:sz w:val="20"/>
          <w:szCs w:val="20"/>
        </w:rPr>
        <w:t xml:space="preserve"> and </w:t>
      </w:r>
      <w:r>
        <w:rPr>
          <w:i/>
          <w:color w:val="000000"/>
          <w:sz w:val="20"/>
          <w:szCs w:val="20"/>
        </w:rPr>
        <w:t>S. aureus</w:t>
      </w:r>
      <w:r>
        <w:rPr>
          <w:color w:val="000000"/>
          <w:sz w:val="20"/>
          <w:szCs w:val="20"/>
        </w:rPr>
        <w:t xml:space="preserve"> was ~33.3–33.4 mg/mL [16]. This efficacy is in line with prior reports of strong anti-</w:t>
      </w:r>
      <w:r>
        <w:rPr>
          <w:i/>
          <w:color w:val="000000"/>
          <w:sz w:val="20"/>
          <w:szCs w:val="20"/>
        </w:rPr>
        <w:t>Hibiscus</w:t>
      </w:r>
      <w:r>
        <w:rPr>
          <w:color w:val="000000"/>
          <w:sz w:val="20"/>
          <w:szCs w:val="20"/>
        </w:rPr>
        <w:t xml:space="preserve"> activity [17].</w:t>
      </w:r>
    </w:p>
    <w:p w14:paraId="3FB4F4D7" w14:textId="77777777" w:rsidR="006551B2" w:rsidRDefault="00000000">
      <w:pPr>
        <w:pBdr>
          <w:top w:val="nil"/>
          <w:left w:val="nil"/>
          <w:bottom w:val="nil"/>
          <w:right w:val="nil"/>
          <w:between w:val="nil"/>
        </w:pBdr>
        <w:ind w:firstLine="284"/>
        <w:jc w:val="both"/>
        <w:rPr>
          <w:b/>
          <w:color w:val="000000"/>
          <w:sz w:val="20"/>
          <w:szCs w:val="20"/>
        </w:rPr>
      </w:pPr>
      <w:r>
        <w:rPr>
          <w:color w:val="000000"/>
          <w:sz w:val="20"/>
          <w:szCs w:val="20"/>
        </w:rPr>
        <w:t xml:space="preserve">GC–MS analysis of roselle identified a diterpenoid ester as the main component: phytol acetate (2-hexadecen-1-ol, 3,7,11,15-tetramethyl-, acetate) accounted for ~27.8% of the extract (see Figure 2). Other notable compounds included </w:t>
      </w:r>
      <w:proofErr w:type="spellStart"/>
      <w:r>
        <w:rPr>
          <w:color w:val="000000"/>
          <w:sz w:val="20"/>
          <w:szCs w:val="20"/>
        </w:rPr>
        <w:t>hexadecanoic</w:t>
      </w:r>
      <w:proofErr w:type="spellEnd"/>
      <w:r>
        <w:rPr>
          <w:color w:val="000000"/>
          <w:sz w:val="20"/>
          <w:szCs w:val="20"/>
        </w:rPr>
        <w:t xml:space="preserve"> acid methyl ester (~15.6%) and 2,4-di-tert-butylphenol (~6.3%) [18]. These are consistent with literature reports of roselle constituents (e.g. phenolic antioxidants and fatty-acid esters). Table 1 summarizes the key GC–MS peaks for roselle. Phytol derivatives and fatty acids are known to exhibit antibacterial properties, which likely</w:t>
      </w:r>
      <w:r>
        <w:rPr>
          <w:b/>
          <w:color w:val="000000"/>
          <w:sz w:val="20"/>
          <w:szCs w:val="20"/>
        </w:rPr>
        <w:t xml:space="preserve"> </w:t>
      </w:r>
      <w:r>
        <w:rPr>
          <w:color w:val="000000"/>
          <w:sz w:val="20"/>
          <w:szCs w:val="20"/>
        </w:rPr>
        <w:t>contributes to the observed activity. In sum, roselle’s moderate anti-MRSA effect can be attributed to its high levels of phenolic and terpenoid compounds (e.g. phytol acetate).</w:t>
      </w:r>
    </w:p>
    <w:tbl>
      <w:tblPr>
        <w:tblStyle w:val="a0"/>
        <w:tblW w:w="9360" w:type="dxa"/>
        <w:tblBorders>
          <w:top w:val="nil"/>
          <w:left w:val="nil"/>
          <w:bottom w:val="nil"/>
          <w:right w:val="nil"/>
          <w:insideH w:val="nil"/>
          <w:insideV w:val="nil"/>
        </w:tblBorders>
        <w:tblLayout w:type="fixed"/>
        <w:tblLook w:val="0400" w:firstRow="0" w:lastRow="0" w:firstColumn="0" w:lastColumn="0" w:noHBand="0" w:noVBand="1"/>
      </w:tblPr>
      <w:tblGrid>
        <w:gridCol w:w="4588"/>
        <w:gridCol w:w="4772"/>
      </w:tblGrid>
      <w:tr w:rsidR="006551B2" w14:paraId="00BE2CB5" w14:textId="77777777">
        <w:tc>
          <w:tcPr>
            <w:tcW w:w="4588" w:type="dxa"/>
          </w:tcPr>
          <w:p w14:paraId="1C21A4F0" w14:textId="4FB0C9C5" w:rsidR="006551B2" w:rsidRDefault="00000000">
            <w:pPr>
              <w:pStyle w:val="Heading2"/>
              <w:rPr>
                <w:sz w:val="20"/>
                <w:szCs w:val="20"/>
              </w:rPr>
            </w:pPr>
            <w:r>
              <w:rPr>
                <w:noProof/>
                <w:sz w:val="20"/>
                <w:szCs w:val="20"/>
              </w:rPr>
              <w:drawing>
                <wp:inline distT="0" distB="0" distL="0" distR="0" wp14:anchorId="36770EC7" wp14:editId="107EC030">
                  <wp:extent cx="2765362" cy="976140"/>
                  <wp:effectExtent l="0" t="0" r="0" b="0"/>
                  <wp:docPr id="211739052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l="412" b="3685"/>
                          <a:stretch>
                            <a:fillRect/>
                          </a:stretch>
                        </pic:blipFill>
                        <pic:spPr>
                          <a:xfrm>
                            <a:off x="0" y="0"/>
                            <a:ext cx="2765362" cy="976140"/>
                          </a:xfrm>
                          <a:prstGeom prst="rect">
                            <a:avLst/>
                          </a:prstGeom>
                          <a:ln/>
                        </pic:spPr>
                      </pic:pic>
                    </a:graphicData>
                  </a:graphic>
                </wp:inline>
              </w:drawing>
            </w:r>
            <w:r>
              <w:rPr>
                <w:noProof/>
              </w:rPr>
              <mc:AlternateContent>
                <mc:Choice Requires="wpg">
                  <w:drawing>
                    <wp:anchor distT="0" distB="0" distL="114300" distR="114300" simplePos="0" relativeHeight="251670528" behindDoc="0" locked="0" layoutInCell="1" hidden="0" allowOverlap="1" wp14:anchorId="699FA762" wp14:editId="2CE5526A">
                      <wp:simplePos x="0" y="0"/>
                      <wp:positionH relativeFrom="column">
                        <wp:posOffset>854623</wp:posOffset>
                      </wp:positionH>
                      <wp:positionV relativeFrom="paragraph">
                        <wp:posOffset>1073872</wp:posOffset>
                      </wp:positionV>
                      <wp:extent cx="929640" cy="363855"/>
                      <wp:effectExtent l="0" t="0" r="0" b="0"/>
                      <wp:wrapNone/>
                      <wp:docPr id="2117390501" name="Rectangle 2117390501"/>
                      <wp:cNvGraphicFramePr/>
                      <a:graphic xmlns:a="http://schemas.openxmlformats.org/drawingml/2006/main">
                        <a:graphicData uri="http://schemas.microsoft.com/office/word/2010/wordprocessingShape">
                          <wps:wsp>
                            <wps:cNvSpPr/>
                            <wps:spPr>
                              <a:xfrm>
                                <a:off x="4885943" y="3602835"/>
                                <a:ext cx="920115" cy="354330"/>
                              </a:xfrm>
                              <a:prstGeom prst="rect">
                                <a:avLst/>
                              </a:prstGeom>
                              <a:noFill/>
                              <a:ln>
                                <a:noFill/>
                              </a:ln>
                            </wps:spPr>
                            <wps:txbx>
                              <w:txbxContent>
                                <w:p w14:paraId="55BF4A1A"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854623</wp:posOffset>
                      </wp:positionH>
                      <wp:positionV relativeFrom="paragraph">
                        <wp:posOffset>1073872</wp:posOffset>
                      </wp:positionV>
                      <wp:extent cx="929640" cy="363855"/>
                      <wp:effectExtent b="0" l="0" r="0" t="0"/>
                      <wp:wrapNone/>
                      <wp:docPr id="2117390501" name="image13.png"/>
                      <a:graphic>
                        <a:graphicData uri="http://schemas.openxmlformats.org/drawingml/2006/picture">
                          <pic:pic>
                            <pic:nvPicPr>
                              <pic:cNvPr id="0" name="image13.png"/>
                              <pic:cNvPicPr preferRelativeResize="0"/>
                            </pic:nvPicPr>
                            <pic:blipFill>
                              <a:blip r:embed="rId9"/>
                              <a:srcRect/>
                              <a:stretch>
                                <a:fillRect/>
                              </a:stretch>
                            </pic:blipFill>
                            <pic:spPr>
                              <a:xfrm>
                                <a:off x="0" y="0"/>
                                <a:ext cx="929640" cy="363855"/>
                              </a:xfrm>
                              <a:prstGeom prst="rect"/>
                              <a:ln/>
                            </pic:spPr>
                          </pic:pic>
                        </a:graphicData>
                      </a:graphic>
                    </wp:anchor>
                  </w:drawing>
                </mc:Fallback>
              </mc:AlternateContent>
            </w:r>
            <w:r>
              <w:rPr>
                <w:noProof/>
              </w:rPr>
              <mc:AlternateContent>
                <mc:Choice Requires="wps">
                  <w:drawing>
                    <wp:anchor distT="0" distB="0" distL="114300" distR="114300" simplePos="0" relativeHeight="251672576" behindDoc="0" locked="0" layoutInCell="1" hidden="0" allowOverlap="1" wp14:anchorId="73FFDAFC" wp14:editId="4C397C23">
                      <wp:simplePos x="0" y="0"/>
                      <wp:positionH relativeFrom="column">
                        <wp:posOffset>-16191</wp:posOffset>
                      </wp:positionH>
                      <wp:positionV relativeFrom="paragraph">
                        <wp:posOffset>508318</wp:posOffset>
                      </wp:positionV>
                      <wp:extent cx="55244" cy="244475"/>
                      <wp:effectExtent l="0" t="0" r="0" b="0"/>
                      <wp:wrapNone/>
                      <wp:docPr id="2117390514" name="Rectangle 2117390514"/>
                      <wp:cNvGraphicFramePr/>
                      <a:graphic xmlns:a="http://schemas.openxmlformats.org/drawingml/2006/main">
                        <a:graphicData uri="http://schemas.microsoft.com/office/word/2010/wordprocessingShape">
                          <wps:wsp>
                            <wps:cNvSpPr/>
                            <wps:spPr>
                              <a:xfrm>
                                <a:off x="5323141" y="3662525"/>
                                <a:ext cx="45719" cy="234950"/>
                              </a:xfrm>
                              <a:prstGeom prst="rect">
                                <a:avLst/>
                              </a:prstGeom>
                              <a:solidFill>
                                <a:schemeClr val="lt1"/>
                              </a:solidFill>
                              <a:ln>
                                <a:noFill/>
                              </a:ln>
                            </wps:spPr>
                            <wps:txbx>
                              <w:txbxContent>
                                <w:p w14:paraId="0BBE6608"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w:pict>
                    <v:rect w14:anchorId="73FFDAFC" id="Rectangle 2117390514" o:spid="_x0000_s1039" style="position:absolute;left:0;text-align:left;margin-left:-1.25pt;margin-top:40.05pt;width:4.35pt;height:19.2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" fillcolor="white [3201]" stroked="f">
                      <v:textbox inset="2.53958mm,2.53958mm,2.53958mm,2.53958mm">
                        <w:txbxContent>
                          <w:p w14:paraId="0BBE6608" w14:textId="77777777" w:rsidR="006551B2" w:rsidRDefault="006551B2">
                            <w:pPr>
                              <w:textDirection w:val="btLr"/>
                            </w:pPr>
                          </w:p>
                        </w:txbxContent>
                      </v:textbox>
                    </v:rect>
                  </w:pict>
                </mc:Fallback>
              </mc:AlternateContent>
            </w:r>
          </w:p>
        </w:tc>
        <w:tc>
          <w:tcPr>
            <w:tcW w:w="4772" w:type="dxa"/>
          </w:tcPr>
          <w:p w14:paraId="51C153F1" w14:textId="77777777" w:rsidR="006551B2" w:rsidRDefault="00000000">
            <w:pPr>
              <w:pStyle w:val="Heading2"/>
              <w:rPr>
                <w:sz w:val="20"/>
                <w:szCs w:val="20"/>
              </w:rPr>
            </w:pPr>
            <w:r>
              <w:rPr>
                <w:noProof/>
                <w:sz w:val="20"/>
                <w:szCs w:val="20"/>
              </w:rPr>
              <w:drawing>
                <wp:inline distT="0" distB="0" distL="0" distR="0" wp14:anchorId="23F05208" wp14:editId="5587CF07">
                  <wp:extent cx="2907856" cy="1014600"/>
                  <wp:effectExtent l="0" t="0" r="0" b="0"/>
                  <wp:docPr id="211739052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4"/>
                          <a:srcRect l="648" b="4869"/>
                          <a:stretch>
                            <a:fillRect/>
                          </a:stretch>
                        </pic:blipFill>
                        <pic:spPr>
                          <a:xfrm>
                            <a:off x="0" y="0"/>
                            <a:ext cx="2907856" cy="1014600"/>
                          </a:xfrm>
                          <a:prstGeom prst="rect">
                            <a:avLst/>
                          </a:prstGeom>
                          <a:ln/>
                        </pic:spPr>
                      </pic:pic>
                    </a:graphicData>
                  </a:graphic>
                </wp:inline>
              </w:drawing>
            </w:r>
            <w:r>
              <w:rPr>
                <w:noProof/>
              </w:rPr>
              <mc:AlternateContent>
                <mc:Choice Requires="wpg">
                  <w:drawing>
                    <wp:anchor distT="0" distB="0" distL="114300" distR="114300" simplePos="0" relativeHeight="251673600" behindDoc="0" locked="0" layoutInCell="1" hidden="0" allowOverlap="1" wp14:anchorId="561E1C61" wp14:editId="5C339119">
                      <wp:simplePos x="0" y="0"/>
                      <wp:positionH relativeFrom="column">
                        <wp:posOffset>1020648</wp:posOffset>
                      </wp:positionH>
                      <wp:positionV relativeFrom="paragraph">
                        <wp:posOffset>1122190</wp:posOffset>
                      </wp:positionV>
                      <wp:extent cx="949960" cy="373380"/>
                      <wp:effectExtent l="0" t="0" r="0" b="0"/>
                      <wp:wrapNone/>
                      <wp:docPr id="2117390513" name="Rectangle 2117390513"/>
                      <wp:cNvGraphicFramePr/>
                      <a:graphic xmlns:a="http://schemas.openxmlformats.org/drawingml/2006/main">
                        <a:graphicData uri="http://schemas.microsoft.com/office/word/2010/wordprocessingShape">
                          <wps:wsp>
                            <wps:cNvSpPr/>
                            <wps:spPr>
                              <a:xfrm>
                                <a:off x="4875783" y="3598073"/>
                                <a:ext cx="940435" cy="363855"/>
                              </a:xfrm>
                              <a:prstGeom prst="rect">
                                <a:avLst/>
                              </a:prstGeom>
                              <a:noFill/>
                              <a:ln>
                                <a:noFill/>
                              </a:ln>
                            </wps:spPr>
                            <wps:txbx>
                              <w:txbxContent>
                                <w:p w14:paraId="61719848"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1020648</wp:posOffset>
                      </wp:positionH>
                      <wp:positionV relativeFrom="paragraph">
                        <wp:posOffset>1122190</wp:posOffset>
                      </wp:positionV>
                      <wp:extent cx="949960" cy="373380"/>
                      <wp:effectExtent b="0" l="0" r="0" t="0"/>
                      <wp:wrapNone/>
                      <wp:docPr id="2117390513" name="image25.png"/>
                      <a:graphic>
                        <a:graphicData uri="http://schemas.openxmlformats.org/drawingml/2006/picture">
                          <pic:pic>
                            <pic:nvPicPr>
                              <pic:cNvPr id="0" name="image25.png"/>
                              <pic:cNvPicPr preferRelativeResize="0"/>
                            </pic:nvPicPr>
                            <pic:blipFill>
                              <a:blip r:embed="rId9"/>
                              <a:srcRect/>
                              <a:stretch>
                                <a:fillRect/>
                              </a:stretch>
                            </pic:blipFill>
                            <pic:spPr>
                              <a:xfrm>
                                <a:off x="0" y="0"/>
                                <a:ext cx="949960" cy="373380"/>
                              </a:xfrm>
                              <a:prstGeom prst="rect"/>
                              <a:ln/>
                            </pic:spPr>
                          </pic:pic>
                        </a:graphicData>
                      </a:graphic>
                    </wp:anchor>
                  </w:drawing>
                </mc:Fallback>
              </mc:AlternateContent>
            </w:r>
            <w:r>
              <w:rPr>
                <w:noProof/>
              </w:rPr>
              <mc:AlternateContent>
                <mc:Choice Requires="wpg">
                  <w:drawing>
                    <wp:anchor distT="0" distB="0" distL="114300" distR="114300" simplePos="0" relativeHeight="251674624" behindDoc="0" locked="0" layoutInCell="1" hidden="0" allowOverlap="1" wp14:anchorId="41526072" wp14:editId="104AD2A1">
                      <wp:simplePos x="0" y="0"/>
                      <wp:positionH relativeFrom="column">
                        <wp:posOffset>-30623</wp:posOffset>
                      </wp:positionH>
                      <wp:positionV relativeFrom="paragraph">
                        <wp:posOffset>527368</wp:posOffset>
                      </wp:positionV>
                      <wp:extent cx="55244" cy="248516"/>
                      <wp:effectExtent l="0" t="0" r="0" b="0"/>
                      <wp:wrapNone/>
                      <wp:docPr id="2117390518" name="Rectangle 2117390518"/>
                      <wp:cNvGraphicFramePr/>
                      <a:graphic xmlns:a="http://schemas.openxmlformats.org/drawingml/2006/main">
                        <a:graphicData uri="http://schemas.microsoft.com/office/word/2010/wordprocessingShape">
                          <wps:wsp>
                            <wps:cNvSpPr/>
                            <wps:spPr>
                              <a:xfrm>
                                <a:off x="5323141" y="3660505"/>
                                <a:ext cx="45719" cy="238991"/>
                              </a:xfrm>
                              <a:prstGeom prst="rect">
                                <a:avLst/>
                              </a:prstGeom>
                              <a:solidFill>
                                <a:schemeClr val="lt1"/>
                              </a:solidFill>
                              <a:ln>
                                <a:noFill/>
                              </a:ln>
                            </wps:spPr>
                            <wps:txbx>
                              <w:txbxContent>
                                <w:p w14:paraId="40DE83B5"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-30623</wp:posOffset>
                      </wp:positionH>
                      <wp:positionV relativeFrom="paragraph">
                        <wp:posOffset>527368</wp:posOffset>
                      </wp:positionV>
                      <wp:extent cx="55244" cy="248516"/>
                      <wp:effectExtent b="0" l="0" r="0" t="0"/>
                      <wp:wrapNone/>
                      <wp:docPr id="2117390518" name="image30.png"/>
                      <a:graphic>
                        <a:graphicData uri="http://schemas.openxmlformats.org/drawingml/2006/picture">
                          <pic:pic>
                            <pic:nvPicPr>
                              <pic:cNvPr id="0" name="image30.png"/>
                              <pic:cNvPicPr preferRelativeResize="0"/>
                            </pic:nvPicPr>
                            <pic:blipFill>
                              <a:blip r:embed="rId9"/>
                              <a:srcRect/>
                              <a:stretch>
                                <a:fillRect/>
                              </a:stretch>
                            </pic:blipFill>
                            <pic:spPr>
                              <a:xfrm>
                                <a:off x="0" y="0"/>
                                <a:ext cx="55244" cy="248516"/>
                              </a:xfrm>
                              <a:prstGeom prst="rect"/>
                              <a:ln/>
                            </pic:spPr>
                          </pic:pic>
                        </a:graphicData>
                      </a:graphic>
                    </wp:anchor>
                  </w:drawing>
                </mc:Fallback>
              </mc:AlternateContent>
            </w:r>
          </w:p>
        </w:tc>
      </w:tr>
      <w:tr w:rsidR="006551B2" w14:paraId="13FDD5C9" w14:textId="77777777">
        <w:tc>
          <w:tcPr>
            <w:tcW w:w="4588" w:type="dxa"/>
          </w:tcPr>
          <w:p w14:paraId="1AC5BB4D" w14:textId="545C3A82" w:rsidR="006551B2" w:rsidRDefault="00000000">
            <w:pPr>
              <w:pStyle w:val="Heading2"/>
              <w:jc w:val="both"/>
              <w:rPr>
                <w:sz w:val="20"/>
                <w:szCs w:val="20"/>
              </w:rPr>
            </w:pPr>
            <w:r>
              <w:rPr>
                <w:noProof/>
                <w:sz w:val="20"/>
                <w:szCs w:val="20"/>
              </w:rPr>
              <w:drawing>
                <wp:inline distT="0" distB="0" distL="0" distR="0" wp14:anchorId="217F1C78" wp14:editId="2473E0FE">
                  <wp:extent cx="2788937" cy="992554"/>
                  <wp:effectExtent l="0" t="0" r="0" b="0"/>
                  <wp:docPr id="211739052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5"/>
                          <a:srcRect l="436" b="2839"/>
                          <a:stretch>
                            <a:fillRect/>
                          </a:stretch>
                        </pic:blipFill>
                        <pic:spPr>
                          <a:xfrm>
                            <a:off x="0" y="0"/>
                            <a:ext cx="2788937" cy="992554"/>
                          </a:xfrm>
                          <a:prstGeom prst="rect">
                            <a:avLst/>
                          </a:prstGeom>
                          <a:ln/>
                        </pic:spPr>
                      </pic:pic>
                    </a:graphicData>
                  </a:graphic>
                </wp:inline>
              </w:drawing>
            </w:r>
            <w:r>
              <w:rPr>
                <w:noProof/>
              </w:rPr>
              <mc:AlternateContent>
                <mc:Choice Requires="wpg">
                  <w:drawing>
                    <wp:anchor distT="0" distB="0" distL="114300" distR="114300" simplePos="0" relativeHeight="251675648" behindDoc="0" locked="0" layoutInCell="1" hidden="0" allowOverlap="1" wp14:anchorId="0C8B28FF" wp14:editId="51B0855E">
                      <wp:simplePos x="0" y="0"/>
                      <wp:positionH relativeFrom="column">
                        <wp:posOffset>696308</wp:posOffset>
                      </wp:positionH>
                      <wp:positionV relativeFrom="paragraph">
                        <wp:posOffset>1092976</wp:posOffset>
                      </wp:positionV>
                      <wp:extent cx="1447800" cy="268605"/>
                      <wp:effectExtent l="0" t="0" r="0" b="0"/>
                      <wp:wrapNone/>
                      <wp:docPr id="2117390499" name="Rectangle 2117390499"/>
                      <wp:cNvGraphicFramePr/>
                      <a:graphic xmlns:a="http://schemas.openxmlformats.org/drawingml/2006/main">
                        <a:graphicData uri="http://schemas.microsoft.com/office/word/2010/wordprocessingShape">
                          <wps:wsp>
                            <wps:cNvSpPr/>
                            <wps:spPr>
                              <a:xfrm>
                                <a:off x="4626863" y="3650460"/>
                                <a:ext cx="1438275" cy="259080"/>
                              </a:xfrm>
                              <a:prstGeom prst="rect">
                                <a:avLst/>
                              </a:prstGeom>
                              <a:noFill/>
                              <a:ln>
                                <a:noFill/>
                              </a:ln>
                            </wps:spPr>
                            <wps:txbx>
                              <w:txbxContent>
                                <w:p w14:paraId="5AC5C07C"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696308</wp:posOffset>
                      </wp:positionH>
                      <wp:positionV relativeFrom="paragraph">
                        <wp:posOffset>1092976</wp:posOffset>
                      </wp:positionV>
                      <wp:extent cx="1447800" cy="268605"/>
                      <wp:effectExtent b="0" l="0" r="0" t="0"/>
                      <wp:wrapNone/>
                      <wp:docPr id="2117390499"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1447800" cy="268605"/>
                              </a:xfrm>
                              <a:prstGeom prst="rect"/>
                              <a:ln/>
                            </pic:spPr>
                          </pic:pic>
                        </a:graphicData>
                      </a:graphic>
                    </wp:anchor>
                  </w:drawing>
                </mc:Fallback>
              </mc:AlternateContent>
            </w:r>
            <w:r>
              <w:rPr>
                <w:noProof/>
              </w:rPr>
              <mc:AlternateContent>
                <mc:Choice Requires="wps">
                  <w:drawing>
                    <wp:anchor distT="0" distB="0" distL="114300" distR="114300" simplePos="0" relativeHeight="251677696" behindDoc="0" locked="0" layoutInCell="1" hidden="0" allowOverlap="1" wp14:anchorId="0149A26E" wp14:editId="713D675D">
                      <wp:simplePos x="0" y="0"/>
                      <wp:positionH relativeFrom="column">
                        <wp:posOffset>-9710</wp:posOffset>
                      </wp:positionH>
                      <wp:positionV relativeFrom="paragraph">
                        <wp:posOffset>516121</wp:posOffset>
                      </wp:positionV>
                      <wp:extent cx="55244" cy="273476"/>
                      <wp:effectExtent l="0" t="0" r="0" b="0"/>
                      <wp:wrapNone/>
                      <wp:docPr id="2117390497" name="Rectangle 2117390497"/>
                      <wp:cNvGraphicFramePr/>
                      <a:graphic xmlns:a="http://schemas.openxmlformats.org/drawingml/2006/main">
                        <a:graphicData uri="http://schemas.microsoft.com/office/word/2010/wordprocessingShape">
                          <wps:wsp>
                            <wps:cNvSpPr/>
                            <wps:spPr>
                              <a:xfrm>
                                <a:off x="5323141" y="3648025"/>
                                <a:ext cx="45719" cy="263951"/>
                              </a:xfrm>
                              <a:prstGeom prst="rect">
                                <a:avLst/>
                              </a:prstGeom>
                              <a:solidFill>
                                <a:schemeClr val="lt1"/>
                              </a:solidFill>
                              <a:ln>
                                <a:noFill/>
                              </a:ln>
                            </wps:spPr>
                            <wps:txbx>
                              <w:txbxContent>
                                <w:p w14:paraId="2B1E4E84"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w:pict>
                    <v:rect w14:anchorId="0149A26E" id="Rectangle 2117390497" o:spid="_x0000_s1043" style="position:absolute;left:0;text-align:left;margin-left:-.75pt;margin-top:40.65pt;width:4.35pt;height:21.5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" fillcolor="white [3201]" stroked="f">
                      <v:textbox inset="2.53958mm,2.53958mm,2.53958mm,2.53958mm">
                        <w:txbxContent>
                          <w:p w14:paraId="2B1E4E84" w14:textId="77777777" w:rsidR="006551B2" w:rsidRDefault="006551B2">
                            <w:pPr>
                              <w:textDirection w:val="btLr"/>
                            </w:pPr>
                          </w:p>
                        </w:txbxContent>
                      </v:textbox>
                    </v:rect>
                  </w:pict>
                </mc:Fallback>
              </mc:AlternateContent>
            </w:r>
          </w:p>
        </w:tc>
        <w:tc>
          <w:tcPr>
            <w:tcW w:w="4772" w:type="dxa"/>
          </w:tcPr>
          <w:p w14:paraId="2EAF3E82" w14:textId="77777777" w:rsidR="006551B2" w:rsidRDefault="00000000">
            <w:pPr>
              <w:pStyle w:val="Heading2"/>
              <w:jc w:val="both"/>
              <w:rPr>
                <w:sz w:val="20"/>
                <w:szCs w:val="20"/>
              </w:rPr>
            </w:pPr>
            <w:r>
              <w:rPr>
                <w:noProof/>
                <w:sz w:val="20"/>
                <w:szCs w:val="20"/>
              </w:rPr>
              <w:drawing>
                <wp:inline distT="0" distB="0" distL="0" distR="0" wp14:anchorId="1DD7E9EB" wp14:editId="7F359A7C">
                  <wp:extent cx="2830484" cy="995782"/>
                  <wp:effectExtent l="0" t="0" r="0" b="0"/>
                  <wp:docPr id="211739052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6"/>
                          <a:srcRect l="795" b="3976"/>
                          <a:stretch>
                            <a:fillRect/>
                          </a:stretch>
                        </pic:blipFill>
                        <pic:spPr>
                          <a:xfrm>
                            <a:off x="0" y="0"/>
                            <a:ext cx="2830484" cy="995782"/>
                          </a:xfrm>
                          <a:prstGeom prst="rect">
                            <a:avLst/>
                          </a:prstGeom>
                          <a:ln/>
                        </pic:spPr>
                      </pic:pic>
                    </a:graphicData>
                  </a:graphic>
                </wp:inline>
              </w:drawing>
            </w:r>
            <w:r>
              <w:rPr>
                <w:noProof/>
              </w:rPr>
              <mc:AlternateContent>
                <mc:Choice Requires="wpg">
                  <w:drawing>
                    <wp:anchor distT="0" distB="0" distL="114300" distR="114300" simplePos="0" relativeHeight="251679744" behindDoc="0" locked="0" layoutInCell="1" hidden="0" allowOverlap="1" wp14:anchorId="46747724" wp14:editId="7D0B6FB9">
                      <wp:simplePos x="0" y="0"/>
                      <wp:positionH relativeFrom="column">
                        <wp:posOffset>940960</wp:posOffset>
                      </wp:positionH>
                      <wp:positionV relativeFrom="paragraph">
                        <wp:posOffset>1095871</wp:posOffset>
                      </wp:positionV>
                      <wp:extent cx="848995" cy="432435"/>
                      <wp:effectExtent l="0" t="0" r="0" b="0"/>
                      <wp:wrapNone/>
                      <wp:docPr id="2117390510" name="Rectangle 2117390510"/>
                      <wp:cNvGraphicFramePr/>
                      <a:graphic xmlns:a="http://schemas.openxmlformats.org/drawingml/2006/main">
                        <a:graphicData uri="http://schemas.microsoft.com/office/word/2010/wordprocessingShape">
                          <wps:wsp>
                            <wps:cNvSpPr/>
                            <wps:spPr>
                              <a:xfrm>
                                <a:off x="4926265" y="3568545"/>
                                <a:ext cx="839470" cy="422910"/>
                              </a:xfrm>
                              <a:prstGeom prst="rect">
                                <a:avLst/>
                              </a:prstGeom>
                              <a:noFill/>
                              <a:ln>
                                <a:noFill/>
                              </a:ln>
                            </wps:spPr>
                            <wps:txbx>
                              <w:txbxContent>
                                <w:p w14:paraId="6D2F5CB3" w14:textId="77777777" w:rsidR="006551B2" w:rsidRDefault="00000000">
                                  <w:pPr>
                                    <w:jc w:val="center"/>
                                    <w:textDirection w:val="btLr"/>
                                  </w:pPr>
                                  <w:r>
                                    <w:rPr>
                                      <w:color w:val="000000"/>
                                      <w:sz w:val="14"/>
                                    </w:rPr>
                                    <w:t>Time (min)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940960</wp:posOffset>
                      </wp:positionH>
                      <wp:positionV relativeFrom="paragraph">
                        <wp:posOffset>1095871</wp:posOffset>
                      </wp:positionV>
                      <wp:extent cx="848995" cy="432435"/>
                      <wp:effectExtent b="0" l="0" r="0" t="0"/>
                      <wp:wrapNone/>
                      <wp:docPr id="2117390510" name="image22.png"/>
                      <a:graphic>
                        <a:graphicData uri="http://schemas.openxmlformats.org/drawingml/2006/picture">
                          <pic:pic>
                            <pic:nvPicPr>
                              <pic:cNvPr id="0" name="image22.png"/>
                              <pic:cNvPicPr preferRelativeResize="0"/>
                            </pic:nvPicPr>
                            <pic:blipFill>
                              <a:blip r:embed="rId9"/>
                              <a:srcRect/>
                              <a:stretch>
                                <a:fillRect/>
                              </a:stretch>
                            </pic:blipFill>
                            <pic:spPr>
                              <a:xfrm>
                                <a:off x="0" y="0"/>
                                <a:ext cx="848995" cy="432435"/>
                              </a:xfrm>
                              <a:prstGeom prst="rect"/>
                              <a:ln/>
                            </pic:spPr>
                          </pic:pic>
                        </a:graphicData>
                      </a:graphic>
                    </wp:anchor>
                  </w:drawing>
                </mc:Fallback>
              </mc:AlternateContent>
            </w:r>
            <w:r>
              <w:rPr>
                <w:noProof/>
              </w:rPr>
              <mc:AlternateContent>
                <mc:Choice Requires="wpg">
                  <w:drawing>
                    <wp:anchor distT="0" distB="0" distL="114300" distR="114300" simplePos="0" relativeHeight="251680768" behindDoc="0" locked="0" layoutInCell="1" hidden="0" allowOverlap="1" wp14:anchorId="3ACA0FA2" wp14:editId="74C68467">
                      <wp:simplePos x="0" y="0"/>
                      <wp:positionH relativeFrom="column">
                        <wp:posOffset>-15391</wp:posOffset>
                      </wp:positionH>
                      <wp:positionV relativeFrom="paragraph">
                        <wp:posOffset>520852</wp:posOffset>
                      </wp:positionV>
                      <wp:extent cx="55244" cy="248516"/>
                      <wp:effectExtent l="0" t="0" r="0" b="0"/>
                      <wp:wrapNone/>
                      <wp:docPr id="2117390506" name="Rectangle 2117390506"/>
                      <wp:cNvGraphicFramePr/>
                      <a:graphic xmlns:a="http://schemas.openxmlformats.org/drawingml/2006/main">
                        <a:graphicData uri="http://schemas.microsoft.com/office/word/2010/wordprocessingShape">
                          <wps:wsp>
                            <wps:cNvSpPr/>
                            <wps:spPr>
                              <a:xfrm>
                                <a:off x="5323141" y="3660505"/>
                                <a:ext cx="45719" cy="238991"/>
                              </a:xfrm>
                              <a:prstGeom prst="rect">
                                <a:avLst/>
                              </a:prstGeom>
                              <a:solidFill>
                                <a:schemeClr val="lt1"/>
                              </a:solidFill>
                              <a:ln>
                                <a:noFill/>
                              </a:ln>
                            </wps:spPr>
                            <wps:txbx>
                              <w:txbxContent>
                                <w:p w14:paraId="364E13F1" w14:textId="77777777" w:rsidR="006551B2" w:rsidRDefault="006551B2">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-15391</wp:posOffset>
                      </wp:positionH>
                      <wp:positionV relativeFrom="paragraph">
                        <wp:posOffset>520852</wp:posOffset>
                      </wp:positionV>
                      <wp:extent cx="55244" cy="248516"/>
                      <wp:effectExtent b="0" l="0" r="0" t="0"/>
                      <wp:wrapNone/>
                      <wp:docPr id="2117390506" name="image18.png"/>
                      <a:graphic>
                        <a:graphicData uri="http://schemas.openxmlformats.org/drawingml/2006/picture">
                          <pic:pic>
                            <pic:nvPicPr>
                              <pic:cNvPr id="0" name="image18.png"/>
                              <pic:cNvPicPr preferRelativeResize="0"/>
                            </pic:nvPicPr>
                            <pic:blipFill>
                              <a:blip r:embed="rId9"/>
                              <a:srcRect/>
                              <a:stretch>
                                <a:fillRect/>
                              </a:stretch>
                            </pic:blipFill>
                            <pic:spPr>
                              <a:xfrm>
                                <a:off x="0" y="0"/>
                                <a:ext cx="55244" cy="248516"/>
                              </a:xfrm>
                              <a:prstGeom prst="rect"/>
                              <a:ln/>
                            </pic:spPr>
                          </pic:pic>
                        </a:graphicData>
                      </a:graphic>
                    </wp:anchor>
                  </w:drawing>
                </mc:Fallback>
              </mc:AlternateContent>
            </w:r>
          </w:p>
        </w:tc>
      </w:tr>
    </w:tbl>
    <w:p w14:paraId="0BFF45F8" w14:textId="00609D90" w:rsidR="006551B2" w:rsidRDefault="00000000">
      <w:pPr>
        <w:pStyle w:val="Heading2"/>
        <w:ind w:left="720" w:hanging="720"/>
        <w:jc w:val="both"/>
        <w:rPr>
          <w:b w:val="0"/>
          <w:sz w:val="18"/>
          <w:szCs w:val="18"/>
        </w:rPr>
      </w:pPr>
      <w:r>
        <w:rPr>
          <w:sz w:val="20"/>
          <w:szCs w:val="20"/>
        </w:rPr>
        <w:t>FIGURE 2.</w:t>
      </w:r>
      <w:r>
        <w:rPr>
          <w:b w:val="0"/>
          <w:i/>
          <w:sz w:val="20"/>
          <w:szCs w:val="20"/>
        </w:rPr>
        <w:t xml:space="preserve"> </w:t>
      </w:r>
      <w:r>
        <w:rPr>
          <w:b w:val="0"/>
          <w:sz w:val="18"/>
          <w:szCs w:val="18"/>
        </w:rPr>
        <w:t>GC–MS profile of roselle extract (sample R4). The largest peak at RT ~22.31 min is phytol acetate (27.77%); other peaks include palmitic acid methyl ester (</w:t>
      </w:r>
      <w:proofErr w:type="spellStart"/>
      <w:r>
        <w:rPr>
          <w:b w:val="0"/>
          <w:sz w:val="18"/>
          <w:szCs w:val="18"/>
        </w:rPr>
        <w:t>hexadecanoic</w:t>
      </w:r>
      <w:proofErr w:type="spellEnd"/>
      <w:r>
        <w:rPr>
          <w:b w:val="0"/>
          <w:sz w:val="18"/>
          <w:szCs w:val="18"/>
        </w:rPr>
        <w:t xml:space="preserve"> acid methyl ester, 15.59%) and 2,4-di-tert-butylphenol (6.34%).</w:t>
      </w:r>
    </w:p>
    <w:p w14:paraId="5B2BF0EE" w14:textId="77777777" w:rsidR="006551B2" w:rsidRDefault="00000000">
      <w:pPr>
        <w:pStyle w:val="Heading2"/>
        <w:ind w:firstLine="284"/>
        <w:jc w:val="both"/>
        <w:rPr>
          <w:b w:val="0"/>
          <w:sz w:val="20"/>
          <w:szCs w:val="20"/>
        </w:rPr>
      </w:pPr>
      <w:r>
        <w:rPr>
          <w:b w:val="0"/>
          <w:sz w:val="20"/>
          <w:szCs w:val="20"/>
        </w:rPr>
        <w:t>Comparative Efficacy: Combining the above results, clove ethanol extract was the most effective against MRSA, followed by roselle, then guava, then betel. Clove’s superiority is explained by its high eugenol content [13]. Roselle’s activity is attributable to its diterpenoid esters and phenolics [17], [18]. These findings are consistent with previous studies of these plants’ antibacterial properties. In sum, Table 1 and Figures 1–2 highlight the chemical profiles and inhibition data that underlie the observed anti-MRSA effects of the four extracts.</w:t>
      </w:r>
    </w:p>
    <w:tbl>
      <w:tblPr>
        <w:tblStyle w:val="a1"/>
        <w:tblW w:w="8812" w:type="dxa"/>
        <w:jc w:val="center"/>
        <w:tblBorders>
          <w:bottom w:val="single" w:sz="4" w:space="0" w:color="000000"/>
        </w:tblBorders>
        <w:tblLayout w:type="fixed"/>
        <w:tblLook w:val="0000" w:firstRow="0" w:lastRow="0" w:firstColumn="0" w:lastColumn="0" w:noHBand="0" w:noVBand="0"/>
      </w:tblPr>
      <w:tblGrid>
        <w:gridCol w:w="1758"/>
        <w:gridCol w:w="1217"/>
        <w:gridCol w:w="698"/>
        <w:gridCol w:w="1706"/>
        <w:gridCol w:w="386"/>
        <w:gridCol w:w="1281"/>
        <w:gridCol w:w="1649"/>
        <w:gridCol w:w="9"/>
        <w:gridCol w:w="108"/>
      </w:tblGrid>
      <w:tr w:rsidR="006551B2" w14:paraId="450CAF06" w14:textId="77777777">
        <w:trPr>
          <w:gridAfter w:val="1"/>
          <w:cantSplit/>
          <w:trHeight w:val="654"/>
          <w:jc w:val="center"/>
        </w:trPr>
        <w:tc>
          <w:tcPr>
            <w:tcW w:w="8704" w:type="dxa"/>
            <w:gridSpan w:val="8"/>
            <w:tcBorders>
              <w:bottom w:val="nil"/>
            </w:tcBorders>
          </w:tcPr>
          <w:p w14:paraId="3FC6B4A3" w14:textId="77777777" w:rsidR="006551B2" w:rsidRDefault="00000000">
            <w:pPr>
              <w:pBdr>
                <w:top w:val="nil"/>
                <w:left w:val="nil"/>
                <w:bottom w:val="nil"/>
                <w:right w:val="nil"/>
                <w:between w:val="nil"/>
              </w:pBdr>
              <w:spacing w:before="120"/>
              <w:jc w:val="both"/>
              <w:rPr>
                <w:color w:val="000000"/>
                <w:sz w:val="18"/>
                <w:szCs w:val="18"/>
              </w:rPr>
            </w:pPr>
            <w:r>
              <w:rPr>
                <w:b/>
                <w:color w:val="000000"/>
                <w:sz w:val="18"/>
                <w:szCs w:val="18"/>
              </w:rPr>
              <w:t xml:space="preserve">TABLE 1. </w:t>
            </w:r>
            <w:r>
              <w:rPr>
                <w:color w:val="000000"/>
                <w:sz w:val="18"/>
                <w:szCs w:val="18"/>
              </w:rPr>
              <w:t>Major antibacterial phytochemicals identified by GC–MS in the extracts. (RT = retention time; Rel. area = relative GC–MS peak area.)</w:t>
            </w:r>
          </w:p>
        </w:tc>
      </w:tr>
      <w:tr w:rsidR="006551B2" w14:paraId="369CE4CD" w14:textId="77777777">
        <w:trPr>
          <w:gridAfter w:val="2"/>
          <w:cantSplit/>
          <w:trHeight w:val="272"/>
          <w:jc w:val="center"/>
        </w:trPr>
        <w:tc>
          <w:tcPr>
            <w:tcW w:w="1758" w:type="dxa"/>
            <w:tcBorders>
              <w:top w:val="single" w:sz="4" w:space="0" w:color="000000"/>
              <w:bottom w:val="single" w:sz="4" w:space="0" w:color="000000"/>
            </w:tcBorders>
            <w:vAlign w:val="center"/>
          </w:tcPr>
          <w:p w14:paraId="12A362E8" w14:textId="77777777" w:rsidR="006551B2" w:rsidRDefault="00000000">
            <w:pPr>
              <w:jc w:val="center"/>
              <w:rPr>
                <w:sz w:val="20"/>
                <w:szCs w:val="20"/>
              </w:rPr>
            </w:pPr>
            <w:r>
              <w:rPr>
                <w:b/>
                <w:sz w:val="20"/>
                <w:szCs w:val="20"/>
              </w:rPr>
              <w:t>Extract (Plant)</w:t>
            </w:r>
          </w:p>
        </w:tc>
        <w:tc>
          <w:tcPr>
            <w:tcW w:w="1915" w:type="dxa"/>
            <w:gridSpan w:val="2"/>
            <w:tcBorders>
              <w:top w:val="single" w:sz="4" w:space="0" w:color="000000"/>
              <w:bottom w:val="single" w:sz="4" w:space="0" w:color="000000"/>
            </w:tcBorders>
            <w:vAlign w:val="center"/>
          </w:tcPr>
          <w:p w14:paraId="21161D13" w14:textId="77777777" w:rsidR="006551B2" w:rsidRDefault="00000000">
            <w:pPr>
              <w:jc w:val="center"/>
              <w:rPr>
                <w:b/>
                <w:sz w:val="20"/>
                <w:szCs w:val="20"/>
              </w:rPr>
            </w:pPr>
            <w:r>
              <w:rPr>
                <w:b/>
                <w:sz w:val="20"/>
                <w:szCs w:val="20"/>
              </w:rPr>
              <w:t>Compound (Chemical Name)</w:t>
            </w:r>
          </w:p>
        </w:tc>
        <w:tc>
          <w:tcPr>
            <w:tcW w:w="1706" w:type="dxa"/>
            <w:tcBorders>
              <w:top w:val="single" w:sz="4" w:space="0" w:color="000000"/>
              <w:bottom w:val="single" w:sz="4" w:space="0" w:color="000000"/>
            </w:tcBorders>
            <w:vAlign w:val="center"/>
          </w:tcPr>
          <w:p w14:paraId="68661D9E" w14:textId="77777777" w:rsidR="006551B2" w:rsidRDefault="00000000">
            <w:pPr>
              <w:jc w:val="center"/>
              <w:rPr>
                <w:b/>
                <w:sz w:val="20"/>
                <w:szCs w:val="20"/>
              </w:rPr>
            </w:pPr>
            <w:r>
              <w:rPr>
                <w:b/>
                <w:sz w:val="20"/>
                <w:szCs w:val="20"/>
              </w:rPr>
              <w:t>RT (min)</w:t>
            </w:r>
          </w:p>
        </w:tc>
        <w:tc>
          <w:tcPr>
            <w:tcW w:w="1667" w:type="dxa"/>
            <w:gridSpan w:val="2"/>
            <w:tcBorders>
              <w:top w:val="single" w:sz="4" w:space="0" w:color="000000"/>
              <w:bottom w:val="single" w:sz="4" w:space="0" w:color="000000"/>
            </w:tcBorders>
            <w:vAlign w:val="center"/>
          </w:tcPr>
          <w:p w14:paraId="308B2DAF" w14:textId="77777777" w:rsidR="006551B2" w:rsidRDefault="00000000">
            <w:pPr>
              <w:jc w:val="center"/>
              <w:rPr>
                <w:b/>
                <w:sz w:val="20"/>
                <w:szCs w:val="20"/>
              </w:rPr>
            </w:pPr>
            <w:r>
              <w:rPr>
                <w:b/>
                <w:sz w:val="20"/>
                <w:szCs w:val="20"/>
              </w:rPr>
              <w:t>Rel. Area (%)</w:t>
            </w:r>
          </w:p>
        </w:tc>
        <w:tc>
          <w:tcPr>
            <w:tcW w:w="1649" w:type="dxa"/>
            <w:tcBorders>
              <w:top w:val="single" w:sz="4" w:space="0" w:color="000000"/>
              <w:bottom w:val="single" w:sz="4" w:space="0" w:color="000000"/>
            </w:tcBorders>
            <w:vAlign w:val="center"/>
          </w:tcPr>
          <w:p w14:paraId="66647301" w14:textId="77777777" w:rsidR="006551B2" w:rsidRDefault="00000000">
            <w:pPr>
              <w:jc w:val="center"/>
              <w:rPr>
                <w:b/>
                <w:sz w:val="20"/>
                <w:szCs w:val="20"/>
              </w:rPr>
            </w:pPr>
            <w:r>
              <w:rPr>
                <w:b/>
                <w:sz w:val="20"/>
                <w:szCs w:val="20"/>
              </w:rPr>
              <w:t>Antibacterial relevance</w:t>
            </w:r>
          </w:p>
        </w:tc>
      </w:tr>
      <w:tr w:rsidR="006551B2" w14:paraId="3A053956" w14:textId="77777777">
        <w:trPr>
          <w:gridAfter w:val="2"/>
          <w:cantSplit/>
          <w:trHeight w:val="930"/>
          <w:jc w:val="center"/>
        </w:trPr>
        <w:tc>
          <w:tcPr>
            <w:tcW w:w="1758" w:type="dxa"/>
            <w:tcBorders>
              <w:top w:val="nil"/>
            </w:tcBorders>
            <w:vAlign w:val="center"/>
          </w:tcPr>
          <w:p w14:paraId="3C02547B" w14:textId="77777777" w:rsidR="006551B2" w:rsidRDefault="00000000">
            <w:pPr>
              <w:pBdr>
                <w:top w:val="nil"/>
                <w:left w:val="nil"/>
                <w:bottom w:val="nil"/>
                <w:right w:val="nil"/>
                <w:between w:val="nil"/>
              </w:pBdr>
              <w:jc w:val="center"/>
              <w:rPr>
                <w:color w:val="000000"/>
                <w:sz w:val="20"/>
                <w:szCs w:val="20"/>
              </w:rPr>
            </w:pPr>
            <w:proofErr w:type="spellStart"/>
            <w:r>
              <w:rPr>
                <w:i/>
                <w:color w:val="000000"/>
                <w:sz w:val="20"/>
                <w:szCs w:val="20"/>
              </w:rPr>
              <w:t>Syzygium</w:t>
            </w:r>
            <w:proofErr w:type="spellEnd"/>
            <w:r>
              <w:rPr>
                <w:i/>
                <w:color w:val="000000"/>
                <w:sz w:val="20"/>
                <w:szCs w:val="20"/>
              </w:rPr>
              <w:t xml:space="preserve"> aromaticum</w:t>
            </w:r>
            <w:r>
              <w:rPr>
                <w:color w:val="000000"/>
                <w:sz w:val="20"/>
                <w:szCs w:val="20"/>
              </w:rPr>
              <w:t xml:space="preserve"> (clove)</w:t>
            </w:r>
          </w:p>
        </w:tc>
        <w:tc>
          <w:tcPr>
            <w:tcW w:w="1915" w:type="dxa"/>
            <w:gridSpan w:val="2"/>
            <w:tcBorders>
              <w:top w:val="nil"/>
            </w:tcBorders>
            <w:vAlign w:val="center"/>
          </w:tcPr>
          <w:p w14:paraId="406FBB84" w14:textId="77777777" w:rsidR="006551B2" w:rsidRDefault="00000000">
            <w:pPr>
              <w:jc w:val="center"/>
              <w:rPr>
                <w:sz w:val="20"/>
                <w:szCs w:val="20"/>
              </w:rPr>
            </w:pPr>
            <w:r>
              <w:rPr>
                <w:sz w:val="20"/>
                <w:szCs w:val="20"/>
              </w:rPr>
              <w:t>Eugenol (2-methoxy-4-(2-propenyl) phenol)</w:t>
            </w:r>
          </w:p>
        </w:tc>
        <w:tc>
          <w:tcPr>
            <w:tcW w:w="1706" w:type="dxa"/>
            <w:tcBorders>
              <w:top w:val="nil"/>
            </w:tcBorders>
            <w:vAlign w:val="center"/>
          </w:tcPr>
          <w:p w14:paraId="19797FB6" w14:textId="77777777" w:rsidR="006551B2" w:rsidRDefault="00000000">
            <w:pPr>
              <w:jc w:val="center"/>
              <w:rPr>
                <w:sz w:val="20"/>
                <w:szCs w:val="20"/>
              </w:rPr>
            </w:pPr>
            <w:r>
              <w:rPr>
                <w:sz w:val="20"/>
                <w:szCs w:val="20"/>
              </w:rPr>
              <w:t>14.065</w:t>
            </w:r>
          </w:p>
        </w:tc>
        <w:tc>
          <w:tcPr>
            <w:tcW w:w="1667" w:type="dxa"/>
            <w:gridSpan w:val="2"/>
            <w:tcBorders>
              <w:top w:val="nil"/>
            </w:tcBorders>
            <w:vAlign w:val="center"/>
          </w:tcPr>
          <w:p w14:paraId="65252AE7" w14:textId="77777777" w:rsidR="006551B2" w:rsidRDefault="00000000">
            <w:pPr>
              <w:jc w:val="center"/>
              <w:rPr>
                <w:sz w:val="20"/>
                <w:szCs w:val="20"/>
              </w:rPr>
            </w:pPr>
            <w:r>
              <w:rPr>
                <w:sz w:val="20"/>
                <w:szCs w:val="20"/>
              </w:rPr>
              <w:t>68.94</w:t>
            </w:r>
          </w:p>
        </w:tc>
        <w:tc>
          <w:tcPr>
            <w:tcW w:w="1649" w:type="dxa"/>
            <w:tcBorders>
              <w:top w:val="nil"/>
            </w:tcBorders>
            <w:vAlign w:val="center"/>
          </w:tcPr>
          <w:p w14:paraId="5DEBCC30" w14:textId="77777777" w:rsidR="006551B2" w:rsidRDefault="00000000">
            <w:pPr>
              <w:jc w:val="center"/>
              <w:rPr>
                <w:sz w:val="20"/>
                <w:szCs w:val="20"/>
              </w:rPr>
            </w:pPr>
            <w:r>
              <w:rPr>
                <w:sz w:val="20"/>
                <w:szCs w:val="20"/>
              </w:rPr>
              <w:t>Potent MRSA/MSSA inhibitor.</w:t>
            </w:r>
          </w:p>
        </w:tc>
      </w:tr>
      <w:tr w:rsidR="006551B2" w14:paraId="674213CF" w14:textId="77777777">
        <w:trPr>
          <w:gridAfter w:val="2"/>
          <w:cantSplit/>
          <w:trHeight w:val="854"/>
          <w:jc w:val="center"/>
        </w:trPr>
        <w:tc>
          <w:tcPr>
            <w:tcW w:w="1758" w:type="dxa"/>
            <w:tcBorders>
              <w:bottom w:val="single" w:sz="4" w:space="0" w:color="000000"/>
            </w:tcBorders>
            <w:vAlign w:val="center"/>
          </w:tcPr>
          <w:p w14:paraId="7575614B" w14:textId="77777777" w:rsidR="006551B2" w:rsidRDefault="00000000">
            <w:pPr>
              <w:pBdr>
                <w:top w:val="nil"/>
                <w:left w:val="nil"/>
                <w:bottom w:val="nil"/>
                <w:right w:val="nil"/>
                <w:between w:val="nil"/>
              </w:pBdr>
              <w:jc w:val="center"/>
              <w:rPr>
                <w:color w:val="000000"/>
                <w:sz w:val="20"/>
                <w:szCs w:val="20"/>
              </w:rPr>
            </w:pPr>
            <w:proofErr w:type="spellStart"/>
            <w:r>
              <w:rPr>
                <w:i/>
                <w:color w:val="000000"/>
                <w:sz w:val="20"/>
                <w:szCs w:val="20"/>
              </w:rPr>
              <w:t>Syzygium</w:t>
            </w:r>
            <w:proofErr w:type="spellEnd"/>
            <w:r>
              <w:rPr>
                <w:i/>
                <w:color w:val="000000"/>
                <w:sz w:val="20"/>
                <w:szCs w:val="20"/>
              </w:rPr>
              <w:t xml:space="preserve"> aromaticum</w:t>
            </w:r>
            <w:r>
              <w:rPr>
                <w:color w:val="000000"/>
                <w:sz w:val="20"/>
                <w:szCs w:val="20"/>
              </w:rPr>
              <w:t xml:space="preserve"> (clove)</w:t>
            </w:r>
          </w:p>
        </w:tc>
        <w:tc>
          <w:tcPr>
            <w:tcW w:w="1915" w:type="dxa"/>
            <w:gridSpan w:val="2"/>
            <w:tcBorders>
              <w:bottom w:val="single" w:sz="4" w:space="0" w:color="000000"/>
            </w:tcBorders>
            <w:vAlign w:val="center"/>
          </w:tcPr>
          <w:p w14:paraId="33227E45" w14:textId="77777777" w:rsidR="006551B2" w:rsidRDefault="00000000">
            <w:pPr>
              <w:jc w:val="center"/>
              <w:rPr>
                <w:sz w:val="20"/>
                <w:szCs w:val="20"/>
              </w:rPr>
            </w:pPr>
            <w:r>
              <w:rPr>
                <w:sz w:val="20"/>
                <w:szCs w:val="20"/>
              </w:rPr>
              <w:t>trans-Isoeugenol</w:t>
            </w:r>
          </w:p>
        </w:tc>
        <w:tc>
          <w:tcPr>
            <w:tcW w:w="1706" w:type="dxa"/>
            <w:tcBorders>
              <w:bottom w:val="single" w:sz="4" w:space="0" w:color="000000"/>
            </w:tcBorders>
            <w:vAlign w:val="center"/>
          </w:tcPr>
          <w:p w14:paraId="4D52F901" w14:textId="77777777" w:rsidR="006551B2" w:rsidRDefault="00000000">
            <w:pPr>
              <w:jc w:val="center"/>
              <w:rPr>
                <w:sz w:val="20"/>
                <w:szCs w:val="20"/>
              </w:rPr>
            </w:pPr>
            <w:r>
              <w:rPr>
                <w:sz w:val="20"/>
                <w:szCs w:val="20"/>
              </w:rPr>
              <w:t>14.069</w:t>
            </w:r>
          </w:p>
        </w:tc>
        <w:tc>
          <w:tcPr>
            <w:tcW w:w="1667" w:type="dxa"/>
            <w:gridSpan w:val="2"/>
            <w:tcBorders>
              <w:bottom w:val="single" w:sz="4" w:space="0" w:color="000000"/>
            </w:tcBorders>
            <w:vAlign w:val="center"/>
          </w:tcPr>
          <w:p w14:paraId="03277056" w14:textId="77777777" w:rsidR="006551B2" w:rsidRDefault="00000000">
            <w:pPr>
              <w:jc w:val="center"/>
              <w:rPr>
                <w:sz w:val="20"/>
                <w:szCs w:val="20"/>
              </w:rPr>
            </w:pPr>
            <w:r>
              <w:rPr>
                <w:sz w:val="20"/>
                <w:szCs w:val="20"/>
              </w:rPr>
              <w:t>83.85</w:t>
            </w:r>
          </w:p>
        </w:tc>
        <w:tc>
          <w:tcPr>
            <w:tcW w:w="1649" w:type="dxa"/>
            <w:tcBorders>
              <w:bottom w:val="single" w:sz="4" w:space="0" w:color="000000"/>
            </w:tcBorders>
            <w:vAlign w:val="center"/>
          </w:tcPr>
          <w:p w14:paraId="1B0D45F9" w14:textId="77777777" w:rsidR="006551B2" w:rsidRDefault="00000000">
            <w:pPr>
              <w:jc w:val="center"/>
              <w:rPr>
                <w:sz w:val="20"/>
                <w:szCs w:val="20"/>
              </w:rPr>
            </w:pPr>
            <w:r>
              <w:rPr>
                <w:sz w:val="20"/>
                <w:szCs w:val="20"/>
              </w:rPr>
              <w:t>Eugenol isomer with similar anti-MRSA activity.</w:t>
            </w:r>
          </w:p>
        </w:tc>
      </w:tr>
      <w:tr w:rsidR="006551B2" w14:paraId="662B8DBF" w14:textId="77777777">
        <w:trPr>
          <w:gridAfter w:val="2"/>
          <w:cantSplit/>
          <w:trHeight w:val="1135"/>
          <w:jc w:val="center"/>
        </w:trPr>
        <w:tc>
          <w:tcPr>
            <w:tcW w:w="1758" w:type="dxa"/>
            <w:tcBorders>
              <w:top w:val="single" w:sz="4" w:space="0" w:color="000000"/>
              <w:bottom w:val="nil"/>
            </w:tcBorders>
            <w:vAlign w:val="center"/>
          </w:tcPr>
          <w:p w14:paraId="6CFEDF70" w14:textId="77777777" w:rsidR="006551B2" w:rsidRDefault="00000000">
            <w:pPr>
              <w:pBdr>
                <w:top w:val="nil"/>
                <w:left w:val="nil"/>
                <w:bottom w:val="nil"/>
                <w:right w:val="nil"/>
                <w:between w:val="nil"/>
              </w:pBdr>
              <w:jc w:val="center"/>
              <w:rPr>
                <w:color w:val="000000"/>
                <w:sz w:val="20"/>
                <w:szCs w:val="20"/>
              </w:rPr>
            </w:pPr>
            <w:r>
              <w:rPr>
                <w:i/>
                <w:color w:val="000000"/>
                <w:sz w:val="20"/>
                <w:szCs w:val="20"/>
              </w:rPr>
              <w:lastRenderedPageBreak/>
              <w:t>Hibiscus sabdariffa</w:t>
            </w:r>
            <w:r>
              <w:rPr>
                <w:color w:val="000000"/>
                <w:sz w:val="20"/>
                <w:szCs w:val="20"/>
              </w:rPr>
              <w:t xml:space="preserve"> (roselle)</w:t>
            </w:r>
          </w:p>
        </w:tc>
        <w:tc>
          <w:tcPr>
            <w:tcW w:w="1915" w:type="dxa"/>
            <w:gridSpan w:val="2"/>
            <w:tcBorders>
              <w:top w:val="single" w:sz="4" w:space="0" w:color="000000"/>
              <w:bottom w:val="nil"/>
            </w:tcBorders>
            <w:vAlign w:val="center"/>
          </w:tcPr>
          <w:p w14:paraId="08CEB378" w14:textId="77777777" w:rsidR="006551B2" w:rsidRDefault="00000000">
            <w:pPr>
              <w:jc w:val="center"/>
              <w:rPr>
                <w:sz w:val="20"/>
                <w:szCs w:val="20"/>
              </w:rPr>
            </w:pPr>
            <w:r>
              <w:rPr>
                <w:sz w:val="20"/>
                <w:szCs w:val="20"/>
              </w:rPr>
              <w:t>Phytol acetate (2-hexadecen-1-ol, 3,7,11,15-tetramethyl-, acetate)</w:t>
            </w:r>
          </w:p>
        </w:tc>
        <w:tc>
          <w:tcPr>
            <w:tcW w:w="1706" w:type="dxa"/>
            <w:tcBorders>
              <w:top w:val="single" w:sz="4" w:space="0" w:color="000000"/>
              <w:bottom w:val="nil"/>
            </w:tcBorders>
            <w:vAlign w:val="center"/>
          </w:tcPr>
          <w:p w14:paraId="7CC7A5BB" w14:textId="77777777" w:rsidR="006551B2" w:rsidRDefault="00000000">
            <w:pPr>
              <w:jc w:val="center"/>
              <w:rPr>
                <w:sz w:val="20"/>
                <w:szCs w:val="20"/>
              </w:rPr>
            </w:pPr>
            <w:r>
              <w:rPr>
                <w:sz w:val="20"/>
                <w:szCs w:val="20"/>
              </w:rPr>
              <w:t>22.306</w:t>
            </w:r>
          </w:p>
        </w:tc>
        <w:tc>
          <w:tcPr>
            <w:tcW w:w="1667" w:type="dxa"/>
            <w:gridSpan w:val="2"/>
            <w:tcBorders>
              <w:top w:val="single" w:sz="4" w:space="0" w:color="000000"/>
              <w:bottom w:val="nil"/>
            </w:tcBorders>
            <w:vAlign w:val="center"/>
          </w:tcPr>
          <w:p w14:paraId="122DFE68" w14:textId="77777777" w:rsidR="006551B2" w:rsidRDefault="00000000">
            <w:pPr>
              <w:jc w:val="center"/>
              <w:rPr>
                <w:sz w:val="20"/>
                <w:szCs w:val="20"/>
              </w:rPr>
            </w:pPr>
            <w:r>
              <w:rPr>
                <w:sz w:val="20"/>
                <w:szCs w:val="20"/>
              </w:rPr>
              <w:t>100.00</w:t>
            </w:r>
          </w:p>
        </w:tc>
        <w:tc>
          <w:tcPr>
            <w:tcW w:w="1649" w:type="dxa"/>
            <w:tcBorders>
              <w:top w:val="single" w:sz="4" w:space="0" w:color="000000"/>
              <w:bottom w:val="nil"/>
            </w:tcBorders>
            <w:vAlign w:val="center"/>
          </w:tcPr>
          <w:p w14:paraId="09859ED9" w14:textId="77777777" w:rsidR="006551B2" w:rsidRDefault="00000000">
            <w:pPr>
              <w:jc w:val="center"/>
              <w:rPr>
                <w:sz w:val="20"/>
                <w:szCs w:val="20"/>
              </w:rPr>
            </w:pPr>
            <w:r>
              <w:rPr>
                <w:sz w:val="20"/>
                <w:szCs w:val="20"/>
              </w:rPr>
              <w:t>Plant diterpenoid; reported antibacterial properties.</w:t>
            </w:r>
          </w:p>
        </w:tc>
      </w:tr>
      <w:tr w:rsidR="006551B2" w14:paraId="08D6CBD4" w14:textId="77777777">
        <w:trPr>
          <w:gridAfter w:val="2"/>
          <w:cantSplit/>
          <w:trHeight w:val="709"/>
          <w:jc w:val="center"/>
        </w:trPr>
        <w:tc>
          <w:tcPr>
            <w:tcW w:w="1758" w:type="dxa"/>
            <w:tcBorders>
              <w:bottom w:val="single" w:sz="4" w:space="0" w:color="000000"/>
            </w:tcBorders>
            <w:vAlign w:val="center"/>
          </w:tcPr>
          <w:p w14:paraId="2FE9CAF4" w14:textId="77777777" w:rsidR="006551B2" w:rsidRDefault="00000000">
            <w:pPr>
              <w:pBdr>
                <w:top w:val="nil"/>
                <w:left w:val="nil"/>
                <w:bottom w:val="nil"/>
                <w:right w:val="nil"/>
                <w:between w:val="nil"/>
              </w:pBdr>
              <w:jc w:val="center"/>
              <w:rPr>
                <w:color w:val="000000"/>
                <w:sz w:val="20"/>
                <w:szCs w:val="20"/>
              </w:rPr>
            </w:pPr>
            <w:r>
              <w:rPr>
                <w:i/>
                <w:color w:val="000000"/>
                <w:sz w:val="20"/>
                <w:szCs w:val="20"/>
              </w:rPr>
              <w:t>Hibiscus sabdariffa</w:t>
            </w:r>
            <w:r>
              <w:rPr>
                <w:color w:val="000000"/>
                <w:sz w:val="20"/>
                <w:szCs w:val="20"/>
              </w:rPr>
              <w:t xml:space="preserve"> (roselle)</w:t>
            </w:r>
          </w:p>
        </w:tc>
        <w:tc>
          <w:tcPr>
            <w:tcW w:w="1915" w:type="dxa"/>
            <w:gridSpan w:val="2"/>
            <w:tcBorders>
              <w:bottom w:val="single" w:sz="4" w:space="0" w:color="000000"/>
            </w:tcBorders>
            <w:vAlign w:val="center"/>
          </w:tcPr>
          <w:p w14:paraId="371BC211" w14:textId="77777777" w:rsidR="006551B2" w:rsidRDefault="00000000">
            <w:pPr>
              <w:jc w:val="center"/>
              <w:rPr>
                <w:sz w:val="20"/>
                <w:szCs w:val="20"/>
              </w:rPr>
            </w:pPr>
            <w:r>
              <w:rPr>
                <w:sz w:val="20"/>
                <w:szCs w:val="20"/>
              </w:rPr>
              <w:t>2,4-Di-tert-butylphenol</w:t>
            </w:r>
          </w:p>
        </w:tc>
        <w:tc>
          <w:tcPr>
            <w:tcW w:w="1706" w:type="dxa"/>
            <w:tcBorders>
              <w:bottom w:val="single" w:sz="4" w:space="0" w:color="000000"/>
            </w:tcBorders>
            <w:vAlign w:val="center"/>
          </w:tcPr>
          <w:p w14:paraId="3EF0CE55" w14:textId="77777777" w:rsidR="006551B2" w:rsidRDefault="00000000">
            <w:pPr>
              <w:jc w:val="center"/>
              <w:rPr>
                <w:sz w:val="20"/>
                <w:szCs w:val="20"/>
              </w:rPr>
            </w:pPr>
            <w:r>
              <w:rPr>
                <w:sz w:val="20"/>
                <w:szCs w:val="20"/>
              </w:rPr>
              <w:t>17.861</w:t>
            </w:r>
          </w:p>
        </w:tc>
        <w:tc>
          <w:tcPr>
            <w:tcW w:w="1667" w:type="dxa"/>
            <w:gridSpan w:val="2"/>
            <w:tcBorders>
              <w:bottom w:val="single" w:sz="4" w:space="0" w:color="000000"/>
            </w:tcBorders>
            <w:vAlign w:val="center"/>
          </w:tcPr>
          <w:p w14:paraId="372869A6" w14:textId="77777777" w:rsidR="006551B2" w:rsidRDefault="00000000">
            <w:pPr>
              <w:jc w:val="center"/>
              <w:rPr>
                <w:sz w:val="20"/>
                <w:szCs w:val="20"/>
              </w:rPr>
            </w:pPr>
            <w:r>
              <w:rPr>
                <w:sz w:val="20"/>
                <w:szCs w:val="20"/>
              </w:rPr>
              <w:t>6.34</w:t>
            </w:r>
          </w:p>
        </w:tc>
        <w:tc>
          <w:tcPr>
            <w:tcW w:w="1649" w:type="dxa"/>
            <w:tcBorders>
              <w:bottom w:val="single" w:sz="4" w:space="0" w:color="000000"/>
            </w:tcBorders>
            <w:vAlign w:val="center"/>
          </w:tcPr>
          <w:p w14:paraId="2469C5D2" w14:textId="77777777" w:rsidR="006551B2" w:rsidRDefault="00000000">
            <w:pPr>
              <w:jc w:val="center"/>
              <w:rPr>
                <w:sz w:val="20"/>
                <w:szCs w:val="20"/>
              </w:rPr>
            </w:pPr>
            <w:r>
              <w:rPr>
                <w:sz w:val="20"/>
                <w:szCs w:val="20"/>
              </w:rPr>
              <w:t>Broad-spectrum phenolic antibacterial.</w:t>
            </w:r>
          </w:p>
        </w:tc>
      </w:tr>
      <w:tr w:rsidR="006551B2" w14:paraId="224F0430" w14:textId="77777777">
        <w:trPr>
          <w:cantSplit/>
          <w:trHeight w:val="487"/>
          <w:jc w:val="center"/>
        </w:trPr>
        <w:tc>
          <w:tcPr>
            <w:tcW w:w="8812" w:type="dxa"/>
            <w:gridSpan w:val="9"/>
            <w:tcBorders>
              <w:bottom w:val="nil"/>
            </w:tcBorders>
          </w:tcPr>
          <w:p w14:paraId="335642E2" w14:textId="77777777" w:rsidR="006551B2" w:rsidRDefault="006551B2">
            <w:pPr>
              <w:pBdr>
                <w:top w:val="nil"/>
                <w:left w:val="nil"/>
                <w:bottom w:val="nil"/>
                <w:right w:val="nil"/>
                <w:between w:val="nil"/>
              </w:pBdr>
              <w:spacing w:before="120"/>
              <w:jc w:val="both"/>
              <w:rPr>
                <w:b/>
                <w:color w:val="000000"/>
                <w:sz w:val="18"/>
                <w:szCs w:val="18"/>
              </w:rPr>
            </w:pPr>
          </w:p>
          <w:p w14:paraId="0F509ACB" w14:textId="77777777" w:rsidR="006551B2" w:rsidRDefault="00000000">
            <w:pPr>
              <w:pBdr>
                <w:top w:val="nil"/>
                <w:left w:val="nil"/>
                <w:bottom w:val="nil"/>
                <w:right w:val="nil"/>
                <w:between w:val="nil"/>
              </w:pBdr>
              <w:spacing w:before="120"/>
              <w:jc w:val="both"/>
              <w:rPr>
                <w:b/>
                <w:color w:val="000000"/>
                <w:sz w:val="18"/>
                <w:szCs w:val="18"/>
              </w:rPr>
            </w:pPr>
            <w:r>
              <w:rPr>
                <w:b/>
                <w:color w:val="000000"/>
                <w:sz w:val="18"/>
                <w:szCs w:val="18"/>
              </w:rPr>
              <w:t xml:space="preserve">TABLE 2. </w:t>
            </w:r>
            <w:r>
              <w:rPr>
                <w:color w:val="000000"/>
                <w:sz w:val="18"/>
                <w:szCs w:val="18"/>
              </w:rPr>
              <w:t>Phytochemical test results for clove and roselle extracts. “+” indicates presence</w:t>
            </w:r>
          </w:p>
        </w:tc>
      </w:tr>
      <w:tr w:rsidR="006551B2" w14:paraId="0D1CEB08" w14:textId="77777777">
        <w:trPr>
          <w:cantSplit/>
          <w:trHeight w:val="427"/>
          <w:jc w:val="center"/>
        </w:trPr>
        <w:tc>
          <w:tcPr>
            <w:tcW w:w="2975" w:type="dxa"/>
            <w:gridSpan w:val="2"/>
            <w:tcBorders>
              <w:top w:val="single" w:sz="4" w:space="0" w:color="000000"/>
              <w:bottom w:val="single" w:sz="4" w:space="0" w:color="000000"/>
            </w:tcBorders>
            <w:vAlign w:val="center"/>
          </w:tcPr>
          <w:p w14:paraId="4C605FE2" w14:textId="77777777" w:rsidR="006551B2" w:rsidRDefault="00000000">
            <w:pPr>
              <w:jc w:val="center"/>
              <w:rPr>
                <w:b/>
                <w:sz w:val="20"/>
                <w:szCs w:val="20"/>
              </w:rPr>
            </w:pPr>
            <w:r>
              <w:rPr>
                <w:b/>
                <w:sz w:val="20"/>
                <w:szCs w:val="20"/>
              </w:rPr>
              <w:t>Phytochemical</w:t>
            </w:r>
          </w:p>
        </w:tc>
        <w:tc>
          <w:tcPr>
            <w:tcW w:w="2790" w:type="dxa"/>
            <w:gridSpan w:val="3"/>
            <w:tcBorders>
              <w:top w:val="single" w:sz="4" w:space="0" w:color="000000"/>
              <w:bottom w:val="single" w:sz="4" w:space="0" w:color="000000"/>
            </w:tcBorders>
            <w:vAlign w:val="center"/>
          </w:tcPr>
          <w:p w14:paraId="284B2EA7" w14:textId="77777777" w:rsidR="006551B2" w:rsidRDefault="00000000">
            <w:pPr>
              <w:jc w:val="center"/>
              <w:rPr>
                <w:b/>
                <w:sz w:val="20"/>
                <w:szCs w:val="20"/>
              </w:rPr>
            </w:pPr>
            <w:r>
              <w:rPr>
                <w:b/>
                <w:sz w:val="20"/>
                <w:szCs w:val="20"/>
              </w:rPr>
              <w:t>Clove (all extracts)</w:t>
            </w:r>
          </w:p>
        </w:tc>
        <w:tc>
          <w:tcPr>
            <w:tcW w:w="3047" w:type="dxa"/>
            <w:gridSpan w:val="4"/>
            <w:tcBorders>
              <w:top w:val="single" w:sz="4" w:space="0" w:color="000000"/>
              <w:bottom w:val="single" w:sz="4" w:space="0" w:color="000000"/>
            </w:tcBorders>
            <w:vAlign w:val="center"/>
          </w:tcPr>
          <w:p w14:paraId="6749966E" w14:textId="77777777" w:rsidR="006551B2" w:rsidRDefault="00000000">
            <w:pPr>
              <w:jc w:val="center"/>
              <w:rPr>
                <w:b/>
                <w:sz w:val="20"/>
                <w:szCs w:val="20"/>
              </w:rPr>
            </w:pPr>
            <w:r>
              <w:rPr>
                <w:b/>
                <w:sz w:val="20"/>
                <w:szCs w:val="20"/>
              </w:rPr>
              <w:t>Roselle (all extracts)</w:t>
            </w:r>
          </w:p>
        </w:tc>
      </w:tr>
      <w:tr w:rsidR="006551B2" w14:paraId="0CF9809A" w14:textId="77777777">
        <w:trPr>
          <w:cantSplit/>
          <w:trHeight w:val="274"/>
          <w:jc w:val="center"/>
        </w:trPr>
        <w:tc>
          <w:tcPr>
            <w:tcW w:w="2975" w:type="dxa"/>
            <w:gridSpan w:val="2"/>
            <w:tcBorders>
              <w:top w:val="nil"/>
            </w:tcBorders>
            <w:vAlign w:val="center"/>
          </w:tcPr>
          <w:p w14:paraId="2971490E" w14:textId="77777777" w:rsidR="006551B2" w:rsidRDefault="00000000">
            <w:pPr>
              <w:pBdr>
                <w:top w:val="nil"/>
                <w:left w:val="nil"/>
                <w:bottom w:val="nil"/>
                <w:right w:val="nil"/>
                <w:between w:val="nil"/>
              </w:pBdr>
              <w:jc w:val="center"/>
              <w:rPr>
                <w:color w:val="000000"/>
                <w:sz w:val="20"/>
                <w:szCs w:val="20"/>
              </w:rPr>
            </w:pPr>
            <w:r>
              <w:rPr>
                <w:color w:val="000000"/>
                <w:sz w:val="20"/>
                <w:szCs w:val="20"/>
              </w:rPr>
              <w:t>Flavonoids</w:t>
            </w:r>
          </w:p>
        </w:tc>
        <w:tc>
          <w:tcPr>
            <w:tcW w:w="2790" w:type="dxa"/>
            <w:gridSpan w:val="3"/>
            <w:tcBorders>
              <w:top w:val="nil"/>
            </w:tcBorders>
            <w:vAlign w:val="center"/>
          </w:tcPr>
          <w:p w14:paraId="7A0C6BEF" w14:textId="77777777" w:rsidR="006551B2" w:rsidRDefault="00000000">
            <w:pPr>
              <w:jc w:val="center"/>
              <w:rPr>
                <w:sz w:val="20"/>
                <w:szCs w:val="20"/>
              </w:rPr>
            </w:pPr>
            <w:r>
              <w:rPr>
                <w:sz w:val="20"/>
                <w:szCs w:val="20"/>
              </w:rPr>
              <w:t>+</w:t>
            </w:r>
          </w:p>
        </w:tc>
        <w:tc>
          <w:tcPr>
            <w:tcW w:w="3047" w:type="dxa"/>
            <w:gridSpan w:val="4"/>
            <w:tcBorders>
              <w:top w:val="nil"/>
            </w:tcBorders>
            <w:vAlign w:val="center"/>
          </w:tcPr>
          <w:p w14:paraId="4995A576" w14:textId="77777777" w:rsidR="006551B2" w:rsidRDefault="00000000">
            <w:pPr>
              <w:jc w:val="center"/>
              <w:rPr>
                <w:sz w:val="20"/>
                <w:szCs w:val="20"/>
              </w:rPr>
            </w:pPr>
            <w:r>
              <w:rPr>
                <w:sz w:val="20"/>
                <w:szCs w:val="20"/>
              </w:rPr>
              <w:t>++++ (very strong)</w:t>
            </w:r>
          </w:p>
        </w:tc>
      </w:tr>
      <w:tr w:rsidR="006551B2" w14:paraId="02E5E46B" w14:textId="77777777">
        <w:trPr>
          <w:cantSplit/>
          <w:trHeight w:val="64"/>
          <w:jc w:val="center"/>
        </w:trPr>
        <w:tc>
          <w:tcPr>
            <w:tcW w:w="2975" w:type="dxa"/>
            <w:gridSpan w:val="2"/>
            <w:vAlign w:val="center"/>
          </w:tcPr>
          <w:p w14:paraId="5AC75A87" w14:textId="77777777" w:rsidR="006551B2" w:rsidRDefault="00000000">
            <w:pPr>
              <w:pBdr>
                <w:top w:val="nil"/>
                <w:left w:val="nil"/>
                <w:bottom w:val="nil"/>
                <w:right w:val="nil"/>
                <w:between w:val="nil"/>
              </w:pBdr>
              <w:jc w:val="center"/>
              <w:rPr>
                <w:color w:val="000000"/>
                <w:sz w:val="20"/>
                <w:szCs w:val="20"/>
              </w:rPr>
            </w:pPr>
            <w:r>
              <w:rPr>
                <w:color w:val="000000"/>
                <w:sz w:val="20"/>
                <w:szCs w:val="20"/>
              </w:rPr>
              <w:t>Alkaloids</w:t>
            </w:r>
          </w:p>
        </w:tc>
        <w:tc>
          <w:tcPr>
            <w:tcW w:w="2790" w:type="dxa"/>
            <w:gridSpan w:val="3"/>
            <w:vAlign w:val="center"/>
          </w:tcPr>
          <w:p w14:paraId="2CE8CAEE" w14:textId="77777777" w:rsidR="006551B2" w:rsidRDefault="00000000">
            <w:pPr>
              <w:jc w:val="center"/>
              <w:rPr>
                <w:sz w:val="20"/>
                <w:szCs w:val="20"/>
              </w:rPr>
            </w:pPr>
            <w:r>
              <w:rPr>
                <w:sz w:val="20"/>
                <w:szCs w:val="20"/>
              </w:rPr>
              <w:t>+</w:t>
            </w:r>
          </w:p>
        </w:tc>
        <w:tc>
          <w:tcPr>
            <w:tcW w:w="3047" w:type="dxa"/>
            <w:gridSpan w:val="4"/>
            <w:vAlign w:val="center"/>
          </w:tcPr>
          <w:p w14:paraId="79BDD6C9" w14:textId="77777777" w:rsidR="006551B2" w:rsidRDefault="00000000">
            <w:pPr>
              <w:jc w:val="center"/>
              <w:rPr>
                <w:sz w:val="20"/>
                <w:szCs w:val="20"/>
              </w:rPr>
            </w:pPr>
            <w:r>
              <w:rPr>
                <w:sz w:val="20"/>
                <w:szCs w:val="20"/>
              </w:rPr>
              <w:t>+++</w:t>
            </w:r>
          </w:p>
        </w:tc>
      </w:tr>
      <w:tr w:rsidR="006551B2" w14:paraId="18AF6529" w14:textId="77777777">
        <w:trPr>
          <w:cantSplit/>
          <w:trHeight w:val="471"/>
          <w:jc w:val="center"/>
        </w:trPr>
        <w:tc>
          <w:tcPr>
            <w:tcW w:w="2975" w:type="dxa"/>
            <w:gridSpan w:val="2"/>
            <w:vAlign w:val="center"/>
          </w:tcPr>
          <w:p w14:paraId="4878990A" w14:textId="77777777" w:rsidR="006551B2" w:rsidRDefault="00000000">
            <w:pPr>
              <w:pBdr>
                <w:top w:val="nil"/>
                <w:left w:val="nil"/>
                <w:bottom w:val="nil"/>
                <w:right w:val="nil"/>
                <w:between w:val="nil"/>
              </w:pBdr>
              <w:jc w:val="center"/>
              <w:rPr>
                <w:color w:val="000000"/>
                <w:sz w:val="20"/>
                <w:szCs w:val="20"/>
              </w:rPr>
            </w:pPr>
            <w:r>
              <w:rPr>
                <w:color w:val="000000"/>
                <w:sz w:val="20"/>
                <w:szCs w:val="20"/>
              </w:rPr>
              <w:t>Tannins</w:t>
            </w:r>
          </w:p>
        </w:tc>
        <w:tc>
          <w:tcPr>
            <w:tcW w:w="2790" w:type="dxa"/>
            <w:gridSpan w:val="3"/>
            <w:vAlign w:val="center"/>
          </w:tcPr>
          <w:p w14:paraId="5593E901" w14:textId="77777777" w:rsidR="006551B2" w:rsidRDefault="00000000">
            <w:pPr>
              <w:jc w:val="center"/>
              <w:rPr>
                <w:sz w:val="20"/>
                <w:szCs w:val="20"/>
              </w:rPr>
            </w:pPr>
            <w:r>
              <w:rPr>
                <w:sz w:val="20"/>
                <w:szCs w:val="20"/>
              </w:rPr>
              <w:t>+</w:t>
            </w:r>
          </w:p>
        </w:tc>
        <w:tc>
          <w:tcPr>
            <w:tcW w:w="3047" w:type="dxa"/>
            <w:gridSpan w:val="4"/>
            <w:vAlign w:val="center"/>
          </w:tcPr>
          <w:p w14:paraId="265EAA13" w14:textId="77777777" w:rsidR="006551B2" w:rsidRDefault="00000000">
            <w:pPr>
              <w:jc w:val="center"/>
              <w:rPr>
                <w:sz w:val="20"/>
                <w:szCs w:val="20"/>
              </w:rPr>
            </w:pPr>
            <w:r>
              <w:rPr>
                <w:sz w:val="20"/>
                <w:szCs w:val="20"/>
              </w:rPr>
              <w:t>++++</w:t>
            </w:r>
          </w:p>
        </w:tc>
      </w:tr>
      <w:tr w:rsidR="006551B2" w14:paraId="439C1310" w14:textId="77777777">
        <w:trPr>
          <w:cantSplit/>
          <w:trHeight w:val="294"/>
          <w:jc w:val="center"/>
        </w:trPr>
        <w:tc>
          <w:tcPr>
            <w:tcW w:w="2975" w:type="dxa"/>
            <w:gridSpan w:val="2"/>
            <w:vAlign w:val="center"/>
          </w:tcPr>
          <w:p w14:paraId="1BC88999" w14:textId="77777777" w:rsidR="006551B2" w:rsidRDefault="00000000">
            <w:pPr>
              <w:pBdr>
                <w:top w:val="nil"/>
                <w:left w:val="nil"/>
                <w:bottom w:val="nil"/>
                <w:right w:val="nil"/>
                <w:between w:val="nil"/>
              </w:pBdr>
              <w:jc w:val="center"/>
              <w:rPr>
                <w:color w:val="000000"/>
                <w:sz w:val="20"/>
                <w:szCs w:val="20"/>
              </w:rPr>
            </w:pPr>
            <w:r>
              <w:rPr>
                <w:color w:val="000000"/>
                <w:sz w:val="20"/>
                <w:szCs w:val="20"/>
              </w:rPr>
              <w:t>Steroids/Terpenes</w:t>
            </w:r>
          </w:p>
        </w:tc>
        <w:tc>
          <w:tcPr>
            <w:tcW w:w="2790" w:type="dxa"/>
            <w:gridSpan w:val="3"/>
            <w:vAlign w:val="center"/>
          </w:tcPr>
          <w:p w14:paraId="775372CB" w14:textId="77777777" w:rsidR="006551B2" w:rsidRDefault="00000000">
            <w:pPr>
              <w:jc w:val="center"/>
              <w:rPr>
                <w:sz w:val="20"/>
                <w:szCs w:val="20"/>
              </w:rPr>
            </w:pPr>
            <w:r>
              <w:rPr>
                <w:sz w:val="20"/>
                <w:szCs w:val="20"/>
              </w:rPr>
              <w:t>– (absent)</w:t>
            </w:r>
          </w:p>
        </w:tc>
        <w:tc>
          <w:tcPr>
            <w:tcW w:w="3047" w:type="dxa"/>
            <w:gridSpan w:val="4"/>
            <w:vAlign w:val="center"/>
          </w:tcPr>
          <w:p w14:paraId="5767C922" w14:textId="77777777" w:rsidR="006551B2" w:rsidRDefault="00000000">
            <w:pPr>
              <w:jc w:val="center"/>
              <w:rPr>
                <w:sz w:val="20"/>
                <w:szCs w:val="20"/>
              </w:rPr>
            </w:pPr>
            <w:r>
              <w:rPr>
                <w:sz w:val="20"/>
                <w:szCs w:val="20"/>
              </w:rPr>
              <w:t>– (absent)</w:t>
            </w:r>
          </w:p>
        </w:tc>
      </w:tr>
      <w:tr w:rsidR="006551B2" w14:paraId="4B76C9F8" w14:textId="77777777">
        <w:trPr>
          <w:cantSplit/>
          <w:trHeight w:val="426"/>
          <w:jc w:val="center"/>
        </w:trPr>
        <w:tc>
          <w:tcPr>
            <w:tcW w:w="2975" w:type="dxa"/>
            <w:gridSpan w:val="2"/>
            <w:vAlign w:val="center"/>
          </w:tcPr>
          <w:p w14:paraId="5594345D" w14:textId="77777777" w:rsidR="006551B2" w:rsidRDefault="00000000">
            <w:pPr>
              <w:pBdr>
                <w:top w:val="nil"/>
                <w:left w:val="nil"/>
                <w:bottom w:val="nil"/>
                <w:right w:val="nil"/>
                <w:between w:val="nil"/>
              </w:pBdr>
              <w:jc w:val="center"/>
              <w:rPr>
                <w:color w:val="000000"/>
                <w:sz w:val="20"/>
                <w:szCs w:val="20"/>
              </w:rPr>
            </w:pPr>
            <w:r>
              <w:rPr>
                <w:color w:val="000000"/>
                <w:sz w:val="20"/>
                <w:szCs w:val="20"/>
              </w:rPr>
              <w:t>Saponins</w:t>
            </w:r>
          </w:p>
        </w:tc>
        <w:tc>
          <w:tcPr>
            <w:tcW w:w="2790" w:type="dxa"/>
            <w:gridSpan w:val="3"/>
            <w:vAlign w:val="center"/>
          </w:tcPr>
          <w:p w14:paraId="31A9AEAD" w14:textId="77777777" w:rsidR="006551B2" w:rsidRDefault="00000000">
            <w:pPr>
              <w:jc w:val="center"/>
              <w:rPr>
                <w:sz w:val="20"/>
                <w:szCs w:val="20"/>
              </w:rPr>
            </w:pPr>
            <w:r>
              <w:rPr>
                <w:sz w:val="20"/>
                <w:szCs w:val="20"/>
              </w:rPr>
              <w:t>+ (some extracts)</w:t>
            </w:r>
          </w:p>
        </w:tc>
        <w:tc>
          <w:tcPr>
            <w:tcW w:w="3047" w:type="dxa"/>
            <w:gridSpan w:val="4"/>
            <w:vAlign w:val="center"/>
          </w:tcPr>
          <w:p w14:paraId="559EE2FC" w14:textId="77777777" w:rsidR="006551B2" w:rsidRDefault="00000000">
            <w:pPr>
              <w:jc w:val="center"/>
              <w:rPr>
                <w:sz w:val="20"/>
                <w:szCs w:val="20"/>
              </w:rPr>
            </w:pPr>
            <w:r>
              <w:rPr>
                <w:sz w:val="20"/>
                <w:szCs w:val="20"/>
              </w:rPr>
              <w:t>++ (present)</w:t>
            </w:r>
          </w:p>
        </w:tc>
      </w:tr>
      <w:tr w:rsidR="006551B2" w14:paraId="51B97F08" w14:textId="77777777">
        <w:trPr>
          <w:cantSplit/>
          <w:trHeight w:val="237"/>
          <w:jc w:val="center"/>
        </w:trPr>
        <w:tc>
          <w:tcPr>
            <w:tcW w:w="2975" w:type="dxa"/>
            <w:gridSpan w:val="2"/>
            <w:vAlign w:val="center"/>
          </w:tcPr>
          <w:p w14:paraId="272F0291" w14:textId="77777777" w:rsidR="006551B2" w:rsidRDefault="00000000">
            <w:pPr>
              <w:pBdr>
                <w:top w:val="nil"/>
                <w:left w:val="nil"/>
                <w:bottom w:val="nil"/>
                <w:right w:val="nil"/>
                <w:between w:val="nil"/>
              </w:pBdr>
              <w:jc w:val="center"/>
              <w:rPr>
                <w:i/>
                <w:color w:val="000000"/>
                <w:sz w:val="20"/>
                <w:szCs w:val="20"/>
              </w:rPr>
            </w:pPr>
            <w:r>
              <w:rPr>
                <w:color w:val="000000"/>
                <w:sz w:val="20"/>
                <w:szCs w:val="20"/>
              </w:rPr>
              <w:t>Glycosides</w:t>
            </w:r>
          </w:p>
        </w:tc>
        <w:tc>
          <w:tcPr>
            <w:tcW w:w="2790" w:type="dxa"/>
            <w:gridSpan w:val="3"/>
            <w:vAlign w:val="center"/>
          </w:tcPr>
          <w:p w14:paraId="5182357D" w14:textId="77777777" w:rsidR="006551B2" w:rsidRDefault="00000000">
            <w:pPr>
              <w:jc w:val="center"/>
              <w:rPr>
                <w:sz w:val="20"/>
                <w:szCs w:val="20"/>
              </w:rPr>
            </w:pPr>
            <w:r>
              <w:rPr>
                <w:sz w:val="20"/>
                <w:szCs w:val="20"/>
              </w:rPr>
              <w:t>+ (some extracts)</w:t>
            </w:r>
          </w:p>
        </w:tc>
        <w:tc>
          <w:tcPr>
            <w:tcW w:w="3047" w:type="dxa"/>
            <w:gridSpan w:val="4"/>
            <w:vAlign w:val="center"/>
          </w:tcPr>
          <w:p w14:paraId="0B4ADAD3" w14:textId="77777777" w:rsidR="006551B2" w:rsidRDefault="00000000">
            <w:pPr>
              <w:jc w:val="center"/>
              <w:rPr>
                <w:sz w:val="20"/>
                <w:szCs w:val="20"/>
              </w:rPr>
            </w:pPr>
            <w:r>
              <w:rPr>
                <w:sz w:val="20"/>
                <w:szCs w:val="20"/>
              </w:rPr>
              <w:t>+ (ethyl acetate only)</w:t>
            </w:r>
          </w:p>
        </w:tc>
      </w:tr>
    </w:tbl>
    <w:p w14:paraId="544B4074" w14:textId="77777777" w:rsidR="006551B2" w:rsidRDefault="006551B2">
      <w:pPr>
        <w:pBdr>
          <w:top w:val="nil"/>
          <w:left w:val="nil"/>
          <w:bottom w:val="nil"/>
          <w:right w:val="nil"/>
          <w:between w:val="nil"/>
        </w:pBdr>
        <w:ind w:firstLine="284"/>
        <w:jc w:val="both"/>
        <w:rPr>
          <w:color w:val="000000"/>
          <w:sz w:val="20"/>
          <w:szCs w:val="20"/>
        </w:rPr>
      </w:pPr>
    </w:p>
    <w:p w14:paraId="65F48738" w14:textId="77777777" w:rsidR="006551B2" w:rsidRDefault="00000000">
      <w:pPr>
        <w:pStyle w:val="Heading2"/>
        <w:jc w:val="both"/>
        <w:rPr>
          <w:b w:val="0"/>
          <w:sz w:val="20"/>
          <w:szCs w:val="20"/>
        </w:rPr>
      </w:pPr>
      <w:r>
        <w:rPr>
          <w:b w:val="0"/>
          <w:sz w:val="20"/>
          <w:szCs w:val="20"/>
        </w:rPr>
        <w:t>The phenolic-rich profiles (especially eugenol in clove) correlate with the strong anti-MRSA activity observed, in line with prior reports of these plants’ antimicrobial efficacy.</w:t>
      </w:r>
    </w:p>
    <w:p w14:paraId="70F44A74" w14:textId="77777777" w:rsidR="006551B2" w:rsidRDefault="00000000">
      <w:pPr>
        <w:pBdr>
          <w:top w:val="nil"/>
          <w:left w:val="nil"/>
          <w:bottom w:val="nil"/>
          <w:right w:val="nil"/>
          <w:between w:val="nil"/>
        </w:pBdr>
        <w:spacing w:after="240"/>
        <w:ind w:firstLine="284"/>
        <w:jc w:val="center"/>
        <w:rPr>
          <w:i/>
          <w:color w:val="000000"/>
          <w:sz w:val="20"/>
          <w:szCs w:val="20"/>
        </w:rPr>
      </w:pPr>
      <w:r>
        <w:rPr>
          <w:i/>
          <w:color w:val="000000"/>
          <w:sz w:val="20"/>
          <w:szCs w:val="20"/>
        </w:rPr>
        <w:t>Novelty and contribution to the antimicrobial field</w:t>
      </w:r>
    </w:p>
    <w:p w14:paraId="66D93F8C"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This study provides novel, practical evidence that ethyl-acetate and ethanol extracts of </w:t>
      </w:r>
      <w:r>
        <w:rPr>
          <w:i/>
          <w:color w:val="000000"/>
          <w:sz w:val="20"/>
          <w:szCs w:val="20"/>
        </w:rPr>
        <w:t>S. aromaticum</w:t>
      </w:r>
      <w:r>
        <w:rPr>
          <w:color w:val="000000"/>
          <w:sz w:val="20"/>
          <w:szCs w:val="20"/>
        </w:rPr>
        <w:t xml:space="preserve"> (clove) and </w:t>
      </w:r>
      <w:r>
        <w:rPr>
          <w:i/>
          <w:color w:val="000000"/>
          <w:sz w:val="20"/>
          <w:szCs w:val="20"/>
        </w:rPr>
        <w:t>H. sabdariffa</w:t>
      </w:r>
      <w:r>
        <w:rPr>
          <w:color w:val="000000"/>
          <w:sz w:val="20"/>
          <w:szCs w:val="20"/>
        </w:rPr>
        <w:t xml:space="preserve"> (roselle) contain high-abundance, well-characterized </w:t>
      </w:r>
      <w:proofErr w:type="spellStart"/>
      <w:r>
        <w:rPr>
          <w:color w:val="000000"/>
          <w:sz w:val="20"/>
          <w:szCs w:val="20"/>
        </w:rPr>
        <w:t>bioactives</w:t>
      </w:r>
      <w:proofErr w:type="spellEnd"/>
      <w:r>
        <w:rPr>
          <w:color w:val="000000"/>
          <w:sz w:val="20"/>
          <w:szCs w:val="20"/>
        </w:rPr>
        <w:t xml:space="preserve"> (eugenol, trans-isoeugenol, phytol acetate and phenolics) and that these crude plant fractions exert substantial activity against </w:t>
      </w:r>
      <w:r>
        <w:rPr>
          <w:i/>
          <w:color w:val="000000"/>
          <w:sz w:val="20"/>
          <w:szCs w:val="20"/>
        </w:rPr>
        <w:t>S. aureus</w:t>
      </w:r>
      <w:r>
        <w:rPr>
          <w:color w:val="000000"/>
          <w:sz w:val="20"/>
          <w:szCs w:val="20"/>
        </w:rPr>
        <w:t xml:space="preserve"> (including strains with clinical relevance) and </w:t>
      </w:r>
      <w:r>
        <w:rPr>
          <w:i/>
          <w:color w:val="000000"/>
          <w:sz w:val="20"/>
          <w:szCs w:val="20"/>
        </w:rPr>
        <w:t xml:space="preserve">E. coli </w:t>
      </w:r>
      <w:r>
        <w:rPr>
          <w:color w:val="000000"/>
          <w:sz w:val="20"/>
          <w:szCs w:val="20"/>
        </w:rPr>
        <w:t>[19]. Unlike many prior reports that examine single pure compounds or essential oils, the present work directly couples phytochemical profiling (GC–MS) with quantitative susceptibility testing on crude extracts, demonstrating translationally useful inhibition zone sizes and MICs that support continued development of complex plant fractions as anti-MRSA agents (see Results) [20].</w:t>
      </w:r>
    </w:p>
    <w:p w14:paraId="3767BDFE" w14:textId="77777777" w:rsidR="006551B2" w:rsidRDefault="006551B2">
      <w:pPr>
        <w:pBdr>
          <w:top w:val="nil"/>
          <w:left w:val="nil"/>
          <w:bottom w:val="nil"/>
          <w:right w:val="nil"/>
          <w:between w:val="nil"/>
        </w:pBdr>
        <w:jc w:val="both"/>
        <w:rPr>
          <w:color w:val="000000"/>
          <w:sz w:val="20"/>
          <w:szCs w:val="20"/>
        </w:rPr>
      </w:pPr>
    </w:p>
    <w:p w14:paraId="21F094D7" w14:textId="77777777" w:rsidR="006551B2" w:rsidRDefault="00000000">
      <w:pPr>
        <w:pBdr>
          <w:top w:val="nil"/>
          <w:left w:val="nil"/>
          <w:bottom w:val="nil"/>
          <w:right w:val="nil"/>
          <w:between w:val="nil"/>
        </w:pBdr>
        <w:spacing w:after="240"/>
        <w:ind w:firstLine="284"/>
        <w:jc w:val="center"/>
        <w:rPr>
          <w:i/>
          <w:color w:val="000000"/>
          <w:sz w:val="20"/>
          <w:szCs w:val="20"/>
        </w:rPr>
      </w:pPr>
      <w:r>
        <w:rPr>
          <w:i/>
          <w:color w:val="000000"/>
          <w:sz w:val="20"/>
          <w:szCs w:val="20"/>
        </w:rPr>
        <w:t>Potential clinical and non-clinical applications</w:t>
      </w:r>
    </w:p>
    <w:p w14:paraId="258AAE3C" w14:textId="77777777" w:rsidR="006551B2" w:rsidRDefault="00000000">
      <w:pPr>
        <w:pBdr>
          <w:top w:val="nil"/>
          <w:left w:val="nil"/>
          <w:bottom w:val="nil"/>
          <w:right w:val="nil"/>
          <w:between w:val="nil"/>
        </w:pBdr>
        <w:ind w:firstLine="284"/>
        <w:jc w:val="both"/>
        <w:rPr>
          <w:color w:val="000000"/>
          <w:sz w:val="20"/>
          <w:szCs w:val="20"/>
        </w:rPr>
      </w:pPr>
      <w:r>
        <w:rPr>
          <w:b/>
          <w:color w:val="000000"/>
          <w:sz w:val="20"/>
          <w:szCs w:val="20"/>
        </w:rPr>
        <w:t>Topical therapeutics</w:t>
      </w:r>
      <w:r>
        <w:rPr>
          <w:color w:val="000000"/>
          <w:sz w:val="20"/>
          <w:szCs w:val="20"/>
        </w:rPr>
        <w:t xml:space="preserve">: Formulation as creams, gels or wound-dressings for skin and soft-tissue infections (including MRSA colonization) — where systemic toxicity is minimized and high local concentrations are feasible. The bacteriostatic/bactericidal activity observed in vitro supports this route. </w:t>
      </w:r>
    </w:p>
    <w:p w14:paraId="544AFB21" w14:textId="77777777" w:rsidR="006551B2" w:rsidRDefault="00000000">
      <w:pPr>
        <w:pBdr>
          <w:top w:val="nil"/>
          <w:left w:val="nil"/>
          <w:bottom w:val="nil"/>
          <w:right w:val="nil"/>
          <w:between w:val="nil"/>
        </w:pBdr>
        <w:ind w:firstLine="284"/>
        <w:jc w:val="both"/>
        <w:rPr>
          <w:color w:val="000000"/>
          <w:sz w:val="20"/>
          <w:szCs w:val="20"/>
        </w:rPr>
      </w:pPr>
      <w:r>
        <w:rPr>
          <w:b/>
          <w:color w:val="000000"/>
          <w:sz w:val="20"/>
          <w:szCs w:val="20"/>
        </w:rPr>
        <w:t>Medical device coatings</w:t>
      </w:r>
      <w:r>
        <w:rPr>
          <w:color w:val="000000"/>
          <w:sz w:val="20"/>
          <w:szCs w:val="20"/>
        </w:rPr>
        <w:t xml:space="preserve">: Incorporation of extracts into hydrogels, chitosan coatings or polymer matrices to prevent MRSA biofilm formation on catheters, prostheses and wound dressings. Natural phenolics can provide long-acting surface activity and reduce device-associated infections. </w:t>
      </w:r>
    </w:p>
    <w:p w14:paraId="5B90F7D4" w14:textId="77777777" w:rsidR="006551B2" w:rsidRDefault="00000000">
      <w:pPr>
        <w:pBdr>
          <w:top w:val="nil"/>
          <w:left w:val="nil"/>
          <w:bottom w:val="nil"/>
          <w:right w:val="nil"/>
          <w:between w:val="nil"/>
        </w:pBdr>
        <w:ind w:firstLine="284"/>
        <w:jc w:val="both"/>
        <w:rPr>
          <w:color w:val="000000"/>
          <w:sz w:val="20"/>
          <w:szCs w:val="20"/>
        </w:rPr>
      </w:pPr>
      <w:r>
        <w:rPr>
          <w:b/>
          <w:color w:val="000000"/>
          <w:sz w:val="20"/>
          <w:szCs w:val="20"/>
        </w:rPr>
        <w:t>Antibiotic adjuvants</w:t>
      </w:r>
      <w:r>
        <w:rPr>
          <w:color w:val="000000"/>
          <w:sz w:val="20"/>
          <w:szCs w:val="20"/>
        </w:rPr>
        <w:t>: Use as combination therapy (co-administered with β-lactams, glycopeptides or aminoglycosides) to lower effective antibiotic doses and overcome reduced susceptibility; the multi-target nature of extracts can help bypass single-mechanism resistance.</w:t>
      </w:r>
    </w:p>
    <w:p w14:paraId="63806DDC" w14:textId="77777777" w:rsidR="006551B2" w:rsidRDefault="00000000">
      <w:pPr>
        <w:pStyle w:val="Heading2"/>
      </w:pPr>
      <w:r>
        <w:t>CONCLUSION</w:t>
      </w:r>
    </w:p>
    <w:p w14:paraId="510375B3"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t>The comparative phytochemical and antibacterial evaluation of ethanol and ethyl acetate extracts from </w:t>
      </w:r>
      <w:proofErr w:type="spellStart"/>
      <w:r>
        <w:rPr>
          <w:i/>
          <w:color w:val="000000"/>
          <w:sz w:val="20"/>
          <w:szCs w:val="20"/>
        </w:rPr>
        <w:t>Syzygium</w:t>
      </w:r>
      <w:proofErr w:type="spellEnd"/>
      <w:r>
        <w:rPr>
          <w:i/>
          <w:color w:val="000000"/>
          <w:sz w:val="20"/>
          <w:szCs w:val="20"/>
        </w:rPr>
        <w:t xml:space="preserve"> aromaticum</w:t>
      </w:r>
      <w:r>
        <w:rPr>
          <w:color w:val="000000"/>
          <w:sz w:val="20"/>
          <w:szCs w:val="20"/>
        </w:rPr>
        <w:t xml:space="preserve"> and </w:t>
      </w:r>
      <w:r>
        <w:rPr>
          <w:i/>
          <w:color w:val="000000"/>
          <w:sz w:val="20"/>
          <w:szCs w:val="20"/>
        </w:rPr>
        <w:t>Hibiscus sabdariffa</w:t>
      </w:r>
      <w:r>
        <w:rPr>
          <w:color w:val="000000"/>
          <w:sz w:val="20"/>
          <w:szCs w:val="20"/>
        </w:rPr>
        <w:t xml:space="preserve"> reveals a clear hierarchy in antimicrobial potency, with clove extract demonstrating the most pronounced activity against </w:t>
      </w:r>
      <w:r>
        <w:rPr>
          <w:i/>
          <w:color w:val="000000"/>
          <w:sz w:val="20"/>
          <w:szCs w:val="20"/>
        </w:rPr>
        <w:t>Staphylococcus aureus</w:t>
      </w:r>
      <w:r>
        <w:rPr>
          <w:color w:val="000000"/>
          <w:sz w:val="20"/>
          <w:szCs w:val="20"/>
        </w:rPr>
        <w:t> and </w:t>
      </w:r>
      <w:r>
        <w:rPr>
          <w:i/>
          <w:color w:val="000000"/>
          <w:sz w:val="20"/>
          <w:szCs w:val="20"/>
        </w:rPr>
        <w:t>Escherichia coli</w:t>
      </w:r>
      <w:r>
        <w:rPr>
          <w:color w:val="000000"/>
          <w:sz w:val="20"/>
          <w:szCs w:val="20"/>
        </w:rPr>
        <w:t>. This efficacy is strongly correlated with its high phenolic content, particularly eugenol and trans-isoeugenol, as confirmed by GC–MS profiling. The substantial inhibition zones and moderate MIC values (~41.7 mg/mL for </w:t>
      </w:r>
      <w:r>
        <w:rPr>
          <w:i/>
          <w:color w:val="000000"/>
          <w:sz w:val="20"/>
          <w:szCs w:val="20"/>
        </w:rPr>
        <w:t>E. coli</w:t>
      </w:r>
      <w:r>
        <w:rPr>
          <w:color w:val="000000"/>
          <w:sz w:val="20"/>
          <w:szCs w:val="20"/>
        </w:rPr>
        <w:t> and ~85.7 mg/mL for </w:t>
      </w:r>
      <w:r>
        <w:rPr>
          <w:i/>
          <w:color w:val="000000"/>
          <w:sz w:val="20"/>
          <w:szCs w:val="20"/>
        </w:rPr>
        <w:t>S. aureus</w:t>
      </w:r>
      <w:r>
        <w:rPr>
          <w:color w:val="000000"/>
          <w:sz w:val="20"/>
          <w:szCs w:val="20"/>
        </w:rPr>
        <w:t>) underscore its bacteriostatic potential at relatively low concentrations.</w:t>
      </w:r>
    </w:p>
    <w:p w14:paraId="0CC739A2" w14:textId="77777777" w:rsidR="006551B2" w:rsidRDefault="00000000">
      <w:pPr>
        <w:pBdr>
          <w:top w:val="nil"/>
          <w:left w:val="nil"/>
          <w:bottom w:val="nil"/>
          <w:right w:val="nil"/>
          <w:between w:val="nil"/>
        </w:pBdr>
        <w:ind w:firstLine="284"/>
        <w:jc w:val="both"/>
        <w:rPr>
          <w:color w:val="000000"/>
          <w:sz w:val="20"/>
          <w:szCs w:val="20"/>
        </w:rPr>
      </w:pPr>
      <w:r>
        <w:rPr>
          <w:color w:val="000000"/>
          <w:sz w:val="20"/>
          <w:szCs w:val="20"/>
        </w:rPr>
        <w:lastRenderedPageBreak/>
        <w:t xml:space="preserve">Roselle extract, while slightly less potent, exhibited significant antibacterial activity attributable to its rich composition of flavonoids, tannins, and diterpenoid esters, notably phytol acetate. The MIC values (~33.3 mg/mL) and GC–MS data support its role as a viable natural antimicrobial, particularly against Gram-negative strains. Overall, the study highlights the superior anti-MRSA potential of clove extract, followed by roselle, showing limited efficacy. These findings reinforce the relevance of flavonoids and phenolic compounds—especially eugenol and phytol derivatives—as key contributors to plant-based antibacterial activity. The integration of phytochemical screening with GC–MS profiling provides a robust framework for identifying bioactive constituents and guiding the development of </w:t>
      </w:r>
      <w:proofErr w:type="spellStart"/>
      <w:r>
        <w:rPr>
          <w:color w:val="000000"/>
          <w:sz w:val="20"/>
          <w:szCs w:val="20"/>
        </w:rPr>
        <w:t>phytotherapeutic</w:t>
      </w:r>
      <w:proofErr w:type="spellEnd"/>
      <w:r>
        <w:rPr>
          <w:color w:val="000000"/>
          <w:sz w:val="20"/>
          <w:szCs w:val="20"/>
        </w:rPr>
        <w:t xml:space="preserve"> agents targeting resistant bacterial strains.</w:t>
      </w:r>
    </w:p>
    <w:p w14:paraId="51FABB04" w14:textId="77777777" w:rsidR="006551B2" w:rsidRDefault="006551B2">
      <w:pPr>
        <w:pBdr>
          <w:top w:val="nil"/>
          <w:left w:val="nil"/>
          <w:bottom w:val="nil"/>
          <w:right w:val="nil"/>
          <w:between w:val="nil"/>
        </w:pBdr>
        <w:ind w:firstLine="284"/>
        <w:jc w:val="both"/>
        <w:rPr>
          <w:color w:val="000000"/>
          <w:sz w:val="20"/>
          <w:szCs w:val="20"/>
        </w:rPr>
      </w:pPr>
    </w:p>
    <w:p w14:paraId="1AE56704" w14:textId="77777777" w:rsidR="006551B2" w:rsidRDefault="00000000">
      <w:pPr>
        <w:pStyle w:val="Heading1"/>
      </w:pPr>
      <w:r>
        <w:t>Acknowledgments</w:t>
      </w:r>
    </w:p>
    <w:p w14:paraId="6DADC0C5" w14:textId="77777777" w:rsidR="006551B2" w:rsidRDefault="00000000">
      <w:pPr>
        <w:pStyle w:val="Heading1"/>
        <w:ind w:firstLine="284"/>
        <w:jc w:val="both"/>
        <w:rPr>
          <w:b w:val="0"/>
          <w:smallCaps w:val="0"/>
          <w:sz w:val="20"/>
          <w:szCs w:val="20"/>
        </w:rPr>
      </w:pPr>
      <w:r>
        <w:rPr>
          <w:b w:val="0"/>
          <w:smallCaps w:val="0"/>
          <w:sz w:val="20"/>
          <w:szCs w:val="20"/>
        </w:rPr>
        <w:t xml:space="preserve">The authors would like to express their gratitude to the Department of Chemistry, </w:t>
      </w:r>
      <w:proofErr w:type="spellStart"/>
      <w:r>
        <w:rPr>
          <w:b w:val="0"/>
          <w:smallCaps w:val="0"/>
          <w:sz w:val="20"/>
          <w:szCs w:val="20"/>
        </w:rPr>
        <w:t>Institut</w:t>
      </w:r>
      <w:proofErr w:type="spellEnd"/>
      <w:r>
        <w:rPr>
          <w:b w:val="0"/>
          <w:smallCaps w:val="0"/>
          <w:sz w:val="20"/>
          <w:szCs w:val="20"/>
        </w:rPr>
        <w:t xml:space="preserve"> </w:t>
      </w:r>
      <w:proofErr w:type="spellStart"/>
      <w:r>
        <w:rPr>
          <w:b w:val="0"/>
          <w:smallCaps w:val="0"/>
          <w:sz w:val="20"/>
          <w:szCs w:val="20"/>
        </w:rPr>
        <w:t>Teknologi</w:t>
      </w:r>
      <w:proofErr w:type="spellEnd"/>
      <w:r>
        <w:rPr>
          <w:b w:val="0"/>
          <w:smallCaps w:val="0"/>
          <w:sz w:val="20"/>
          <w:szCs w:val="20"/>
        </w:rPr>
        <w:t xml:space="preserve"> </w:t>
      </w:r>
      <w:proofErr w:type="spellStart"/>
      <w:r>
        <w:rPr>
          <w:b w:val="0"/>
          <w:smallCaps w:val="0"/>
          <w:sz w:val="20"/>
          <w:szCs w:val="20"/>
        </w:rPr>
        <w:t>Sepuluh</w:t>
      </w:r>
      <w:proofErr w:type="spellEnd"/>
      <w:r>
        <w:rPr>
          <w:b w:val="0"/>
          <w:smallCaps w:val="0"/>
          <w:sz w:val="20"/>
          <w:szCs w:val="20"/>
        </w:rPr>
        <w:t xml:space="preserve"> </w:t>
      </w:r>
      <w:proofErr w:type="spellStart"/>
      <w:r>
        <w:rPr>
          <w:b w:val="0"/>
          <w:smallCaps w:val="0"/>
          <w:sz w:val="20"/>
          <w:szCs w:val="20"/>
        </w:rPr>
        <w:t>Nopember</w:t>
      </w:r>
      <w:proofErr w:type="spellEnd"/>
      <w:r>
        <w:rPr>
          <w:b w:val="0"/>
          <w:smallCaps w:val="0"/>
          <w:sz w:val="20"/>
          <w:szCs w:val="20"/>
        </w:rPr>
        <w:t xml:space="preserve">, especially in Microbial Chemistry Laboratory for providing the facilities for conducting this research, also to </w:t>
      </w:r>
      <w:proofErr w:type="spellStart"/>
      <w:r>
        <w:rPr>
          <w:b w:val="0"/>
          <w:smallCaps w:val="0"/>
          <w:sz w:val="20"/>
          <w:szCs w:val="20"/>
        </w:rPr>
        <w:t>CoE</w:t>
      </w:r>
      <w:proofErr w:type="spellEnd"/>
      <w:r>
        <w:rPr>
          <w:b w:val="0"/>
          <w:smallCaps w:val="0"/>
          <w:sz w:val="20"/>
          <w:szCs w:val="20"/>
        </w:rPr>
        <w:t xml:space="preserve"> Research Centre for Bio-Molecule Engineering Universitas Airlangga for conducting GC-MS and data analysis. In addition, the authors gratefully acknowledge financial support from the </w:t>
      </w:r>
      <w:proofErr w:type="spellStart"/>
      <w:r>
        <w:rPr>
          <w:b w:val="0"/>
          <w:smallCaps w:val="0"/>
          <w:sz w:val="20"/>
          <w:szCs w:val="20"/>
        </w:rPr>
        <w:t>Institut</w:t>
      </w:r>
      <w:proofErr w:type="spellEnd"/>
      <w:r>
        <w:rPr>
          <w:b w:val="0"/>
          <w:smallCaps w:val="0"/>
          <w:sz w:val="20"/>
          <w:szCs w:val="20"/>
        </w:rPr>
        <w:t xml:space="preserve"> </w:t>
      </w:r>
      <w:proofErr w:type="spellStart"/>
      <w:r>
        <w:rPr>
          <w:b w:val="0"/>
          <w:smallCaps w:val="0"/>
          <w:sz w:val="20"/>
          <w:szCs w:val="20"/>
        </w:rPr>
        <w:t>Teknologi</w:t>
      </w:r>
      <w:proofErr w:type="spellEnd"/>
      <w:r>
        <w:rPr>
          <w:b w:val="0"/>
          <w:smallCaps w:val="0"/>
          <w:sz w:val="20"/>
          <w:szCs w:val="20"/>
        </w:rPr>
        <w:t xml:space="preserve"> </w:t>
      </w:r>
      <w:proofErr w:type="spellStart"/>
      <w:r>
        <w:rPr>
          <w:b w:val="0"/>
          <w:smallCaps w:val="0"/>
          <w:sz w:val="20"/>
          <w:szCs w:val="20"/>
        </w:rPr>
        <w:t>Sepuluh</w:t>
      </w:r>
      <w:proofErr w:type="spellEnd"/>
      <w:r>
        <w:rPr>
          <w:b w:val="0"/>
          <w:smallCaps w:val="0"/>
          <w:sz w:val="20"/>
          <w:szCs w:val="20"/>
        </w:rPr>
        <w:t xml:space="preserve"> </w:t>
      </w:r>
      <w:proofErr w:type="spellStart"/>
      <w:r>
        <w:rPr>
          <w:b w:val="0"/>
          <w:smallCaps w:val="0"/>
          <w:sz w:val="20"/>
          <w:szCs w:val="20"/>
        </w:rPr>
        <w:t>Nopember</w:t>
      </w:r>
      <w:proofErr w:type="spellEnd"/>
      <w:r>
        <w:rPr>
          <w:b w:val="0"/>
          <w:smallCaps w:val="0"/>
          <w:sz w:val="20"/>
          <w:szCs w:val="20"/>
        </w:rPr>
        <w:t xml:space="preserve"> and Indonesia Mirah grant award from IDI Research Division and Unilever for this work.</w:t>
      </w:r>
    </w:p>
    <w:p w14:paraId="3DC927DF" w14:textId="77777777" w:rsidR="006551B2" w:rsidRDefault="00000000">
      <w:pPr>
        <w:pStyle w:val="Heading1"/>
        <w:rPr>
          <w:b w:val="0"/>
          <w:smallCaps w:val="0"/>
          <w:sz w:val="20"/>
          <w:szCs w:val="20"/>
        </w:rPr>
      </w:pPr>
      <w:r>
        <w:t>References</w:t>
      </w:r>
    </w:p>
    <w:p w14:paraId="690B7BD6" w14:textId="2F37E40E" w:rsidR="006551B2" w:rsidRDefault="00000000" w:rsidP="00D6763C">
      <w:pPr>
        <w:ind w:left="567" w:hanging="567"/>
        <w:jc w:val="both"/>
        <w:rPr>
          <w:sz w:val="20"/>
          <w:szCs w:val="20"/>
        </w:rPr>
      </w:pPr>
      <w:r>
        <w:rPr>
          <w:sz w:val="20"/>
          <w:szCs w:val="20"/>
        </w:rPr>
        <w:t xml:space="preserve">[1] </w:t>
      </w:r>
      <w:r w:rsidR="00D6763C">
        <w:rPr>
          <w:sz w:val="20"/>
          <w:szCs w:val="20"/>
        </w:rPr>
        <w:tab/>
      </w:r>
      <w:r>
        <w:rPr>
          <w:sz w:val="20"/>
          <w:szCs w:val="20"/>
        </w:rPr>
        <w:t xml:space="preserve">S. A. Price and L. M. Wilson, </w:t>
      </w:r>
      <w:proofErr w:type="spellStart"/>
      <w:r>
        <w:rPr>
          <w:i/>
          <w:sz w:val="20"/>
          <w:szCs w:val="20"/>
        </w:rPr>
        <w:t>Patofisiologi</w:t>
      </w:r>
      <w:proofErr w:type="spellEnd"/>
      <w:r>
        <w:rPr>
          <w:i/>
          <w:sz w:val="20"/>
          <w:szCs w:val="20"/>
        </w:rPr>
        <w:t xml:space="preserve">: </w:t>
      </w:r>
      <w:proofErr w:type="spellStart"/>
      <w:r>
        <w:rPr>
          <w:i/>
          <w:sz w:val="20"/>
          <w:szCs w:val="20"/>
        </w:rPr>
        <w:t>Konsep</w:t>
      </w:r>
      <w:proofErr w:type="spellEnd"/>
      <w:r>
        <w:rPr>
          <w:i/>
          <w:sz w:val="20"/>
          <w:szCs w:val="20"/>
        </w:rPr>
        <w:t xml:space="preserve"> Klinis Proses-Proses </w:t>
      </w:r>
      <w:proofErr w:type="spellStart"/>
      <w:r>
        <w:rPr>
          <w:i/>
          <w:sz w:val="20"/>
          <w:szCs w:val="20"/>
        </w:rPr>
        <w:t>Penyakit</w:t>
      </w:r>
      <w:proofErr w:type="spellEnd"/>
      <w:r>
        <w:rPr>
          <w:sz w:val="20"/>
          <w:szCs w:val="20"/>
        </w:rPr>
        <w:t>. Jakarta: EGC, 2005.</w:t>
      </w:r>
    </w:p>
    <w:p w14:paraId="789ABB2C" w14:textId="0E34ADE7" w:rsidR="006551B2" w:rsidRDefault="00000000" w:rsidP="00D6763C">
      <w:pPr>
        <w:ind w:left="567" w:hanging="567"/>
        <w:jc w:val="both"/>
        <w:rPr>
          <w:sz w:val="20"/>
          <w:szCs w:val="20"/>
        </w:rPr>
      </w:pPr>
      <w:r>
        <w:rPr>
          <w:sz w:val="20"/>
          <w:szCs w:val="20"/>
        </w:rPr>
        <w:t xml:space="preserve">[2] </w:t>
      </w:r>
      <w:r w:rsidR="00D6763C">
        <w:rPr>
          <w:sz w:val="20"/>
          <w:szCs w:val="20"/>
        </w:rPr>
        <w:tab/>
      </w:r>
      <w:r>
        <w:rPr>
          <w:sz w:val="20"/>
          <w:szCs w:val="20"/>
        </w:rPr>
        <w:t>U. S</w:t>
      </w:r>
      <w:proofErr w:type="spellStart"/>
      <w:r>
        <w:rPr>
          <w:sz w:val="20"/>
          <w:szCs w:val="20"/>
        </w:rPr>
        <w:t>uriawiria</w:t>
      </w:r>
      <w:proofErr w:type="spellEnd"/>
      <w:r>
        <w:rPr>
          <w:sz w:val="20"/>
          <w:szCs w:val="20"/>
        </w:rPr>
        <w:t xml:space="preserve">, </w:t>
      </w:r>
      <w:proofErr w:type="spellStart"/>
      <w:r>
        <w:rPr>
          <w:i/>
          <w:sz w:val="20"/>
          <w:szCs w:val="20"/>
        </w:rPr>
        <w:t>Pengantar</w:t>
      </w:r>
      <w:proofErr w:type="spellEnd"/>
      <w:r>
        <w:rPr>
          <w:i/>
          <w:sz w:val="20"/>
          <w:szCs w:val="20"/>
        </w:rPr>
        <w:t xml:space="preserve"> </w:t>
      </w:r>
      <w:proofErr w:type="spellStart"/>
      <w:r>
        <w:rPr>
          <w:i/>
          <w:sz w:val="20"/>
          <w:szCs w:val="20"/>
        </w:rPr>
        <w:t>Mikrobiologi</w:t>
      </w:r>
      <w:proofErr w:type="spellEnd"/>
      <w:r>
        <w:rPr>
          <w:i/>
          <w:sz w:val="20"/>
          <w:szCs w:val="20"/>
        </w:rPr>
        <w:t xml:space="preserve"> Umum</w:t>
      </w:r>
      <w:r>
        <w:rPr>
          <w:sz w:val="20"/>
          <w:szCs w:val="20"/>
        </w:rPr>
        <w:t xml:space="preserve">. Bandung: Angkasa, 1986. </w:t>
      </w:r>
    </w:p>
    <w:p w14:paraId="630B7F8B" w14:textId="16002EF8" w:rsidR="006551B2" w:rsidRDefault="00000000" w:rsidP="00D6763C">
      <w:pPr>
        <w:ind w:left="567" w:hanging="567"/>
        <w:jc w:val="both"/>
        <w:rPr>
          <w:sz w:val="20"/>
          <w:szCs w:val="20"/>
        </w:rPr>
      </w:pPr>
      <w:r>
        <w:rPr>
          <w:sz w:val="20"/>
          <w:szCs w:val="20"/>
        </w:rPr>
        <w:t>[3]</w:t>
      </w:r>
      <w:r>
        <w:rPr>
          <w:color w:val="FFFFFF"/>
          <w:sz w:val="20"/>
          <w:szCs w:val="20"/>
        </w:rPr>
        <w:t>.</w:t>
      </w:r>
      <w:r w:rsidR="00D6763C">
        <w:rPr>
          <w:color w:val="FFFFFF"/>
          <w:sz w:val="20"/>
          <w:szCs w:val="20"/>
        </w:rPr>
        <w:tab/>
      </w:r>
      <w:r>
        <w:rPr>
          <w:sz w:val="20"/>
          <w:szCs w:val="20"/>
        </w:rPr>
        <w:t>Kementerian Kesehatan RI, “</w:t>
      </w:r>
      <w:proofErr w:type="spellStart"/>
      <w:r>
        <w:rPr>
          <w:sz w:val="20"/>
          <w:szCs w:val="20"/>
        </w:rPr>
        <w:t>Peraturan</w:t>
      </w:r>
      <w:proofErr w:type="spellEnd"/>
      <w:r>
        <w:rPr>
          <w:sz w:val="20"/>
          <w:szCs w:val="20"/>
        </w:rPr>
        <w:t xml:space="preserve"> Menteri Kesehatan Republik Indonesia </w:t>
      </w:r>
      <w:proofErr w:type="spellStart"/>
      <w:r>
        <w:rPr>
          <w:sz w:val="20"/>
          <w:szCs w:val="20"/>
        </w:rPr>
        <w:t>Nomor</w:t>
      </w:r>
      <w:proofErr w:type="spellEnd"/>
      <w:r>
        <w:rPr>
          <w:sz w:val="20"/>
          <w:szCs w:val="20"/>
        </w:rPr>
        <w:t xml:space="preserve"> 2406/MENKES/PER/XII/2011 </w:t>
      </w:r>
      <w:proofErr w:type="spellStart"/>
      <w:r>
        <w:rPr>
          <w:sz w:val="20"/>
          <w:szCs w:val="20"/>
        </w:rPr>
        <w:t>tentang</w:t>
      </w:r>
      <w:proofErr w:type="spellEnd"/>
      <w:r>
        <w:rPr>
          <w:sz w:val="20"/>
          <w:szCs w:val="20"/>
        </w:rPr>
        <w:t xml:space="preserve"> </w:t>
      </w:r>
      <w:proofErr w:type="spellStart"/>
      <w:r>
        <w:rPr>
          <w:sz w:val="20"/>
          <w:szCs w:val="20"/>
        </w:rPr>
        <w:t>Pedoman</w:t>
      </w:r>
      <w:proofErr w:type="spellEnd"/>
      <w:r>
        <w:rPr>
          <w:sz w:val="20"/>
          <w:szCs w:val="20"/>
        </w:rPr>
        <w:t xml:space="preserve"> Umum </w:t>
      </w:r>
      <w:proofErr w:type="spellStart"/>
      <w:r>
        <w:rPr>
          <w:sz w:val="20"/>
          <w:szCs w:val="20"/>
        </w:rPr>
        <w:t>Penggunaan</w:t>
      </w:r>
      <w:proofErr w:type="spellEnd"/>
      <w:r>
        <w:rPr>
          <w:sz w:val="20"/>
          <w:szCs w:val="20"/>
        </w:rPr>
        <w:t xml:space="preserve"> </w:t>
      </w:r>
      <w:proofErr w:type="spellStart"/>
      <w:r>
        <w:rPr>
          <w:sz w:val="20"/>
          <w:szCs w:val="20"/>
        </w:rPr>
        <w:t>Antibiotik</w:t>
      </w:r>
      <w:proofErr w:type="spellEnd"/>
      <w:r>
        <w:rPr>
          <w:sz w:val="20"/>
          <w:szCs w:val="20"/>
        </w:rPr>
        <w:t xml:space="preserve">,” 2011. </w:t>
      </w:r>
    </w:p>
    <w:p w14:paraId="4B28DB60" w14:textId="20168E7A" w:rsidR="006551B2" w:rsidRDefault="00000000" w:rsidP="00D6763C">
      <w:pPr>
        <w:ind w:left="567" w:hanging="567"/>
        <w:jc w:val="both"/>
        <w:rPr>
          <w:sz w:val="20"/>
          <w:szCs w:val="20"/>
        </w:rPr>
      </w:pPr>
      <w:r>
        <w:rPr>
          <w:sz w:val="20"/>
          <w:szCs w:val="20"/>
        </w:rPr>
        <w:t xml:space="preserve">[4] </w:t>
      </w:r>
      <w:r w:rsidR="00D6763C">
        <w:rPr>
          <w:sz w:val="20"/>
          <w:szCs w:val="20"/>
        </w:rPr>
        <w:tab/>
      </w:r>
      <w:r>
        <w:rPr>
          <w:sz w:val="20"/>
          <w:szCs w:val="20"/>
        </w:rPr>
        <w:t>E. J</w:t>
      </w:r>
      <w:proofErr w:type="spellStart"/>
      <w:r>
        <w:rPr>
          <w:sz w:val="20"/>
          <w:szCs w:val="20"/>
        </w:rPr>
        <w:t>awetz</w:t>
      </w:r>
      <w:proofErr w:type="spellEnd"/>
      <w:r>
        <w:rPr>
          <w:sz w:val="20"/>
          <w:szCs w:val="20"/>
        </w:rPr>
        <w:t xml:space="preserve">, J. L. Melnick, and E. A. Adelberg, </w:t>
      </w:r>
      <w:proofErr w:type="spellStart"/>
      <w:r>
        <w:rPr>
          <w:i/>
          <w:sz w:val="20"/>
          <w:szCs w:val="20"/>
        </w:rPr>
        <w:t>Mikrobiologi</w:t>
      </w:r>
      <w:proofErr w:type="spellEnd"/>
      <w:r>
        <w:rPr>
          <w:i/>
          <w:sz w:val="20"/>
          <w:szCs w:val="20"/>
        </w:rPr>
        <w:t xml:space="preserve"> </w:t>
      </w:r>
      <w:proofErr w:type="spellStart"/>
      <w:r>
        <w:rPr>
          <w:i/>
          <w:sz w:val="20"/>
          <w:szCs w:val="20"/>
        </w:rPr>
        <w:t>Kedokteran</w:t>
      </w:r>
      <w:proofErr w:type="spellEnd"/>
      <w:r>
        <w:rPr>
          <w:sz w:val="20"/>
          <w:szCs w:val="20"/>
        </w:rPr>
        <w:t xml:space="preserve">, 25th ed. Jakarta: EGC, 2013. </w:t>
      </w:r>
    </w:p>
    <w:p w14:paraId="7974D095" w14:textId="1C64A282" w:rsidR="006551B2" w:rsidRDefault="00000000" w:rsidP="00D6763C">
      <w:pPr>
        <w:ind w:left="567" w:hanging="567"/>
        <w:jc w:val="both"/>
        <w:rPr>
          <w:sz w:val="20"/>
          <w:szCs w:val="20"/>
        </w:rPr>
      </w:pPr>
      <w:r>
        <w:rPr>
          <w:sz w:val="20"/>
          <w:szCs w:val="20"/>
        </w:rPr>
        <w:t xml:space="preserve">[5] </w:t>
      </w:r>
      <w:r w:rsidR="00D6763C">
        <w:rPr>
          <w:sz w:val="20"/>
          <w:szCs w:val="20"/>
        </w:rPr>
        <w:tab/>
      </w:r>
      <w:proofErr w:type="spellStart"/>
      <w:r>
        <w:rPr>
          <w:sz w:val="20"/>
          <w:szCs w:val="20"/>
        </w:rPr>
        <w:t>Centers</w:t>
      </w:r>
      <w:proofErr w:type="spellEnd"/>
      <w:r>
        <w:rPr>
          <w:sz w:val="20"/>
          <w:szCs w:val="20"/>
        </w:rPr>
        <w:t xml:space="preserve"> for Disease Control and Prevention (CDC), “Antibiotic resistance threats in the United States, 2013,” US Department of Health and Human Services, Atlanta, GA, 2013. </w:t>
      </w:r>
    </w:p>
    <w:p w14:paraId="1172D4C0" w14:textId="5BBB13F1" w:rsidR="006551B2" w:rsidRDefault="00000000" w:rsidP="00D6763C">
      <w:pPr>
        <w:ind w:left="567" w:hanging="567"/>
        <w:jc w:val="both"/>
        <w:rPr>
          <w:sz w:val="20"/>
          <w:szCs w:val="20"/>
        </w:rPr>
      </w:pPr>
      <w:r>
        <w:rPr>
          <w:sz w:val="20"/>
          <w:szCs w:val="20"/>
        </w:rPr>
        <w:t xml:space="preserve">[6] </w:t>
      </w:r>
      <w:r w:rsidR="00D6763C">
        <w:rPr>
          <w:sz w:val="20"/>
          <w:szCs w:val="20"/>
        </w:rPr>
        <w:tab/>
      </w:r>
      <w:r>
        <w:rPr>
          <w:sz w:val="20"/>
          <w:szCs w:val="20"/>
        </w:rPr>
        <w:t>I. G</w:t>
      </w:r>
      <w:proofErr w:type="spellStart"/>
      <w:r>
        <w:rPr>
          <w:sz w:val="20"/>
          <w:szCs w:val="20"/>
        </w:rPr>
        <w:t>órniak</w:t>
      </w:r>
      <w:proofErr w:type="spellEnd"/>
      <w:r>
        <w:rPr>
          <w:sz w:val="20"/>
          <w:szCs w:val="20"/>
        </w:rPr>
        <w:t xml:space="preserve">, R. Bartoszewski, and J. Króliczewski, “Comprehensive review of antimicrobial activities of plant flavonoids,” </w:t>
      </w:r>
      <w:proofErr w:type="spellStart"/>
      <w:r>
        <w:rPr>
          <w:i/>
          <w:sz w:val="20"/>
          <w:szCs w:val="20"/>
        </w:rPr>
        <w:t>Phytochem</w:t>
      </w:r>
      <w:proofErr w:type="spellEnd"/>
      <w:r>
        <w:rPr>
          <w:i/>
          <w:sz w:val="20"/>
          <w:szCs w:val="20"/>
        </w:rPr>
        <w:t xml:space="preserve"> Rev</w:t>
      </w:r>
      <w:r>
        <w:rPr>
          <w:sz w:val="20"/>
          <w:szCs w:val="20"/>
        </w:rPr>
        <w:t xml:space="preserve">, vol. 18, no. 1, pp. 241–272, Feb. 2019. </w:t>
      </w:r>
    </w:p>
    <w:p w14:paraId="7D587D86" w14:textId="32F8DFAA" w:rsidR="006551B2" w:rsidRDefault="00000000" w:rsidP="00D6763C">
      <w:pPr>
        <w:ind w:left="567" w:hanging="567"/>
        <w:jc w:val="both"/>
        <w:rPr>
          <w:sz w:val="20"/>
          <w:szCs w:val="20"/>
        </w:rPr>
      </w:pPr>
      <w:r>
        <w:rPr>
          <w:sz w:val="20"/>
          <w:szCs w:val="20"/>
        </w:rPr>
        <w:t xml:space="preserve">[7] </w:t>
      </w:r>
      <w:r w:rsidR="00D6763C">
        <w:rPr>
          <w:sz w:val="20"/>
          <w:szCs w:val="20"/>
        </w:rPr>
        <w:tab/>
      </w:r>
      <w:r>
        <w:rPr>
          <w:sz w:val="20"/>
          <w:szCs w:val="20"/>
        </w:rPr>
        <w:t xml:space="preserve">A. Pandey and S. Tripathi, “Concept of standardization, extraction and pre phytochemical screening of herbal drugs,” </w:t>
      </w:r>
      <w:r>
        <w:rPr>
          <w:i/>
          <w:sz w:val="20"/>
          <w:szCs w:val="20"/>
        </w:rPr>
        <w:t xml:space="preserve">J. </w:t>
      </w:r>
      <w:proofErr w:type="spellStart"/>
      <w:r>
        <w:rPr>
          <w:i/>
          <w:sz w:val="20"/>
          <w:szCs w:val="20"/>
        </w:rPr>
        <w:t>Pharmacogn</w:t>
      </w:r>
      <w:proofErr w:type="spellEnd"/>
      <w:r>
        <w:rPr>
          <w:i/>
          <w:sz w:val="20"/>
          <w:szCs w:val="20"/>
        </w:rPr>
        <w:t xml:space="preserve">. </w:t>
      </w:r>
      <w:proofErr w:type="spellStart"/>
      <w:r>
        <w:rPr>
          <w:i/>
          <w:sz w:val="20"/>
          <w:szCs w:val="20"/>
        </w:rPr>
        <w:t>Phytochem</w:t>
      </w:r>
      <w:proofErr w:type="spellEnd"/>
      <w:r>
        <w:rPr>
          <w:i/>
          <w:sz w:val="20"/>
          <w:szCs w:val="20"/>
        </w:rPr>
        <w:t>.</w:t>
      </w:r>
      <w:r>
        <w:rPr>
          <w:sz w:val="20"/>
          <w:szCs w:val="20"/>
        </w:rPr>
        <w:t xml:space="preserve">, vol. 2, no. 5, pp. 115–119, 2014. </w:t>
      </w:r>
    </w:p>
    <w:p w14:paraId="46D46B3A" w14:textId="10A951CE" w:rsidR="006551B2" w:rsidRDefault="00000000" w:rsidP="00D6763C">
      <w:pPr>
        <w:ind w:left="567" w:hanging="567"/>
        <w:jc w:val="both"/>
        <w:rPr>
          <w:sz w:val="20"/>
          <w:szCs w:val="20"/>
        </w:rPr>
      </w:pPr>
      <w:r>
        <w:rPr>
          <w:sz w:val="20"/>
          <w:szCs w:val="20"/>
        </w:rPr>
        <w:t xml:space="preserve">[8] </w:t>
      </w:r>
      <w:r w:rsidR="00D6763C">
        <w:rPr>
          <w:sz w:val="20"/>
          <w:szCs w:val="20"/>
        </w:rPr>
        <w:tab/>
      </w:r>
      <w:r>
        <w:rPr>
          <w:sz w:val="20"/>
          <w:szCs w:val="20"/>
        </w:rPr>
        <w:t xml:space="preserve">A. G. Al-Hashimi, “Antioxidant and antibacterial activities of Hibiscus sabdariffa L. extracts,” </w:t>
      </w:r>
      <w:r>
        <w:rPr>
          <w:i/>
          <w:sz w:val="20"/>
          <w:szCs w:val="20"/>
        </w:rPr>
        <w:t>Journal of King Saud University - Science</w:t>
      </w:r>
      <w:r>
        <w:rPr>
          <w:sz w:val="20"/>
          <w:szCs w:val="20"/>
        </w:rPr>
        <w:t>, vol. 24, no. 2, pp. 171-176, 2012.</w:t>
      </w:r>
    </w:p>
    <w:p w14:paraId="5E225920" w14:textId="4AB40588" w:rsidR="006551B2" w:rsidRDefault="00000000" w:rsidP="00D6763C">
      <w:pPr>
        <w:ind w:left="567" w:hanging="567"/>
        <w:jc w:val="both"/>
        <w:rPr>
          <w:sz w:val="20"/>
          <w:szCs w:val="20"/>
        </w:rPr>
      </w:pPr>
      <w:r>
        <w:rPr>
          <w:sz w:val="20"/>
          <w:szCs w:val="20"/>
        </w:rPr>
        <w:t xml:space="preserve">[9] </w:t>
      </w:r>
      <w:r w:rsidR="00D6763C">
        <w:rPr>
          <w:sz w:val="20"/>
          <w:szCs w:val="20"/>
        </w:rPr>
        <w:tab/>
      </w:r>
      <w:r>
        <w:rPr>
          <w:sz w:val="20"/>
          <w:szCs w:val="20"/>
        </w:rPr>
        <w:t>M. F. A. El-</w:t>
      </w:r>
      <w:proofErr w:type="spellStart"/>
      <w:r>
        <w:rPr>
          <w:sz w:val="20"/>
          <w:szCs w:val="20"/>
        </w:rPr>
        <w:t>Maati</w:t>
      </w:r>
      <w:proofErr w:type="spellEnd"/>
      <w:r>
        <w:rPr>
          <w:sz w:val="20"/>
          <w:szCs w:val="20"/>
        </w:rPr>
        <w:t>, S. A. Mahgoub, S. M. Labib, A. M. A. Al-Gaby, and M. F. Ramadan, “Phenolic extracts of clove (</w:t>
      </w:r>
      <w:proofErr w:type="spellStart"/>
      <w:r>
        <w:rPr>
          <w:sz w:val="20"/>
          <w:szCs w:val="20"/>
        </w:rPr>
        <w:t>Syzygium</w:t>
      </w:r>
      <w:proofErr w:type="spellEnd"/>
      <w:r>
        <w:rPr>
          <w:sz w:val="20"/>
          <w:szCs w:val="20"/>
        </w:rPr>
        <w:t xml:space="preserve"> aromaticum) with novel antioxidant and antibacterial activities,” </w:t>
      </w:r>
      <w:r>
        <w:rPr>
          <w:i/>
          <w:sz w:val="20"/>
          <w:szCs w:val="20"/>
        </w:rPr>
        <w:t xml:space="preserve">Eur. J. </w:t>
      </w:r>
      <w:proofErr w:type="spellStart"/>
      <w:r>
        <w:rPr>
          <w:i/>
          <w:sz w:val="20"/>
          <w:szCs w:val="20"/>
        </w:rPr>
        <w:t>Integr</w:t>
      </w:r>
      <w:proofErr w:type="spellEnd"/>
      <w:r>
        <w:rPr>
          <w:i/>
          <w:sz w:val="20"/>
          <w:szCs w:val="20"/>
        </w:rPr>
        <w:t>. Med.</w:t>
      </w:r>
      <w:r>
        <w:rPr>
          <w:sz w:val="20"/>
          <w:szCs w:val="20"/>
        </w:rPr>
        <w:t>, vol. 8, no. 4, pp. 494–504, 2016.</w:t>
      </w:r>
    </w:p>
    <w:p w14:paraId="66C1FE49" w14:textId="774506FF" w:rsidR="006551B2" w:rsidRDefault="00000000" w:rsidP="00D6763C">
      <w:pPr>
        <w:ind w:left="567" w:hanging="567"/>
        <w:jc w:val="both"/>
      </w:pPr>
      <w:r>
        <w:rPr>
          <w:sz w:val="20"/>
          <w:szCs w:val="20"/>
        </w:rPr>
        <w:t xml:space="preserve">[10] </w:t>
      </w:r>
      <w:r w:rsidR="00D6763C">
        <w:rPr>
          <w:sz w:val="20"/>
          <w:szCs w:val="20"/>
        </w:rPr>
        <w:tab/>
      </w:r>
      <w:r>
        <w:rPr>
          <w:sz w:val="20"/>
          <w:szCs w:val="20"/>
        </w:rPr>
        <w:t xml:space="preserve">L. Evans </w:t>
      </w:r>
      <w:r>
        <w:rPr>
          <w:i/>
          <w:sz w:val="20"/>
          <w:szCs w:val="20"/>
        </w:rPr>
        <w:t>et al.</w:t>
      </w:r>
      <w:r>
        <w:rPr>
          <w:sz w:val="20"/>
          <w:szCs w:val="20"/>
        </w:rPr>
        <w:t xml:space="preserve">, “Surviving Sepsis Campaign: International Guidelines for Management of Sepsis and Septic Shock 2021,” </w:t>
      </w:r>
      <w:r>
        <w:rPr>
          <w:i/>
          <w:sz w:val="20"/>
          <w:szCs w:val="20"/>
        </w:rPr>
        <w:t>Crit. Care Med.</w:t>
      </w:r>
      <w:r>
        <w:rPr>
          <w:sz w:val="20"/>
          <w:szCs w:val="20"/>
        </w:rPr>
        <w:t xml:space="preserve">, vol. 49, no. 11, pp. E1063–E1143, 2021, </w:t>
      </w:r>
      <w:proofErr w:type="spellStart"/>
      <w:r>
        <w:rPr>
          <w:sz w:val="20"/>
          <w:szCs w:val="20"/>
        </w:rPr>
        <w:t>doi</w:t>
      </w:r>
      <w:proofErr w:type="spellEnd"/>
      <w:r>
        <w:rPr>
          <w:sz w:val="20"/>
          <w:szCs w:val="20"/>
        </w:rPr>
        <w:t xml:space="preserve">: 10.1097/CCM.0000000000005337. </w:t>
      </w:r>
    </w:p>
    <w:p w14:paraId="3B45124F" w14:textId="2E2A679D" w:rsidR="006551B2" w:rsidRDefault="00000000" w:rsidP="00D6763C">
      <w:pPr>
        <w:ind w:left="567" w:hanging="567"/>
        <w:jc w:val="both"/>
      </w:pPr>
      <w:r>
        <w:rPr>
          <w:sz w:val="20"/>
          <w:szCs w:val="20"/>
        </w:rPr>
        <w:t xml:space="preserve">[11] </w:t>
      </w:r>
      <w:r w:rsidR="00D6763C">
        <w:rPr>
          <w:sz w:val="20"/>
          <w:szCs w:val="20"/>
        </w:rPr>
        <w:tab/>
      </w:r>
      <w:r>
        <w:rPr>
          <w:sz w:val="20"/>
          <w:szCs w:val="20"/>
        </w:rPr>
        <w:t xml:space="preserve">H. </w:t>
      </w:r>
      <w:proofErr w:type="gramStart"/>
      <w:r>
        <w:rPr>
          <w:sz w:val="20"/>
          <w:szCs w:val="20"/>
        </w:rPr>
        <w:t>H</w:t>
      </w:r>
      <w:proofErr w:type="spellStart"/>
      <w:r>
        <w:rPr>
          <w:sz w:val="20"/>
          <w:szCs w:val="20"/>
        </w:rPr>
        <w:t>asheminejad</w:t>
      </w:r>
      <w:proofErr w:type="spellEnd"/>
      <w:r>
        <w:rPr>
          <w:sz w:val="20"/>
          <w:szCs w:val="20"/>
        </w:rPr>
        <w:t xml:space="preserve"> ,</w:t>
      </w:r>
      <w:proofErr w:type="gramEnd"/>
      <w:r>
        <w:rPr>
          <w:sz w:val="20"/>
          <w:szCs w:val="20"/>
        </w:rPr>
        <w:t xml:space="preserve"> R. </w:t>
      </w:r>
      <w:proofErr w:type="spellStart"/>
      <w:r>
        <w:rPr>
          <w:sz w:val="20"/>
          <w:szCs w:val="20"/>
        </w:rPr>
        <w:t>Khodaiyan</w:t>
      </w:r>
      <w:proofErr w:type="spellEnd"/>
      <w:r>
        <w:rPr>
          <w:sz w:val="20"/>
          <w:szCs w:val="20"/>
        </w:rPr>
        <w:t xml:space="preserve">, and M. Safari, “Improvement of the antimicrobial activity of lemon essential oil by microencapsulation in sodium caseinate-alginate nanoparticles,” </w:t>
      </w:r>
      <w:r>
        <w:rPr>
          <w:i/>
          <w:sz w:val="20"/>
          <w:szCs w:val="20"/>
        </w:rPr>
        <w:t xml:space="preserve">Int. J. Biol. </w:t>
      </w:r>
      <w:proofErr w:type="spellStart"/>
      <w:r>
        <w:rPr>
          <w:i/>
          <w:sz w:val="20"/>
          <w:szCs w:val="20"/>
        </w:rPr>
        <w:t>Macromol</w:t>
      </w:r>
      <w:proofErr w:type="spellEnd"/>
      <w:r>
        <w:rPr>
          <w:i/>
          <w:sz w:val="20"/>
          <w:szCs w:val="20"/>
        </w:rPr>
        <w:t>.</w:t>
      </w:r>
      <w:r>
        <w:rPr>
          <w:sz w:val="20"/>
          <w:szCs w:val="20"/>
        </w:rPr>
        <w:t xml:space="preserve">, vol. 106, pp. 1146–1152, 2018. </w:t>
      </w:r>
    </w:p>
    <w:p w14:paraId="63DC27BB" w14:textId="2BD5B8FE" w:rsidR="006551B2" w:rsidRDefault="00000000" w:rsidP="00D6763C">
      <w:pPr>
        <w:ind w:left="567" w:hanging="567"/>
        <w:jc w:val="both"/>
      </w:pPr>
      <w:r>
        <w:rPr>
          <w:sz w:val="20"/>
          <w:szCs w:val="20"/>
        </w:rPr>
        <w:t xml:space="preserve">[12] </w:t>
      </w:r>
      <w:r w:rsidR="00D6763C">
        <w:rPr>
          <w:sz w:val="20"/>
          <w:szCs w:val="20"/>
        </w:rPr>
        <w:tab/>
      </w:r>
      <w:r>
        <w:rPr>
          <w:sz w:val="20"/>
          <w:szCs w:val="20"/>
        </w:rPr>
        <w:t xml:space="preserve">C. D. Cox, C. R. McLaughlin, C. M. Gray, and M. R. Roe, “Palmitic acid is a natural antibacterial agent against Gram-positive organisms,” </w:t>
      </w:r>
      <w:r>
        <w:rPr>
          <w:i/>
          <w:sz w:val="20"/>
          <w:szCs w:val="20"/>
        </w:rPr>
        <w:t xml:space="preserve">Lett. Appl. </w:t>
      </w:r>
      <w:proofErr w:type="spellStart"/>
      <w:r>
        <w:rPr>
          <w:i/>
          <w:sz w:val="20"/>
          <w:szCs w:val="20"/>
        </w:rPr>
        <w:t>Microbiol</w:t>
      </w:r>
      <w:proofErr w:type="spellEnd"/>
      <w:r>
        <w:rPr>
          <w:i/>
          <w:sz w:val="20"/>
          <w:szCs w:val="20"/>
        </w:rPr>
        <w:t>.</w:t>
      </w:r>
      <w:r>
        <w:rPr>
          <w:sz w:val="20"/>
          <w:szCs w:val="20"/>
        </w:rPr>
        <w:t xml:space="preserve">, vol. 57, no. 2, pp. 136–142, 2013. </w:t>
      </w:r>
    </w:p>
    <w:p w14:paraId="0FED1245" w14:textId="4126C2A3" w:rsidR="006551B2" w:rsidRDefault="00000000" w:rsidP="00D6763C">
      <w:pPr>
        <w:ind w:left="567" w:hanging="567"/>
        <w:jc w:val="both"/>
      </w:pPr>
      <w:r>
        <w:rPr>
          <w:sz w:val="20"/>
          <w:szCs w:val="20"/>
        </w:rPr>
        <w:t xml:space="preserve">[13] </w:t>
      </w:r>
      <w:r w:rsidR="00D6763C">
        <w:rPr>
          <w:sz w:val="20"/>
          <w:szCs w:val="20"/>
        </w:rPr>
        <w:tab/>
      </w:r>
      <w:r>
        <w:rPr>
          <w:sz w:val="20"/>
          <w:szCs w:val="20"/>
        </w:rPr>
        <w:t xml:space="preserve">F. Nazzaro, F. Fratianni, R. Coppola, and V. De Feo, “Essential oils and antifungal activity,” </w:t>
      </w:r>
      <w:r>
        <w:rPr>
          <w:i/>
          <w:sz w:val="20"/>
          <w:szCs w:val="20"/>
        </w:rPr>
        <w:t>Pharmaceuticals</w:t>
      </w:r>
      <w:r>
        <w:rPr>
          <w:sz w:val="20"/>
          <w:szCs w:val="20"/>
        </w:rPr>
        <w:t xml:space="preserve">, vol. 10, no. 4, p. 86, 2017. </w:t>
      </w:r>
    </w:p>
    <w:p w14:paraId="14E292AC" w14:textId="0705C34E" w:rsidR="006551B2" w:rsidRDefault="00000000" w:rsidP="00D6763C">
      <w:pPr>
        <w:ind w:left="567" w:hanging="567"/>
        <w:jc w:val="both"/>
      </w:pPr>
      <w:r>
        <w:rPr>
          <w:sz w:val="20"/>
          <w:szCs w:val="20"/>
        </w:rPr>
        <w:t xml:space="preserve">[14] </w:t>
      </w:r>
      <w:r w:rsidR="00D6763C">
        <w:rPr>
          <w:sz w:val="20"/>
          <w:szCs w:val="20"/>
        </w:rPr>
        <w:tab/>
      </w:r>
      <w:r>
        <w:rPr>
          <w:sz w:val="20"/>
          <w:szCs w:val="20"/>
        </w:rPr>
        <w:t>M. D. Al-Shabib et al., “Bioactive compounds of clove (</w:t>
      </w:r>
      <w:proofErr w:type="spellStart"/>
      <w:r>
        <w:rPr>
          <w:i/>
          <w:sz w:val="20"/>
          <w:szCs w:val="20"/>
        </w:rPr>
        <w:t>Syzygium</w:t>
      </w:r>
      <w:proofErr w:type="spellEnd"/>
      <w:r>
        <w:rPr>
          <w:i/>
          <w:sz w:val="20"/>
          <w:szCs w:val="20"/>
        </w:rPr>
        <w:t xml:space="preserve"> aromaticum</w:t>
      </w:r>
      <w:r>
        <w:rPr>
          <w:sz w:val="20"/>
          <w:szCs w:val="20"/>
        </w:rPr>
        <w:t>) potently inhibit growth of multi-</w:t>
      </w:r>
      <w:proofErr w:type="gramStart"/>
      <w:r>
        <w:rPr>
          <w:sz w:val="20"/>
          <w:szCs w:val="20"/>
        </w:rPr>
        <w:t>drug resistant</w:t>
      </w:r>
      <w:proofErr w:type="gramEnd"/>
      <w:r>
        <w:rPr>
          <w:sz w:val="20"/>
          <w:szCs w:val="20"/>
        </w:rPr>
        <w:t xml:space="preserve"> bacteria,” </w:t>
      </w:r>
      <w:r>
        <w:rPr>
          <w:i/>
          <w:sz w:val="20"/>
          <w:szCs w:val="20"/>
        </w:rPr>
        <w:t>RSC Adv.</w:t>
      </w:r>
      <w:r>
        <w:rPr>
          <w:sz w:val="20"/>
          <w:szCs w:val="20"/>
        </w:rPr>
        <w:t xml:space="preserve">, vol. 6, no. 108, pp. 106736–106745, 2016. </w:t>
      </w:r>
    </w:p>
    <w:p w14:paraId="53218D66" w14:textId="032243E2" w:rsidR="006551B2" w:rsidRDefault="00000000" w:rsidP="00D6763C">
      <w:pPr>
        <w:ind w:left="567" w:hanging="567"/>
        <w:jc w:val="both"/>
      </w:pPr>
      <w:r>
        <w:rPr>
          <w:sz w:val="20"/>
          <w:szCs w:val="20"/>
        </w:rPr>
        <w:t xml:space="preserve">[15] </w:t>
      </w:r>
      <w:r w:rsidR="00D6763C">
        <w:rPr>
          <w:sz w:val="20"/>
          <w:szCs w:val="20"/>
        </w:rPr>
        <w:tab/>
      </w:r>
      <w:r>
        <w:rPr>
          <w:sz w:val="20"/>
          <w:szCs w:val="20"/>
        </w:rPr>
        <w:t xml:space="preserve">C. S. Silva et al., “Antimicrobial and antibiofilm activity of caryophyllene against MRSA strains,” </w:t>
      </w:r>
      <w:r>
        <w:rPr>
          <w:i/>
          <w:sz w:val="20"/>
          <w:szCs w:val="20"/>
        </w:rPr>
        <w:t>Int. J. Mol. Sci.</w:t>
      </w:r>
      <w:r>
        <w:rPr>
          <w:sz w:val="20"/>
          <w:szCs w:val="20"/>
        </w:rPr>
        <w:t xml:space="preserve">, vol. 21, no. 12, p. 4524, 2020. </w:t>
      </w:r>
    </w:p>
    <w:p w14:paraId="493A75BE" w14:textId="5492DF96" w:rsidR="006551B2" w:rsidRDefault="00000000" w:rsidP="00D6763C">
      <w:pPr>
        <w:ind w:left="567" w:hanging="567"/>
        <w:jc w:val="both"/>
      </w:pPr>
      <w:r>
        <w:rPr>
          <w:sz w:val="20"/>
          <w:szCs w:val="20"/>
        </w:rPr>
        <w:t xml:space="preserve">[16] </w:t>
      </w:r>
      <w:r w:rsidR="00D6763C">
        <w:rPr>
          <w:sz w:val="20"/>
          <w:szCs w:val="20"/>
        </w:rPr>
        <w:tab/>
      </w:r>
      <w:r>
        <w:rPr>
          <w:sz w:val="20"/>
          <w:szCs w:val="20"/>
        </w:rPr>
        <w:t xml:space="preserve">A. H. </w:t>
      </w:r>
      <w:proofErr w:type="spellStart"/>
      <w:r>
        <w:rPr>
          <w:sz w:val="20"/>
          <w:szCs w:val="20"/>
        </w:rPr>
        <w:t>Natsheh</w:t>
      </w:r>
      <w:proofErr w:type="spellEnd"/>
      <w:r>
        <w:rPr>
          <w:sz w:val="20"/>
          <w:szCs w:val="20"/>
        </w:rPr>
        <w:t xml:space="preserve"> and K. T. Alqaisi, “Review on the antibacterial activity of 2,4-di-tert-butylphenol,” </w:t>
      </w:r>
      <w:r>
        <w:rPr>
          <w:i/>
          <w:sz w:val="20"/>
          <w:szCs w:val="20"/>
        </w:rPr>
        <w:t>J. Adv. Pharm. Technol. Res.</w:t>
      </w:r>
      <w:r>
        <w:rPr>
          <w:sz w:val="20"/>
          <w:szCs w:val="20"/>
        </w:rPr>
        <w:t xml:space="preserve">, vol. 9, no. 1, pp. 15–19, Jan. 2018. </w:t>
      </w:r>
    </w:p>
    <w:p w14:paraId="62C3E53E" w14:textId="219856F6" w:rsidR="006551B2" w:rsidRDefault="00000000" w:rsidP="00D6763C">
      <w:pPr>
        <w:ind w:left="567" w:hanging="567"/>
        <w:jc w:val="both"/>
      </w:pPr>
      <w:r>
        <w:rPr>
          <w:sz w:val="20"/>
          <w:szCs w:val="20"/>
        </w:rPr>
        <w:t xml:space="preserve">[17] </w:t>
      </w:r>
      <w:r w:rsidR="00D6763C">
        <w:rPr>
          <w:sz w:val="20"/>
          <w:szCs w:val="20"/>
        </w:rPr>
        <w:tab/>
      </w:r>
      <w:r>
        <w:rPr>
          <w:sz w:val="20"/>
          <w:szCs w:val="20"/>
        </w:rPr>
        <w:t xml:space="preserve">M. A. </w:t>
      </w:r>
      <w:proofErr w:type="spellStart"/>
      <w:r>
        <w:rPr>
          <w:sz w:val="20"/>
          <w:szCs w:val="20"/>
        </w:rPr>
        <w:t>Elsabee</w:t>
      </w:r>
      <w:proofErr w:type="spellEnd"/>
      <w:r>
        <w:rPr>
          <w:sz w:val="20"/>
          <w:szCs w:val="20"/>
        </w:rPr>
        <w:t xml:space="preserve"> and E. S. Abdou, “Chitosan based edible films and coatings: A review,” </w:t>
      </w:r>
      <w:r>
        <w:rPr>
          <w:i/>
          <w:sz w:val="20"/>
          <w:szCs w:val="20"/>
        </w:rPr>
        <w:t>Mater. Sci. Eng. C</w:t>
      </w:r>
      <w:r>
        <w:rPr>
          <w:sz w:val="20"/>
          <w:szCs w:val="20"/>
        </w:rPr>
        <w:t xml:space="preserve">, vol. 33, no. 4, pp. 1819–1841, 2013. </w:t>
      </w:r>
    </w:p>
    <w:p w14:paraId="103E78F5" w14:textId="77777777" w:rsidR="006551B2" w:rsidRDefault="00000000" w:rsidP="00D6763C">
      <w:pPr>
        <w:ind w:left="567" w:hanging="567"/>
        <w:jc w:val="both"/>
      </w:pPr>
      <w:r>
        <w:rPr>
          <w:sz w:val="20"/>
          <w:szCs w:val="20"/>
        </w:rPr>
        <w:lastRenderedPageBreak/>
        <w:t xml:space="preserve">[18] T. Yildiz, E. G. B. Akkaya, and O. B. Akan, “Microencapsulation of essential oils by complex coacervation method using different biopolymers and their characterization,” </w:t>
      </w:r>
      <w:r>
        <w:rPr>
          <w:i/>
          <w:sz w:val="20"/>
          <w:szCs w:val="20"/>
        </w:rPr>
        <w:t>J. Food Process. Preserv.</w:t>
      </w:r>
      <w:r>
        <w:rPr>
          <w:sz w:val="20"/>
          <w:szCs w:val="20"/>
        </w:rPr>
        <w:t xml:space="preserve">, vol. 43, no. 3, p. e13801, 2019.   </w:t>
      </w:r>
    </w:p>
    <w:p w14:paraId="47B30507" w14:textId="77777777" w:rsidR="006551B2" w:rsidRDefault="00000000" w:rsidP="00D6763C">
      <w:pPr>
        <w:pBdr>
          <w:top w:val="nil"/>
          <w:left w:val="nil"/>
          <w:bottom w:val="nil"/>
          <w:right w:val="nil"/>
          <w:between w:val="nil"/>
        </w:pBdr>
        <w:ind w:left="567" w:hanging="567"/>
        <w:jc w:val="both"/>
        <w:rPr>
          <w:color w:val="000000"/>
          <w:sz w:val="20"/>
          <w:szCs w:val="20"/>
        </w:rPr>
      </w:pPr>
      <w:r>
        <w:rPr>
          <w:color w:val="000000"/>
          <w:sz w:val="20"/>
          <w:szCs w:val="20"/>
        </w:rPr>
        <w:t xml:space="preserve">[19] I. H. N. </w:t>
      </w:r>
      <w:proofErr w:type="spellStart"/>
      <w:r>
        <w:rPr>
          <w:color w:val="000000"/>
          <w:sz w:val="20"/>
          <w:szCs w:val="20"/>
        </w:rPr>
        <w:t>Bassolé</w:t>
      </w:r>
      <w:proofErr w:type="spellEnd"/>
      <w:r>
        <w:rPr>
          <w:color w:val="000000"/>
          <w:sz w:val="20"/>
          <w:szCs w:val="20"/>
        </w:rPr>
        <w:t xml:space="preserve">, and, H. R. Juliani, “Essential oils in combination and their antimicrobial properties,” </w:t>
      </w:r>
      <w:r>
        <w:rPr>
          <w:i/>
          <w:color w:val="000000"/>
          <w:sz w:val="20"/>
          <w:szCs w:val="20"/>
        </w:rPr>
        <w:t xml:space="preserve">Molecules, </w:t>
      </w:r>
      <w:r>
        <w:rPr>
          <w:color w:val="000000"/>
          <w:sz w:val="20"/>
          <w:szCs w:val="20"/>
        </w:rPr>
        <w:t>vol 17, no. 4, p.3989–4006, 2012.</w:t>
      </w:r>
    </w:p>
    <w:p w14:paraId="39D4B5F6" w14:textId="77777777" w:rsidR="006551B2" w:rsidRDefault="00000000" w:rsidP="00D6763C">
      <w:pPr>
        <w:pBdr>
          <w:top w:val="nil"/>
          <w:left w:val="nil"/>
          <w:bottom w:val="nil"/>
          <w:right w:val="nil"/>
          <w:between w:val="nil"/>
        </w:pBdr>
        <w:ind w:left="567" w:hanging="567"/>
        <w:jc w:val="both"/>
        <w:rPr>
          <w:color w:val="000000"/>
          <w:sz w:val="20"/>
          <w:szCs w:val="20"/>
        </w:rPr>
      </w:pPr>
      <w:r>
        <w:rPr>
          <w:color w:val="000000"/>
          <w:sz w:val="20"/>
          <w:szCs w:val="20"/>
        </w:rPr>
        <w:t>[20] C. Bhattacharjee, P. Das, and S. Ghosh, “</w:t>
      </w:r>
      <w:r>
        <w:rPr>
          <w:i/>
          <w:color w:val="000000"/>
          <w:sz w:val="20"/>
          <w:szCs w:val="20"/>
        </w:rPr>
        <w:t>Hibiscus sabdariffa</w:t>
      </w:r>
      <w:r>
        <w:rPr>
          <w:color w:val="000000"/>
          <w:sz w:val="20"/>
          <w:szCs w:val="20"/>
        </w:rPr>
        <w:t xml:space="preserve"> </w:t>
      </w:r>
      <w:r>
        <w:rPr>
          <w:i/>
          <w:color w:val="000000"/>
          <w:sz w:val="20"/>
          <w:szCs w:val="20"/>
        </w:rPr>
        <w:t>L.</w:t>
      </w:r>
      <w:r>
        <w:rPr>
          <w:color w:val="000000"/>
          <w:sz w:val="20"/>
          <w:szCs w:val="20"/>
        </w:rPr>
        <w:t xml:space="preserve"> as a source of natural antimicrobial agents: A review,” </w:t>
      </w:r>
      <w:r>
        <w:rPr>
          <w:i/>
          <w:color w:val="000000"/>
          <w:sz w:val="20"/>
          <w:szCs w:val="20"/>
        </w:rPr>
        <w:t xml:space="preserve">Journal of Applied Pharmaceutical Science, </w:t>
      </w:r>
      <w:r>
        <w:rPr>
          <w:color w:val="000000"/>
          <w:sz w:val="20"/>
          <w:szCs w:val="20"/>
        </w:rPr>
        <w:t>vol 10, no. 5, p. 145–152, 2020.</w:t>
      </w:r>
    </w:p>
    <w:p w14:paraId="30555EBB" w14:textId="77777777" w:rsidR="006551B2" w:rsidRDefault="006551B2">
      <w:pPr>
        <w:pBdr>
          <w:top w:val="nil"/>
          <w:left w:val="nil"/>
          <w:bottom w:val="nil"/>
          <w:right w:val="nil"/>
          <w:between w:val="nil"/>
        </w:pBdr>
        <w:ind w:left="426" w:hanging="426"/>
        <w:jc w:val="both"/>
        <w:rPr>
          <w:color w:val="000000"/>
          <w:sz w:val="20"/>
          <w:szCs w:val="20"/>
        </w:rPr>
      </w:pPr>
    </w:p>
    <w:sectPr w:rsidR="006551B2">
      <w:pgSz w:w="12240" w:h="15840"/>
      <w:pgMar w:top="1440" w:right="1440" w:bottom="1191"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FD17D5BC-184C-4295-A0B5-2D83E1E3BA97}"/>
  </w:font>
  <w:font w:name="Georgia">
    <w:panose1 w:val="02040502050405020303"/>
    <w:charset w:val="00"/>
    <w:family w:val="roman"/>
    <w:pitch w:val="variable"/>
    <w:sig w:usb0="00000287" w:usb1="00000000" w:usb2="00000000" w:usb3="00000000" w:csb0="0000009F" w:csb1="00000000"/>
    <w:embedRegular r:id="rId2" w:fontKey="{D9BFF744-4360-4FF8-921A-FE9FBEA01174}"/>
    <w:embedItalic r:id="rId3" w:fontKey="{269B8D65-1DE7-4AB2-AF9D-E07AC3978EF8}"/>
  </w:font>
  <w:font w:name="Caudex">
    <w:charset w:val="00"/>
    <w:family w:val="auto"/>
    <w:pitch w:val="default"/>
    <w:embedRegular r:id="rId4" w:fontKey="{CEB2718D-E909-43CB-AF3D-39C8FA75FFC4}"/>
  </w:font>
  <w:font w:name="Cambria">
    <w:panose1 w:val="02040503050406030204"/>
    <w:charset w:val="00"/>
    <w:family w:val="roman"/>
    <w:pitch w:val="variable"/>
    <w:sig w:usb0="E00006FF" w:usb1="420024FF" w:usb2="02000000" w:usb3="00000000" w:csb0="0000019F" w:csb1="00000000"/>
    <w:embedRegular r:id="rId5" w:fontKey="{9F27C55D-F5D4-408F-A69A-B10DF2C31842}"/>
  </w:font>
  <w:font w:name="Calibri">
    <w:panose1 w:val="020F0502020204030204"/>
    <w:charset w:val="00"/>
    <w:family w:val="swiss"/>
    <w:pitch w:val="variable"/>
    <w:sig w:usb0="E4002EFF" w:usb1="C200247B" w:usb2="00000009" w:usb3="00000000" w:csb0="000001FF" w:csb1="00000000"/>
    <w:embedRegular r:id="rId6" w:fontKey="{308CA5AB-B0B3-419E-886A-6AA212C6A5E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0BA6066"/>
    <w:multiLevelType w:val="multilevel"/>
    <w:tmpl w:val="C2B89126"/>
    <w:lvl w:ilvl="0">
      <w:start w:val="1"/>
      <w:numFmt w:val="decimal"/>
      <w:pStyle w:val="Referenc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811943725">
    <w:abstractNumId w:val="0"/>
  </w:num>
  <w:num w:numId="2" w16cid:durableId="68651887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1032588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51B2"/>
    <w:rsid w:val="000E3892"/>
    <w:rsid w:val="00201C3D"/>
    <w:rsid w:val="006551B2"/>
    <w:rsid w:val="00D6763C"/>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011B37"/>
  <w15:docId w15:val="{A8C9C146-0137-47CE-B707-23575AF29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240"/>
      <w:jc w:val="center"/>
      <w:outlineLvl w:val="0"/>
    </w:pPr>
    <w:rPr>
      <w:b/>
      <w:smallCaps/>
    </w:rPr>
  </w:style>
  <w:style w:type="paragraph" w:styleId="Heading2">
    <w:name w:val="heading 2"/>
    <w:basedOn w:val="Normal"/>
    <w:next w:val="Normal"/>
    <w:uiPriority w:val="9"/>
    <w:unhideWhenUsed/>
    <w:qFormat/>
    <w:pPr>
      <w:keepNext/>
      <w:spacing w:before="240" w:after="240"/>
      <w:jc w:val="center"/>
      <w:outlineLvl w:val="1"/>
    </w:pPr>
    <w:rPr>
      <w:b/>
    </w:rPr>
  </w:style>
  <w:style w:type="paragraph" w:styleId="Heading3">
    <w:name w:val="heading 3"/>
    <w:basedOn w:val="Normal"/>
    <w:next w:val="Normal"/>
    <w:uiPriority w:val="9"/>
    <w:semiHidden/>
    <w:unhideWhenUsed/>
    <w:qFormat/>
    <w:pPr>
      <w:keepNext/>
      <w:spacing w:before="240" w:after="240"/>
      <w:jc w:val="center"/>
      <w:outlineLvl w:val="2"/>
    </w:pPr>
    <w:rPr>
      <w:i/>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tabs>
        <w:tab w:val="num" w:pos="720"/>
      </w:tabs>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tabs>
        <w:tab w:val="num" w:pos="720"/>
      </w:tabs>
      <w:ind w:left="720" w:hanging="720"/>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link w:val="HeaderChar"/>
    <w:unhideWhenUsed/>
    <w:rsid w:val="00EC5B01"/>
    <w:pPr>
      <w:tabs>
        <w:tab w:val="center" w:pos="4513"/>
        <w:tab w:val="right" w:pos="9026"/>
      </w:tabs>
    </w:pPr>
  </w:style>
  <w:style w:type="character" w:customStyle="1" w:styleId="HeaderChar">
    <w:name w:val="Header Char"/>
    <w:basedOn w:val="DefaultParagraphFont"/>
    <w:link w:val="Header"/>
    <w:rsid w:val="00EC5B01"/>
    <w:rPr>
      <w:sz w:val="24"/>
      <w:lang w:val="en-US" w:eastAsia="en-US"/>
    </w:rPr>
  </w:style>
  <w:style w:type="paragraph" w:styleId="Footer">
    <w:name w:val="footer"/>
    <w:basedOn w:val="Normal"/>
    <w:link w:val="FooterChar"/>
    <w:unhideWhenUsed/>
    <w:rsid w:val="00EC5B01"/>
    <w:pPr>
      <w:tabs>
        <w:tab w:val="center" w:pos="4513"/>
        <w:tab w:val="right" w:pos="9026"/>
      </w:tabs>
    </w:pPr>
  </w:style>
  <w:style w:type="character" w:customStyle="1" w:styleId="FooterChar">
    <w:name w:val="Footer Char"/>
    <w:basedOn w:val="DefaultParagraphFont"/>
    <w:link w:val="Footer"/>
    <w:rsid w:val="00EC5B01"/>
    <w:rPr>
      <w:sz w:val="24"/>
      <w:lang w:val="en-US" w:eastAsia="en-US"/>
    </w:rPr>
  </w:style>
  <w:style w:type="paragraph" w:styleId="Revision">
    <w:name w:val="Revision"/>
    <w:hidden/>
    <w:uiPriority w:val="99"/>
    <w:semiHidden/>
    <w:rsid w:val="00EB0485"/>
    <w:rPr>
      <w:lang w:val="en-US"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hyperlink" Target="mailto:hsputro@its.ac.id" TargetMode="Externa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jpg"/><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23.png"/><Relationship Id="rId14" Type="http://schemas.openxmlformats.org/officeDocument/2006/relationships/image" Target="media/image6.jp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tZSQxHGCPs0gecfzfoQ/sPuaCQ==">CgMxLjAaJAoBMBIfCh0IB0IZCg9UaW1lcyBOZXcgUm9tYW4SBkNhdWRleDgAciExNUtYUktNZFZkLVkxakxwdVBHWTVVYzlkWXh6ajB2dHU=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3825</Words>
  <Characters>21808</Characters>
  <Application>Microsoft Office Word</Application>
  <DocSecurity>0</DocSecurity>
  <Lines>181</Lines>
  <Paragraphs>51</Paragraphs>
  <ScaleCrop>false</ScaleCrop>
  <Company/>
  <LinksUpToDate>false</LinksUpToDate>
  <CharactersWithSpaces>25582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Ruth Levins</dc:creator>
  <cp:lastModifiedBy>Zeni Rahmawati</cp:lastModifiedBy>
  <cp:revision>2</cp:revision>
  <dcterms:created xsi:type="dcterms:W3CDTF">2025-10-02T05:13:00Z</dcterms:created>
  <dcterms:modified xsi:type="dcterms:W3CDTF">2025-10-02T05:13:00Z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0x01010084F4A4BD8837AB4F945A93E663322906</vt:lpwstr>
  </property>
</Properties>
</file>