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32A6B2C" w14:textId="4F8E8FF6" w:rsidR="0029686E" w:rsidRPr="0029686E" w:rsidRDefault="0029686E" w:rsidP="0029686E">
      <w:pPr>
        <w:pStyle w:val="PaperTitle"/>
      </w:pPr>
      <w:r>
        <w:t xml:space="preserve">Optimization of </w:t>
      </w:r>
      <w:proofErr w:type="spellStart"/>
      <w:r>
        <w:t>Polysulfone</w:t>
      </w:r>
      <w:proofErr w:type="spellEnd"/>
      <w:r>
        <w:t xml:space="preserve"> (</w:t>
      </w:r>
      <w:proofErr w:type="spellStart"/>
      <w:r>
        <w:t>PSf</w:t>
      </w:r>
      <w:proofErr w:type="spellEnd"/>
      <w:r>
        <w:t>) Membrane Concentration for E</w:t>
      </w:r>
      <w:r w:rsidR="00B131F0">
        <w:t>n</w:t>
      </w:r>
      <w:r>
        <w:t>hanced H</w:t>
      </w:r>
      <w:r w:rsidRPr="0029686E">
        <w:rPr>
          <w:vertAlign w:val="subscript"/>
        </w:rPr>
        <w:t>2</w:t>
      </w:r>
      <w:r>
        <w:t>/CO</w:t>
      </w:r>
      <w:r w:rsidRPr="0029686E">
        <w:rPr>
          <w:vertAlign w:val="subscript"/>
        </w:rPr>
        <w:t>2</w:t>
      </w:r>
      <w:r>
        <w:t xml:space="preserve"> Gas Separation Performance</w:t>
      </w:r>
    </w:p>
    <w:p w14:paraId="693CABF0" w14:textId="7C52DAF3" w:rsidR="00AC5218" w:rsidRPr="002876F7" w:rsidRDefault="00EA4AFD" w:rsidP="00AC5218">
      <w:pPr>
        <w:pStyle w:val="AuthorName"/>
        <w:rPr>
          <w:sz w:val="20"/>
          <w:lang w:eastAsia="en-GB"/>
        </w:rPr>
      </w:pPr>
      <w:r>
        <w:t>Kavitaningrum</w:t>
      </w:r>
      <w:r w:rsidR="00AC5218" w:rsidRPr="002876F7">
        <w:rPr>
          <w:vertAlign w:val="superscript"/>
        </w:rPr>
        <w:t>1</w:t>
      </w:r>
      <w:r w:rsidR="00F83C63">
        <w:t>, Nurul Widiastuti</w:t>
      </w:r>
      <w:r w:rsidR="00F83C63" w:rsidRPr="00F83C63">
        <w:rPr>
          <w:vertAlign w:val="superscript"/>
        </w:rPr>
        <w:t>1</w:t>
      </w:r>
      <w:r w:rsidR="00F83C63">
        <w:t>, Ardi Nugroho Yulianto</w:t>
      </w:r>
      <w:r w:rsidR="00F83C63" w:rsidRPr="00F83C63">
        <w:rPr>
          <w:vertAlign w:val="superscript"/>
        </w:rPr>
        <w:t>2</w:t>
      </w:r>
      <w:r w:rsidR="00F83C63">
        <w:t xml:space="preserve">, </w:t>
      </w:r>
      <w:r w:rsidR="00AC5218" w:rsidRPr="002876F7">
        <w:t>Triyanda Gunawan</w:t>
      </w:r>
      <w:proofErr w:type="gramStart"/>
      <w:r w:rsidR="00AC5218" w:rsidRPr="002876F7">
        <w:rPr>
          <w:vertAlign w:val="superscript"/>
        </w:rPr>
        <w:t>1</w:t>
      </w:r>
      <w:r w:rsidR="009340D8">
        <w:rPr>
          <w:vertAlign w:val="superscript"/>
        </w:rPr>
        <w:t>,</w:t>
      </w:r>
      <w:r w:rsidR="00AC5218" w:rsidRPr="002876F7">
        <w:rPr>
          <w:vertAlign w:val="superscript"/>
        </w:rPr>
        <w:t>a</w:t>
      </w:r>
      <w:proofErr w:type="gramEnd"/>
      <w:r w:rsidR="00AC5218" w:rsidRPr="002876F7">
        <w:rPr>
          <w:vertAlign w:val="superscript"/>
        </w:rPr>
        <w:t>)</w:t>
      </w:r>
    </w:p>
    <w:p w14:paraId="579CF86B" w14:textId="77777777" w:rsidR="00AC5218" w:rsidRPr="002876F7" w:rsidRDefault="00AC5218" w:rsidP="00AC5218">
      <w:pPr>
        <w:pStyle w:val="AuthorName"/>
        <w:spacing w:before="0" w:after="0"/>
        <w:rPr>
          <w:sz w:val="20"/>
          <w:lang w:eastAsia="en-GB"/>
        </w:rPr>
      </w:pPr>
      <w:r w:rsidRPr="002876F7">
        <w:rPr>
          <w:sz w:val="20"/>
          <w:lang w:eastAsia="en-GB"/>
        </w:rPr>
        <w:t xml:space="preserve">Author Affiliations </w:t>
      </w:r>
    </w:p>
    <w:p w14:paraId="3BF2FFBB" w14:textId="420BDE3D" w:rsidR="00AC5218" w:rsidRDefault="00F83C63" w:rsidP="00AC5218">
      <w:pPr>
        <w:pStyle w:val="AuthorAffiliation"/>
        <w:rPr>
          <w:iCs/>
        </w:rPr>
      </w:pPr>
      <w:r>
        <w:rPr>
          <w:i w:val="0"/>
          <w:vertAlign w:val="superscript"/>
        </w:rPr>
        <w:t>1</w:t>
      </w:r>
      <w:r w:rsidR="00AC5218" w:rsidRPr="002876F7">
        <w:rPr>
          <w:iCs/>
        </w:rPr>
        <w:t xml:space="preserve">Department of Chemistry, Faculty of Science and Data Analytics, </w:t>
      </w:r>
      <w:proofErr w:type="spellStart"/>
      <w:r w:rsidR="00AC5218" w:rsidRPr="002876F7">
        <w:rPr>
          <w:iCs/>
        </w:rPr>
        <w:t>Sepuluh</w:t>
      </w:r>
      <w:proofErr w:type="spellEnd"/>
      <w:r w:rsidR="00AC5218" w:rsidRPr="002876F7">
        <w:rPr>
          <w:iCs/>
        </w:rPr>
        <w:t xml:space="preserve"> </w:t>
      </w:r>
      <w:proofErr w:type="spellStart"/>
      <w:r w:rsidR="00AC5218" w:rsidRPr="002876F7">
        <w:rPr>
          <w:iCs/>
        </w:rPr>
        <w:t>Nopember</w:t>
      </w:r>
      <w:proofErr w:type="spellEnd"/>
      <w:r w:rsidR="00AC5218" w:rsidRPr="002876F7">
        <w:rPr>
          <w:iCs/>
        </w:rPr>
        <w:t xml:space="preserve"> Institute of Technology Surabaya, Indonesia</w:t>
      </w:r>
    </w:p>
    <w:p w14:paraId="73AB000D" w14:textId="4C08C1FD" w:rsidR="00F83C63" w:rsidRPr="002876F7" w:rsidRDefault="00F83C63" w:rsidP="00AC5218">
      <w:pPr>
        <w:pStyle w:val="AuthorAffiliation"/>
        <w:rPr>
          <w:iCs/>
        </w:rPr>
      </w:pPr>
      <w:r>
        <w:rPr>
          <w:iCs/>
        </w:rPr>
        <w:t xml:space="preserve">2Department of Naval Architect, Faculty of Marine Engineering, </w:t>
      </w:r>
      <w:proofErr w:type="spellStart"/>
      <w:r>
        <w:rPr>
          <w:iCs/>
        </w:rPr>
        <w:t>Institut</w:t>
      </w:r>
      <w:proofErr w:type="spellEnd"/>
      <w:r>
        <w:rPr>
          <w:iCs/>
        </w:rPr>
        <w:t xml:space="preserve"> </w:t>
      </w:r>
      <w:proofErr w:type="spellStart"/>
      <w:r>
        <w:rPr>
          <w:iCs/>
        </w:rPr>
        <w:t>Tekn</w:t>
      </w:r>
      <w:r w:rsidR="00C863E1">
        <w:rPr>
          <w:iCs/>
        </w:rPr>
        <w:t>ologi</w:t>
      </w:r>
      <w:proofErr w:type="spellEnd"/>
      <w:r w:rsidR="00C863E1">
        <w:rPr>
          <w:iCs/>
        </w:rPr>
        <w:t xml:space="preserve"> </w:t>
      </w:r>
      <w:proofErr w:type="spellStart"/>
      <w:r w:rsidR="00C863E1">
        <w:rPr>
          <w:iCs/>
        </w:rPr>
        <w:t>Sepuluh</w:t>
      </w:r>
      <w:proofErr w:type="spellEnd"/>
      <w:r w:rsidR="00C863E1">
        <w:rPr>
          <w:iCs/>
        </w:rPr>
        <w:t xml:space="preserve"> </w:t>
      </w:r>
      <w:proofErr w:type="spellStart"/>
      <w:r w:rsidR="00C863E1">
        <w:rPr>
          <w:iCs/>
        </w:rPr>
        <w:t>Nopember</w:t>
      </w:r>
      <w:proofErr w:type="spellEnd"/>
      <w:r>
        <w:rPr>
          <w:iCs/>
        </w:rPr>
        <w:t>;</w:t>
      </w:r>
      <w:r w:rsidR="00C863E1">
        <w:rPr>
          <w:iCs/>
        </w:rPr>
        <w:t xml:space="preserve"> </w:t>
      </w:r>
      <w:proofErr w:type="spellStart"/>
      <w:r w:rsidR="00C863E1">
        <w:rPr>
          <w:iCs/>
        </w:rPr>
        <w:t>Sukolilo</w:t>
      </w:r>
      <w:proofErr w:type="spellEnd"/>
      <w:r w:rsidR="00C863E1">
        <w:rPr>
          <w:iCs/>
        </w:rPr>
        <w:t>, Surabaya 60111, Indonesia</w:t>
      </w:r>
    </w:p>
    <w:p w14:paraId="7449811F" w14:textId="77777777" w:rsidR="00AC5218" w:rsidRPr="002876F7" w:rsidRDefault="00AC5218" w:rsidP="00AC5218">
      <w:pPr>
        <w:pStyle w:val="AuthorAffiliation"/>
      </w:pPr>
      <w:r w:rsidRPr="002876F7">
        <w:br/>
        <w:t>Author Emails</w:t>
      </w:r>
    </w:p>
    <w:p w14:paraId="42EB7A72" w14:textId="77777777" w:rsidR="00AC5218" w:rsidRDefault="00AC5218" w:rsidP="00AC5218">
      <w:pPr>
        <w:pStyle w:val="AuthorEmail"/>
      </w:pPr>
      <w:r w:rsidRPr="002876F7">
        <w:br/>
      </w:r>
      <w:r w:rsidRPr="002876F7">
        <w:rPr>
          <w:szCs w:val="28"/>
          <w:vertAlign w:val="superscript"/>
        </w:rPr>
        <w:t>a)</w:t>
      </w:r>
      <w:r w:rsidRPr="002876F7">
        <w:t xml:space="preserve"> Corresponding author: triyanda@its.ac.id</w:t>
      </w:r>
    </w:p>
    <w:p w14:paraId="2BDE4AF5" w14:textId="77777777" w:rsidR="009340D8" w:rsidRPr="002876F7" w:rsidRDefault="009340D8" w:rsidP="00AC5218">
      <w:pPr>
        <w:pStyle w:val="AuthorEmail"/>
      </w:pPr>
    </w:p>
    <w:p w14:paraId="09006567" w14:textId="3FCAD9BF" w:rsidR="007D38BB" w:rsidRDefault="00AC5218" w:rsidP="00FB4A69">
      <w:pPr>
        <w:pStyle w:val="Abstract"/>
      </w:pPr>
      <w:r w:rsidRPr="002876F7">
        <w:rPr>
          <w:b/>
          <w:bCs/>
        </w:rPr>
        <w:t>Abstract.</w:t>
      </w:r>
      <w:r w:rsidRPr="002876F7">
        <w:t xml:space="preserve"> </w:t>
      </w:r>
      <w:r w:rsidR="00FB4A69" w:rsidRPr="00FB4A69">
        <w:t xml:space="preserve">The increasing global demand for clean and renewable energy has encouraged the development of hydrogen (H₂) as a promising alternative fuel. Membrane-based gas separation has emerged as an efficient and environmentally friendly technology for H₂/CO₂ separation due to its low energy consumption, simple operation, and modularity. In this study, </w:t>
      </w:r>
      <w:proofErr w:type="spellStart"/>
      <w:r w:rsidR="00FB4A69" w:rsidRPr="00FB4A69">
        <w:t>polysulfone</w:t>
      </w:r>
      <w:proofErr w:type="spellEnd"/>
      <w:r w:rsidR="00FB4A69" w:rsidRPr="00FB4A69">
        <w:t xml:space="preserve"> (</w:t>
      </w:r>
      <w:proofErr w:type="spellStart"/>
      <w:r w:rsidR="00FB4A69" w:rsidRPr="00FB4A69">
        <w:t>PSf</w:t>
      </w:r>
      <w:proofErr w:type="spellEnd"/>
      <w:r w:rsidR="00FB4A69" w:rsidRPr="00FB4A69">
        <w:t>)</w:t>
      </w:r>
      <w:r w:rsidR="003C045B">
        <w:t xml:space="preserve"> </w:t>
      </w:r>
      <w:r w:rsidR="00FB4A69" w:rsidRPr="00FB4A69">
        <w:t>-</w:t>
      </w:r>
      <w:r w:rsidR="003C045B">
        <w:t xml:space="preserve"> </w:t>
      </w:r>
      <w:r w:rsidR="00FB4A69" w:rsidRPr="00FB4A69">
        <w:t xml:space="preserve">based membranes were successfully fabricated using the dry phase inversion method, with polymer concentrations varied at 6%, 8%, 10%, 12%, 14%, and 16% to evaluate their effect on membrane morphology and gas separation performance. Structural characterizations using SEM, XRD, and FTIR confirmed that the </w:t>
      </w:r>
      <w:proofErr w:type="spellStart"/>
      <w:r w:rsidR="00FB4A69" w:rsidRPr="00FB4A69">
        <w:t>PSf</w:t>
      </w:r>
      <w:proofErr w:type="spellEnd"/>
      <w:r w:rsidR="00FB4A69" w:rsidRPr="00FB4A69">
        <w:t xml:space="preserve"> membranes exhibited symmetric dense morphologies, with the 10% </w:t>
      </w:r>
      <w:proofErr w:type="spellStart"/>
      <w:r w:rsidR="00FB4A69" w:rsidRPr="00FB4A69">
        <w:t>PSf</w:t>
      </w:r>
      <w:proofErr w:type="spellEnd"/>
      <w:r w:rsidR="00FB4A69" w:rsidRPr="00FB4A69">
        <w:t xml:space="preserve"> membrane producing an optimal dense layer thickness of 30.66 µm. Gas permeation tests using single gases (H₂ and CO₂) at 1 bar </w:t>
      </w:r>
      <w:r w:rsidR="007D38BB">
        <w:t>showed H</w:t>
      </w:r>
      <w:r w:rsidR="007D38BB" w:rsidRPr="003C045B">
        <w:rPr>
          <w:vertAlign w:val="subscript"/>
        </w:rPr>
        <w:t>2</w:t>
      </w:r>
      <w:r w:rsidR="007D38BB">
        <w:t>/CO</w:t>
      </w:r>
      <w:r w:rsidR="007D38BB" w:rsidRPr="003C045B">
        <w:rPr>
          <w:vertAlign w:val="subscript"/>
        </w:rPr>
        <w:t>2</w:t>
      </w:r>
      <w:r w:rsidR="007D38BB">
        <w:t xml:space="preserve"> selectivity values of 2.83</w:t>
      </w:r>
      <w:r w:rsidR="00791BCB">
        <w:t>;</w:t>
      </w:r>
      <w:r w:rsidR="007D38BB">
        <w:t xml:space="preserve"> 3.24</w:t>
      </w:r>
      <w:r w:rsidR="00791BCB">
        <w:t>;</w:t>
      </w:r>
      <w:r w:rsidR="007D38BB">
        <w:t xml:space="preserve"> 3.95</w:t>
      </w:r>
      <w:r w:rsidR="00791BCB">
        <w:t>;</w:t>
      </w:r>
      <w:r w:rsidR="007D38BB">
        <w:t xml:space="preserve"> 3.47</w:t>
      </w:r>
      <w:r w:rsidR="00791BCB">
        <w:t>;</w:t>
      </w:r>
      <w:r w:rsidR="007D38BB">
        <w:t xml:space="preserve"> 3.38</w:t>
      </w:r>
      <w:r w:rsidR="00791BCB">
        <w:t>;</w:t>
      </w:r>
      <w:r w:rsidR="007D38BB">
        <w:t xml:space="preserve"> and 3.39 for sequential variations of polymer concentration. Among all tested concentrations, the 10% </w:t>
      </w:r>
      <w:proofErr w:type="spellStart"/>
      <w:r w:rsidR="007D38BB">
        <w:t>PSf</w:t>
      </w:r>
      <w:proofErr w:type="spellEnd"/>
      <w:r w:rsidR="007D38BB">
        <w:t xml:space="preserve"> membrane exhibited the highest selectivity</w:t>
      </w:r>
      <w:r w:rsidR="003B4484">
        <w:t xml:space="preserve">, </w:t>
      </w:r>
      <w:r w:rsidR="003B4484" w:rsidRPr="003B4484">
        <w:t xml:space="preserve">with an H₂ permeability reaching </w:t>
      </w:r>
      <w:r w:rsidR="00845497">
        <w:t>3.45 GPU</w:t>
      </w:r>
      <w:r w:rsidR="007D38BB">
        <w:t>. This performance is attributed to balanced dense layer structure that is thick enough to maintain selectivity while allowing adequate permeability for small gas molecules like H</w:t>
      </w:r>
      <w:r w:rsidR="007D38BB" w:rsidRPr="003C045B">
        <w:rPr>
          <w:vertAlign w:val="subscript"/>
        </w:rPr>
        <w:t>2</w:t>
      </w:r>
      <w:r w:rsidR="007D38BB">
        <w:t xml:space="preserve">. These results confirm the potential of 10% </w:t>
      </w:r>
      <w:proofErr w:type="spellStart"/>
      <w:r w:rsidR="007D38BB">
        <w:t>PSf</w:t>
      </w:r>
      <w:proofErr w:type="spellEnd"/>
      <w:r w:rsidR="007D38BB">
        <w:t xml:space="preserve"> membrane for effective H</w:t>
      </w:r>
      <w:r w:rsidR="007D38BB" w:rsidRPr="003C045B">
        <w:rPr>
          <w:vertAlign w:val="subscript"/>
        </w:rPr>
        <w:t>2</w:t>
      </w:r>
      <w:r w:rsidR="007D38BB">
        <w:t>/CO</w:t>
      </w:r>
      <w:r w:rsidR="007D38BB" w:rsidRPr="003C045B">
        <w:rPr>
          <w:vertAlign w:val="subscript"/>
        </w:rPr>
        <w:t>2</w:t>
      </w:r>
      <w:r w:rsidR="007D38BB">
        <w:t xml:space="preserve"> separation in industrial applications.</w:t>
      </w:r>
    </w:p>
    <w:p w14:paraId="526A9501" w14:textId="7585FFED" w:rsidR="00AC5218" w:rsidRPr="00FB4A69" w:rsidRDefault="00AC5218" w:rsidP="00FB4A69">
      <w:pPr>
        <w:pStyle w:val="Abstract"/>
      </w:pPr>
      <w:r w:rsidRPr="00EA4AFD">
        <w:rPr>
          <w:b/>
          <w:color w:val="000000" w:themeColor="text1"/>
        </w:rPr>
        <w:t>Keywords:</w:t>
      </w:r>
      <w:r w:rsidRPr="00EA4AFD">
        <w:rPr>
          <w:bCs/>
          <w:color w:val="000000" w:themeColor="text1"/>
        </w:rPr>
        <w:t xml:space="preserve"> </w:t>
      </w:r>
      <w:r w:rsidRPr="00EA4AFD">
        <w:rPr>
          <w:color w:val="000000" w:themeColor="text1"/>
        </w:rPr>
        <w:t xml:space="preserve">Gas Separation, </w:t>
      </w:r>
      <w:r w:rsidR="009C01D4">
        <w:rPr>
          <w:color w:val="000000" w:themeColor="text1"/>
        </w:rPr>
        <w:t>H</w:t>
      </w:r>
      <w:r w:rsidR="009C01D4" w:rsidRPr="009C01D4">
        <w:rPr>
          <w:color w:val="000000" w:themeColor="text1"/>
          <w:vertAlign w:val="subscript"/>
        </w:rPr>
        <w:t>2</w:t>
      </w:r>
      <w:r w:rsidR="009C01D4">
        <w:rPr>
          <w:color w:val="000000" w:themeColor="text1"/>
        </w:rPr>
        <w:t>/CO</w:t>
      </w:r>
      <w:r w:rsidR="009C01D4" w:rsidRPr="009C01D4">
        <w:rPr>
          <w:color w:val="000000" w:themeColor="text1"/>
          <w:vertAlign w:val="subscript"/>
        </w:rPr>
        <w:t>2</w:t>
      </w:r>
      <w:r w:rsidR="009C01D4">
        <w:rPr>
          <w:color w:val="000000" w:themeColor="text1"/>
        </w:rPr>
        <w:t xml:space="preserve"> Selectivity, </w:t>
      </w:r>
      <w:r w:rsidR="00936EC6" w:rsidRPr="00EA4AFD">
        <w:rPr>
          <w:color w:val="000000" w:themeColor="text1"/>
        </w:rPr>
        <w:t>Polymeric Membran</w:t>
      </w:r>
      <w:r w:rsidR="00803D82">
        <w:rPr>
          <w:color w:val="000000" w:themeColor="text1"/>
        </w:rPr>
        <w:t>e</w:t>
      </w:r>
      <w:r w:rsidRPr="00EA4AFD">
        <w:rPr>
          <w:color w:val="000000" w:themeColor="text1"/>
        </w:rPr>
        <w:t xml:space="preserve">, </w:t>
      </w:r>
      <w:proofErr w:type="spellStart"/>
      <w:r w:rsidRPr="00EA4AFD">
        <w:rPr>
          <w:color w:val="000000" w:themeColor="text1"/>
        </w:rPr>
        <w:t>PSf</w:t>
      </w:r>
      <w:proofErr w:type="spellEnd"/>
      <w:r w:rsidRPr="00EA4AFD">
        <w:rPr>
          <w:color w:val="000000" w:themeColor="text1"/>
        </w:rPr>
        <w:t xml:space="preserve"> Membrane, </w:t>
      </w:r>
      <w:r w:rsidR="009C01D4">
        <w:rPr>
          <w:color w:val="000000" w:themeColor="text1"/>
        </w:rPr>
        <w:t>Solution-Diffusion Mechanism</w:t>
      </w:r>
    </w:p>
    <w:p w14:paraId="5DE33A3A" w14:textId="77777777" w:rsidR="00AC5218" w:rsidRPr="00EA4AFD" w:rsidRDefault="00AC5218" w:rsidP="00EA4AFD">
      <w:pPr>
        <w:pStyle w:val="Heading2"/>
        <w:jc w:val="center"/>
        <w:rPr>
          <w:rFonts w:ascii="Times New Roman" w:hAnsi="Times New Roman" w:cs="Times New Roman"/>
          <w:b/>
          <w:bCs/>
          <w:color w:val="000000" w:themeColor="text1"/>
          <w:sz w:val="24"/>
          <w:szCs w:val="24"/>
        </w:rPr>
      </w:pPr>
      <w:r w:rsidRPr="00EA4AFD">
        <w:rPr>
          <w:rFonts w:ascii="Times New Roman" w:hAnsi="Times New Roman" w:cs="Times New Roman"/>
          <w:b/>
          <w:bCs/>
          <w:color w:val="000000" w:themeColor="text1"/>
          <w:sz w:val="24"/>
          <w:szCs w:val="24"/>
        </w:rPr>
        <w:t>INTRODUCTION</w:t>
      </w:r>
    </w:p>
    <w:p w14:paraId="19AEC9DD" w14:textId="1050937D" w:rsidR="007E2F76" w:rsidRPr="007E2F76" w:rsidRDefault="007E2F76" w:rsidP="00143879">
      <w:pPr>
        <w:pStyle w:val="Paragraph"/>
      </w:pPr>
      <w:r w:rsidRPr="007E2F76">
        <w:t xml:space="preserve">The global push toward renewable energy is closely tied to the target of Net Zero Emissions (NZE) and the Paris Agreement, which aims to keep the rise in global temperature below 2 °C </w:t>
      </w:r>
      <w:r>
        <w:fldChar w:fldCharType="begin"/>
      </w:r>
      <w:r w:rsidR="00F954A4">
        <w:instrText xml:space="preserve"> ADDIN ZOTERO_ITEM CSL_CITATION {"citationID":"Rh1ZMg3T","properties":{"formattedCitation":"[1]","plainCitation":"[1]","noteIndex":0},"citationItems":[{"id":"wW54kaFO/TdPrP5Zm","uris":["http://zotero.org/users/local/HM6wA45z/items/9P94CZRL"],"itemData":{"id":390,"type":"webpage","abstract":"Net Zero Roadmap: A Global Pathway to Keep the 1.5 °C Goal in Reach - Analysis and key findings. A report by the International Energy Agency.","container-title":"IEA","language":"en-GB","title":"Executive summary – Net Zero Roadmap: A Global Pathway to Keep the 1.5 °C Goal in Reach – Analysis","title-short":"Executive summary – Net Zero Roadmap","URL":"https://www.iea.org/reports/net-zero-roadmap-a-global-pathway-to-keep-the-15-0c-goal-in-reach/executive-summary","author":[{"family":"IEA, 2023","given":""}],"accessed":{"date-parts":[["2024",6,4]]}}}],"schema":"https://github.com/citation-style-language/schema/raw/master/csl-citation.json"} </w:instrText>
      </w:r>
      <w:r>
        <w:fldChar w:fldCharType="separate"/>
      </w:r>
      <w:r w:rsidR="00595C75" w:rsidRPr="00595C75">
        <w:t>[1]</w:t>
      </w:r>
      <w:r>
        <w:fldChar w:fldCharType="end"/>
      </w:r>
      <w:r w:rsidRPr="007E2F76">
        <w:t>. Hydrogen (H₂) has been widely discussed as one of the key energy carriers in this transition. It is efficient, sustainable, and its combustion leaves only water as the byproduct</w:t>
      </w:r>
      <w:r w:rsidR="00B6520A">
        <w:t xml:space="preserve"> </w:t>
      </w:r>
      <w:r w:rsidR="00B6520A">
        <w:fldChar w:fldCharType="begin"/>
      </w:r>
      <w:r w:rsidR="00F954A4">
        <w:instrText xml:space="preserve"> ADDIN ZOTERO_ITEM CSL_CITATION {"citationID":"L7hl72Xm","properties":{"formattedCitation":"[2\\uc0\\u8211{}4]","plainCitation":"[2–4]","noteIndex":0},"citationItems":[{"id":162,"uris":["http://zotero.org/users/18181281/items/ABQKADCP"],"itemData":{"id":162,"type":"article-journal","abstract":"The hydrogen adsorption, kinetic and thermodynamic of adsorption onto the zeolite templated carbon (ZTC) were examined at the temperature range of 30-50 °C and ambient pressure. The ZTC was prepared from zeolite-Y template and sucrose carbon precursor by impregnation method and showed its specific surface area of 932 m2/g as well as 0.97 cm3/g for total pore volume. Analysis of physical and chemical characteristics for materials were performed using XRD, SEM, TEM and N2 isotherm. The results indicated that the ZTC has some ordered network structure of carbon and also exhibits the formation of the carbon layer outside the zeolite micropore. We observed the ZTC for hydrogen adsorption both gravimetric and volumetric method up to 1.72 and 1.16 wt.% at the lowest temperature, respectively. The kinetic process at all studied temperature was best approximated by the pseudo-second-order kinetic model. The aspects of thermodynamic such as heat of adsorption and the entropy change were -14.41 kJ/mol and -40.93 J/K mol, respectively. Both values were negative, indicating an exothermic reaction and low disorder at the hydrogen and ZTC interface when the adsorption process took place. Meanwhile, the enthalpy change value exhibits a characteristic of a physical process. The Gibbs energy change calculated at 30, 40 and 50 °C were -1.99, -1.59 and -1.19 kJ/mol, respectively, indicating a spontaneous adsorption process.","container-title":"Indonesian Journal of Chemistry","DOI":"10.22146/ijc.38978","ISSN":"2460-1578, 1411-9420","issue":"1","journalAbbreviation":"Indones. J. Chem.","language":"en","license":"http://creativecommons.org/licenses/by-nc-nd/4.0","page":"29","source":"DOI.org (Crossref)","title":"Hydrogen Adsorption Characteristics for Zeolite-Y Templated Carbon","volume":"20","author":[{"family":"Wijiyanti","given":"Rika"},{"family":"Gunawan","given":"Triyanda"},{"family":"Nasri","given":"Noor Shawal"},{"family":"Karim","given":"Zulhairun Abdul"},{"family":"Ismail","given":"Ahmad Fauzi"},{"family":"Widiastuti","given":"Nurul"}],"issued":{"date-parts":[["2019",12,31]]}}},{"id":166,"uris":["http://zotero.org/users/18181281/items/C6XU9NAX"],"itemData":{"id":166,"type":"article-journal","abstract":"Incorporating thermally labile polymer-based additives is a facile and practical approach in developing superior carbon membranes. In this study, three different thermally labile polymers, microcrystalline cellulose (MCC), nanocrystalline cellulose (NCC), and polyvinylpyrrolidone (PVP), were introduced separately to P84-copolyimide (PI) solution as additive and their impact on membrane performance were investigated. Firstly, NCC was added as the membrane pore former for hydrogen gas (H2) separation. The addition of NCC significantly increased pore channels in the membrane, hence contributed to high gas permeance and selectivity. The tests involving pure H2 and N2 permeation were carried out at room temperature. Carbon membranes carbonized at a final temperature of 800oC with the heating rate of 3oC/min under Ar flow achieved the greatest H2/N2 selectivity of 434.68±1.39, hence proving the potential of NCC as a good additive.","container-title":"IOP Conference Series: Materials Science and Engineering","DOI":"10.1088/1757-899X/736/2/022002","ISSN":"1757-8981, 1757-899X","issue":"2","journalAbbreviation":"IOP Conf. Ser.: Mater. Sci. Eng.","language":"en","page":"022002","source":"DOI.org (Crossref)","title":"PI/NCC Carbon Membrane: Effect of Additives loading Towards Hydrogen Separation","title-short":"PI/NCC Carbon Membrane","volume":"736","author":[{"family":"Sazali","given":"N"},{"family":"Mamat","given":"R"},{"family":"Siregar","given":"J P"},{"family":"Gunawan","given":"T"},{"family":"Salleh","given":"W N W"},{"family":"Nordin","given":"N A H M"}],"issued":{"date-parts":[["2020",1,1]]}}},{"id":"wW54kaFO/sYMaB821","uris":["http://zotero.org/users/local/HM6wA45z/items/X9WVUG3L"],"itemData":{"id":"zp9Ni7q8/QGYOywg0","type":"article-journal","abstract":"Hydrogen (H2) has become one of the promising alternative clean energy resources. Membrane technology is a potential method for hydrogen separation or production. This study aims to develop a new carbon membrane for hydrogen separation or production. Moreover, the permeation behavior of H2, CO2, and CH4 through a hollow fiber composite carbon membrane derived from P84 co-polyimide and with incorporation of zeolite composite carbon (ZCC) was also examined. ZCC was synthesized via the impregnation method of sucrose into zeolite-Y pores, followed by carbonization at 800 °C. Thus, this filler has a high surface area, high microporosity, ordered pore structure, and low hydrophilicity. The presence of zeolites in ZCC is predicted to increase certain gases’ affinity for the membrane. Various heating rates (1–5 °C/min) were applied during pyrolysis to understand the effect of the heating rate on the pore structure and H2/CO2 and H2/CH4 gas separation performance. Moreover, gas permeation was evaluated at various temperatures (298–373 K) to study the thermodynamic aspect of the process. A characteristic graphite peak was detected at 2θ </w:instrText>
      </w:r>
      <w:r w:rsidR="00F954A4">
        <w:rPr>
          <w:rFonts w:ascii="Cambria Math" w:hAnsi="Cambria Math" w:cs="Cambria Math"/>
        </w:rPr>
        <w:instrText>∼</w:instrText>
      </w:r>
      <w:r w:rsidR="00F954A4">
        <w:instrText xml:space="preserve"> 44° in all carbon samples. Scanning electron microscopy (SEM) observations revealed the void-free surface and the asymmetric structure of the carbon membranes. During the permeation test, it was found that gas permeation through the membrane was significantly affected by the temperature of the separation process. The highest permeability of H2, CO2, and CH4 was detected on the composite carbon membrane at a 3 °C/min heating rate with a permeation temperature of 373 K. The thermodynamic study shows that CO2 and H2 have lower activation energies compared to CH4. The transport mechanism of the membrane involved adsorption and activated surface diffusion. The permeation temperature has a large impact on the transport of small penetrants in the carbon matrix.","container-title":"ACS Omega","DOI":"10.1021/acsomega.1c00512","issue":"24","journalAbbreviation":"ACS Omega","note":"publisher: American Chemical Society","page":"15637-15650","source":"ACS Publications","title":"Development of a P84/ZCC Composite Carbon Membrane for Gas Separation of H2/CO2 and H2/CH4","volume":"6","author":[{"family":"Widiastuti","given":"Nurul"},{"family":"Widyanto","given":"Alvin Rahmad"},{"family":"Caralin","given":"Irmariza Shafitri"},{"family":"Gunawan","given":"Triyanda"},{"family":"Wijiyanti","given":"Rika"},{"family":"Wan Salleh","given":"Wan Norharyati"},{"family":"Ismail","given":"Ahmad Fauzi"},{"family":"Nomura","given":"Mikihiro"},{"family":"Suzuki","given":"Kohei"}],"issued":{"date-parts":[["2021",6,22]]}}}],"schema":"https://github.com/citation-style-language/schema/raw/master/csl-citation.json"} </w:instrText>
      </w:r>
      <w:r w:rsidR="00B6520A">
        <w:fldChar w:fldCharType="separate"/>
      </w:r>
      <w:r w:rsidR="00B6520A" w:rsidRPr="00B6520A">
        <w:t>[2–4]</w:t>
      </w:r>
      <w:r w:rsidR="00B6520A">
        <w:fldChar w:fldCharType="end"/>
      </w:r>
      <w:r w:rsidRPr="007E2F76">
        <w:t xml:space="preserve">. On a large scale, hydrogen is generally produced from coal gasification and natural gas reforming, followed by the water–gas shift reaction. The syngas stream produced from these processes contains about 30% CO₂ and 45% H₂, so a separation step is unavoidable </w:t>
      </w:r>
      <w:r>
        <w:fldChar w:fldCharType="begin"/>
      </w:r>
      <w:r w:rsidR="00F954A4">
        <w:instrText xml:space="preserve"> ADDIN ZOTERO_ITEM CSL_CITATION {"citationID":"VH3wnBJn","properties":{"formattedCitation":"[5\\uc0\\u8211{}7]","plainCitation":"[5–7]","noteIndex":0},"citationItems":[{"id":"wW54kaFO/hX740Atp","uris":["http://zotero.org/users/local/HM6wA45z/items/285RLZL5"],"itemData":{"id":398,"type":"article-journal","abstract":"Hydrogen is a clean energy source which can replace fossil fuels in a hydrogen economy, thereby drastically mitigating climate change. However, hydrogen storage – due to the high volatility of hydrogen – and H2-CO2 separation (a key requirement in the industrial hydrogen production) are currently the main obstacles in implementing such a hydrogen economy. We thus developed an advanced material which is highly efficient in terms of H2 storage, but also H2 separation  fom CO2 streams. We thus modified sub-bituminous coal by incorporating different concentrations of nano-sized CaO nanofluid into the coal. The raw and modified coals (sub-bituminous-1, sub-bituminous-2 and sub-bituminous-3) were characterized and tested for their hydrogen storage capacity and H2-CO2 separation efficiency. Indeed, sub-bituminous-2 reached a very high H2 adsorption capacity (up to 0.866 mol.kg−1) and clearly can therefore store large quantities of H2. In addition, sub-bituminous-3 demonstrated excellent H2-CO2 separation efficiency (CO2-H2 adsorption selectivities of up to 4.1 were measured). This work therefore illustrates new highly cost-effective and technically efficient materials for H2 storage and H2 production, thus aiding in the industrial-scale implementation of a hydrogen economy.","container-title":"Separation and Purification Technology","DOI":"10.1016/j.seppur.2022.121542","ISSN":"1383-5866","journalAbbreviation":"Separation and Purification Technology","page":"121542","source":"ScienceDirect","title":"Promising material for large-scale H2 storage and efficient H2-CO2 separation","volume":"298","author":[{"family":"Rasool Abid","given":"Hussein"},{"family":"Keshavarz","given":"Alireza"},{"family":"Lercher","given":"Johannes"},{"family":"Iglauer","given":"Stefan"}],"issued":{"date-parts":[["2022",10,1]]}}},{"id":161,"uris":["http://zotero.org/users/18181281/items/U46C9ZJD"],"itemData":{"id":161,"type":"paper-conference","abstract":"Recovery of heavier hydrocarbon gas (i.e. C3H8) from permanent gas (i.e. H2) during gas streams process is a great importance economically. Separation of H2/C3H8 gas using polysulfone (PSF) polymeric membrane was studied with the effect of post-treatment process such as annealing to improve the gas separation performance. PSF membrane annealed using a muffle furnace under vacuum conditions at 150°C for an hour. The result showed that annealing process caused a reduction in the mobility of the polymer chain, which was indicated by a shift of 2ș in XRD results. The crosssection morphology of membrane annealed at 150°C was examined by SEM. Annealing process of PSF membrane enhanced the H2/C3H8 selectivity by 619.77%, from 3.08 to 22.19. It was concluded that post-treatment PSF membrane could improve the H2/C3H8 separation performance compared to PSF membrane without annealing treatment.","DOI":"10.1063/5.0052177","event-place":"Surabaya, Indonesia","event-title":"4TH INTERNATIONAL SEMINAR ON CHEMISTRY","language":"en","page":"020065","publisher-place":"Surabaya, Indonesia","source":"DOI.org (Crossref)","title":"Annealing treatment for enhancing of H2/C3H8 separation performance on polysulfone membrane","URL":"https://pubs.aip.org/aip/acp/article/624163","author":[{"family":"Caralin","given":"Irmariza S."},{"family":"Widyanto","given":"Alvin R."},{"family":"Widiastuti","given":"Nurul"},{"family":"Wijiyanti","given":"Rika"},{"family":"Gunawan","given":"Triyanda"},{"family":"Karim","given":"Zulhairun A."},{"family":"Nomura","given":"Mikihiro"},{"family":"Yoshida","given":"Yuki"}],"accessed":{"date-parts":[["2025",9,23]]},"issued":{"date-parts":[["2021"]]}}},{"id":152,"uris":["http://zotero.org/users/18181281/items/SCQFRHDM"],"itemData":{"id":152,"type":"article-journal","abstract":"This research involved carrying out a unique micro-mesoporous carbon particle incorporation into P84 co-polyimide membrane for improved gas separation performance. The carbon filler was prepared using a hard template method from zeolite and known as zeolite-templated carbon (ZTC). This research aims to study the loading amount of ZTC into P84 co-polyimide toward the gas separation performance. The ZTC was prepared using simple impregnation method of sucrose into hard template of zeolite Y. The SEM result showing a dispersed ZTC particle on the membrane surface and cross-section. The pore size distribution (PSD) of ZTC revealed that the particle consists of two characteristics of micro and mesoporous region. It was noted that with only 0.5 wt% of ZTC addition, the permeability was boosted up from 4.68 to 7.06 and from 8.95 to 13.15 barrer, for CO\n              2\n              and H\n              2\n              respectively when compared with the neat membrane. On the other hand, the optimum loading was at 1 wt%, where the membrane received thermal stability boost of 10% along with the 62.4 and 35% of selectivity boost of CO\n              2\n              /CH\n              4\n              and H\n              2\n              /CH\n              4\n              , respectively. It was noted that the position of the filler on the membrane surface was significantly affecting the gas transport mechanism of the membrane. Overall, the results demonstrated that the addition of ZTC with proper filler position is a potential candidate to be applicable in the gas separation involving CO\n              2\n              and H\n              2\n              .","container-title":"Royal Society Open Science","DOI":"10.1098/rsos.201150","ISSN":"2054-5703","issue":"2","journalAbbreviation":"R. Soc. open sci.","language":"en","page":"rsos.201150, 201150","source":"DOI.org (Crossref)","title":"The utilization of micro-mesoporous carbon-based filler in the P84 hollow fibre membrane for gas separation","volume":"8","author":[{"family":"Gunawan","given":"Triyanda"},{"family":"Widiastuti","given":"Nurul"},{"family":"Fansuri","given":"Hamzah"},{"family":"Wan Salleh","given":"Wan Norharyati"},{"family":"Ismail","given":"Ahmad Fauzi"},{"family":"Lin","given":"Rijia"},{"family":"Motuzas","given":"Juliuz"},{"family":"Smart","given":"Simon"}],"issued":{"date-parts":[["2021",2]]}}}],"schema":"https://github.com/citation-style-language/schema/raw/master/csl-citation.json"} </w:instrText>
      </w:r>
      <w:r>
        <w:fldChar w:fldCharType="separate"/>
      </w:r>
      <w:r w:rsidR="00B0103D" w:rsidRPr="00B0103D">
        <w:t>[5–7]</w:t>
      </w:r>
      <w:r>
        <w:fldChar w:fldCharType="end"/>
      </w:r>
      <w:r>
        <w:t>.</w:t>
      </w:r>
    </w:p>
    <w:p w14:paraId="6182D735" w14:textId="54E4A479" w:rsidR="007E2F76" w:rsidRPr="007E2F76" w:rsidRDefault="007E2F76" w:rsidP="00143879">
      <w:pPr>
        <w:pStyle w:val="Paragraph"/>
      </w:pPr>
      <w:r w:rsidRPr="007E2F76">
        <w:t>Conventional methods such as absorption or cryogenic distillation are proven but come with drawbacks: they consume a lot of energy and often involve solvents that are not environmentally friendly</w:t>
      </w:r>
      <w:r w:rsidR="00EC45C4">
        <w:t xml:space="preserve"> </w:t>
      </w:r>
      <w:r w:rsidR="00EC45C4">
        <w:fldChar w:fldCharType="begin"/>
      </w:r>
      <w:r w:rsidR="00F954A4">
        <w:instrText xml:space="preserve"> ADDIN ZOTERO_ITEM CSL_CITATION {"citationID":"uLtOigRd","properties":{"formattedCitation":"[8\\uc0\\u8211{}10]","plainCitation":"[8–10]","noteIndex":0},"citationItems":[{"id":"wW54kaFO/xF1NQ8uN","uris":["http://zotero.org/users/local/HM6wA45z/items/X6EU84LF"],"itemData":{"id":386,"type":"article-journal","abstract":"Global warming and environmental degradation have stimulated the drive towards the capture of large point source carbon emissions and reducing high energy intensity of industrial processes. Mixed membranes infused with high porosity silica sodalite are potential useful for pre-combustion CO2 capture. However, development of high quality mixed matrix membranes is a challenge. In this study, silica sodalite (SSOD) infused polysulfone (PSF) membranes were developed and evaluated for pre-combustion CO2 capture. The SSOD was obtained via topotactic conversion of layered silicates; and the membrane was prepared using the phase inversion method. The physicochemical nature of the SSOD and the SSOD/PSF was checked using XRD, SEM, and N2 physisorption at 77 K. Single gas permeation used to check membrane quality. N2 physisorption shows that the SSOD possesses higher surface area of 56.56 m2/g and pore volume of 0.181 cm3/g, when compared to that of the hydrothermally-synthesized hydroxy sodalite (HSOD) crystals (surface area: 27.43 m2/g; pore volume: 0.084 cm3/g). The SSOD/PSF membrane is asymmetric with higher mechanical strength than the ordinary PSF. Loading the PSF with SSOD enhanced its H2 permeance from 4.9 × 10−7 mol/m2·s·Pa but with a decrease in H2/CO2 separation factor from 2.2 to 0.6. While the enhanced H2 permeance is attributed to the enhanced porosity of the SSOD, the ideal selectivity is low but still within the values reported in literature. Increasing the SSOD loading up to 10 wt% enhanced the quality and performance of the PSF membrane, displaying H2 permeance of 6.5 × 10−7 mol/m2·s·Pa and a separation factor of 1.1. Though results reported in this study are promising, a robust synthesis protocol that will further enhance both the H2 selectivity and H2 permeance of the membrane is required. Furthermore, more studies are required on the process optimization and techno-economic feasibility for pre-combustion CO2 capture.","collection-title":"2020 International Symposium on Nanostructured and Advanced Materials","container-title":"Materials Today: Proceedings","DOI":"10.1016/j.matpr.2020.02.393","ISSN":"2214-7853","journalAbbreviation":"Materials Today: Proceedings","page":"522-527","source":"ScienceDirect","title":"Evaluation of silica sodalite infused polysulfone mixed matrix membranes during H2/CO2 separation","volume":"38","author":[{"family":"Eden","given":"C. L."},{"family":"Daramola","given":"M. O."}],"issued":{"date-parts":[["2021",1,1]]}}},{"id":"wW54kaFO/Zl7FsZrP","uris":["http://zotero.org/users/local/HM6wA45z/items/7H2V2BTR"],"itemData":{"id":401,"type":"article-journal","abstract":"Novel compression processes coupled with a cryogenic distillation unit are designed in this study to purify high-CO2 natural gas or biogas before injection into the reservoir. Four different designs are evaluated to achieve the required injection pressure and minimize both the capital and operation costs. Depending on the pressure–temperature pathway for the compression of the top and bottom products of the distillation unit, the energy and equipment costs are quantified using process simulation models and economic analysis tools, which are integrated with the flow simulation model to determine the required injection pressure. This holistic approach of integrating the compression process and injection pipeline is efficient for optimizing the process design and operation variables. The results suggest that liquefying the top product followed by mixing with the bottom product is the most cost-effective method, as it eliminates costly compressors and simplifies the process configuration. In addition to the life cycle cost analysis of the process, the sudden release of CO2 from the vessel is also studied experimentally. The results show that releasing gaseous CO2 through the valve induces the formation of solid CO2 inside the vessel before complete removal of CO2 from the vessel, thus requiring a controlled release strategy to avoid solid CO2 formation inside the vessel and through the valve.","container-title":"Journal of CO2 Utilization","DOI":"10.1016/j.jcou.2022.102002","ISSN":"2212-9820","journalAbbreviation":"Journal of CO2 Utilization","page":"102002","source":"ScienceDirect","title":"Life cycle cost analysis of CO2 compression processes coupled with a cryogenic distillation unit for purifying high-CO2 natural gas","volume":"60","author":[{"family":"Park","given":"Ki-Heum"},{"family":"Lee","given":"Jae W."},{"family":"Lim","given":"Youngsub"},{"family":"Seo","given":"Yutaek"}],"issued":{"date-parts":[["2022",6,1]]}}},{"id":"wW54kaFO/5L1SqpoE","uris":["http://zotero.org/users/local/HM6wA45z/items/TYW24Q7H"],"itemData":{"id":399,"type":"article-journal","abstract":"Carbon dioxide (CO2) emissions from burning fossil fuels play a crucial role in global warming/climate change. The effective removal of CO2 from the point sources or atmosphere (CO2 capture), its conversion to value-added products (CO2 utilization), and long-term geological storage, or CO2 sequestration, has captured the attention of several researchers and policymakers. This review paper illustrates all kinds of CO2 capture/separation processes and the challenges faced in deploying these technologies. This review described the research efforts put forth in gas separation technologies. Recent advances in the existing gas separation technologies have been highlighted, and future directives for commercial deployment have also been outlined.","container-title":"Energies","DOI":"10.3390/en16104100","ISSN":"1996-1073","issue":"10","language":"en","license":"http://creativecommons.org/licenses/by/3.0/","note":"number: 10\npublisher: Multidisciplinary Digital Publishing Institute","page":"4100","source":"www.mdpi.com","title":"Carbon Dioxide Separation Technologies: Applicable to Net Zero","title-short":"Carbon Dioxide Separation Technologies","volume":"16","author":[{"family":"Rath","given":"Gourav Kumar"},{"family":"Pandey","given":"Gaurav"},{"family":"Singh","given":"Sakshi"},{"family":"Molokitina","given":"Nadezhda"},{"family":"Kumar","given":"Asheesh"},{"family":"Joshi","given":"Sanket"},{"family":"Chauhan","given":"Geetanjali"}],"issued":{"date-parts":[["2023",1]]}}}],"schema":"https://github.com/citation-style-language/schema/raw/master/csl-citation.json"} </w:instrText>
      </w:r>
      <w:r w:rsidR="00EC45C4">
        <w:fldChar w:fldCharType="separate"/>
      </w:r>
      <w:r w:rsidR="00B0103D" w:rsidRPr="00B0103D">
        <w:t>[8–10]</w:t>
      </w:r>
      <w:r w:rsidR="00EC45C4">
        <w:fldChar w:fldCharType="end"/>
      </w:r>
      <w:r w:rsidR="00EC45C4">
        <w:t>.</w:t>
      </w:r>
      <w:r w:rsidRPr="007E2F76">
        <w:t xml:space="preserve">. Membrane separation, on the other hand, is much simpler. It is compact, energy-efficient, and relatively easy to scale up </w:t>
      </w:r>
      <w:r w:rsidR="002A77D5">
        <w:fldChar w:fldCharType="begin"/>
      </w:r>
      <w:r w:rsidR="00F954A4">
        <w:instrText xml:space="preserve"> ADDIN ZOTERO_ITEM CSL_CITATION {"citationID":"W1cIZZ8n","properties":{"formattedCitation":"[11\\uc0\\u8211{}13]","plainCitation":"[11–13]","noteIndex":0},"citationItems":[{"id":"wW54kaFO/x91TSmQS","uris":["http://zotero.org/users/local/HM6wA45z/items/969H7J6W"],"itemData":{"id":402,"type":"article-journal","abstract":"Polybenzimidazole (PBI) thin films were chemically crosslinked using 1,3,5-Tris(bromomethyl)benzene (TBB) to manipulate the microstructure of polymer chains and to achieve a high sieving ability for H2/CO2 separation. By changing the TBB concentration and TBB/PBI molar ratio in the crosslinking solutions, PBI films were modified with different degrees of crosslinking. The increment of crosslinking density in the membranes leads to a decrease in fractional free volume (FFV), indicating the tightening effect of the TBB crosslinking reaction on PBI films. The H2/CO2 mixed gas separation was conducted at 150 °C. The membrane with the highest crosslinking density and the lowest FFV possesses the best performance for H2/CO2 separation with a H2 permeability of 9.6 Barrer and a remarkable H2/CO2 selectivity of 24. It surpasses the Robeson's upper bound and some of other membranes, indicating its promise for hydrogen purification and CO2 capture at elevated temperatures.","container-title":"Journal of Membrane Science","DOI":"10.1016/j.memsci.2018.11.020","ISSN":"0376-7388","journalAbbreviation":"Journal of Membrane Science","page":"343-349","source":"ScienceDirect","title":"H2/CO2 separation enhancement via chemical modification of polybenzimidazole nanostructure","volume":"572","author":[{"family":"Naderi","given":"Ali"},{"family":"Asadi Tashvigh","given":"Akbar"},{"family":"Chung","given":"Tai-Shung"}],"issued":{"date-parts":[["2019",2,15]]}}},{"id":50,"uris":["http://zotero.org/users/18181281/items/BWCWDVAX"],"itemData":{"id":50,"type":"article-journal","abstract":"Impregnated zeolite-carbon (IZC), also known as pore-modified zeolite, was used as a potential filler in a P84 copolyimide-based hollow fiber mixed matrix membrane (HF MMM) to enhance gas separation. The presence of carbon structure on the zeolite framework pore was to avoid the trapped moisture that could lead to permeability reduction. This work seeks to investigate the impact of IZC addition (0.5, 1.0, and 1.5 wt%) to the P84 membrane and examine its permeability and separation performance. Adding IZC filler to the P84 membrane generates the enhancement of gas selectivity and permeability. The optimal enhancement was observed at 1 wt% of IZC loading, in which selectivity of CO2/CH4, CO2/N2, O2/N2, H2/N2, and H2/CH4 was enhanced by 50.506, 51.042, 5.693, 16.712, and 16.338%, respectively. On the other hand, H2, CO2, and O2 permeability at the loading were improved from 11.182 to 26.761, from 4.683 to 14.501, and from 1.637 to 3.546 Barrer, respectively. The improvement of gas selectivity was contributed by the presence of carbon in the zeolite framework, providing a molecular sieving effect while tuning carbon properties with pore regularity by templating in the zeolite framework enhances the gas permeability.","container-title":"Chemical Engineering Research and Design","DOI":"10.1016/j.cherd.2024.02.042","ISSN":"02638762","journalAbbreviation":"Chemical Engineering Research and Design","language":"en","page":"556-571","source":"DOI.org (Crossref)","title":"Fine-tuning zeolite pore structures with carbon coating for enhanced gas separation in polyimide-based mixed matrix membrane","volume":"204","author":[{"family":"Gunawan","given":"Triyanda"},{"family":"Widiastuti","given":"Nurul"},{"family":"Widyanto","given":"Alvin Rahmad"},{"family":"Fansuri","given":"Hamzah"},{"family":"Akhlus","given":"Syafsir"},{"family":"Salleh","given":"Wan Norharyati Wan"},{"family":"Ismail","given":"Ahmad Fauzi"},{"family":"Sazali","given":"Norazlianie"},{"family":"Lin","given":"Rijia"},{"family":"Motuzas","given":"Julius"},{"family":"Smart","given":"Simon"}],"issued":{"date-parts":[["2024",4]]}}},{"id":55,"uris":["http://zotero.org/users/18181281/items/7F5BR5BY"],"itemData":{"id":55,"type":"article-journal","abstract":"The addition of polyphenylene sulfide (PPs) to polysulfone (PSf) membranes has been found to significantly enhance the separation performance of CO\n              2\n              /CH\n              4\n              and H\n              2\n              /CH\n              4\n              gases through polar and acid-based interactions.\n            \n          , \n            \n              Many studies have shown that sulfur-containing compounds significantly affect the solubility of carbon dioxide (CO\n              2\n              ) in adsorption processes. However, limited attention has been devoted to incorporating organic fillers containing sulfur atoms into gas separation membrane matrices. This study addressed the gap by developing a new membrane using a polysulfone (PSf) polymer matrix and polyphenylene sulfide (PPs) filler material. This membrane could be used to separate mixtures of H\n              2\n              /CH\n              4\n              and CO\n              2\n              /CH\n              4\n              gases. Our study investigated the impact of various PPs loadings (1%, 5%, and 10% w/w) relative to PSf on membrane properties and gas separation efficiency. Comprehensive characterization techniques, including Fourier-transform infrared spectroscopy (FTIR), X-ray diffraction (XRD), and scanning electron microscopy (SEM), were employed to understand how adding PPs and coating with polydimethylsiloxane (PDMS) changed the structure of our membranes. XRD and FTIR analysis revealed distinct morphological disparities and functional groups between pure PSf and PSf/PPs composite membranes. SEM results show an even distribution of PPs on the membrane surface. The impact of adding PPs on gas separation was significant. CO\n              2\n              permeability increased by 376.19%, and H\n              2\n              permeability improved by 191.25%. The membrane's gas selection ability significantly improved after coating the surface with PDMS. CO\n              2\n              /CH\n              4\n              separation increased by 255.06% and H\n              2\n              /CH\n              4\n              separation by 179.44%. We also considered the\n              F\n              index\n              to assess the overall performance of the membrane. The 5% and 10% PPs membranes were exceptional. Adding PPs to membrane technology may greatly enhance gas separation processes.","container-title":"RSC Advances","DOI":"10.1039/D3RA06136A","ISSN":"2046-2069","issue":"4","journalAbbreviation":"RSC Adv.","language":"en","page":"2311-2319","source":"DOI.org (Crossref)","title":"Utilization of polyphenylene sulfide as an organic additive to enhance gas separation performance in polysulfone membranes","volume":"14","author":[{"family":"Junaidi","given":"Afdhal"},{"family":"Zulfiani","given":"Utari"},{"family":"Khomariyah","given":"Siti"},{"family":"Gunawan","given":"Triyanda"},{"family":"Widiastuti","given":"Nurul"},{"family":"Sazali","given":"Norazlianie"},{"family":"Salleh","given":"Wan Norharyati Wan"}],"issued":{"date-parts":[["2024"]]}}}],"schema":"https://github.com/citation-style-language/schema/raw/master/csl-citation.json"} </w:instrText>
      </w:r>
      <w:r w:rsidR="002A77D5">
        <w:fldChar w:fldCharType="separate"/>
      </w:r>
      <w:r w:rsidR="00A0334F" w:rsidRPr="00A0334F">
        <w:t>[11–13]</w:t>
      </w:r>
      <w:r w:rsidR="002A77D5">
        <w:fldChar w:fldCharType="end"/>
      </w:r>
      <w:r w:rsidRPr="007E2F76">
        <w:t>. Glassy polymers are among the most used materials for gas separation membranes because their rigid chains create free volume that can discriminate gases by size</w:t>
      </w:r>
      <w:r w:rsidR="00C750AF">
        <w:t xml:space="preserve"> </w:t>
      </w:r>
      <w:r w:rsidR="00C750AF">
        <w:fldChar w:fldCharType="begin"/>
      </w:r>
      <w:r w:rsidR="00F954A4">
        <w:instrText xml:space="preserve"> ADDIN ZOTERO_ITEM CSL_CITATION {"citationID":"FUKLNKhu","properties":{"formattedCitation":"[14\\uc0\\u8211{}16]","plainCitation":"[14–16]","noteIndex":0},"citationItems":[{"id":"wW54kaFO/9r6WP0jD","uris":["http://zotero.org/users/local/HM6wA45z/items/665XZ5M8"],"itemData":{"id":828,"type":"article-journal","abstract":"The fabrication of membranes for gas separation presents challenges that hinder their deployment as a truly sustainable technology. This review systematically explores the evolution and advancements in materials and manufacturing methods of polymer-based membranes, with a keen emphasis on sustainability and efficiency. The review delineates a broad spectrum of manufacturing techniques, ranging from traditional methods to cutting-edge approaches such as layer-by-layer assembly, and green synthesis, highlighting their implications for environmental sustainability, performance enhancement, scalability, and economic viability. Key findings indicate a significant shift towards greener solvents, biobased polymers and processes that reduce waste and costs. Critical analysis uncovers a growing focus on understanding the life cycle of membranes and developing strategies for end-of-life such as recycling and the use of biodegradable materials, underscoring the commitment of the community to minimizing environmental footprints.","container-title":"Frontiers in Membrane Science and Technology","DOI":"10.3389/frmst.2024.1390599","ISSN":"2813-1010","journalAbbreviation":"Front. Membr. Sci. Technol.","language":"English","note":"publisher: Frontiers","source":"Frontiers","title":"Advanced and sustainable manufacturing methods of polymer-based membranes for gas separation: a review","title-short":"Advanced and sustainable manufacturing methods of polymer-based membranes for gas separation","URL":"https://www.frontiersin.org/journals/membrane-science-and-technology/articles/10.3389/frmst.2024.1390599/full","volume":"3","author":[{"family":"Alkandari","given":"Sharifah H."},{"family":"Castro-Dominguez","given":"Bernardo"}],"accessed":{"date-parts":[["2025",7,11]]},"issued":{"date-parts":[["2024",5,9]]}}},{"id":206,"uris":["http://zotero.org/users/18181281/items/LK2I8QAS"],"itemData":{"id":206,"type":"article-journal","abstract":"Porous carbon derived from polyphenylene sulfide (PPs), which is enriched with sulfur functionalities, emerges as a highly promising material for the adsorption of CO2, due to its polar and acid-base interactions. While prior studies have explored its potential as an S-doped carbon adsorbent, a comprehensive understanding of its gas adsorption behavior and separation performance remains limited. This study explores the adsorption kinetics, thermodynamics, and gas separation performance of self S-doped porous carbon from PPs (PCs) for CO2, CH4, and N2 gas, both as a distinct adsorbent and as a filler in mixed matrix membranes (MMMs). The porous carbon was synthesized through a one-step activation process utilizing potassium carbonate (K2CO3) resulting in a high surface area of 2023 m2/g and a CO2 uptake of 4.59 mmol/g at 30 ◦C. Adsorption kinetic modeling and thermodynamic analysis confirm favorable CO2 adsorption mechanisms compared to CH4 and N2. Furthermore, the addition of PCs to hollow fiber membranes significantly enhanced CO2 permeability, increasing it from 7.64 GPU to 67.49 GPU while maintaining CH4 and N2 permeability, leading to improved selectivity. These findings highlight the critical role of S-doped carbon fillers in enhancing both adsorption efficiency and membrane-based gas separation, offering new insights into their interaction mechanisms and practical applications in CO2 capture and separation.","container-title":"Chemical Engineering Journal","DOI":"10.1016/j.cej.2025.161861","ISSN":"13858947","journalAbbreviation":"Chemical Engineering Journal","language":"en","page":"161861","source":"DOI.org (Crossref)","title":"Self S-doped porous carbon from polyphenylene sulfide: Kinetic and thermodynamic study of CO2 adsorption and separation performance","title-short":"Self S-doped porous carbon from polyphenylene sulfide","volume":"510","author":[{"family":"Junaidi","given":"Afdhal"},{"family":"Nilamsari","given":"Dini Nirmala"},{"family":"Nareswari","given":"Cininta"},{"family":"Sazali","given":"Norazlianie"},{"family":"Gunawan","given":"Triyanda"},{"family":"Widiastuti","given":"Nurul"}],"issued":{"date-parts":[["2025",4]]}}},{"id":127,"uris":["http://zotero.org/users/18181281/items/NKXUB23P"],"itemData":{"id":127,"type":"article-journal","abstract":"This study aims to enhance the H2/N2 separation performance of polysulfone (PSF) hollow fiber membranes by annealing. X-ray diffraction, SEM, and FESEM were utilized to evaluate morphological and structural changes in denser annealed PSF membranes. AFM topography images were used to investigate the annealed form and roughness of PSF membranes. Before testing membrane permeation, it was annealed at 120, 150, and 190 °C to optimize gas separation performance. Compare to all annealing temperatures (120, 150, and 190 °C), the annealed PSF membrane at 150 °C had the greatest H2/N2 selectivity (16.18), but its separation performance was unsatisfactory since it was below the Robeson upper limit curve. The PSF before annealing and the PSF annealed at 190 °C showed outstanding separation performance (2.60 and 2.71, respectively), despite their lower selectivity than the PSF annealed at 150 °C.","container-title":"RASAYAN Journal of Chemistry","DOI":"10.31788/RJC.2022.1546962","ISSN":"09760083","issue":"04","journalAbbreviation":"RJC","language":"en","page":"2292-2298","source":"DOI.org (Crossref)","title":"ELEVATED H2/N2 SEPARATION PERFORMANCE BY ANNEALING POST-TREATMENT OF POLYSULFONE HOLLOW FIBER MEMBRANE","volume":"15","author":[{"family":"Caralin","given":"I.S."},{"family":"Widyanto","given":"A.R."},{"literal":"N. Widiastuti"},{"literal":"R. Wijiyanti"},{"literal":"T. Gunawan"},{"family":"Karim","given":"Z.A."},{"literal":"M. Nomura"},{"literal":"Y. Yoshida"}],"issued":{"date-parts":[["2022"]]}}}],"schema":"https://github.com/citation-style-language/schema/raw/master/csl-citation.json"} </w:instrText>
      </w:r>
      <w:r w:rsidR="00C750AF">
        <w:fldChar w:fldCharType="separate"/>
      </w:r>
      <w:r w:rsidR="00BC0D9E" w:rsidRPr="00BC0D9E">
        <w:t>[14–16]</w:t>
      </w:r>
      <w:r w:rsidR="00C750AF">
        <w:fldChar w:fldCharType="end"/>
      </w:r>
      <w:r w:rsidRPr="007E2F76">
        <w:t xml:space="preserve">. Polyimides, for instance, give high selectivity but tend to plasticize under CO₂, while cellulose acetate is low-cost but easily degrades in humid conditions </w:t>
      </w:r>
      <w:r w:rsidR="00C750AF">
        <w:fldChar w:fldCharType="begin"/>
      </w:r>
      <w:r w:rsidR="00F954A4">
        <w:instrText xml:space="preserve"> ADDIN ZOTERO_ITEM CSL_CITATION {"citationID":"cWccQoFO","properties":{"formattedCitation":"[17\\uc0\\u8211{}20]","plainCitation":"[17–20]","noteIndex":0},"citationItems":[{"id":"wW54kaFO/3NctmyPy","uris":["http://zotero.org/users/local/HM6wA45z/items/ACWVMCB8"],"itemData":{"id":830,"type":"article-journal","abstract":"Despite exhibiting excellent thermal/chemical stability, mechanical robustness, and easy processability, which makes them attractive candidates for gas separation applications, aromatic polyimides are susceptible to plasticization. This study proposes an effective approach to suppress CO2-induced plasticization in a high fractional free volume (FFV) polyimide (PI*) derived from 4,4’-(hexafluoroisopropylidene)diphthalic anhydride and 2,4,6-trimethylphenyldiamine. PI* was first modified by incorporating 3,5-diaminobenzoic acid (DABA) and polyethylene oxide segments (PEO) into the polymer backbone, with the goal of partially removing PEO through high temperature (450 °C) pyrolysis, thereby increasing the membrane FFV and, simultaneously, providing enhanced plasticization resistance via DABA cross-linking. To mitigate the effects of themomechanical history, the membranes were aged prior to the thermal treatment process. However, the great enhancement in plasticization resistance was not accompanied by a parallel improvement in the separation performance relative to PI*. To address this shortcoming, a microporous organic polymer (POP) was blended with the polyimides to fabricate mechanically-robust mixed matrix membranes (MMMs). Remarkably, MMM plasticization was suppressed even without the aid of thermal crosslinking for PEO-containing PI*, which was rationalized by molecular simulation invoking the formation of hydrogen bonds between the lactam groups of the POP and PEO moieties.","container-title":"Polymer","DOI":"10.1016/j.polymer.2023.126535","ISSN":"0032-3861","journalAbbreviation":"Polymer","page":"126535","source":"ScienceDirect","title":"Plasticization resistant gas separation membranes derived from polyimides exhibiting polyethylene-oxide moieties","volume":"290","author":[{"family":"Matesanz-Niño","given":"Laura"},{"family":"Webb","given":"Matthew T."},{"family":"González-Ortega","given":"Alfonso"},{"family":"Palacio","given":"Laura"},{"family":"Álvarez","given":"Cristina"},{"family":"Lozano","given":"Ángel E."},{"family":"Galizia","given":"Michele"}],"issued":{"date-parts":[["2024",1,5]]}}},{"id":177,"uris":["http://zotero.org/users/18181281/items/RPUZKY3G"],"itemData":{"id":177,"type":"article-journal","abstract":"Zeolite templated carbon (ZTC), a structurally unique carbon material was used as new fillers for the preparation of composite polymeric membrane derived from BTDA-TDI/MDI (P84) copolyimide. The thermal stability of membrane, the structure evolution, morphology and topology, as well as gas separation performance of modified membranes were investigated. Zeolite-Y, a hard template for ZTC, was synthesized via hydrothermal method. The ZTC was synthesized via impregnation of sucrose as carbon precursor into zeolite pore and followed by carbonization at 800°C. The zeolite template was removed through acid treatment to obtain ZTC, which was used as fillers for membrane preparation. The membrane was prepared using P84 co-polyimide as membrane precursor via phase inversion process. Synthesized materials were characterized using SEM, XRD, N2 adsorption-desorption isotherm and TEM. The thermal stability of membrane was improved by the addition of ZTC. As the result of ZTC loading into P84 copolyimide membrane, the gas permeability of CO2 increased thirty-four times, as well as the CO2/CH4 selectivity boosted from 0.76 to 5.23. The ordered pore structure in ZTC plays important role in increasing the permeability and selectivity performances of the P84 copolyimide membrane.","container-title":"Malaysian Journal of Fundamental and Applied Sciences","DOI":"10.11113/mjfas.v15n3.1461","ISSN":"2289-599X, 2289-5981","issue":"3","journalAbbreviation":"Mal. J. Fund. Appl. Sci.","language":"en","license":"http://creativecommons.org/licenses/by-nc/4.0","page":"407-413","source":"DOI.org (Crossref)","title":"Zeolite templated carbon: Preparation, characterization and performance as filler material in co-polyimide membranes for CO2/CH4 separation","title-short":"Zeolite templated carbon","volume":"15","author":[{"family":"Gunawan","given":"Triyanda"},{"family":"Romadiansyah","given":"Taufik Qodar"},{"family":"Wijiyanti","given":"Rika"},{"family":"Wan Salleh","given":"Wan Norharyati"},{"family":"Widiastuti","given":"Nurul"}],"issued":{"date-parts":[["2019",6,25]]}}},{"id":179,"uris":["http://zotero.org/users/18181281/items/FJPJS5LW"],"itemData":{"id":179,"type":"article-journal","abstract":"Mixed Matrix Membranes (MMMs) which consist of 0.3 wt.% ZeoliteCarbon Composite (ZCC) dispersed in BTDA-TDI/MDI (P84 co-polyimide) have been prepared through phase inversion method by using N-methyl-2-pyrrolidone (NMP) as a solvent. Membranes were characterized by X-Ray Diffraction (XRD), Scanning Electron Microscopy (SEM), Atomic Force Microscopy (AFM), Thermogravimetric Analysis (TGA), and Fourier Transform Infrared (FTIR). Membrane performance was measured by a single gas permeation of CO2 and CH4. The maximum permeability of CO2 and CH4, which up to 12.67 and 6.03 Barrer, respectively. P84/ZCC mixed matrix membrane also showed a great enhancement in ideal selectivity of CO2/CH4 2.10 compared to the pure P84 co-polyimide membrane.","container-title":"Indonesian Journal of Chemistry","DOI":"10.22146/ijc.35727","ISSN":"2460-1578, 1411-9420","issue":"3","journalAbbreviation":"Indones. J. Chem.","language":"en","license":"http://creativecommons.org/licenses/by-nc-nd/4.0","page":"650","source":"DOI.org (Crossref)","title":"P84/Zeolite-Carbon Composite Mixed Matrix Membrane for CO&lt;sub&gt;2&lt;/sub&gt;/CH&lt;sub&gt;4&lt;/sub&gt; Separation","volume":"19","author":[{"family":"Gunawan","given":"Triyanda"},{"family":"Rahayu","given":"Retno Puji"},{"family":"Wijiyanti","given":"Rika"},{"family":"Wan Salleh","given":"Wan Norharyati"},{"family":"Widiastuti","given":"Nurul"}],"issued":{"date-parts":[["2019",5,29]]}}},{"id":182,"uris":["http://zotero.org/users/18181281/items/LYX78NEL"],"itemData":{"id":182,"type":"article-journal","abstract":"In this study, a simple coating technique to enhance the selectivity performance of P84 co-polyimide hollow fiber polymer membrane was investigated. The hollow fiber membrane was coated with polydimethylsiloxane (PDMS) to prevent gas flow through the defect surface. The prepared membranes were characterized using X-Ray Diffraction (XRD), Fourier Transform Infrared (FTIR), Scanning Electron Microscopy (SEM) and pure gas permeation measurement. The pure gas of O2 and N2 were used to determine the permeation properties of the hollow fiber membrane. The single gas measurement showed that the perm-selectivity of O2/N2 of the hollow fiber membrane increased up to 181% after the coating treatment. It is concluded that the simple coating technique has significant effect in enhancing the selectivity performance of the hollow fiber membrane.","container-title":"IOP Conference Series: Materials Science and Engineering","DOI":"10.1088/1757-899X/546/4/042042","ISSN":"1757-8981, 1757-899X","issue":"4","journalAbbreviation":"IOP Conf. Ser.: Mater. Sci. Eng.","language":"en","page":"042042","source":"DOI.org (Crossref)","title":"Simple Method to Enhance O&lt;sub&gt;2&lt;/sub&gt; /N&lt;sub&gt;2&lt;/sub&gt; Separation on P84 co-polyimide Hollow Fiber Membrane","volume":"546","author":[{"family":"Sari","given":"Pusfita"},{"family":"Gunawan","given":"Triyanda"},{"family":"Wan Salleh","given":"Wan Norharyati"},{"family":"Ismail","given":"Ahmad Fauzi"},{"family":"Widiastuti","given":"Nurul"}],"issued":{"date-parts":[["2019",6,1]]}}}],"schema":"https://github.com/citation-style-language/schema/raw/master/csl-citation.json"} </w:instrText>
      </w:r>
      <w:r w:rsidR="00C750AF">
        <w:fldChar w:fldCharType="separate"/>
      </w:r>
      <w:r w:rsidR="00BC0D9E" w:rsidRPr="00BC0D9E">
        <w:t>[17–20]</w:t>
      </w:r>
      <w:r w:rsidR="00C750AF">
        <w:fldChar w:fldCharType="end"/>
      </w:r>
      <w:r w:rsidR="00C074A3">
        <w:t>.</w:t>
      </w:r>
    </w:p>
    <w:p w14:paraId="738707BC" w14:textId="59714B5F" w:rsidR="007E2F76" w:rsidRPr="007E2F76" w:rsidRDefault="007E2F76" w:rsidP="00143879">
      <w:pPr>
        <w:pStyle w:val="Paragraph"/>
      </w:pPr>
      <w:proofErr w:type="spellStart"/>
      <w:r w:rsidRPr="007E2F76">
        <w:lastRenderedPageBreak/>
        <w:t>Polysulfone</w:t>
      </w:r>
      <w:proofErr w:type="spellEnd"/>
      <w:r w:rsidRPr="007E2F76">
        <w:t xml:space="preserve"> (</w:t>
      </w:r>
      <w:proofErr w:type="spellStart"/>
      <w:r w:rsidRPr="007E2F76">
        <w:t>PSf</w:t>
      </w:r>
      <w:proofErr w:type="spellEnd"/>
      <w:r w:rsidRPr="007E2F76">
        <w:t xml:space="preserve">) is a polymer that combines good thermal and chemical stability with ease of processing </w:t>
      </w:r>
      <w:r w:rsidR="00955844">
        <w:fldChar w:fldCharType="begin"/>
      </w:r>
      <w:r w:rsidR="00F954A4">
        <w:instrText xml:space="preserve"> ADDIN ZOTERO_ITEM CSL_CITATION {"citationID":"QNGvjVn3","properties":{"formattedCitation":"[21,22]","plainCitation":"[21,22]","noteIndex":0},"citationItems":[{"id":"wW54kaFO/CsxsCORp","uris":["http://zotero.org/users/local/HM6wA45z/items/R5XTI6RT"],"itemData":{"id":403,"type":"article-journal","abstract":"Membrane technology is the most promising technology in the post-combustion capture technology compared to absorption, adsorption and cryogenic distillation methods. It is an advanced new technology for recovery of carbon dioxide. It has several advantages when compared to other methods due to its’ simple process, low cost, lower footprint, sustainable environment and energy saving method. The challenge is the fabrication method of the polymeric membrane, and it depends on the particular utilisation of the membrane. Different morphologies of the membrane structure can be produced using different methods.","container-title":"Journal of Applied Membrane Science &amp; Technology","DOI":"10.11113/amst.v26n2.240","ISSN":"2600-9226","issue":"2","language":"en","license":"Copyright (c) 2022 Journal of Applied Membrane Science &amp; Technology","note":"number: 2","page":"43-48","source":"amst.utm.my","title":"Grand Challenges in Membrane Process for Gas Separation","volume":"26","author":[{"family":"Ming","given":"Wong Shei"},{"family":"Jawad","given":"Zeinab Abbas"},{"family":"Qasim","given":"Mohammad"}],"issued":{"date-parts":[["2022",7,25]]}}},{"id":"wW54kaFO/b6KWYPhi","uris":["http://zotero.org/users/local/HM6wA45z/items/SIBL2SM7"],"itemData":{"id":405,"type":"article-journal","abstract":"Polymeric gas separation membranes have become a competent technology over the past few decades. This review focuses on the broad classifications of membrane materials and the criteria for the selection of membrane materials, describes the various synthesis routes adopted for membrane fabrication, and explains various gas transport mechanisms. A comparison of membrane-based separation technology with other conventional technologies has also been made. The review also discusses the current polymers used for gas separations, current commercially viable membrane-based gas separation processes, and various limitations associated with the development of membrane material and separation processes. Further, various new classes of membranes developed for gas separations, including thermally rearranged polymers, polymers of intrinsic microporosity, room temperature ionic liquids, perfluoro polymers, and mixed matrix membranes, that has high separation performance has also been discussed. Some of the emerging membrane-based gas separations are also reviewed.","container-title":"Journal of Industrial and Engineering Chemistry","DOI":"10.1016/j.jiec.2021.03.030","ISSN":"1226-086X","journalAbbreviation":"Journal of Industrial and Engineering Chemistry","page":"103-129","source":"ScienceDirect","title":"Current and future trends in polymer membrane-based gas separation technology: A comprehensive review","title-short":"Current and future trends in polymer membrane-based gas separation technology","volume":"98","author":[{"family":"Sidhikku Kandath Valappil","given":"Riya"},{"family":"Ghasem","given":"Nayef"},{"family":"Al-Marzouqi","given":"Mohamed"}],"issued":{"date-parts":[["2021",6,25]]}}}],"schema":"https://github.com/citation-style-language/schema/raw/master/csl-citation.json"} </w:instrText>
      </w:r>
      <w:r w:rsidR="00955844">
        <w:fldChar w:fldCharType="separate"/>
      </w:r>
      <w:r w:rsidR="00BC0D9E" w:rsidRPr="00BC0D9E">
        <w:t>[21,22]</w:t>
      </w:r>
      <w:r w:rsidR="00955844">
        <w:fldChar w:fldCharType="end"/>
      </w:r>
      <w:r w:rsidR="00955844">
        <w:t>.</w:t>
      </w:r>
      <w:r w:rsidRPr="007E2F76">
        <w:t xml:space="preserve"> Its aromatic and sulfone groups provide rigidity, while fabrication by phase inversion gives control over the dense selective layer. Most studies on </w:t>
      </w:r>
      <w:proofErr w:type="spellStart"/>
      <w:r w:rsidRPr="007E2F76">
        <w:t>PSf</w:t>
      </w:r>
      <w:proofErr w:type="spellEnd"/>
      <w:r w:rsidRPr="007E2F76">
        <w:t xml:space="preserve"> membranes have looked at mixed matrix or composite systems [15–17]. In contrast, systematic work on neat </w:t>
      </w:r>
      <w:proofErr w:type="spellStart"/>
      <w:r w:rsidRPr="007E2F76">
        <w:t>PSf</w:t>
      </w:r>
      <w:proofErr w:type="spellEnd"/>
      <w:r w:rsidRPr="007E2F76">
        <w:t xml:space="preserve"> membranes is still limited, even though such studies are useful. First, they establish a baseline to understand how polymer concentration affects both morphology and gas transport. Second, neat </w:t>
      </w:r>
      <w:proofErr w:type="spellStart"/>
      <w:r w:rsidRPr="007E2F76">
        <w:t>PSf</w:t>
      </w:r>
      <w:proofErr w:type="spellEnd"/>
      <w:r w:rsidRPr="007E2F76">
        <w:t xml:space="preserve"> membranes are easier and cheaper to produce, making them suitable as reference materials and as potential candidates for scale-up</w:t>
      </w:r>
      <w:r w:rsidR="00C074A3">
        <w:t xml:space="preserve"> </w:t>
      </w:r>
      <w:r w:rsidR="00C074A3">
        <w:fldChar w:fldCharType="begin"/>
      </w:r>
      <w:r w:rsidR="00F954A4">
        <w:instrText xml:space="preserve"> ADDIN ZOTERO_ITEM CSL_CITATION {"citationID":"nWJx8jTC","properties":{"formattedCitation":"[23]","plainCitation":"[23]","noteIndex":0},"citationItems":[{"id":"wW54kaFO/aiOzyJ3n","uris":["http://zotero.org/users/local/HM6wA45z/items/SSPSW4DW"],"itemData":{"id":832,"type":"article-journal","abstract":"The conservation of cellulose acetate plastics in museum collections presents a significant challenge, due to the material's instability. Several studies have led to an understanding of the role of relative humidity (RH) and temperature in the decay process. It is well established that a major decay mechanism in cellulose acetate museum objects is the loss of plasticiser, and that the main decay mechanism of the polymer chain involves hydrolysis reactions. This leads to the loss of sidechain groups and the breakdown of the main polymer backbone. However, interactions between these decay mechanisms, specifically the way in which the loss of plasticiser can modify the interaction between cellulose acetate and water, has not yet been investigated. This research addresses the role of RH, studying the sorption and diffusion of water in cellulose acetate and how this interaction can be affected by plasticiser concentration using Dynamic Vapour Sorption (DVS).","container-title":"Carbohydrate Polymers","DOI":"10.1016/j.carbpol.2021.118185","ISSN":"0144-8617","journalAbbreviation":"Carbohydrate Polymers","page":"118185","source":"ScienceDirect","title":"Water sorption and diffusion in cellulose acetate: The effect of plasticisers","title-short":"Water sorption and diffusion in cellulose acetate","volume":"267","author":[{"family":"Gaudio","given":"Isabella","non-dropping-particle":"del"},{"family":"Hunter-Sellars","given":"Elwin"},{"family":"Parkin","given":"Ivan P."},{"family":"Williams","given":"Daryl"},{"family":"Da Ros","given":"Simoní"},{"family":"Curran","given":"Katherine"}],"issued":{"date-parts":[["2021",9,1]]}}}],"schema":"https://github.com/citation-style-language/schema/raw/master/csl-citation.json"} </w:instrText>
      </w:r>
      <w:r w:rsidR="00C074A3">
        <w:fldChar w:fldCharType="separate"/>
      </w:r>
      <w:r w:rsidR="00BC0D9E" w:rsidRPr="00BC0D9E">
        <w:t>[23]</w:t>
      </w:r>
      <w:r w:rsidR="00C074A3">
        <w:fldChar w:fldCharType="end"/>
      </w:r>
      <w:r w:rsidR="00C074A3">
        <w:t>.</w:t>
      </w:r>
      <w:r w:rsidRPr="007E2F76">
        <w:t>.</w:t>
      </w:r>
    </w:p>
    <w:p w14:paraId="1A21F794" w14:textId="7F9AA06E" w:rsidR="00ED2FFC" w:rsidRDefault="007E2F76" w:rsidP="00143879">
      <w:pPr>
        <w:pStyle w:val="Paragraph"/>
      </w:pPr>
      <w:r w:rsidRPr="007E2F76">
        <w:t xml:space="preserve">In this work, we prepared </w:t>
      </w:r>
      <w:proofErr w:type="spellStart"/>
      <w:r w:rsidRPr="007E2F76">
        <w:t>PSf</w:t>
      </w:r>
      <w:proofErr w:type="spellEnd"/>
      <w:r w:rsidRPr="007E2F76">
        <w:t xml:space="preserve"> membranes by dry phase inversion with polymer concentrations ranging from 6 to 16 </w:t>
      </w:r>
      <w:proofErr w:type="spellStart"/>
      <w:r w:rsidRPr="007E2F76">
        <w:t>wt</w:t>
      </w:r>
      <w:proofErr w:type="spellEnd"/>
      <w:r w:rsidRPr="007E2F76">
        <w:t xml:space="preserve">%. The membranes were characterized by SEM, XRD, and FTIR, and their H₂/CO₂ separation performance was tested in single-gas experiments at 1 bar and 298 K. The aim was to determine the optimum </w:t>
      </w:r>
      <w:proofErr w:type="spellStart"/>
      <w:r w:rsidRPr="007E2F76">
        <w:t>PSf</w:t>
      </w:r>
      <w:proofErr w:type="spellEnd"/>
      <w:r w:rsidRPr="007E2F76">
        <w:t xml:space="preserve"> concentration that provides the best balance between permeability and selectivity, while also offering insight for future development of </w:t>
      </w:r>
      <w:proofErr w:type="spellStart"/>
      <w:r w:rsidRPr="007E2F76">
        <w:t>PSf</w:t>
      </w:r>
      <w:proofErr w:type="spellEnd"/>
      <w:r w:rsidRPr="007E2F76">
        <w:t>-based mixed matrix membranes.</w:t>
      </w:r>
    </w:p>
    <w:p w14:paraId="3E0D96CA" w14:textId="7C813E7E" w:rsidR="00AC5218" w:rsidRPr="00677D94" w:rsidRDefault="00AC5218" w:rsidP="00677D94">
      <w:pPr>
        <w:pStyle w:val="Heading2"/>
        <w:jc w:val="center"/>
        <w:rPr>
          <w:rFonts w:ascii="Times New Roman" w:hAnsi="Times New Roman" w:cs="Times New Roman"/>
          <w:b/>
          <w:bCs/>
          <w:color w:val="000000" w:themeColor="text1"/>
          <w:sz w:val="24"/>
          <w:szCs w:val="24"/>
        </w:rPr>
      </w:pPr>
      <w:r w:rsidRPr="00677D94">
        <w:rPr>
          <w:rFonts w:ascii="Times New Roman" w:hAnsi="Times New Roman" w:cs="Times New Roman"/>
          <w:b/>
          <w:bCs/>
          <w:color w:val="000000" w:themeColor="text1"/>
          <w:sz w:val="24"/>
          <w:szCs w:val="24"/>
        </w:rPr>
        <w:t>EXPERIMENTAL</w:t>
      </w:r>
    </w:p>
    <w:p w14:paraId="2A5E8A31" w14:textId="77777777" w:rsidR="00AC5218" w:rsidRPr="00677D94" w:rsidRDefault="00AC5218" w:rsidP="00677D94">
      <w:pPr>
        <w:pStyle w:val="Heading2"/>
        <w:jc w:val="center"/>
        <w:rPr>
          <w:rFonts w:ascii="Times New Roman" w:hAnsi="Times New Roman" w:cs="Times New Roman"/>
          <w:b/>
          <w:bCs/>
          <w:color w:val="000000" w:themeColor="text1"/>
          <w:sz w:val="24"/>
          <w:szCs w:val="24"/>
        </w:rPr>
      </w:pPr>
      <w:r w:rsidRPr="00677D94">
        <w:rPr>
          <w:rFonts w:ascii="Times New Roman" w:hAnsi="Times New Roman" w:cs="Times New Roman"/>
          <w:b/>
          <w:bCs/>
          <w:color w:val="000000" w:themeColor="text1"/>
          <w:sz w:val="24"/>
          <w:szCs w:val="24"/>
        </w:rPr>
        <w:t>Materials</w:t>
      </w:r>
    </w:p>
    <w:p w14:paraId="50BA63FF" w14:textId="6167F223" w:rsidR="00B97F43" w:rsidRDefault="00B97F43" w:rsidP="00677D94">
      <w:pPr>
        <w:pStyle w:val="Paragraph"/>
        <w:spacing w:before="240" w:after="240"/>
      </w:pPr>
      <w:proofErr w:type="spellStart"/>
      <w:r w:rsidRPr="00B97F43">
        <w:t>Polysulfone</w:t>
      </w:r>
      <w:proofErr w:type="spellEnd"/>
      <w:r w:rsidRPr="00B97F43">
        <w:t xml:space="preserve"> (Udel, Solvay) was used as the membrane polymer, while chloroform (</w:t>
      </w:r>
      <w:proofErr w:type="spellStart"/>
      <w:r w:rsidRPr="00B97F43">
        <w:t>CHCl</w:t>
      </w:r>
      <w:proofErr w:type="spellEnd"/>
      <w:r w:rsidRPr="00B97F43">
        <w:t>₃, analytical grade, Merck) served as the solvent. High-purity gases, H₂ and CO₂ (UHP, 99.9%), were employed in the permeation experiments.</w:t>
      </w:r>
    </w:p>
    <w:p w14:paraId="74DB0365" w14:textId="77777777" w:rsidR="00AC5218" w:rsidRPr="00677D94" w:rsidRDefault="00AC5218" w:rsidP="00677D94">
      <w:pPr>
        <w:pStyle w:val="Heading2"/>
        <w:jc w:val="center"/>
        <w:rPr>
          <w:rFonts w:ascii="Times New Roman" w:hAnsi="Times New Roman" w:cs="Times New Roman"/>
          <w:b/>
          <w:bCs/>
          <w:color w:val="000000" w:themeColor="text1"/>
          <w:sz w:val="24"/>
          <w:szCs w:val="24"/>
        </w:rPr>
      </w:pPr>
      <w:r w:rsidRPr="00677D94">
        <w:rPr>
          <w:rFonts w:ascii="Times New Roman" w:hAnsi="Times New Roman" w:cs="Times New Roman"/>
          <w:b/>
          <w:bCs/>
          <w:color w:val="000000" w:themeColor="text1"/>
          <w:sz w:val="24"/>
          <w:szCs w:val="24"/>
        </w:rPr>
        <w:t>Membrane Preparation</w:t>
      </w:r>
    </w:p>
    <w:p w14:paraId="6E25F9A7" w14:textId="723106DE" w:rsidR="00894B8B" w:rsidRDefault="00894B8B" w:rsidP="0069657D">
      <w:pPr>
        <w:pStyle w:val="Paragraph"/>
        <w:spacing w:before="240" w:after="240"/>
      </w:pPr>
      <w:r w:rsidRPr="00894B8B">
        <w:t xml:space="preserve">The casting solution (dope) was prepared by dissolving </w:t>
      </w:r>
      <w:proofErr w:type="spellStart"/>
      <w:r w:rsidRPr="00894B8B">
        <w:t>polysulfone</w:t>
      </w:r>
      <w:proofErr w:type="spellEnd"/>
      <w:r w:rsidRPr="00894B8B">
        <w:t xml:space="preserve"> (</w:t>
      </w:r>
      <w:proofErr w:type="spellStart"/>
      <w:r w:rsidRPr="00894B8B">
        <w:t>PSf</w:t>
      </w:r>
      <w:proofErr w:type="spellEnd"/>
      <w:r w:rsidRPr="00894B8B">
        <w:t xml:space="preserve">) granules in chloroform, with polymer concentrations of 6, 8, 10, 11, 12, 14, and 16 </w:t>
      </w:r>
      <w:proofErr w:type="spellStart"/>
      <w:r w:rsidRPr="00894B8B">
        <w:t>wt</w:t>
      </w:r>
      <w:proofErr w:type="spellEnd"/>
      <w:r w:rsidRPr="00894B8B">
        <w:t xml:space="preserve">% relative to the total solution weight. Prior to use, the </w:t>
      </w:r>
      <w:proofErr w:type="spellStart"/>
      <w:r w:rsidRPr="00894B8B">
        <w:t>PSf</w:t>
      </w:r>
      <w:proofErr w:type="spellEnd"/>
      <w:r w:rsidRPr="00894B8B">
        <w:t xml:space="preserve"> granules were dried overnight to remove residual moisture. The dried </w:t>
      </w:r>
      <w:proofErr w:type="spellStart"/>
      <w:r w:rsidRPr="00894B8B">
        <w:t>PSf</w:t>
      </w:r>
      <w:proofErr w:type="spellEnd"/>
      <w:r w:rsidRPr="00894B8B">
        <w:t xml:space="preserve"> was gradually added to chloroform and continuously stirred on a hot plate for 24 hours to ensure complete dissolution and homogeneity. The detailed composition of the prepared dope solutions is presented in Table 1. In this study, flat sheet membranes were fabricated using the dry phase inversion technique. The dope solution was cast onto a sterilized glass plate and spread evenly with a glass rod in a single pass. The cast film was left to stand in open air inside a fume hood for 5–7 minutes to allow solvent evaporation. Afterward, the membrane was carefully peeled from the glass plate and stored for further characterization.</w:t>
      </w:r>
    </w:p>
    <w:p w14:paraId="733BF3CA" w14:textId="6DEEE507" w:rsidR="00A20547" w:rsidRPr="007A11A3" w:rsidRDefault="00A20547" w:rsidP="005D4D3A">
      <w:pPr>
        <w:pStyle w:val="Caption"/>
        <w:jc w:val="center"/>
      </w:pPr>
      <w:r w:rsidRPr="005D4D3A">
        <w:rPr>
          <w:b/>
          <w:bCs/>
        </w:rPr>
        <w:t>T</w:t>
      </w:r>
      <w:r w:rsidR="007A11A3" w:rsidRPr="005D4D3A">
        <w:rPr>
          <w:b/>
          <w:bCs/>
        </w:rPr>
        <w:t>ABLE</w:t>
      </w:r>
      <w:r w:rsidRPr="005D4D3A">
        <w:rPr>
          <w:b/>
          <w:bCs/>
        </w:rPr>
        <w:t xml:space="preserve"> </w:t>
      </w:r>
      <w:r w:rsidRPr="005D4D3A">
        <w:rPr>
          <w:b/>
          <w:bCs/>
        </w:rPr>
        <w:fldChar w:fldCharType="begin"/>
      </w:r>
      <w:r w:rsidRPr="005D4D3A">
        <w:rPr>
          <w:b/>
          <w:bCs/>
        </w:rPr>
        <w:instrText xml:space="preserve"> SEQ Table \* ARABIC </w:instrText>
      </w:r>
      <w:r w:rsidRPr="005D4D3A">
        <w:rPr>
          <w:b/>
          <w:bCs/>
        </w:rPr>
        <w:fldChar w:fldCharType="separate"/>
      </w:r>
      <w:r w:rsidR="003071A0">
        <w:rPr>
          <w:b/>
          <w:bCs/>
          <w:noProof/>
        </w:rPr>
        <w:t>1</w:t>
      </w:r>
      <w:r w:rsidRPr="005D4D3A">
        <w:rPr>
          <w:b/>
          <w:bCs/>
        </w:rPr>
        <w:fldChar w:fldCharType="end"/>
      </w:r>
      <w:r w:rsidR="00CF55BC" w:rsidRPr="007A11A3">
        <w:t>.</w:t>
      </w:r>
      <w:r w:rsidRPr="007A11A3">
        <w:t xml:space="preserve"> Dope Solution Compositions</w:t>
      </w:r>
    </w:p>
    <w:tbl>
      <w:tblPr>
        <w:tblStyle w:val="TableGrid"/>
        <w:tblW w:w="0" w:type="auto"/>
        <w:jc w:val="center"/>
        <w:tblLook w:val="04A0" w:firstRow="1" w:lastRow="0" w:firstColumn="1" w:lastColumn="0" w:noHBand="0" w:noVBand="1"/>
      </w:tblPr>
      <w:tblGrid>
        <w:gridCol w:w="1838"/>
        <w:gridCol w:w="2410"/>
        <w:gridCol w:w="1921"/>
      </w:tblGrid>
      <w:tr w:rsidR="00166A58" w14:paraId="6A7AC12C" w14:textId="77777777" w:rsidTr="00166A58">
        <w:trPr>
          <w:trHeight w:val="272"/>
          <w:jc w:val="center"/>
        </w:trPr>
        <w:tc>
          <w:tcPr>
            <w:tcW w:w="1838" w:type="dxa"/>
          </w:tcPr>
          <w:p w14:paraId="65ACF0A1" w14:textId="6C871EC4" w:rsidR="00166A58" w:rsidRDefault="00166A58" w:rsidP="00AC5218">
            <w:pPr>
              <w:pStyle w:val="Paragraph"/>
              <w:ind w:firstLine="0"/>
              <w:jc w:val="center"/>
              <w:rPr>
                <w:b/>
                <w:bCs/>
              </w:rPr>
            </w:pPr>
            <w:r>
              <w:rPr>
                <w:b/>
                <w:bCs/>
              </w:rPr>
              <w:t>Membrane Code</w:t>
            </w:r>
          </w:p>
        </w:tc>
        <w:tc>
          <w:tcPr>
            <w:tcW w:w="2410" w:type="dxa"/>
          </w:tcPr>
          <w:p w14:paraId="36982F93" w14:textId="0E4567B4" w:rsidR="00166A58" w:rsidRDefault="00166A58" w:rsidP="00AC5218">
            <w:pPr>
              <w:pStyle w:val="Paragraph"/>
              <w:ind w:firstLine="0"/>
              <w:jc w:val="center"/>
              <w:rPr>
                <w:b/>
                <w:bCs/>
              </w:rPr>
            </w:pPr>
            <w:proofErr w:type="spellStart"/>
            <w:r>
              <w:rPr>
                <w:b/>
                <w:bCs/>
              </w:rPr>
              <w:t>PSf</w:t>
            </w:r>
            <w:proofErr w:type="spellEnd"/>
            <w:r>
              <w:rPr>
                <w:b/>
                <w:bCs/>
              </w:rPr>
              <w:t xml:space="preserve"> Concentration (</w:t>
            </w:r>
            <w:proofErr w:type="spellStart"/>
            <w:r>
              <w:rPr>
                <w:b/>
                <w:bCs/>
              </w:rPr>
              <w:t>wt</w:t>
            </w:r>
            <w:proofErr w:type="spellEnd"/>
            <w:r>
              <w:rPr>
                <w:b/>
                <w:bCs/>
              </w:rPr>
              <w:t>%)</w:t>
            </w:r>
          </w:p>
        </w:tc>
        <w:tc>
          <w:tcPr>
            <w:tcW w:w="1921" w:type="dxa"/>
          </w:tcPr>
          <w:p w14:paraId="0765E123" w14:textId="7AAFC748" w:rsidR="00166A58" w:rsidRDefault="00166A58" w:rsidP="00AC5218">
            <w:pPr>
              <w:pStyle w:val="Paragraph"/>
              <w:ind w:firstLine="0"/>
              <w:jc w:val="center"/>
              <w:rPr>
                <w:b/>
                <w:bCs/>
              </w:rPr>
            </w:pPr>
            <w:r>
              <w:rPr>
                <w:b/>
                <w:bCs/>
              </w:rPr>
              <w:t>Chloroform (</w:t>
            </w:r>
            <w:proofErr w:type="spellStart"/>
            <w:r>
              <w:rPr>
                <w:b/>
                <w:bCs/>
              </w:rPr>
              <w:t>wt</w:t>
            </w:r>
            <w:proofErr w:type="spellEnd"/>
            <w:r>
              <w:rPr>
                <w:b/>
                <w:bCs/>
              </w:rPr>
              <w:t>%)</w:t>
            </w:r>
          </w:p>
        </w:tc>
      </w:tr>
      <w:tr w:rsidR="00F42A67" w14:paraId="38640C44" w14:textId="77777777" w:rsidTr="00F42A67">
        <w:trPr>
          <w:trHeight w:val="291"/>
          <w:jc w:val="center"/>
        </w:trPr>
        <w:tc>
          <w:tcPr>
            <w:tcW w:w="1838" w:type="dxa"/>
          </w:tcPr>
          <w:p w14:paraId="02519D70" w14:textId="72E7D081" w:rsidR="00F42A67" w:rsidRPr="00166A58" w:rsidRDefault="00F42A67" w:rsidP="00AC5218">
            <w:pPr>
              <w:pStyle w:val="Paragraph"/>
              <w:ind w:firstLine="0"/>
              <w:jc w:val="center"/>
            </w:pPr>
            <w:r w:rsidRPr="00166A58">
              <w:t>PS</w:t>
            </w:r>
            <w:r>
              <w:t>f-6</w:t>
            </w:r>
          </w:p>
        </w:tc>
        <w:tc>
          <w:tcPr>
            <w:tcW w:w="2410" w:type="dxa"/>
          </w:tcPr>
          <w:p w14:paraId="10118D1C" w14:textId="17A81DB7" w:rsidR="00F42A67" w:rsidRPr="00166A58" w:rsidRDefault="00F42A67" w:rsidP="00AC5218">
            <w:pPr>
              <w:pStyle w:val="Paragraph"/>
              <w:ind w:firstLine="0"/>
              <w:jc w:val="center"/>
            </w:pPr>
            <w:r w:rsidRPr="00166A58">
              <w:t>6</w:t>
            </w:r>
          </w:p>
        </w:tc>
        <w:tc>
          <w:tcPr>
            <w:tcW w:w="1921" w:type="dxa"/>
            <w:vAlign w:val="center"/>
          </w:tcPr>
          <w:p w14:paraId="0C5F203A" w14:textId="43FCFB4C" w:rsidR="00DE3223" w:rsidRPr="00166A58" w:rsidRDefault="00DE3223" w:rsidP="00DE3223">
            <w:pPr>
              <w:pStyle w:val="Paragraph"/>
              <w:ind w:firstLine="0"/>
              <w:jc w:val="center"/>
            </w:pPr>
            <w:r>
              <w:t>94</w:t>
            </w:r>
          </w:p>
        </w:tc>
      </w:tr>
      <w:tr w:rsidR="00F42A67" w14:paraId="0A070014" w14:textId="77777777" w:rsidTr="00166A58">
        <w:trPr>
          <w:trHeight w:val="272"/>
          <w:jc w:val="center"/>
        </w:trPr>
        <w:tc>
          <w:tcPr>
            <w:tcW w:w="1838" w:type="dxa"/>
          </w:tcPr>
          <w:p w14:paraId="71375335" w14:textId="7DF2C870" w:rsidR="00F42A67" w:rsidRPr="00166A58" w:rsidRDefault="00F42A67" w:rsidP="00166A58">
            <w:pPr>
              <w:pStyle w:val="Paragraph"/>
              <w:ind w:firstLine="0"/>
              <w:jc w:val="center"/>
            </w:pPr>
            <w:r w:rsidRPr="007E5110">
              <w:t>PSf-</w:t>
            </w:r>
            <w:r>
              <w:t>8</w:t>
            </w:r>
          </w:p>
        </w:tc>
        <w:tc>
          <w:tcPr>
            <w:tcW w:w="2410" w:type="dxa"/>
          </w:tcPr>
          <w:p w14:paraId="72801588" w14:textId="2788A73C" w:rsidR="00F42A67" w:rsidRPr="00166A58" w:rsidRDefault="00F42A67" w:rsidP="00166A58">
            <w:pPr>
              <w:pStyle w:val="Paragraph"/>
              <w:ind w:firstLine="0"/>
              <w:jc w:val="center"/>
            </w:pPr>
            <w:r w:rsidRPr="00166A58">
              <w:t>8</w:t>
            </w:r>
          </w:p>
        </w:tc>
        <w:tc>
          <w:tcPr>
            <w:tcW w:w="1921" w:type="dxa"/>
          </w:tcPr>
          <w:p w14:paraId="36C6F738" w14:textId="3B742DEC" w:rsidR="00F42A67" w:rsidRPr="00166A58" w:rsidRDefault="00DE3223" w:rsidP="00166A58">
            <w:pPr>
              <w:pStyle w:val="Paragraph"/>
              <w:ind w:firstLine="0"/>
              <w:jc w:val="center"/>
            </w:pPr>
            <w:r>
              <w:t>92</w:t>
            </w:r>
          </w:p>
        </w:tc>
      </w:tr>
      <w:tr w:rsidR="00F42A67" w14:paraId="25750D05" w14:textId="77777777" w:rsidTr="00166A58">
        <w:trPr>
          <w:trHeight w:val="272"/>
          <w:jc w:val="center"/>
        </w:trPr>
        <w:tc>
          <w:tcPr>
            <w:tcW w:w="1838" w:type="dxa"/>
          </w:tcPr>
          <w:p w14:paraId="499AC5D9" w14:textId="3A7DA29B" w:rsidR="00F42A67" w:rsidRPr="00166A58" w:rsidRDefault="00F42A67" w:rsidP="00166A58">
            <w:pPr>
              <w:pStyle w:val="Paragraph"/>
              <w:ind w:firstLine="0"/>
              <w:jc w:val="center"/>
            </w:pPr>
            <w:r w:rsidRPr="007E5110">
              <w:t>PSf-</w:t>
            </w:r>
            <w:r>
              <w:t>10</w:t>
            </w:r>
          </w:p>
        </w:tc>
        <w:tc>
          <w:tcPr>
            <w:tcW w:w="2410" w:type="dxa"/>
          </w:tcPr>
          <w:p w14:paraId="51A4F3B7" w14:textId="345592C1" w:rsidR="00F42A67" w:rsidRPr="00166A58" w:rsidRDefault="00F42A67" w:rsidP="00166A58">
            <w:pPr>
              <w:pStyle w:val="Paragraph"/>
              <w:ind w:firstLine="0"/>
              <w:jc w:val="center"/>
            </w:pPr>
            <w:r>
              <w:t>10</w:t>
            </w:r>
          </w:p>
        </w:tc>
        <w:tc>
          <w:tcPr>
            <w:tcW w:w="1921" w:type="dxa"/>
          </w:tcPr>
          <w:p w14:paraId="4026A42C" w14:textId="2ABCC384" w:rsidR="00F42A67" w:rsidRPr="00166A58" w:rsidRDefault="00DE3223" w:rsidP="00166A58">
            <w:pPr>
              <w:pStyle w:val="Paragraph"/>
              <w:ind w:firstLine="0"/>
              <w:jc w:val="center"/>
            </w:pPr>
            <w:r>
              <w:t>90</w:t>
            </w:r>
          </w:p>
        </w:tc>
      </w:tr>
      <w:tr w:rsidR="00F42A67" w14:paraId="3266B862" w14:textId="77777777" w:rsidTr="00166A58">
        <w:trPr>
          <w:trHeight w:val="291"/>
          <w:jc w:val="center"/>
        </w:trPr>
        <w:tc>
          <w:tcPr>
            <w:tcW w:w="1838" w:type="dxa"/>
          </w:tcPr>
          <w:p w14:paraId="168134E9" w14:textId="69E1F3E2" w:rsidR="00F42A67" w:rsidRPr="00166A58" w:rsidRDefault="00F42A67" w:rsidP="00166A58">
            <w:pPr>
              <w:pStyle w:val="Paragraph"/>
              <w:ind w:firstLine="0"/>
              <w:jc w:val="center"/>
            </w:pPr>
            <w:r w:rsidRPr="007E5110">
              <w:t>PSf-</w:t>
            </w:r>
            <w:r>
              <w:t>12</w:t>
            </w:r>
          </w:p>
        </w:tc>
        <w:tc>
          <w:tcPr>
            <w:tcW w:w="2410" w:type="dxa"/>
          </w:tcPr>
          <w:p w14:paraId="75D79C0B" w14:textId="5B8D783B" w:rsidR="00F42A67" w:rsidRPr="00166A58" w:rsidRDefault="00F42A67" w:rsidP="00166A58">
            <w:pPr>
              <w:pStyle w:val="Paragraph"/>
              <w:ind w:firstLine="0"/>
              <w:jc w:val="center"/>
            </w:pPr>
            <w:r>
              <w:t>12</w:t>
            </w:r>
          </w:p>
        </w:tc>
        <w:tc>
          <w:tcPr>
            <w:tcW w:w="1921" w:type="dxa"/>
          </w:tcPr>
          <w:p w14:paraId="6B8A442F" w14:textId="317A3F10" w:rsidR="00F42A67" w:rsidRPr="00166A58" w:rsidRDefault="00DE3223" w:rsidP="00166A58">
            <w:pPr>
              <w:pStyle w:val="Paragraph"/>
              <w:ind w:firstLine="0"/>
              <w:jc w:val="center"/>
            </w:pPr>
            <w:r>
              <w:t>88</w:t>
            </w:r>
          </w:p>
        </w:tc>
      </w:tr>
      <w:tr w:rsidR="00F42A67" w14:paraId="730AF2EA" w14:textId="77777777" w:rsidTr="00166A58">
        <w:trPr>
          <w:trHeight w:val="272"/>
          <w:jc w:val="center"/>
        </w:trPr>
        <w:tc>
          <w:tcPr>
            <w:tcW w:w="1838" w:type="dxa"/>
          </w:tcPr>
          <w:p w14:paraId="29BC6470" w14:textId="28A05318" w:rsidR="00F42A67" w:rsidRPr="00166A58" w:rsidRDefault="00F42A67" w:rsidP="00166A58">
            <w:pPr>
              <w:pStyle w:val="Paragraph"/>
              <w:ind w:firstLine="0"/>
              <w:jc w:val="center"/>
            </w:pPr>
            <w:r w:rsidRPr="007E5110">
              <w:t>PSf-</w:t>
            </w:r>
            <w:r>
              <w:t>14</w:t>
            </w:r>
          </w:p>
        </w:tc>
        <w:tc>
          <w:tcPr>
            <w:tcW w:w="2410" w:type="dxa"/>
          </w:tcPr>
          <w:p w14:paraId="3B65F88D" w14:textId="3AEC272F" w:rsidR="00F42A67" w:rsidRPr="00166A58" w:rsidRDefault="00F42A67" w:rsidP="00166A58">
            <w:pPr>
              <w:pStyle w:val="Paragraph"/>
              <w:ind w:firstLine="0"/>
              <w:jc w:val="center"/>
            </w:pPr>
            <w:r>
              <w:t>14</w:t>
            </w:r>
          </w:p>
        </w:tc>
        <w:tc>
          <w:tcPr>
            <w:tcW w:w="1921" w:type="dxa"/>
          </w:tcPr>
          <w:p w14:paraId="51FD0739" w14:textId="4B1B4E46" w:rsidR="00F42A67" w:rsidRPr="00166A58" w:rsidRDefault="00DE3223" w:rsidP="00166A58">
            <w:pPr>
              <w:pStyle w:val="Paragraph"/>
              <w:ind w:firstLine="0"/>
              <w:jc w:val="center"/>
            </w:pPr>
            <w:r>
              <w:t>86</w:t>
            </w:r>
          </w:p>
        </w:tc>
      </w:tr>
      <w:tr w:rsidR="00F42A67" w14:paraId="7E4C32E2" w14:textId="77777777" w:rsidTr="00166A58">
        <w:trPr>
          <w:trHeight w:val="272"/>
          <w:jc w:val="center"/>
        </w:trPr>
        <w:tc>
          <w:tcPr>
            <w:tcW w:w="1838" w:type="dxa"/>
          </w:tcPr>
          <w:p w14:paraId="06CC2DB8" w14:textId="7A6C7992" w:rsidR="00F42A67" w:rsidRPr="007E5110" w:rsidRDefault="00F42A67" w:rsidP="00166A58">
            <w:pPr>
              <w:pStyle w:val="Paragraph"/>
              <w:ind w:firstLine="0"/>
              <w:jc w:val="center"/>
            </w:pPr>
            <w:r>
              <w:t>PSf-16</w:t>
            </w:r>
          </w:p>
        </w:tc>
        <w:tc>
          <w:tcPr>
            <w:tcW w:w="2410" w:type="dxa"/>
          </w:tcPr>
          <w:p w14:paraId="6202A71C" w14:textId="1A6BD633" w:rsidR="00F42A67" w:rsidRPr="00166A58" w:rsidRDefault="00F42A67" w:rsidP="00166A58">
            <w:pPr>
              <w:pStyle w:val="Paragraph"/>
              <w:ind w:firstLine="0"/>
              <w:jc w:val="center"/>
            </w:pPr>
            <w:r>
              <w:t>16</w:t>
            </w:r>
          </w:p>
        </w:tc>
        <w:tc>
          <w:tcPr>
            <w:tcW w:w="1921" w:type="dxa"/>
          </w:tcPr>
          <w:p w14:paraId="1AD1D103" w14:textId="3D9BB511" w:rsidR="00F42A67" w:rsidRPr="00166A58" w:rsidRDefault="00DE3223" w:rsidP="00166A58">
            <w:pPr>
              <w:pStyle w:val="Paragraph"/>
              <w:ind w:firstLine="0"/>
              <w:jc w:val="center"/>
            </w:pPr>
            <w:r>
              <w:t>84</w:t>
            </w:r>
          </w:p>
        </w:tc>
      </w:tr>
    </w:tbl>
    <w:p w14:paraId="0E1368B0" w14:textId="129A5D35" w:rsidR="00AC5218" w:rsidRPr="00677D94" w:rsidRDefault="00AC5218" w:rsidP="00677D94">
      <w:pPr>
        <w:pStyle w:val="Heading2"/>
        <w:jc w:val="center"/>
        <w:rPr>
          <w:rFonts w:ascii="Times New Roman" w:hAnsi="Times New Roman" w:cs="Times New Roman"/>
          <w:b/>
          <w:bCs/>
          <w:color w:val="000000" w:themeColor="text1"/>
          <w:sz w:val="24"/>
          <w:szCs w:val="24"/>
        </w:rPr>
      </w:pPr>
      <w:r w:rsidRPr="00677D94">
        <w:rPr>
          <w:rFonts w:ascii="Times New Roman" w:hAnsi="Times New Roman" w:cs="Times New Roman"/>
          <w:b/>
          <w:bCs/>
          <w:color w:val="000000" w:themeColor="text1"/>
          <w:sz w:val="24"/>
          <w:szCs w:val="24"/>
        </w:rPr>
        <w:t>Characterization</w:t>
      </w:r>
    </w:p>
    <w:p w14:paraId="19A3DB91" w14:textId="2658C6C5" w:rsidR="00AC5218" w:rsidRDefault="00A219B8" w:rsidP="00A219B8">
      <w:pPr>
        <w:pStyle w:val="Paragraph"/>
        <w:spacing w:before="240" w:after="240"/>
      </w:pPr>
      <w:r w:rsidRPr="00A219B8">
        <w:t xml:space="preserve">The fabricated </w:t>
      </w:r>
      <w:proofErr w:type="spellStart"/>
      <w:r w:rsidRPr="00A219B8">
        <w:t>PSf</w:t>
      </w:r>
      <w:proofErr w:type="spellEnd"/>
      <w:r w:rsidRPr="00A219B8">
        <w:t xml:space="preserve"> membranes were characterized by several techniques. X-ray diffraction (XRD) was used to examine the degree of crystallinity, while Fourier transform infrared spectroscopy (FTIR) was applied to confirm the presence of characteristic functional groups. Surface and cross-sectional morphologies were observed with scanning electron microscopy (SEM). Membrane thickness was estimated from cross-sectional SEM images, and the values were determined using ImageJ software. The images confirmed that the membranes had a dense, symmetric structure, with thickness varying depending on polymer concentration.</w:t>
      </w:r>
    </w:p>
    <w:p w14:paraId="3E2B02EC" w14:textId="3E65F0B9" w:rsidR="00AC5218" w:rsidRPr="00677D94" w:rsidRDefault="00AC5218" w:rsidP="00677D94">
      <w:pPr>
        <w:pStyle w:val="Heading2"/>
        <w:jc w:val="center"/>
        <w:rPr>
          <w:rFonts w:ascii="Times New Roman" w:hAnsi="Times New Roman" w:cs="Times New Roman"/>
          <w:b/>
          <w:bCs/>
          <w:color w:val="000000" w:themeColor="text1"/>
          <w:sz w:val="24"/>
          <w:szCs w:val="24"/>
        </w:rPr>
      </w:pPr>
      <w:r w:rsidRPr="00677D94">
        <w:rPr>
          <w:rFonts w:ascii="Times New Roman" w:hAnsi="Times New Roman" w:cs="Times New Roman"/>
          <w:b/>
          <w:bCs/>
          <w:color w:val="000000" w:themeColor="text1"/>
          <w:sz w:val="24"/>
          <w:szCs w:val="24"/>
        </w:rPr>
        <w:lastRenderedPageBreak/>
        <w:t xml:space="preserve">Gas Permeation </w:t>
      </w:r>
      <w:r w:rsidR="00A20547" w:rsidRPr="00677D94">
        <w:rPr>
          <w:rFonts w:ascii="Times New Roman" w:hAnsi="Times New Roman" w:cs="Times New Roman"/>
          <w:b/>
          <w:bCs/>
          <w:color w:val="000000" w:themeColor="text1"/>
          <w:sz w:val="24"/>
          <w:szCs w:val="24"/>
        </w:rPr>
        <w:t>Performance Test</w:t>
      </w:r>
    </w:p>
    <w:p w14:paraId="0F308B9C" w14:textId="0AF5A58D" w:rsidR="003176A0" w:rsidRDefault="00AC5218" w:rsidP="003176A0">
      <w:pPr>
        <w:pStyle w:val="Paragraph"/>
        <w:spacing w:before="240" w:after="240"/>
      </w:pPr>
      <w:r w:rsidRPr="002876F7">
        <w:t>The</w:t>
      </w:r>
      <w:r w:rsidR="00A20547">
        <w:t xml:space="preserve"> membrane performance was evaluated through single gas permeation tests using H₂ and CO₂ gases. The schematic diagram of the permeation apparatus is shown in Figure 1. During the preparation stage, the membranes were cut into circular shapes to match the diameter of the permeation module. The specifications and parameters used in the gas permeation tests are listed in Table 2.</w:t>
      </w:r>
      <w:r w:rsidR="009B7EE6">
        <w:t xml:space="preserve"> </w:t>
      </w:r>
      <w:r w:rsidR="00A20547">
        <w:t xml:space="preserve">The gas permeation rate was determined by measuring the time required for the feed gas pressure to decrease (change in pressure over time, </w:t>
      </w:r>
      <m:oMath>
        <m:f>
          <m:fPr>
            <m:ctrlPr>
              <w:rPr>
                <w:rFonts w:ascii="Cambria Math" w:hAnsi="Cambria Math"/>
                <w:i/>
              </w:rPr>
            </m:ctrlPr>
          </m:fPr>
          <m:num>
            <m:r>
              <w:rPr>
                <w:rFonts w:ascii="Cambria Math" w:hAnsi="Cambria Math"/>
              </w:rPr>
              <m:t>∆P</m:t>
            </m:r>
          </m:num>
          <m:den>
            <m:r>
              <w:rPr>
                <w:rFonts w:ascii="Cambria Math" w:hAnsi="Cambria Math"/>
              </w:rPr>
              <m:t>∆t</m:t>
            </m:r>
          </m:den>
        </m:f>
      </m:oMath>
      <w:r w:rsidR="009B7EE6">
        <w:t xml:space="preserve">) </w:t>
      </w:r>
      <w:r w:rsidR="00A20547">
        <w:t>and by monitoring the pressure difference between the pressure gauge installed on the permeation module and the permeate reactor throughout the test</w:t>
      </w:r>
      <w:r w:rsidR="000151F1">
        <w:t xml:space="preserve"> </w:t>
      </w:r>
      <w:r w:rsidR="00F954A4">
        <w:fldChar w:fldCharType="begin"/>
      </w:r>
      <w:r w:rsidR="00F954A4">
        <w:instrText xml:space="preserve"> ADDIN ZOTERO_ITEM CSL_CITATION {"citationID":"WxfzfGGN","properties":{"formattedCitation":"[24,25]","plainCitation":"[24,25]","noteIndex":0},"citationItems":[{"id":249,"uris":["http://zotero.org/users/18181281/items/VU8WF3XT"],"itemData":{"id":249,"type":"article-journal","abstract":"High-density polyethylene (HDPE), a widely used polymer globally, notably found in plastic bags, presents an environmental concern due to its non-biodegradable nature. Transforming non-biodegradable HDPE waste into a valuable resource presents a formidable ecological challenge. This research aims to study CO2 and H2 gases toward HDPE-based membranes through the adsorption process with pressure and temperature variation. The highest CO2 and H2 adsorption capacities of 14.19 mmol.g 1 (62.43 %wt) and 18.04 mmol.g 1 (3.61 %wt) were obtained by pressure feeding 3 bar at 30◦C. The adsorption capacity decrease as the temperature increase. At an adsorption temperature of 50◦C, the adsorption capacity of CO2 and H2 decrease, respectively by 75.86 % and 69.81 %. The adsorption kinetics were evaluated using pseudo-first order, pseudo-second order, and intraparticle diffusion models. The kinetic study shows that adsorption at 30◦C follows the pseudo-second order. The adsorption at elevated temperatures reveals the intraparticle diffusion mechanism, indicating that the gas is adsorbed directly into the polymer matrix. Thermodynamic results include enthalpy of adsorption (ΔH), standard entropy of adsorption (ΔS), energy Gibbs (ΔG), and energy activation (Ea). ΔH CO2 and H2 are -22.339 and -23.654 kJ mol 1, respectively, which indicates that the process is exothermic and physisorption. The ΔS value shows that the irregularity and randomness of gas movement during the adsorption process, with the respective values for CO2 and H2 are -0.069 and -0.072 kJ mol 1 K 1, respectively. ΔG for adsorption of CO2 and H2 with increasing temperature becomes less spontaneous, which results in decreased adsorption capacity. Ea of CO2 is greater than H2, so the adsorption capacity of CO2 is smaller than H2. The thermodynamic study shows that the adsorption process is preferable at lower temperatures.","container-title":"South African Journal of Chemical Engineering","DOI":"10.1016/j.sajce.2024.04.004","ISSN":"10269185","journalAbbreviation":"South African Journal of Chemical Engineering","language":"en","page":"105-113","source":"DOI.org (Crossref)","title":"Adsorption of CO2 and H2 on the polymer-based membrane from High-density Polyethylene (HDPE) Plastic","volume":"49","author":[{"family":"Nareswari","given":"Cininta"},{"family":"Zulfiani","given":"Utari"},{"family":"Junaidi","given":"Afdhal"},{"family":"Gunawan","given":"Triyanda"},{"family":"Widiastuti","given":"Nurul"}],"issued":{"date-parts":[["2024",7]]}}},{"id":286,"uris":["http://zotero.org/users/18181281/items/Z8MM96DL"],"itemData":{"id":286,"type":"article-journal","abstract":"The demand for efficient and sustainable gas separation technologies is ever-increasing in various industries, including petrochemicals, natural gas processing, and carbon capture. Polymer-based membranes offer a promising solution due to their potential for high selectivity and energy efficiency. However, achieving optimal gas separation performance often requires overcoming the limitations of individual polymers through modifications such as polymer blending. In this study, PSf/P84 blended membranes with low P84 content were fabricated using the phase separation technique with a mixture of N-methyl-2-pyrrolidone and tetrahydrofuran as solvents. The effect of varying the mass ratio of PSf to P84 on membrane characteristics and gas separation performance was investigated. Characterization techniques included FTIR, XRD, SEM, TGA, Water Contact Angle (WCA) measurement, and mechanical property testing. Gas permeation tests were conducted with single gases at room temperature and 1 bar pressure. The results revealed that the addition of P84 increased membrane thickness, Young’s modulus, and thermal stability, while decreasing d-spacing, dense layer thickness, hydrophilicity, tensile strength, and elongation. The Findex values, indicating the competence of the blended membranes compared to the ideal quality, demonstrated the positive impact of P84 addition on gas separation performance compared to pure PSf membranes. The optimal gas separation selectivity was achieved with the PSf/P84 1:0.025 blended membrane for H2/CH4 (11.28, 58 % increase), H2/CO2 (6.25, 193 % increase), and H2/ N2 (5.25, 35 % increase). The highest N2/CH4 selectivity (6.29, 253 % increase) was observed with the 1:0.10 composition. Regarding commercially relevant separations based on the 2008 Robeson curve, the PSf/P84 1:0.20 blend showed promise for H2/CO2 separation, while the 1:0.05 and 1:0.10 blends were suitable for N2/CH4 separation.","container-title":"Case Studies in Chemical and Environmental Engineering","DOI":"10.1016/j.cscee.2024.100835","ISSN":"26660164","journalAbbreviation":"Case Studies in Chemical and Environmental Engineering","language":"en","page":"100835","source":"DOI.org (Crossref)","title":"Fabrication of PSf/P84-blended membranes with low P84 content: Characteristics and gas separation performance","title-short":"Fabrication of PSf/P84-blended membranes with low P84 content","volume":"10","author":[{"family":"Kayadoe","given":"Victor"},{"family":"Widiastuti","given":"Nurul"},{"family":"Gunawan","given":"Triyanda"},{"family":"Salleh","given":"Wan Norhayati Wan"},{"family":"Fansuri","given":"Hamzah"},{"family":"Romadiansyah","given":"Taufik Qodar"},{"family":"Pratama","given":"Agus Wedi"}],"issued":{"date-parts":[["2024",12]]}}}],"schema":"https://github.com/citation-style-language/schema/raw/master/csl-citation.json"} </w:instrText>
      </w:r>
      <w:r w:rsidR="00F954A4">
        <w:fldChar w:fldCharType="separate"/>
      </w:r>
      <w:r w:rsidR="00F954A4" w:rsidRPr="00F954A4">
        <w:t>[24,25]</w:t>
      </w:r>
      <w:r w:rsidR="00F954A4">
        <w:fldChar w:fldCharType="end"/>
      </w:r>
      <w:r w:rsidR="00A20547">
        <w:t>. The membrane was considered to successfully allow gas permeation if, when the permeate reactor was closed, a pressure reading was observed on the pressure gauge.</w:t>
      </w:r>
      <w:r w:rsidR="00FC09E6">
        <w:t xml:space="preserve"> </w:t>
      </w:r>
      <w:r w:rsidR="003176A0" w:rsidRPr="003176A0">
        <w:t>Each sample was tested five times to ensure reproducibility and reliability of the results.</w:t>
      </w:r>
    </w:p>
    <w:p w14:paraId="56720BD4" w14:textId="1F1EA4CA" w:rsidR="005B1511" w:rsidRDefault="00867146" w:rsidP="005B1511">
      <w:pPr>
        <w:pStyle w:val="Paragraph"/>
        <w:keepNext/>
        <w:ind w:firstLine="0"/>
        <w:jc w:val="center"/>
      </w:pPr>
      <w:r>
        <w:rPr>
          <w:noProof/>
          <w14:ligatures w14:val="standardContextual"/>
        </w:rPr>
        <mc:AlternateContent>
          <mc:Choice Requires="wpg">
            <w:drawing>
              <wp:anchor distT="0" distB="0" distL="114300" distR="114300" simplePos="0" relativeHeight="251659264" behindDoc="0" locked="0" layoutInCell="1" allowOverlap="1" wp14:anchorId="75A4A91B" wp14:editId="394294AB">
                <wp:simplePos x="0" y="0"/>
                <wp:positionH relativeFrom="column">
                  <wp:posOffset>3317631</wp:posOffset>
                </wp:positionH>
                <wp:positionV relativeFrom="paragraph">
                  <wp:posOffset>253658</wp:posOffset>
                </wp:positionV>
                <wp:extent cx="1119163" cy="1553308"/>
                <wp:effectExtent l="0" t="0" r="0" b="0"/>
                <wp:wrapNone/>
                <wp:docPr id="676866019" name="Group 10"/>
                <wp:cNvGraphicFramePr/>
                <a:graphic xmlns:a="http://schemas.openxmlformats.org/drawingml/2006/main">
                  <a:graphicData uri="http://schemas.microsoft.com/office/word/2010/wordprocessingGroup">
                    <wpg:wgp>
                      <wpg:cNvGrpSpPr/>
                      <wpg:grpSpPr>
                        <a:xfrm>
                          <a:off x="0" y="0"/>
                          <a:ext cx="1119163" cy="1553308"/>
                          <a:chOff x="0" y="0"/>
                          <a:chExt cx="1119163" cy="1553308"/>
                        </a:xfrm>
                      </wpg:grpSpPr>
                      <wps:wsp>
                        <wps:cNvPr id="895574287" name="Rectangle 8"/>
                        <wps:cNvSpPr/>
                        <wps:spPr>
                          <a:xfrm>
                            <a:off x="0" y="0"/>
                            <a:ext cx="650631" cy="269631"/>
                          </a:xfrm>
                          <a:prstGeom prst="rect">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5846D3BD" w14:textId="608D3F35" w:rsidR="00867146" w:rsidRPr="00867146" w:rsidRDefault="00867146" w:rsidP="00867146">
                              <w:pPr>
                                <w:jc w:val="center"/>
                                <w:rPr>
                                  <w:color w:val="0E2841" w:themeColor="text2"/>
                                  <w:sz w:val="18"/>
                                  <w:szCs w:val="14"/>
                                </w:rPr>
                              </w:pPr>
                              <w:r w:rsidRPr="00867146">
                                <w:rPr>
                                  <w:color w:val="0E2841" w:themeColor="text2"/>
                                  <w:sz w:val="18"/>
                                  <w:szCs w:val="14"/>
                                </w:rPr>
                                <w:t>Retentate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61967980" name="Rectangle 8"/>
                        <wps:cNvSpPr/>
                        <wps:spPr>
                          <a:xfrm>
                            <a:off x="914400" y="1283677"/>
                            <a:ext cx="204763" cy="269631"/>
                          </a:xfrm>
                          <a:prstGeom prst="rect">
                            <a:avLst/>
                          </a:prstGeom>
                          <a:no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7AD28FF1" w14:textId="26459655" w:rsidR="00867146" w:rsidRPr="00867146" w:rsidRDefault="00867146" w:rsidP="00867146">
                              <w:pPr>
                                <w:jc w:val="center"/>
                                <w:rPr>
                                  <w:color w:val="0E2841" w:themeColor="text2"/>
                                  <w:sz w:val="18"/>
                                  <w:szCs w:val="14"/>
                                </w:rPr>
                              </w:pPr>
                              <w:r>
                                <w:rPr>
                                  <w:color w:val="0E2841" w:themeColor="text2"/>
                                  <w:sz w:val="18"/>
                                  <w:szCs w:val="14"/>
                                </w:rPr>
                                <w: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75A4A91B" id="Group 10" o:spid="_x0000_s1026" style="position:absolute;left:0;text-align:left;margin-left:261.25pt;margin-top:19.95pt;width:88.1pt;height:122.3pt;z-index:251659264" coordsize="11191,155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">
                <v:rect id="Rectangle 8" o:spid="_x0000_s1027" style="position:absolute;width:6506;height:26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" fillcolor="white [3212]" stroked="f" strokeweight="1pt">
                  <v:textbox>
                    <w:txbxContent>
                      <w:p w14:paraId="5846D3BD" w14:textId="608D3F35" w:rsidR="00867146" w:rsidRPr="00867146" w:rsidRDefault="00867146" w:rsidP="00867146">
                        <w:pPr>
                          <w:jc w:val="center"/>
                          <w:rPr>
                            <w:color w:val="0E2841" w:themeColor="text2"/>
                            <w:sz w:val="18"/>
                            <w:szCs w:val="14"/>
                          </w:rPr>
                        </w:pPr>
                        <w:r w:rsidRPr="00867146">
                          <w:rPr>
                            <w:color w:val="0E2841" w:themeColor="text2"/>
                            <w:sz w:val="18"/>
                            <w:szCs w:val="14"/>
                          </w:rPr>
                          <w:t>Retentate</w:t>
                        </w:r>
                      </w:p>
                    </w:txbxContent>
                  </v:textbox>
                </v:rect>
                <v:rect id="Rectangle 8" o:spid="_x0000_s1028" style="position:absolute;left:9144;top:12836;width:2047;height:26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" filled="f" stroked="f" strokeweight="1pt">
                  <v:textbox>
                    <w:txbxContent>
                      <w:p w14:paraId="7AD28FF1" w14:textId="26459655" w:rsidR="00867146" w:rsidRPr="00867146" w:rsidRDefault="00867146" w:rsidP="00867146">
                        <w:pPr>
                          <w:jc w:val="center"/>
                          <w:rPr>
                            <w:color w:val="0E2841" w:themeColor="text2"/>
                            <w:sz w:val="18"/>
                            <w:szCs w:val="14"/>
                          </w:rPr>
                        </w:pPr>
                        <w:r>
                          <w:rPr>
                            <w:color w:val="0E2841" w:themeColor="text2"/>
                            <w:sz w:val="18"/>
                            <w:szCs w:val="14"/>
                          </w:rPr>
                          <w:t>e</w:t>
                        </w:r>
                      </w:p>
                    </w:txbxContent>
                  </v:textbox>
                </v:rect>
              </v:group>
            </w:pict>
          </mc:Fallback>
        </mc:AlternateContent>
      </w:r>
      <w:r w:rsidR="00D354D6">
        <w:rPr>
          <w:noProof/>
        </w:rPr>
        <w:drawing>
          <wp:inline distT="0" distB="0" distL="0" distR="0" wp14:anchorId="640AB672" wp14:editId="060D4108">
            <wp:extent cx="3604260" cy="2750558"/>
            <wp:effectExtent l="0" t="0" r="0" b="0"/>
            <wp:docPr id="13827610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608694" cy="2753941"/>
                    </a:xfrm>
                    <a:prstGeom prst="rect">
                      <a:avLst/>
                    </a:prstGeom>
                    <a:noFill/>
                  </pic:spPr>
                </pic:pic>
              </a:graphicData>
            </a:graphic>
          </wp:inline>
        </w:drawing>
      </w:r>
    </w:p>
    <w:p w14:paraId="62FE90FE" w14:textId="0425BF9F" w:rsidR="009B7EE6" w:rsidRPr="001B46FF" w:rsidRDefault="005B1511" w:rsidP="005B1511">
      <w:pPr>
        <w:pStyle w:val="Caption"/>
        <w:jc w:val="center"/>
      </w:pPr>
      <w:r w:rsidRPr="005B1511">
        <w:rPr>
          <w:b/>
          <w:bCs/>
        </w:rPr>
        <w:t xml:space="preserve">FIGURE </w:t>
      </w:r>
      <w:r w:rsidRPr="005B1511">
        <w:rPr>
          <w:b/>
          <w:bCs/>
        </w:rPr>
        <w:fldChar w:fldCharType="begin"/>
      </w:r>
      <w:r w:rsidRPr="005B1511">
        <w:rPr>
          <w:b/>
          <w:bCs/>
        </w:rPr>
        <w:instrText xml:space="preserve"> SEQ Figure \* ARABIC </w:instrText>
      </w:r>
      <w:r w:rsidRPr="005B1511">
        <w:rPr>
          <w:b/>
          <w:bCs/>
        </w:rPr>
        <w:fldChar w:fldCharType="separate"/>
      </w:r>
      <w:r w:rsidR="003071A0">
        <w:rPr>
          <w:b/>
          <w:bCs/>
          <w:noProof/>
        </w:rPr>
        <w:t>1</w:t>
      </w:r>
      <w:r w:rsidRPr="005B1511">
        <w:rPr>
          <w:b/>
          <w:bCs/>
        </w:rPr>
        <w:fldChar w:fldCharType="end"/>
      </w:r>
      <w:r w:rsidR="001B46FF" w:rsidRPr="007A11A3">
        <w:rPr>
          <w:b/>
          <w:bCs/>
        </w:rPr>
        <w:t>.</w:t>
      </w:r>
      <w:r w:rsidR="001B46FF" w:rsidRPr="001B46FF">
        <w:t xml:space="preserve"> Single Gas Separation Performance Testing Apparatus</w:t>
      </w:r>
    </w:p>
    <w:p w14:paraId="492DFBBD" w14:textId="77777777" w:rsidR="009B7EE6" w:rsidRDefault="009B7EE6" w:rsidP="009B7EE6">
      <w:pPr>
        <w:pStyle w:val="Paragraph"/>
        <w:tabs>
          <w:tab w:val="left" w:pos="6028"/>
        </w:tabs>
        <w:jc w:val="left"/>
      </w:pPr>
      <w:r>
        <w:tab/>
      </w:r>
    </w:p>
    <w:p w14:paraId="1BF14ED1" w14:textId="55853878" w:rsidR="009B7EE6" w:rsidRPr="007A11A3" w:rsidRDefault="009B7EE6" w:rsidP="00D747FE">
      <w:pPr>
        <w:pStyle w:val="Caption"/>
        <w:jc w:val="center"/>
      </w:pPr>
      <w:r w:rsidRPr="00D747FE">
        <w:rPr>
          <w:b/>
          <w:bCs/>
        </w:rPr>
        <w:t>T</w:t>
      </w:r>
      <w:r w:rsidR="007A11A3" w:rsidRPr="00D747FE">
        <w:rPr>
          <w:b/>
          <w:bCs/>
        </w:rPr>
        <w:t>ABLE</w:t>
      </w:r>
      <w:r w:rsidRPr="00D747FE">
        <w:rPr>
          <w:b/>
          <w:bCs/>
        </w:rPr>
        <w:t xml:space="preserve"> </w:t>
      </w:r>
      <w:r w:rsidRPr="00D747FE">
        <w:rPr>
          <w:b/>
          <w:bCs/>
        </w:rPr>
        <w:fldChar w:fldCharType="begin"/>
      </w:r>
      <w:r w:rsidRPr="00D747FE">
        <w:rPr>
          <w:b/>
          <w:bCs/>
        </w:rPr>
        <w:instrText xml:space="preserve"> SEQ Table \* ARABIC </w:instrText>
      </w:r>
      <w:r w:rsidRPr="00D747FE">
        <w:rPr>
          <w:b/>
          <w:bCs/>
        </w:rPr>
        <w:fldChar w:fldCharType="separate"/>
      </w:r>
      <w:r w:rsidR="003071A0">
        <w:rPr>
          <w:b/>
          <w:bCs/>
          <w:noProof/>
        </w:rPr>
        <w:t>2</w:t>
      </w:r>
      <w:r w:rsidRPr="00D747FE">
        <w:rPr>
          <w:b/>
          <w:bCs/>
          <w:noProof/>
        </w:rPr>
        <w:fldChar w:fldCharType="end"/>
      </w:r>
      <w:r w:rsidR="007A11A3" w:rsidRPr="00D747FE">
        <w:rPr>
          <w:b/>
          <w:bCs/>
          <w:noProof/>
        </w:rPr>
        <w:t>.</w:t>
      </w:r>
      <w:r w:rsidRPr="007A11A3">
        <w:t xml:space="preserve"> Specifications and parameters used in the single gas permeation test</w:t>
      </w:r>
    </w:p>
    <w:tbl>
      <w:tblPr>
        <w:tblStyle w:val="TableGrid"/>
        <w:tblW w:w="0" w:type="auto"/>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54"/>
        <w:gridCol w:w="3654"/>
      </w:tblGrid>
      <w:tr w:rsidR="009B7EE6" w14:paraId="1D0BC83C" w14:textId="77777777" w:rsidTr="00D4335F">
        <w:trPr>
          <w:trHeight w:val="247"/>
          <w:jc w:val="center"/>
        </w:trPr>
        <w:tc>
          <w:tcPr>
            <w:tcW w:w="3654" w:type="dxa"/>
            <w:tcBorders>
              <w:bottom w:val="single" w:sz="4" w:space="0" w:color="auto"/>
            </w:tcBorders>
          </w:tcPr>
          <w:p w14:paraId="189DD1B3" w14:textId="5A44A239" w:rsidR="009B7EE6" w:rsidRPr="009C587F" w:rsidRDefault="009B7EE6" w:rsidP="009C587F">
            <w:pPr>
              <w:pStyle w:val="Paragraph"/>
              <w:tabs>
                <w:tab w:val="left" w:pos="6028"/>
              </w:tabs>
              <w:ind w:firstLine="0"/>
              <w:jc w:val="center"/>
              <w:rPr>
                <w:b/>
                <w:bCs/>
              </w:rPr>
            </w:pPr>
            <w:r w:rsidRPr="009C587F">
              <w:rPr>
                <w:b/>
                <w:bCs/>
              </w:rPr>
              <w:t>Spe</w:t>
            </w:r>
            <w:r w:rsidR="009130F7">
              <w:rPr>
                <w:b/>
                <w:bCs/>
              </w:rPr>
              <w:t>c</w:t>
            </w:r>
            <w:r w:rsidRPr="009C587F">
              <w:rPr>
                <w:b/>
                <w:bCs/>
              </w:rPr>
              <w:t>ification</w:t>
            </w:r>
          </w:p>
        </w:tc>
        <w:tc>
          <w:tcPr>
            <w:tcW w:w="3654" w:type="dxa"/>
            <w:tcBorders>
              <w:bottom w:val="single" w:sz="4" w:space="0" w:color="auto"/>
            </w:tcBorders>
          </w:tcPr>
          <w:p w14:paraId="79827692" w14:textId="5760ACC7" w:rsidR="009B7EE6" w:rsidRPr="009C587F" w:rsidRDefault="009C587F" w:rsidP="009C587F">
            <w:pPr>
              <w:pStyle w:val="Paragraph"/>
              <w:tabs>
                <w:tab w:val="left" w:pos="6028"/>
              </w:tabs>
              <w:ind w:firstLine="0"/>
              <w:jc w:val="center"/>
              <w:rPr>
                <w:b/>
                <w:bCs/>
              </w:rPr>
            </w:pPr>
            <w:r w:rsidRPr="009C587F">
              <w:rPr>
                <w:b/>
                <w:bCs/>
              </w:rPr>
              <w:t>Value</w:t>
            </w:r>
          </w:p>
        </w:tc>
      </w:tr>
      <w:tr w:rsidR="009B7EE6" w14:paraId="16F66A09" w14:textId="77777777" w:rsidTr="00D4335F">
        <w:trPr>
          <w:trHeight w:val="265"/>
          <w:jc w:val="center"/>
        </w:trPr>
        <w:tc>
          <w:tcPr>
            <w:tcW w:w="3654" w:type="dxa"/>
            <w:tcBorders>
              <w:top w:val="single" w:sz="4" w:space="0" w:color="auto"/>
              <w:bottom w:val="nil"/>
            </w:tcBorders>
          </w:tcPr>
          <w:p w14:paraId="680D6FC0" w14:textId="539C64A0" w:rsidR="009B7EE6" w:rsidRDefault="009C587F" w:rsidP="00845497">
            <w:pPr>
              <w:pStyle w:val="Paragraph"/>
              <w:tabs>
                <w:tab w:val="left" w:pos="6028"/>
              </w:tabs>
              <w:ind w:firstLine="0"/>
              <w:jc w:val="center"/>
            </w:pPr>
            <w:r>
              <w:t>Reactor volume (cm</w:t>
            </w:r>
            <w:r w:rsidRPr="009C587F">
              <w:rPr>
                <w:vertAlign w:val="superscript"/>
              </w:rPr>
              <w:t>3</w:t>
            </w:r>
            <w:r>
              <w:t>)</w:t>
            </w:r>
          </w:p>
        </w:tc>
        <w:tc>
          <w:tcPr>
            <w:tcW w:w="3654" w:type="dxa"/>
            <w:tcBorders>
              <w:top w:val="single" w:sz="4" w:space="0" w:color="auto"/>
              <w:bottom w:val="nil"/>
            </w:tcBorders>
          </w:tcPr>
          <w:p w14:paraId="6684FD4D" w14:textId="3E6817EC" w:rsidR="009B7EE6" w:rsidRDefault="009C587F" w:rsidP="00845497">
            <w:pPr>
              <w:pStyle w:val="Paragraph"/>
              <w:tabs>
                <w:tab w:val="left" w:pos="6028"/>
              </w:tabs>
              <w:ind w:firstLine="0"/>
              <w:jc w:val="center"/>
            </w:pPr>
            <w:r>
              <w:t>25</w:t>
            </w:r>
          </w:p>
        </w:tc>
      </w:tr>
      <w:tr w:rsidR="009B7EE6" w14:paraId="4AB16ABE" w14:textId="77777777" w:rsidTr="00D4335F">
        <w:trPr>
          <w:trHeight w:val="247"/>
          <w:jc w:val="center"/>
        </w:trPr>
        <w:tc>
          <w:tcPr>
            <w:tcW w:w="3654" w:type="dxa"/>
            <w:tcBorders>
              <w:top w:val="nil"/>
            </w:tcBorders>
          </w:tcPr>
          <w:p w14:paraId="064EA6CD" w14:textId="024D6F27" w:rsidR="009B7EE6" w:rsidRDefault="009C587F" w:rsidP="00845497">
            <w:pPr>
              <w:pStyle w:val="Paragraph"/>
              <w:tabs>
                <w:tab w:val="left" w:pos="6028"/>
              </w:tabs>
              <w:ind w:firstLine="0"/>
              <w:jc w:val="center"/>
            </w:pPr>
            <w:r>
              <w:t>Feed gas pressure (bar)</w:t>
            </w:r>
          </w:p>
        </w:tc>
        <w:tc>
          <w:tcPr>
            <w:tcW w:w="3654" w:type="dxa"/>
            <w:tcBorders>
              <w:top w:val="nil"/>
            </w:tcBorders>
          </w:tcPr>
          <w:p w14:paraId="1261BD8C" w14:textId="2160C876" w:rsidR="009B7EE6" w:rsidRDefault="009C587F" w:rsidP="00845497">
            <w:pPr>
              <w:pStyle w:val="Paragraph"/>
              <w:tabs>
                <w:tab w:val="left" w:pos="6028"/>
              </w:tabs>
              <w:ind w:firstLine="0"/>
              <w:jc w:val="center"/>
            </w:pPr>
            <w:r>
              <w:t>1.025</w:t>
            </w:r>
          </w:p>
        </w:tc>
      </w:tr>
      <w:tr w:rsidR="009C587F" w14:paraId="4AFCA742" w14:textId="77777777" w:rsidTr="00D4335F">
        <w:trPr>
          <w:trHeight w:val="247"/>
          <w:jc w:val="center"/>
        </w:trPr>
        <w:tc>
          <w:tcPr>
            <w:tcW w:w="3654" w:type="dxa"/>
          </w:tcPr>
          <w:p w14:paraId="61C7F46F" w14:textId="26BA93FA" w:rsidR="009C587F" w:rsidRDefault="009C587F" w:rsidP="00845497">
            <w:pPr>
              <w:pStyle w:val="Paragraph"/>
              <w:tabs>
                <w:tab w:val="left" w:pos="6028"/>
              </w:tabs>
              <w:ind w:firstLine="0"/>
              <w:jc w:val="center"/>
            </w:pPr>
            <w:r>
              <w:t>Temperature (K)</w:t>
            </w:r>
          </w:p>
        </w:tc>
        <w:tc>
          <w:tcPr>
            <w:tcW w:w="3654" w:type="dxa"/>
          </w:tcPr>
          <w:p w14:paraId="4EF93F42" w14:textId="281AD268" w:rsidR="009C587F" w:rsidRDefault="009C587F" w:rsidP="00845497">
            <w:pPr>
              <w:pStyle w:val="Paragraph"/>
              <w:tabs>
                <w:tab w:val="left" w:pos="6028"/>
              </w:tabs>
              <w:ind w:firstLine="0"/>
              <w:jc w:val="center"/>
            </w:pPr>
            <w:r>
              <w:t>298</w:t>
            </w:r>
          </w:p>
        </w:tc>
      </w:tr>
      <w:tr w:rsidR="009B7EE6" w14:paraId="31F644CC" w14:textId="77777777" w:rsidTr="00D4335F">
        <w:trPr>
          <w:trHeight w:val="247"/>
          <w:jc w:val="center"/>
        </w:trPr>
        <w:tc>
          <w:tcPr>
            <w:tcW w:w="3654" w:type="dxa"/>
          </w:tcPr>
          <w:p w14:paraId="1358CE6C" w14:textId="185B5115" w:rsidR="009B7EE6" w:rsidRDefault="001F41A8" w:rsidP="00845497">
            <w:pPr>
              <w:pStyle w:val="Paragraph"/>
              <w:tabs>
                <w:tab w:val="left" w:pos="6028"/>
              </w:tabs>
              <w:ind w:firstLine="0"/>
              <w:jc w:val="center"/>
            </w:pPr>
            <w:r>
              <w:t>Effective membrane</w:t>
            </w:r>
            <w:r w:rsidR="009C587F">
              <w:t xml:space="preserve"> area (cm</w:t>
            </w:r>
            <w:r w:rsidR="009C587F" w:rsidRPr="009C587F">
              <w:rPr>
                <w:vertAlign w:val="superscript"/>
              </w:rPr>
              <w:t>2</w:t>
            </w:r>
            <w:r w:rsidR="009C587F">
              <w:t>)</w:t>
            </w:r>
          </w:p>
        </w:tc>
        <w:tc>
          <w:tcPr>
            <w:tcW w:w="3654" w:type="dxa"/>
          </w:tcPr>
          <w:p w14:paraId="50F3BF14" w14:textId="74881B2D" w:rsidR="009B7EE6" w:rsidRDefault="009C587F" w:rsidP="00845497">
            <w:pPr>
              <w:pStyle w:val="Paragraph"/>
              <w:tabs>
                <w:tab w:val="left" w:pos="6028"/>
              </w:tabs>
              <w:ind w:firstLine="0"/>
              <w:jc w:val="center"/>
            </w:pPr>
            <w:r>
              <w:t>17.94 (r = 2.39 cm)</w:t>
            </w:r>
          </w:p>
        </w:tc>
      </w:tr>
      <w:tr w:rsidR="009B7EE6" w14:paraId="7BC6D7A5" w14:textId="77777777" w:rsidTr="00D4335F">
        <w:trPr>
          <w:trHeight w:val="265"/>
          <w:jc w:val="center"/>
        </w:trPr>
        <w:tc>
          <w:tcPr>
            <w:tcW w:w="3654" w:type="dxa"/>
          </w:tcPr>
          <w:p w14:paraId="4FBA1A7A" w14:textId="63A548EA" w:rsidR="009B7EE6" w:rsidRDefault="009C587F" w:rsidP="00845497">
            <w:pPr>
              <w:pStyle w:val="Paragraph"/>
              <w:tabs>
                <w:tab w:val="left" w:pos="6028"/>
              </w:tabs>
              <w:ind w:firstLine="0"/>
              <w:jc w:val="center"/>
            </w:pPr>
            <w:r>
              <w:t>Feed gas</w:t>
            </w:r>
          </w:p>
        </w:tc>
        <w:tc>
          <w:tcPr>
            <w:tcW w:w="3654" w:type="dxa"/>
          </w:tcPr>
          <w:p w14:paraId="14D9D2E2" w14:textId="77777777" w:rsidR="009B7EE6" w:rsidRDefault="009C587F" w:rsidP="00845497">
            <w:pPr>
              <w:pStyle w:val="Paragraph"/>
              <w:tabs>
                <w:tab w:val="left" w:pos="6028"/>
              </w:tabs>
              <w:ind w:firstLine="0"/>
              <w:jc w:val="center"/>
            </w:pPr>
            <w:r>
              <w:t>H</w:t>
            </w:r>
            <w:r w:rsidRPr="009C587F">
              <w:rPr>
                <w:vertAlign w:val="subscript"/>
              </w:rPr>
              <w:t>2</w:t>
            </w:r>
            <w:r>
              <w:t xml:space="preserve"> (UHP 99.99%)</w:t>
            </w:r>
          </w:p>
          <w:p w14:paraId="3196A864" w14:textId="1C5840E1" w:rsidR="009C587F" w:rsidRDefault="009C587F" w:rsidP="00845497">
            <w:pPr>
              <w:pStyle w:val="Paragraph"/>
              <w:tabs>
                <w:tab w:val="left" w:pos="6028"/>
              </w:tabs>
              <w:ind w:firstLine="0"/>
              <w:jc w:val="center"/>
            </w:pPr>
            <w:r>
              <w:t>CO</w:t>
            </w:r>
            <w:r w:rsidRPr="009C587F">
              <w:rPr>
                <w:vertAlign w:val="subscript"/>
              </w:rPr>
              <w:t>2</w:t>
            </w:r>
            <w:r>
              <w:t xml:space="preserve"> (UHP 99.99%)</w:t>
            </w:r>
          </w:p>
        </w:tc>
      </w:tr>
    </w:tbl>
    <w:p w14:paraId="2B31C4B2" w14:textId="76CA47B6" w:rsidR="009B7EE6" w:rsidRDefault="009B7EE6" w:rsidP="009B7EE6">
      <w:pPr>
        <w:pStyle w:val="Paragraph"/>
        <w:tabs>
          <w:tab w:val="left" w:pos="6028"/>
        </w:tabs>
        <w:jc w:val="left"/>
      </w:pPr>
    </w:p>
    <w:p w14:paraId="76DB804A" w14:textId="3630B93E" w:rsidR="00A20547" w:rsidRDefault="00730A08" w:rsidP="004A12E9">
      <w:pPr>
        <w:pStyle w:val="Paragraph"/>
        <w:spacing w:after="240"/>
      </w:pPr>
      <w:r w:rsidRPr="00730A08">
        <w:t>The data processing of pressure change over time was used to determine the gas permeability value. Gas permeability measurements were conducted to evaluate the rate at which the gas permeates through the membrane. The permeability of the membrane was calculated using Equation 1 as follows.</w:t>
      </w:r>
    </w:p>
    <w:p w14:paraId="68EB86CE" w14:textId="11314268" w:rsidR="00730A08" w:rsidRPr="002876F7" w:rsidRDefault="00000000" w:rsidP="001F41A8">
      <w:pPr>
        <w:tabs>
          <w:tab w:val="left" w:pos="7655"/>
        </w:tabs>
        <w:ind w:left="2694" w:right="-427" w:hanging="284"/>
        <w:jc w:val="center"/>
      </w:pPr>
      <m:oMath>
        <m:sSub>
          <m:sSubPr>
            <m:ctrlPr>
              <w:rPr>
                <w:rFonts w:ascii="Cambria Math" w:hAnsi="Cambria Math"/>
                <w:iCs/>
                <w:sz w:val="20"/>
              </w:rPr>
            </m:ctrlPr>
          </m:sSubPr>
          <m:e>
            <m:r>
              <m:rPr>
                <m:sty m:val="p"/>
              </m:rPr>
              <w:rPr>
                <w:rFonts w:ascii="Cambria Math" w:hAnsi="Cambria Math"/>
                <w:sz w:val="20"/>
              </w:rPr>
              <m:t>P</m:t>
            </m:r>
          </m:e>
          <m:sub>
            <m:r>
              <m:rPr>
                <m:sty m:val="p"/>
              </m:rPr>
              <w:rPr>
                <w:rFonts w:ascii="Cambria Math" w:hAnsi="Cambria Math"/>
                <w:sz w:val="20"/>
              </w:rPr>
              <m:t>i</m:t>
            </m:r>
          </m:sub>
        </m:sSub>
        <m:d>
          <m:dPr>
            <m:ctrlPr>
              <w:rPr>
                <w:rFonts w:ascii="Cambria Math" w:hAnsi="Cambria Math"/>
                <w:iCs/>
                <w:sz w:val="20"/>
              </w:rPr>
            </m:ctrlPr>
          </m:dPr>
          <m:e>
            <m:r>
              <m:rPr>
                <m:sty m:val="p"/>
              </m:rPr>
              <w:rPr>
                <w:rFonts w:ascii="Cambria Math" w:hAnsi="Cambria Math"/>
                <w:sz w:val="20"/>
              </w:rPr>
              <m:t>GPU</m:t>
            </m:r>
          </m:e>
        </m:d>
        <m:r>
          <m:rPr>
            <m:sty m:val="p"/>
          </m:rPr>
          <w:rPr>
            <w:rFonts w:ascii="Cambria Math" w:hAnsi="Cambria Math"/>
            <w:sz w:val="20"/>
          </w:rPr>
          <m:t>=</m:t>
        </m:r>
        <m:sSup>
          <m:sSupPr>
            <m:ctrlPr>
              <w:rPr>
                <w:rFonts w:ascii="Cambria Math" w:hAnsi="Cambria Math"/>
                <w:iCs/>
                <w:sz w:val="20"/>
              </w:rPr>
            </m:ctrlPr>
          </m:sSupPr>
          <m:e>
            <m:r>
              <m:rPr>
                <m:sty m:val="p"/>
              </m:rPr>
              <w:rPr>
                <w:rFonts w:ascii="Cambria Math" w:hAnsi="Cambria Math"/>
                <w:sz w:val="20"/>
              </w:rPr>
              <m:t>10</m:t>
            </m:r>
          </m:e>
          <m:sup>
            <m:r>
              <m:rPr>
                <m:sty m:val="p"/>
              </m:rPr>
              <w:rPr>
                <w:rFonts w:ascii="Cambria Math" w:hAnsi="Cambria Math"/>
                <w:sz w:val="20"/>
              </w:rPr>
              <m:t>6</m:t>
            </m:r>
          </m:sup>
        </m:sSup>
        <m:r>
          <m:rPr>
            <m:sty m:val="p"/>
          </m:rPr>
          <w:rPr>
            <w:rFonts w:ascii="Cambria Math" w:hAnsi="Cambria Math"/>
            <w:sz w:val="20"/>
          </w:rPr>
          <m:t>×</m:t>
        </m:r>
        <m:f>
          <m:fPr>
            <m:ctrlPr>
              <w:rPr>
                <w:rFonts w:ascii="Cambria Math" w:hAnsi="Cambria Math"/>
                <w:iCs/>
                <w:sz w:val="20"/>
              </w:rPr>
            </m:ctrlPr>
          </m:fPr>
          <m:num>
            <m:r>
              <w:rPr>
                <w:rFonts w:ascii="Cambria Math" w:hAnsi="Cambria Math"/>
                <w:sz w:val="20"/>
              </w:rPr>
              <m:t>d</m:t>
            </m:r>
            <m:sSub>
              <m:sSubPr>
                <m:ctrlPr>
                  <w:rPr>
                    <w:rFonts w:ascii="Cambria Math" w:hAnsi="Cambria Math"/>
                    <w:i/>
                    <w:iCs/>
                    <w:sz w:val="20"/>
                  </w:rPr>
                </m:ctrlPr>
              </m:sSubPr>
              <m:e>
                <m:r>
                  <w:rPr>
                    <w:rFonts w:ascii="Cambria Math" w:hAnsi="Cambria Math"/>
                    <w:sz w:val="20"/>
                  </w:rPr>
                  <m:t>p</m:t>
                </m:r>
              </m:e>
              <m:sub>
                <m:r>
                  <w:rPr>
                    <w:rFonts w:ascii="Cambria Math" w:hAnsi="Cambria Math"/>
                    <w:sz w:val="20"/>
                  </w:rPr>
                  <m:t>i</m:t>
                </m:r>
              </m:sub>
            </m:sSub>
          </m:num>
          <m:den>
            <m:sSub>
              <m:sSubPr>
                <m:ctrlPr>
                  <w:rPr>
                    <w:rFonts w:ascii="Cambria Math" w:hAnsi="Cambria Math"/>
                    <w:sz w:val="20"/>
                  </w:rPr>
                </m:ctrlPr>
              </m:sSubPr>
              <m:e>
                <m:r>
                  <w:rPr>
                    <w:rFonts w:ascii="Cambria Math" w:hAnsi="Cambria Math"/>
                    <w:sz w:val="20"/>
                  </w:rPr>
                  <m:t>d</m:t>
                </m:r>
              </m:e>
              <m:sub>
                <m:r>
                  <w:rPr>
                    <w:rFonts w:ascii="Cambria Math" w:hAnsi="Cambria Math"/>
                    <w:sz w:val="20"/>
                  </w:rPr>
                  <m:t>t</m:t>
                </m:r>
              </m:sub>
            </m:sSub>
          </m:den>
        </m:f>
        <m:r>
          <m:rPr>
            <m:sty m:val="p"/>
          </m:rPr>
          <w:rPr>
            <w:rFonts w:ascii="Cambria Math" w:hAnsi="Cambria Math"/>
            <w:sz w:val="20"/>
          </w:rPr>
          <m:t>×</m:t>
        </m:r>
        <m:f>
          <m:fPr>
            <m:ctrlPr>
              <w:rPr>
                <w:rFonts w:ascii="Cambria Math" w:hAnsi="Cambria Math"/>
                <w:iCs/>
                <w:sz w:val="20"/>
              </w:rPr>
            </m:ctrlPr>
          </m:fPr>
          <m:num>
            <m:r>
              <m:rPr>
                <m:sty m:val="p"/>
              </m:rPr>
              <w:rPr>
                <w:rFonts w:ascii="Cambria Math" w:hAnsi="Cambria Math"/>
                <w:sz w:val="20"/>
              </w:rPr>
              <m:t>V</m:t>
            </m:r>
          </m:num>
          <m:den>
            <m:r>
              <m:rPr>
                <m:sty m:val="p"/>
              </m:rPr>
              <w:rPr>
                <w:rFonts w:ascii="Cambria Math" w:hAnsi="Cambria Math"/>
                <w:sz w:val="20"/>
              </w:rPr>
              <m:t>TA(</m:t>
            </m:r>
            <m:f>
              <m:fPr>
                <m:ctrlPr>
                  <w:rPr>
                    <w:rFonts w:ascii="Cambria Math" w:hAnsi="Cambria Math"/>
                    <w:i/>
                    <w:iCs/>
                    <w:sz w:val="20"/>
                  </w:rPr>
                </m:ctrlPr>
              </m:fPr>
              <m:num>
                <m:sSub>
                  <m:sSubPr>
                    <m:ctrlPr>
                      <w:rPr>
                        <w:rFonts w:ascii="Cambria Math" w:hAnsi="Cambria Math"/>
                        <w:i/>
                        <w:iCs/>
                        <w:sz w:val="20"/>
                      </w:rPr>
                    </m:ctrlPr>
                  </m:sSubPr>
                  <m:e>
                    <m:r>
                      <w:rPr>
                        <w:rFonts w:ascii="Cambria Math" w:hAnsi="Cambria Math"/>
                        <w:sz w:val="20"/>
                      </w:rPr>
                      <m:t>P</m:t>
                    </m:r>
                  </m:e>
                  <m:sub>
                    <m:r>
                      <w:rPr>
                        <w:rFonts w:ascii="Cambria Math" w:hAnsi="Cambria Math"/>
                        <w:sz w:val="20"/>
                      </w:rPr>
                      <m:t>2</m:t>
                    </m:r>
                  </m:sub>
                </m:sSub>
              </m:num>
              <m:den>
                <m:sSub>
                  <m:sSubPr>
                    <m:ctrlPr>
                      <w:rPr>
                        <w:rFonts w:ascii="Cambria Math" w:hAnsi="Cambria Math"/>
                        <w:i/>
                        <w:iCs/>
                        <w:sz w:val="20"/>
                      </w:rPr>
                    </m:ctrlPr>
                  </m:sSubPr>
                  <m:e>
                    <m:r>
                      <w:rPr>
                        <w:rFonts w:ascii="Cambria Math" w:hAnsi="Cambria Math"/>
                        <w:sz w:val="20"/>
                      </w:rPr>
                      <m:t>P</m:t>
                    </m:r>
                  </m:e>
                  <m:sub>
                    <m:r>
                      <w:rPr>
                        <w:rFonts w:ascii="Cambria Math" w:hAnsi="Cambria Math"/>
                        <w:sz w:val="20"/>
                      </w:rPr>
                      <m:t>1</m:t>
                    </m:r>
                  </m:sub>
                </m:sSub>
              </m:den>
            </m:f>
            <m:r>
              <m:rPr>
                <m:sty m:val="p"/>
              </m:rPr>
              <w:rPr>
                <w:rFonts w:ascii="Cambria Math" w:hAnsi="Cambria Math"/>
                <w:sz w:val="20"/>
              </w:rPr>
              <m:t>)</m:t>
            </m:r>
          </m:den>
        </m:f>
        <m:r>
          <m:rPr>
            <m:sty m:val="p"/>
          </m:rPr>
          <w:rPr>
            <w:rFonts w:ascii="Cambria Math" w:hAnsi="Cambria Math"/>
            <w:sz w:val="20"/>
          </w:rPr>
          <m:t>×</m:t>
        </m:r>
        <m:f>
          <m:fPr>
            <m:ctrlPr>
              <w:rPr>
                <w:rFonts w:ascii="Cambria Math" w:hAnsi="Cambria Math"/>
                <w:iCs/>
                <w:sz w:val="20"/>
              </w:rPr>
            </m:ctrlPr>
          </m:fPr>
          <m:num>
            <m:r>
              <m:rPr>
                <m:sty m:val="p"/>
              </m:rPr>
              <w:rPr>
                <w:rFonts w:ascii="Cambria Math" w:hAnsi="Cambria Math"/>
                <w:sz w:val="20"/>
              </w:rPr>
              <m:t>273</m:t>
            </m:r>
          </m:num>
          <m:den>
            <m:r>
              <m:rPr>
                <m:sty m:val="p"/>
              </m:rPr>
              <w:rPr>
                <w:rFonts w:ascii="Cambria Math" w:hAnsi="Cambria Math"/>
                <w:sz w:val="20"/>
              </w:rPr>
              <m:t>760</m:t>
            </m:r>
          </m:den>
        </m:f>
        <m:r>
          <m:rPr>
            <m:sty m:val="p"/>
          </m:rPr>
          <w:rPr>
            <w:rFonts w:ascii="Cambria Math" w:hAnsi="Cambria Math"/>
            <w:sz w:val="20"/>
          </w:rPr>
          <m:t>(STP)</m:t>
        </m:r>
      </m:oMath>
      <w:r w:rsidR="00730A08">
        <w:tab/>
      </w:r>
      <w:r w:rsidR="00730A08" w:rsidRPr="001F41A8">
        <w:rPr>
          <w:sz w:val="20"/>
          <w:szCs w:val="16"/>
        </w:rPr>
        <w:t xml:space="preserve">    (1)</w:t>
      </w:r>
    </w:p>
    <w:p w14:paraId="657B76AE" w14:textId="08FA5824" w:rsidR="001F41A8" w:rsidRDefault="001F41A8" w:rsidP="00584E53">
      <w:pPr>
        <w:pStyle w:val="Paragraph"/>
        <w:spacing w:before="240" w:after="240"/>
        <w:ind w:firstLine="0"/>
      </w:pPr>
      <w:r>
        <w:t>where P</w:t>
      </w:r>
      <w:r w:rsidRPr="001F41A8">
        <w:rPr>
          <w:vertAlign w:val="subscript"/>
        </w:rPr>
        <w:t>i</w:t>
      </w:r>
      <w:r>
        <w:t xml:space="preserve"> is the permeability of gas </w:t>
      </w:r>
      <w:proofErr w:type="spellStart"/>
      <w:r>
        <w:t>i</w:t>
      </w:r>
      <w:proofErr w:type="spellEnd"/>
      <w:r>
        <w:t xml:space="preserve">, expressed in </w:t>
      </w:r>
      <w:r w:rsidR="00B11125">
        <w:t>GPU.</w:t>
      </w:r>
      <w:r>
        <w:t xml:space="preserve"> The term </w:t>
      </w:r>
      <m:oMath>
        <m:f>
          <m:fPr>
            <m:ctrlPr>
              <w:rPr>
                <w:rFonts w:ascii="Cambria Math" w:hAnsi="Cambria Math"/>
                <w:i/>
              </w:rPr>
            </m:ctrlPr>
          </m:fPr>
          <m:num>
            <m:sSub>
              <m:sSubPr>
                <m:ctrlPr>
                  <w:rPr>
                    <w:rFonts w:ascii="Cambria Math" w:hAnsi="Cambria Math"/>
                    <w:i/>
                  </w:rPr>
                </m:ctrlPr>
              </m:sSubPr>
              <m:e>
                <m:r>
                  <w:rPr>
                    <w:rFonts w:ascii="Cambria Math" w:hAnsi="Cambria Math"/>
                  </w:rPr>
                  <m:t>dp</m:t>
                </m:r>
              </m:e>
              <m:sub>
                <m:r>
                  <w:rPr>
                    <w:rFonts w:ascii="Cambria Math" w:hAnsi="Cambria Math"/>
                  </w:rPr>
                  <m:t>i</m:t>
                </m:r>
              </m:sub>
            </m:sSub>
          </m:num>
          <m:den>
            <m:sSub>
              <m:sSubPr>
                <m:ctrlPr>
                  <w:rPr>
                    <w:rFonts w:ascii="Cambria Math" w:hAnsi="Cambria Math"/>
                    <w:i/>
                  </w:rPr>
                </m:ctrlPr>
              </m:sSubPr>
              <m:e>
                <m:r>
                  <w:rPr>
                    <w:rFonts w:ascii="Cambria Math" w:hAnsi="Cambria Math"/>
                  </w:rPr>
                  <m:t>d</m:t>
                </m:r>
              </m:e>
              <m:sub>
                <m:r>
                  <w:rPr>
                    <w:rFonts w:ascii="Cambria Math" w:hAnsi="Cambria Math"/>
                  </w:rPr>
                  <m:t>t</m:t>
                </m:r>
              </m:sub>
            </m:sSub>
          </m:den>
        </m:f>
      </m:oMath>
      <w:r>
        <w:t xml:space="preserve"> represents the change in pressure (bar) with respect to time (s). V is the volume of the reactor (cm³), A is the effective membrane area (cm²), P</w:t>
      </w:r>
      <w:r w:rsidRPr="001F41A8">
        <w:rPr>
          <w:vertAlign w:val="subscript"/>
        </w:rPr>
        <w:t>2</w:t>
      </w:r>
      <w:r>
        <w:t xml:space="preserve"> is the feed gas </w:t>
      </w:r>
      <w:r>
        <w:lastRenderedPageBreak/>
        <w:t>pressure, and P</w:t>
      </w:r>
      <w:r w:rsidRPr="001F41A8">
        <w:rPr>
          <w:vertAlign w:val="subscript"/>
        </w:rPr>
        <w:t>1</w:t>
      </w:r>
      <w:r>
        <w:t xml:space="preserve"> is the atmospheric pressure during the test (both in </w:t>
      </w:r>
      <w:proofErr w:type="spellStart"/>
      <w:r>
        <w:t>cmHg</w:t>
      </w:r>
      <w:proofErr w:type="spellEnd"/>
      <w:r>
        <w:t>). Subsequently, the permeability data can be processed to determine the gas selectivity value using Equation 2 as follows:</w:t>
      </w:r>
    </w:p>
    <w:p w14:paraId="3E53F9E5" w14:textId="52A62DB1" w:rsidR="001F41A8" w:rsidRPr="002876F7" w:rsidRDefault="001F41A8" w:rsidP="001F41A8">
      <w:pPr>
        <w:tabs>
          <w:tab w:val="left" w:pos="7088"/>
        </w:tabs>
        <w:ind w:left="2694" w:right="-427" w:firstLine="1134"/>
        <w:jc w:val="center"/>
      </w:pPr>
      <m:oMath>
        <m:r>
          <w:rPr>
            <w:rFonts w:ascii="Cambria Math" w:hAnsi="Cambria Math"/>
            <w:sz w:val="20"/>
          </w:rPr>
          <m:t>α</m:t>
        </m:r>
        <m:f>
          <m:fPr>
            <m:type m:val="skw"/>
            <m:ctrlPr>
              <w:rPr>
                <w:rFonts w:ascii="Cambria Math" w:hAnsi="Cambria Math"/>
                <w:i/>
                <w:iCs/>
                <w:sz w:val="20"/>
              </w:rPr>
            </m:ctrlPr>
          </m:fPr>
          <m:num>
            <m:r>
              <w:rPr>
                <w:rFonts w:ascii="Cambria Math" w:hAnsi="Cambria Math"/>
                <w:sz w:val="20"/>
              </w:rPr>
              <m:t>i</m:t>
            </m:r>
          </m:num>
          <m:den>
            <m:r>
              <w:rPr>
                <w:rFonts w:ascii="Cambria Math" w:hAnsi="Cambria Math"/>
                <w:sz w:val="20"/>
              </w:rPr>
              <m:t>j</m:t>
            </m:r>
          </m:den>
        </m:f>
        <m:r>
          <m:rPr>
            <m:sty m:val="p"/>
          </m:rPr>
          <w:rPr>
            <w:rFonts w:ascii="Cambria Math" w:hAnsi="Cambria Math"/>
            <w:sz w:val="20"/>
          </w:rPr>
          <m:t>=</m:t>
        </m:r>
        <m:f>
          <m:fPr>
            <m:ctrlPr>
              <w:rPr>
                <w:rFonts w:ascii="Cambria Math" w:hAnsi="Cambria Math"/>
                <w:iCs/>
                <w:sz w:val="20"/>
              </w:rPr>
            </m:ctrlPr>
          </m:fPr>
          <m:num>
            <m:sSub>
              <m:sSubPr>
                <m:ctrlPr>
                  <w:rPr>
                    <w:rFonts w:ascii="Cambria Math" w:hAnsi="Cambria Math"/>
                    <w:i/>
                    <w:iCs/>
                    <w:sz w:val="20"/>
                  </w:rPr>
                </m:ctrlPr>
              </m:sSubPr>
              <m:e>
                <m:r>
                  <w:rPr>
                    <w:rFonts w:ascii="Cambria Math" w:hAnsi="Cambria Math"/>
                    <w:sz w:val="20"/>
                  </w:rPr>
                  <m:t>P</m:t>
                </m:r>
              </m:e>
              <m:sub>
                <m:r>
                  <w:rPr>
                    <w:rFonts w:ascii="Cambria Math" w:hAnsi="Cambria Math"/>
                    <w:sz w:val="20"/>
                  </w:rPr>
                  <m:t>i</m:t>
                </m:r>
              </m:sub>
            </m:sSub>
          </m:num>
          <m:den>
            <m:sSub>
              <m:sSubPr>
                <m:ctrlPr>
                  <w:rPr>
                    <w:rFonts w:ascii="Cambria Math" w:hAnsi="Cambria Math"/>
                    <w:i/>
                    <w:iCs/>
                    <w:sz w:val="20"/>
                  </w:rPr>
                </m:ctrlPr>
              </m:sSubPr>
              <m:e>
                <m:r>
                  <w:rPr>
                    <w:rFonts w:ascii="Cambria Math" w:hAnsi="Cambria Math"/>
                    <w:sz w:val="20"/>
                  </w:rPr>
                  <m:t>P</m:t>
                </m:r>
              </m:e>
              <m:sub>
                <m:r>
                  <w:rPr>
                    <w:rFonts w:ascii="Cambria Math" w:hAnsi="Cambria Math"/>
                    <w:sz w:val="20"/>
                  </w:rPr>
                  <m:t>j</m:t>
                </m:r>
              </m:sub>
            </m:sSub>
          </m:den>
        </m:f>
      </m:oMath>
      <w:r>
        <w:tab/>
      </w:r>
      <w:r w:rsidRPr="001F41A8">
        <w:rPr>
          <w:sz w:val="20"/>
          <w:szCs w:val="16"/>
        </w:rPr>
        <w:t xml:space="preserve">    </w:t>
      </w:r>
      <w:r>
        <w:rPr>
          <w:sz w:val="20"/>
          <w:szCs w:val="16"/>
        </w:rPr>
        <w:tab/>
      </w:r>
      <w:r w:rsidRPr="001F41A8">
        <w:rPr>
          <w:sz w:val="20"/>
          <w:szCs w:val="16"/>
        </w:rPr>
        <w:t>(</w:t>
      </w:r>
      <w:r>
        <w:rPr>
          <w:sz w:val="20"/>
          <w:szCs w:val="16"/>
        </w:rPr>
        <w:t>2</w:t>
      </w:r>
      <w:r w:rsidRPr="001F41A8">
        <w:rPr>
          <w:sz w:val="20"/>
          <w:szCs w:val="16"/>
        </w:rPr>
        <w:t>)</w:t>
      </w:r>
    </w:p>
    <w:p w14:paraId="46516219" w14:textId="718C6670" w:rsidR="00730A08" w:rsidRPr="00730A08" w:rsidRDefault="001F41A8" w:rsidP="00584E53">
      <w:pPr>
        <w:pStyle w:val="Paragraph"/>
        <w:spacing w:before="240"/>
        <w:ind w:firstLine="0"/>
      </w:pPr>
      <w:r>
        <w:t>where α</w:t>
      </w:r>
      <w:r w:rsidR="00271770">
        <w:t xml:space="preserve"> </w:t>
      </w:r>
      <m:oMath>
        <m:f>
          <m:fPr>
            <m:type m:val="skw"/>
            <m:ctrlPr>
              <w:rPr>
                <w:rFonts w:ascii="Cambria Math" w:hAnsi="Cambria Math"/>
                <w:i/>
              </w:rPr>
            </m:ctrlPr>
          </m:fPr>
          <m:num>
            <m:r>
              <w:rPr>
                <w:rFonts w:ascii="Cambria Math" w:hAnsi="Cambria Math"/>
              </w:rPr>
              <m:t>i</m:t>
            </m:r>
          </m:num>
          <m:den>
            <m:r>
              <w:rPr>
                <w:rFonts w:ascii="Cambria Math" w:hAnsi="Cambria Math"/>
              </w:rPr>
              <m:t>j</m:t>
            </m:r>
          </m:den>
        </m:f>
      </m:oMath>
      <w:r>
        <w:t>is the membrane selectivity for gas i over gas j, P</w:t>
      </w:r>
      <w:r w:rsidR="00271770" w:rsidRPr="00271770">
        <w:rPr>
          <w:vertAlign w:val="subscript"/>
        </w:rPr>
        <w:t>i</w:t>
      </w:r>
      <w:r>
        <w:t xml:space="preserve"> is the permeability of gas </w:t>
      </w:r>
      <w:proofErr w:type="spellStart"/>
      <w:r>
        <w:t>i</w:t>
      </w:r>
      <w:proofErr w:type="spellEnd"/>
      <w:r>
        <w:t xml:space="preserve">, and </w:t>
      </w:r>
      <w:proofErr w:type="spellStart"/>
      <w:r>
        <w:t>P</w:t>
      </w:r>
      <w:r w:rsidR="00271770" w:rsidRPr="00271770">
        <w:rPr>
          <w:vertAlign w:val="subscript"/>
        </w:rPr>
        <w:t>j</w:t>
      </w:r>
      <w:proofErr w:type="spellEnd"/>
      <w:r>
        <w:t xml:space="preserve"> is the permeability of gas j.</w:t>
      </w:r>
    </w:p>
    <w:p w14:paraId="0C9C6170" w14:textId="77777777" w:rsidR="00AC5218" w:rsidRPr="00A57630" w:rsidRDefault="00AC5218" w:rsidP="00AC5218">
      <w:pPr>
        <w:pStyle w:val="Paragraph"/>
        <w:ind w:firstLine="0"/>
        <w:jc w:val="center"/>
        <w:rPr>
          <w:b/>
          <w:bCs/>
          <w:iCs/>
        </w:rPr>
      </w:pPr>
    </w:p>
    <w:p w14:paraId="6652CC0B" w14:textId="32D13AB7" w:rsidR="00AC5218" w:rsidRPr="00677D94" w:rsidRDefault="00AC5218" w:rsidP="00677D94">
      <w:pPr>
        <w:pStyle w:val="Heading2"/>
        <w:jc w:val="center"/>
        <w:rPr>
          <w:rFonts w:ascii="Times New Roman" w:hAnsi="Times New Roman" w:cs="Times New Roman"/>
          <w:b/>
          <w:bCs/>
          <w:color w:val="000000" w:themeColor="text1"/>
          <w:sz w:val="24"/>
          <w:szCs w:val="24"/>
        </w:rPr>
      </w:pPr>
      <w:r w:rsidRPr="00677D94">
        <w:rPr>
          <w:rFonts w:ascii="Times New Roman" w:hAnsi="Times New Roman" w:cs="Times New Roman"/>
          <w:b/>
          <w:bCs/>
          <w:color w:val="000000" w:themeColor="text1"/>
          <w:sz w:val="24"/>
          <w:szCs w:val="24"/>
        </w:rPr>
        <w:t>RESULTS</w:t>
      </w:r>
    </w:p>
    <w:p w14:paraId="62A6930F" w14:textId="682A2D82" w:rsidR="00E26E01" w:rsidRDefault="00E26E01" w:rsidP="00E26E01">
      <w:pPr>
        <w:pStyle w:val="Heading2"/>
        <w:jc w:val="center"/>
        <w:rPr>
          <w:rFonts w:ascii="Times New Roman" w:hAnsi="Times New Roman" w:cs="Times New Roman"/>
          <w:b/>
          <w:bCs/>
          <w:color w:val="000000" w:themeColor="text1"/>
          <w:sz w:val="24"/>
          <w:szCs w:val="24"/>
        </w:rPr>
      </w:pPr>
      <w:r>
        <w:rPr>
          <w:rFonts w:ascii="Times New Roman" w:hAnsi="Times New Roman" w:cs="Times New Roman"/>
          <w:b/>
          <w:bCs/>
          <w:color w:val="000000" w:themeColor="text1"/>
          <w:sz w:val="24"/>
          <w:szCs w:val="24"/>
        </w:rPr>
        <w:t>Membrane morphology</w:t>
      </w:r>
    </w:p>
    <w:p w14:paraId="73C75AD1" w14:textId="7D90488C" w:rsidR="00163826" w:rsidRDefault="002D24A6" w:rsidP="005B1511">
      <w:pPr>
        <w:ind w:firstLine="284"/>
        <w:jc w:val="both"/>
      </w:pPr>
      <w:r w:rsidRPr="002D24A6">
        <w:rPr>
          <w:sz w:val="20"/>
          <w:szCs w:val="16"/>
        </w:rPr>
        <w:t xml:space="preserve">Figure </w:t>
      </w:r>
      <w:r w:rsidR="005B1511">
        <w:rPr>
          <w:sz w:val="20"/>
          <w:szCs w:val="16"/>
        </w:rPr>
        <w:t>1</w:t>
      </w:r>
      <w:r w:rsidRPr="002D24A6">
        <w:rPr>
          <w:sz w:val="20"/>
          <w:szCs w:val="16"/>
        </w:rPr>
        <w:t xml:space="preserve"> presents the appearance of </w:t>
      </w:r>
      <w:proofErr w:type="spellStart"/>
      <w:r w:rsidRPr="002D24A6">
        <w:rPr>
          <w:sz w:val="20"/>
          <w:szCs w:val="16"/>
        </w:rPr>
        <w:t>PSf</w:t>
      </w:r>
      <w:proofErr w:type="spellEnd"/>
      <w:r w:rsidRPr="002D24A6">
        <w:rPr>
          <w:sz w:val="20"/>
          <w:szCs w:val="16"/>
        </w:rPr>
        <w:t xml:space="preserve"> membranes at different concentrations. At 6% and 8%, the films look thin and fragile, with clear streaks and uneven surfaces, showing that the low polymer content could not form a stable layer. The 10% membrane appears more uniform, with a smoother surface compared to the lower concentrations. At higher concentrations (12–16%), the surfaces become thicker and </w:t>
      </w:r>
      <w:proofErr w:type="gramStart"/>
      <w:r w:rsidRPr="002D24A6">
        <w:rPr>
          <w:sz w:val="20"/>
          <w:szCs w:val="16"/>
        </w:rPr>
        <w:t>more opaque</w:t>
      </w:r>
      <w:proofErr w:type="gramEnd"/>
      <w:r w:rsidRPr="002D24A6">
        <w:rPr>
          <w:sz w:val="20"/>
          <w:szCs w:val="16"/>
        </w:rPr>
        <w:t>, but irregular patches are visible, indicating non-uniform spreading during casting. These visual differences highlight the influence of polymer concentration on membrane formation, with 10% giving the most consistent surface.</w:t>
      </w:r>
    </w:p>
    <w:p w14:paraId="52EAD1E1" w14:textId="77777777" w:rsidR="002D24A6" w:rsidRPr="00163826" w:rsidRDefault="002D24A6" w:rsidP="002D24A6">
      <w:pPr>
        <w:jc w:val="both"/>
      </w:pPr>
    </w:p>
    <w:p w14:paraId="2C4E4394" w14:textId="77777777" w:rsidR="00163826" w:rsidRDefault="00163826" w:rsidP="00163826">
      <w:pPr>
        <w:keepNext/>
        <w:jc w:val="center"/>
      </w:pPr>
      <w:r>
        <w:rPr>
          <w:noProof/>
        </w:rPr>
        <w:drawing>
          <wp:inline distT="0" distB="0" distL="0" distR="0" wp14:anchorId="2A94179C" wp14:editId="0574D58F">
            <wp:extent cx="3863340" cy="2654808"/>
            <wp:effectExtent l="0" t="0" r="3810" b="0"/>
            <wp:docPr id="198348115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869973" cy="2659366"/>
                    </a:xfrm>
                    <a:prstGeom prst="rect">
                      <a:avLst/>
                    </a:prstGeom>
                    <a:noFill/>
                    <a:ln>
                      <a:noFill/>
                    </a:ln>
                  </pic:spPr>
                </pic:pic>
              </a:graphicData>
            </a:graphic>
          </wp:inline>
        </w:drawing>
      </w:r>
    </w:p>
    <w:p w14:paraId="447A348D" w14:textId="6F139570" w:rsidR="00E26E01" w:rsidRPr="00163826" w:rsidRDefault="00163826" w:rsidP="00163826">
      <w:pPr>
        <w:pStyle w:val="Caption"/>
        <w:jc w:val="center"/>
      </w:pPr>
      <w:r w:rsidRPr="00163826">
        <w:rPr>
          <w:b/>
          <w:bCs/>
        </w:rPr>
        <w:t xml:space="preserve">FIGURE </w:t>
      </w:r>
      <w:r w:rsidRPr="00163826">
        <w:rPr>
          <w:b/>
          <w:bCs/>
        </w:rPr>
        <w:fldChar w:fldCharType="begin"/>
      </w:r>
      <w:r w:rsidRPr="00163826">
        <w:rPr>
          <w:b/>
          <w:bCs/>
        </w:rPr>
        <w:instrText xml:space="preserve"> SEQ Figure \* ARABIC </w:instrText>
      </w:r>
      <w:r w:rsidRPr="00163826">
        <w:rPr>
          <w:b/>
          <w:bCs/>
        </w:rPr>
        <w:fldChar w:fldCharType="separate"/>
      </w:r>
      <w:r w:rsidR="003071A0">
        <w:rPr>
          <w:b/>
          <w:bCs/>
          <w:noProof/>
        </w:rPr>
        <w:t>2</w:t>
      </w:r>
      <w:r w:rsidRPr="00163826">
        <w:rPr>
          <w:b/>
          <w:bCs/>
        </w:rPr>
        <w:fldChar w:fldCharType="end"/>
      </w:r>
      <w:r w:rsidRPr="00163826">
        <w:t xml:space="preserve"> Macroscopic photograph of prepared membrane</w:t>
      </w:r>
    </w:p>
    <w:p w14:paraId="116AB158" w14:textId="26619736" w:rsidR="00AC5218" w:rsidRPr="00677D94" w:rsidRDefault="002E32C4" w:rsidP="00677D94">
      <w:pPr>
        <w:pStyle w:val="Heading2"/>
        <w:jc w:val="center"/>
        <w:rPr>
          <w:rFonts w:ascii="Times New Roman" w:hAnsi="Times New Roman" w:cs="Times New Roman"/>
          <w:b/>
          <w:bCs/>
          <w:color w:val="000000" w:themeColor="text1"/>
          <w:sz w:val="24"/>
          <w:szCs w:val="24"/>
        </w:rPr>
      </w:pPr>
      <w:r w:rsidRPr="00677D94">
        <w:rPr>
          <w:rFonts w:ascii="Times New Roman" w:hAnsi="Times New Roman" w:cs="Times New Roman"/>
          <w:b/>
          <w:bCs/>
          <w:color w:val="000000" w:themeColor="text1"/>
          <w:sz w:val="24"/>
          <w:szCs w:val="24"/>
        </w:rPr>
        <w:t>XRD</w:t>
      </w:r>
      <w:r w:rsidR="00AC5218" w:rsidRPr="00677D94">
        <w:rPr>
          <w:rFonts w:ascii="Times New Roman" w:hAnsi="Times New Roman" w:cs="Times New Roman"/>
          <w:b/>
          <w:bCs/>
          <w:color w:val="000000" w:themeColor="text1"/>
          <w:sz w:val="24"/>
          <w:szCs w:val="24"/>
        </w:rPr>
        <w:t xml:space="preserve"> Analysis</w:t>
      </w:r>
    </w:p>
    <w:p w14:paraId="579DBDE0" w14:textId="0C5EC62B" w:rsidR="002E32C4" w:rsidRDefault="005129F3" w:rsidP="00677D94">
      <w:pPr>
        <w:pStyle w:val="Paragraph"/>
        <w:spacing w:before="240"/>
      </w:pPr>
      <w:r w:rsidRPr="005129F3">
        <w:t xml:space="preserve">X-ray diffraction (XRD) analysis was performed to evaluate the structural features of the fabricated membranes. According to Figure </w:t>
      </w:r>
      <w:r w:rsidR="005B1511">
        <w:t>3</w:t>
      </w:r>
      <w:r w:rsidRPr="005129F3">
        <w:t xml:space="preserve">, the </w:t>
      </w:r>
      <w:proofErr w:type="spellStart"/>
      <w:r w:rsidRPr="005129F3">
        <w:t>PSf</w:t>
      </w:r>
      <w:proofErr w:type="spellEnd"/>
      <w:r w:rsidRPr="005129F3">
        <w:t xml:space="preserve">-based membranes demonstrated semicrystalline </w:t>
      </w:r>
      <w:proofErr w:type="spellStart"/>
      <w:r w:rsidRPr="005129F3">
        <w:t>behavior</w:t>
      </w:r>
      <w:proofErr w:type="spellEnd"/>
      <w:r w:rsidRPr="005129F3">
        <w:t xml:space="preserve">, characterized by a broad amorphous peak at approximately 2θ = 17.6°. Moreover, both the neat </w:t>
      </w:r>
      <w:proofErr w:type="spellStart"/>
      <w:r w:rsidRPr="005129F3">
        <w:t>PSf</w:t>
      </w:r>
      <w:proofErr w:type="spellEnd"/>
      <w:r w:rsidRPr="005129F3">
        <w:t xml:space="preserve"> and mixed matrix membranes (MMMs) displayed a notable peak around 2θ = 22°, indicating the existence of crystalline phases in their structures </w:t>
      </w:r>
      <w:r w:rsidR="002E32C4">
        <w:fldChar w:fldCharType="begin"/>
      </w:r>
      <w:r w:rsidR="00F954A4">
        <w:instrText xml:space="preserve"> ADDIN ZOTERO_ITEM CSL_CITATION {"citationID":"W5hiXfFY","properties":{"formattedCitation":"[26]","plainCitation":"[26]","noteIndex":0},"citationItems":[{"id":"wW54kaFO/j71BYPQB","uris":["http://zotero.org/users/local/HM6wA45z/items/CZPSGAE3"],"itemData":{"id":599,"type":"article-journal","abstract":"Development of high-performance CO2 separation membrane materials is the most vital challenge in membrane separation technology for carbon emission reduction and carbon neutrality. Mixed matrix membranes (MMMs) were prepared using polyether-block-polyamide (Pebax-1074) as the membrane matrix and multi-walled carbon nanotubes (MWCNTs) as the filler. The morphology, microstructure, surface functional groups, and thermal properties of the MMMs were characterized by scanning electron microscope, X-ray diffraction, infrared spectroscopy, and thermogravimetric analysis, respectively. The effects of MWCNTs content, permeation temperature, and permeation pressure on the microstructure and gas separation properties of the prepared MMMs were investigated. The results show that the microstructure and the gas separation performance of the membrane can be significantly regulated through varying the content of MWCNTs. The optimal separation performance is attained to 291.4 Barrer of CO2 permeability and 160.2 of CO2/N2 selectivity for the MMMs containing 12% MWCNTs under the condition of 30 °C and 0.2 MPa. The exceptional separation performance is far beyond the commercially attractive Robeson upper-bound.","container-title":"Polymer Bulletin","DOI":"10.1007/s00289-024-05162-8","ISSN":"1436-2449","issue":"11","journalAbbreviation":"Polym. Bull.","language":"en","page":"9699-9719","source":"Springer Link","title":"Highly permselective Pebax/MWCNTs mixed matrix membranes for CO2/N2 separation","volume":"81","author":[{"family":"Jiang","given":"Yu"},{"family":"Zhang","given":"Bing"},{"family":"Zheng","given":"Yingfei"},{"family":"Wu","given":"Yonghong"}],"issued":{"date-parts":[["2024",7,1]]}}}],"schema":"https://github.com/citation-style-language/schema/raw/master/csl-citation.json"} </w:instrText>
      </w:r>
      <w:r w:rsidR="002E32C4">
        <w:fldChar w:fldCharType="separate"/>
      </w:r>
      <w:r w:rsidR="00F954A4" w:rsidRPr="00F954A4">
        <w:t>[26]</w:t>
      </w:r>
      <w:r w:rsidR="002E32C4">
        <w:fldChar w:fldCharType="end"/>
      </w:r>
      <w:r w:rsidR="002E32C4">
        <w:t xml:space="preserve">. </w:t>
      </w:r>
      <w:r w:rsidRPr="005129F3">
        <w:t>The observed crystallinity is likely influenced by the systematic alignment of polymer chains, which takes place during the slow phase inversion process. In this study, membrane fabrication employed the dry phase inversion method, where the dope solution was left to evaporate in dry conditions, permitting a gradual solvent evaporation and a slower solidification process</w:t>
      </w:r>
      <w:r w:rsidR="00BE0198">
        <w:t xml:space="preserve"> </w:t>
      </w:r>
      <w:r w:rsidR="002E32C4">
        <w:fldChar w:fldCharType="begin"/>
      </w:r>
      <w:r w:rsidR="00F954A4">
        <w:instrText xml:space="preserve"> ADDIN ZOTERO_ITEM CSL_CITATION {"citationID":"2fyRcVtA","properties":{"formattedCitation":"[27]","plainCitation":"[27]","noteIndex":0},"citationItems":[{"id":"wW54kaFO/C2D2Vglh","uris":["http://zotero.org/users/local/HM6wA45z/items/WIHTZ6BM"],"itemData":{"id":601,"type":"article-journal","abstract":"In 1918, Zsigmondy and Bachmann presented a new method to induce phase separation of a homogeneous polymeric solution from a vapor phase. The so-called vapor-induced phase separation (VIPS) was born. In a century, the body of knowledge on polymer membranes and hydrogels prepared by VIPS has grown importantly, which suggests the need for a critical review. Slowness of mass transfers involved in VIPS, attributed to the resistance at the gaseous phase/liquid phase interface, permits reaching better control of polymer membrane formation than with the popular wet-immersion process. As a result, a broad variety of morphologies can be obtained and well controlled. The control of testing conditions and formulation parameters also permits tuning and tailoring morphologies, which arises in various membranes properties, and led scientists to investigate the possibility of forecasting mass transfers in VIPS. Therefore, at the end of the twentieth century, first models were developed to describe this process, and validated by comparing simulated data to experimental results. Afterwards, studies demonstrated the possibility of predicting membrane morphologies from the knowledge of operating conditions. This article aims at reviewing the work done so far reporting this process to prepare polymer membranes and hydrogels. The experimental set-ups will be introduced as well as the different polymer/solvent/nonsolvent and polymer/additive(s)/solvent/nonsolvent systems used and the morphologies obtained. The effect of testing conditions and formulation parameters on the structure of the matrices will be subsequently discussed. Close attention will be given to the fundamental theory of VIPS before moving onto the potential applications of such polymer matrices.","container-title":"Polymer Reviews","DOI":"10.1080/15583724.2013.828750","journalAbbreviation":"Polymer Reviews","source":"ResearchGate","title":"A Review on Polymeric Membranes and Hydrogels Prepared by Vapor-Induced Phase Separation Process","volume":"53","author":[{"family":"Venault","given":"Antoine"},{"family":"Chang","given":"Yung"},{"family":"Wang","given":"Da-Ming"},{"family":"Bouyer","given":"Denis"}],"issued":{"date-parts":[["2013",9,27]]}}}],"schema":"https://github.com/citation-style-language/schema/raw/master/csl-citation.json"} </w:instrText>
      </w:r>
      <w:r w:rsidR="002E32C4">
        <w:fldChar w:fldCharType="separate"/>
      </w:r>
      <w:r w:rsidR="00F954A4" w:rsidRPr="00F954A4">
        <w:t>[27]</w:t>
      </w:r>
      <w:r w:rsidR="002E32C4">
        <w:fldChar w:fldCharType="end"/>
      </w:r>
      <w:r w:rsidR="002E32C4">
        <w:t xml:space="preserve">. </w:t>
      </w:r>
      <w:r w:rsidRPr="005129F3">
        <w:t>This controlled evaporation allows polymer chains sufficient time to rearrange into an ordered structure, contributing to the formation of crystalline domains.</w:t>
      </w:r>
    </w:p>
    <w:p w14:paraId="1A30B5E1" w14:textId="42791CA1" w:rsidR="005B1511" w:rsidRDefault="002E7867" w:rsidP="005B1511">
      <w:pPr>
        <w:pStyle w:val="Paragraph"/>
        <w:keepNext/>
        <w:ind w:firstLine="0"/>
        <w:jc w:val="center"/>
      </w:pPr>
      <w:r>
        <w:rPr>
          <w:noProof/>
        </w:rPr>
        <w:lastRenderedPageBreak/>
        <w:drawing>
          <wp:inline distT="0" distB="0" distL="0" distR="0" wp14:anchorId="74064B8B" wp14:editId="0A260AEB">
            <wp:extent cx="3764280" cy="2403823"/>
            <wp:effectExtent l="0" t="0" r="7620" b="0"/>
            <wp:docPr id="74381765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767749" cy="2406038"/>
                    </a:xfrm>
                    <a:prstGeom prst="rect">
                      <a:avLst/>
                    </a:prstGeom>
                    <a:noFill/>
                  </pic:spPr>
                </pic:pic>
              </a:graphicData>
            </a:graphic>
          </wp:inline>
        </w:drawing>
      </w:r>
    </w:p>
    <w:p w14:paraId="22F160FA" w14:textId="5C0224B2" w:rsidR="00AC5218" w:rsidRDefault="005B1511" w:rsidP="002E7867">
      <w:pPr>
        <w:pStyle w:val="Caption"/>
        <w:jc w:val="center"/>
      </w:pPr>
      <w:r w:rsidRPr="005B1511">
        <w:rPr>
          <w:b/>
          <w:bCs/>
        </w:rPr>
        <w:t xml:space="preserve">FIGURE </w:t>
      </w:r>
      <w:r w:rsidRPr="005B1511">
        <w:rPr>
          <w:b/>
          <w:bCs/>
        </w:rPr>
        <w:fldChar w:fldCharType="begin"/>
      </w:r>
      <w:r w:rsidRPr="005B1511">
        <w:rPr>
          <w:b/>
          <w:bCs/>
        </w:rPr>
        <w:instrText xml:space="preserve"> SEQ Figure \* ARABIC </w:instrText>
      </w:r>
      <w:r w:rsidRPr="005B1511">
        <w:rPr>
          <w:b/>
          <w:bCs/>
        </w:rPr>
        <w:fldChar w:fldCharType="separate"/>
      </w:r>
      <w:r w:rsidR="003071A0">
        <w:rPr>
          <w:b/>
          <w:bCs/>
          <w:noProof/>
        </w:rPr>
        <w:t>3</w:t>
      </w:r>
      <w:r w:rsidRPr="005B1511">
        <w:rPr>
          <w:b/>
          <w:bCs/>
        </w:rPr>
        <w:fldChar w:fldCharType="end"/>
      </w:r>
      <w:r w:rsidR="00F54853" w:rsidRPr="007A11A3">
        <w:rPr>
          <w:b/>
          <w:bCs/>
        </w:rPr>
        <w:t xml:space="preserve">. </w:t>
      </w:r>
      <w:r w:rsidR="00F54853" w:rsidRPr="00F54853">
        <w:t xml:space="preserve">Diffractogram Pattern of 10% </w:t>
      </w:r>
      <w:proofErr w:type="spellStart"/>
      <w:r w:rsidR="00F54853" w:rsidRPr="00F54853">
        <w:t>PSf</w:t>
      </w:r>
      <w:proofErr w:type="spellEnd"/>
      <w:r w:rsidR="00F54853" w:rsidRPr="00F54853">
        <w:t>-Based Membrane</w:t>
      </w:r>
    </w:p>
    <w:p w14:paraId="21221550" w14:textId="73915DD4" w:rsidR="00AC5218" w:rsidRPr="005129F3" w:rsidRDefault="007278EC" w:rsidP="005129F3">
      <w:pPr>
        <w:pStyle w:val="Heading2"/>
        <w:jc w:val="center"/>
        <w:rPr>
          <w:rFonts w:ascii="Times New Roman" w:hAnsi="Times New Roman" w:cs="Times New Roman"/>
          <w:b/>
          <w:bCs/>
          <w:color w:val="000000" w:themeColor="text1"/>
          <w:sz w:val="24"/>
          <w:szCs w:val="24"/>
        </w:rPr>
      </w:pPr>
      <w:r w:rsidRPr="005129F3">
        <w:rPr>
          <w:rFonts w:ascii="Times New Roman" w:hAnsi="Times New Roman" w:cs="Times New Roman"/>
          <w:b/>
          <w:bCs/>
          <w:color w:val="000000" w:themeColor="text1"/>
          <w:sz w:val="24"/>
          <w:szCs w:val="24"/>
        </w:rPr>
        <w:t>FTIR</w:t>
      </w:r>
      <w:r w:rsidR="00AC5218" w:rsidRPr="005129F3">
        <w:rPr>
          <w:rFonts w:ascii="Times New Roman" w:hAnsi="Times New Roman" w:cs="Times New Roman"/>
          <w:b/>
          <w:bCs/>
          <w:color w:val="000000" w:themeColor="text1"/>
          <w:sz w:val="24"/>
          <w:szCs w:val="24"/>
        </w:rPr>
        <w:t xml:space="preserve"> Analysis</w:t>
      </w:r>
    </w:p>
    <w:p w14:paraId="0CF53F0C" w14:textId="2E10696A" w:rsidR="007278EC" w:rsidRDefault="007278EC" w:rsidP="005129F3">
      <w:pPr>
        <w:pStyle w:val="Paragraph"/>
        <w:spacing w:before="240"/>
      </w:pPr>
      <w:r>
        <w:t xml:space="preserve">The FTIR spectra of the fabricated membranes are presented in Figure </w:t>
      </w:r>
      <w:r w:rsidR="00D71117">
        <w:t>4</w:t>
      </w:r>
      <w:r>
        <w:t xml:space="preserve">. It can be observed that the samples exhibit characteristic absorption bands corresponding to the functional groups typically found in </w:t>
      </w:r>
      <w:proofErr w:type="spellStart"/>
      <w:r>
        <w:t>PSf</w:t>
      </w:r>
      <w:proofErr w:type="spellEnd"/>
      <w:r>
        <w:t xml:space="preserve">-based polymer membranes. At approximately 880–850 cm⁻¹, an absorption band attributed to C–H rocking vibrations is observed. In the range of 1170–1010 cm⁻¹, a C–C stretching vibration is detected, while bands at around 1140 and 1320 cm⁻¹ correspond to symmetric stretching of </w:t>
      </w:r>
      <w:proofErr w:type="spellStart"/>
      <w:r>
        <w:t>Ar</w:t>
      </w:r>
      <w:proofErr w:type="spellEnd"/>
      <w:r>
        <w:t>–SO₂–</w:t>
      </w:r>
      <w:proofErr w:type="spellStart"/>
      <w:r>
        <w:t>Ar</w:t>
      </w:r>
      <w:proofErr w:type="spellEnd"/>
      <w:r>
        <w:t xml:space="preserve"> groups. Additionally, an absorption band at approximately 1230 cm⁻¹ is associated with </w:t>
      </w:r>
      <w:proofErr w:type="spellStart"/>
      <w:r>
        <w:t>Ar</w:t>
      </w:r>
      <w:proofErr w:type="spellEnd"/>
      <w:r>
        <w:t>–O–</w:t>
      </w:r>
      <w:proofErr w:type="spellStart"/>
      <w:r>
        <w:t>Ar</w:t>
      </w:r>
      <w:proofErr w:type="spellEnd"/>
      <w:r>
        <w:t xml:space="preserve"> stretching, where </w:t>
      </w:r>
      <w:proofErr w:type="spellStart"/>
      <w:r>
        <w:t>Ar</w:t>
      </w:r>
      <w:proofErr w:type="spellEnd"/>
      <w:r>
        <w:t xml:space="preserve"> refers to the aromatic ring structure.</w:t>
      </w:r>
      <w:r w:rsidR="005972E0">
        <w:t xml:space="preserve"> </w:t>
      </w:r>
      <w:r>
        <w:t>A symmetric S=O stretching vibration appears at around 1290 cm⁻¹, and an absorption band at approximately 1580 cm⁻¹ is attributed to the C=C stretching of aromatic rings</w:t>
      </w:r>
      <w:r w:rsidR="002B33D2">
        <w:t xml:space="preserve"> </w:t>
      </w:r>
      <w:r w:rsidR="002B33D2">
        <w:fldChar w:fldCharType="begin"/>
      </w:r>
      <w:r w:rsidR="00F954A4">
        <w:instrText xml:space="preserve"> ADDIN ZOTERO_ITEM CSL_CITATION {"citationID":"dH7nW7H5","properties":{"formattedCitation":"[28]","plainCitation":"[28]","noteIndex":0},"citationItems":[{"id":"wW54kaFO/qZH7MgRz","uris":["http://zotero.org/users/local/HM6wA45z/items/FN3YRII4"],"itemData":{"id":444,"type":"article-journal","abstract":"Zeolite-templated carbon (ZTC) was used as a new nanoporous filler to prepare mixed-matrix membranes (MMMs) with polysulfone as a continuous phase. The ZTC was prepared using a synthesized zeolite-Y template and sucrose carbon source via the impregnation method. The MMMs were fabricated through a dry-jet wet spinning technique, and the ZTC loadings were varied between 0.4–0.7wt%. The results showed that the integration of the ZTC did not change the microscopic structure of membranes. Additionally, the addition of filler did not affect the amorphous character of the polymer, while the polymer chain spacing slightly decreased. The thermal stability of MMMs improved with an increase in the glass transition temperature. The MMM at 0.4wt% loading exhibited the best separation performances as shown from the Robeson curve, with CH4, CO2, N2, O2, and H2 permeances of 5.9, 58.5, 5.0, 14.0, and 169.2 GPU, respectively. In addition, the improvements in CO2/CH4, O2/N2, H2/CH4, and CO2/N2 ideal selectivities were 290%, 117%, 272%, and 219%, respectively. On the other hand, the enhancement of the permeances and reduction in selectivities observed at 0.7wt% loading indicated that the existence of voids was a main factor in the permeation behavior of the MMMs.","container-title":"Chemical Engineering Research and Design","DOI":"10.1016/j.cherd.2019.08.004","ISSN":"0263-8762","journalAbbreviation":"Chemical Engineering Research and Design","page":"274-288","source":"ScienceDirect","title":"Polysulfone mixed matrix hollow fiber membranes using zeolite templated carbon as a performance enhancement filler for gas separation","volume":"150","author":[{"family":"Wijiyanti","given":"Rika"},{"family":"Ubaidillah","given":"Afifah Nur"},{"family":"Gunawan","given":"Triyanda"},{"family":"Karim","given":"Zulhairun Abdul"},{"family":"Ismail","given":"Ahmad Fauzi"},{"family":"Smart","given":"Simon"},{"family":"Lin","given":"Rijia"},{"family":"Widiastuti","given":"Nurul"}],"issued":{"date-parts":[["2019",10,1]]}}}],"schema":"https://github.com/citation-style-language/schema/raw/master/csl-citation.json"} </w:instrText>
      </w:r>
      <w:r w:rsidR="002B33D2">
        <w:fldChar w:fldCharType="separate"/>
      </w:r>
      <w:r w:rsidR="00F954A4" w:rsidRPr="00F954A4">
        <w:t>[28]</w:t>
      </w:r>
      <w:r w:rsidR="002B33D2">
        <w:fldChar w:fldCharType="end"/>
      </w:r>
      <w:r w:rsidR="002B33D2">
        <w:t>.</w:t>
      </w:r>
    </w:p>
    <w:p w14:paraId="1F63D907" w14:textId="70425A65" w:rsidR="005B1511" w:rsidRDefault="002E7867" w:rsidP="005B1511">
      <w:pPr>
        <w:pStyle w:val="Paragraph"/>
        <w:keepNext/>
        <w:jc w:val="center"/>
      </w:pPr>
      <w:r>
        <w:rPr>
          <w:noProof/>
        </w:rPr>
        <w:drawing>
          <wp:inline distT="0" distB="0" distL="0" distR="0" wp14:anchorId="4B345F3E" wp14:editId="38620801">
            <wp:extent cx="4175760" cy="2505108"/>
            <wp:effectExtent l="0" t="0" r="0" b="9525"/>
            <wp:docPr id="1721047536"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177710" cy="2506278"/>
                    </a:xfrm>
                    <a:prstGeom prst="rect">
                      <a:avLst/>
                    </a:prstGeom>
                    <a:noFill/>
                  </pic:spPr>
                </pic:pic>
              </a:graphicData>
            </a:graphic>
          </wp:inline>
        </w:drawing>
      </w:r>
    </w:p>
    <w:p w14:paraId="028340B4" w14:textId="0346FE64" w:rsidR="005972E0" w:rsidRPr="00F31836" w:rsidRDefault="005B1511" w:rsidP="005B1511">
      <w:pPr>
        <w:pStyle w:val="Caption"/>
        <w:jc w:val="center"/>
      </w:pPr>
      <w:r w:rsidRPr="005B1511">
        <w:rPr>
          <w:b/>
          <w:bCs/>
        </w:rPr>
        <w:t xml:space="preserve">FIGURE </w:t>
      </w:r>
      <w:r w:rsidRPr="005B1511">
        <w:rPr>
          <w:b/>
          <w:bCs/>
        </w:rPr>
        <w:fldChar w:fldCharType="begin"/>
      </w:r>
      <w:r w:rsidRPr="005B1511">
        <w:rPr>
          <w:b/>
          <w:bCs/>
        </w:rPr>
        <w:instrText xml:space="preserve"> SEQ Figure \* ARABIC </w:instrText>
      </w:r>
      <w:r w:rsidRPr="005B1511">
        <w:rPr>
          <w:b/>
          <w:bCs/>
        </w:rPr>
        <w:fldChar w:fldCharType="separate"/>
      </w:r>
      <w:r w:rsidR="003071A0">
        <w:rPr>
          <w:b/>
          <w:bCs/>
          <w:noProof/>
        </w:rPr>
        <w:t>4</w:t>
      </w:r>
      <w:r w:rsidRPr="005B1511">
        <w:rPr>
          <w:b/>
          <w:bCs/>
        </w:rPr>
        <w:fldChar w:fldCharType="end"/>
      </w:r>
      <w:r w:rsidR="00F31836" w:rsidRPr="007A11A3">
        <w:rPr>
          <w:b/>
          <w:bCs/>
        </w:rPr>
        <w:t xml:space="preserve">. </w:t>
      </w:r>
      <w:r w:rsidR="00F31836" w:rsidRPr="00F31836">
        <w:t xml:space="preserve">FTIR spectra of 10% </w:t>
      </w:r>
      <w:proofErr w:type="spellStart"/>
      <w:r w:rsidR="00F31836" w:rsidRPr="00F31836">
        <w:t>PSf</w:t>
      </w:r>
      <w:proofErr w:type="spellEnd"/>
      <w:r w:rsidR="00F31836" w:rsidRPr="00F31836">
        <w:t>-based polymer membranes</w:t>
      </w:r>
    </w:p>
    <w:p w14:paraId="2F021B98" w14:textId="77777777" w:rsidR="00E57338" w:rsidRDefault="00E57338" w:rsidP="00E57338"/>
    <w:p w14:paraId="58DC4AE4" w14:textId="0BD257DF" w:rsidR="00E57338" w:rsidRPr="005129F3" w:rsidRDefault="005129F3" w:rsidP="007D7830">
      <w:pPr>
        <w:spacing w:after="240"/>
        <w:jc w:val="center"/>
        <w:rPr>
          <w:b/>
          <w:bCs/>
          <w:color w:val="000000" w:themeColor="text1"/>
        </w:rPr>
      </w:pPr>
      <w:r w:rsidRPr="005129F3">
        <w:rPr>
          <w:b/>
          <w:bCs/>
          <w:color w:val="000000" w:themeColor="text1"/>
        </w:rPr>
        <w:t>SEM Analysis</w:t>
      </w:r>
    </w:p>
    <w:p w14:paraId="19D0D430" w14:textId="3FAE5275" w:rsidR="002C49C1" w:rsidRPr="002C49C1" w:rsidRDefault="002C49C1" w:rsidP="002C49C1">
      <w:pPr>
        <w:spacing w:after="240"/>
        <w:ind w:firstLine="284"/>
        <w:jc w:val="both"/>
        <w:rPr>
          <w:sz w:val="20"/>
        </w:rPr>
      </w:pPr>
      <w:r w:rsidRPr="002C49C1">
        <w:rPr>
          <w:sz w:val="20"/>
        </w:rPr>
        <w:t xml:space="preserve">Figure 5 shows the SEM images of the </w:t>
      </w:r>
      <w:proofErr w:type="spellStart"/>
      <w:r w:rsidRPr="002C49C1">
        <w:rPr>
          <w:sz w:val="20"/>
        </w:rPr>
        <w:t>PSf</w:t>
      </w:r>
      <w:proofErr w:type="spellEnd"/>
      <w:r w:rsidRPr="002C49C1">
        <w:rPr>
          <w:sz w:val="20"/>
        </w:rPr>
        <w:t xml:space="preserve"> membrane surface and cross-section. The surface (Fig. 5a) looks generally smooth, with only a few small irregularities. The cross-sections (Fig. 5b–c) clearly show a dense and symmetric structure, with the selective layer measured at about 30.66 µm. This dense character agrees with the transparent appearance of the membranes seen in the photographs, confirming that the films produced here are </w:t>
      </w:r>
      <w:r w:rsidRPr="002C49C1">
        <w:rPr>
          <w:sz w:val="20"/>
        </w:rPr>
        <w:lastRenderedPageBreak/>
        <w:t>essentially non-porous.</w:t>
      </w:r>
      <w:r>
        <w:rPr>
          <w:sz w:val="20"/>
        </w:rPr>
        <w:t xml:space="preserve"> </w:t>
      </w:r>
      <w:r w:rsidRPr="002C49C1">
        <w:rPr>
          <w:sz w:val="20"/>
        </w:rPr>
        <w:t xml:space="preserve">Such a compact layer is important for gas separation because transport follows the solution–diffusion mechanism. Gas molecules dissolve into the polymer matrix, diffuse across the dense layer, and finally desorb on the permeate side. If the layer is too thin, defects can reduce selectivity, while if it is too thick, permeability drops sharply. The 10% </w:t>
      </w:r>
      <w:proofErr w:type="spellStart"/>
      <w:r w:rsidRPr="002C49C1">
        <w:rPr>
          <w:sz w:val="20"/>
        </w:rPr>
        <w:t>PSf</w:t>
      </w:r>
      <w:proofErr w:type="spellEnd"/>
      <w:r w:rsidRPr="002C49C1">
        <w:rPr>
          <w:sz w:val="20"/>
        </w:rPr>
        <w:t xml:space="preserve"> membrane sits in between, giving a thickness that is enough to minimize defects but still thin enough to let hydrogen, with its smaller kinetic diameter, pass more readily than CO₂. This balance is consistent with the higher H₂/CO₂ selectivity obtained for this membrane.</w:t>
      </w:r>
    </w:p>
    <w:p w14:paraId="730F3163" w14:textId="65ED430C" w:rsidR="00D71117" w:rsidRDefault="00887B93" w:rsidP="00D71117">
      <w:pPr>
        <w:keepNext/>
        <w:jc w:val="center"/>
      </w:pPr>
      <w:r w:rsidRPr="00887B93">
        <w:rPr>
          <w:noProof/>
        </w:rPr>
        <w:drawing>
          <wp:inline distT="0" distB="0" distL="0" distR="0" wp14:anchorId="5FE75FCD" wp14:editId="1AB67D2F">
            <wp:extent cx="5852160" cy="1257300"/>
            <wp:effectExtent l="0" t="0" r="0" b="0"/>
            <wp:docPr id="1154116345"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852160" cy="1257300"/>
                    </a:xfrm>
                    <a:prstGeom prst="rect">
                      <a:avLst/>
                    </a:prstGeom>
                    <a:noFill/>
                    <a:ln>
                      <a:noFill/>
                    </a:ln>
                  </pic:spPr>
                </pic:pic>
              </a:graphicData>
            </a:graphic>
          </wp:inline>
        </w:drawing>
      </w:r>
    </w:p>
    <w:p w14:paraId="6CA9655D" w14:textId="506AB4FA" w:rsidR="007D7830" w:rsidRPr="00F31836" w:rsidRDefault="00D71117" w:rsidP="00D71117">
      <w:pPr>
        <w:pStyle w:val="Caption"/>
        <w:jc w:val="center"/>
      </w:pPr>
      <w:r w:rsidRPr="00D71117">
        <w:rPr>
          <w:b/>
          <w:bCs/>
        </w:rPr>
        <w:t xml:space="preserve">FIGURE </w:t>
      </w:r>
      <w:r w:rsidRPr="00D71117">
        <w:rPr>
          <w:b/>
          <w:bCs/>
        </w:rPr>
        <w:fldChar w:fldCharType="begin"/>
      </w:r>
      <w:r w:rsidRPr="00D71117">
        <w:rPr>
          <w:b/>
          <w:bCs/>
        </w:rPr>
        <w:instrText xml:space="preserve"> SEQ Figure \* ARABIC </w:instrText>
      </w:r>
      <w:r w:rsidRPr="00D71117">
        <w:rPr>
          <w:b/>
          <w:bCs/>
        </w:rPr>
        <w:fldChar w:fldCharType="separate"/>
      </w:r>
      <w:r w:rsidR="003071A0">
        <w:rPr>
          <w:b/>
          <w:bCs/>
          <w:noProof/>
        </w:rPr>
        <w:t>5</w:t>
      </w:r>
      <w:r w:rsidRPr="00D71117">
        <w:rPr>
          <w:b/>
          <w:bCs/>
        </w:rPr>
        <w:fldChar w:fldCharType="end"/>
      </w:r>
      <w:r w:rsidR="00F31836" w:rsidRPr="00C66427">
        <w:rPr>
          <w:b/>
          <w:bCs/>
        </w:rPr>
        <w:t>.</w:t>
      </w:r>
      <w:r w:rsidR="00F31836" w:rsidRPr="00F31836">
        <w:t xml:space="preserve"> SEM images of </w:t>
      </w:r>
      <w:proofErr w:type="spellStart"/>
      <w:r w:rsidR="00F31836" w:rsidRPr="00F31836">
        <w:t>PSf</w:t>
      </w:r>
      <w:proofErr w:type="spellEnd"/>
      <w:r w:rsidR="00F31836" w:rsidRPr="00F31836">
        <w:t xml:space="preserve"> membranes fabricated with 10% polymer concentration</w:t>
      </w:r>
      <w:r w:rsidR="00C608D5">
        <w:t xml:space="preserve"> (a) surface area, (b) cross section area, (c) cross section area with 3 times magnification compared to b area</w:t>
      </w:r>
    </w:p>
    <w:p w14:paraId="67D2987B" w14:textId="5687B8A9" w:rsidR="00AC5218" w:rsidRPr="007D7830" w:rsidRDefault="00AC5218" w:rsidP="007D7830">
      <w:pPr>
        <w:pStyle w:val="Heading2"/>
        <w:jc w:val="center"/>
        <w:rPr>
          <w:rFonts w:ascii="Times New Roman" w:hAnsi="Times New Roman" w:cs="Times New Roman"/>
          <w:b/>
          <w:bCs/>
          <w:color w:val="000000" w:themeColor="text1"/>
          <w:sz w:val="24"/>
          <w:szCs w:val="24"/>
        </w:rPr>
      </w:pPr>
      <w:r w:rsidRPr="007D7830">
        <w:rPr>
          <w:rFonts w:ascii="Times New Roman" w:hAnsi="Times New Roman" w:cs="Times New Roman"/>
          <w:b/>
          <w:bCs/>
          <w:color w:val="000000" w:themeColor="text1"/>
          <w:sz w:val="24"/>
          <w:szCs w:val="24"/>
        </w:rPr>
        <w:t>Gas Permeance Performance</w:t>
      </w:r>
      <w:r w:rsidR="00E57338" w:rsidRPr="007D7830">
        <w:rPr>
          <w:rFonts w:ascii="Times New Roman" w:hAnsi="Times New Roman" w:cs="Times New Roman"/>
          <w:b/>
          <w:bCs/>
          <w:color w:val="000000" w:themeColor="text1"/>
          <w:sz w:val="24"/>
          <w:szCs w:val="24"/>
        </w:rPr>
        <w:t xml:space="preserve"> Test</w:t>
      </w:r>
    </w:p>
    <w:p w14:paraId="085825C2" w14:textId="77777777" w:rsidR="00933E85" w:rsidRDefault="00933E85" w:rsidP="00C66427">
      <w:pPr>
        <w:pStyle w:val="Paragraph"/>
        <w:spacing w:before="240"/>
      </w:pPr>
      <w:r>
        <w:t xml:space="preserve">The permeability results for H₂ and CO₂ at different </w:t>
      </w:r>
      <w:proofErr w:type="spellStart"/>
      <w:r>
        <w:t>PSf</w:t>
      </w:r>
      <w:proofErr w:type="spellEnd"/>
      <w:r>
        <w:t xml:space="preserve"> concentrations are shown in Figure 6. As expected, H₂ always passed through the membranes faster than CO₂ because of its smaller kinetic diameter (2.89 Å vs. 3.30 Å). At 6 </w:t>
      </w:r>
      <w:proofErr w:type="spellStart"/>
      <w:r>
        <w:t>wt</w:t>
      </w:r>
      <w:proofErr w:type="spellEnd"/>
      <w:r>
        <w:t xml:space="preserve">%, the H₂ permeability was still high (6.12 GPU), but the selectivity was only 2.83. The membrane at this concentration looked thin and fragile, which likely introduced defects and allowed both gases to pass more easily. At 8 </w:t>
      </w:r>
      <w:proofErr w:type="spellStart"/>
      <w:r>
        <w:t>wt</w:t>
      </w:r>
      <w:proofErr w:type="spellEnd"/>
      <w:r>
        <w:t xml:space="preserve">%, the permeability of H₂ dropped to 3.35 GPU while selectivity rose slightly to 3.24, showing that the denser layer started to form more effectively. The best result came at 10 </w:t>
      </w:r>
      <w:proofErr w:type="spellStart"/>
      <w:r>
        <w:t>wt</w:t>
      </w:r>
      <w:proofErr w:type="spellEnd"/>
      <w:r>
        <w:t xml:space="preserve">%, where H₂ permeability was 3.45 GPU and the H₂/CO₂ selectivity reached 3.95. This matches the SEM observation of a uniform dense layer around 30.66 µm, thick enough to hold back CO₂ but not so thick that it blocked H₂. When the polymer concentration was increased further, the membranes became too dense. At 12 </w:t>
      </w:r>
      <w:proofErr w:type="spellStart"/>
      <w:r>
        <w:t>wt</w:t>
      </w:r>
      <w:proofErr w:type="spellEnd"/>
      <w:r>
        <w:t xml:space="preserve">%, H₂ permeability fell to 1.15 GPU, and at 14 </w:t>
      </w:r>
      <w:proofErr w:type="spellStart"/>
      <w:r>
        <w:t>wt</w:t>
      </w:r>
      <w:proofErr w:type="spellEnd"/>
      <w:r>
        <w:t xml:space="preserve">% it was 2.31 GPU. The thickest membrane, 16 </w:t>
      </w:r>
      <w:proofErr w:type="spellStart"/>
      <w:r>
        <w:t>wt</w:t>
      </w:r>
      <w:proofErr w:type="spellEnd"/>
      <w:r>
        <w:t xml:space="preserve">%, had almost no permeability left (0.20 GPU), even though the selectivity stayed around 3.3. This shows the trade-off clearly: lower concentrations gave high flux but poor selectivity, while higher concentrations gave better selectivity but sacrificed permeability. The 10 </w:t>
      </w:r>
      <w:proofErr w:type="spellStart"/>
      <w:r>
        <w:t>wt</w:t>
      </w:r>
      <w:proofErr w:type="spellEnd"/>
      <w:r>
        <w:t xml:space="preserve">% membrane sat in the middle, offering the most balanced performance. </w:t>
      </w:r>
    </w:p>
    <w:p w14:paraId="5015002E" w14:textId="0895B88D" w:rsidR="00D71117" w:rsidRDefault="008A0BC5" w:rsidP="00D71117">
      <w:pPr>
        <w:pStyle w:val="Paragraph"/>
        <w:keepNext/>
        <w:ind w:firstLine="0"/>
        <w:jc w:val="center"/>
      </w:pPr>
      <w:r>
        <w:rPr>
          <w:noProof/>
        </w:rPr>
        <w:drawing>
          <wp:inline distT="0" distB="0" distL="0" distR="0" wp14:anchorId="5081E743" wp14:editId="7DE6C0D1">
            <wp:extent cx="4152249" cy="2945720"/>
            <wp:effectExtent l="0" t="0" r="1270" b="7620"/>
            <wp:docPr id="120803200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166143" cy="2955577"/>
                    </a:xfrm>
                    <a:prstGeom prst="rect">
                      <a:avLst/>
                    </a:prstGeom>
                    <a:noFill/>
                  </pic:spPr>
                </pic:pic>
              </a:graphicData>
            </a:graphic>
          </wp:inline>
        </w:drawing>
      </w:r>
    </w:p>
    <w:p w14:paraId="04EDE486" w14:textId="7747A80A" w:rsidR="00E209E9" w:rsidRDefault="00D71117" w:rsidP="00D71117">
      <w:pPr>
        <w:pStyle w:val="Caption"/>
        <w:jc w:val="center"/>
      </w:pPr>
      <w:r w:rsidRPr="00D71117">
        <w:rPr>
          <w:b/>
          <w:bCs/>
        </w:rPr>
        <w:t xml:space="preserve">FIGURE </w:t>
      </w:r>
      <w:r w:rsidRPr="00D71117">
        <w:rPr>
          <w:b/>
          <w:bCs/>
        </w:rPr>
        <w:fldChar w:fldCharType="begin"/>
      </w:r>
      <w:r w:rsidRPr="00D71117">
        <w:rPr>
          <w:b/>
          <w:bCs/>
        </w:rPr>
        <w:instrText xml:space="preserve"> SEQ Figure \* ARABIC </w:instrText>
      </w:r>
      <w:r w:rsidRPr="00D71117">
        <w:rPr>
          <w:b/>
          <w:bCs/>
        </w:rPr>
        <w:fldChar w:fldCharType="separate"/>
      </w:r>
      <w:r w:rsidR="003071A0">
        <w:rPr>
          <w:b/>
          <w:bCs/>
          <w:noProof/>
        </w:rPr>
        <w:t>6</w:t>
      </w:r>
      <w:r w:rsidRPr="00D71117">
        <w:rPr>
          <w:b/>
          <w:bCs/>
        </w:rPr>
        <w:fldChar w:fldCharType="end"/>
      </w:r>
      <w:r w:rsidR="009F6BAC" w:rsidRPr="00CF7F16">
        <w:rPr>
          <w:b/>
          <w:bCs/>
        </w:rPr>
        <w:t>.</w:t>
      </w:r>
      <w:r w:rsidR="009F6BAC" w:rsidRPr="009F6BAC">
        <w:t xml:space="preserve"> Single Gas Permeation Performance of </w:t>
      </w:r>
      <w:proofErr w:type="spellStart"/>
      <w:r w:rsidR="009F6BAC" w:rsidRPr="009F6BAC">
        <w:t>PSf</w:t>
      </w:r>
      <w:proofErr w:type="spellEnd"/>
      <w:r w:rsidR="009F6BAC" w:rsidRPr="009F6BAC">
        <w:t>-Based Polymer Membranes</w:t>
      </w:r>
    </w:p>
    <w:p w14:paraId="64D861EC" w14:textId="31B1CDDC" w:rsidR="0010372B" w:rsidRPr="0010372B" w:rsidRDefault="001E74BB" w:rsidP="00433D44">
      <w:pPr>
        <w:pStyle w:val="Paragraph"/>
        <w:spacing w:before="240"/>
      </w:pPr>
      <w:r w:rsidRPr="002A7FC9">
        <w:lastRenderedPageBreak/>
        <w:t xml:space="preserve">Complete data from single-gas tests for H₂ and CO₂ are presented in Table </w:t>
      </w:r>
      <w:r>
        <w:t>3</w:t>
      </w:r>
      <w:r w:rsidRPr="002A7FC9">
        <w:t>.</w:t>
      </w:r>
      <w:r>
        <w:t xml:space="preserve"> </w:t>
      </w:r>
      <w:r w:rsidR="0010372B" w:rsidRPr="0063285B">
        <w:t xml:space="preserve">The results indicate that the permeability of both H₂ and CO₂ decreases with increasing polymer concentration, suggesting that higher concentrations yield denser membranes and likely greater thickness, although this requires verification through cross-sectional SEM analysis for each concentration. In the fabrication of </w:t>
      </w:r>
      <w:proofErr w:type="spellStart"/>
      <w:r w:rsidR="0010372B" w:rsidRPr="0063285B">
        <w:t>PSf</w:t>
      </w:r>
      <w:proofErr w:type="spellEnd"/>
      <w:r w:rsidR="0010372B" w:rsidRPr="0063285B">
        <w:t xml:space="preserve">-based membranes via the dry phase inversion method, the polymer concentration in the dope solution plays a decisive role in determining the thickness and morphological characteristics of the dense layer, as it directly affects the solidification rate and final membrane structure. At concentrations below 10% (e.g., 6% and 8%), the dope solution is overly dilute, resulting in an excessively thin and fragile dense layer. While this condition yields high gas permeability, it increases the likelihood of non-uniform porosity, defects, or voids, which compromise gas selectivity, </w:t>
      </w:r>
      <w:proofErr w:type="gramStart"/>
      <w:r w:rsidR="0010372B" w:rsidRPr="0063285B">
        <w:t>and also</w:t>
      </w:r>
      <w:proofErr w:type="gramEnd"/>
      <w:r w:rsidR="0010372B" w:rsidRPr="0063285B">
        <w:t xml:space="preserve"> raises the risk of pore interpenetration into the membrane interior, thereby weakening the solution–diffusion mechanism. Conversely, at concentrations above 10% (e.g., 12%, 14%, and 16%), the solution becomes more viscous, producing an overly thick dense layer that may preserve or enhance selectivity but significantly reduces permeability due to restricted gas diffusion. Quantitatively, the lowest reduction in H₂ permeability, 43.66%, occurs at a </w:t>
      </w:r>
      <w:proofErr w:type="spellStart"/>
      <w:r w:rsidR="0010372B" w:rsidRPr="0063285B">
        <w:t>PSf</w:t>
      </w:r>
      <w:proofErr w:type="spellEnd"/>
      <w:r w:rsidR="0010372B" w:rsidRPr="0063285B">
        <w:t xml:space="preserve"> concentration of 10%, while the highest reduction, 96.76%, is observed at 16%, both relative to the membrane with the lowest concentration. A similar trend is observed for selectivity, where the highest increase in H₂/CO₂ selectivity, 28.51%, is obtained at a </w:t>
      </w:r>
      <w:proofErr w:type="spellStart"/>
      <w:r w:rsidR="0010372B" w:rsidRPr="0063285B">
        <w:t>PSf</w:t>
      </w:r>
      <w:proofErr w:type="spellEnd"/>
      <w:r w:rsidR="0010372B" w:rsidRPr="0063285B">
        <w:t xml:space="preserve"> concentration of 10%. Although this improvement is relatively modest, it highlights the potential for further enhancement through the incorporation of additional materials, either in the form of composites or mixed matrix membranes (MMMs).</w:t>
      </w:r>
    </w:p>
    <w:p w14:paraId="3BE584CD" w14:textId="77777777" w:rsidR="00F61AFD" w:rsidRPr="00F61AFD" w:rsidRDefault="00F61AFD" w:rsidP="00F61AFD"/>
    <w:p w14:paraId="4B07DF40" w14:textId="484B285A" w:rsidR="00577D33" w:rsidRPr="00577D33" w:rsidRDefault="00577D33" w:rsidP="00F61AFD">
      <w:pPr>
        <w:pStyle w:val="Caption"/>
        <w:jc w:val="center"/>
      </w:pPr>
      <w:r w:rsidRPr="00CF7F16">
        <w:rPr>
          <w:b/>
          <w:bCs/>
        </w:rPr>
        <w:t>T</w:t>
      </w:r>
      <w:r w:rsidR="00CF7F16" w:rsidRPr="00CF7F16">
        <w:rPr>
          <w:b/>
          <w:bCs/>
        </w:rPr>
        <w:t>ABLE</w:t>
      </w:r>
      <w:r w:rsidRPr="00CF7F16">
        <w:rPr>
          <w:b/>
          <w:bCs/>
        </w:rPr>
        <w:t xml:space="preserve"> </w:t>
      </w:r>
      <w:r w:rsidRPr="00CF7F16">
        <w:rPr>
          <w:b/>
          <w:bCs/>
        </w:rPr>
        <w:fldChar w:fldCharType="begin"/>
      </w:r>
      <w:r w:rsidRPr="00CF7F16">
        <w:rPr>
          <w:b/>
          <w:bCs/>
        </w:rPr>
        <w:instrText xml:space="preserve"> SEQ Table \* ARABIC </w:instrText>
      </w:r>
      <w:r w:rsidRPr="00CF7F16">
        <w:rPr>
          <w:b/>
          <w:bCs/>
        </w:rPr>
        <w:fldChar w:fldCharType="separate"/>
      </w:r>
      <w:r w:rsidR="003071A0">
        <w:rPr>
          <w:b/>
          <w:bCs/>
          <w:noProof/>
        </w:rPr>
        <w:t>3</w:t>
      </w:r>
      <w:r w:rsidRPr="00CF7F16">
        <w:rPr>
          <w:b/>
          <w:bCs/>
        </w:rPr>
        <w:fldChar w:fldCharType="end"/>
      </w:r>
      <w:r w:rsidRPr="00CF7F16">
        <w:rPr>
          <w:b/>
          <w:bCs/>
        </w:rPr>
        <w:t>.</w:t>
      </w:r>
      <w:r w:rsidRPr="00577D33">
        <w:t xml:space="preserve"> Single gas separation performance at room temperature and 1 bar pressure</w:t>
      </w:r>
    </w:p>
    <w:tbl>
      <w:tblPr>
        <w:tblStyle w:val="TableGrid"/>
        <w:tblW w:w="9368" w:type="dxa"/>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22"/>
        <w:gridCol w:w="2361"/>
        <w:gridCol w:w="2483"/>
        <w:gridCol w:w="2402"/>
      </w:tblGrid>
      <w:tr w:rsidR="002A7FC9" w14:paraId="470FBE44" w14:textId="77777777" w:rsidTr="00D4335F">
        <w:trPr>
          <w:trHeight w:val="274"/>
        </w:trPr>
        <w:tc>
          <w:tcPr>
            <w:tcW w:w="2122" w:type="dxa"/>
            <w:tcBorders>
              <w:top w:val="single" w:sz="4" w:space="0" w:color="auto"/>
              <w:bottom w:val="single" w:sz="4" w:space="0" w:color="auto"/>
            </w:tcBorders>
          </w:tcPr>
          <w:p w14:paraId="73344F13" w14:textId="300E43B9" w:rsidR="002A7FC9" w:rsidRPr="002A7FC9" w:rsidRDefault="002A7FC9" w:rsidP="002A7FC9">
            <w:pPr>
              <w:jc w:val="center"/>
              <w:rPr>
                <w:b/>
                <w:bCs/>
              </w:rPr>
            </w:pPr>
            <w:r w:rsidRPr="002A7FC9">
              <w:rPr>
                <w:b/>
                <w:bCs/>
              </w:rPr>
              <w:t>Membrane type</w:t>
            </w:r>
          </w:p>
        </w:tc>
        <w:tc>
          <w:tcPr>
            <w:tcW w:w="2361" w:type="dxa"/>
            <w:tcBorders>
              <w:top w:val="single" w:sz="4" w:space="0" w:color="auto"/>
              <w:bottom w:val="single" w:sz="4" w:space="0" w:color="auto"/>
            </w:tcBorders>
          </w:tcPr>
          <w:p w14:paraId="4BDA11EB" w14:textId="56BCF9DE" w:rsidR="002A7FC9" w:rsidRPr="002A7FC9" w:rsidRDefault="002A7FC9" w:rsidP="002A7FC9">
            <w:pPr>
              <w:jc w:val="center"/>
              <w:rPr>
                <w:b/>
                <w:bCs/>
              </w:rPr>
            </w:pPr>
            <w:r w:rsidRPr="002A7FC9">
              <w:rPr>
                <w:b/>
                <w:bCs/>
              </w:rPr>
              <w:t>H</w:t>
            </w:r>
            <w:r w:rsidRPr="002A7FC9">
              <w:rPr>
                <w:b/>
                <w:bCs/>
                <w:vertAlign w:val="subscript"/>
              </w:rPr>
              <w:t>2</w:t>
            </w:r>
            <w:r w:rsidRPr="002A7FC9">
              <w:rPr>
                <w:b/>
                <w:bCs/>
              </w:rPr>
              <w:t xml:space="preserve"> Permeability (GPU)</w:t>
            </w:r>
          </w:p>
        </w:tc>
        <w:tc>
          <w:tcPr>
            <w:tcW w:w="2483" w:type="dxa"/>
            <w:tcBorders>
              <w:top w:val="single" w:sz="4" w:space="0" w:color="auto"/>
              <w:bottom w:val="single" w:sz="4" w:space="0" w:color="auto"/>
            </w:tcBorders>
          </w:tcPr>
          <w:p w14:paraId="38CA7F98" w14:textId="724DBDCB" w:rsidR="002A7FC9" w:rsidRPr="002A7FC9" w:rsidRDefault="002A7FC9" w:rsidP="002A7FC9">
            <w:pPr>
              <w:jc w:val="center"/>
              <w:rPr>
                <w:b/>
                <w:bCs/>
              </w:rPr>
            </w:pPr>
            <w:r w:rsidRPr="002A7FC9">
              <w:rPr>
                <w:b/>
                <w:bCs/>
              </w:rPr>
              <w:t>CO</w:t>
            </w:r>
            <w:r w:rsidRPr="002A7FC9">
              <w:rPr>
                <w:b/>
                <w:bCs/>
                <w:vertAlign w:val="subscript"/>
              </w:rPr>
              <w:t>2</w:t>
            </w:r>
            <w:r w:rsidRPr="002A7FC9">
              <w:rPr>
                <w:b/>
                <w:bCs/>
              </w:rPr>
              <w:t xml:space="preserve"> Permeability (GPU)</w:t>
            </w:r>
          </w:p>
        </w:tc>
        <w:tc>
          <w:tcPr>
            <w:tcW w:w="2402" w:type="dxa"/>
            <w:tcBorders>
              <w:top w:val="single" w:sz="4" w:space="0" w:color="auto"/>
              <w:bottom w:val="single" w:sz="4" w:space="0" w:color="auto"/>
            </w:tcBorders>
          </w:tcPr>
          <w:p w14:paraId="15826956" w14:textId="24CC0DF1" w:rsidR="002A7FC9" w:rsidRPr="002A7FC9" w:rsidRDefault="002A7FC9" w:rsidP="002A7FC9">
            <w:pPr>
              <w:jc w:val="center"/>
              <w:rPr>
                <w:b/>
                <w:bCs/>
              </w:rPr>
            </w:pPr>
            <w:r w:rsidRPr="002A7FC9">
              <w:rPr>
                <w:b/>
                <w:bCs/>
              </w:rPr>
              <w:t>H</w:t>
            </w:r>
            <w:r w:rsidRPr="002A7FC9">
              <w:rPr>
                <w:b/>
                <w:bCs/>
                <w:vertAlign w:val="subscript"/>
              </w:rPr>
              <w:t>2</w:t>
            </w:r>
            <w:r w:rsidRPr="002A7FC9">
              <w:rPr>
                <w:b/>
                <w:bCs/>
              </w:rPr>
              <w:t>/CO</w:t>
            </w:r>
            <w:r w:rsidRPr="002A7FC9">
              <w:rPr>
                <w:b/>
                <w:bCs/>
                <w:vertAlign w:val="subscript"/>
              </w:rPr>
              <w:t>2</w:t>
            </w:r>
            <w:r w:rsidRPr="002A7FC9">
              <w:rPr>
                <w:b/>
                <w:bCs/>
              </w:rPr>
              <w:t xml:space="preserve"> selectivity</w:t>
            </w:r>
          </w:p>
        </w:tc>
      </w:tr>
      <w:tr w:rsidR="002A7FC9" w14:paraId="216CC12B" w14:textId="77777777" w:rsidTr="00D4335F">
        <w:trPr>
          <w:trHeight w:val="242"/>
        </w:trPr>
        <w:tc>
          <w:tcPr>
            <w:tcW w:w="2122" w:type="dxa"/>
            <w:tcBorders>
              <w:top w:val="single" w:sz="4" w:space="0" w:color="auto"/>
            </w:tcBorders>
          </w:tcPr>
          <w:p w14:paraId="42030F1E" w14:textId="0D9BECCC" w:rsidR="002A7FC9" w:rsidRDefault="002A7FC9" w:rsidP="002A7FC9">
            <w:pPr>
              <w:jc w:val="center"/>
            </w:pPr>
            <w:proofErr w:type="spellStart"/>
            <w:r>
              <w:t>PSf</w:t>
            </w:r>
            <w:proofErr w:type="spellEnd"/>
            <w:r>
              <w:t xml:space="preserve"> – 6%</w:t>
            </w:r>
          </w:p>
        </w:tc>
        <w:tc>
          <w:tcPr>
            <w:tcW w:w="2361" w:type="dxa"/>
            <w:tcBorders>
              <w:top w:val="single" w:sz="4" w:space="0" w:color="auto"/>
            </w:tcBorders>
          </w:tcPr>
          <w:p w14:paraId="5A14AC71" w14:textId="72CF9841" w:rsidR="002A7FC9" w:rsidRDefault="002A7FC9" w:rsidP="002A7FC9">
            <w:pPr>
              <w:jc w:val="center"/>
            </w:pPr>
            <w:r>
              <w:t>6.12 ± 0.23</w:t>
            </w:r>
          </w:p>
        </w:tc>
        <w:tc>
          <w:tcPr>
            <w:tcW w:w="2483" w:type="dxa"/>
            <w:tcBorders>
              <w:top w:val="single" w:sz="4" w:space="0" w:color="auto"/>
            </w:tcBorders>
          </w:tcPr>
          <w:p w14:paraId="0A67D8A1" w14:textId="300EC631" w:rsidR="002A7FC9" w:rsidRDefault="002A7FC9" w:rsidP="002A7FC9">
            <w:pPr>
              <w:jc w:val="center"/>
            </w:pPr>
            <w:r>
              <w:t>2.17 ± 0.06</w:t>
            </w:r>
          </w:p>
        </w:tc>
        <w:tc>
          <w:tcPr>
            <w:tcW w:w="2402" w:type="dxa"/>
            <w:tcBorders>
              <w:top w:val="single" w:sz="4" w:space="0" w:color="auto"/>
            </w:tcBorders>
          </w:tcPr>
          <w:p w14:paraId="6D103276" w14:textId="69A97DD6" w:rsidR="002A7FC9" w:rsidRDefault="002A7FC9" w:rsidP="002A7FC9">
            <w:pPr>
              <w:jc w:val="center"/>
            </w:pPr>
            <w:r>
              <w:t>2.83</w:t>
            </w:r>
          </w:p>
        </w:tc>
      </w:tr>
      <w:tr w:rsidR="002A7FC9" w14:paraId="2358C384" w14:textId="77777777" w:rsidTr="00D4335F">
        <w:trPr>
          <w:trHeight w:val="242"/>
        </w:trPr>
        <w:tc>
          <w:tcPr>
            <w:tcW w:w="2122" w:type="dxa"/>
          </w:tcPr>
          <w:p w14:paraId="643B6277" w14:textId="41A0A4D1" w:rsidR="002A7FC9" w:rsidRDefault="002A7FC9" w:rsidP="002A7FC9">
            <w:pPr>
              <w:jc w:val="center"/>
            </w:pPr>
            <w:proofErr w:type="spellStart"/>
            <w:r w:rsidRPr="001352D4">
              <w:t>PSf</w:t>
            </w:r>
            <w:proofErr w:type="spellEnd"/>
            <w:r w:rsidRPr="001352D4">
              <w:t xml:space="preserve"> – </w:t>
            </w:r>
            <w:r>
              <w:t>8</w:t>
            </w:r>
            <w:r w:rsidRPr="001352D4">
              <w:t>%</w:t>
            </w:r>
          </w:p>
        </w:tc>
        <w:tc>
          <w:tcPr>
            <w:tcW w:w="2361" w:type="dxa"/>
          </w:tcPr>
          <w:p w14:paraId="357F871E" w14:textId="6592A651" w:rsidR="002A7FC9" w:rsidRDefault="002A7FC9" w:rsidP="002A7FC9">
            <w:pPr>
              <w:jc w:val="center"/>
            </w:pPr>
            <w:r>
              <w:t>3.35 ± 0.12</w:t>
            </w:r>
          </w:p>
        </w:tc>
        <w:tc>
          <w:tcPr>
            <w:tcW w:w="2483" w:type="dxa"/>
          </w:tcPr>
          <w:p w14:paraId="553D52E2" w14:textId="34A2AED3" w:rsidR="002A7FC9" w:rsidRDefault="002A7FC9" w:rsidP="002A7FC9">
            <w:pPr>
              <w:jc w:val="center"/>
            </w:pPr>
            <w:r>
              <w:t>1.03 ± 0.01</w:t>
            </w:r>
          </w:p>
        </w:tc>
        <w:tc>
          <w:tcPr>
            <w:tcW w:w="2402" w:type="dxa"/>
          </w:tcPr>
          <w:p w14:paraId="4E5B65AF" w14:textId="70FCBAF4" w:rsidR="002A7FC9" w:rsidRDefault="002A7FC9" w:rsidP="002A7FC9">
            <w:pPr>
              <w:jc w:val="center"/>
            </w:pPr>
            <w:r>
              <w:t>3.24</w:t>
            </w:r>
          </w:p>
        </w:tc>
      </w:tr>
      <w:tr w:rsidR="002A7FC9" w14:paraId="4C088042" w14:textId="77777777" w:rsidTr="00D4335F">
        <w:trPr>
          <w:trHeight w:val="242"/>
        </w:trPr>
        <w:tc>
          <w:tcPr>
            <w:tcW w:w="2122" w:type="dxa"/>
          </w:tcPr>
          <w:p w14:paraId="1F5169BC" w14:textId="43188178" w:rsidR="002A7FC9" w:rsidRDefault="002A7FC9" w:rsidP="002A7FC9">
            <w:pPr>
              <w:jc w:val="center"/>
            </w:pPr>
            <w:proofErr w:type="spellStart"/>
            <w:r w:rsidRPr="001352D4">
              <w:t>PSf</w:t>
            </w:r>
            <w:proofErr w:type="spellEnd"/>
            <w:r w:rsidRPr="001352D4">
              <w:t xml:space="preserve"> – </w:t>
            </w:r>
            <w:r>
              <w:t>10</w:t>
            </w:r>
            <w:r w:rsidRPr="001352D4">
              <w:t>%</w:t>
            </w:r>
          </w:p>
        </w:tc>
        <w:tc>
          <w:tcPr>
            <w:tcW w:w="2361" w:type="dxa"/>
          </w:tcPr>
          <w:p w14:paraId="6218F4F0" w14:textId="01B9586F" w:rsidR="002A7FC9" w:rsidRDefault="002A7FC9" w:rsidP="002A7FC9">
            <w:pPr>
              <w:jc w:val="center"/>
            </w:pPr>
            <w:r>
              <w:t>3.45 ± 0.15</w:t>
            </w:r>
          </w:p>
        </w:tc>
        <w:tc>
          <w:tcPr>
            <w:tcW w:w="2483" w:type="dxa"/>
          </w:tcPr>
          <w:p w14:paraId="11520F6A" w14:textId="5DBEA212" w:rsidR="002A7FC9" w:rsidRDefault="002A7FC9" w:rsidP="002A7FC9">
            <w:pPr>
              <w:jc w:val="center"/>
            </w:pPr>
            <w:r>
              <w:t>0.87 ± 0.01</w:t>
            </w:r>
          </w:p>
        </w:tc>
        <w:tc>
          <w:tcPr>
            <w:tcW w:w="2402" w:type="dxa"/>
          </w:tcPr>
          <w:p w14:paraId="158936D0" w14:textId="3B4A21E9" w:rsidR="002A7FC9" w:rsidRDefault="002A7FC9" w:rsidP="002A7FC9">
            <w:pPr>
              <w:jc w:val="center"/>
            </w:pPr>
            <w:r>
              <w:t>3.95</w:t>
            </w:r>
          </w:p>
        </w:tc>
      </w:tr>
      <w:tr w:rsidR="002A7FC9" w14:paraId="2D044C3E" w14:textId="77777777" w:rsidTr="00D4335F">
        <w:trPr>
          <w:trHeight w:val="242"/>
        </w:trPr>
        <w:tc>
          <w:tcPr>
            <w:tcW w:w="2122" w:type="dxa"/>
          </w:tcPr>
          <w:p w14:paraId="7D2D54BD" w14:textId="0AEFEA7F" w:rsidR="002A7FC9" w:rsidRDefault="002A7FC9" w:rsidP="002A7FC9">
            <w:pPr>
              <w:jc w:val="center"/>
            </w:pPr>
            <w:proofErr w:type="spellStart"/>
            <w:r w:rsidRPr="001352D4">
              <w:t>PSf</w:t>
            </w:r>
            <w:proofErr w:type="spellEnd"/>
            <w:r w:rsidRPr="001352D4">
              <w:t xml:space="preserve"> – </w:t>
            </w:r>
            <w:r>
              <w:t>12</w:t>
            </w:r>
            <w:r w:rsidRPr="001352D4">
              <w:t>%</w:t>
            </w:r>
          </w:p>
        </w:tc>
        <w:tc>
          <w:tcPr>
            <w:tcW w:w="2361" w:type="dxa"/>
          </w:tcPr>
          <w:p w14:paraId="3A06CE25" w14:textId="601A8024" w:rsidR="002A7FC9" w:rsidRDefault="002A7FC9" w:rsidP="002A7FC9">
            <w:pPr>
              <w:jc w:val="center"/>
            </w:pPr>
            <w:r>
              <w:t>1.15 ± 0.01</w:t>
            </w:r>
          </w:p>
        </w:tc>
        <w:tc>
          <w:tcPr>
            <w:tcW w:w="2483" w:type="dxa"/>
          </w:tcPr>
          <w:p w14:paraId="4F18E506" w14:textId="0CC492F0" w:rsidR="002A7FC9" w:rsidRDefault="002A7FC9" w:rsidP="002A7FC9">
            <w:pPr>
              <w:jc w:val="center"/>
            </w:pPr>
            <w:r>
              <w:t>0.33 ± 0.00</w:t>
            </w:r>
            <w:r w:rsidR="00AA5FEB">
              <w:t>1</w:t>
            </w:r>
          </w:p>
        </w:tc>
        <w:tc>
          <w:tcPr>
            <w:tcW w:w="2402" w:type="dxa"/>
          </w:tcPr>
          <w:p w14:paraId="50D596BA" w14:textId="16B044FE" w:rsidR="002A7FC9" w:rsidRDefault="002A7FC9" w:rsidP="002A7FC9">
            <w:pPr>
              <w:jc w:val="center"/>
            </w:pPr>
            <w:r>
              <w:t>3.47</w:t>
            </w:r>
          </w:p>
        </w:tc>
      </w:tr>
      <w:tr w:rsidR="002A7FC9" w14:paraId="1464C4F2" w14:textId="77777777" w:rsidTr="00D4335F">
        <w:trPr>
          <w:trHeight w:val="242"/>
        </w:trPr>
        <w:tc>
          <w:tcPr>
            <w:tcW w:w="2122" w:type="dxa"/>
            <w:tcBorders>
              <w:bottom w:val="nil"/>
            </w:tcBorders>
          </w:tcPr>
          <w:p w14:paraId="18EDA4DE" w14:textId="35529872" w:rsidR="002A7FC9" w:rsidRDefault="002A7FC9" w:rsidP="002A7FC9">
            <w:pPr>
              <w:jc w:val="center"/>
            </w:pPr>
            <w:proofErr w:type="spellStart"/>
            <w:r w:rsidRPr="001352D4">
              <w:t>PSf</w:t>
            </w:r>
            <w:proofErr w:type="spellEnd"/>
            <w:r w:rsidRPr="001352D4">
              <w:t xml:space="preserve"> – </w:t>
            </w:r>
            <w:r>
              <w:t>14</w:t>
            </w:r>
            <w:r w:rsidRPr="001352D4">
              <w:t>%</w:t>
            </w:r>
          </w:p>
        </w:tc>
        <w:tc>
          <w:tcPr>
            <w:tcW w:w="2361" w:type="dxa"/>
            <w:tcBorders>
              <w:bottom w:val="nil"/>
            </w:tcBorders>
          </w:tcPr>
          <w:p w14:paraId="721E173E" w14:textId="04E8B4FB" w:rsidR="002A7FC9" w:rsidRDefault="002A7FC9" w:rsidP="002A7FC9">
            <w:pPr>
              <w:jc w:val="center"/>
            </w:pPr>
            <w:r>
              <w:t>2.31 ± 0.03</w:t>
            </w:r>
          </w:p>
        </w:tc>
        <w:tc>
          <w:tcPr>
            <w:tcW w:w="2483" w:type="dxa"/>
            <w:tcBorders>
              <w:bottom w:val="nil"/>
            </w:tcBorders>
          </w:tcPr>
          <w:p w14:paraId="6FDA90EB" w14:textId="6C45B87B" w:rsidR="002A7FC9" w:rsidRDefault="002A7FC9" w:rsidP="002A7FC9">
            <w:pPr>
              <w:jc w:val="center"/>
            </w:pPr>
            <w:r>
              <w:t>0.68 ± 0.00</w:t>
            </w:r>
            <w:r w:rsidR="00AA5FEB">
              <w:t>3</w:t>
            </w:r>
          </w:p>
        </w:tc>
        <w:tc>
          <w:tcPr>
            <w:tcW w:w="2402" w:type="dxa"/>
            <w:tcBorders>
              <w:bottom w:val="nil"/>
            </w:tcBorders>
          </w:tcPr>
          <w:p w14:paraId="3F5AAB27" w14:textId="5B439775" w:rsidR="002A7FC9" w:rsidRDefault="000C72E3" w:rsidP="002A7FC9">
            <w:pPr>
              <w:jc w:val="center"/>
            </w:pPr>
            <w:r>
              <w:t>3.38</w:t>
            </w:r>
          </w:p>
        </w:tc>
      </w:tr>
      <w:tr w:rsidR="002A7FC9" w14:paraId="5603CEFD" w14:textId="77777777" w:rsidTr="00D4335F">
        <w:trPr>
          <w:trHeight w:val="242"/>
        </w:trPr>
        <w:tc>
          <w:tcPr>
            <w:tcW w:w="2122" w:type="dxa"/>
            <w:tcBorders>
              <w:top w:val="nil"/>
              <w:bottom w:val="single" w:sz="4" w:space="0" w:color="auto"/>
            </w:tcBorders>
          </w:tcPr>
          <w:p w14:paraId="59CF750E" w14:textId="3F2377FA" w:rsidR="002A7FC9" w:rsidRPr="001352D4" w:rsidRDefault="002A7FC9" w:rsidP="002A7FC9">
            <w:pPr>
              <w:jc w:val="center"/>
            </w:pPr>
            <w:proofErr w:type="spellStart"/>
            <w:r w:rsidRPr="001352D4">
              <w:t>PSf</w:t>
            </w:r>
            <w:proofErr w:type="spellEnd"/>
            <w:r w:rsidRPr="001352D4">
              <w:t xml:space="preserve"> – </w:t>
            </w:r>
            <w:r>
              <w:t>16</w:t>
            </w:r>
            <w:r w:rsidRPr="001352D4">
              <w:t>%</w:t>
            </w:r>
          </w:p>
        </w:tc>
        <w:tc>
          <w:tcPr>
            <w:tcW w:w="2361" w:type="dxa"/>
            <w:tcBorders>
              <w:top w:val="nil"/>
              <w:bottom w:val="single" w:sz="4" w:space="0" w:color="auto"/>
            </w:tcBorders>
          </w:tcPr>
          <w:p w14:paraId="06CA8889" w14:textId="6255DA3A" w:rsidR="002A7FC9" w:rsidRDefault="002A7FC9" w:rsidP="002A7FC9">
            <w:pPr>
              <w:jc w:val="center"/>
            </w:pPr>
            <w:r>
              <w:t>0.20 ± 0.00</w:t>
            </w:r>
            <w:r w:rsidR="003F0B87">
              <w:t>1</w:t>
            </w:r>
          </w:p>
        </w:tc>
        <w:tc>
          <w:tcPr>
            <w:tcW w:w="2483" w:type="dxa"/>
            <w:tcBorders>
              <w:top w:val="nil"/>
              <w:bottom w:val="single" w:sz="4" w:space="0" w:color="auto"/>
            </w:tcBorders>
          </w:tcPr>
          <w:p w14:paraId="22E49935" w14:textId="63CE00D9" w:rsidR="002A7FC9" w:rsidRDefault="002A7FC9" w:rsidP="002A7FC9">
            <w:pPr>
              <w:jc w:val="center"/>
            </w:pPr>
            <w:r>
              <w:t>0.06 ± 0.00</w:t>
            </w:r>
            <w:r w:rsidR="00AA5FEB">
              <w:t>01</w:t>
            </w:r>
          </w:p>
        </w:tc>
        <w:tc>
          <w:tcPr>
            <w:tcW w:w="2402" w:type="dxa"/>
            <w:tcBorders>
              <w:top w:val="nil"/>
              <w:bottom w:val="single" w:sz="4" w:space="0" w:color="auto"/>
            </w:tcBorders>
          </w:tcPr>
          <w:p w14:paraId="36D64AE4" w14:textId="3DCB7B5A" w:rsidR="002A7FC9" w:rsidRDefault="000C72E3" w:rsidP="002A7FC9">
            <w:pPr>
              <w:jc w:val="center"/>
            </w:pPr>
            <w:r>
              <w:t>3.39</w:t>
            </w:r>
          </w:p>
        </w:tc>
      </w:tr>
    </w:tbl>
    <w:p w14:paraId="4D0AEFB4" w14:textId="77777777" w:rsidR="00433D44" w:rsidRDefault="00433D44" w:rsidP="00B23F90">
      <w:pPr>
        <w:pStyle w:val="Paragraph"/>
        <w:spacing w:after="240"/>
      </w:pPr>
    </w:p>
    <w:p w14:paraId="4CB3E13F" w14:textId="6BAAB793" w:rsidR="00E209E9" w:rsidRDefault="00DE414E" w:rsidP="00B23F90">
      <w:pPr>
        <w:pStyle w:val="Paragraph"/>
        <w:spacing w:after="240"/>
      </w:pPr>
      <w:r>
        <w:t xml:space="preserve">The membrane fabricated at 10% </w:t>
      </w:r>
      <w:proofErr w:type="spellStart"/>
      <w:r>
        <w:t>PSf</w:t>
      </w:r>
      <w:proofErr w:type="spellEnd"/>
      <w:r>
        <w:t xml:space="preserve"> concentration achieved an optimal balance between these two extremes, producing a dense layer with a thickness of approximately 30.66 µm. This specific thickness is critically important, as the gas separation process in these membranes relies on the solution-diffusion mechanism, which is driven by the pressure gradient between the feed and permeate sides. As illustrated in Figure 6, this mechanism consists of three sequential stages: adsorption, diffusion, and desorption</w:t>
      </w:r>
      <w:r w:rsidR="002B33D2">
        <w:t xml:space="preserve"> </w:t>
      </w:r>
      <w:r w:rsidR="002B33D2">
        <w:fldChar w:fldCharType="begin"/>
      </w:r>
      <w:r w:rsidR="00F954A4">
        <w:instrText xml:space="preserve"> ADDIN ZOTERO_ITEM CSL_CITATION {"citationID":"uCctEZ1g","properties":{"formattedCitation":"[29]","plainCitation":"[29]","noteIndex":0},"citationItems":[{"id":"wW54kaFO/EepRlD0J","uris":["http://zotero.org/users/local/HM6wA45z/items/9QF6DV5L"],"itemData":{"id":606,"type":"article-journal","abstract":"With the advancement in membrane technology, membrane separation technology has been found increasingly widespread applications in the pharmaceutical industry. It is utilized in drug separation and purification, wastewater treatment, and the recycling of wastewater resources. This study summarizes the application history of membrane technology in the pharmaceutical industry, presents practical engineering examples of its applications, analyzes the various types of membrane technologies employed in the pharmaceutical sector, and finally, highlights the application cases of renowned international and Chinese membrane technology companies in the pharmaceutical field.","container-title":"Membranes","DOI":"10.3390/membranes14010024","ISSN":"2077-0375","issue":"1","language":"en","license":"http://creativecommons.org/licenses/by/3.0/","note":"number: 1\npublisher: Multidisciplinary Digital Publishing Institute","page":"24","source":"www.mdpi.com","title":"The Application of Membrane Separation Technology in the Pharmaceutical Industry","volume":"14","author":[{"family":"Ma","given":"Ruirui"},{"family":"Li","given":"Juan"},{"family":"Zeng","given":"Ping"},{"family":"Duan","given":"Liang"},{"family":"Dong","given":"Jimin"},{"family":"Ma","given":"Yunxia"},{"family":"Yang","given":"Lingkong"}],"issued":{"date-parts":[["2024",1]]}}}],"schema":"https://github.com/citation-style-language/schema/raw/master/csl-citation.json"} </w:instrText>
      </w:r>
      <w:r w:rsidR="002B33D2">
        <w:fldChar w:fldCharType="separate"/>
      </w:r>
      <w:r w:rsidR="00F954A4" w:rsidRPr="00F954A4">
        <w:t>[29]</w:t>
      </w:r>
      <w:r w:rsidR="002B33D2">
        <w:fldChar w:fldCharType="end"/>
      </w:r>
      <w:r>
        <w:t>. In the adsorption stage, gas molecules dissolve at the membrane surface due to physical and chemical interactions with the membrane matrix, influenced by the gas’s solubility coefficient and the membrane’s affinity. More soluble gases are more readily absorbed. During the diffusion stage, gas molecules migrate through the membrane material from regions of higher to lower concentration, with factors such as molecular size and gas-membrane interactions affecting the diffusion rate. Smaller molecules like H₂ (kinetic diameter: 2.89 Å) diffuse faster than larger molecules such as CO₂ (3.3 Å)</w:t>
      </w:r>
      <w:r w:rsidR="002B33D2">
        <w:t xml:space="preserve"> </w:t>
      </w:r>
      <w:r w:rsidR="002B33D2">
        <w:fldChar w:fldCharType="begin"/>
      </w:r>
      <w:r w:rsidR="00F954A4">
        <w:instrText xml:space="preserve"> ADDIN ZOTERO_ITEM CSL_CITATION {"citationID":"tVnBb2PF","properties":{"formattedCitation":"[30]","plainCitation":"[30]","noteIndex":0},"citationItems":[{"id":"wW54kaFO/gaecy3AO","uris":["http://zotero.org/users/local/HM6wA45z/items/DICES96A"],"itemData":{"id":506,"type":"article-journal","abstract":"Polymeric membrane technology has received extensive attention in the field of gas separation, recently. However, the tradeoff between permeability and selectivity is one of the biggest problems faced by pure polymer membranes, which greatly limits their further application in the chemical and petrochemical industries. To enhance gas separation performances, recent works have focused on improving polymeric membranes selectivity and permeability by fabricating mixed matrix membranes (MMMs). Inorganic zeolite materials distributed in the organic polymer matrix enhance the separation performance of the membranes well beyond the intrinsic properties of the polymer matrix. This concept combines the advantages of both components: high selectivity of zeolite molecular sieve, and mechanical integrity as well as economical processability of the polymeric materials. In this paper gas permeation mechanism through polymeric and zeolitic membranes, material selection for MMMs and their interaction with each other were reviewed. Also, interfacial morphology between zeolite and polymer in MMMs and modification methods of this interfacial region were discussed. In addition, the effect of different parameters such as zeolite loading, zeolite pore size, zeolite particle size, etc. on gas permeation tests through MMMs was critically reviewed.","container-title":"Journal of Industrial and Engineering Chemistry","DOI":"10.1016/j.jiec.2012.09.019","ISSN":"1226-086X","issue":"2","journalAbbreviation":"Journal of Industrial and Engineering Chemistry","page":"375-393","source":"ScienceDirect","title":"Polymeric mixed matrix membranes containing zeolites as a filler for gas separation applications: A review","title-short":"Polymeric mixed matrix membranes containing zeolites as a filler for gas separation applications","volume":"19","author":[{"family":"Bastani","given":"Dariush"},{"family":"Esmaeili","given":"Nazila"},{"family":"Asadollahi","given":"Mahdieh"}],"issued":{"date-parts":[["2013",3,25]]}}}],"schema":"https://github.com/citation-style-language/schema/raw/master/csl-citation.json"} </w:instrText>
      </w:r>
      <w:r w:rsidR="002B33D2">
        <w:fldChar w:fldCharType="separate"/>
      </w:r>
      <w:r w:rsidR="00F954A4" w:rsidRPr="00F954A4">
        <w:t>[30]</w:t>
      </w:r>
      <w:r w:rsidR="002B33D2">
        <w:fldChar w:fldCharType="end"/>
      </w:r>
      <w:r>
        <w:t>. The 30.66 µm dense layer in the 10% membrane was sufficiently thick to restrict the passage of larger gas molecules while remaining thin enough to allow smaller gases like H₂ to diffuse effectively, resulting in the highest H₂/CO₂ selectivity observed in this study.</w:t>
      </w:r>
    </w:p>
    <w:p w14:paraId="54CC1262" w14:textId="77777777" w:rsidR="00285727" w:rsidRDefault="00FB4A69" w:rsidP="00285727">
      <w:pPr>
        <w:pStyle w:val="Paragraph"/>
        <w:keepNext/>
        <w:ind w:firstLine="0"/>
        <w:jc w:val="center"/>
      </w:pPr>
      <w:r>
        <w:rPr>
          <w:noProof/>
        </w:rPr>
        <w:lastRenderedPageBreak/>
        <w:drawing>
          <wp:inline distT="0" distB="0" distL="0" distR="0" wp14:anchorId="2F465439" wp14:editId="1489E7D0">
            <wp:extent cx="3694670" cy="1703590"/>
            <wp:effectExtent l="0" t="0" r="1270" b="0"/>
            <wp:docPr id="83375524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704428" cy="1708089"/>
                    </a:xfrm>
                    <a:prstGeom prst="rect">
                      <a:avLst/>
                    </a:prstGeom>
                    <a:noFill/>
                  </pic:spPr>
                </pic:pic>
              </a:graphicData>
            </a:graphic>
          </wp:inline>
        </w:drawing>
      </w:r>
    </w:p>
    <w:p w14:paraId="09E03C3D" w14:textId="24234F52" w:rsidR="00FB4A69" w:rsidRPr="00FB4A69" w:rsidRDefault="00285727" w:rsidP="00285727">
      <w:pPr>
        <w:pStyle w:val="Caption"/>
        <w:jc w:val="center"/>
      </w:pPr>
      <w:r w:rsidRPr="00285727">
        <w:rPr>
          <w:b/>
          <w:bCs/>
        </w:rPr>
        <w:t xml:space="preserve">FIGURE </w:t>
      </w:r>
      <w:r w:rsidRPr="00285727">
        <w:rPr>
          <w:b/>
          <w:bCs/>
        </w:rPr>
        <w:fldChar w:fldCharType="begin"/>
      </w:r>
      <w:r w:rsidRPr="00285727">
        <w:rPr>
          <w:b/>
          <w:bCs/>
        </w:rPr>
        <w:instrText xml:space="preserve"> SEQ Figure \* ARABIC </w:instrText>
      </w:r>
      <w:r w:rsidRPr="00285727">
        <w:rPr>
          <w:b/>
          <w:bCs/>
        </w:rPr>
        <w:fldChar w:fldCharType="separate"/>
      </w:r>
      <w:r w:rsidR="003071A0">
        <w:rPr>
          <w:b/>
          <w:bCs/>
          <w:noProof/>
        </w:rPr>
        <w:t>7</w:t>
      </w:r>
      <w:r w:rsidRPr="00285727">
        <w:rPr>
          <w:b/>
          <w:bCs/>
        </w:rPr>
        <w:fldChar w:fldCharType="end"/>
      </w:r>
      <w:r w:rsidR="00FB4A69" w:rsidRPr="00D4335F">
        <w:rPr>
          <w:b/>
          <w:bCs/>
        </w:rPr>
        <w:t>.</w:t>
      </w:r>
      <w:r w:rsidR="00FB4A69" w:rsidRPr="00FB4A69">
        <w:t xml:space="preserve"> Gas Separation Mechanism via Solution-Diffusion</w:t>
      </w:r>
    </w:p>
    <w:p w14:paraId="7AA83817" w14:textId="77777777" w:rsidR="00AC5218" w:rsidRDefault="00AC5218" w:rsidP="00AC5218">
      <w:pPr>
        <w:pStyle w:val="Paragraph"/>
      </w:pPr>
    </w:p>
    <w:p w14:paraId="537FA091" w14:textId="77777777" w:rsidR="00AC5218" w:rsidRPr="003E1BA2" w:rsidRDefault="00AC5218" w:rsidP="003E1BA2">
      <w:pPr>
        <w:pStyle w:val="Heading2"/>
        <w:jc w:val="center"/>
        <w:rPr>
          <w:rFonts w:ascii="Times New Roman" w:hAnsi="Times New Roman" w:cs="Times New Roman"/>
          <w:b/>
          <w:bCs/>
          <w:color w:val="000000" w:themeColor="text1"/>
          <w:sz w:val="24"/>
          <w:szCs w:val="24"/>
        </w:rPr>
      </w:pPr>
      <w:r w:rsidRPr="003E1BA2">
        <w:rPr>
          <w:rFonts w:ascii="Times New Roman" w:hAnsi="Times New Roman" w:cs="Times New Roman"/>
          <w:b/>
          <w:bCs/>
          <w:color w:val="000000" w:themeColor="text1"/>
          <w:sz w:val="24"/>
          <w:szCs w:val="24"/>
        </w:rPr>
        <w:t>CONCLUSION</w:t>
      </w:r>
    </w:p>
    <w:p w14:paraId="5D4BE0D5" w14:textId="1A7AD537" w:rsidR="00461DEF" w:rsidRDefault="00461DEF" w:rsidP="003E1BA2">
      <w:pPr>
        <w:pStyle w:val="Paragraph"/>
        <w:spacing w:before="240"/>
      </w:pPr>
      <w:proofErr w:type="spellStart"/>
      <w:r w:rsidRPr="00461DEF">
        <w:t>PSf</w:t>
      </w:r>
      <w:proofErr w:type="spellEnd"/>
      <w:r w:rsidRPr="00461DEF">
        <w:t xml:space="preserve"> membranes were successfully fabricated using the dry phase inversion method, and their structure and gas separation performance were systematically investigated. The results demonstrated that polymer concentration in the dope solution significantly influenced membrane morphology and function, as higher concentrations produced thicker dense layers that reduced permeability while maintaining or enhancing selectivity. The optimum performance was achieved at 10% </w:t>
      </w:r>
      <w:proofErr w:type="spellStart"/>
      <w:r w:rsidRPr="00461DEF">
        <w:t>PSf</w:t>
      </w:r>
      <w:proofErr w:type="spellEnd"/>
      <w:r w:rsidRPr="00461DEF">
        <w:t xml:space="preserve">, where the dense layer thickness reached 30.66 µm and resulted in an H₂/CO₂ selectivity of 3.95, representing a 73.9% improvement compared to the lowest polymer concentration. These findings highlight the critical role of polymer concentration in tuning membrane performance, provide a practical baseline for future mixed matrix membrane development, and indicate the potential feasibility of 10% </w:t>
      </w:r>
      <w:proofErr w:type="spellStart"/>
      <w:r w:rsidRPr="00461DEF">
        <w:t>PSf</w:t>
      </w:r>
      <w:proofErr w:type="spellEnd"/>
      <w:r w:rsidRPr="00461DEF">
        <w:t xml:space="preserve"> membranes for industrial gas separation applications.</w:t>
      </w:r>
    </w:p>
    <w:p w14:paraId="1009D737" w14:textId="3C36DAD0" w:rsidR="001B1AEC" w:rsidRPr="00D4335F" w:rsidRDefault="001B1AEC" w:rsidP="001B1AEC">
      <w:pPr>
        <w:pStyle w:val="Heading2"/>
        <w:jc w:val="center"/>
        <w:rPr>
          <w:rFonts w:ascii="Times New Roman" w:hAnsi="Times New Roman" w:cs="Times New Roman"/>
          <w:b/>
          <w:bCs/>
          <w:color w:val="000000" w:themeColor="text1"/>
          <w:sz w:val="24"/>
          <w:szCs w:val="24"/>
        </w:rPr>
      </w:pPr>
      <w:r>
        <w:rPr>
          <w:rFonts w:ascii="Times New Roman" w:hAnsi="Times New Roman" w:cs="Times New Roman"/>
          <w:b/>
          <w:bCs/>
          <w:color w:val="000000" w:themeColor="text1"/>
          <w:sz w:val="24"/>
          <w:szCs w:val="24"/>
        </w:rPr>
        <w:t>ACKNOWLEDGEMENTS</w:t>
      </w:r>
    </w:p>
    <w:p w14:paraId="6C54E609" w14:textId="38E27AF6" w:rsidR="001B1AEC" w:rsidRDefault="001B1AEC" w:rsidP="003E1BA2">
      <w:pPr>
        <w:pStyle w:val="Paragraph"/>
        <w:spacing w:before="240"/>
      </w:pPr>
      <w:r>
        <w:t xml:space="preserve">The authors greatly acknowledge the financial support provided by Ministry of Higher Education, Science and Technology of Republik Indonesia, scheme </w:t>
      </w:r>
      <w:proofErr w:type="spellStart"/>
      <w:r>
        <w:t>Penelitian</w:t>
      </w:r>
      <w:proofErr w:type="spellEnd"/>
      <w:r>
        <w:t xml:space="preserve"> Fundamental </w:t>
      </w:r>
      <w:proofErr w:type="spellStart"/>
      <w:r>
        <w:t>Reguler</w:t>
      </w:r>
      <w:proofErr w:type="spellEnd"/>
      <w:r>
        <w:t xml:space="preserve">, under contract </w:t>
      </w:r>
      <w:proofErr w:type="gramStart"/>
      <w:r>
        <w:t>no :</w:t>
      </w:r>
      <w:proofErr w:type="gramEnd"/>
      <w:r>
        <w:t xml:space="preserve"> </w:t>
      </w:r>
      <w:r w:rsidR="00AB4DDF">
        <w:t>1322/PKS/ITS/2025</w:t>
      </w:r>
      <w:r w:rsidR="003B55AC">
        <w:t>.</w:t>
      </w:r>
    </w:p>
    <w:p w14:paraId="6149F7BA" w14:textId="3C7557E4" w:rsidR="00461DEF" w:rsidRPr="00D4335F" w:rsidRDefault="00D4335F" w:rsidP="00D4335F">
      <w:pPr>
        <w:pStyle w:val="Heading2"/>
        <w:jc w:val="center"/>
        <w:rPr>
          <w:rFonts w:ascii="Times New Roman" w:hAnsi="Times New Roman" w:cs="Times New Roman"/>
          <w:b/>
          <w:bCs/>
          <w:color w:val="000000" w:themeColor="text1"/>
          <w:sz w:val="24"/>
          <w:szCs w:val="24"/>
        </w:rPr>
      </w:pPr>
      <w:r>
        <w:rPr>
          <w:rFonts w:ascii="Times New Roman" w:hAnsi="Times New Roman" w:cs="Times New Roman"/>
          <w:b/>
          <w:bCs/>
          <w:color w:val="000000" w:themeColor="text1"/>
          <w:sz w:val="24"/>
          <w:szCs w:val="24"/>
        </w:rPr>
        <w:t>REFERENCES</w:t>
      </w:r>
    </w:p>
    <w:p w14:paraId="43DC348A" w14:textId="77777777" w:rsidR="00F954A4" w:rsidRPr="00F954A4" w:rsidRDefault="00E26E01" w:rsidP="00C72324">
      <w:pPr>
        <w:pStyle w:val="Bibliography"/>
        <w:jc w:val="both"/>
        <w:rPr>
          <w:sz w:val="20"/>
        </w:rPr>
      </w:pPr>
      <w:r>
        <w:fldChar w:fldCharType="begin"/>
      </w:r>
      <w:r>
        <w:instrText xml:space="preserve"> ADDIN ZOTERO_BIBL {"uncited":[],"omitted":[],"custom":[]} CSL_BIBLIOGRAPHY </w:instrText>
      </w:r>
      <w:r>
        <w:fldChar w:fldCharType="separate"/>
      </w:r>
      <w:r w:rsidR="00F954A4" w:rsidRPr="00F954A4">
        <w:rPr>
          <w:sz w:val="20"/>
        </w:rPr>
        <w:t>[1]</w:t>
      </w:r>
      <w:r w:rsidR="00F954A4" w:rsidRPr="00F954A4">
        <w:rPr>
          <w:sz w:val="20"/>
        </w:rPr>
        <w:tab/>
        <w:t>IEA, 2023, Executive summary – Net Zero Roadmap: A Global Pathway to Keep the 1.5 °C Goal in Reach – Analysis, IEA (n.d.). https://www.iea.org/reports/net-zero-roadmap-a-global-pathway-to-keep-the-15-0c-goal-in-reach/executive-summary (accessed June 4, 2024).</w:t>
      </w:r>
    </w:p>
    <w:p w14:paraId="71D858F0" w14:textId="77777777" w:rsidR="00F954A4" w:rsidRPr="00F954A4" w:rsidRDefault="00F954A4" w:rsidP="00C72324">
      <w:pPr>
        <w:pStyle w:val="Bibliography"/>
        <w:jc w:val="both"/>
        <w:rPr>
          <w:sz w:val="20"/>
        </w:rPr>
      </w:pPr>
      <w:r w:rsidRPr="00F954A4">
        <w:rPr>
          <w:sz w:val="20"/>
        </w:rPr>
        <w:t>[2]</w:t>
      </w:r>
      <w:r w:rsidRPr="00F954A4">
        <w:rPr>
          <w:sz w:val="20"/>
        </w:rPr>
        <w:tab/>
        <w:t>R. Wijiyanti, T. Gunawan, N.S. Nasri, Z.A. Karim, A.F. Ismail, N. Widiastuti, Hydrogen Adsorption Characteristics for Zeolite-Y Templated Carbon, Indones. J. Chem. 20 (2019) 29. https://doi.org/10.22146/ijc.38978.</w:t>
      </w:r>
    </w:p>
    <w:p w14:paraId="13D8E1FB" w14:textId="77777777" w:rsidR="00F954A4" w:rsidRPr="00F954A4" w:rsidRDefault="00F954A4" w:rsidP="00C72324">
      <w:pPr>
        <w:pStyle w:val="Bibliography"/>
        <w:jc w:val="both"/>
        <w:rPr>
          <w:sz w:val="20"/>
        </w:rPr>
      </w:pPr>
      <w:r w:rsidRPr="00F954A4">
        <w:rPr>
          <w:sz w:val="20"/>
        </w:rPr>
        <w:t>[3]</w:t>
      </w:r>
      <w:r w:rsidRPr="00F954A4">
        <w:rPr>
          <w:sz w:val="20"/>
        </w:rPr>
        <w:tab/>
        <w:t>N. Sazali, R. Mamat, J.P. Siregar, T. Gunawan, W.N.W. Salleh, N.A.H.M. Nordin, PI/NCC Carbon Membrane: Effect of Additives loading Towards Hydrogen Separation, IOP Conf. Ser. Mater. Sci. Eng. 736 (2020) 022002. https://doi.org/10.1088/1757-899X/736/2/022002.</w:t>
      </w:r>
    </w:p>
    <w:p w14:paraId="02621827" w14:textId="77777777" w:rsidR="00F954A4" w:rsidRPr="00F954A4" w:rsidRDefault="00F954A4" w:rsidP="00C72324">
      <w:pPr>
        <w:pStyle w:val="Bibliography"/>
        <w:jc w:val="both"/>
        <w:rPr>
          <w:sz w:val="20"/>
        </w:rPr>
      </w:pPr>
      <w:r w:rsidRPr="00F954A4">
        <w:rPr>
          <w:sz w:val="20"/>
        </w:rPr>
        <w:t>[4]</w:t>
      </w:r>
      <w:r w:rsidRPr="00F954A4">
        <w:rPr>
          <w:sz w:val="20"/>
        </w:rPr>
        <w:tab/>
        <w:t>N. Widiastuti, A.R. Widyanto, I.S. Caralin, T. Gunawan, R. Wijiyanti, W.N. Wan Salleh, A.F. Ismail, M. Nomura, K. Suzuki, Development of a P84/ZCC Composite Carbon Membrane for Gas Separation of H2/CO2 and H2/CH4, ACS Omega 6 (2021) 15637–15650. https://doi.org/10.1021/acsomega.1c00512.</w:t>
      </w:r>
    </w:p>
    <w:p w14:paraId="08454BF7" w14:textId="77777777" w:rsidR="00F954A4" w:rsidRPr="00F954A4" w:rsidRDefault="00F954A4" w:rsidP="00C72324">
      <w:pPr>
        <w:pStyle w:val="Bibliography"/>
        <w:jc w:val="both"/>
        <w:rPr>
          <w:sz w:val="20"/>
        </w:rPr>
      </w:pPr>
      <w:r w:rsidRPr="00F954A4">
        <w:rPr>
          <w:sz w:val="20"/>
        </w:rPr>
        <w:t>[5]</w:t>
      </w:r>
      <w:r w:rsidRPr="00F954A4">
        <w:rPr>
          <w:sz w:val="20"/>
        </w:rPr>
        <w:tab/>
        <w:t>H. Rasool Abid, A. Keshavarz, J. Lercher, S. Iglauer, Promising material for large-scale H2 storage and efficient H2-CO2 separation, Sep. Purif. Technol. 298 (2022) 121542. https://doi.org/10.1016/j.seppur.2022.121542.</w:t>
      </w:r>
    </w:p>
    <w:p w14:paraId="657FF442" w14:textId="77777777" w:rsidR="00F954A4" w:rsidRPr="00F954A4" w:rsidRDefault="00F954A4" w:rsidP="00C72324">
      <w:pPr>
        <w:pStyle w:val="Bibliography"/>
        <w:jc w:val="both"/>
        <w:rPr>
          <w:sz w:val="20"/>
        </w:rPr>
      </w:pPr>
      <w:r w:rsidRPr="00F954A4">
        <w:rPr>
          <w:sz w:val="20"/>
        </w:rPr>
        <w:t>[6]</w:t>
      </w:r>
      <w:r w:rsidRPr="00F954A4">
        <w:rPr>
          <w:sz w:val="20"/>
        </w:rPr>
        <w:tab/>
        <w:t>I.S. Caralin, A.R. Widyanto, N. Widiastuti, R. Wijiyanti, T. Gunawan, Z.A. Karim, M. Nomura, Y. Yoshida, Annealing treatment for enhancing of H2/C3H8 separation performance on polysulfone membrane, in: Surabaya, Indonesia, 2021: p. 020065. https://doi.org/10.1063/5.0052177.</w:t>
      </w:r>
    </w:p>
    <w:p w14:paraId="78CA7B47" w14:textId="77777777" w:rsidR="00F954A4" w:rsidRPr="00F954A4" w:rsidRDefault="00F954A4" w:rsidP="00C72324">
      <w:pPr>
        <w:pStyle w:val="Bibliography"/>
        <w:jc w:val="both"/>
        <w:rPr>
          <w:sz w:val="20"/>
        </w:rPr>
      </w:pPr>
      <w:r w:rsidRPr="00F954A4">
        <w:rPr>
          <w:sz w:val="20"/>
        </w:rPr>
        <w:t>[7]</w:t>
      </w:r>
      <w:r w:rsidRPr="00F954A4">
        <w:rPr>
          <w:sz w:val="20"/>
        </w:rPr>
        <w:tab/>
        <w:t>T. Gunawan, N. Widiastuti, H. Fansuri, W.N. Wan Salleh, A.F. Ismail, R. Lin, J. Motuzas, S. Smart, The utilization of micro-mesoporous carbon-based filler in the P84 hollow fibre membrane for gas separation, R. Soc. Open Sci. 8 (2021) rsos.201150, 201150. https://doi.org/10.1098/rsos.201150.</w:t>
      </w:r>
    </w:p>
    <w:p w14:paraId="0AE8589E" w14:textId="77777777" w:rsidR="00F954A4" w:rsidRPr="00F954A4" w:rsidRDefault="00F954A4" w:rsidP="00C72324">
      <w:pPr>
        <w:pStyle w:val="Bibliography"/>
        <w:jc w:val="both"/>
        <w:rPr>
          <w:sz w:val="20"/>
        </w:rPr>
      </w:pPr>
      <w:r w:rsidRPr="00F954A4">
        <w:rPr>
          <w:sz w:val="20"/>
        </w:rPr>
        <w:lastRenderedPageBreak/>
        <w:t>[8]</w:t>
      </w:r>
      <w:r w:rsidRPr="00F954A4">
        <w:rPr>
          <w:sz w:val="20"/>
        </w:rPr>
        <w:tab/>
        <w:t>C.L. Eden, M.O. Daramola, Evaluation of silica sodalite infused polysulfone mixed matrix membranes during H2/CO2 separation, Mater. Today Proc. 38 (2021) 522–527. https://doi.org/10.1016/j.matpr.2020.02.393.</w:t>
      </w:r>
    </w:p>
    <w:p w14:paraId="0E9C68C3" w14:textId="77777777" w:rsidR="00F954A4" w:rsidRPr="00F954A4" w:rsidRDefault="00F954A4" w:rsidP="00C72324">
      <w:pPr>
        <w:pStyle w:val="Bibliography"/>
        <w:jc w:val="both"/>
        <w:rPr>
          <w:sz w:val="20"/>
        </w:rPr>
      </w:pPr>
      <w:r w:rsidRPr="00F954A4">
        <w:rPr>
          <w:sz w:val="20"/>
        </w:rPr>
        <w:t>[9]</w:t>
      </w:r>
      <w:r w:rsidRPr="00F954A4">
        <w:rPr>
          <w:sz w:val="20"/>
        </w:rPr>
        <w:tab/>
        <w:t>K.-H. Park, J.W. Lee, Y. Lim, Y. Seo, Life cycle cost analysis of CO2 compression processes coupled with a cryogenic distillation unit for purifying high-CO2 natural gas, J. CO2 Util. 60 (2022) 102002. https://doi.org/10.1016/j.jcou.2022.102002.</w:t>
      </w:r>
    </w:p>
    <w:p w14:paraId="216BBFA2" w14:textId="77777777" w:rsidR="00F954A4" w:rsidRPr="00F954A4" w:rsidRDefault="00F954A4" w:rsidP="00C72324">
      <w:pPr>
        <w:pStyle w:val="Bibliography"/>
        <w:jc w:val="both"/>
        <w:rPr>
          <w:sz w:val="20"/>
        </w:rPr>
      </w:pPr>
      <w:r w:rsidRPr="00F954A4">
        <w:rPr>
          <w:sz w:val="20"/>
        </w:rPr>
        <w:t>[10]</w:t>
      </w:r>
      <w:r w:rsidRPr="00F954A4">
        <w:rPr>
          <w:sz w:val="20"/>
        </w:rPr>
        <w:tab/>
        <w:t>G.K. Rath, G. Pandey, S. Singh, N. Molokitina, A. Kumar, S. Joshi, G. Chauhan, Carbon Dioxide Separation Technologies: Applicable to Net Zero, Energies 16 (2023) 4100. https://doi.org/10.3390/en16104100.</w:t>
      </w:r>
    </w:p>
    <w:p w14:paraId="3DA36592" w14:textId="77777777" w:rsidR="00F954A4" w:rsidRPr="00F954A4" w:rsidRDefault="00F954A4" w:rsidP="00C72324">
      <w:pPr>
        <w:pStyle w:val="Bibliography"/>
        <w:jc w:val="both"/>
        <w:rPr>
          <w:sz w:val="20"/>
        </w:rPr>
      </w:pPr>
      <w:r w:rsidRPr="00F954A4">
        <w:rPr>
          <w:sz w:val="20"/>
        </w:rPr>
        <w:t>[11]</w:t>
      </w:r>
      <w:r w:rsidRPr="00F954A4">
        <w:rPr>
          <w:sz w:val="20"/>
        </w:rPr>
        <w:tab/>
        <w:t>A. Naderi, A. Asadi Tashvigh, T.-S. Chung, H2/CO2 separation enhancement via chemical modification of polybenzimidazole nanostructure, J. Membr. Sci. 572 (2019) 343–349. https://doi.org/10.1016/j.memsci.2018.11.020.</w:t>
      </w:r>
    </w:p>
    <w:p w14:paraId="407C62F6" w14:textId="77777777" w:rsidR="00F954A4" w:rsidRPr="00F954A4" w:rsidRDefault="00F954A4" w:rsidP="00C72324">
      <w:pPr>
        <w:pStyle w:val="Bibliography"/>
        <w:jc w:val="both"/>
        <w:rPr>
          <w:sz w:val="20"/>
        </w:rPr>
      </w:pPr>
      <w:r w:rsidRPr="00F954A4">
        <w:rPr>
          <w:sz w:val="20"/>
        </w:rPr>
        <w:t>[12]</w:t>
      </w:r>
      <w:r w:rsidRPr="00F954A4">
        <w:rPr>
          <w:sz w:val="20"/>
        </w:rPr>
        <w:tab/>
        <w:t>T. Gunawan, N. Widiastuti, A.R. Widyanto, H. Fansuri, S. Akhlus, W.N.W. Salleh, A.F. Ismail, N. Sazali, R. Lin, J. Motuzas, S. Smart, Fine-tuning zeolite pore structures with carbon coating for enhanced gas separation in polyimide-based mixed matrix membrane, Chem. Eng. Res. Des. 204 (2024) 556–571. https://doi.org/10.1016/j.cherd.2024.02.042.</w:t>
      </w:r>
    </w:p>
    <w:p w14:paraId="7EED57CC" w14:textId="77777777" w:rsidR="00F954A4" w:rsidRPr="00F954A4" w:rsidRDefault="00F954A4" w:rsidP="00C72324">
      <w:pPr>
        <w:pStyle w:val="Bibliography"/>
        <w:jc w:val="both"/>
        <w:rPr>
          <w:sz w:val="20"/>
        </w:rPr>
      </w:pPr>
      <w:r w:rsidRPr="00F954A4">
        <w:rPr>
          <w:sz w:val="20"/>
        </w:rPr>
        <w:t>[13]</w:t>
      </w:r>
      <w:r w:rsidRPr="00F954A4">
        <w:rPr>
          <w:sz w:val="20"/>
        </w:rPr>
        <w:tab/>
        <w:t>A. Junaidi, U. Zulfiani, S. Khomariyah, T. Gunawan, N. Widiastuti, N. Sazali, W.N.W. Salleh, Utilization of polyphenylene sulfide as an organic additive to enhance gas separation performance in polysulfone membranes, RSC Adv. 14 (2024) 2311–2319. https://doi.org/10.1039/D3RA06136A.</w:t>
      </w:r>
    </w:p>
    <w:p w14:paraId="724E248B" w14:textId="77777777" w:rsidR="00F954A4" w:rsidRPr="00F954A4" w:rsidRDefault="00F954A4" w:rsidP="00C72324">
      <w:pPr>
        <w:pStyle w:val="Bibliography"/>
        <w:jc w:val="both"/>
        <w:rPr>
          <w:sz w:val="20"/>
        </w:rPr>
      </w:pPr>
      <w:r w:rsidRPr="00F954A4">
        <w:rPr>
          <w:sz w:val="20"/>
        </w:rPr>
        <w:t>[14]</w:t>
      </w:r>
      <w:r w:rsidRPr="00F954A4">
        <w:rPr>
          <w:sz w:val="20"/>
        </w:rPr>
        <w:tab/>
        <w:t>S.H. Alkandari, B. Castro-Dominguez, Advanced and sustainable manufacturing methods of polymer-based membranes for gas separation: a review, Front. Membr. Sci. Technol. 3 (2024). https://doi.org/10.3389/frmst.2024.1390599.</w:t>
      </w:r>
    </w:p>
    <w:p w14:paraId="3ADCD704" w14:textId="77777777" w:rsidR="00F954A4" w:rsidRPr="00F954A4" w:rsidRDefault="00F954A4" w:rsidP="00C72324">
      <w:pPr>
        <w:pStyle w:val="Bibliography"/>
        <w:jc w:val="both"/>
        <w:rPr>
          <w:sz w:val="20"/>
        </w:rPr>
      </w:pPr>
      <w:r w:rsidRPr="00F954A4">
        <w:rPr>
          <w:sz w:val="20"/>
        </w:rPr>
        <w:t>[15]</w:t>
      </w:r>
      <w:r w:rsidRPr="00F954A4">
        <w:rPr>
          <w:sz w:val="20"/>
        </w:rPr>
        <w:tab/>
        <w:t>A. Junaidi, D.N. Nilamsari, C. Nareswari, N. Sazali, T. Gunawan, N. Widiastuti, Self S-doped porous carbon from polyphenylene sulfide: Kinetic and thermodynamic study of CO2 adsorption and separation performance, Chem. Eng. J. 510 (2025) 161861. https://doi.org/10.1016/j.cej.2025.161861.</w:t>
      </w:r>
    </w:p>
    <w:p w14:paraId="45318B4C" w14:textId="77777777" w:rsidR="00F954A4" w:rsidRPr="00F954A4" w:rsidRDefault="00F954A4" w:rsidP="00C72324">
      <w:pPr>
        <w:pStyle w:val="Bibliography"/>
        <w:jc w:val="both"/>
        <w:rPr>
          <w:sz w:val="20"/>
        </w:rPr>
      </w:pPr>
      <w:r w:rsidRPr="00F954A4">
        <w:rPr>
          <w:sz w:val="20"/>
        </w:rPr>
        <w:t>[16]</w:t>
      </w:r>
      <w:r w:rsidRPr="00F954A4">
        <w:rPr>
          <w:sz w:val="20"/>
        </w:rPr>
        <w:tab/>
        <w:t>I.S. Caralin, A.R. Widyanto, N. Widiastuti, R. Wijiyanti, T. Gunawan, Z.A. Karim, M. Nomura, Y. Yoshida, ELEVATED H2/N2 SEPARATION PERFORMANCE BY ANNEALING POST-TREATMENT OF POLYSULFONE HOLLOW FIBER MEMBRANE, RASAYAN J. Chem. 15 (2022) 2292–2298. https://doi.org/10.31788/RJC.2022.1546962.</w:t>
      </w:r>
    </w:p>
    <w:p w14:paraId="18B9AA18" w14:textId="77777777" w:rsidR="00F954A4" w:rsidRPr="00F954A4" w:rsidRDefault="00F954A4" w:rsidP="00C72324">
      <w:pPr>
        <w:pStyle w:val="Bibliography"/>
        <w:jc w:val="both"/>
        <w:rPr>
          <w:sz w:val="20"/>
        </w:rPr>
      </w:pPr>
      <w:r w:rsidRPr="00F954A4">
        <w:rPr>
          <w:sz w:val="20"/>
        </w:rPr>
        <w:t>[17]</w:t>
      </w:r>
      <w:r w:rsidRPr="00F954A4">
        <w:rPr>
          <w:sz w:val="20"/>
        </w:rPr>
        <w:tab/>
        <w:t>L. Matesanz-Niño, M.T. Webb, A. González-Ortega, L. Palacio, C. Álvarez, Á.E. Lozano, M. Galizia, Plasticization resistant gas separation membranes derived from polyimides exhibiting polyethylene-oxide moieties, Polymer 290 (2024) 126535. https://doi.org/10.1016/j.polymer.2023.126535.</w:t>
      </w:r>
    </w:p>
    <w:p w14:paraId="25BF1923" w14:textId="77777777" w:rsidR="00F954A4" w:rsidRPr="00F954A4" w:rsidRDefault="00F954A4" w:rsidP="00C72324">
      <w:pPr>
        <w:pStyle w:val="Bibliography"/>
        <w:jc w:val="both"/>
        <w:rPr>
          <w:sz w:val="20"/>
        </w:rPr>
      </w:pPr>
      <w:r w:rsidRPr="00F954A4">
        <w:rPr>
          <w:sz w:val="20"/>
        </w:rPr>
        <w:t>[18]</w:t>
      </w:r>
      <w:r w:rsidRPr="00F954A4">
        <w:rPr>
          <w:sz w:val="20"/>
        </w:rPr>
        <w:tab/>
        <w:t>T. Gunawan, T.Q. Romadiansyah, R. Wijiyanti, W.N. Wan Salleh, N. Widiastuti, Zeolite templated carbon: Preparation, characterization and performance as filler material in co-polyimide membranes for CO2/CH4 separation, Malays. J. Fundam. Appl. Sci. 15 (2019) 407–413. https://doi.org/10.11113/mjfas.v15n3.1461.</w:t>
      </w:r>
    </w:p>
    <w:p w14:paraId="2F3412F5" w14:textId="77777777" w:rsidR="00F954A4" w:rsidRPr="00F954A4" w:rsidRDefault="00F954A4" w:rsidP="00C72324">
      <w:pPr>
        <w:pStyle w:val="Bibliography"/>
        <w:jc w:val="both"/>
        <w:rPr>
          <w:sz w:val="20"/>
        </w:rPr>
      </w:pPr>
      <w:r w:rsidRPr="00F954A4">
        <w:rPr>
          <w:sz w:val="20"/>
        </w:rPr>
        <w:t>[19]</w:t>
      </w:r>
      <w:r w:rsidRPr="00F954A4">
        <w:rPr>
          <w:sz w:val="20"/>
        </w:rPr>
        <w:tab/>
        <w:t>T. Gunawan, R.P. Rahayu, R. Wijiyanti, W.N. Wan Salleh, N. Widiastuti, P84/Zeolite-Carbon Composite Mixed Matrix Membrane for CO</w:t>
      </w:r>
      <w:r w:rsidRPr="00F954A4">
        <w:rPr>
          <w:sz w:val="20"/>
          <w:vertAlign w:val="subscript"/>
        </w:rPr>
        <w:t>2</w:t>
      </w:r>
      <w:r w:rsidRPr="00F954A4">
        <w:rPr>
          <w:sz w:val="20"/>
        </w:rPr>
        <w:t>/CH</w:t>
      </w:r>
      <w:r w:rsidRPr="00F954A4">
        <w:rPr>
          <w:sz w:val="20"/>
          <w:vertAlign w:val="subscript"/>
        </w:rPr>
        <w:t>4</w:t>
      </w:r>
      <w:r w:rsidRPr="00F954A4">
        <w:rPr>
          <w:sz w:val="20"/>
        </w:rPr>
        <w:t xml:space="preserve"> Separation, Indones. J. Chem. 19 (2019) 650. https://doi.org/10.22146/ijc.35727.</w:t>
      </w:r>
    </w:p>
    <w:p w14:paraId="7BC8002A" w14:textId="77777777" w:rsidR="00F954A4" w:rsidRPr="00F954A4" w:rsidRDefault="00F954A4" w:rsidP="00C72324">
      <w:pPr>
        <w:pStyle w:val="Bibliography"/>
        <w:jc w:val="both"/>
        <w:rPr>
          <w:sz w:val="20"/>
        </w:rPr>
      </w:pPr>
      <w:r w:rsidRPr="00F954A4">
        <w:rPr>
          <w:sz w:val="20"/>
        </w:rPr>
        <w:t>[20]</w:t>
      </w:r>
      <w:r w:rsidRPr="00F954A4">
        <w:rPr>
          <w:sz w:val="20"/>
        </w:rPr>
        <w:tab/>
        <w:t>P. Sari, T. Gunawan, W.N. Wan Salleh, A.F. Ismail, N. Widiastuti, Simple Method to Enhance O</w:t>
      </w:r>
      <w:r w:rsidRPr="00F954A4">
        <w:rPr>
          <w:sz w:val="20"/>
          <w:vertAlign w:val="subscript"/>
        </w:rPr>
        <w:t>2</w:t>
      </w:r>
      <w:r w:rsidRPr="00F954A4">
        <w:rPr>
          <w:sz w:val="20"/>
        </w:rPr>
        <w:t xml:space="preserve"> /N</w:t>
      </w:r>
      <w:r w:rsidRPr="00F954A4">
        <w:rPr>
          <w:sz w:val="20"/>
          <w:vertAlign w:val="subscript"/>
        </w:rPr>
        <w:t>2</w:t>
      </w:r>
      <w:r w:rsidRPr="00F954A4">
        <w:rPr>
          <w:sz w:val="20"/>
        </w:rPr>
        <w:t xml:space="preserve"> Separation on P84 co-polyimide Hollow Fiber Membrane, IOP Conf. Ser. Mater. Sci. Eng. 546 (2019) 042042. https://doi.org/10.1088/1757-899X/546/4/042042.</w:t>
      </w:r>
    </w:p>
    <w:p w14:paraId="42BB502E" w14:textId="77777777" w:rsidR="00F954A4" w:rsidRPr="00F954A4" w:rsidRDefault="00F954A4" w:rsidP="00C72324">
      <w:pPr>
        <w:pStyle w:val="Bibliography"/>
        <w:jc w:val="both"/>
        <w:rPr>
          <w:sz w:val="20"/>
        </w:rPr>
      </w:pPr>
      <w:r w:rsidRPr="00F954A4">
        <w:rPr>
          <w:sz w:val="20"/>
        </w:rPr>
        <w:t>[21]</w:t>
      </w:r>
      <w:r w:rsidRPr="00F954A4">
        <w:rPr>
          <w:sz w:val="20"/>
        </w:rPr>
        <w:tab/>
        <w:t>W.S. Ming, Z.A. Jawad, M. Qasim, Grand Challenges in Membrane Process for Gas Separation, J. Appl. Membr. Sci. Technol. 26 (2022) 43–48. https://doi.org/10.11113/amst.v26n2.240.</w:t>
      </w:r>
    </w:p>
    <w:p w14:paraId="26FFD78B" w14:textId="77777777" w:rsidR="00F954A4" w:rsidRPr="00F954A4" w:rsidRDefault="00F954A4" w:rsidP="00C72324">
      <w:pPr>
        <w:pStyle w:val="Bibliography"/>
        <w:jc w:val="both"/>
        <w:rPr>
          <w:sz w:val="20"/>
        </w:rPr>
      </w:pPr>
      <w:r w:rsidRPr="00F954A4">
        <w:rPr>
          <w:sz w:val="20"/>
        </w:rPr>
        <w:t>[22]</w:t>
      </w:r>
      <w:r w:rsidRPr="00F954A4">
        <w:rPr>
          <w:sz w:val="20"/>
        </w:rPr>
        <w:tab/>
        <w:t>R. Sidhikku Kandath Valappil, N. Ghasem, M. Al-Marzouqi, Current and future trends in polymer membrane-based gas separation technology: A comprehensive review, J. Ind. Eng. Chem. 98 (2021) 103–129. https://doi.org/10.1016/j.jiec.2021.03.030.</w:t>
      </w:r>
    </w:p>
    <w:p w14:paraId="3FFCB960" w14:textId="77777777" w:rsidR="00F954A4" w:rsidRPr="00F954A4" w:rsidRDefault="00F954A4" w:rsidP="00C72324">
      <w:pPr>
        <w:pStyle w:val="Bibliography"/>
        <w:jc w:val="both"/>
        <w:rPr>
          <w:sz w:val="20"/>
        </w:rPr>
      </w:pPr>
      <w:r w:rsidRPr="00F954A4">
        <w:rPr>
          <w:sz w:val="20"/>
        </w:rPr>
        <w:t>[23]</w:t>
      </w:r>
      <w:r w:rsidRPr="00F954A4">
        <w:rPr>
          <w:sz w:val="20"/>
        </w:rPr>
        <w:tab/>
        <w:t>I. del Gaudio, E. Hunter-Sellars, I.P. Parkin, D. Williams, S. Da Ros, K. Curran, Water sorption and diffusion in cellulose acetate: The effect of plasticisers, Carbohydr. Polym. 267 (2021) 118185. https://doi.org/10.1016/j.carbpol.2021.118185.</w:t>
      </w:r>
    </w:p>
    <w:p w14:paraId="5D607575" w14:textId="77777777" w:rsidR="00F954A4" w:rsidRPr="00F954A4" w:rsidRDefault="00F954A4" w:rsidP="00C72324">
      <w:pPr>
        <w:pStyle w:val="Bibliography"/>
        <w:jc w:val="both"/>
        <w:rPr>
          <w:sz w:val="20"/>
        </w:rPr>
      </w:pPr>
      <w:r w:rsidRPr="00F954A4">
        <w:rPr>
          <w:sz w:val="20"/>
        </w:rPr>
        <w:t>[24]</w:t>
      </w:r>
      <w:r w:rsidRPr="00F954A4">
        <w:rPr>
          <w:sz w:val="20"/>
        </w:rPr>
        <w:tab/>
        <w:t>C. Nareswari, U. Zulfiani, A. Junaidi, T. Gunawan, N. Widiastuti, Adsorption of CO2 and H2 on the polymer-based membrane from High-density Polyethylene (HDPE) Plastic, South Afr. J. Chem. Eng. 49 (2024) 105–113. https://doi.org/10.1016/j.sajce.2024.04.004.</w:t>
      </w:r>
    </w:p>
    <w:p w14:paraId="588704AF" w14:textId="77777777" w:rsidR="00F954A4" w:rsidRPr="00F954A4" w:rsidRDefault="00F954A4" w:rsidP="00C72324">
      <w:pPr>
        <w:pStyle w:val="Bibliography"/>
        <w:jc w:val="both"/>
        <w:rPr>
          <w:sz w:val="20"/>
        </w:rPr>
      </w:pPr>
      <w:r w:rsidRPr="00F954A4">
        <w:rPr>
          <w:sz w:val="20"/>
        </w:rPr>
        <w:t>[25]</w:t>
      </w:r>
      <w:r w:rsidRPr="00F954A4">
        <w:rPr>
          <w:sz w:val="20"/>
        </w:rPr>
        <w:tab/>
        <w:t>V. Kayadoe, N. Widiastuti, T. Gunawan, W.N.W. Salleh, H. Fansuri, T.Q. Romadiansyah, A.W. Pratama, Fabrication of PSf/P84-blended membranes with low P84 content: Characteristics and gas separation performance, Case Stud. Chem. Environ. Eng. 10 (2024) 100835. https://doi.org/10.1016/j.cscee.2024.100835.</w:t>
      </w:r>
    </w:p>
    <w:p w14:paraId="4ECB9F17" w14:textId="77777777" w:rsidR="00F954A4" w:rsidRPr="00F954A4" w:rsidRDefault="00F954A4" w:rsidP="00C72324">
      <w:pPr>
        <w:pStyle w:val="Bibliography"/>
        <w:jc w:val="both"/>
        <w:rPr>
          <w:sz w:val="20"/>
        </w:rPr>
      </w:pPr>
      <w:r w:rsidRPr="00F954A4">
        <w:rPr>
          <w:sz w:val="20"/>
        </w:rPr>
        <w:t>[26]</w:t>
      </w:r>
      <w:r w:rsidRPr="00F954A4">
        <w:rPr>
          <w:sz w:val="20"/>
        </w:rPr>
        <w:tab/>
        <w:t>Y. Jiang, B. Zhang, Y. Zheng, Y. Wu, Highly permselective Pebax/MWCNTs mixed matrix membranes for CO2/N2 separation, Polym. Bull. 81 (2024) 9699–9719. https://doi.org/10.1007/s00289-024-05162-8.</w:t>
      </w:r>
    </w:p>
    <w:p w14:paraId="74A3164F" w14:textId="77777777" w:rsidR="00F954A4" w:rsidRPr="00F954A4" w:rsidRDefault="00F954A4" w:rsidP="00C72324">
      <w:pPr>
        <w:pStyle w:val="Bibliography"/>
        <w:jc w:val="both"/>
        <w:rPr>
          <w:sz w:val="20"/>
        </w:rPr>
      </w:pPr>
      <w:r w:rsidRPr="00F954A4">
        <w:rPr>
          <w:sz w:val="20"/>
        </w:rPr>
        <w:lastRenderedPageBreak/>
        <w:t>[27]</w:t>
      </w:r>
      <w:r w:rsidRPr="00F954A4">
        <w:rPr>
          <w:sz w:val="20"/>
        </w:rPr>
        <w:tab/>
        <w:t>A. Venault, Y. Chang, D.-M. Wang, D. Bouyer, A Review on Polymeric Membranes and Hydrogels Prepared by Vapor-Induced Phase Separation Process, Polym. Rev. 53 (2013). https://doi.org/10.1080/15583724.2013.828750.</w:t>
      </w:r>
    </w:p>
    <w:p w14:paraId="2F9BD68D" w14:textId="77777777" w:rsidR="00F954A4" w:rsidRPr="00F954A4" w:rsidRDefault="00F954A4" w:rsidP="00C72324">
      <w:pPr>
        <w:pStyle w:val="Bibliography"/>
        <w:jc w:val="both"/>
        <w:rPr>
          <w:sz w:val="20"/>
        </w:rPr>
      </w:pPr>
      <w:r w:rsidRPr="00F954A4">
        <w:rPr>
          <w:sz w:val="20"/>
        </w:rPr>
        <w:t>[28]</w:t>
      </w:r>
      <w:r w:rsidRPr="00F954A4">
        <w:rPr>
          <w:sz w:val="20"/>
        </w:rPr>
        <w:tab/>
        <w:t>R. Wijiyanti, A.N. Ubaidillah, T. Gunawan, Z.A. Karim, A.F. Ismail, S. Smart, R. Lin, N. Widiastuti, Polysulfone mixed matrix hollow fiber membranes using zeolite templated carbon as a performance enhancement filler for gas separation, Chem. Eng. Res. Des. 150 (2019) 274–288. https://doi.org/10.1016/j.cherd.2019.08.004.</w:t>
      </w:r>
    </w:p>
    <w:p w14:paraId="0882B0D3" w14:textId="77777777" w:rsidR="00F954A4" w:rsidRPr="00F954A4" w:rsidRDefault="00F954A4" w:rsidP="00C72324">
      <w:pPr>
        <w:pStyle w:val="Bibliography"/>
        <w:jc w:val="both"/>
        <w:rPr>
          <w:sz w:val="20"/>
        </w:rPr>
      </w:pPr>
      <w:r w:rsidRPr="00F954A4">
        <w:rPr>
          <w:sz w:val="20"/>
        </w:rPr>
        <w:t>[29]</w:t>
      </w:r>
      <w:r w:rsidRPr="00F954A4">
        <w:rPr>
          <w:sz w:val="20"/>
        </w:rPr>
        <w:tab/>
        <w:t>R. Ma, J. Li, P. Zeng, L. Duan, J. Dong, Y. Ma, L. Yang, The Application of Membrane Separation Technology in the Pharmaceutical Industry, Membranes 14 (2024) 24. https://doi.org/10.3390/membranes14010024.</w:t>
      </w:r>
    </w:p>
    <w:p w14:paraId="18C63AB7" w14:textId="77777777" w:rsidR="00F954A4" w:rsidRPr="00F954A4" w:rsidRDefault="00F954A4" w:rsidP="00C72324">
      <w:pPr>
        <w:pStyle w:val="Bibliography"/>
        <w:jc w:val="both"/>
        <w:rPr>
          <w:sz w:val="20"/>
        </w:rPr>
      </w:pPr>
      <w:r w:rsidRPr="00F954A4">
        <w:rPr>
          <w:sz w:val="20"/>
        </w:rPr>
        <w:t>[30]</w:t>
      </w:r>
      <w:r w:rsidRPr="00F954A4">
        <w:rPr>
          <w:sz w:val="20"/>
        </w:rPr>
        <w:tab/>
        <w:t>D. Bastani, N. Esmaeili, M. Asadollahi, Polymeric mixed matrix membranes containing zeolites as a filler for gas separation applications: A review, J. Ind. Eng. Chem. 19 (2013) 375–393. https://doi.org/10.1016/j.jiec.2012.09.019.</w:t>
      </w:r>
    </w:p>
    <w:p w14:paraId="7CE1918F" w14:textId="7C664A2B" w:rsidR="007547F7" w:rsidRDefault="00E26E01" w:rsidP="00C72324">
      <w:pPr>
        <w:jc w:val="both"/>
      </w:pPr>
      <w:r>
        <w:fldChar w:fldCharType="end"/>
      </w:r>
    </w:p>
    <w:sectPr w:rsidR="007547F7" w:rsidSect="00AC5218">
      <w:pgSz w:w="12240" w:h="15840"/>
      <w:pgMar w:top="1440" w:right="1440" w:bottom="1701" w:left="1440" w:header="720" w:footer="720" w:gutter="0"/>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Cambria Math">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154482999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C5218"/>
    <w:rsid w:val="000151F1"/>
    <w:rsid w:val="00035915"/>
    <w:rsid w:val="00061A5D"/>
    <w:rsid w:val="00092111"/>
    <w:rsid w:val="000A2D33"/>
    <w:rsid w:val="000A6B17"/>
    <w:rsid w:val="000C72E3"/>
    <w:rsid w:val="000D465C"/>
    <w:rsid w:val="000E6652"/>
    <w:rsid w:val="0010372B"/>
    <w:rsid w:val="00111966"/>
    <w:rsid w:val="00137C75"/>
    <w:rsid w:val="00143879"/>
    <w:rsid w:val="00163826"/>
    <w:rsid w:val="00166A58"/>
    <w:rsid w:val="0018670D"/>
    <w:rsid w:val="00191362"/>
    <w:rsid w:val="001B1AEC"/>
    <w:rsid w:val="001B46FF"/>
    <w:rsid w:val="001D40F4"/>
    <w:rsid w:val="001D4D52"/>
    <w:rsid w:val="001E74BB"/>
    <w:rsid w:val="001F41A8"/>
    <w:rsid w:val="00236DB5"/>
    <w:rsid w:val="00263A2E"/>
    <w:rsid w:val="00271770"/>
    <w:rsid w:val="00285727"/>
    <w:rsid w:val="00293266"/>
    <w:rsid w:val="0029686E"/>
    <w:rsid w:val="002A77D5"/>
    <w:rsid w:val="002A7FC9"/>
    <w:rsid w:val="002B33D2"/>
    <w:rsid w:val="002C49C1"/>
    <w:rsid w:val="002D24A6"/>
    <w:rsid w:val="002E32C4"/>
    <w:rsid w:val="002E7867"/>
    <w:rsid w:val="002F03CF"/>
    <w:rsid w:val="002F580E"/>
    <w:rsid w:val="003071A0"/>
    <w:rsid w:val="003176A0"/>
    <w:rsid w:val="003349A3"/>
    <w:rsid w:val="00393D76"/>
    <w:rsid w:val="003A025C"/>
    <w:rsid w:val="003A2586"/>
    <w:rsid w:val="003A7983"/>
    <w:rsid w:val="003B4484"/>
    <w:rsid w:val="003B55AC"/>
    <w:rsid w:val="003B6A39"/>
    <w:rsid w:val="003C045B"/>
    <w:rsid w:val="003E1BA2"/>
    <w:rsid w:val="003F010E"/>
    <w:rsid w:val="003F0B87"/>
    <w:rsid w:val="003F377F"/>
    <w:rsid w:val="00403069"/>
    <w:rsid w:val="00422B34"/>
    <w:rsid w:val="00433D44"/>
    <w:rsid w:val="00445E28"/>
    <w:rsid w:val="004476A2"/>
    <w:rsid w:val="00461DEF"/>
    <w:rsid w:val="0046214D"/>
    <w:rsid w:val="00490E96"/>
    <w:rsid w:val="004A12E9"/>
    <w:rsid w:val="004A3B6D"/>
    <w:rsid w:val="004C2C8F"/>
    <w:rsid w:val="004C631B"/>
    <w:rsid w:val="004D07AC"/>
    <w:rsid w:val="004E2E5C"/>
    <w:rsid w:val="00507813"/>
    <w:rsid w:val="005129F3"/>
    <w:rsid w:val="00513587"/>
    <w:rsid w:val="00522EEA"/>
    <w:rsid w:val="00541CCF"/>
    <w:rsid w:val="00576CC6"/>
    <w:rsid w:val="00577D33"/>
    <w:rsid w:val="00584E53"/>
    <w:rsid w:val="0058642A"/>
    <w:rsid w:val="00595C75"/>
    <w:rsid w:val="005960CD"/>
    <w:rsid w:val="005972E0"/>
    <w:rsid w:val="005B1511"/>
    <w:rsid w:val="005B2289"/>
    <w:rsid w:val="005B42DF"/>
    <w:rsid w:val="005D17CC"/>
    <w:rsid w:val="005D4D3A"/>
    <w:rsid w:val="005D64F9"/>
    <w:rsid w:val="005E1871"/>
    <w:rsid w:val="005F6118"/>
    <w:rsid w:val="00630A9A"/>
    <w:rsid w:val="0063285B"/>
    <w:rsid w:val="00676060"/>
    <w:rsid w:val="00677D94"/>
    <w:rsid w:val="0069657D"/>
    <w:rsid w:val="006A09A2"/>
    <w:rsid w:val="006E6C07"/>
    <w:rsid w:val="00706276"/>
    <w:rsid w:val="00717E32"/>
    <w:rsid w:val="007278EC"/>
    <w:rsid w:val="00730A08"/>
    <w:rsid w:val="00752999"/>
    <w:rsid w:val="00753492"/>
    <w:rsid w:val="007547F7"/>
    <w:rsid w:val="00785C71"/>
    <w:rsid w:val="00791BCB"/>
    <w:rsid w:val="00791BFF"/>
    <w:rsid w:val="007A11A3"/>
    <w:rsid w:val="007A48B5"/>
    <w:rsid w:val="007C0750"/>
    <w:rsid w:val="007C30FD"/>
    <w:rsid w:val="007C7C39"/>
    <w:rsid w:val="007D05AC"/>
    <w:rsid w:val="007D38BB"/>
    <w:rsid w:val="007D7830"/>
    <w:rsid w:val="007E2F76"/>
    <w:rsid w:val="00803D82"/>
    <w:rsid w:val="00845497"/>
    <w:rsid w:val="00853CAF"/>
    <w:rsid w:val="00855D33"/>
    <w:rsid w:val="00867146"/>
    <w:rsid w:val="00872005"/>
    <w:rsid w:val="00887768"/>
    <w:rsid w:val="00887B93"/>
    <w:rsid w:val="00894B8B"/>
    <w:rsid w:val="008A0BC5"/>
    <w:rsid w:val="008A2B19"/>
    <w:rsid w:val="008B242A"/>
    <w:rsid w:val="008C5B42"/>
    <w:rsid w:val="008D1608"/>
    <w:rsid w:val="008D1FF3"/>
    <w:rsid w:val="008D7BBC"/>
    <w:rsid w:val="008F0F59"/>
    <w:rsid w:val="00912B40"/>
    <w:rsid w:val="009130F7"/>
    <w:rsid w:val="0091567A"/>
    <w:rsid w:val="00933E85"/>
    <w:rsid w:val="009340D8"/>
    <w:rsid w:val="00936EC6"/>
    <w:rsid w:val="00952EEF"/>
    <w:rsid w:val="009542B0"/>
    <w:rsid w:val="00955844"/>
    <w:rsid w:val="0098545F"/>
    <w:rsid w:val="009B7EE6"/>
    <w:rsid w:val="009C01D4"/>
    <w:rsid w:val="009C587F"/>
    <w:rsid w:val="009F6BAC"/>
    <w:rsid w:val="00A0334F"/>
    <w:rsid w:val="00A20547"/>
    <w:rsid w:val="00A219B8"/>
    <w:rsid w:val="00A26D08"/>
    <w:rsid w:val="00A522F7"/>
    <w:rsid w:val="00A71157"/>
    <w:rsid w:val="00A97EE7"/>
    <w:rsid w:val="00AA48DB"/>
    <w:rsid w:val="00AA5FEB"/>
    <w:rsid w:val="00AB4DDF"/>
    <w:rsid w:val="00AB7A44"/>
    <w:rsid w:val="00AC5218"/>
    <w:rsid w:val="00AE1002"/>
    <w:rsid w:val="00B0103D"/>
    <w:rsid w:val="00B04282"/>
    <w:rsid w:val="00B11125"/>
    <w:rsid w:val="00B12206"/>
    <w:rsid w:val="00B131F0"/>
    <w:rsid w:val="00B23F90"/>
    <w:rsid w:val="00B24EB5"/>
    <w:rsid w:val="00B5322B"/>
    <w:rsid w:val="00B6520A"/>
    <w:rsid w:val="00B7152C"/>
    <w:rsid w:val="00B97F43"/>
    <w:rsid w:val="00BA5D8A"/>
    <w:rsid w:val="00BC0D9E"/>
    <w:rsid w:val="00BE0198"/>
    <w:rsid w:val="00C074A3"/>
    <w:rsid w:val="00C21BAF"/>
    <w:rsid w:val="00C25230"/>
    <w:rsid w:val="00C417A1"/>
    <w:rsid w:val="00C608D5"/>
    <w:rsid w:val="00C66427"/>
    <w:rsid w:val="00C72324"/>
    <w:rsid w:val="00C750AF"/>
    <w:rsid w:val="00C863E1"/>
    <w:rsid w:val="00CB3F8B"/>
    <w:rsid w:val="00CD33DE"/>
    <w:rsid w:val="00CF00EC"/>
    <w:rsid w:val="00CF55BC"/>
    <w:rsid w:val="00CF6836"/>
    <w:rsid w:val="00CF7F16"/>
    <w:rsid w:val="00D34581"/>
    <w:rsid w:val="00D354D6"/>
    <w:rsid w:val="00D35690"/>
    <w:rsid w:val="00D4335F"/>
    <w:rsid w:val="00D447DC"/>
    <w:rsid w:val="00D71117"/>
    <w:rsid w:val="00D747FE"/>
    <w:rsid w:val="00DB1A4E"/>
    <w:rsid w:val="00DB6A3A"/>
    <w:rsid w:val="00DE3223"/>
    <w:rsid w:val="00DE414E"/>
    <w:rsid w:val="00DE622A"/>
    <w:rsid w:val="00DF6543"/>
    <w:rsid w:val="00DF6614"/>
    <w:rsid w:val="00E209E9"/>
    <w:rsid w:val="00E25D46"/>
    <w:rsid w:val="00E26E01"/>
    <w:rsid w:val="00E54D00"/>
    <w:rsid w:val="00E57338"/>
    <w:rsid w:val="00E734E7"/>
    <w:rsid w:val="00EA4AFD"/>
    <w:rsid w:val="00EB04C3"/>
    <w:rsid w:val="00EC45C4"/>
    <w:rsid w:val="00ED2FFC"/>
    <w:rsid w:val="00F0580D"/>
    <w:rsid w:val="00F31836"/>
    <w:rsid w:val="00F42A67"/>
    <w:rsid w:val="00F4491E"/>
    <w:rsid w:val="00F54853"/>
    <w:rsid w:val="00F548E5"/>
    <w:rsid w:val="00F61AFD"/>
    <w:rsid w:val="00F770FE"/>
    <w:rsid w:val="00F83C63"/>
    <w:rsid w:val="00F954A4"/>
    <w:rsid w:val="00FA21F1"/>
    <w:rsid w:val="00FB0132"/>
    <w:rsid w:val="00FB4A69"/>
    <w:rsid w:val="00FC09E6"/>
    <w:rsid w:val="00FC1170"/>
    <w:rsid w:val="00FC433E"/>
    <w:rsid w:val="00FD3379"/>
    <w:rsid w:val="00FE65EE"/>
    <w:rsid w:val="376DBFB3"/>
    <w:rsid w:val="50DFE815"/>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7CD7D3A"/>
  <w15:chartTrackingRefBased/>
  <w15:docId w15:val="{DFEE4773-1ECB-48C8-9A6C-2A76A3AD38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ID"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AC5218"/>
    <w:pPr>
      <w:spacing w:after="0" w:line="240" w:lineRule="auto"/>
    </w:pPr>
    <w:rPr>
      <w:rFonts w:ascii="Times New Roman" w:eastAsia="Times New Roman" w:hAnsi="Times New Roman" w:cs="Times New Roman"/>
      <w:kern w:val="0"/>
      <w:szCs w:val="20"/>
      <w14:ligatures w14:val="none"/>
    </w:rPr>
  </w:style>
  <w:style w:type="paragraph" w:styleId="Heading1">
    <w:name w:val="heading 1"/>
    <w:basedOn w:val="Normal"/>
    <w:next w:val="Normal"/>
    <w:link w:val="Heading1Char"/>
    <w:qFormat/>
    <w:rsid w:val="00AC5218"/>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nhideWhenUsed/>
    <w:qFormat/>
    <w:rsid w:val="00AC5218"/>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AC5218"/>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AC5218"/>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AC5218"/>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AC5218"/>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AC5218"/>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AC5218"/>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AC5218"/>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AC5218"/>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rsid w:val="00AC5218"/>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AC5218"/>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AC5218"/>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AC5218"/>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AC5218"/>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AC5218"/>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AC5218"/>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AC5218"/>
    <w:rPr>
      <w:rFonts w:eastAsiaTheme="majorEastAsia" w:cstheme="majorBidi"/>
      <w:color w:val="272727" w:themeColor="text1" w:themeTint="D8"/>
    </w:rPr>
  </w:style>
  <w:style w:type="paragraph" w:styleId="Title">
    <w:name w:val="Title"/>
    <w:basedOn w:val="Normal"/>
    <w:next w:val="Normal"/>
    <w:link w:val="TitleChar"/>
    <w:uiPriority w:val="10"/>
    <w:qFormat/>
    <w:rsid w:val="00AC5218"/>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AC5218"/>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AC5218"/>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AC5218"/>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AC5218"/>
    <w:pPr>
      <w:spacing w:before="160"/>
      <w:jc w:val="center"/>
    </w:pPr>
    <w:rPr>
      <w:i/>
      <w:iCs/>
      <w:color w:val="404040" w:themeColor="text1" w:themeTint="BF"/>
    </w:rPr>
  </w:style>
  <w:style w:type="character" w:customStyle="1" w:styleId="QuoteChar">
    <w:name w:val="Quote Char"/>
    <w:basedOn w:val="DefaultParagraphFont"/>
    <w:link w:val="Quote"/>
    <w:uiPriority w:val="29"/>
    <w:rsid w:val="00AC5218"/>
    <w:rPr>
      <w:i/>
      <w:iCs/>
      <w:color w:val="404040" w:themeColor="text1" w:themeTint="BF"/>
    </w:rPr>
  </w:style>
  <w:style w:type="paragraph" w:styleId="ListParagraph">
    <w:name w:val="List Paragraph"/>
    <w:basedOn w:val="Normal"/>
    <w:uiPriority w:val="34"/>
    <w:qFormat/>
    <w:rsid w:val="00AC5218"/>
    <w:pPr>
      <w:ind w:left="720"/>
      <w:contextualSpacing/>
    </w:pPr>
  </w:style>
  <w:style w:type="character" w:styleId="IntenseEmphasis">
    <w:name w:val="Intense Emphasis"/>
    <w:basedOn w:val="DefaultParagraphFont"/>
    <w:uiPriority w:val="21"/>
    <w:qFormat/>
    <w:rsid w:val="00AC5218"/>
    <w:rPr>
      <w:i/>
      <w:iCs/>
      <w:color w:val="0F4761" w:themeColor="accent1" w:themeShade="BF"/>
    </w:rPr>
  </w:style>
  <w:style w:type="paragraph" w:styleId="IntenseQuote">
    <w:name w:val="Intense Quote"/>
    <w:basedOn w:val="Normal"/>
    <w:next w:val="Normal"/>
    <w:link w:val="IntenseQuoteChar"/>
    <w:uiPriority w:val="30"/>
    <w:qFormat/>
    <w:rsid w:val="00AC5218"/>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AC5218"/>
    <w:rPr>
      <w:i/>
      <w:iCs/>
      <w:color w:val="0F4761" w:themeColor="accent1" w:themeShade="BF"/>
    </w:rPr>
  </w:style>
  <w:style w:type="character" w:styleId="IntenseReference">
    <w:name w:val="Intense Reference"/>
    <w:basedOn w:val="DefaultParagraphFont"/>
    <w:uiPriority w:val="32"/>
    <w:qFormat/>
    <w:rsid w:val="00AC5218"/>
    <w:rPr>
      <w:b/>
      <w:bCs/>
      <w:smallCaps/>
      <w:color w:val="0F4761" w:themeColor="accent1" w:themeShade="BF"/>
      <w:spacing w:val="5"/>
    </w:rPr>
  </w:style>
  <w:style w:type="paragraph" w:customStyle="1" w:styleId="PaperTitle">
    <w:name w:val="Paper Title"/>
    <w:basedOn w:val="Normal"/>
    <w:next w:val="AuthorName"/>
    <w:rsid w:val="00AC5218"/>
    <w:pPr>
      <w:spacing w:before="1200"/>
      <w:jc w:val="center"/>
    </w:pPr>
    <w:rPr>
      <w:b/>
      <w:sz w:val="36"/>
    </w:rPr>
  </w:style>
  <w:style w:type="paragraph" w:customStyle="1" w:styleId="AuthorName">
    <w:name w:val="Author Name"/>
    <w:basedOn w:val="Normal"/>
    <w:next w:val="AuthorAffiliation"/>
    <w:rsid w:val="00AC5218"/>
    <w:pPr>
      <w:spacing w:before="360" w:after="360"/>
      <w:jc w:val="center"/>
    </w:pPr>
    <w:rPr>
      <w:sz w:val="28"/>
    </w:rPr>
  </w:style>
  <w:style w:type="paragraph" w:customStyle="1" w:styleId="AuthorAffiliation">
    <w:name w:val="Author Affiliation"/>
    <w:basedOn w:val="Normal"/>
    <w:rsid w:val="00AC5218"/>
    <w:pPr>
      <w:jc w:val="center"/>
    </w:pPr>
    <w:rPr>
      <w:i/>
      <w:sz w:val="20"/>
    </w:rPr>
  </w:style>
  <w:style w:type="paragraph" w:customStyle="1" w:styleId="Abstract">
    <w:name w:val="Abstract"/>
    <w:basedOn w:val="Normal"/>
    <w:next w:val="Heading1"/>
    <w:rsid w:val="00AC5218"/>
    <w:pPr>
      <w:spacing w:before="360" w:after="360"/>
      <w:ind w:left="289" w:right="289"/>
      <w:jc w:val="both"/>
    </w:pPr>
    <w:rPr>
      <w:sz w:val="18"/>
    </w:rPr>
  </w:style>
  <w:style w:type="paragraph" w:customStyle="1" w:styleId="Paragraph">
    <w:name w:val="Paragraph"/>
    <w:basedOn w:val="Normal"/>
    <w:rsid w:val="00AC5218"/>
    <w:pPr>
      <w:ind w:firstLine="284"/>
      <w:jc w:val="both"/>
    </w:pPr>
    <w:rPr>
      <w:sz w:val="20"/>
    </w:rPr>
  </w:style>
  <w:style w:type="paragraph" w:customStyle="1" w:styleId="Reference">
    <w:name w:val="Reference"/>
    <w:basedOn w:val="Paragraph"/>
    <w:rsid w:val="00AC5218"/>
    <w:pPr>
      <w:numPr>
        <w:numId w:val="1"/>
      </w:numPr>
      <w:ind w:left="426" w:hanging="426"/>
    </w:pPr>
  </w:style>
  <w:style w:type="table" w:styleId="TableGrid">
    <w:name w:val="Table Grid"/>
    <w:basedOn w:val="TableNormal"/>
    <w:uiPriority w:val="39"/>
    <w:rsid w:val="00AC5218"/>
    <w:pPr>
      <w:spacing w:after="0" w:line="240" w:lineRule="auto"/>
    </w:pPr>
    <w:rPr>
      <w:rFonts w:ascii="Times New Roman" w:eastAsia="Times New Roman" w:hAnsi="Times New Roman" w:cs="Times New Roman"/>
      <w:kern w:val="0"/>
      <w:sz w:val="20"/>
      <w:szCs w:val="20"/>
      <w:lang w:val="en-GB" w:eastAsia="en-GB"/>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uthorEmail">
    <w:name w:val="Author Email"/>
    <w:basedOn w:val="Normal"/>
    <w:qFormat/>
    <w:rsid w:val="00AC5218"/>
    <w:pPr>
      <w:jc w:val="center"/>
    </w:pPr>
    <w:rPr>
      <w:sz w:val="20"/>
    </w:rPr>
  </w:style>
  <w:style w:type="paragraph" w:styleId="Bibliography">
    <w:name w:val="Bibliography"/>
    <w:basedOn w:val="Normal"/>
    <w:next w:val="Normal"/>
    <w:uiPriority w:val="37"/>
    <w:unhideWhenUsed/>
    <w:rsid w:val="00FC1170"/>
    <w:pPr>
      <w:tabs>
        <w:tab w:val="left" w:pos="504"/>
      </w:tabs>
      <w:ind w:left="504" w:hanging="504"/>
    </w:pPr>
  </w:style>
  <w:style w:type="paragraph" w:styleId="Caption">
    <w:name w:val="caption"/>
    <w:basedOn w:val="Normal"/>
    <w:next w:val="Normal"/>
    <w:uiPriority w:val="35"/>
    <w:unhideWhenUsed/>
    <w:qFormat/>
    <w:rsid w:val="00163826"/>
    <w:pPr>
      <w:spacing w:after="200"/>
    </w:pPr>
    <w:rPr>
      <w:sz w:val="20"/>
    </w:rPr>
  </w:style>
  <w:style w:type="character" w:styleId="PlaceholderText">
    <w:name w:val="Placeholder Text"/>
    <w:basedOn w:val="DefaultParagraphFont"/>
    <w:uiPriority w:val="99"/>
    <w:semiHidden/>
    <w:rsid w:val="009B7EE6"/>
    <w:rPr>
      <w:color w:val="666666"/>
    </w:rPr>
  </w:style>
  <w:style w:type="paragraph" w:styleId="NormalWeb">
    <w:name w:val="Normal (Web)"/>
    <w:basedOn w:val="Normal"/>
    <w:uiPriority w:val="99"/>
    <w:semiHidden/>
    <w:unhideWhenUsed/>
    <w:rsid w:val="00FB4A69"/>
    <w:rPr>
      <w:szCs w:val="24"/>
    </w:rPr>
  </w:style>
  <w:style w:type="character" w:styleId="CommentReference">
    <w:name w:val="annotation reference"/>
    <w:basedOn w:val="DefaultParagraphFont"/>
    <w:uiPriority w:val="99"/>
    <w:semiHidden/>
    <w:unhideWhenUsed/>
    <w:rsid w:val="0069657D"/>
    <w:rPr>
      <w:sz w:val="16"/>
      <w:szCs w:val="16"/>
    </w:rPr>
  </w:style>
  <w:style w:type="paragraph" w:styleId="CommentText">
    <w:name w:val="annotation text"/>
    <w:basedOn w:val="Normal"/>
    <w:link w:val="CommentTextChar"/>
    <w:uiPriority w:val="99"/>
    <w:unhideWhenUsed/>
    <w:rsid w:val="0069657D"/>
    <w:rPr>
      <w:sz w:val="20"/>
    </w:rPr>
  </w:style>
  <w:style w:type="character" w:customStyle="1" w:styleId="CommentTextChar">
    <w:name w:val="Comment Text Char"/>
    <w:basedOn w:val="DefaultParagraphFont"/>
    <w:link w:val="CommentText"/>
    <w:uiPriority w:val="99"/>
    <w:rsid w:val="0069657D"/>
    <w:rPr>
      <w:rFonts w:ascii="Times New Roman" w:eastAsia="Times New Roman" w:hAnsi="Times New Roman" w:cs="Times New Roman"/>
      <w:kern w:val="0"/>
      <w:sz w:val="20"/>
      <w:szCs w:val="20"/>
      <w14:ligatures w14:val="none"/>
    </w:rPr>
  </w:style>
  <w:style w:type="paragraph" w:styleId="CommentSubject">
    <w:name w:val="annotation subject"/>
    <w:basedOn w:val="CommentText"/>
    <w:next w:val="CommentText"/>
    <w:link w:val="CommentSubjectChar"/>
    <w:uiPriority w:val="99"/>
    <w:semiHidden/>
    <w:unhideWhenUsed/>
    <w:rsid w:val="0069657D"/>
    <w:rPr>
      <w:b/>
      <w:bCs/>
    </w:rPr>
  </w:style>
  <w:style w:type="character" w:customStyle="1" w:styleId="CommentSubjectChar">
    <w:name w:val="Comment Subject Char"/>
    <w:basedOn w:val="CommentTextChar"/>
    <w:link w:val="CommentSubject"/>
    <w:uiPriority w:val="99"/>
    <w:semiHidden/>
    <w:rsid w:val="0069657D"/>
    <w:rPr>
      <w:rFonts w:ascii="Times New Roman" w:eastAsia="Times New Roman" w:hAnsi="Times New Roman" w:cs="Times New Roman"/>
      <w:b/>
      <w:bCs/>
      <w:kern w:val="0"/>
      <w:sz w:val="20"/>
      <w:szCs w:val="20"/>
      <w14:ligatures w14:val="none"/>
    </w:rPr>
  </w:style>
  <w:style w:type="character" w:styleId="Hyperlink">
    <w:name w:val="Hyperlink"/>
    <w:basedOn w:val="DefaultParagraphFont"/>
    <w:uiPriority w:val="99"/>
    <w:unhideWhenUsed/>
    <w:rsid w:val="009340D8"/>
    <w:rPr>
      <w:color w:val="467886" w:themeColor="hyperlink"/>
      <w:u w:val="single"/>
    </w:rPr>
  </w:style>
  <w:style w:type="character" w:styleId="UnresolvedMention">
    <w:name w:val="Unresolved Mention"/>
    <w:basedOn w:val="DefaultParagraphFont"/>
    <w:uiPriority w:val="99"/>
    <w:semiHidden/>
    <w:unhideWhenUsed/>
    <w:rsid w:val="009340D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87753126">
      <w:bodyDiv w:val="1"/>
      <w:marLeft w:val="0"/>
      <w:marRight w:val="0"/>
      <w:marTop w:val="0"/>
      <w:marBottom w:val="0"/>
      <w:divBdr>
        <w:top w:val="none" w:sz="0" w:space="0" w:color="auto"/>
        <w:left w:val="none" w:sz="0" w:space="0" w:color="auto"/>
        <w:bottom w:val="none" w:sz="0" w:space="0" w:color="auto"/>
        <w:right w:val="none" w:sz="0" w:space="0" w:color="auto"/>
      </w:divBdr>
    </w:div>
    <w:div w:id="1228102772">
      <w:bodyDiv w:val="1"/>
      <w:marLeft w:val="0"/>
      <w:marRight w:val="0"/>
      <w:marTop w:val="0"/>
      <w:marBottom w:val="0"/>
      <w:divBdr>
        <w:top w:val="none" w:sz="0" w:space="0" w:color="auto"/>
        <w:left w:val="none" w:sz="0" w:space="0" w:color="auto"/>
        <w:bottom w:val="none" w:sz="0" w:space="0" w:color="auto"/>
        <w:right w:val="none" w:sz="0" w:space="0" w:color="auto"/>
      </w:divBdr>
    </w:div>
    <w:div w:id="17793255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2.jpeg"/><Relationship Id="rId12" Type="http://schemas.openxmlformats.org/officeDocument/2006/relationships/image" Target="media/image7.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0" Type="http://schemas.openxmlformats.org/officeDocument/2006/relationships/image" Target="media/image5.emf"/><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73A4D88-C11E-403D-84E2-4CA4AD043E5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13834</Words>
  <Characters>78859</Characters>
  <Application>Microsoft Office Word</Application>
  <DocSecurity>0</DocSecurity>
  <Lines>657</Lines>
  <Paragraphs>185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92508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Kavitaningrum</dc:creator>
  <cp:keywords/>
  <dc:description/>
  <cp:lastModifiedBy>Immanuel Nathanael Lumban Gaol</cp:lastModifiedBy>
  <cp:revision>4</cp:revision>
  <cp:lastPrinted>2025-09-26T15:24:00Z</cp:lastPrinted>
  <dcterms:created xsi:type="dcterms:W3CDTF">2025-09-26T12:29:00Z</dcterms:created>
  <dcterms:modified xsi:type="dcterms:W3CDTF">2025-09-26T15:24:00Z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zotero-version="7.0.24"&gt;&lt;session id="wW54kaFO"/&gt;&lt;style id="http://www.zotero.org/styles/carbon" hasBibliography="1" bibliographyStyleHasBeenSet="1"/&gt;&lt;prefs&gt;&lt;pref name="fieldType" value="Field"/&gt;&lt;pref name="automaticJournalAbbreviati</vt:lpwstr>
  </property>
  <property fmtid="{D5CDD505-2E9C-101B-9397-08002B2CF9AE}" pid="3" name="ZOTERO_PREF_2">
    <vt:lpwstr>ons" value="true"/&gt;&lt;/prefs&gt;&lt;/data&gt;</vt:lpwstr>
  </property>
  <property fmtid="{D5CDD505-2E9C-101B-9397-08002B2CF9AE}" pid="4" name="Mendeley Recent Style Id 0_1">
    <vt:lpwstr>http://www.zotero.org/styles/apa</vt:lpwstr>
  </property>
  <property fmtid="{D5CDD505-2E9C-101B-9397-08002B2CF9AE}" pid="5" name="Mendeley Recent Style Name 0_1">
    <vt:lpwstr>American Psychological Association 7th edition</vt:lpwstr>
  </property>
  <property fmtid="{D5CDD505-2E9C-101B-9397-08002B2CF9AE}" pid="6" name="Mendeley Recent Style Id 1_1">
    <vt:lpwstr>http://www.zotero.org/styles/american-sociological-association</vt:lpwstr>
  </property>
  <property fmtid="{D5CDD505-2E9C-101B-9397-08002B2CF9AE}" pid="7" name="Mendeley Recent Style Name 1_1">
    <vt:lpwstr>American Sociological Association 6th/7th edition</vt:lpwstr>
  </property>
  <property fmtid="{D5CDD505-2E9C-101B-9397-08002B2CF9AE}" pid="8" name="Mendeley Recent Style Id 2_1">
    <vt:lpwstr>http://www.zotero.org/styles/carbon</vt:lpwstr>
  </property>
  <property fmtid="{D5CDD505-2E9C-101B-9397-08002B2CF9AE}" pid="9" name="Mendeley Recent Style Name 2_1">
    <vt:lpwstr>Carbon</vt:lpwstr>
  </property>
  <property fmtid="{D5CDD505-2E9C-101B-9397-08002B2CF9AE}" pid="10" name="Mendeley Recent Style Id 3_1">
    <vt:lpwstr>http://www.zotero.org/styles/chicago-author-date</vt:lpwstr>
  </property>
  <property fmtid="{D5CDD505-2E9C-101B-9397-08002B2CF9AE}" pid="11" name="Mendeley Recent Style Name 3_1">
    <vt:lpwstr>Chicago Manual of Style 17th edition (author-date)</vt:lpwstr>
  </property>
  <property fmtid="{D5CDD505-2E9C-101B-9397-08002B2CF9AE}" pid="12" name="Mendeley Recent Style Id 4_1">
    <vt:lpwstr>http://www.zotero.org/styles/harvard-cite-them-right</vt:lpwstr>
  </property>
  <property fmtid="{D5CDD505-2E9C-101B-9397-08002B2CF9AE}" pid="13" name="Mendeley Recent Style Name 4_1">
    <vt:lpwstr>Cite Them Right 12th edition - Harvard</vt:lpwstr>
  </property>
  <property fmtid="{D5CDD505-2E9C-101B-9397-08002B2CF9AE}" pid="14" name="Mendeley Recent Style Id 5_1">
    <vt:lpwstr>http://www.zotero.org/styles/institut-teknologi-bandung-sekolah-pascasarjana</vt:lpwstr>
  </property>
  <property fmtid="{D5CDD505-2E9C-101B-9397-08002B2CF9AE}" pid="15" name="Mendeley Recent Style Name 5_1">
    <vt:lpwstr>Institut Teknologi Bandung - Sekolah Pascasarjana</vt:lpwstr>
  </property>
  <property fmtid="{D5CDD505-2E9C-101B-9397-08002B2CF9AE}" pid="16" name="Mendeley Recent Style Id 6_1">
    <vt:lpwstr>http://www.zotero.org/styles/modern-humanities-research-association</vt:lpwstr>
  </property>
  <property fmtid="{D5CDD505-2E9C-101B-9397-08002B2CF9AE}" pid="17" name="Mendeley Recent Style Name 6_1">
    <vt:lpwstr>Modern Humanities Research Association 4th edition (note with bibliography)</vt:lpwstr>
  </property>
  <property fmtid="{D5CDD505-2E9C-101B-9397-08002B2CF9AE}" pid="18" name="Mendeley Recent Style Id 7_1">
    <vt:lpwstr>http://www.zotero.org/styles/modern-language-association</vt:lpwstr>
  </property>
  <property fmtid="{D5CDD505-2E9C-101B-9397-08002B2CF9AE}" pid="19" name="Mendeley Recent Style Name 7_1">
    <vt:lpwstr>Modern Language Association 9th edition</vt:lpwstr>
  </property>
  <property fmtid="{D5CDD505-2E9C-101B-9397-08002B2CF9AE}" pid="20" name="Mendeley Recent Style Id 8_1">
    <vt:lpwstr>http://www.zotero.org/styles/nature</vt:lpwstr>
  </property>
  <property fmtid="{D5CDD505-2E9C-101B-9397-08002B2CF9AE}" pid="21" name="Mendeley Recent Style Name 8_1">
    <vt:lpwstr>Nature</vt:lpwstr>
  </property>
  <property fmtid="{D5CDD505-2E9C-101B-9397-08002B2CF9AE}" pid="22" name="Mendeley Recent Style Id 9_1">
    <vt:lpwstr>http://www.zotero.org/styles/taylor-and-francis-aip</vt:lpwstr>
  </property>
  <property fmtid="{D5CDD505-2E9C-101B-9397-08002B2CF9AE}" pid="23" name="Mendeley Recent Style Name 9_1">
    <vt:lpwstr>Taylor &amp; Francis - American Institute of Physics</vt:lpwstr>
  </property>
</Properties>
</file>