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E973128" w:rsidR="0016385D" w:rsidRPr="00BE4F00" w:rsidRDefault="00F45D61" w:rsidP="00090674">
      <w:pPr>
        <w:pStyle w:val="PaperTitle"/>
        <w:rPr>
          <w:b w:val="0"/>
          <w:bCs/>
          <w:sz w:val="24"/>
          <w:szCs w:val="24"/>
        </w:rPr>
      </w:pPr>
      <w:r w:rsidRPr="00BE4F00">
        <w:t xml:space="preserve">Study </w:t>
      </w:r>
      <w:r w:rsidR="008B7D58" w:rsidRPr="00BE4F00">
        <w:t xml:space="preserve">Kinetic </w:t>
      </w:r>
      <w:r w:rsidR="00904044" w:rsidRPr="00BE4F00">
        <w:t xml:space="preserve">of </w:t>
      </w:r>
      <w:r w:rsidR="00607ED2" w:rsidRPr="00BE4F00">
        <w:t>Photocatalytic Degradation of Methylene Blue Dye Under UV and Daylight Using g-C</w:t>
      </w:r>
      <w:r w:rsidR="00607ED2" w:rsidRPr="00BE4F00">
        <w:rPr>
          <w:vertAlign w:val="subscript"/>
        </w:rPr>
        <w:t>3</w:t>
      </w:r>
      <w:r w:rsidR="00607ED2" w:rsidRPr="00BE4F00">
        <w:t>N</w:t>
      </w:r>
      <w:r w:rsidR="00607ED2" w:rsidRPr="00BE4F00">
        <w:rPr>
          <w:vertAlign w:val="subscript"/>
        </w:rPr>
        <w:t>4</w:t>
      </w:r>
      <w:r w:rsidR="00607ED2" w:rsidRPr="00BE4F00">
        <w:t xml:space="preserve"> </w:t>
      </w:r>
      <w:r w:rsidR="00A90413" w:rsidRPr="00BE4F00">
        <w:br/>
      </w:r>
    </w:p>
    <w:p w14:paraId="548D96A3" w14:textId="683DAFB0" w:rsidR="00C14B14" w:rsidRPr="00BE4F00" w:rsidRDefault="00607ED2" w:rsidP="2F830975">
      <w:pPr>
        <w:pStyle w:val="AuthorName"/>
        <w:rPr>
          <w:sz w:val="20"/>
          <w:lang w:val="en-GB" w:eastAsia="en-GB"/>
        </w:rPr>
      </w:pPr>
      <w:proofErr w:type="spellStart"/>
      <w:r w:rsidRPr="00BE4F00">
        <w:t>Syafsir</w:t>
      </w:r>
      <w:proofErr w:type="spellEnd"/>
      <w:r w:rsidRPr="00BE4F00">
        <w:t xml:space="preserve"> Akhlus</w:t>
      </w:r>
      <w:r w:rsidR="00EF6940" w:rsidRPr="00BE4F00">
        <w:rPr>
          <w:vertAlign w:val="superscript"/>
        </w:rPr>
        <w:t>1,</w:t>
      </w:r>
      <w:r w:rsidR="003A5C85" w:rsidRPr="00BE4F00">
        <w:rPr>
          <w:vertAlign w:val="superscript"/>
        </w:rPr>
        <w:t xml:space="preserve"> </w:t>
      </w:r>
      <w:r w:rsidR="00EF6940" w:rsidRPr="00BE4F00">
        <w:rPr>
          <w:vertAlign w:val="superscript"/>
        </w:rPr>
        <w:t>a)</w:t>
      </w:r>
      <w:r w:rsidRPr="00BE4F00">
        <w:t xml:space="preserve">, </w:t>
      </w:r>
      <w:proofErr w:type="spellStart"/>
      <w:r w:rsidRPr="00BE4F00">
        <w:t>Cininta</w:t>
      </w:r>
      <w:proofErr w:type="spellEnd"/>
      <w:r w:rsidRPr="00BE4F00">
        <w:t xml:space="preserve"> Nareswari</w:t>
      </w:r>
      <w:r w:rsidR="00ED0939" w:rsidRPr="00BE4F00">
        <w:rPr>
          <w:vertAlign w:val="superscript"/>
        </w:rPr>
        <w:t>1,</w:t>
      </w:r>
      <w:r w:rsidR="008C5A2F" w:rsidRPr="00BE4F00">
        <w:rPr>
          <w:vertAlign w:val="superscript"/>
        </w:rPr>
        <w:t>3</w:t>
      </w:r>
      <w:r w:rsidR="003A5C85" w:rsidRPr="00BE4F00">
        <w:rPr>
          <w:vertAlign w:val="superscript"/>
        </w:rPr>
        <w:t>, b)</w:t>
      </w:r>
      <w:r w:rsidRPr="00BE4F00">
        <w:t>, Dwi Prasetyo</w:t>
      </w:r>
      <w:r w:rsidRPr="00BE4F00">
        <w:rPr>
          <w:vertAlign w:val="superscript"/>
        </w:rPr>
        <w:t>1, c)</w:t>
      </w:r>
      <w:r w:rsidRPr="00BE4F00">
        <w:t xml:space="preserve">, Wahyu </w:t>
      </w:r>
      <w:proofErr w:type="spellStart"/>
      <w:r w:rsidRPr="00BE4F00">
        <w:t>Prasetyo</w:t>
      </w:r>
      <w:proofErr w:type="spellEnd"/>
      <w:r w:rsidRPr="00BE4F00">
        <w:t xml:space="preserve"> Utomo</w:t>
      </w:r>
      <w:r w:rsidRPr="00BE4F00">
        <w:rPr>
          <w:vertAlign w:val="superscript"/>
        </w:rPr>
        <w:t>1, d)</w:t>
      </w:r>
      <w:r w:rsidRPr="00BE4F00">
        <w:t>, R.Y. Perry Burhan</w:t>
      </w:r>
      <w:r w:rsidRPr="00BE4F00">
        <w:rPr>
          <w:vertAlign w:val="superscript"/>
        </w:rPr>
        <w:t>1, e)</w:t>
      </w:r>
      <w:r w:rsidRPr="00BE4F00">
        <w:t>, Hamzah Fansuri</w:t>
      </w:r>
      <w:r w:rsidRPr="00BE4F00">
        <w:rPr>
          <w:vertAlign w:val="superscript"/>
        </w:rPr>
        <w:t>1, f)</w:t>
      </w:r>
      <w:r w:rsidRPr="00BE4F00">
        <w:t xml:space="preserve">, </w:t>
      </w:r>
      <w:r w:rsidR="008C5A2F" w:rsidRPr="00BE4F00">
        <w:t>Ardi Nugroho Yulianto</w:t>
      </w:r>
      <w:proofErr w:type="gramStart"/>
      <w:r w:rsidR="008C5A2F" w:rsidRPr="00BE4F00">
        <w:rPr>
          <w:vertAlign w:val="superscript"/>
        </w:rPr>
        <w:t>2,g</w:t>
      </w:r>
      <w:proofErr w:type="gramEnd"/>
      <w:r w:rsidR="008C5A2F" w:rsidRPr="00BE4F00">
        <w:rPr>
          <w:vertAlign w:val="superscript"/>
        </w:rPr>
        <w:t>)</w:t>
      </w:r>
      <w:r w:rsidR="008C5A2F" w:rsidRPr="00BE4F00">
        <w:t xml:space="preserve">, </w:t>
      </w:r>
      <w:proofErr w:type="spellStart"/>
      <w:r w:rsidRPr="00BE4F00">
        <w:t>Triyanda</w:t>
      </w:r>
      <w:proofErr w:type="spellEnd"/>
      <w:r w:rsidRPr="00BE4F00">
        <w:t xml:space="preserve"> Gunawan</w:t>
      </w:r>
      <w:r w:rsidRPr="00BE4F00">
        <w:rPr>
          <w:vertAlign w:val="superscript"/>
        </w:rPr>
        <w:t>1, g) *</w:t>
      </w:r>
      <w:r w:rsidR="0016385D" w:rsidRPr="00BE4F00">
        <w:br/>
      </w:r>
    </w:p>
    <w:p w14:paraId="4A882180" w14:textId="19CB4966" w:rsidR="00607ED2" w:rsidRPr="00BE4F00" w:rsidRDefault="00607ED2" w:rsidP="00607ED2">
      <w:pPr>
        <w:pStyle w:val="RSCB01ARTAbstract"/>
        <w:spacing w:line="360" w:lineRule="auto"/>
        <w:jc w:val="center"/>
        <w:rPr>
          <w:rFonts w:eastAsia="Times New Roman" w:cs="Times New Roman"/>
          <w:i/>
          <w:sz w:val="20"/>
          <w:szCs w:val="20"/>
        </w:rPr>
      </w:pPr>
      <w:r w:rsidRPr="00BE4F00">
        <w:rPr>
          <w:rFonts w:eastAsia="Times New Roman" w:cs="Times New Roman"/>
          <w:b/>
          <w:i/>
          <w:sz w:val="20"/>
          <w:szCs w:val="20"/>
          <w:vertAlign w:val="superscript"/>
        </w:rPr>
        <w:t>1</w:t>
      </w:r>
      <w:r w:rsidRPr="00BE4F00">
        <w:rPr>
          <w:rFonts w:eastAsia="Times New Roman" w:cs="Times New Roman"/>
          <w:i/>
          <w:sz w:val="20"/>
          <w:szCs w:val="20"/>
        </w:rPr>
        <w:t>Department of Chemistry, Faculty of Science and Data Analytics, Institut Teknologi Sepuluh Nopember, Surabaya 60111, Indonesia</w:t>
      </w:r>
    </w:p>
    <w:p w14:paraId="6EAEFAB8" w14:textId="2AB5C174" w:rsidR="008C5A2F" w:rsidRPr="00BE4F00" w:rsidRDefault="008C5A2F" w:rsidP="00607ED2">
      <w:pPr>
        <w:pStyle w:val="RSCB01ARTAbstract"/>
        <w:spacing w:line="360" w:lineRule="auto"/>
        <w:jc w:val="center"/>
        <w:rPr>
          <w:rFonts w:eastAsia="Times New Roman" w:cs="Times New Roman"/>
          <w:i/>
          <w:sz w:val="20"/>
          <w:szCs w:val="20"/>
        </w:rPr>
      </w:pPr>
      <w:r w:rsidRPr="001858F2">
        <w:rPr>
          <w:rFonts w:eastAsia="Times New Roman" w:cs="Times New Roman"/>
          <w:i/>
          <w:sz w:val="20"/>
          <w:szCs w:val="20"/>
          <w:vertAlign w:val="superscript"/>
        </w:rPr>
        <w:t>2</w:t>
      </w:r>
      <w:r w:rsidRPr="00BE4F00">
        <w:rPr>
          <w:rFonts w:eastAsia="Times New Roman" w:cs="Times New Roman"/>
          <w:i/>
          <w:sz w:val="20"/>
          <w:szCs w:val="20"/>
        </w:rPr>
        <w:t>Department of Naval Architecture, Faculty of Marine Technology, Institut Teknologi Sepuluh Nopember, Surabaya 60111, Indonesia</w:t>
      </w:r>
    </w:p>
    <w:p w14:paraId="7BD5732C" w14:textId="6D879B72" w:rsidR="00C3093C" w:rsidRPr="00BE4F00" w:rsidRDefault="001858F2" w:rsidP="001858F2">
      <w:pPr>
        <w:pStyle w:val="RSCB01ARTAbstract"/>
        <w:rPr>
          <w:rFonts w:eastAsia="Times New Roman" w:cs="Times New Roman"/>
          <w:i/>
          <w:sz w:val="20"/>
          <w:szCs w:val="20"/>
        </w:rPr>
      </w:pPr>
      <w:r>
        <w:rPr>
          <w:rFonts w:eastAsia="Times New Roman" w:cs="Times New Roman"/>
          <w:i/>
          <w:sz w:val="20"/>
          <w:szCs w:val="20"/>
          <w:vertAlign w:val="superscript"/>
        </w:rPr>
        <w:t>3</w:t>
      </w:r>
      <w:r w:rsidR="00C3093C" w:rsidRPr="00BE4F00">
        <w:rPr>
          <w:rFonts w:eastAsia="Times New Roman" w:cs="Times New Roman"/>
          <w:i/>
          <w:sz w:val="20"/>
          <w:szCs w:val="20"/>
          <w:lang w:val="en-US"/>
        </w:rPr>
        <w:t>Department of Energy Science and Engineering, Daegu Gyeongbuk Institute of Science and Technology, 333, Techno Jungang Daero, Hyeonpung-Eup, Dalseong-gun, Daegu 42988, Republic of Korea</w:t>
      </w:r>
    </w:p>
    <w:p w14:paraId="3EAF16AE" w14:textId="00B2D0A8" w:rsidR="00C14B14" w:rsidRPr="00BE4F00" w:rsidRDefault="00C14B14" w:rsidP="00C14B14">
      <w:pPr>
        <w:pStyle w:val="AuthorAffiliation"/>
      </w:pPr>
      <w:r w:rsidRPr="00BE4F00">
        <w:br/>
        <w:t xml:space="preserve">Author </w:t>
      </w:r>
      <w:proofErr w:type="gramStart"/>
      <w:r w:rsidRPr="00BE4F00">
        <w:t>Emails</w:t>
      </w:r>
      <w:r w:rsidR="00CA7A33" w:rsidRPr="00BE4F00">
        <w:t xml:space="preserve"> :</w:t>
      </w:r>
      <w:proofErr w:type="gramEnd"/>
    </w:p>
    <w:p w14:paraId="37EC7D7E" w14:textId="5A8EE158" w:rsidR="00C3093C" w:rsidRPr="00BE4F00" w:rsidRDefault="00C3093C">
      <w:pPr>
        <w:pStyle w:val="AuthorEmail"/>
      </w:pPr>
      <w:r w:rsidRPr="00BE4F00">
        <w:t xml:space="preserve">a) </w:t>
      </w:r>
      <w:hyperlink r:id="rId11" w:history="1">
        <w:r w:rsidRPr="00BE4F00">
          <w:rPr>
            <w:rStyle w:val="Hyperlink"/>
            <w:color w:val="auto"/>
            <w:u w:val="none"/>
          </w:rPr>
          <w:t>akhlus@its.ac.id</w:t>
        </w:r>
      </w:hyperlink>
    </w:p>
    <w:p w14:paraId="6642B42F" w14:textId="77777777" w:rsidR="00C3093C" w:rsidRPr="00BE4F00" w:rsidRDefault="00C3093C">
      <w:pPr>
        <w:pStyle w:val="AuthorEmail"/>
        <w:rPr>
          <w:lang w:val="de-DE"/>
        </w:rPr>
      </w:pPr>
      <w:r w:rsidRPr="00BE4F00">
        <w:rPr>
          <w:lang w:val="de-DE"/>
        </w:rPr>
        <w:t xml:space="preserve">b) </w:t>
      </w:r>
      <w:r w:rsidRPr="00BE4F00">
        <w:fldChar w:fldCharType="begin"/>
      </w:r>
      <w:r w:rsidRPr="00BE4F00">
        <w:instrText>HYPERLINK "mailto:cininta.cn@gmail.com"</w:instrText>
      </w:r>
      <w:r w:rsidRPr="00BE4F00">
        <w:fldChar w:fldCharType="separate"/>
      </w:r>
      <w:r w:rsidRPr="00BE4F00">
        <w:rPr>
          <w:rStyle w:val="Hyperlink"/>
          <w:color w:val="auto"/>
          <w:u w:val="none"/>
          <w:lang w:val="de-DE"/>
        </w:rPr>
        <w:t>cininta.cn@gmail.com</w:t>
      </w:r>
      <w:r w:rsidRPr="00BE4F00">
        <w:fldChar w:fldCharType="end"/>
      </w:r>
      <w:r w:rsidRPr="00BE4F00">
        <w:rPr>
          <w:lang w:val="de-DE"/>
        </w:rPr>
        <w:t xml:space="preserve"> </w:t>
      </w:r>
      <w:r w:rsidR="003A287B" w:rsidRPr="00BE4F00">
        <w:rPr>
          <w:lang w:val="de-DE"/>
        </w:rPr>
        <w:t xml:space="preserve"> </w:t>
      </w:r>
    </w:p>
    <w:p w14:paraId="32961930" w14:textId="77777777" w:rsidR="00C3093C" w:rsidRPr="00BE4F00" w:rsidRDefault="00C3093C">
      <w:pPr>
        <w:pStyle w:val="AuthorEmail"/>
        <w:rPr>
          <w:lang w:val="de-DE"/>
        </w:rPr>
      </w:pPr>
      <w:r w:rsidRPr="00BE4F00">
        <w:rPr>
          <w:lang w:val="de-DE"/>
        </w:rPr>
        <w:t xml:space="preserve">c) </w:t>
      </w:r>
      <w:r w:rsidRPr="00BE4F00">
        <w:fldChar w:fldCharType="begin"/>
      </w:r>
      <w:r w:rsidRPr="00BE4F00">
        <w:instrText>HYPERLINK "mailto:dwipras14@gmail.com"</w:instrText>
      </w:r>
      <w:r w:rsidRPr="00BE4F00">
        <w:fldChar w:fldCharType="separate"/>
      </w:r>
      <w:r w:rsidRPr="00BE4F00">
        <w:rPr>
          <w:rStyle w:val="Hyperlink"/>
          <w:color w:val="auto"/>
          <w:u w:val="none"/>
          <w:lang w:val="de-DE"/>
        </w:rPr>
        <w:t>dwipras14@gmail.com</w:t>
      </w:r>
      <w:r w:rsidRPr="00BE4F00">
        <w:fldChar w:fldCharType="end"/>
      </w:r>
      <w:r w:rsidRPr="00BE4F00">
        <w:rPr>
          <w:lang w:val="de-DE"/>
        </w:rPr>
        <w:t xml:space="preserve"> </w:t>
      </w:r>
    </w:p>
    <w:p w14:paraId="52A52BF3" w14:textId="0F0F2DEE" w:rsidR="00C3093C" w:rsidRPr="00BE4F00" w:rsidRDefault="009A03B8">
      <w:pPr>
        <w:pStyle w:val="AuthorEmail"/>
        <w:rPr>
          <w:lang w:val="de-DE"/>
        </w:rPr>
      </w:pPr>
      <w:r w:rsidRPr="00BE4F00">
        <w:rPr>
          <w:lang w:val="de-DE"/>
        </w:rPr>
        <w:t>d</w:t>
      </w:r>
      <w:r w:rsidR="00C3093C" w:rsidRPr="00BE4F00">
        <w:rPr>
          <w:lang w:val="de-DE"/>
        </w:rPr>
        <w:t xml:space="preserve">) </w:t>
      </w:r>
      <w:hyperlink r:id="rId12" w:history="1">
        <w:r w:rsidR="00C3093C" w:rsidRPr="00BE4F00">
          <w:rPr>
            <w:rStyle w:val="Hyperlink"/>
            <w:color w:val="auto"/>
            <w:u w:val="none"/>
            <w:lang w:val="de-DE"/>
          </w:rPr>
          <w:t>wp.utomo@its.ac.id</w:t>
        </w:r>
      </w:hyperlink>
      <w:r w:rsidR="00C3093C" w:rsidRPr="00BE4F00">
        <w:rPr>
          <w:b/>
          <w:bCs/>
          <w:lang w:val="de-DE"/>
        </w:rPr>
        <w:t xml:space="preserve"> </w:t>
      </w:r>
    </w:p>
    <w:p w14:paraId="6F0EC60F" w14:textId="428BD42E" w:rsidR="00C3093C" w:rsidRPr="00BE4F00" w:rsidRDefault="009A03B8">
      <w:pPr>
        <w:pStyle w:val="AuthorEmail"/>
        <w:rPr>
          <w:b/>
          <w:bCs/>
          <w:lang w:val="de-DE"/>
        </w:rPr>
      </w:pPr>
      <w:r w:rsidRPr="00BE4F00">
        <w:rPr>
          <w:lang w:val="de-DE"/>
        </w:rPr>
        <w:t>e</w:t>
      </w:r>
      <w:r w:rsidR="00C3093C" w:rsidRPr="00BE4F00">
        <w:rPr>
          <w:lang w:val="de-DE"/>
        </w:rPr>
        <w:t xml:space="preserve">) </w:t>
      </w:r>
      <w:hyperlink r:id="rId13" w:history="1">
        <w:r w:rsidR="00C3093C" w:rsidRPr="00BE4F00">
          <w:rPr>
            <w:rStyle w:val="Hyperlink"/>
            <w:color w:val="auto"/>
            <w:u w:val="none"/>
            <w:lang w:val="de-DE"/>
          </w:rPr>
          <w:t>pburhan@chem.its.ac.id</w:t>
        </w:r>
      </w:hyperlink>
    </w:p>
    <w:p w14:paraId="527F1FEA" w14:textId="77777777" w:rsidR="00194BB5" w:rsidRPr="00BE4F00" w:rsidRDefault="009A03B8">
      <w:pPr>
        <w:pStyle w:val="AuthorEmail"/>
      </w:pPr>
      <w:r w:rsidRPr="00BE4F00">
        <w:t xml:space="preserve">f) </w:t>
      </w:r>
      <w:hyperlink r:id="rId14" w:history="1">
        <w:r w:rsidRPr="00BE4F00">
          <w:rPr>
            <w:rStyle w:val="Hyperlink"/>
            <w:color w:val="auto"/>
            <w:u w:val="none"/>
          </w:rPr>
          <w:t>h.fansuri@chem.its.ac.id</w:t>
        </w:r>
      </w:hyperlink>
      <w:r w:rsidRPr="00BE4F00">
        <w:t xml:space="preserve"> </w:t>
      </w:r>
    </w:p>
    <w:p w14:paraId="4255F3DD" w14:textId="75D5167C" w:rsidR="008C5A2F" w:rsidRPr="00BE4F00" w:rsidRDefault="008C5A2F">
      <w:pPr>
        <w:pStyle w:val="AuthorEmail"/>
      </w:pPr>
      <w:r w:rsidRPr="00BE4F00">
        <w:t xml:space="preserve">g) </w:t>
      </w:r>
      <w:hyperlink r:id="rId15" w:history="1">
        <w:r w:rsidRPr="00BE4F00">
          <w:rPr>
            <w:rStyle w:val="Hyperlink"/>
            <w:color w:val="auto"/>
            <w:u w:val="none"/>
          </w:rPr>
          <w:t>ardi.nugroho@its.ac.id</w:t>
        </w:r>
      </w:hyperlink>
    </w:p>
    <w:p w14:paraId="5E05E235" w14:textId="3F80FD38" w:rsidR="003A5C85" w:rsidRPr="00BE4F00" w:rsidRDefault="00C3093C">
      <w:pPr>
        <w:pStyle w:val="AuthorEmail"/>
      </w:pPr>
      <w:r w:rsidRPr="00BE4F00">
        <w:rPr>
          <w:szCs w:val="28"/>
          <w:vertAlign w:val="superscript"/>
        </w:rPr>
        <w:t>g</w:t>
      </w:r>
      <w:r w:rsidR="00003D7C" w:rsidRPr="00BE4F00">
        <w:rPr>
          <w:szCs w:val="28"/>
          <w:vertAlign w:val="superscript"/>
        </w:rPr>
        <w:t>)</w:t>
      </w:r>
      <w:r w:rsidR="00003D7C" w:rsidRPr="00BE4F00">
        <w:t xml:space="preserve"> Corresponding</w:t>
      </w:r>
      <w:r w:rsidR="004E3CB2" w:rsidRPr="00BE4F00">
        <w:t xml:space="preserve"> author: </w:t>
      </w:r>
      <w:hyperlink r:id="rId16" w:history="1">
        <w:r w:rsidRPr="00BE4F00">
          <w:rPr>
            <w:rStyle w:val="Hyperlink"/>
            <w:color w:val="auto"/>
            <w:u w:val="none"/>
          </w:rPr>
          <w:t>triyanda@its.ac.id</w:t>
        </w:r>
      </w:hyperlink>
      <w:r w:rsidR="003A5C85" w:rsidRPr="00BE4F00">
        <w:br/>
      </w:r>
    </w:p>
    <w:p w14:paraId="049CEE14" w14:textId="4BCCC243" w:rsidR="00313FFF" w:rsidRPr="00BE4F00" w:rsidRDefault="0016385D" w:rsidP="00C2004D">
      <w:pPr>
        <w:pStyle w:val="Abstract"/>
        <w:spacing w:after="0"/>
        <w:ind w:left="0"/>
      </w:pPr>
      <w:r w:rsidRPr="00BE4F00">
        <w:rPr>
          <w:b/>
          <w:bCs/>
        </w:rPr>
        <w:t>Abstract</w:t>
      </w:r>
      <w:r w:rsidR="00313FFF" w:rsidRPr="00BE4F00">
        <w:rPr>
          <w:b/>
          <w:bCs/>
        </w:rPr>
        <w:t xml:space="preserve"> </w:t>
      </w:r>
      <w:r w:rsidR="00313FFF" w:rsidRPr="00BE4F00">
        <w:rPr>
          <w:lang w:val="en-ID"/>
        </w:rPr>
        <w:br/>
        <w:t>Methylene blue (MB) is a widely applied synthetic dye in industries such as textiles, paper, and pharmaceuticals; however, its toxic nature, chemical stability, and resistance to biodegradation make it a significant environmental pollutant. In this study, graphitic carbon nitride g-C</w:t>
      </w:r>
      <w:r w:rsidR="00313FFF" w:rsidRPr="00BE4F00">
        <w:rPr>
          <w:vertAlign w:val="subscript"/>
          <w:lang w:val="en-ID"/>
        </w:rPr>
        <w:t>3</w:t>
      </w:r>
      <w:r w:rsidR="00313FFF" w:rsidRPr="00BE4F00">
        <w:rPr>
          <w:lang w:val="en-ID"/>
        </w:rPr>
        <w:t>N</w:t>
      </w:r>
      <w:r w:rsidR="00313FFF" w:rsidRPr="00BE4F00">
        <w:rPr>
          <w:vertAlign w:val="subscript"/>
          <w:lang w:val="en-ID"/>
        </w:rPr>
        <w:t>4</w:t>
      </w:r>
      <w:r w:rsidR="00313FFF" w:rsidRPr="00BE4F00">
        <w:rPr>
          <w:lang w:val="en-ID"/>
        </w:rPr>
        <w:t xml:space="preserve"> was employed for the removal of MB through a combination of adsorption and photocatalytic degradation under both UV and daylight conditions. The adsorption process was best described by a pseudo-second-order kinetic model, indicating that the mechanism is largely influenced by surface interactions and the presence of active sites on g-C</w:t>
      </w:r>
      <w:r w:rsidR="00313FFF" w:rsidRPr="00BE4F00">
        <w:rPr>
          <w:vertAlign w:val="subscript"/>
          <w:lang w:val="en-ID"/>
        </w:rPr>
        <w:t>3</w:t>
      </w:r>
      <w:r w:rsidR="00313FFF" w:rsidRPr="00BE4F00">
        <w:rPr>
          <w:lang w:val="en-ID"/>
        </w:rPr>
        <w:t>N</w:t>
      </w:r>
      <w:r w:rsidR="00313FFF" w:rsidRPr="00BE4F00">
        <w:rPr>
          <w:vertAlign w:val="subscript"/>
          <w:lang w:val="en-ID"/>
        </w:rPr>
        <w:t>4</w:t>
      </w:r>
      <w:r w:rsidR="00313FFF" w:rsidRPr="00BE4F00">
        <w:rPr>
          <w:lang w:val="en-ID"/>
        </w:rPr>
        <w:t>. Meanwhile, the photocatalytic degradation followed a first-order kinetic model, with a stronger correlation observed under daylight exposure. MB removal efficiencies reached 56.20% under daylight and 22.46% under UV light, demonstrating the efficiency performance of g-C</w:t>
      </w:r>
      <w:r w:rsidR="00313FFF" w:rsidRPr="00BE4F00">
        <w:rPr>
          <w:vertAlign w:val="subscript"/>
          <w:lang w:val="en-ID"/>
        </w:rPr>
        <w:t>3</w:t>
      </w:r>
      <w:r w:rsidR="00313FFF" w:rsidRPr="00BE4F00">
        <w:rPr>
          <w:lang w:val="en-ID"/>
        </w:rPr>
        <w:t>N</w:t>
      </w:r>
      <w:r w:rsidR="00313FFF" w:rsidRPr="00BE4F00">
        <w:rPr>
          <w:vertAlign w:val="subscript"/>
          <w:lang w:val="en-ID"/>
        </w:rPr>
        <w:t>4</w:t>
      </w:r>
      <w:r w:rsidR="00313FFF" w:rsidRPr="00BE4F00">
        <w:rPr>
          <w:lang w:val="en-ID"/>
        </w:rPr>
        <w:t xml:space="preserve"> in the visible light range. This enhanced activity is attributed to the suitable bandgap of g-C</w:t>
      </w:r>
      <w:r w:rsidR="00313FFF" w:rsidRPr="00BE4F00">
        <w:rPr>
          <w:vertAlign w:val="subscript"/>
          <w:lang w:val="en-ID"/>
        </w:rPr>
        <w:t>3</w:t>
      </w:r>
      <w:r w:rsidR="00313FFF" w:rsidRPr="00BE4F00">
        <w:rPr>
          <w:lang w:val="en-ID"/>
        </w:rPr>
        <w:t>N</w:t>
      </w:r>
      <w:r w:rsidR="00313FFF" w:rsidRPr="00BE4F00">
        <w:rPr>
          <w:vertAlign w:val="subscript"/>
          <w:lang w:val="en-ID"/>
        </w:rPr>
        <w:t>4</w:t>
      </w:r>
      <w:r w:rsidR="00313FFF" w:rsidRPr="00BE4F00">
        <w:rPr>
          <w:lang w:val="en-ID"/>
        </w:rPr>
        <w:t xml:space="preserve"> (~2.98 eV), which enables efficient absorption of visible light and facilitates the generation of reactive species. Overall, the findings support the use of g-C</w:t>
      </w:r>
      <w:r w:rsidR="00313FFF" w:rsidRPr="00BE4F00">
        <w:rPr>
          <w:vertAlign w:val="subscript"/>
          <w:lang w:val="en-ID"/>
        </w:rPr>
        <w:t>3</w:t>
      </w:r>
      <w:r w:rsidR="00313FFF" w:rsidRPr="00BE4F00">
        <w:rPr>
          <w:lang w:val="en-ID"/>
        </w:rPr>
        <w:t>N</w:t>
      </w:r>
      <w:r w:rsidR="00313FFF" w:rsidRPr="00BE4F00">
        <w:rPr>
          <w:vertAlign w:val="subscript"/>
          <w:lang w:val="en-ID"/>
        </w:rPr>
        <w:t>4</w:t>
      </w:r>
      <w:r w:rsidR="00313FFF" w:rsidRPr="00BE4F00">
        <w:rPr>
          <w:lang w:val="en-ID"/>
        </w:rPr>
        <w:t xml:space="preserve"> as an effective photocatalyst for the treatment of dye-contaminated wastewater through a dual mechanism involving both adsorption and photocatalytic degradation. </w:t>
      </w:r>
    </w:p>
    <w:p w14:paraId="09F16790" w14:textId="5E5724E6" w:rsidR="00313FFF" w:rsidRPr="00BE4F00" w:rsidRDefault="00C2004D" w:rsidP="00C2004D">
      <w:pPr>
        <w:rPr>
          <w:b/>
          <w:bCs/>
          <w:i/>
          <w:iCs/>
          <w:sz w:val="18"/>
          <w:szCs w:val="18"/>
          <w:lang w:val="en-ID"/>
        </w:rPr>
      </w:pPr>
      <w:r w:rsidRPr="00BE4F00">
        <w:rPr>
          <w:i/>
          <w:iCs/>
          <w:sz w:val="18"/>
          <w:szCs w:val="18"/>
        </w:rPr>
        <w:t>Keyword:</w:t>
      </w:r>
      <w:r w:rsidR="00313FFF" w:rsidRPr="00BE4F00">
        <w:rPr>
          <w:i/>
          <w:iCs/>
          <w:sz w:val="18"/>
          <w:szCs w:val="18"/>
        </w:rPr>
        <w:t xml:space="preserve"> g-C</w:t>
      </w:r>
      <w:r w:rsidR="00313FFF" w:rsidRPr="009D6572">
        <w:rPr>
          <w:i/>
          <w:iCs/>
          <w:sz w:val="18"/>
          <w:szCs w:val="18"/>
          <w:vertAlign w:val="subscript"/>
        </w:rPr>
        <w:t>3</w:t>
      </w:r>
      <w:r w:rsidR="00313FFF" w:rsidRPr="00BE4F00">
        <w:rPr>
          <w:i/>
          <w:iCs/>
          <w:sz w:val="18"/>
          <w:szCs w:val="18"/>
        </w:rPr>
        <w:t>N</w:t>
      </w:r>
      <w:r w:rsidR="00313FFF" w:rsidRPr="009D6572">
        <w:rPr>
          <w:i/>
          <w:iCs/>
          <w:sz w:val="18"/>
          <w:szCs w:val="18"/>
          <w:vertAlign w:val="subscript"/>
        </w:rPr>
        <w:t>4</w:t>
      </w:r>
      <w:r w:rsidR="00313FFF" w:rsidRPr="00BE4F00">
        <w:rPr>
          <w:i/>
          <w:iCs/>
          <w:sz w:val="18"/>
          <w:szCs w:val="18"/>
        </w:rPr>
        <w:t>, Methylene Blue, Daylight,</w:t>
      </w:r>
      <w:r w:rsidR="00313FFF" w:rsidRPr="00BE4F00">
        <w:rPr>
          <w:b/>
          <w:bCs/>
          <w:i/>
          <w:iCs/>
          <w:sz w:val="18"/>
          <w:szCs w:val="18"/>
        </w:rPr>
        <w:t xml:space="preserve"> </w:t>
      </w:r>
      <w:r w:rsidR="00313FFF" w:rsidRPr="00BE4F00">
        <w:rPr>
          <w:i/>
          <w:iCs/>
          <w:sz w:val="18"/>
          <w:szCs w:val="18"/>
        </w:rPr>
        <w:t xml:space="preserve">Photocatalytic </w:t>
      </w:r>
    </w:p>
    <w:p w14:paraId="61E96AC1" w14:textId="59BCCC1F" w:rsidR="004E2E47" w:rsidRPr="00BE4F00" w:rsidRDefault="004E2E47" w:rsidP="004E2E47">
      <w:pPr>
        <w:pStyle w:val="Heading1"/>
      </w:pPr>
      <w:r w:rsidRPr="00BE4F00">
        <w:lastRenderedPageBreak/>
        <w:t>INTRODUCTION</w:t>
      </w:r>
    </w:p>
    <w:p w14:paraId="538D2A5B" w14:textId="6FF0A966" w:rsidR="004E2E47" w:rsidRPr="00BE4F00" w:rsidRDefault="00773A5B" w:rsidP="004E2E47">
      <w:pPr>
        <w:pStyle w:val="Paragraph"/>
      </w:pPr>
      <w:r w:rsidRPr="00BE4F00">
        <w:t>The production of synthetic dyes is rising because of their demand, particularly in textile and clothing industries. Every year, thousands of tons of these chemicals are produced worldwide, with the annual industrial output of dye compounds being approximately 700.000 tons</w:t>
      </w:r>
      <w:r w:rsidRPr="00BE4F00">
        <w:fldChar w:fldCharType="begin" w:fldLock="1"/>
      </w:r>
      <w:r w:rsidR="00695713" w:rsidRPr="00BE4F00">
        <w:instrText>ADDIN CSL_CITATION {"citationItems":[{"id":"ITEM-1","itemData":{"DOI":"10.1016/j.rineng.2022.100678","ISSN":"25901230","abstract":"One of the popular cationic dyes that is environmentally persistent, toxic, carcinogenic and mutagenic is methylene blue (MB) dye. It is commonly applied as synthetic dye for dyeing fabrics in clothing and textile industries and also for dyeing papers and leathers. Sequel to the magnitude of industrial usage, a large volume of methylene blue dye containing wastewater is discharged into groundwater and surface water. At doses more than 5 mk/kg, the monoamine oxidate inhibitory characteristics of MB dye can induce fatal serotonin toxicity in human, apart from being a threat to fauna in aquatic ecosystem. Thus, it is highly imperative to eliminate MB dye from wastewaters. A number of different removal strategies have been reported in literature for treating methylene blue dye wastewater. In this state-of-the-art review, about 240 review and/or research published articles on methods for methylene blue dye wastewater decontamination or decontamination strategies were chosen for evaluation. This synthesis also discussed the various toxicities linked to MB dye. The assessment of elimination methods revealed that chemical removal methods (photochemical and non-photochemical) could generate secondary pollutants while biological methods are characterized with sensitivity of enzyme to pH. These drawbacks limit their industrial full-scale applications while adsorption technology was found to offer merits over others. The review comprehensively discussed each of these techniques while gaps and/or areas for future research are highlighted.","author":[{"dropping-particle":"","family":"Oladoye","given":"Peter Olusakin","non-dropping-particle":"","parse-names":false,"suffix":""},{"dropping-particle":"","family":"Ajiboye","given":"Timothy Oladiran","non-dropping-particle":"","parse-names":false,"suffix":""},{"dropping-particle":"","family":"Omotola","given":"Elizabeth Oyinkansola","non-dropping-particle":"","parse-names":false,"suffix":""},{"dropping-particle":"","family":"Oyewola","given":"Olusola Joel","non-dropping-particle":"","parse-names":false,"suffix":""}],"container-title":"Results in Engineering","id":"ITEM-1","issue":"September","issued":{"date-parts":[["2022"]]},"page":"100678","publisher":"Elsevier B.V.","title":"Methylene blue dye: Toxicity and potential elimination technology from wastewater","type":"article-journal","volume":"16"},"uris":["http://www.mendeley.com/documents/?uuid=b5fca329-9eb9-480c-8ec0-a07e728fd391","http://www.mendeley.com/documents/?uuid=f285765b-c831-44fb-a696-b1d871af3c9a","http://www.mendeley.com/documents/?uuid=f03d0910-5f96-43b9-809c-739158696dd2"]}],"mendeley":{"formattedCitation":"[1]","plainTextFormattedCitation":"[1]","previouslyFormattedCitation":"[1]"},"properties":{"noteIndex":0},"schema":"https://github.com/citation-style-language/schema/raw/master/csl-citation.json"}</w:instrText>
      </w:r>
      <w:r w:rsidRPr="00BE4F00">
        <w:fldChar w:fldCharType="separate"/>
      </w:r>
      <w:r w:rsidR="00A93DCC" w:rsidRPr="00BE4F00">
        <w:rPr>
          <w:noProof/>
        </w:rPr>
        <w:t>[1]</w:t>
      </w:r>
      <w:r w:rsidRPr="00BE4F00">
        <w:fldChar w:fldCharType="end"/>
      </w:r>
      <w:r w:rsidRPr="00BE4F00">
        <w:t xml:space="preserve">. Methylene blue (MB) is synthetic dye widely used as a colorant for paper, wool, silk, and cotton. It is a widely recognized organic dye that dissolves stability in water at room temperature and MB is known to be highly toxic at elevated concentrations </w:t>
      </w:r>
      <w:r w:rsidRPr="00BE4F00">
        <w:fldChar w:fldCharType="begin" w:fldLock="1"/>
      </w:r>
      <w:r w:rsidR="00695713" w:rsidRPr="00BE4F00">
        <w:instrText>ADDIN CSL_CITATION {"citationItems":[{"id":"ITEM-1","itemData":{"DOI":"10.3390/polym13193451","ISSN":"20734360","abstract":"This paper studied the photocatalytic degradation of methylene blue (MB) using polymeric membrane impregnated with ZnO nanostructures under UV-light and sunlight irradiation. ZnO nanoparticles and ZnO nanowires were prepared using the hydrothermal technique. Cellulose acetate polymeric membranes were fabricated by the phase inversion method using dimethylformamide (DMF) as a solvent and ZnO nanostructures. The structural properties of the nanostructures and the membranes were investigated using XRD, SEM, FTIR, and TGA measurements. The membranes were tested for photocatalytic degradation of MB using a UV lamp and a sunlight simulator. The photocatalytic results under sunlight irradiation in the presence of cellulose acetate impregnated with ZnO nanoparticles (CA-ZnO-NP) showed a more rapid degradation of MB (about 75%) compared to the results obtained under UV-light irradiation degradation (about 30%). The results show that CA-ZnO-NP possesses the photocatalytic ability to degrade MB efficiently at different levels under UV-light and sunlight irradiation. Modified membranes with ZnO nanoparticles and ZnO nanowires were found to be chemically stable, recyclable, and reproducible. The addition of ZnO nanostructure to the cellulose membranes generally enhanced their photocatalytic activity toward MB, making these potential membranes candidates for removing organic pollutants from aqueous solutions.","author":[{"dropping-particle":"","family":"Abu-Dalo","given":"Muna A.","non-dropping-particle":"","parse-names":false,"suffix":""},{"dropping-particle":"","family":"Al-Rosan","given":"Saja A.","non-dropping-particle":"","parse-names":false,"suffix":""},{"dropping-particle":"","family":"Albiss","given":"Borhan A.","non-dropping-particle":"","parse-names":false,"suffix":""}],"container-title":"Polymers","id":"ITEM-1","issue":"19","issued":{"date-parts":[["2021","10"]]},"publisher":"MDPI","title":"Photocatalytic degradation of methylene blue using polymeric membranes based on cellulose acetate impregnated with zno nanostructures","type":"article-journal","volume":"13"},"uris":["http://www.mendeley.com/documents/?uuid=0d40e06b-669b-395e-ba8a-c197f94e3a4b","http://www.mendeley.com/documents/?uuid=fb127bdb-060e-45ea-acea-87625c5200a5"]}],"mendeley":{"formattedCitation":"[2]","plainTextFormattedCitation":"[2]","previouslyFormattedCitation":"[2]"},"properties":{"noteIndex":0},"schema":"https://github.com/citation-style-language/schema/raw/master/csl-citation.json"}</w:instrText>
      </w:r>
      <w:r w:rsidRPr="00BE4F00">
        <w:fldChar w:fldCharType="separate"/>
      </w:r>
      <w:r w:rsidR="00A93DCC" w:rsidRPr="00BE4F00">
        <w:rPr>
          <w:noProof/>
        </w:rPr>
        <w:t>[2]</w:t>
      </w:r>
      <w:r w:rsidRPr="00BE4F00">
        <w:fldChar w:fldCharType="end"/>
      </w:r>
      <w:r w:rsidRPr="00BE4F00">
        <w:t xml:space="preserve">. Additionally, most organic dye is difficult to biodegrade due to their high resistance to environmental conditions, making their removal from wastewater a critical and challenging task. To mitigate the risk posed by organic dye, several treatment methods have been developed, including adsorption, photocatalysis, </w:t>
      </w:r>
      <w:r w:rsidR="00FA2D69" w:rsidRPr="00BE4F00">
        <w:t>advanced</w:t>
      </w:r>
      <w:r w:rsidRPr="00BE4F00">
        <w:t xml:space="preserve"> oxidation processes, ion exchange, and microbiological decomposition</w:t>
      </w:r>
      <w:r w:rsidR="00FA2D69" w:rsidRPr="00BE4F00">
        <w:t xml:space="preserve">. </w:t>
      </w:r>
    </w:p>
    <w:p w14:paraId="4BF6201D" w14:textId="6224EEE9" w:rsidR="008E5E5C" w:rsidRPr="00BE4F00" w:rsidRDefault="008E5E5C" w:rsidP="004E2E47">
      <w:pPr>
        <w:pStyle w:val="Paragraph"/>
      </w:pPr>
      <w:r w:rsidRPr="00BE4F00">
        <w:t xml:space="preserve">Photocatalysis is widely recognized as an effective and environmentally friendly method for degrading organic pollutants such as Methylene Blue (MB) due to its ability to harness light energy to drive chemical reactions without the need for additional reagents. </w:t>
      </w:r>
      <w:r w:rsidR="00EF7335" w:rsidRPr="00BE4F00">
        <w:t>In photocatalytic reactions, a semiconductor material can be excited by light to produce electron–hole pairs that initiate redox reactions on the catalyst surface</w:t>
      </w:r>
      <w:r w:rsidRPr="00BE4F00">
        <w:t xml:space="preserve">. </w:t>
      </w:r>
      <w:r w:rsidR="00EF7335" w:rsidRPr="00BE4F00">
        <w:t>These charge carriers can react with water and oxygen to produce reactive oxygen species (ROS), including hydroxyl radicals (•OH) and superoxide anions (O₂•⁻), which are extremely effective in decomposing complicated dye molecules like MB into non-toxic end products like CO</w:t>
      </w:r>
      <w:r w:rsidR="00EF7335" w:rsidRPr="00BE4F00">
        <w:rPr>
          <w:vertAlign w:val="subscript"/>
        </w:rPr>
        <w:t>2</w:t>
      </w:r>
      <w:r w:rsidR="00EF7335" w:rsidRPr="00BE4F00">
        <w:t xml:space="preserve"> and H</w:t>
      </w:r>
      <w:r w:rsidR="00EF7335" w:rsidRPr="00BE4F00">
        <w:rPr>
          <w:vertAlign w:val="subscript"/>
        </w:rPr>
        <w:t>2</w:t>
      </w:r>
      <w:r w:rsidR="00EF7335" w:rsidRPr="00BE4F00">
        <w:t xml:space="preserve">O </w:t>
      </w:r>
      <w:r w:rsidR="009A0247" w:rsidRPr="00BE4F00">
        <w:fldChar w:fldCharType="begin" w:fldLock="1"/>
      </w:r>
      <w:r w:rsidR="00695713" w:rsidRPr="00BE4F00">
        <w:instrText>ADDIN CSL_CITATION {"citationItems":[{"id":"ITEM-1","itemData":{"DOI":"10.1016/j.scenv.2024.100155","ISSN":"29498392","abstract":"The industrial revolution has improved living standards while destroying the natural world, and as a result, environmental pollution has become a serious concern for both developed and developing countries. Furthermore, photocatalysis is a chemical process that uses light energy to accelerate thermodynamically demanding operations, such as photosynthesis, which makes it a viable substitute for deep solar energy storage. Reduced exposure to chemicals and toxins released into the environment by industrial activity is another great benefit of this method. First and foremost, photocatalysis allows fossil fuels to be used for other purposes by substituting low-temperature pollution removal processes with high-temperature ones. Since they may exist in numerous valences and have excellent catalytic efficiency, various photocatalytic materials such as AgCl, P-doped g-C3N4, and Z-scheme photocatalysts coupled with Fe3O4/H2O2 have received interest as photocatalysts. One issue covered in the reviews is the Z-scheme strategy, which focuses on creating heterojunctions with appropriate band alignments to improve electron transport pathways and increase MnO2's photocatalytic activity. The review discusses the latest developments in photocatalysis, MnO2-based composites for photocatalytic capabilities, and the Z-scheme charge carrier mechanism. The electrical, photoelectric, and crystallographic properties of MnO2 are discussed in the review article, with a focus on the relevance of the Z-scheme electron transfer pathway in augmenting photocatalytic activity. Exploring several electron transport channels in MnO2-based composites, various characterization approaches offer insights into the Z-scheme mechanism. Moreover, we have reviewed various Photocatalysis, basic principles, processes, and materials.","author":[{"dropping-particle":"","family":"Chakravorty","given":"Abir","non-dropping-particle":"","parse-names":false,"suffix":""},{"dropping-particle":"","family":"Roy","given":"Somnath","non-dropping-particle":"","parse-names":false,"suffix":""}],"container-title":"Sustainable Chemistry for the Environment","id":"ITEM-1","issue":"September","issued":{"date-parts":[["2024"]]},"page":"100155","publisher":"Elsevier B.V.","title":"A review of photocatalysis, basic principles, processes, and materials","type":"article-journal","volume":"8"},"uris":["http://www.mendeley.com/documents/?uuid=41cde7fa-3eec-4d44-92aa-5115ff8d6843","http://www.mendeley.com/documents/?uuid=15195915-133a-47a6-8ff2-89968b4f57d1","http://www.mendeley.com/documents/?uuid=7b9c7d69-71a2-475e-ab41-7e9d3a3a0428"]}],"mendeley":{"formattedCitation":"[3]","plainTextFormattedCitation":"[3]","previouslyFormattedCitation":"[3]"},"properties":{"noteIndex":0},"schema":"https://github.com/citation-style-language/schema/raw/master/csl-citation.json"}</w:instrText>
      </w:r>
      <w:r w:rsidR="009A0247" w:rsidRPr="00BE4F00">
        <w:fldChar w:fldCharType="separate"/>
      </w:r>
      <w:r w:rsidR="009A0247" w:rsidRPr="00BE4F00">
        <w:rPr>
          <w:noProof/>
        </w:rPr>
        <w:t>[3]</w:t>
      </w:r>
      <w:r w:rsidR="009A0247" w:rsidRPr="00BE4F00">
        <w:fldChar w:fldCharType="end"/>
      </w:r>
      <w:r w:rsidRPr="00BE4F00">
        <w:t>. Compared to conventional methods like adsorption or chemical oxidation, photocatalysis offers the advantages of reusability of the catalyst, low operational cost, and the ability to utilize solar energy as a renewable light source</w:t>
      </w:r>
      <w:r w:rsidR="009A0247" w:rsidRPr="00BE4F00">
        <w:t xml:space="preserve"> </w:t>
      </w:r>
      <w:r w:rsidR="009A0247" w:rsidRPr="00BE4F00">
        <w:fldChar w:fldCharType="begin" w:fldLock="1"/>
      </w:r>
      <w:r w:rsidR="00695713" w:rsidRPr="00BE4F00">
        <w:instrText>ADDIN CSL_CITATION {"citationItems":[{"id":"ITEM-1","itemData":{"DOI":"10.1039/d4ra03259d","ISSN":"20462069","abstract":"The photocatalytic field revolves around the utilization of photon energy to initiate various chemical reactions using non-adsorbing substrates, through processes such as single electron transfer, energy transfer, or atom transfer. The efficiency of this field depends on the capacity of a light-absorbing metal complex, organic molecule, or substance (commonly referred to as photocatalysts or PCs) to execute these processes. Photoredox techniques utilize photocatalysts, which possess the essential characteristic of functioning as both an oxidizing and a reducing agent upon activation. In addition, it is commonly observed that photocatalysts exhibit optimal performance when irradiated with low-energy light sources, while still retaining their catalytic activity under ambient temperatures. The implementation of photoredox catalysis has resuscitated an array of synthesis realms, including but not limited to radical chemistry and photochemistry, ultimately affording prospects for the development of the reactions. Also, photoredox catalysis is utilized to resolve numerous challenges encountered in medicinal chemistry, as well as natural product synthesis. Moreover, its applications extend across diverse domains encompassing organic chemistry and catalysis. The significance of photoredox catalysts is rooted in their utilization across various fields, including biomedicine, environmental pollution management, and water purification. Of course, recently, research has evaluated photocatalysts in terms of cost, recyclability, and pollution of some photocatalysts and dyes from an environmental point of view. According to these new studies, there is a need for critical studies and reviews on photocatalysts and photocatalytic processes to provide a solution to reduce these limitations. As a future perspective for research on photocatalysts, it is necessary to put the goals of researchers on studies to overcome the limitations of the application and efficiency of photocatalysts to promote their use on a large scale for the development of industrial activities. Given the significant implications of the subject matter, this review seeks to delve into the fundamental tenets of the photocatalyst domain and its associated practical use cases. This review endeavors to demonstrate the prospective of a powerful tool known as photochemical catalysis and elucidate its underlying tenets. Additionally, another goal of this review is to expound upon the various applications of pho…","author":[{"dropping-particle":"","family":"Mohamadpour","given":"Farzaneh","non-dropping-particle":"","parse-names":false,"suffix":""},{"dropping-particle":"","family":"Amani","given":"Ali Mohammad","non-dropping-particle":"","parse-names":false,"suffix":""}],"container-title":"RSC Advances","id":"ITEM-1","issue":"29","issued":{"date-parts":[["2024"]]},"page":"20609-20645","publisher":"Royal Society of Chemistry","title":"Photocatalytic systems: reactions, mechanism, and applications","type":"article-journal","volume":"14"},"uris":["http://www.mendeley.com/documents/?uuid=7c588fc1-2115-4a4f-8130-6b6877584d3d","http://www.mendeley.com/documents/?uuid=27bd5bae-f227-4080-8e10-ffc8bf366035","http://www.mendeley.com/documents/?uuid=12d59287-627d-4b90-bf45-0465634923d7"]}],"mendeley":{"formattedCitation":"[4]","plainTextFormattedCitation":"[4]","previouslyFormattedCitation":"[4]"},"properties":{"noteIndex":0},"schema":"https://github.com/citation-style-language/schema/raw/master/csl-citation.json"}</w:instrText>
      </w:r>
      <w:r w:rsidR="009A0247" w:rsidRPr="00BE4F00">
        <w:fldChar w:fldCharType="separate"/>
      </w:r>
      <w:r w:rsidR="009A0247" w:rsidRPr="00BE4F00">
        <w:rPr>
          <w:noProof/>
        </w:rPr>
        <w:t>[4]</w:t>
      </w:r>
      <w:r w:rsidR="009A0247" w:rsidRPr="00BE4F00">
        <w:fldChar w:fldCharType="end"/>
      </w:r>
      <w:r w:rsidRPr="00BE4F00">
        <w:t>. Therefore, photocatalysis is considered a promising and sustainable approach for the treatment of dye-contaminated wastewater.</w:t>
      </w:r>
      <w:r w:rsidR="00170037" w:rsidRPr="00BE4F00">
        <w:t xml:space="preserve"> </w:t>
      </w:r>
      <w:r w:rsidR="002A2E44" w:rsidRPr="00BE4F00">
        <w:t>The photocatalytic degradation under daylight has several significant advantages. One of the key benefits is its energy efficiency since it makes use of plentiful and renewable solar energy, lowering its dependence on artificial UV light sources that consume electricity. This makes the process more sustainable and economic, particularly for large-scale or outdoor applications like wastewater treatment. Additionally, numerous advanced photocatalysts have been designed to respond to visible light, enabling efficient pollutant degradation under natural light conditions</w:t>
      </w:r>
      <w:r w:rsidR="00502458" w:rsidRPr="00BE4F00">
        <w:t xml:space="preserve">. </w:t>
      </w:r>
    </w:p>
    <w:p w14:paraId="3FFFF5A6" w14:textId="76BFCB81" w:rsidR="001257F1" w:rsidRPr="00BE4F00" w:rsidRDefault="00843E9B" w:rsidP="001257F1">
      <w:pPr>
        <w:pStyle w:val="Paragraph"/>
        <w:rPr>
          <w:lang w:val="en-ID"/>
        </w:rPr>
      </w:pPr>
      <w:r w:rsidRPr="00BE4F00">
        <w:t xml:space="preserve">Several studies have been conducted on various types of semiconductor materials, such as </w:t>
      </w:r>
      <w:proofErr w:type="spellStart"/>
      <w:r w:rsidRPr="00BE4F00">
        <w:t>TiO</w:t>
      </w:r>
      <w:proofErr w:type="spellEnd"/>
      <w:r w:rsidRPr="00BE4F00">
        <w:t xml:space="preserve">₂ and </w:t>
      </w:r>
      <w:proofErr w:type="spellStart"/>
      <w:r w:rsidRPr="00BE4F00">
        <w:t>ZnO</w:t>
      </w:r>
      <w:proofErr w:type="spellEnd"/>
      <w:r w:rsidRPr="00BE4F00">
        <w:t xml:space="preserve">, which are commonly used in the photocatalytic degradation of dyes. However, these materials are primarily active under UV light and exhibit limited activity under visible light due to their relatively wide bandgap energies of approximately 3.3 eV for </w:t>
      </w:r>
      <w:proofErr w:type="spellStart"/>
      <w:r w:rsidRPr="00BE4F00">
        <w:t>TiO</w:t>
      </w:r>
      <w:proofErr w:type="spellEnd"/>
      <w:r w:rsidRPr="00BE4F00">
        <w:t xml:space="preserve">₂ </w:t>
      </w:r>
      <w:r w:rsidR="00502458" w:rsidRPr="00BE4F00">
        <w:fldChar w:fldCharType="begin" w:fldLock="1"/>
      </w:r>
      <w:r w:rsidR="00695713" w:rsidRPr="00BE4F00">
        <w:instrText>ADDIN CSL_CITATION {"citationItems":[{"id":"ITEM-1","itemData":{"DOI":"10.1016/j.inoche.2022.109966","ISSN":"13877003","abstract":"Magnetic photocatalysts are crucial for creating a feasible photocatalytic technique for the degradation of organic contaminants due to the ease of photocatalyst separation and recycling. In this study, magnetic Fe3O4/TiO2 nanocomposites as an effective and recyclable photocatalyst with different Fe3O4 loading percentages were successfully synthesized by a hydrothermal method. The physicochemical properties of the synthesized materials were characterized using XRD, FTIR, BET, TGA, TEM, EDS, XPS, PL, and UV − vis DRS. The nanocomposite poses a higher BET surface area (164.76 m2/g,) than TiO2 (177.67 m2/g) due to the synergistic effect and interface between the two different oxides. The optical properties results showed that the incorporation of magnetite Fe3O4 to TiO2 nanoparticles shifted the light absorption of TiO2 from ultraviolet (UV) to the visible region and postponed the electron-hole recombination. The synthesized photocatalysts were used for photocatalytic degradation of rhodamine B as the model pollutant under simulated solar light irradiation. The maximum degradation efficiency of 91% was achieved after 120 min using 20% FT nanocomposite. The enhanced photocatalytic activity of 20% FT nanocomposite was attributed to the high surface area, increased light absorption, and formation of heterojunction structure which promotes the separation efficiency of photogenerated electron-hole pairs. The photocatalyst maintained good stability with a 3% loss in efficiency after 5 cycles of re-use. Scavenger trapping assays showed that the main active species for the degradation of RhB are hydroxyl radicals. Moreover, the effect of Fe3O4 loading, solution pH, photocatalyst dosage, rhodamine B concentration, and reusability of the photocatalyst on the degradation efficiency of dye pollutants were studied. The results attained in this study suggest that stable magnetic recoverable photocatalysts could be used to remediate organic water pollutants and can be extended to environmental samples application.","author":[{"dropping-particle":"","family":"Madima","given":"Ntakadzeni","non-dropping-particle":"","parse-names":false,"suffix":""},{"dropping-particle":"","family":"Kefeni","given":"Kebede K.","non-dropping-particle":"","parse-names":false,"suffix":""},{"dropping-particle":"","family":"Mishra","given":"Shivani B.","non-dropping-particle":"","parse-names":false,"suffix":""},{"dropping-particle":"","family":"Mishra","given":"Ajay K.","non-dropping-particle":"","parse-names":false,"suffix":""},{"dropping-particle":"","family":"Kuvarega","given":"Alex T.","non-dropping-particle":"","parse-names":false,"suffix":""}],"container-title":"Inorganic Chemistry Communications","id":"ITEM-1","issue":"June","issued":{"date-parts":[["2022"]]},"page":"109966","publisher":"Elsevier B.V.","title":"Fabrication of magnetic recoverable Fe3O4/TiO2 heterostructure for photocatalytic degradation of rhodamine B dye","type":"article-journal","volume":"145"},"uris":["http://www.mendeley.com/documents/?uuid=49a4cde8-a1d2-48d5-b26c-4857c771f33c","http://www.mendeley.com/documents/?uuid=ea94421c-1309-4f7b-9817-60a3717c796c","http://www.mendeley.com/documents/?uuid=20e79282-dc7d-461b-b708-5f5ad203753c"]},{"id":"ITEM-2","itemData":{"DOI":"10.1016/j.matpr.2020.06.476","ISSN":"22147853","abstract":"TiO2 powder has been prepared by simple and low cost sol-gel procedure. The structural and morphological properties of prepared TiO2 powder were studied using X-ray diffraction (XRD) and scanning electron microscopy (SEM) techniques. The XRD pattern clearly shows (111) maximum intensive plane of TiO2 material with other less intensive peaks, in absence of any other impurities. The dye degradation properties of TiO2 powder were characterized using UV-Visible absorption spectroscopic technique. The photocatalytic dye degradation properties for methylene blue (MB) dye were studied. The photocatalytic dye degradation results show fast degradation of methylene blue (MB) dye in presence of TiO2 powder in solution. Above results show TiO2 material is useful for photocatalytic dye degradation application.","author":[{"dropping-particle":"","family":"Torane","given":"A. P.","non-dropping-particle":"","parse-names":false,"suffix":""},{"dropping-particle":"","family":"Ubale","given":"A. B.","non-dropping-particle":"","parse-names":false,"suffix":""},{"dropping-particle":"","family":"Kanade","given":"K. G.","non-dropping-particle":"","parse-names":false,"suffix":""},{"dropping-particle":"","family":"Pagare","given":"P. K.","non-dropping-particle":"","parse-names":false,"suffix":""}],"container-title":"Materials Today: Proceedings","id":"ITEM-2","issued":{"date-parts":[["2020"]]},"page":"2738-2741","title":"Photocatalytic dye degradation study of tio2 material","type":"article-journal","volume":"43"},"uris":["http://www.mendeley.com/documents/?uuid=45d92e54-2293-4fe2-9e67-8d9a228e4eca","http://www.mendeley.com/documents/?uuid=c980e627-49bd-437c-a433-59f5f55940da","http://www.mendeley.com/documents/?uuid=670cc54b-58cb-4443-ba6e-597ffee163c9"]}],"mendeley":{"formattedCitation":"[5],[6]","plainTextFormattedCitation":"[5],[6]","previouslyFormattedCitation":"[5],[6]"},"properties":{"noteIndex":0},"schema":"https://github.com/citation-style-language/schema/raw/master/csl-citation.json"}</w:instrText>
      </w:r>
      <w:r w:rsidR="00502458" w:rsidRPr="00BE4F00">
        <w:fldChar w:fldCharType="separate"/>
      </w:r>
      <w:r w:rsidR="009A0247" w:rsidRPr="00BE4F00">
        <w:rPr>
          <w:noProof/>
        </w:rPr>
        <w:t>[5],[6]</w:t>
      </w:r>
      <w:r w:rsidR="00502458" w:rsidRPr="00BE4F00">
        <w:fldChar w:fldCharType="end"/>
      </w:r>
      <w:r w:rsidR="00502458" w:rsidRPr="00BE4F00">
        <w:t xml:space="preserve"> </w:t>
      </w:r>
      <w:r w:rsidRPr="00BE4F00">
        <w:t xml:space="preserve">and 3.2 eV for </w:t>
      </w:r>
      <w:proofErr w:type="spellStart"/>
      <w:r w:rsidRPr="00BE4F00">
        <w:t>ZnO</w:t>
      </w:r>
      <w:proofErr w:type="spellEnd"/>
      <w:r w:rsidR="00502458" w:rsidRPr="00BE4F00">
        <w:t xml:space="preserve"> </w:t>
      </w:r>
      <w:r w:rsidR="00502458" w:rsidRPr="00BE4F00">
        <w:fldChar w:fldCharType="begin" w:fldLock="1"/>
      </w:r>
      <w:r w:rsidR="00695713" w:rsidRPr="00BE4F00">
        <w:instrText>ADDIN CSL_CITATION {"citationItems":[{"id":"ITEM-1","itemData":{"DOI":"10.1039/d1ra08196a","ISSN":"20462069","abstract":"Drug-resistant superbugs (DRS) were isolated from hospital sewage waste and confirmed by a 16S rDNA molecular technique as B. filamentosus, B. flexus, P. stutzeri, and A. baumannii. Green nanotechnologies provide a new promising alternative pathway that was found to be much safer, eco-friendly, and has economic benefits over physical/chemical methods. Sargassum muticum (SM) mediated zinc oxide nanoparticles (ZnO-NPs) were proved to be photocatalytic and anti-microbial agents. Anti-microbial action was demonstrated by a maximal growth inhibition activity of 18 mm against A. baumannii and a minimal of 12 mm against B. flexus at 80 μg mL-1 concentrations. The anti-microbial mechanism of SMZnO-NPs employed a biphasic phenomenon persuaded by an osmotic shock that can attack the DRS bacterial cells directly and lead to death. In addition, photocatalytic activity was investigated by SMZnO-NPs for the degradation of methylene blue (MB) dye under different light conditions. Natural sunlight irradiation shows effective enhancement with the highest efficiencies of 96% being achieved within 60 min compared to UV-light and visible-light. The reusability of SMZnO-NPs provides up to 6 consecutive cycles towards MB decolorization for environmental water cleansing.","author":[{"dropping-particle":"","family":"Subramanian","given":"Harinee","non-dropping-particle":"","parse-names":false,"suffix":""},{"dropping-particle":"","family":"Krishnan","given":"Muthukumar","non-dropping-particle":"","parse-names":false,"suffix":""},{"dropping-particle":"","family":"Mahalingam","given":"Ashok","non-dropping-particle":"","parse-names":false,"suffix":""}],"container-title":"RSC Advances","id":"ITEM-1","issue":"2","issued":{"date-parts":[["2022"]]},"page":"985-997","publisher":"Royal Society of Chemistry","title":"Photocatalytic dye degradation and photoexcited anti-microbial activities of green zinc oxide nanoparticles synthesized: Via Sargassum muticum extracts","type":"article-journal","volume":"12"},"uris":["http://www.mendeley.com/documents/?uuid=2e9a7b39-68fb-4196-a1e0-1d25dd834fa7","http://www.mendeley.com/documents/?uuid=49e1d422-dd04-4d60-8645-46e150e69811","http://www.mendeley.com/documents/?uuid=74d9e07e-0560-474c-bd17-ea9840f983a0"]},{"id":"ITEM-2","itemData":{"DOI":"10.1186/s11671-017-1904-4","ISSN":"1556276X","abstract":"Zinc oxide (ZnO) photocatalysts were synthesized by sol–gel method using zinc acetate as precursor for degradation of azo dyes under UV irradiation. The resultant samples were characterized by different techniques, such as XRD, SEM, and EDX. The influence of preparation conditions such as calcination temperature and composite ratio on the degradation of methyl orange (MO) was investigated. ZnO prepared with a composite ratio of 4:1 and calcination temperature of 400 °C exhibited 99.70% removal rate for MO. The effect of operation parameters on the degradation was also studied. Results showed that the removal rate of azo dyes increased with the increased dosage of catalyst and decreased initial concentration of azo dyes and the acidic condition is favorable for degradation. Furthermore, the kinetics and scavengers of the reactive species during the degradation were also investigated. It was found that the degradation of azo dyes fitted the first-order kinetics and superoxide ions were the main species. The proposed photocatalyst can efficiently and rapidly degrade azo dyes; thus, this economical and environment-friendly photocatalyst can be applied to the treatment of wastewater contaminated with synthetic dyes.","author":[{"dropping-particle":"","family":"Chen","given":"Xiaoqing","non-dropping-particle":"","parse-names":false,"suffix":""},{"dropping-particle":"","family":"Wu","given":"Zhansheng","non-dropping-particle":"","parse-names":false,"suffix":""},{"dropping-particle":"","family":"Liu","given":"Dandan","non-dropping-particle":"","parse-names":false,"suffix":""},{"dropping-particle":"","family":"Gao","given":"Zhenzhen","non-dropping-particle":"","parse-names":false,"suffix":""}],"container-title":"Nanoscale Research Letters","id":"ITEM-2","issue":"1","issued":{"date-parts":[["2017"]]},"page":"4-13","publisher":"Nanoscale Research Letters","title":"Preparation of ZnO Photocatalyst for the Efficient and Rapid Photocatalytic Degradation of Azo Dyes","type":"article-journal","volume":"12"},"uris":["http://www.mendeley.com/documents/?uuid=113ab103-f2d6-4c46-9d19-49c3a7350685","http://www.mendeley.com/documents/?uuid=bcabe6f2-fc7b-4c18-b0fd-7c6ccf156b8b","http://www.mendeley.com/documents/?uuid=f9071bee-6886-4056-af02-d840a95edf68"]}],"mendeley":{"formattedCitation":"[7],[8]","plainTextFormattedCitation":"[7],[8]","previouslyFormattedCitation":"[7],[8]"},"properties":{"noteIndex":0},"schema":"https://github.com/citation-style-language/schema/raw/master/csl-citation.json"}</w:instrText>
      </w:r>
      <w:r w:rsidR="00502458" w:rsidRPr="00BE4F00">
        <w:fldChar w:fldCharType="separate"/>
      </w:r>
      <w:r w:rsidR="009A0247" w:rsidRPr="00BE4F00">
        <w:rPr>
          <w:noProof/>
        </w:rPr>
        <w:t>[7],[8]</w:t>
      </w:r>
      <w:r w:rsidR="00502458" w:rsidRPr="00BE4F00">
        <w:fldChar w:fldCharType="end"/>
      </w:r>
      <w:r w:rsidRPr="00BE4F00">
        <w:t xml:space="preserve">. </w:t>
      </w:r>
      <w:r w:rsidR="009C4E37" w:rsidRPr="00BE4F00">
        <w:rPr>
          <w:lang w:val="en-ID"/>
        </w:rPr>
        <w:t>Graphitic carbon nitride (</w:t>
      </w:r>
      <w:r w:rsidR="001257F1" w:rsidRPr="00BE4F00">
        <w:t>g-C</w:t>
      </w:r>
      <w:r w:rsidR="001257F1" w:rsidRPr="00BE4F00">
        <w:rPr>
          <w:vertAlign w:val="subscript"/>
        </w:rPr>
        <w:t>3</w:t>
      </w:r>
      <w:r w:rsidR="001257F1" w:rsidRPr="00BE4F00">
        <w:t>N</w:t>
      </w:r>
      <w:r w:rsidR="001257F1" w:rsidRPr="00BE4F00">
        <w:rPr>
          <w:vertAlign w:val="subscript"/>
        </w:rPr>
        <w:t>4</w:t>
      </w:r>
      <w:r w:rsidR="009C4E37" w:rsidRPr="00BE4F00">
        <w:rPr>
          <w:lang w:val="en-ID"/>
        </w:rPr>
        <w:t xml:space="preserve">) has emerged as a metal-free semiconductor with remarkable potential for photocatalytic applications, particularly under visible light irradiation. Its moderate band gap energy of approximately 2.7 eV enables the absorption of a broad range of the visible spectrum, making it suitable for daylight-driven photocatalysis </w:t>
      </w:r>
      <w:r w:rsidR="009C4E37" w:rsidRPr="00BE4F00">
        <w:fldChar w:fldCharType="begin" w:fldLock="1"/>
      </w:r>
      <w:r w:rsidR="00695713" w:rsidRPr="00BE4F00">
        <w:instrText>ADDIN CSL_CITATION {"citationItems":[{"id":"ITEM-1","itemData":{"DOI":"10.1007/s11356-023-27576-z","ISBN":"0123456789","ISSN":"16147499","PMID":"37178288","abstract":"The scarcity of water leads to research nowadays to focus on techniques for treating wastewater. Photocatalysis emerged as a technique of interest due to its nature of friendliness. It utilizes light and catalyst to degrade the pollutants. One of the popular catalysts to be used is zinc oxide (ZnO), but its usage is limited due to the high recombination rate of electron-hole pair. Herein, in this study, ZnO is modified with graphitic carbon nitride (GCN), and the GCN loading amount was varied to study the impact on photocatalytic degradation of mixed dye solution. To the best of our knowledge, this is the first work that reports on the degradation of mixed dye solution using modified ZnO with GCN. Structural analysis showed that GCN is present in the composites which proves the success of the modification. Photocatalytic activity revealed that the composite with 5 wt% loading of GCN showed the best activity at a catalyst dosage of 1 g/L with degradation rates of 0.0285, 0.0365, 0.0869, and 0.1758 min−1 for methyl red, methyl orange, rhodamine B, and methylene blue dyes, respectively. This observation is expected due to the formation of heterojunction between ZnO and GCN which creates a synergistic effect and thus led to an improvement in the photocatalytic activity. Based on these results, ZnO modified with GCN has a good potential to be used in the treatment of textile wastewater which consists of various dye mixtures.","author":[{"dropping-particle":"","family":"Isa","given":"Eleen Dayana Mohamed","non-dropping-particle":"","parse-names":false,"suffix":""},{"dropping-particle":"","family":"Jusoh","given":"Nurfatehah Wahyuny Che","non-dropping-particle":"","parse-names":false,"suffix":""},{"dropping-particle":"","family":"Rodzi","given":"Amir Awalludin Mohamad","non-dropping-particle":"","parse-names":false,"suffix":""}],"container-title":"Environmental Science and Pollution Research","id":"ITEM-1","issue":"55","issued":{"date-parts":[["2023"]]},"page":"116921-116933","publisher":"Springer Berlin Heidelberg","title":"Enhanced simultaneous degradation of simulated dyes using ZnO/GCN heterojunction photocatalyst","type":"article-journal","volume":"30"},"uris":["http://www.mendeley.com/documents/?uuid=45aad7a8-02bc-498c-9f9a-b02aba6217d4","http://www.mendeley.com/documents/?uuid=35c4d8c2-3e5f-4a11-aefa-e99d6977c2e8"]}],"mendeley":{"formattedCitation":"[9]","plainTextFormattedCitation":"[9]","previouslyFormattedCitation":"[9]"},"properties":{"noteIndex":0},"schema":"https://github.com/citation-style-language/schema/raw/master/csl-citation.json"}</w:instrText>
      </w:r>
      <w:r w:rsidR="009C4E37" w:rsidRPr="00BE4F00">
        <w:fldChar w:fldCharType="separate"/>
      </w:r>
      <w:r w:rsidR="009A0247" w:rsidRPr="00BE4F00">
        <w:rPr>
          <w:noProof/>
        </w:rPr>
        <w:t>[9]</w:t>
      </w:r>
      <w:r w:rsidR="009C4E37" w:rsidRPr="00BE4F00">
        <w:fldChar w:fldCharType="end"/>
      </w:r>
      <w:r w:rsidR="009C4E37" w:rsidRPr="00BE4F00">
        <w:rPr>
          <w:lang w:val="en-ID"/>
        </w:rPr>
        <w:t xml:space="preserve">. </w:t>
      </w:r>
      <w:r w:rsidR="001257F1" w:rsidRPr="00BE4F00">
        <w:rPr>
          <w:lang w:val="en-ID"/>
        </w:rPr>
        <w:t xml:space="preserve">While several studies suggest that </w:t>
      </w:r>
      <w:r w:rsidR="001257F1" w:rsidRPr="00BE4F00">
        <w:t>g-C</w:t>
      </w:r>
      <w:r w:rsidR="001257F1" w:rsidRPr="00BE4F00">
        <w:rPr>
          <w:vertAlign w:val="subscript"/>
        </w:rPr>
        <w:t>3</w:t>
      </w:r>
      <w:r w:rsidR="001257F1" w:rsidRPr="00BE4F00">
        <w:t>N</w:t>
      </w:r>
      <w:r w:rsidR="001257F1" w:rsidRPr="00BE4F00">
        <w:rPr>
          <w:vertAlign w:val="subscript"/>
        </w:rPr>
        <w:t>4</w:t>
      </w:r>
      <w:r w:rsidR="001257F1" w:rsidRPr="00BE4F00">
        <w:rPr>
          <w:lang w:val="en-ID"/>
        </w:rPr>
        <w:t xml:space="preserve"> performs more efficiently under daylight than under ultraviolet (UV) irradiation. </w:t>
      </w:r>
      <w:r w:rsidR="001257F1" w:rsidRPr="00BE4F00">
        <w:t>Therefore, it is important to evaluate the photocatalytic degradation kinetics under both UV and daylight irradiation to obtain a clearer understanding of the reaction rate and efficiency under each condition. This approach allows for a more accurate comparison of g-C</w:t>
      </w:r>
      <w:r w:rsidR="001257F1" w:rsidRPr="00BE4F00">
        <w:rPr>
          <w:vertAlign w:val="subscript"/>
        </w:rPr>
        <w:t>3</w:t>
      </w:r>
      <w:r w:rsidR="001257F1" w:rsidRPr="00BE4F00">
        <w:t>N</w:t>
      </w:r>
      <w:r w:rsidR="001257F1" w:rsidRPr="00BE4F00">
        <w:rPr>
          <w:vertAlign w:val="subscript"/>
        </w:rPr>
        <w:t xml:space="preserve">4 </w:t>
      </w:r>
      <w:r w:rsidR="001257F1" w:rsidRPr="00BE4F00">
        <w:t>activity and helps clarify its true potential as a visible-light-driven photocatalyst.</w:t>
      </w:r>
    </w:p>
    <w:p w14:paraId="4B5E705E" w14:textId="597FC82E" w:rsidR="009C4E37" w:rsidRPr="00BE4F00" w:rsidRDefault="00FB15DB" w:rsidP="009C4E37">
      <w:pPr>
        <w:pStyle w:val="Paragraph"/>
        <w:rPr>
          <w:lang w:val="en-ID"/>
        </w:rPr>
      </w:pPr>
      <w:r w:rsidRPr="00BE4F00">
        <w:t>This study aims to demonstrate the superior photocatalytic efficiency of g-C</w:t>
      </w:r>
      <w:r w:rsidRPr="00BE4F00">
        <w:rPr>
          <w:vertAlign w:val="subscript"/>
        </w:rPr>
        <w:t>3</w:t>
      </w:r>
      <w:r w:rsidRPr="00BE4F00">
        <w:t>N</w:t>
      </w:r>
      <w:r w:rsidRPr="00BE4F00">
        <w:rPr>
          <w:vertAlign w:val="subscript"/>
        </w:rPr>
        <w:t>4</w:t>
      </w:r>
      <w:r w:rsidRPr="00BE4F00">
        <w:t xml:space="preserve"> under daylight irradiation compared to UV light. The study involves a comprehensive kinetic evaluation of both the adsorption and photocatalytic degradation stages of methylene blue. By analyzing and comparing the reaction kinetics under different lighting conditions, the study aims to provide clear evidence that daylight more effectively activates g-C</w:t>
      </w:r>
      <w:r w:rsidRPr="00BE4F00">
        <w:rPr>
          <w:vertAlign w:val="subscript"/>
        </w:rPr>
        <w:t>3</w:t>
      </w:r>
      <w:r w:rsidRPr="00BE4F00">
        <w:t>N</w:t>
      </w:r>
      <w:r w:rsidRPr="00BE4F00">
        <w:rPr>
          <w:vertAlign w:val="subscript"/>
        </w:rPr>
        <w:t>4</w:t>
      </w:r>
      <w:r w:rsidRPr="00BE4F00">
        <w:t>. The findings are expected to offer strong evidence of g-C</w:t>
      </w:r>
      <w:r w:rsidRPr="00BE4F00">
        <w:rPr>
          <w:vertAlign w:val="subscript"/>
        </w:rPr>
        <w:t>3</w:t>
      </w:r>
      <w:r w:rsidRPr="00BE4F00">
        <w:t>N</w:t>
      </w:r>
      <w:r w:rsidRPr="00BE4F00">
        <w:rPr>
          <w:vertAlign w:val="subscript"/>
        </w:rPr>
        <w:t>4</w:t>
      </w:r>
      <w:r w:rsidRPr="00BE4F00">
        <w:t xml:space="preserve"> enhanced performance under visible light, contributing to the development of more efficient and sustainable photocatalytic systems for environmental applications. </w:t>
      </w:r>
    </w:p>
    <w:p w14:paraId="7C6299F3" w14:textId="413DFBBB" w:rsidR="00170037" w:rsidRPr="00BE4F00" w:rsidRDefault="00170037" w:rsidP="00170037">
      <w:pPr>
        <w:pStyle w:val="Paragraph"/>
      </w:pPr>
      <w:r w:rsidRPr="00BE4F00">
        <w:t xml:space="preserve"> </w:t>
      </w:r>
    </w:p>
    <w:p w14:paraId="341D4F65" w14:textId="0B3F2A66" w:rsidR="00FA2D69" w:rsidRPr="00BE4F00" w:rsidRDefault="00FA2D69" w:rsidP="00FA2D69">
      <w:pPr>
        <w:pStyle w:val="Heading1"/>
      </w:pPr>
      <w:r w:rsidRPr="00BE4F00">
        <w:t>Methodology</w:t>
      </w:r>
    </w:p>
    <w:p w14:paraId="693C4E58" w14:textId="13AB6295" w:rsidR="00FA2D69" w:rsidRPr="00BE4F00" w:rsidRDefault="00FA2D69" w:rsidP="00FA2D69">
      <w:pPr>
        <w:pStyle w:val="Heading2"/>
      </w:pPr>
      <w:r w:rsidRPr="00BE4F00">
        <w:t>Materials</w:t>
      </w:r>
    </w:p>
    <w:p w14:paraId="41C5DDFD" w14:textId="37DF4DDD" w:rsidR="00FA2D69" w:rsidRPr="00BE4F00" w:rsidRDefault="000744DC" w:rsidP="00FA2D69">
      <w:pPr>
        <w:pStyle w:val="Paragraph"/>
      </w:pPr>
      <w:r w:rsidRPr="00BE4F00">
        <w:t>Urea (99.9%, Sigma-Aldrich) was used as precursors of g-C</w:t>
      </w:r>
      <w:r w:rsidRPr="00BE4F00">
        <w:softHyphen/>
      </w:r>
      <w:r w:rsidRPr="00BE4F00">
        <w:rPr>
          <w:vertAlign w:val="subscript"/>
        </w:rPr>
        <w:t>3</w:t>
      </w:r>
      <w:r w:rsidRPr="00BE4F00">
        <w:t>N</w:t>
      </w:r>
      <w:r w:rsidRPr="00BE4F00">
        <w:rPr>
          <w:vertAlign w:val="subscript"/>
        </w:rPr>
        <w:t>4</w:t>
      </w:r>
      <w:r w:rsidRPr="00BE4F00">
        <w:t xml:space="preserve">. Deionized (DI) water as solvent. Methylene blue (MB) synthetic was used as dye for photocatalytic activity. </w:t>
      </w:r>
    </w:p>
    <w:p w14:paraId="7831C7C8" w14:textId="57F5E7CC" w:rsidR="000744DC" w:rsidRPr="00BE4F00" w:rsidRDefault="000744DC" w:rsidP="000744DC">
      <w:pPr>
        <w:pStyle w:val="Heading2"/>
        <w:rPr>
          <w:vertAlign w:val="subscript"/>
        </w:rPr>
      </w:pPr>
      <w:r w:rsidRPr="00BE4F00">
        <w:lastRenderedPageBreak/>
        <w:t>Synthesis of g-C</w:t>
      </w:r>
      <w:r w:rsidRPr="00BE4F00">
        <w:rPr>
          <w:vertAlign w:val="subscript"/>
        </w:rPr>
        <w:t>3</w:t>
      </w:r>
      <w:r w:rsidRPr="00BE4F00">
        <w:t>N</w:t>
      </w:r>
      <w:r w:rsidRPr="00BE4F00">
        <w:rPr>
          <w:vertAlign w:val="subscript"/>
        </w:rPr>
        <w:t>4</w:t>
      </w:r>
    </w:p>
    <w:p w14:paraId="6B530107" w14:textId="31D018DC" w:rsidR="00E937CD" w:rsidRPr="00BE4F00" w:rsidRDefault="00E937CD" w:rsidP="00176891">
      <w:pPr>
        <w:pStyle w:val="Paragraph"/>
      </w:pPr>
      <w:r w:rsidRPr="00BE4F00">
        <w:t>The synthesis of g-C</w:t>
      </w:r>
      <w:r w:rsidRPr="00BE4F00">
        <w:rPr>
          <w:vertAlign w:val="subscript"/>
        </w:rPr>
        <w:t>3</w:t>
      </w:r>
      <w:r w:rsidRPr="00BE4F00">
        <w:t>N</w:t>
      </w:r>
      <w:r w:rsidRPr="00BE4F00">
        <w:rPr>
          <w:vertAlign w:val="subscript"/>
        </w:rPr>
        <w:t>4</w:t>
      </w:r>
      <w:r w:rsidRPr="00BE4F00">
        <w:t xml:space="preserve"> was carried out by polycondensation, utilizing urea as the precursor, adapting a previously reported method</w:t>
      </w:r>
      <w:r w:rsidRPr="00BE4F00">
        <w:fldChar w:fldCharType="begin" w:fldLock="1"/>
      </w:r>
      <w:r w:rsidR="00695713" w:rsidRPr="00BE4F00">
        <w:instrText xml:space="preserve">ADDIN CSL_CITATION {"citationItems":[{"id":"ITEM-1","itemData":{"DOI":"10.1016/j.matchemphys.2023.127626","ISSN":"02540584","abstract":"A common antibiotic, oxytetracycline hydrochloride (OTC) is hardly biodegradable due to its complex structure, hence is harmful to the environment. Photocatalysis is often performed using metallic photocatalysts and causes secondary pollution. The novelty of this study is that in this paper, graphitic carbon nitride (GCN), a metal-free photocatalyst was employed to degrade OTC via photocatalysis. Three low-cost carbon and nitrogen-rich precursors namely urea, thiourea and melamine were employed to synthesize the GCN (GCN-Urea, GCN-Thiourea, GCN-Melamine) and their abilities to degrade OTC were investigated. This is a prior study in investigating the effect of GCN synthesizing using precursors in degrading antibiotics OTC. FTIR and XRD analysis depicted that GCN photocatalysts were successfully synthesized using the three different precursors. SEM micrographs showed that GCN-Urea particles are ultrathin while GCN-Thiourea and GCN-Melamine are bulky, contributing to high surface area of GCN-Urea at 73.62 m2/g, while GCN-Thiourea and GCN-Melamine have surface area merely at 5.82 and 3.99 m2/g. Meanwhile, GCN-Urea has the highest band gap at 2.7 eV, followed by GCN-Melamine and GCN-Thiourea and are 2.3 and 2.2 eV respectively. GCN-Urea demonstrated the highest capability to absorb light and to induce effective transmission of photoinduced electron-hole, proven by UV–Vis spectra, EIS, Cyclic voltammetry and photocurrent analysis. The best OTC degradation performance was achieved by GCN-Urea at </w:instrText>
      </w:r>
      <w:r w:rsidR="00695713" w:rsidRPr="00BE4F00">
        <w:rPr>
          <w:rFonts w:hint="eastAsia"/>
        </w:rPr>
        <w:instrText>∼</w:instrText>
      </w:r>
      <w:r w:rsidR="00695713" w:rsidRPr="00BE4F00">
        <w:instrText>60%, which was 2.5 times higher than GCN-Thiourea and GCN-Melamine. e− and ⸳OH are the main photocatalytic radical species, and GCN-Urea exhibited good stability after being recycled in four cycles.","author":[{"dropping-particle":"","family":"Chin","given":"Jing Yi","non-dropping-particle":"","parse-names":false,"suffix":""},{"dropping-particle":"","family":"Ahmad","given":"Abdul Latif","non-dropping-particle":"","parse-names":false,"suffix":""},{"dropping-particle":"","family":"Low","given":"Siew Chun","non-dropping-particle":"","parse-names":false,"suffix":""}],"container-title":"Materials Chemistry and Physics","id":"ITEM-1","issue":"February","issued":{"date-parts":[["2023"]]},"page":"127626","publisher":"Elsevier B.V.","title":"Graphitic carbon nitride photocatalyst for the degradation of oxytetracycline hydrochloride in water","type":"article-journal","volume":"301"},"uris":["http://www.mendeley.com/documents/?uuid=1b012777-5372-4e21-b382-5cedf2af2af4","http://www.mendeley.com/documents/?uuid=6f73e9c2-92af-4f44-add0-108be95cfcf4","http://www.mendeley.com/documents/?uuid=0fcbbe34-eb49-4c11-be0d-33660cdd8a62"]}],"mendeley":{"formattedCitation":"[10]","plainTextFormattedCitation":"[10]","previouslyFormattedCitation":"[10]"},"properties":{"noteIndex":0},"schema":"https://github.com/citation-style-language/schema/raw/master/csl-citation.json"}</w:instrText>
      </w:r>
      <w:r w:rsidRPr="00BE4F00">
        <w:fldChar w:fldCharType="separate"/>
      </w:r>
      <w:r w:rsidR="009A0247" w:rsidRPr="00BE4F00">
        <w:rPr>
          <w:noProof/>
        </w:rPr>
        <w:t>[10]</w:t>
      </w:r>
      <w:r w:rsidRPr="00BE4F00">
        <w:fldChar w:fldCharType="end"/>
      </w:r>
      <w:r w:rsidRPr="00BE4F00">
        <w:t xml:space="preserve">. The process began by placing 10 g of urea in a crucible. This crucible was transferred to a muffle furnace and subjected to heat treatment at 525 °C for 3 hours. Following calcination, the sample was allowed to cool to room temperature before being collected and mechanically ground into powder. The steps for this synthesis are summarized in </w:t>
      </w:r>
      <w:r w:rsidR="000D67E0" w:rsidRPr="00BE4F00">
        <w:rPr>
          <w:b/>
          <w:bCs/>
        </w:rPr>
        <w:t>Figure</w:t>
      </w:r>
      <w:r w:rsidRPr="00BE4F00">
        <w:rPr>
          <w:b/>
          <w:bCs/>
        </w:rPr>
        <w:t xml:space="preserve"> 1</w:t>
      </w:r>
      <w:r w:rsidR="00C2004D" w:rsidRPr="00BE4F00">
        <w:t>.</w:t>
      </w:r>
    </w:p>
    <w:p w14:paraId="06836438" w14:textId="77777777" w:rsidR="00387E6C" w:rsidRPr="00BE4F00" w:rsidRDefault="00E24FA7" w:rsidP="00387E6C">
      <w:pPr>
        <w:pStyle w:val="Paragraph"/>
        <w:keepNext/>
        <w:ind w:firstLine="0"/>
        <w:jc w:val="center"/>
      </w:pPr>
      <w:r w:rsidRPr="00BE4F00">
        <w:rPr>
          <w:noProof/>
        </w:rPr>
        <w:drawing>
          <wp:inline distT="0" distB="0" distL="0" distR="0" wp14:anchorId="4F8414BB" wp14:editId="29221093">
            <wp:extent cx="3562112" cy="2687988"/>
            <wp:effectExtent l="0" t="0" r="0" b="0"/>
            <wp:docPr id="12561457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71442" cy="2695028"/>
                    </a:xfrm>
                    <a:prstGeom prst="rect">
                      <a:avLst/>
                    </a:prstGeom>
                    <a:noFill/>
                  </pic:spPr>
                </pic:pic>
              </a:graphicData>
            </a:graphic>
          </wp:inline>
        </w:drawing>
      </w:r>
    </w:p>
    <w:p w14:paraId="793833C6" w14:textId="74950CBE" w:rsidR="00E24FA7" w:rsidRPr="00BE4F00" w:rsidRDefault="00387E6C" w:rsidP="00387E6C">
      <w:pPr>
        <w:pStyle w:val="Caption"/>
        <w:jc w:val="center"/>
        <w:rPr>
          <w:b w:val="0"/>
          <w:bCs w:val="0"/>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1</w:t>
      </w:r>
      <w:r w:rsidRPr="00BE4F00">
        <w:rPr>
          <w:b w:val="0"/>
          <w:bCs w:val="0"/>
        </w:rPr>
        <w:fldChar w:fldCharType="end"/>
      </w:r>
      <w:r w:rsidRPr="00BE4F00">
        <w:rPr>
          <w:b w:val="0"/>
          <w:bCs w:val="0"/>
        </w:rPr>
        <w:t xml:space="preserve">. </w:t>
      </w:r>
      <w:r w:rsidRPr="00BE4F00">
        <w:rPr>
          <w:b w:val="0"/>
          <w:bCs w:val="0"/>
          <w:sz w:val="18"/>
          <w:szCs w:val="18"/>
        </w:rPr>
        <w:t>Schematic synthesis of g-C</w:t>
      </w:r>
      <w:r w:rsidRPr="00BE4F00">
        <w:rPr>
          <w:b w:val="0"/>
          <w:bCs w:val="0"/>
          <w:sz w:val="18"/>
          <w:szCs w:val="18"/>
          <w:vertAlign w:val="subscript"/>
        </w:rPr>
        <w:t>3</w:t>
      </w:r>
      <w:r w:rsidRPr="00BE4F00">
        <w:rPr>
          <w:b w:val="0"/>
          <w:bCs w:val="0"/>
          <w:sz w:val="18"/>
          <w:szCs w:val="18"/>
        </w:rPr>
        <w:t>N</w:t>
      </w:r>
      <w:r w:rsidRPr="00BE4F00">
        <w:rPr>
          <w:b w:val="0"/>
          <w:bCs w:val="0"/>
          <w:sz w:val="18"/>
          <w:szCs w:val="18"/>
          <w:vertAlign w:val="subscript"/>
        </w:rPr>
        <w:t>4</w:t>
      </w:r>
    </w:p>
    <w:p w14:paraId="3B738599" w14:textId="00022F36" w:rsidR="00176891" w:rsidRPr="00BE4F00" w:rsidRDefault="00176891" w:rsidP="00176891">
      <w:pPr>
        <w:pStyle w:val="Heading2"/>
      </w:pPr>
      <w:r w:rsidRPr="00BE4F00">
        <w:t>Photocatalytic Test</w:t>
      </w:r>
    </w:p>
    <w:p w14:paraId="367218AB" w14:textId="3C4B66DA" w:rsidR="00176891" w:rsidRPr="00BE4F00" w:rsidRDefault="00F51614" w:rsidP="00176891">
      <w:pPr>
        <w:pStyle w:val="Paragraph"/>
      </w:pPr>
      <w:r w:rsidRPr="00BE4F00">
        <w:t xml:space="preserve">To evaluate the photocatalytic activity, a standardized procedure was applied for the g-C₃N₄ samples. First, 0.25 g of the designated catalyst was suspended in 500 mL of 10 ppm methylene blue (MB) solution. The suspension was kept in the dark for 25 minutes to establish adsorption–desorption equilibrium. After this step, the mixture was exposed to daylight irradiation and UV irradiation provided by </w:t>
      </w:r>
      <w:r w:rsidR="001217C5" w:rsidRPr="00BE4F00">
        <w:t>12 W and</w:t>
      </w:r>
      <w:r w:rsidRPr="00BE4F00">
        <w:t xml:space="preserve"> 20 W</w:t>
      </w:r>
      <w:r w:rsidR="001217C5" w:rsidRPr="00BE4F00">
        <w:t>, respectively</w:t>
      </w:r>
      <w:r w:rsidRPr="00BE4F00">
        <w:t>. The photocatalytic reaction was initiated under these conditions, and samples were collected after 60 minutes</w:t>
      </w:r>
      <w:r w:rsidR="004D562B" w:rsidRPr="00BE4F00">
        <w:t xml:space="preserve">. Each </w:t>
      </w:r>
      <w:r w:rsidR="00811EF3" w:rsidRPr="00BE4F00">
        <w:t>sample collected</w:t>
      </w:r>
      <w:r w:rsidR="004D562B" w:rsidRPr="00BE4F00">
        <w:t xml:space="preserve"> was centrifuged for 10 minutes at 300 rpm to separate the catalyst. The resulting filtrate was analyzed with a UV-Vis spectrophotometer at 664 nm to determine the final MB concentration and calculate the removal percentage using Equation 1.</w:t>
      </w:r>
      <w:r w:rsidR="00811EF3" w:rsidRPr="00BE4F0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5"/>
        <w:gridCol w:w="741"/>
      </w:tblGrid>
      <w:tr w:rsidR="00BE4F00" w:rsidRPr="00BE4F00" w14:paraId="0E30CA05" w14:textId="77777777" w:rsidTr="00830BD2">
        <w:tc>
          <w:tcPr>
            <w:tcW w:w="8275" w:type="dxa"/>
          </w:tcPr>
          <w:p w14:paraId="5256A221" w14:textId="77777777" w:rsidR="00D45A81" w:rsidRPr="00BE4F00" w:rsidRDefault="00D45A81" w:rsidP="00830BD2">
            <w:pPr>
              <w:pStyle w:val="RSCB03MathematicsGreeketc"/>
              <w:spacing w:line="360" w:lineRule="auto"/>
              <w:rPr>
                <w:rFonts w:cs="Times New Roman"/>
                <w:sz w:val="20"/>
                <w:szCs w:val="20"/>
              </w:rPr>
            </w:pPr>
            <m:oMathPara>
              <m:oMath>
                <m:r>
                  <m:rPr>
                    <m:sty m:val="p"/>
                  </m:rPr>
                  <w:rPr>
                    <w:rFonts w:ascii="Cambria Math" w:hAnsi="Cambria Math" w:cs="Times New Roman"/>
                    <w:sz w:val="20"/>
                    <w:szCs w:val="20"/>
                  </w:rPr>
                  <m:t>%</m:t>
                </m:r>
                <m:r>
                  <w:rPr>
                    <w:rFonts w:ascii="Cambria Math" w:hAnsi="Cambria Math" w:cs="Times New Roman"/>
                    <w:sz w:val="20"/>
                    <w:szCs w:val="20"/>
                  </w:rPr>
                  <m:t>removal</m:t>
                </m:r>
                <m:r>
                  <m:rPr>
                    <m:sty m:val="p"/>
                  </m:rPr>
                  <w:rPr>
                    <w:rFonts w:ascii="Cambria Math" w:hAnsi="Cambria Math" w:cs="Times New Roman"/>
                    <w:sz w:val="20"/>
                    <w:szCs w:val="20"/>
                  </w:rPr>
                  <m:t xml:space="preserve">= </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C</m:t>
                        </m:r>
                      </m:e>
                      <m:sub>
                        <m:r>
                          <m:rPr>
                            <m:sty m:val="p"/>
                          </m:rPr>
                          <w:rPr>
                            <w:rFonts w:ascii="Cambria Math" w:hAnsi="Cambria Math" w:cs="Times New Roman"/>
                            <w:sz w:val="20"/>
                            <w:szCs w:val="20"/>
                          </w:rPr>
                          <m:t>0</m:t>
                        </m:r>
                      </m:sub>
                    </m:sSub>
                    <m:r>
                      <m:rPr>
                        <m:sty m:val="p"/>
                      </m:rPr>
                      <w:rPr>
                        <w:rFonts w:ascii="Cambria Math" w:hAnsi="Cambria Math" w:cs="Times New Roman"/>
                        <w:sz w:val="20"/>
                        <w:szCs w:val="20"/>
                      </w:rPr>
                      <m:t xml:space="preserve">- </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t</m:t>
                        </m:r>
                      </m:sub>
                    </m:sSub>
                  </m:num>
                  <m:den>
                    <m:sSub>
                      <m:sSubPr>
                        <m:ctrlPr>
                          <w:rPr>
                            <w:rFonts w:ascii="Cambria Math" w:hAnsi="Cambria Math" w:cs="Times New Roman"/>
                            <w:sz w:val="20"/>
                            <w:szCs w:val="20"/>
                          </w:rPr>
                        </m:ctrlPr>
                      </m:sSubPr>
                      <m:e>
                        <m:r>
                          <w:rPr>
                            <w:rFonts w:ascii="Cambria Math" w:hAnsi="Cambria Math" w:cs="Times New Roman"/>
                            <w:sz w:val="20"/>
                            <w:szCs w:val="20"/>
                          </w:rPr>
                          <m:t>C</m:t>
                        </m:r>
                      </m:e>
                      <m:sub>
                        <m:r>
                          <m:rPr>
                            <m:sty m:val="p"/>
                          </m:rPr>
                          <w:rPr>
                            <w:rFonts w:ascii="Cambria Math" w:hAnsi="Cambria Math" w:cs="Times New Roman"/>
                            <w:sz w:val="20"/>
                            <w:szCs w:val="20"/>
                          </w:rPr>
                          <m:t>0</m:t>
                        </m:r>
                      </m:sub>
                    </m:sSub>
                  </m:den>
                </m:f>
                <m:r>
                  <m:rPr>
                    <m:sty m:val="p"/>
                  </m:rPr>
                  <w:rPr>
                    <w:rFonts w:ascii="Cambria Math" w:hAnsi="Cambria Math" w:cs="Times New Roman"/>
                    <w:sz w:val="20"/>
                    <w:szCs w:val="20"/>
                  </w:rPr>
                  <m:t xml:space="preserve"> ×100%</m:t>
                </m:r>
              </m:oMath>
            </m:oMathPara>
          </w:p>
        </w:tc>
        <w:tc>
          <w:tcPr>
            <w:tcW w:w="741" w:type="dxa"/>
            <w:vAlign w:val="center"/>
          </w:tcPr>
          <w:p w14:paraId="6096A47A" w14:textId="77777777" w:rsidR="00D45A81" w:rsidRPr="00BE4F00" w:rsidRDefault="00D45A81" w:rsidP="00830BD2">
            <w:pPr>
              <w:spacing w:line="360" w:lineRule="auto"/>
              <w:jc w:val="right"/>
              <w:rPr>
                <w:sz w:val="20"/>
              </w:rPr>
            </w:pPr>
            <w:r w:rsidRPr="00BE4F00">
              <w:rPr>
                <w:sz w:val="20"/>
              </w:rPr>
              <w:t>(1)</w:t>
            </w:r>
          </w:p>
        </w:tc>
      </w:tr>
    </w:tbl>
    <w:p w14:paraId="7F4D44D5" w14:textId="0728F73D" w:rsidR="00D45A81" w:rsidRPr="00BE4F00" w:rsidRDefault="00D45A81" w:rsidP="00D45A81">
      <w:pPr>
        <w:spacing w:line="360" w:lineRule="auto"/>
        <w:jc w:val="both"/>
        <w:rPr>
          <w:sz w:val="20"/>
        </w:rPr>
      </w:pPr>
      <w:r w:rsidRPr="00BE4F00">
        <w:rPr>
          <w:sz w:val="20"/>
        </w:rPr>
        <w:t>with C</w:t>
      </w:r>
      <w:r w:rsidRPr="00BE4F00">
        <w:rPr>
          <w:sz w:val="20"/>
          <w:vertAlign w:val="subscript"/>
        </w:rPr>
        <w:t xml:space="preserve">0 </w:t>
      </w:r>
      <w:r w:rsidRPr="00BE4F00">
        <w:rPr>
          <w:sz w:val="20"/>
        </w:rPr>
        <w:t>and C</w:t>
      </w:r>
      <w:r w:rsidRPr="00BE4F00">
        <w:rPr>
          <w:sz w:val="20"/>
          <w:vertAlign w:val="subscript"/>
        </w:rPr>
        <w:t>t</w:t>
      </w:r>
      <w:r w:rsidRPr="00BE4F00">
        <w:rPr>
          <w:sz w:val="20"/>
        </w:rPr>
        <w:t xml:space="preserve"> was initial concentration (ppm) and concentration at variation time (ppm), respectively.</w:t>
      </w:r>
    </w:p>
    <w:p w14:paraId="69E943DD" w14:textId="3AB959BD" w:rsidR="00811EF3" w:rsidRPr="00BE4F00" w:rsidRDefault="00811EF3" w:rsidP="00811EF3">
      <w:pPr>
        <w:pStyle w:val="Heading2"/>
      </w:pPr>
      <w:r w:rsidRPr="00BE4F00">
        <w:t xml:space="preserve">Kinetic Studies </w:t>
      </w:r>
    </w:p>
    <w:p w14:paraId="596794E5" w14:textId="348873E3" w:rsidR="00FF0700" w:rsidRPr="00BE4F00" w:rsidRDefault="006D5045" w:rsidP="00FF0700">
      <w:pPr>
        <w:tabs>
          <w:tab w:val="left" w:pos="360"/>
          <w:tab w:val="left" w:pos="450"/>
        </w:tabs>
        <w:ind w:firstLine="360"/>
        <w:jc w:val="both"/>
        <w:rPr>
          <w:sz w:val="20"/>
        </w:rPr>
      </w:pPr>
      <w:r w:rsidRPr="00BE4F00">
        <w:rPr>
          <w:sz w:val="20"/>
        </w:rPr>
        <w:t>The kinetic studies of methylene blue (MB) removal using g-C₃N₄ were carried out to evaluate both the adsorption and photocatalytic degradation processes. For the adsorption process (in dark conditions), the kinetic data were fitted using pseudo-first-order, pseudo-second-order models and diffusion intra-</w:t>
      </w:r>
      <w:proofErr w:type="gramStart"/>
      <w:r w:rsidRPr="00BE4F00">
        <w:rPr>
          <w:sz w:val="20"/>
        </w:rPr>
        <w:t>particle</w:t>
      </w:r>
      <w:r w:rsidR="00ED0939" w:rsidRPr="00BE4F00">
        <w:rPr>
          <w:sz w:val="20"/>
        </w:rPr>
        <w:t xml:space="preserve"> </w:t>
      </w:r>
      <w:r w:rsidRPr="00BE4F00">
        <w:rPr>
          <w:sz w:val="20"/>
        </w:rPr>
        <w:t>,</w:t>
      </w:r>
      <w:proofErr w:type="gramEnd"/>
      <w:r w:rsidRPr="00BE4F00">
        <w:rPr>
          <w:sz w:val="20"/>
        </w:rPr>
        <w:t xml:space="preserve"> as described in the following equations (1), (2), and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5"/>
        <w:gridCol w:w="741"/>
      </w:tblGrid>
      <w:tr w:rsidR="00BE4F00" w:rsidRPr="00BE4F00" w14:paraId="7E23DC85" w14:textId="77777777" w:rsidTr="00A70F90">
        <w:tc>
          <w:tcPr>
            <w:tcW w:w="8275" w:type="dxa"/>
          </w:tcPr>
          <w:p w14:paraId="141B505A" w14:textId="50735494" w:rsidR="006D5045" w:rsidRPr="00BE4F00" w:rsidRDefault="00000000" w:rsidP="00A70F90">
            <w:pPr>
              <w:pStyle w:val="RSCB03MathematicsGreeketc"/>
              <w:spacing w:line="360" w:lineRule="auto"/>
              <w:rPr>
                <w:rFonts w:cs="Times New Roman"/>
                <w:sz w:val="20"/>
                <w:szCs w:val="20"/>
              </w:rPr>
            </w:pPr>
            <m:oMathPara>
              <m:oMath>
                <m:func>
                  <m:funcPr>
                    <m:ctrlPr>
                      <w:rPr>
                        <w:rFonts w:ascii="Cambria Math" w:hAnsi="Cambria Math" w:cs="Times New Roman"/>
                        <w:sz w:val="20"/>
                        <w:szCs w:val="20"/>
                      </w:rPr>
                    </m:ctrlPr>
                  </m:funcPr>
                  <m:fName>
                    <m:r>
                      <m:rPr>
                        <m:sty m:val="p"/>
                      </m:rPr>
                      <w:rPr>
                        <w:rFonts w:ascii="Cambria Math" w:hAnsi="Cambria Math" w:cs="Times New Roman"/>
                        <w:sz w:val="20"/>
                        <w:szCs w:val="20"/>
                      </w:rPr>
                      <m:t>ln</m:t>
                    </m:r>
                  </m:fName>
                  <m:e>
                    <m:sSub>
                      <m:sSubPr>
                        <m:ctrlPr>
                          <w:rPr>
                            <w:rFonts w:ascii="Cambria Math" w:hAnsi="Cambria Math" w:cs="Times New Roman"/>
                            <w:i/>
                            <w:sz w:val="20"/>
                            <w:szCs w:val="20"/>
                          </w:rPr>
                        </m:ctrlPr>
                      </m:sSubPr>
                      <m:e>
                        <m:r>
                          <w:rPr>
                            <w:rFonts w:ascii="Cambria Math" w:hAnsi="Cambria Math" w:cs="Times New Roman"/>
                            <w:sz w:val="20"/>
                            <w:szCs w:val="20"/>
                          </w:rPr>
                          <m:t>(q</m:t>
                        </m:r>
                      </m:e>
                      <m:sub>
                        <m:r>
                          <w:rPr>
                            <w:rFonts w:ascii="Cambria Math" w:hAnsi="Cambria Math" w:cs="Times New Roman"/>
                            <w:sz w:val="20"/>
                            <w:szCs w:val="20"/>
                          </w:rPr>
                          <m:t>e</m:t>
                        </m:r>
                      </m:sub>
                    </m:sSub>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q</m:t>
                        </m:r>
                      </m:e>
                      <m:sub>
                        <m:r>
                          <w:rPr>
                            <w:rFonts w:ascii="Cambria Math" w:hAnsi="Cambria Math" w:cs="Times New Roman"/>
                            <w:sz w:val="20"/>
                            <w:szCs w:val="20"/>
                          </w:rPr>
                          <m:t>t</m:t>
                        </m:r>
                      </m:sub>
                    </m:sSub>
                    <m:r>
                      <w:rPr>
                        <w:rFonts w:ascii="Cambria Math" w:hAnsi="Cambria Math" w:cs="Times New Roman"/>
                        <w:sz w:val="20"/>
                        <w:szCs w:val="20"/>
                      </w:rPr>
                      <m:t>)=</m:t>
                    </m:r>
                    <m:r>
                      <m:rPr>
                        <m:sty m:val="p"/>
                      </m:rPr>
                      <w:rPr>
                        <w:rFonts w:ascii="Cambria Math" w:hAnsi="Cambria Math" w:cs="Times New Roman"/>
                        <w:sz w:val="20"/>
                        <w:szCs w:val="20"/>
                      </w:rPr>
                      <m:t>ln⁡</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e</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1ads</m:t>
                        </m:r>
                      </m:sub>
                    </m:sSub>
                    <m:r>
                      <w:rPr>
                        <w:rFonts w:ascii="Cambria Math" w:hAnsi="Cambria Math" w:cs="Times New Roman"/>
                        <w:sz w:val="20"/>
                        <w:szCs w:val="20"/>
                      </w:rPr>
                      <m:t>t</m:t>
                    </m:r>
                  </m:e>
                </m:func>
              </m:oMath>
            </m:oMathPara>
          </w:p>
        </w:tc>
        <w:tc>
          <w:tcPr>
            <w:tcW w:w="741" w:type="dxa"/>
            <w:vAlign w:val="center"/>
          </w:tcPr>
          <w:p w14:paraId="76E65A51" w14:textId="188BE9C4" w:rsidR="006D5045" w:rsidRPr="00BE4F00" w:rsidRDefault="006D5045" w:rsidP="00A70F90">
            <w:pPr>
              <w:spacing w:line="360" w:lineRule="auto"/>
              <w:jc w:val="right"/>
              <w:rPr>
                <w:sz w:val="20"/>
              </w:rPr>
            </w:pPr>
            <w:r w:rsidRPr="00BE4F00">
              <w:rPr>
                <w:sz w:val="20"/>
              </w:rPr>
              <w:t>(1)</w:t>
            </w:r>
          </w:p>
        </w:tc>
      </w:tr>
      <w:tr w:rsidR="00BE4F00" w:rsidRPr="00BE4F00" w14:paraId="092F4C2A" w14:textId="77777777" w:rsidTr="00A70F90">
        <w:tc>
          <w:tcPr>
            <w:tcW w:w="8275" w:type="dxa"/>
          </w:tcPr>
          <w:p w14:paraId="40CFC756" w14:textId="362B1669" w:rsidR="006D5045" w:rsidRPr="00BE4F00" w:rsidRDefault="00000000" w:rsidP="00A70F90">
            <w:pPr>
              <w:pStyle w:val="RSCB03MathematicsGreeketc"/>
              <w:spacing w:line="360" w:lineRule="auto"/>
              <w:rPr>
                <w:rFonts w:eastAsia="Calibri" w:cs="Times New Roman"/>
                <w:sz w:val="20"/>
                <w:szCs w:val="20"/>
              </w:rPr>
            </w:pPr>
            <m:oMathPara>
              <m:oMath>
                <m:f>
                  <m:fPr>
                    <m:ctrlPr>
                      <w:rPr>
                        <w:rFonts w:ascii="Cambria Math" w:eastAsia="Calibri" w:hAnsi="Cambria Math" w:cs="Times New Roman"/>
                        <w:i/>
                        <w:sz w:val="20"/>
                        <w:szCs w:val="20"/>
                      </w:rPr>
                    </m:ctrlPr>
                  </m:fPr>
                  <m:num>
                    <m:r>
                      <w:rPr>
                        <w:rFonts w:ascii="Cambria Math" w:eastAsia="Calibri" w:hAnsi="Cambria Math" w:cs="Times New Roman"/>
                        <w:sz w:val="20"/>
                        <w:szCs w:val="20"/>
                      </w:rPr>
                      <m:t>t</m:t>
                    </m:r>
                  </m:num>
                  <m:den>
                    <m:sSub>
                      <m:sSubPr>
                        <m:ctrlPr>
                          <w:rPr>
                            <w:rFonts w:ascii="Cambria Math" w:hAnsi="Cambria Math" w:cs="Times New Roman"/>
                            <w:i/>
                            <w:sz w:val="20"/>
                            <w:szCs w:val="20"/>
                          </w:rPr>
                        </m:ctrlPr>
                      </m:sSubPr>
                      <m:e>
                        <m:r>
                          <w:rPr>
                            <w:rFonts w:ascii="Cambria Math" w:hAnsi="Cambria Math" w:cs="Times New Roman"/>
                            <w:sz w:val="20"/>
                            <w:szCs w:val="20"/>
                          </w:rPr>
                          <m:t>q</m:t>
                        </m:r>
                      </m:e>
                      <m:sub>
                        <m:r>
                          <w:rPr>
                            <w:rFonts w:ascii="Cambria Math" w:hAnsi="Cambria Math" w:cs="Times New Roman"/>
                            <w:sz w:val="20"/>
                            <w:szCs w:val="20"/>
                          </w:rPr>
                          <m:t>t</m:t>
                        </m:r>
                      </m:sub>
                    </m:sSub>
                  </m:den>
                </m:f>
                <m:r>
                  <w:rPr>
                    <w:rFonts w:ascii="Cambria Math" w:eastAsia="Calibri"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1</m:t>
                    </m:r>
                  </m:num>
                  <m:den>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2ads</m:t>
                        </m:r>
                      </m:sub>
                    </m:sSub>
                    <m:sSubSup>
                      <m:sSubSupPr>
                        <m:ctrlPr>
                          <w:rPr>
                            <w:rFonts w:ascii="Cambria Math" w:hAnsi="Cambria Math" w:cs="Times New Roman"/>
                            <w:i/>
                            <w:sz w:val="20"/>
                            <w:szCs w:val="20"/>
                          </w:rPr>
                        </m:ctrlPr>
                      </m:sSubSupPr>
                      <m:e>
                        <m:r>
                          <w:rPr>
                            <w:rFonts w:ascii="Cambria Math" w:hAnsi="Cambria Math" w:cs="Times New Roman"/>
                            <w:sz w:val="20"/>
                            <w:szCs w:val="20"/>
                          </w:rPr>
                          <m:t>q</m:t>
                        </m:r>
                      </m:e>
                      <m:sub>
                        <m:r>
                          <w:rPr>
                            <w:rFonts w:ascii="Cambria Math" w:hAnsi="Cambria Math" w:cs="Times New Roman"/>
                            <w:sz w:val="20"/>
                            <w:szCs w:val="20"/>
                          </w:rPr>
                          <m:t>e</m:t>
                        </m:r>
                      </m:sub>
                      <m:sup>
                        <m:r>
                          <w:rPr>
                            <w:rFonts w:ascii="Cambria Math" w:hAnsi="Cambria Math" w:cs="Times New Roman"/>
                            <w:sz w:val="20"/>
                            <w:szCs w:val="20"/>
                          </w:rPr>
                          <m:t>2</m:t>
                        </m:r>
                      </m:sup>
                    </m:sSubSup>
                  </m:den>
                </m:f>
                <m:r>
                  <w:rPr>
                    <w:rFonts w:ascii="Cambria Math" w:eastAsia="Calibri" w:hAnsi="Cambria Math" w:cs="Times New Roman"/>
                    <w:sz w:val="20"/>
                    <w:szCs w:val="20"/>
                  </w:rPr>
                  <m:t xml:space="preserve">+ </m:t>
                </m:r>
                <m:f>
                  <m:fPr>
                    <m:ctrlPr>
                      <w:rPr>
                        <w:rFonts w:ascii="Cambria Math" w:eastAsia="Calibri" w:hAnsi="Cambria Math" w:cs="Times New Roman"/>
                        <w:i/>
                        <w:sz w:val="20"/>
                        <w:szCs w:val="20"/>
                      </w:rPr>
                    </m:ctrlPr>
                  </m:fPr>
                  <m:num>
                    <m:r>
                      <w:rPr>
                        <w:rFonts w:ascii="Cambria Math" w:eastAsia="Calibri" w:hAnsi="Cambria Math" w:cs="Times New Roman"/>
                        <w:sz w:val="20"/>
                        <w:szCs w:val="20"/>
                      </w:rPr>
                      <m:t>t</m:t>
                    </m:r>
                  </m:num>
                  <m:den>
                    <m:sSub>
                      <m:sSubPr>
                        <m:ctrlPr>
                          <w:rPr>
                            <w:rFonts w:ascii="Cambria Math" w:hAnsi="Cambria Math" w:cs="Times New Roman"/>
                            <w:i/>
                            <w:sz w:val="20"/>
                            <w:szCs w:val="20"/>
                          </w:rPr>
                        </m:ctrlPr>
                      </m:sSubPr>
                      <m:e>
                        <m:r>
                          <w:rPr>
                            <w:rFonts w:ascii="Cambria Math" w:hAnsi="Cambria Math" w:cs="Times New Roman"/>
                            <w:sz w:val="20"/>
                            <w:szCs w:val="20"/>
                          </w:rPr>
                          <m:t>q</m:t>
                        </m:r>
                      </m:e>
                      <m:sub>
                        <m:r>
                          <w:rPr>
                            <w:rFonts w:ascii="Cambria Math" w:hAnsi="Cambria Math" w:cs="Times New Roman"/>
                            <w:sz w:val="20"/>
                            <w:szCs w:val="20"/>
                          </w:rPr>
                          <m:t>e</m:t>
                        </m:r>
                      </m:sub>
                    </m:sSub>
                  </m:den>
                </m:f>
              </m:oMath>
            </m:oMathPara>
          </w:p>
        </w:tc>
        <w:tc>
          <w:tcPr>
            <w:tcW w:w="741" w:type="dxa"/>
            <w:vAlign w:val="center"/>
          </w:tcPr>
          <w:p w14:paraId="7E1F132B" w14:textId="1F08EAC0" w:rsidR="006D5045" w:rsidRPr="00BE4F00" w:rsidRDefault="006D5045" w:rsidP="00A70F90">
            <w:pPr>
              <w:spacing w:line="360" w:lineRule="auto"/>
              <w:jc w:val="right"/>
              <w:rPr>
                <w:sz w:val="20"/>
              </w:rPr>
            </w:pPr>
            <w:r w:rsidRPr="00BE4F00">
              <w:rPr>
                <w:sz w:val="20"/>
              </w:rPr>
              <w:t>(2)</w:t>
            </w:r>
          </w:p>
        </w:tc>
      </w:tr>
      <w:tr w:rsidR="00BE4F00" w:rsidRPr="00BE4F00" w14:paraId="67D17AAE" w14:textId="77777777" w:rsidTr="00A70F90">
        <w:tc>
          <w:tcPr>
            <w:tcW w:w="8275" w:type="dxa"/>
          </w:tcPr>
          <w:p w14:paraId="287849E0" w14:textId="61BE60A1" w:rsidR="00793B66" w:rsidRPr="00BE4F00" w:rsidRDefault="00793B66" w:rsidP="00A70F90">
            <w:pPr>
              <w:pStyle w:val="RSCB03MathematicsGreeketc"/>
              <w:spacing w:line="360" w:lineRule="auto"/>
              <w:rPr>
                <w:rFonts w:eastAsia="Times New Roman" w:cs="Times New Roman"/>
                <w:sz w:val="20"/>
                <w:szCs w:val="20"/>
              </w:rPr>
            </w:pPr>
            <m:oMathPara>
              <m:oMath>
                <m:r>
                  <w:rPr>
                    <w:rFonts w:ascii="Cambria Math" w:eastAsia="Calibri" w:hAnsi="Cambria Math" w:cs="Times New Roman"/>
                    <w:sz w:val="20"/>
                    <w:szCs w:val="20"/>
                  </w:rPr>
                  <m:t xml:space="preserve"> </m:t>
                </m:r>
                <m:sSub>
                  <m:sSubPr>
                    <m:ctrlPr>
                      <w:rPr>
                        <w:rFonts w:ascii="Cambria Math" w:eastAsia="Calibri" w:hAnsi="Cambria Math" w:cs="Times New Roman"/>
                        <w:i/>
                        <w:sz w:val="20"/>
                        <w:szCs w:val="20"/>
                      </w:rPr>
                    </m:ctrlPr>
                  </m:sSubPr>
                  <m:e>
                    <m:r>
                      <w:rPr>
                        <w:rFonts w:ascii="Cambria Math" w:eastAsia="Calibri" w:hAnsi="Cambria Math" w:cs="Times New Roman"/>
                        <w:sz w:val="20"/>
                        <w:szCs w:val="20"/>
                      </w:rPr>
                      <m:t>q</m:t>
                    </m:r>
                  </m:e>
                  <m:sub>
                    <m:r>
                      <w:rPr>
                        <w:rFonts w:ascii="Cambria Math" w:eastAsia="Calibri" w:hAnsi="Cambria Math" w:cs="Times New Roman"/>
                        <w:sz w:val="20"/>
                        <w:szCs w:val="20"/>
                      </w:rPr>
                      <m:t>t</m:t>
                    </m:r>
                  </m:sub>
                </m:sSub>
                <m:r>
                  <w:rPr>
                    <w:rFonts w:ascii="Cambria Math" w:eastAsia="Calibri"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id</m:t>
                    </m:r>
                  </m:sub>
                </m:sSub>
                <m:sSup>
                  <m:sSupPr>
                    <m:ctrlPr>
                      <w:rPr>
                        <w:rFonts w:ascii="Cambria Math" w:eastAsia="Calibri" w:hAnsi="Cambria Math" w:cs="Times New Roman"/>
                        <w:i/>
                        <w:sz w:val="20"/>
                        <w:szCs w:val="20"/>
                      </w:rPr>
                    </m:ctrlPr>
                  </m:sSupPr>
                  <m:e>
                    <m:r>
                      <w:rPr>
                        <w:rFonts w:ascii="Cambria Math" w:eastAsia="Calibri" w:hAnsi="Cambria Math" w:cs="Times New Roman"/>
                        <w:sz w:val="20"/>
                        <w:szCs w:val="20"/>
                      </w:rPr>
                      <m:t>t</m:t>
                    </m:r>
                  </m:e>
                  <m:sup>
                    <m:r>
                      <w:rPr>
                        <w:rFonts w:ascii="Cambria Math" w:eastAsia="Calibri" w:hAnsi="Cambria Math" w:cs="Times New Roman"/>
                        <w:sz w:val="20"/>
                        <w:szCs w:val="20"/>
                      </w:rPr>
                      <m:t>0.5</m:t>
                    </m:r>
                  </m:sup>
                </m:sSup>
                <m:r>
                  <w:rPr>
                    <w:rFonts w:ascii="Cambria Math" w:eastAsia="Calibri" w:hAnsi="Cambria Math" w:cs="Times New Roman"/>
                    <w:sz w:val="20"/>
                    <w:szCs w:val="20"/>
                  </w:rPr>
                  <m:t>+ C</m:t>
                </m:r>
              </m:oMath>
            </m:oMathPara>
          </w:p>
        </w:tc>
        <w:tc>
          <w:tcPr>
            <w:tcW w:w="741" w:type="dxa"/>
            <w:vAlign w:val="center"/>
          </w:tcPr>
          <w:p w14:paraId="29B6E08E" w14:textId="10A8BA6C" w:rsidR="00793B66" w:rsidRPr="00BE4F00" w:rsidRDefault="00793B66" w:rsidP="00A70F90">
            <w:pPr>
              <w:spacing w:line="360" w:lineRule="auto"/>
              <w:jc w:val="right"/>
              <w:rPr>
                <w:sz w:val="20"/>
              </w:rPr>
            </w:pPr>
            <w:r w:rsidRPr="00BE4F00">
              <w:rPr>
                <w:sz w:val="20"/>
              </w:rPr>
              <w:t>(3)</w:t>
            </w:r>
          </w:p>
        </w:tc>
      </w:tr>
    </w:tbl>
    <w:p w14:paraId="14FF9992" w14:textId="6D2342F4" w:rsidR="00D24357" w:rsidRPr="00BE4F00" w:rsidRDefault="00D24357" w:rsidP="006D5045">
      <w:pPr>
        <w:tabs>
          <w:tab w:val="left" w:pos="360"/>
          <w:tab w:val="left" w:pos="450"/>
        </w:tabs>
        <w:jc w:val="both"/>
        <w:rPr>
          <w:sz w:val="20"/>
        </w:rPr>
      </w:pPr>
      <w:r w:rsidRPr="00BE4F00">
        <w:rPr>
          <w:sz w:val="20"/>
        </w:rPr>
        <w:t>In these equations, q</w:t>
      </w:r>
      <w:r w:rsidRPr="00BE4F00">
        <w:rPr>
          <w:sz w:val="20"/>
          <w:vertAlign w:val="subscript"/>
        </w:rPr>
        <w:t>t</w:t>
      </w:r>
      <w:r w:rsidRPr="00BE4F00">
        <w:rPr>
          <w:sz w:val="20"/>
        </w:rPr>
        <w:t xml:space="preserve"> (mg/g) is the amount of MB adsorbed at time (minute), </w:t>
      </w:r>
      <w:proofErr w:type="spellStart"/>
      <w:r w:rsidRPr="00BE4F00">
        <w:rPr>
          <w:sz w:val="20"/>
        </w:rPr>
        <w:t>q</w:t>
      </w:r>
      <w:r w:rsidRPr="00BE4F00">
        <w:rPr>
          <w:sz w:val="20"/>
          <w:vertAlign w:val="subscript"/>
        </w:rPr>
        <w:t>e</w:t>
      </w:r>
      <w:proofErr w:type="spellEnd"/>
      <w:r w:rsidRPr="00BE4F00">
        <w:rPr>
          <w:sz w:val="20"/>
        </w:rPr>
        <w:t xml:space="preserve"> is the adsorption capacity at equilibrium, C is boundary layer thickness (mg/g) and k</w:t>
      </w:r>
      <w:r w:rsidRPr="00BE4F00">
        <w:rPr>
          <w:sz w:val="20"/>
          <w:vertAlign w:val="subscript"/>
        </w:rPr>
        <w:t>1ads</w:t>
      </w:r>
      <w:r w:rsidRPr="00BE4F00">
        <w:rPr>
          <w:sz w:val="20"/>
        </w:rPr>
        <w:t>, k</w:t>
      </w:r>
      <w:r w:rsidRPr="00BE4F00">
        <w:rPr>
          <w:sz w:val="20"/>
          <w:vertAlign w:val="subscript"/>
        </w:rPr>
        <w:t>2ads</w:t>
      </w:r>
      <w:r w:rsidRPr="00BE4F00">
        <w:rPr>
          <w:sz w:val="20"/>
        </w:rPr>
        <w:t xml:space="preserve"> and k</w:t>
      </w:r>
      <w:r w:rsidRPr="00BE4F00">
        <w:rPr>
          <w:sz w:val="20"/>
          <w:vertAlign w:val="subscript"/>
        </w:rPr>
        <w:t>id</w:t>
      </w:r>
      <w:r w:rsidRPr="00BE4F00">
        <w:rPr>
          <w:sz w:val="20"/>
        </w:rPr>
        <w:t xml:space="preserve"> are the rate constants of the pseudo-first-order, pseudo-second-order models, and diffusion intra-particle, respectively.</w:t>
      </w:r>
    </w:p>
    <w:p w14:paraId="4C33D2FF" w14:textId="31719CBC" w:rsidR="00D45A81" w:rsidRPr="00BE4F00" w:rsidRDefault="006D5045" w:rsidP="006D5045">
      <w:pPr>
        <w:tabs>
          <w:tab w:val="left" w:pos="360"/>
          <w:tab w:val="left" w:pos="450"/>
        </w:tabs>
        <w:jc w:val="both"/>
        <w:rPr>
          <w:sz w:val="20"/>
        </w:rPr>
      </w:pPr>
      <w:r w:rsidRPr="00BE4F00">
        <w:rPr>
          <w:sz w:val="20"/>
        </w:rPr>
        <w:t>For the photocatalytic degradation process under UV and daylight irradiation, the kinetic behavior was evaluated using first order and second-order kinetic models</w:t>
      </w:r>
      <w:r w:rsidR="00695713" w:rsidRPr="00BE4F00">
        <w:rPr>
          <w:sz w:val="20"/>
        </w:rPr>
        <w:t xml:space="preserve"> </w:t>
      </w:r>
      <w:r w:rsidR="00695713" w:rsidRPr="00BE4F00">
        <w:rPr>
          <w:sz w:val="20"/>
        </w:rPr>
        <w:fldChar w:fldCharType="begin" w:fldLock="1"/>
      </w:r>
      <w:r w:rsidR="00695713" w:rsidRPr="00BE4F00">
        <w:rPr>
          <w:sz w:val="20"/>
        </w:rPr>
        <w:instrText>ADDIN CSL_CITATION {"citationItems":[{"id":"ITEM-1","itemData":{"DOI":"10.1016/j.cej.2025.161861","ISSN":"13858947","abstract":"Porous carbon derived from polyphenylene sulfide (PPs), which is enriched with sulfur functionalities, emerges as a highly promising material for the adsorption of CO2, due to its polar and acid-base interactions. While prior studies have explored its potential as an S-doped carbon adsorbent, a comprehensive understanding of its gas adsorption behavior and separation performance remains limited. This study explores the adsorption kinetics, thermodynamics, and gas separation performance of self S-doped porous carbon from PPs (PCs) for CO2, CH4, and N2 gas, both as a distinct adsorbent and as a filler in mixed matrix membranes (MMMs). The porous carbon was synthesized through a one-step activation process utilizing potassium carbonate (K2CO3) resulting in a high surface area of 2023 m2/g and a CO2 uptake of 4.59 mmol/g at 30 °C. Adsorption kinetic modeling and thermodynamic analysis confirm favorable CO2 adsorption mechanisms compared to CH4 and N2. Furthermore, the addition of PCs to hollow fiber membranes significantly enhanced CO2 permeability, increasing it from 7.64 GPU to 67.49 GPU while maintaining CH4 and N2 permeability, leading to improved selectivity. These findings highlight the critical role of S-doped carbon fillers in enhancing both adsorption efficiency and membrane-based gas separation, offering new insights into their interaction mechanisms and practical applications in CO2 capture and separation.","author":[{"dropping-particle":"","family":"Junaidi","given":"Afdhal","non-dropping-particle":"","parse-names":false,"suffix":""},{"dropping-particle":"","family":"Nilamsari","given":"Dini Nirmala","non-dropping-particle":"","parse-names":false,"suffix":""},{"dropping-particle":"","family":"Nareswari","given":"Cininta","non-dropping-particle":"","parse-names":false,"suffix":""},{"dropping-particle":"","family":"Sazali","given":"Norazlianie","non-dropping-particle":"","parse-names":false,"suffix":""},{"dropping-particle":"","family":"Gunawan","given":"Triyanda","non-dropping-particle":"","parse-names":false,"suffix":""},{"dropping-particle":"","family":"Widiastuti","given":"Nurul","non-dropping-particle":"","parse-names":false,"suffix":""}],"container-title":"Chemical Engineering Journal","id":"ITEM-1","issue":"March","issued":{"date-parts":[["2025"]]},"page":"161861","publisher":"Elsevier B.V.","title":"Self S-doped porous carbon from polyphenylene sulfide: Kinetic and thermodynamic study of CO2 adsorption and separation performance","type":"article-journal","volume":"510"},"uris":["http://www.mendeley.com/documents/?uuid=3a8f8bf3-0ae8-4737-ad81-062a04662dc8"]},{"id":"ITEM-2","itemData":{"DOI":"10.1016/j.sajce.2024.04.004","ISSN":"10269185","abstract":"High-density polyethylene (HDPE), a widely used polymer globally, notably found in plastic bags, presents an environmental concern due to its non-biodegradable nature. Transforming non-biodegradable HDPE waste into a valuable resource presents a formidable ecological challenge. This research aims to study CO2 and H2 gases toward HDPE-based membranes through the adsorption process with pressure and temperature variation. The highest CO2 and H2 adsorption capacities of 14.19 mmol.g − 1 (62.43 %wt) and 18.04 mmol.g−1 (3.61 %wt) were obtained by pressure feeding 3 bar at 30°C. The adsorption capacity decrease as the temperature increase. At an adsorption temperature of 50°C, the adsorption capacity of CO2 and H2 decrease, respectively by 75.86 % and 69.81 %. The adsorption kinetics were evaluated using pseudo-first order, pseudo-second order, and intraparticle diffusion models. The kinetic study shows that adsorption at 30°C follows the pseudo-second order. The adsorption at elevated temperatures reveals the intraparticle diffusion mechanism, indicating that the gas is adsorbed directly into the polymer matrix. Thermodynamic results include enthalpy of adsorption (ΔH), standard entropy of adsorption (ΔS), energy Gibbs (ΔG), and energy activation (Ea). ΔH CO2 and H2 are -22.339 and -23.654 kJ mol−1, respectively, which indicates that the process is exothermic and physisorption. The ΔS value shows that the irregularity and randomness of gas movement during the adsorption process, with the respective values for CO2 and H2 are -0.069 and -0.072 kJ mol−1 K−1, respectively. ΔG for adsorption of CO2 and H2 with increasing temperature becomes less spontaneous, which results in decreased adsorption capacity. Ea of CO2 is greater than H2, so the adsorption capacity of CO2 is smaller than H2. The thermodynamic study shows that the adsorption process is preferable at lower temperatures.","author":[{"dropping-particle":"","family":"Nareswari","given":"Cininta","non-dropping-particle":"","parse-names":false,"suffix":""},{"dropping-particle":"","family":"Zulfiani","given":"Utari","non-dropping-particle":"","parse-names":false,"suffix":""},{"dropping-particle":"","family":"Junaidi","given":"Afdhal","non-dropping-particle":"","parse-names":false,"suffix":""},{"dropping-particle":"","family":"Gunawan","given":"Triyanda","non-dropping-particle":"","parse-names":false,"suffix":""},{"dropping-particle":"","family":"Widiastuti","given":"Nurul","non-dropping-particle":"","parse-names":false,"suffix":""}],"container-title":"South African Journal of Chemical Engineering","id":"ITEM-2","issue":"December 2023","issued":{"date-parts":[["2024","7"]]},"page":"105-113","publisher":"Elsevier B.V.","title":"Adsorption of CO2 and H2 on the polymer-based membrane from High-density Polyethylene (HDPE) Plastic","type":"article-journal","volume":"49"},"uris":["http://www.mendeley.com/documents/?uuid=e827511c-2278-4c91-92f2-2fa44dc2fcef"]}],"mendeley":{"formattedCitation":"[11],[12]","plainTextFormattedCitation":"[11],[12]"},"properties":{"noteIndex":0},"schema":"https://github.com/citation-style-language/schema/raw/master/csl-citation.json"}</w:instrText>
      </w:r>
      <w:r w:rsidR="00695713" w:rsidRPr="00BE4F00">
        <w:rPr>
          <w:sz w:val="20"/>
        </w:rPr>
        <w:fldChar w:fldCharType="separate"/>
      </w:r>
      <w:r w:rsidR="00695713" w:rsidRPr="00BE4F00">
        <w:rPr>
          <w:noProof/>
          <w:sz w:val="20"/>
        </w:rPr>
        <w:t>[11],[12]</w:t>
      </w:r>
      <w:r w:rsidR="00695713" w:rsidRPr="00BE4F00">
        <w:rPr>
          <w:sz w:val="20"/>
        </w:rPr>
        <w:fldChar w:fldCharType="end"/>
      </w:r>
      <w:r w:rsidRPr="00BE4F00">
        <w:rPr>
          <w:sz w:val="20"/>
        </w:rPr>
        <w:t>, given by equations (4)</w:t>
      </w:r>
      <w:r w:rsidR="00D45A81" w:rsidRPr="00BE4F00">
        <w:rPr>
          <w:sz w:val="20"/>
        </w:rPr>
        <w:t xml:space="preserve"> and </w:t>
      </w:r>
      <w:r w:rsidRPr="00BE4F00">
        <w:rPr>
          <w:sz w:val="20"/>
        </w:rPr>
        <w:t>(5)</w:t>
      </w:r>
      <w:r w:rsidR="00D45A81" w:rsidRPr="00BE4F00">
        <w:rPr>
          <w:sz w:val="20"/>
        </w:rPr>
        <w:t>, respectively:</w:t>
      </w:r>
      <w:r w:rsidR="00FF0700" w:rsidRPr="00BE4F00">
        <w:rPr>
          <w:sz w:val="20"/>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5"/>
        <w:gridCol w:w="741"/>
      </w:tblGrid>
      <w:tr w:rsidR="00BE4F00" w:rsidRPr="00BE4F00" w14:paraId="0E952FD0" w14:textId="77777777" w:rsidTr="00830BD2">
        <w:tc>
          <w:tcPr>
            <w:tcW w:w="8275" w:type="dxa"/>
          </w:tcPr>
          <w:p w14:paraId="7B3255AD" w14:textId="78637F89" w:rsidR="00D45A81" w:rsidRPr="00BE4F00" w:rsidRDefault="00000000" w:rsidP="00830BD2">
            <w:pPr>
              <w:pStyle w:val="RSCB03MathematicsGreeketc"/>
              <w:spacing w:line="360" w:lineRule="auto"/>
              <w:rPr>
                <w:rFonts w:cs="Times New Roman"/>
                <w:sz w:val="20"/>
                <w:szCs w:val="20"/>
              </w:rPr>
            </w:pPr>
            <m:oMathPara>
              <m:oMath>
                <m:func>
                  <m:funcPr>
                    <m:ctrlPr>
                      <w:rPr>
                        <w:rFonts w:ascii="Cambria Math" w:hAnsi="Cambria Math" w:cs="Times New Roman"/>
                        <w:sz w:val="20"/>
                        <w:szCs w:val="20"/>
                      </w:rPr>
                    </m:ctrlPr>
                  </m:funcPr>
                  <m:fName>
                    <m:r>
                      <m:rPr>
                        <m:sty m:val="p"/>
                      </m:rPr>
                      <w:rPr>
                        <w:rFonts w:ascii="Cambria Math" w:hAnsi="Cambria Math" w:cs="Times New Roman"/>
                        <w:sz w:val="20"/>
                        <w:szCs w:val="20"/>
                      </w:rPr>
                      <m:t>ln</m:t>
                    </m:r>
                  </m:fName>
                  <m:e>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t</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1</m:t>
                        </m:r>
                      </m:sub>
                    </m:sSub>
                    <m:r>
                      <w:rPr>
                        <w:rFonts w:ascii="Cambria Math" w:hAnsi="Cambria Math" w:cs="Times New Roman"/>
                        <w:sz w:val="20"/>
                        <w:szCs w:val="20"/>
                      </w:rPr>
                      <m:t>t+</m:t>
                    </m:r>
                    <m:func>
                      <m:funcPr>
                        <m:ctrlPr>
                          <w:rPr>
                            <w:rFonts w:ascii="Cambria Math" w:hAnsi="Cambria Math" w:cs="Times New Roman"/>
                            <w:i/>
                            <w:sz w:val="20"/>
                            <w:szCs w:val="20"/>
                          </w:rPr>
                        </m:ctrlPr>
                      </m:funcPr>
                      <m:fName>
                        <m:r>
                          <m:rPr>
                            <m:sty m:val="p"/>
                          </m:rPr>
                          <w:rPr>
                            <w:rFonts w:ascii="Cambria Math" w:hAnsi="Cambria Math" w:cs="Times New Roman"/>
                            <w:sz w:val="20"/>
                            <w:szCs w:val="20"/>
                          </w:rPr>
                          <m:t>ln</m:t>
                        </m:r>
                      </m:fName>
                      <m:e>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0</m:t>
                            </m:r>
                          </m:sub>
                        </m:sSub>
                      </m:e>
                    </m:func>
                  </m:e>
                </m:func>
              </m:oMath>
            </m:oMathPara>
          </w:p>
        </w:tc>
        <w:tc>
          <w:tcPr>
            <w:tcW w:w="741" w:type="dxa"/>
            <w:vAlign w:val="center"/>
          </w:tcPr>
          <w:p w14:paraId="550DD445" w14:textId="625522DF" w:rsidR="00D45A81" w:rsidRPr="00BE4F00" w:rsidRDefault="00D45A81" w:rsidP="00830BD2">
            <w:pPr>
              <w:spacing w:line="360" w:lineRule="auto"/>
              <w:jc w:val="right"/>
              <w:rPr>
                <w:sz w:val="20"/>
              </w:rPr>
            </w:pPr>
            <w:r w:rsidRPr="00BE4F00">
              <w:rPr>
                <w:sz w:val="20"/>
              </w:rPr>
              <w:t>(</w:t>
            </w:r>
            <w:r w:rsidR="006D5045" w:rsidRPr="00BE4F00">
              <w:rPr>
                <w:sz w:val="20"/>
              </w:rPr>
              <w:t>4</w:t>
            </w:r>
            <w:r w:rsidRPr="00BE4F00">
              <w:rPr>
                <w:sz w:val="20"/>
              </w:rPr>
              <w:t>)</w:t>
            </w:r>
          </w:p>
        </w:tc>
      </w:tr>
      <w:tr w:rsidR="00BE4F00" w:rsidRPr="00BE4F00" w14:paraId="4B5F3658" w14:textId="77777777" w:rsidTr="00830BD2">
        <w:tc>
          <w:tcPr>
            <w:tcW w:w="8275" w:type="dxa"/>
          </w:tcPr>
          <w:p w14:paraId="0C5802C0" w14:textId="77777777" w:rsidR="00D45A81" w:rsidRPr="00BE4F00" w:rsidRDefault="00000000" w:rsidP="00830BD2">
            <w:pPr>
              <w:pStyle w:val="RSCB03MathematicsGreeketc"/>
              <w:spacing w:line="360" w:lineRule="auto"/>
              <w:rPr>
                <w:rFonts w:eastAsia="Calibri" w:cs="Times New Roman"/>
                <w:sz w:val="20"/>
                <w:szCs w:val="20"/>
              </w:rPr>
            </w:pPr>
            <m:oMathPara>
              <m:oMath>
                <m:f>
                  <m:fPr>
                    <m:ctrlPr>
                      <w:rPr>
                        <w:rFonts w:ascii="Cambria Math" w:eastAsia="Calibri" w:hAnsi="Cambria Math" w:cs="Times New Roman"/>
                        <w:i/>
                        <w:sz w:val="20"/>
                        <w:szCs w:val="20"/>
                      </w:rPr>
                    </m:ctrlPr>
                  </m:fPr>
                  <m:num>
                    <m:r>
                      <w:rPr>
                        <w:rFonts w:ascii="Cambria Math" w:eastAsia="Calibri" w:hAnsi="Cambria Math" w:cs="Times New Roman"/>
                        <w:sz w:val="20"/>
                        <w:szCs w:val="20"/>
                      </w:rPr>
                      <m:t>1</m:t>
                    </m:r>
                  </m:num>
                  <m:den>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t</m:t>
                        </m:r>
                      </m:sub>
                    </m:sSub>
                  </m:den>
                </m:f>
                <m:r>
                  <w:rPr>
                    <w:rFonts w:ascii="Cambria Math" w:eastAsia="Calibri"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2</m:t>
                    </m:r>
                  </m:sub>
                </m:sSub>
                <m:r>
                  <w:rPr>
                    <w:rFonts w:ascii="Cambria Math" w:eastAsia="Calibri" w:hAnsi="Cambria Math" w:cs="Times New Roman"/>
                    <w:sz w:val="20"/>
                    <w:szCs w:val="20"/>
                  </w:rPr>
                  <m:t xml:space="preserve">t+ </m:t>
                </m:r>
                <m:f>
                  <m:fPr>
                    <m:ctrlPr>
                      <w:rPr>
                        <w:rFonts w:ascii="Cambria Math" w:eastAsia="Calibri" w:hAnsi="Cambria Math" w:cs="Times New Roman"/>
                        <w:i/>
                        <w:sz w:val="20"/>
                        <w:szCs w:val="20"/>
                      </w:rPr>
                    </m:ctrlPr>
                  </m:fPr>
                  <m:num>
                    <m:r>
                      <w:rPr>
                        <w:rFonts w:ascii="Cambria Math" w:eastAsia="Calibri" w:hAnsi="Cambria Math" w:cs="Times New Roman"/>
                        <w:sz w:val="20"/>
                        <w:szCs w:val="20"/>
                      </w:rPr>
                      <m:t>1</m:t>
                    </m:r>
                  </m:num>
                  <m:den>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0</m:t>
                        </m:r>
                      </m:sub>
                    </m:sSub>
                  </m:den>
                </m:f>
              </m:oMath>
            </m:oMathPara>
          </w:p>
        </w:tc>
        <w:tc>
          <w:tcPr>
            <w:tcW w:w="741" w:type="dxa"/>
            <w:vAlign w:val="center"/>
          </w:tcPr>
          <w:p w14:paraId="276E3E78" w14:textId="47AC6FDB" w:rsidR="00D45A81" w:rsidRPr="00BE4F00" w:rsidRDefault="00D45A81" w:rsidP="00830BD2">
            <w:pPr>
              <w:spacing w:line="360" w:lineRule="auto"/>
              <w:jc w:val="right"/>
              <w:rPr>
                <w:sz w:val="20"/>
              </w:rPr>
            </w:pPr>
            <w:r w:rsidRPr="00BE4F00">
              <w:rPr>
                <w:sz w:val="20"/>
              </w:rPr>
              <w:t>(</w:t>
            </w:r>
            <w:r w:rsidR="006D5045" w:rsidRPr="00BE4F00">
              <w:rPr>
                <w:sz w:val="20"/>
              </w:rPr>
              <w:t>5</w:t>
            </w:r>
            <w:r w:rsidRPr="00BE4F00">
              <w:rPr>
                <w:sz w:val="20"/>
              </w:rPr>
              <w:t>)</w:t>
            </w:r>
          </w:p>
        </w:tc>
      </w:tr>
    </w:tbl>
    <w:p w14:paraId="1EB4A304" w14:textId="386518A0" w:rsidR="00D45A81" w:rsidRPr="00BE4F00" w:rsidRDefault="00D45A81" w:rsidP="006A6078">
      <w:pPr>
        <w:tabs>
          <w:tab w:val="left" w:pos="360"/>
          <w:tab w:val="left" w:pos="450"/>
        </w:tabs>
        <w:jc w:val="both"/>
        <w:rPr>
          <w:sz w:val="20"/>
        </w:rPr>
      </w:pPr>
      <w:r w:rsidRPr="00BE4F00">
        <w:rPr>
          <w:sz w:val="20"/>
        </w:rPr>
        <w:t>in the above equation, C</w:t>
      </w:r>
      <w:r w:rsidRPr="00BE4F00">
        <w:rPr>
          <w:sz w:val="20"/>
          <w:vertAlign w:val="subscript"/>
        </w:rPr>
        <w:t>0</w:t>
      </w:r>
      <w:r w:rsidRPr="00BE4F00">
        <w:rPr>
          <w:sz w:val="20"/>
        </w:rPr>
        <w:t xml:space="preserve"> is initial MB concentration at t = 0 min (ppm), C</w:t>
      </w:r>
      <w:r w:rsidRPr="00BE4F00">
        <w:rPr>
          <w:sz w:val="20"/>
          <w:vertAlign w:val="subscript"/>
        </w:rPr>
        <w:t>t</w:t>
      </w:r>
      <w:r w:rsidRPr="00BE4F00">
        <w:rPr>
          <w:sz w:val="20"/>
        </w:rPr>
        <w:t xml:space="preserve"> is final MB concentration at time (ppm) and k</w:t>
      </w:r>
      <w:r w:rsidRPr="00BE4F00">
        <w:rPr>
          <w:sz w:val="20"/>
          <w:vertAlign w:val="subscript"/>
        </w:rPr>
        <w:t>1</w:t>
      </w:r>
      <w:r w:rsidRPr="00BE4F00">
        <w:rPr>
          <w:sz w:val="20"/>
        </w:rPr>
        <w:t xml:space="preserve"> and k</w:t>
      </w:r>
      <w:r w:rsidRPr="00BE4F00">
        <w:rPr>
          <w:sz w:val="20"/>
          <w:vertAlign w:val="subscript"/>
        </w:rPr>
        <w:t xml:space="preserve">2 </w:t>
      </w:r>
      <w:r w:rsidRPr="00BE4F00">
        <w:rPr>
          <w:sz w:val="20"/>
        </w:rPr>
        <w:t xml:space="preserve">are the first order and second order rate constant, respectively </w:t>
      </w:r>
      <w:r w:rsidRPr="00BE4F00">
        <w:rPr>
          <w:sz w:val="20"/>
        </w:rPr>
        <w:fldChar w:fldCharType="begin" w:fldLock="1"/>
      </w:r>
      <w:r w:rsidR="00695713" w:rsidRPr="00BE4F00">
        <w:rPr>
          <w:sz w:val="20"/>
        </w:rPr>
        <w:instrText>ADDIN CSL_CITATION {"citationItems":[{"id":"ITEM-1","itemData":{"DOI":"10.1016/j.colsuc.2024.100047","ISSN":"2949-7590","author":[{"dropping-particle":"","family":"Patel","given":"Shivam","non-dropping-particle":"","parse-names":false,"suffix":""},{"dropping-particle":"","family":"Mukherjee","given":"Sagnik","non-dropping-particle":"","parse-names":false,"suffix":""},{"dropping-particle":"","family":"Neem","given":"Mahesh","non-dropping-particle":"","parse-names":false,"suffix":""},{"dropping-particle":"","family":"Neogi","given":"Subhadip","non-dropping-particle":"","parse-names":false,"suffix":""},{"dropping-particle":"","family":"Ameta","given":"K L","non-dropping-particle":"","parse-names":false,"suffix":""},{"dropping-particle":"","family":"Mishra","given":"Arvnabh","non-dropping-particle":"","parse-names":false,"suffix":""},{"dropping-particle":"","family":"Deshpande","given":"M P","non-dropping-particle":"","parse-names":false,"suffix":""},{"dropping-particle":"","family":"Kumar","given":"Manish","non-dropping-particle":"","parse-names":false,"suffix":""}],"container-title":"Colloids and Surfaces C: Environmental Aspects","id":"ITEM-1","issue":"July","issued":{"date-parts":[["2024"]]},"page":"100047","publisher":"Elsevier B.V.","title":"Colloids and Surfaces C : Environmental Aspects Enhanced photocatalytic degradation activity of titanium dioxide by adsorbing aromatic amines through N-bonding","type":"article-journal","volume":"2"},"uris":["http://www.mendeley.com/documents/?uuid=2ed1c380-8e41-4272-b87b-9b5d98072f5a","http://www.mendeley.com/documents/?uuid=d2d3c17a-edc7-418e-bc1a-7e76a0d0adf4"]}],"mendeley":{"formattedCitation":"[13]","plainTextFormattedCitation":"[13]","previouslyFormattedCitation":"[11]"},"properties":{"noteIndex":0},"schema":"https://github.com/citation-style-language/schema/raw/master/csl-citation.json"}</w:instrText>
      </w:r>
      <w:r w:rsidRPr="00BE4F00">
        <w:rPr>
          <w:sz w:val="20"/>
        </w:rPr>
        <w:fldChar w:fldCharType="separate"/>
      </w:r>
      <w:r w:rsidR="00695713" w:rsidRPr="00BE4F00">
        <w:rPr>
          <w:noProof/>
          <w:sz w:val="20"/>
        </w:rPr>
        <w:t>[13]</w:t>
      </w:r>
      <w:r w:rsidRPr="00BE4F00">
        <w:rPr>
          <w:sz w:val="20"/>
        </w:rPr>
        <w:fldChar w:fldCharType="end"/>
      </w:r>
      <w:r w:rsidRPr="00BE4F00">
        <w:rPr>
          <w:sz w:val="20"/>
        </w:rPr>
        <w:t xml:space="preserve">. </w:t>
      </w:r>
    </w:p>
    <w:p w14:paraId="4045A73C" w14:textId="64A587C0" w:rsidR="00D45A81" w:rsidRPr="00BE4F00" w:rsidRDefault="00D45A81" w:rsidP="00D45A81">
      <w:pPr>
        <w:pStyle w:val="Heading2"/>
      </w:pPr>
      <w:r w:rsidRPr="00BE4F00">
        <w:t xml:space="preserve">Characterization </w:t>
      </w:r>
    </w:p>
    <w:p w14:paraId="04982ED8" w14:textId="54905645" w:rsidR="00D45A81" w:rsidRPr="00BE4F00" w:rsidRDefault="00D45A81" w:rsidP="006A6078">
      <w:pPr>
        <w:ind w:firstLine="720"/>
        <w:jc w:val="both"/>
        <w:rPr>
          <w:szCs w:val="24"/>
        </w:rPr>
      </w:pPr>
      <w:r w:rsidRPr="00BE4F00">
        <w:rPr>
          <w:sz w:val="20"/>
        </w:rPr>
        <w:t>The characterization used to support the results of degradation photocatalytic is Fourier Transform Infrared Spectroscopy (FTIR), X-Ray Diffraction (XRD)</w:t>
      </w:r>
      <w:r w:rsidR="006A6078" w:rsidRPr="00BE4F00">
        <w:rPr>
          <w:sz w:val="20"/>
        </w:rPr>
        <w:t>, and optical characterization</w:t>
      </w:r>
      <w:r w:rsidRPr="00BE4F00">
        <w:rPr>
          <w:sz w:val="20"/>
        </w:rPr>
        <w:t>. Fourier Transform Infrared Spectroscopy (FTIR) is employed to identify the functional groups present in the composite catalyst. The samples are positioned on a holder and exposed to infrared light with a wavelength range of 400-4000 cm</w:t>
      </w:r>
      <w:r w:rsidRPr="00BE4F00">
        <w:rPr>
          <w:sz w:val="20"/>
          <w:vertAlign w:val="superscript"/>
        </w:rPr>
        <w:t>-1</w:t>
      </w:r>
      <w:r w:rsidRPr="00BE4F00">
        <w:rPr>
          <w:sz w:val="20"/>
        </w:rPr>
        <w:t xml:space="preserve">. X-ray diffraction (XRD) was employed to determine change in the material structure following the calcination process. This analysis utilized </w:t>
      </w:r>
      <w:proofErr w:type="spellStart"/>
      <w:r w:rsidRPr="00BE4F00">
        <w:rPr>
          <w:sz w:val="20"/>
        </w:rPr>
        <w:t>CuK</w:t>
      </w:r>
      <w:proofErr w:type="spellEnd"/>
      <w:r w:rsidRPr="00BE4F00">
        <w:rPr>
          <w:sz w:val="20"/>
        </w:rPr>
        <w:t>α radiation. The X-ray scanning range was set from 5-50° to identify alterations in the crystal structure and intermolecular distance between polymer intersegmental chain influenced by the pyrolysis heating rate.</w:t>
      </w:r>
      <w:r w:rsidR="006A6078" w:rsidRPr="00BE4F00">
        <w:rPr>
          <w:sz w:val="20"/>
        </w:rPr>
        <w:t xml:space="preserve"> The optical properties were investigated using UV-</w:t>
      </w:r>
      <w:proofErr w:type="gramStart"/>
      <w:r w:rsidR="006A6078" w:rsidRPr="00BE4F00">
        <w:rPr>
          <w:sz w:val="20"/>
        </w:rPr>
        <w:t>Vis</w:t>
      </w:r>
      <w:proofErr w:type="gramEnd"/>
      <w:r w:rsidR="006A6078" w:rsidRPr="00BE4F00">
        <w:rPr>
          <w:sz w:val="20"/>
        </w:rPr>
        <w:t xml:space="preserve"> spectroscopy to determine the band gap energy of the g-C</w:t>
      </w:r>
      <w:r w:rsidR="006A6078" w:rsidRPr="00BE4F00">
        <w:rPr>
          <w:sz w:val="20"/>
          <w:vertAlign w:val="subscript"/>
        </w:rPr>
        <w:t>3</w:t>
      </w:r>
      <w:r w:rsidR="006A6078" w:rsidRPr="00BE4F00">
        <w:rPr>
          <w:sz w:val="20"/>
        </w:rPr>
        <w:t>N</w:t>
      </w:r>
      <w:r w:rsidR="006A6078" w:rsidRPr="00BE4F00">
        <w:rPr>
          <w:sz w:val="20"/>
          <w:vertAlign w:val="subscript"/>
        </w:rPr>
        <w:t>4</w:t>
      </w:r>
      <w:r w:rsidR="006A6078" w:rsidRPr="00BE4F00">
        <w:rPr>
          <w:sz w:val="20"/>
        </w:rPr>
        <w:t xml:space="preserve">. The band gap energies of the samples were estimated from </w:t>
      </w:r>
      <w:proofErr w:type="spellStart"/>
      <w:r w:rsidR="006A6078" w:rsidRPr="00BE4F00">
        <w:rPr>
          <w:sz w:val="20"/>
        </w:rPr>
        <w:t>Tauc</w:t>
      </w:r>
      <w:proofErr w:type="spellEnd"/>
      <w:r w:rsidR="006A6078" w:rsidRPr="00BE4F00">
        <w:rPr>
          <w:sz w:val="20"/>
        </w:rPr>
        <w:t xml:space="preserve"> plots derived from UV-Vis Diffuse Reflectance Spectroscopy (DRS) data. </w:t>
      </w:r>
    </w:p>
    <w:p w14:paraId="449CEE6C" w14:textId="78DB9E17" w:rsidR="006A6078" w:rsidRPr="00BE4F00" w:rsidRDefault="006A6078" w:rsidP="00D23432">
      <w:pPr>
        <w:pStyle w:val="Heading1"/>
      </w:pPr>
      <w:r w:rsidRPr="00BE4F00">
        <w:t xml:space="preserve">Result and Discussion </w:t>
      </w:r>
    </w:p>
    <w:p w14:paraId="1E86261A" w14:textId="76D41AC0" w:rsidR="00D45A81" w:rsidRPr="00BE4F00" w:rsidRDefault="000871ED" w:rsidP="006A6078">
      <w:pPr>
        <w:pStyle w:val="Heading2"/>
      </w:pPr>
      <w:r w:rsidRPr="00BE4F00">
        <w:t>Characterization</w:t>
      </w:r>
    </w:p>
    <w:p w14:paraId="4CB22323" w14:textId="3E72A49C" w:rsidR="00FA4528" w:rsidRPr="00BE4F00" w:rsidRDefault="000871ED" w:rsidP="00695713">
      <w:pPr>
        <w:pStyle w:val="Paragraph"/>
      </w:pPr>
      <w:r w:rsidRPr="00BE4F00">
        <w:rPr>
          <w:b/>
          <w:bCs/>
        </w:rPr>
        <w:t xml:space="preserve">Figure </w:t>
      </w:r>
      <w:r w:rsidR="005E0A17" w:rsidRPr="00BE4F00">
        <w:rPr>
          <w:b/>
          <w:bCs/>
        </w:rPr>
        <w:t>2</w:t>
      </w:r>
      <w:r w:rsidRPr="00BE4F00">
        <w:t xml:space="preserve"> illustrates the </w:t>
      </w:r>
      <w:r w:rsidR="00695713" w:rsidRPr="00BE4F00">
        <w:t>FTIR spectrum of synthesized g-C</w:t>
      </w:r>
      <w:r w:rsidR="00695713" w:rsidRPr="00BE4F00">
        <w:rPr>
          <w:rFonts w:hint="eastAsia"/>
        </w:rPr>
        <w:t>₃</w:t>
      </w:r>
      <w:r w:rsidR="00695713" w:rsidRPr="00BE4F00">
        <w:t>N</w:t>
      </w:r>
      <w:r w:rsidR="00695713" w:rsidRPr="00BE4F00">
        <w:rPr>
          <w:rFonts w:hint="eastAsia"/>
        </w:rPr>
        <w:t>₄</w:t>
      </w:r>
      <w:r w:rsidR="00695713" w:rsidRPr="00BE4F00">
        <w:t xml:space="preserve"> (Figure 2) shows </w:t>
      </w:r>
      <w:proofErr w:type="gramStart"/>
      <w:r w:rsidR="00695713" w:rsidRPr="00BE4F00">
        <w:t>a number of</w:t>
      </w:r>
      <w:proofErr w:type="gramEnd"/>
      <w:r w:rsidR="00695713" w:rsidRPr="00BE4F00">
        <w:t xml:space="preserve"> sharp absorption bands that are indicative of the successful development of its typical structure. The broadband in the range of 3000–3400 cm⁻¹ is attributed to stretching vibrations of N–H groups and remaining –OH groups, usually present </w:t>
      </w:r>
      <w:proofErr w:type="gramStart"/>
      <w:r w:rsidR="00695713" w:rsidRPr="00BE4F00">
        <w:t>as a result of</w:t>
      </w:r>
      <w:proofErr w:type="gramEnd"/>
      <w:r w:rsidR="00695713" w:rsidRPr="00BE4F00">
        <w:t xml:space="preserve"> insufficient condensation of precursor molecules of urea or adsorbed surface moisture. A sharp absorption peak located at 1628 cm⁻¹ is attributed to the stretching vibration of C=N bonds, and it is an indication of the presence of conjugated heteroaromatic regions. Absorption bands located at 1538, 1403, and 1233 cm⁻¹ are assigned to stretching vibrations of aromatic C–N and C–N–C bonds in the heptazine (s-triazine) backbones. It is noteworthy that the sharp and strong peak located at 808 cm⁻¹ is indicative of the typical breathing mode of the s-triazine units, acting as a fingerprint of g-C</w:t>
      </w:r>
      <w:r w:rsidR="00695713" w:rsidRPr="00BE4F00">
        <w:rPr>
          <w:rFonts w:hint="eastAsia"/>
        </w:rPr>
        <w:t>₃</w:t>
      </w:r>
      <w:r w:rsidR="00695713" w:rsidRPr="00BE4F00">
        <w:t>N</w:t>
      </w:r>
      <w:r w:rsidR="00695713" w:rsidRPr="00BE4F00">
        <w:rPr>
          <w:rFonts w:hint="eastAsia"/>
        </w:rPr>
        <w:t>₄</w:t>
      </w:r>
      <w:r w:rsidR="00695713" w:rsidRPr="00BE4F00">
        <w:t xml:space="preserve"> and presenting clear evidence for its successful polymerization. </w:t>
      </w:r>
      <w:r w:rsidR="00695713" w:rsidRPr="00BE4F00">
        <w:rPr>
          <w:rFonts w:hint="eastAsia"/>
        </w:rPr>
        <w:t>The existence of these functional</w:t>
      </w:r>
      <w:r w:rsidR="00695713" w:rsidRPr="00BE4F00">
        <w:t xml:space="preserve"> </w:t>
      </w:r>
      <w:r w:rsidR="00695713" w:rsidRPr="00BE4F00">
        <w:rPr>
          <w:rFonts w:hint="eastAsia"/>
        </w:rPr>
        <w:t>groups emphasizes g-C</w:t>
      </w:r>
      <w:r w:rsidR="00695713" w:rsidRPr="00BE4F00">
        <w:rPr>
          <w:rFonts w:hint="eastAsia"/>
        </w:rPr>
        <w:t>₃</w:t>
      </w:r>
      <w:r w:rsidR="00695713" w:rsidRPr="00BE4F00">
        <w:rPr>
          <w:rFonts w:hint="eastAsia"/>
        </w:rPr>
        <w:t>N</w:t>
      </w:r>
      <w:r w:rsidR="00695713" w:rsidRPr="00BE4F00">
        <w:rPr>
          <w:rFonts w:hint="eastAsia"/>
        </w:rPr>
        <w:t>₄</w:t>
      </w:r>
      <w:r w:rsidR="00695713" w:rsidRPr="00BE4F00">
        <w:rPr>
          <w:rFonts w:hint="eastAsia"/>
        </w:rPr>
        <w:t xml:space="preserve">'s graphitic-layered-like framework, in which the conjugated </w:t>
      </w:r>
      <w:r w:rsidR="00695713" w:rsidRPr="00BE4F00">
        <w:rPr>
          <w:rFonts w:hint="eastAsia"/>
        </w:rPr>
        <w:t>π</w:t>
      </w:r>
      <w:r w:rsidR="00695713" w:rsidRPr="00BE4F00">
        <w:rPr>
          <w:rFonts w:hint="eastAsia"/>
        </w:rPr>
        <w:t xml:space="preserve">-electron system is retained inside the heptazine network. Specifically, the rich nitrogen </w:t>
      </w:r>
      <w:r w:rsidR="00695713" w:rsidRPr="00BE4F00">
        <w:t>functionalities</w:t>
      </w:r>
      <w:r w:rsidR="00695713" w:rsidRPr="00BE4F00">
        <w:rPr>
          <w:rFonts w:hint="eastAsia"/>
        </w:rPr>
        <w:t xml:space="preserve"> (C</w:t>
      </w:r>
      <w:r w:rsidR="00695713" w:rsidRPr="00BE4F00">
        <w:rPr>
          <w:rFonts w:hint="eastAsia"/>
        </w:rPr>
        <w:t>–</w:t>
      </w:r>
      <w:r w:rsidR="00695713" w:rsidRPr="00BE4F00">
        <w:rPr>
          <w:rFonts w:hint="eastAsia"/>
        </w:rPr>
        <w:t xml:space="preserve">N, C=N, and terminally bonded </w:t>
      </w:r>
      <w:r w:rsidR="00695713" w:rsidRPr="00BE4F00">
        <w:rPr>
          <w:rFonts w:hint="eastAsia"/>
        </w:rPr>
        <w:t>–</w:t>
      </w:r>
      <w:r w:rsidR="00695713" w:rsidRPr="00BE4F00">
        <w:rPr>
          <w:rFonts w:hint="eastAsia"/>
        </w:rPr>
        <w:t>NH</w:t>
      </w:r>
      <w:r w:rsidR="00695713" w:rsidRPr="00BE4F00">
        <w:rPr>
          <w:rFonts w:hint="eastAsia"/>
        </w:rPr>
        <w:t>₂</w:t>
      </w:r>
      <w:r w:rsidR="00695713" w:rsidRPr="00BE4F00">
        <w:rPr>
          <w:rFonts w:hint="eastAsia"/>
        </w:rPr>
        <w:t xml:space="preserve"> groups) are recognized as active adsorption sites of cationic dyes like methylene blue via electrostatic attraction and </w:t>
      </w:r>
      <w:r w:rsidR="00695713" w:rsidRPr="00BE4F00">
        <w:rPr>
          <w:rFonts w:hint="eastAsia"/>
        </w:rPr>
        <w:lastRenderedPageBreak/>
        <w:t>π–π</w:t>
      </w:r>
      <w:r w:rsidR="00695713" w:rsidRPr="00BE4F00">
        <w:rPr>
          <w:rFonts w:hint="eastAsia"/>
        </w:rPr>
        <w:t xml:space="preserve"> accumulation. Such a structural property accounts for the robust correlation between the detected functional groups via FT</w:t>
      </w:r>
      <w:r w:rsidR="00695713" w:rsidRPr="00BE4F00">
        <w:t xml:space="preserve">IR and pseudo-second-order adsorption kinetics manifested in the research. In addition, the nitrogen-rich sites are crucial in trapping photo-excited charge carriers and hence </w:t>
      </w:r>
      <w:proofErr w:type="gramStart"/>
      <w:r w:rsidR="00695713" w:rsidRPr="00BE4F00">
        <w:t>contributing</w:t>
      </w:r>
      <w:proofErr w:type="gramEnd"/>
      <w:r w:rsidR="00695713" w:rsidRPr="00BE4F00">
        <w:t xml:space="preserve"> significantly to the formation of reactive oxygen species in the ca</w:t>
      </w:r>
      <w:r w:rsidR="00695713" w:rsidRPr="00BE4F00">
        <w:rPr>
          <w:rFonts w:hint="eastAsia"/>
        </w:rPr>
        <w:t>se of photocatalysis. Accordingly, FTIR analysis not only verifies the chemical nature of g-C</w:t>
      </w:r>
      <w:r w:rsidR="00695713" w:rsidRPr="00BE4F00">
        <w:rPr>
          <w:rFonts w:hint="eastAsia"/>
        </w:rPr>
        <w:t>₃</w:t>
      </w:r>
      <w:r w:rsidR="00695713" w:rsidRPr="00BE4F00">
        <w:rPr>
          <w:rFonts w:hint="eastAsia"/>
        </w:rPr>
        <w:t>N</w:t>
      </w:r>
      <w:r w:rsidR="00695713" w:rsidRPr="00BE4F00">
        <w:rPr>
          <w:rFonts w:hint="eastAsia"/>
        </w:rPr>
        <w:t>₄</w:t>
      </w:r>
      <w:r w:rsidR="00695713" w:rsidRPr="00BE4F00">
        <w:rPr>
          <w:rFonts w:hint="eastAsia"/>
        </w:rPr>
        <w:t xml:space="preserve"> but also sheds light on its dual application as an adsorbent and photocatalyst in wastewater remediation.</w:t>
      </w:r>
      <w:r w:rsidR="00695713" w:rsidRPr="00BE4F00">
        <w:t xml:space="preserve"> </w:t>
      </w:r>
      <w:r w:rsidRPr="00BE4F00">
        <w:t>FTIR spectrum of the prepared g-C</w:t>
      </w:r>
      <w:r w:rsidRPr="00BE4F00">
        <w:rPr>
          <w:vertAlign w:val="subscript"/>
        </w:rPr>
        <w:t>3</w:t>
      </w:r>
      <w:r w:rsidRPr="00BE4F00">
        <w:t>N</w:t>
      </w:r>
      <w:r w:rsidRPr="00BE4F00">
        <w:rPr>
          <w:vertAlign w:val="subscript"/>
        </w:rPr>
        <w:t>4</w:t>
      </w:r>
      <w:r w:rsidRPr="00BE4F00">
        <w:t>, providing compelling evidence of its chemical bonding environment. A prominent absorption peak observed at 1628 cm</w:t>
      </w:r>
      <w:r w:rsidRPr="00BE4F00">
        <w:rPr>
          <w:vertAlign w:val="superscript"/>
        </w:rPr>
        <w:t>-1</w:t>
      </w:r>
      <w:r w:rsidRPr="00BE4F00">
        <w:t xml:space="preserve"> is attributed to the C=N stretching modes. The presence and integrity of the core aromatic C-N structure are confirmed by multiple absorption bands at 1233, 1403, and 1538 cm</w:t>
      </w:r>
      <w:r w:rsidRPr="00BE4F00">
        <w:rPr>
          <w:vertAlign w:val="superscript"/>
        </w:rPr>
        <w:t>-1</w:t>
      </w:r>
      <w:r w:rsidRPr="00BE4F00">
        <w:t>. Critically, the sharp and intense band at 808 cm</w:t>
      </w:r>
      <w:r w:rsidRPr="00BE4F00">
        <w:rPr>
          <w:vertAlign w:val="superscript"/>
        </w:rPr>
        <w:t>-1</w:t>
      </w:r>
      <w:r w:rsidRPr="00BE4F00">
        <w:t xml:space="preserve"> serves as a fingerprint for g-C</w:t>
      </w:r>
      <w:r w:rsidRPr="00BE4F00">
        <w:rPr>
          <w:vertAlign w:val="subscript"/>
        </w:rPr>
        <w:t>3</w:t>
      </w:r>
      <w:r w:rsidRPr="00BE4F00">
        <w:t>N</w:t>
      </w:r>
      <w:r w:rsidRPr="00BE4F00">
        <w:rPr>
          <w:vertAlign w:val="subscript"/>
        </w:rPr>
        <w:t>4</w:t>
      </w:r>
      <w:r w:rsidRPr="00BE4F00">
        <w:t>, representing the out-of-plane bending vibration (or breathing mode) of the s-triazine (or heptazine) heterocyclic units.</w:t>
      </w:r>
      <w:r w:rsidR="00BC08F7" w:rsidRPr="00BE4F00">
        <w:t xml:space="preserve"> These results are confirmed by the literature and are in excellent agreement with the reference spectrum for g-C</w:t>
      </w:r>
      <w:r w:rsidR="00BC08F7" w:rsidRPr="00BE4F00">
        <w:rPr>
          <w:vertAlign w:val="subscript"/>
        </w:rPr>
        <w:t>3</w:t>
      </w:r>
      <w:r w:rsidR="00BC08F7" w:rsidRPr="00BE4F00">
        <w:t>N</w:t>
      </w:r>
      <w:r w:rsidR="00BC08F7" w:rsidRPr="00BE4F00">
        <w:rPr>
          <w:vertAlign w:val="subscript"/>
        </w:rPr>
        <w:t xml:space="preserve">4 </w:t>
      </w:r>
      <w:r w:rsidR="00BC08F7" w:rsidRPr="00BE4F00">
        <w:t>reported by Warda et al. (2025)</w:t>
      </w:r>
      <w:r w:rsidR="00BC08F7" w:rsidRPr="00BE4F00">
        <w:fldChar w:fldCharType="begin" w:fldLock="1"/>
      </w:r>
      <w:r w:rsidR="00695713" w:rsidRPr="00BE4F00">
        <w:instrText>ADDIN CSL_CITATION {"citationItems":[{"id":"ITEM-1","itemData":{"DOI":"10.1016/j.surfin.2025.107123","ISSN":"2468-0230","author":[{"dropping-particle":"","family":"Warda","given":"Amira H","non-dropping-particle":"","parse-names":false,"suffix":""},{"dropping-particle":"","family":"Rostom","given":"Merit","non-dropping-particle":"","parse-names":false,"suffix":""},{"dropping-particle":"","family":"Mashaly","given":"Mohamed I","non-dropping-particle":"","parse-names":false,"suffix":""},{"dropping-particle":"","family":"Helmy","given":"Elsayed T","non-dropping-particle":"","parse-names":false,"suffix":""},{"dropping-particle":"","family":"Gomaa","given":"Esam A","non-dropping-particle":"","parse-names":false,"suffix":""},{"dropping-particle":"","family":"Abouelleef","given":"Elsayed M","non-dropping-particle":"","parse-names":false,"suffix":""}],"container-title":"Surfaces and Interfaces","id":"ITEM-1","issue":"July","issued":{"date-parts":[["2025"]]},"page":"107123","publisher":"Elsevier B.V.","title":"Facile and eco-friendly synthesis of GCN / ZnO nanocomposites for enhanced photocatalytic , antimicrobial and antioxidant activities : applications in biomedicine and wastewater treatment","type":"article-journal","volume":"72"},"uris":["http://www.mendeley.com/documents/?uuid=9bf706c6-bb41-4fbe-afc7-3d28c407d299","http://www.mendeley.com/documents/?uuid=619a4801-a4b7-4f7f-8ecb-37023cd7cb18","http://www.mendeley.com/documents/?uuid=288aa74f-45b0-4751-8ac0-e9d6143233d1"]}],"mendeley":{"formattedCitation":"[14]","plainTextFormattedCitation":"[14]","previouslyFormattedCitation":"[12]"},"properties":{"noteIndex":0},"schema":"https://github.com/citation-style-language/schema/raw/master/csl-citation.json"}</w:instrText>
      </w:r>
      <w:r w:rsidR="00BC08F7" w:rsidRPr="00BE4F00">
        <w:fldChar w:fldCharType="separate"/>
      </w:r>
      <w:r w:rsidR="00695713" w:rsidRPr="00BE4F00">
        <w:rPr>
          <w:noProof/>
        </w:rPr>
        <w:t>[14]</w:t>
      </w:r>
      <w:r w:rsidR="00BC08F7" w:rsidRPr="00BE4F00">
        <w:fldChar w:fldCharType="end"/>
      </w:r>
      <w:r w:rsidR="00BC08F7" w:rsidRPr="00BE4F00">
        <w:t xml:space="preserve">. </w:t>
      </w:r>
    </w:p>
    <w:p w14:paraId="24CD7997" w14:textId="77777777" w:rsidR="00370D5C" w:rsidRPr="00BE4F00" w:rsidRDefault="00370D5C" w:rsidP="00FA4528">
      <w:pPr>
        <w:pStyle w:val="Paragraph"/>
      </w:pPr>
    </w:p>
    <w:p w14:paraId="0E7935BA" w14:textId="77777777" w:rsidR="00387E6C" w:rsidRPr="00BE4F00" w:rsidRDefault="00370D5C" w:rsidP="00387E6C">
      <w:pPr>
        <w:pStyle w:val="Paragraph"/>
        <w:keepNext/>
        <w:jc w:val="center"/>
      </w:pPr>
      <w:r w:rsidRPr="00BE4F00">
        <w:rPr>
          <w:noProof/>
        </w:rPr>
        <w:drawing>
          <wp:inline distT="0" distB="0" distL="0" distR="0" wp14:anchorId="0C319021" wp14:editId="6C06994F">
            <wp:extent cx="3009031" cy="2351672"/>
            <wp:effectExtent l="0" t="0" r="1270" b="0"/>
            <wp:docPr id="10351003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25833" cy="2364804"/>
                    </a:xfrm>
                    <a:prstGeom prst="rect">
                      <a:avLst/>
                    </a:prstGeom>
                    <a:noFill/>
                  </pic:spPr>
                </pic:pic>
              </a:graphicData>
            </a:graphic>
          </wp:inline>
        </w:drawing>
      </w:r>
    </w:p>
    <w:p w14:paraId="7136A59F" w14:textId="219C723E" w:rsidR="006A7D0E" w:rsidRPr="00BE4F00" w:rsidRDefault="00387E6C" w:rsidP="00387E6C">
      <w:pPr>
        <w:pStyle w:val="Caption"/>
        <w:jc w:val="center"/>
        <w:rPr>
          <w:b w:val="0"/>
          <w:bCs w:val="0"/>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2</w:t>
      </w:r>
      <w:r w:rsidRPr="00BE4F00">
        <w:rPr>
          <w:b w:val="0"/>
          <w:bCs w:val="0"/>
        </w:rPr>
        <w:fldChar w:fldCharType="end"/>
      </w:r>
      <w:r w:rsidRPr="00BE4F00">
        <w:rPr>
          <w:b w:val="0"/>
          <w:bCs w:val="0"/>
        </w:rPr>
        <w:t xml:space="preserve">. </w:t>
      </w:r>
      <w:r w:rsidRPr="00BE4F00">
        <w:rPr>
          <w:b w:val="0"/>
          <w:bCs w:val="0"/>
          <w:sz w:val="18"/>
          <w:szCs w:val="18"/>
        </w:rPr>
        <w:t>FTIR of g-C</w:t>
      </w:r>
      <w:r w:rsidRPr="00BE4F00">
        <w:rPr>
          <w:b w:val="0"/>
          <w:bCs w:val="0"/>
          <w:sz w:val="18"/>
          <w:szCs w:val="18"/>
          <w:vertAlign w:val="subscript"/>
        </w:rPr>
        <w:t>3</w:t>
      </w:r>
      <w:r w:rsidRPr="00BE4F00">
        <w:rPr>
          <w:b w:val="0"/>
          <w:bCs w:val="0"/>
          <w:sz w:val="18"/>
          <w:szCs w:val="18"/>
        </w:rPr>
        <w:t>N</w:t>
      </w:r>
      <w:r w:rsidRPr="00BE4F00">
        <w:rPr>
          <w:b w:val="0"/>
          <w:bCs w:val="0"/>
          <w:sz w:val="18"/>
          <w:szCs w:val="18"/>
          <w:vertAlign w:val="subscript"/>
        </w:rPr>
        <w:t>4</w:t>
      </w:r>
    </w:p>
    <w:p w14:paraId="7F4ED124" w14:textId="1FCD7C94" w:rsidR="005E0A17" w:rsidRPr="00BE4F00" w:rsidRDefault="006A7D0E" w:rsidP="005E0A17">
      <w:pPr>
        <w:pStyle w:val="Paragraph"/>
      </w:pPr>
      <w:r w:rsidRPr="00BE4F00">
        <w:rPr>
          <w:b/>
          <w:bCs/>
        </w:rPr>
        <w:t>Figure 3a</w:t>
      </w:r>
      <w:r w:rsidRPr="00BE4F00">
        <w:t xml:space="preserve"> presents the XRD results for the g-C₃N₄ material. The analysis shows two main diffraction peaks. A high-intensity peak detected at 27.85° is assigned to the (002) plane, which is indicative of the interlayer stacking within the graphitic structure</w:t>
      </w:r>
      <w:r w:rsidRPr="00BE4F00">
        <w:rPr>
          <w:sz w:val="24"/>
          <w:szCs w:val="24"/>
        </w:rPr>
        <w:fldChar w:fldCharType="begin" w:fldLock="1"/>
      </w:r>
      <w:r w:rsidR="00695713" w:rsidRPr="00BE4F00">
        <w:rPr>
          <w:sz w:val="24"/>
          <w:szCs w:val="24"/>
        </w:rPr>
        <w:instrText>ADDIN CSL_CITATION {"citationItems":[{"id":"ITEM-1","itemData":{"DOI":"10.1021/acsomega.9b02688","ISSN":"24701343","abstract":"Solar energy-driven practices using semiconducting materials is an ideal approach toward wastewater remediation. In order to attain a superior photocatalyst, a composite of g-C3N4 and ZnO (GCN-ZnO) has been prepared by one-step thermal polymerization of urea and zinc carbonate basic dihydrate [ZnNO3]2·[Zn(OH)2]3. The GCN-ZnO0.4 sample showed an evolved morphology, increased surface area (116 m2 g-1), better visible light absorption ability, and reduced band gap in comparison to GCN-pure. The GCN-ZnO0.4 sample also showed enhanced adsorption and photocatalytic activity performance, resulting in an increased reaction rate value up to 3 times that of GCN-pure, which was attributed to the phenomenon of better separation of photogenerated charge carriers resulting because of heterojunction development among interfaces of GCN-pure and ZnO. In addition, the GCN-ZnO0.4 sample showed a decent stability for four cyclic runs and established its potential use for abatement of organic wastewater pollutants in comparison to GCN-pure.","author":[{"dropping-particle":"","family":"Paul","given":"Devina Rattan","non-dropping-particle":"","parse-names":false,"suffix":""},{"dropping-particle":"","family":"Gautam","given":"Shubham","non-dropping-particle":"","parse-names":false,"suffix":""},{"dropping-particle":"","family":"Panchal","given":"Priyanka","non-dropping-particle":"","parse-names":false,"suffix":""},{"dropping-particle":"","family":"Nehra","given":"Satya Pal","non-dropping-particle":"","parse-names":false,"suffix":""},{"dropping-particle":"","family":"Choudhary","given":"Pratibha","non-dropping-particle":"","parse-names":false,"suffix":""},{"dropping-particle":"","family":"Sharma","given":"Anshu","non-dropping-particle":"","parse-names":false,"suffix":""}],"container-title":"ACS Omega","id":"ITEM-1","issue":"8","issued":{"date-parts":[["2020"]]},"page":"3828-3838","title":"ZnO-Modified g-C3N4: A Potential Photocatalyst for Environmental Application","type":"article-journal","volume":"5"},"uris":["http://www.mendeley.com/documents/?uuid=c819f92d-a095-4e15-bc80-a977a9e04ea6","http://www.mendeley.com/documents/?uuid=532ec477-c40d-4d12-baa5-b3b63fdbcc08"]},{"id":"ITEM-2","itemData":{"DOI":"10.1007/s11356-020-09432-6","ISSN":"16147499","PMID":"32519096","abstract":"Recently, graphitic carbon nitride (GCN) has been found to be of great interest in various sustainable applications. In this study, a simple preparation method using urea was utilized to synthesize GCN. In order to understand various morphological, structural, and optical aspects of the as-prepared sample, GCN was characterized using X-ray diffraction (XRD), Fourier-transform infrared (FTIR) spectroscopy, Brunauere-Emmette-Teller (BET), scanning electron microscopy (SEM), and diffused reflectance spectra (DRS) analysis. The visible-light-driven photocatalytic activity of prepared GCN was analyzed for various cationic dyes (Crystal violet, rose bengal, rhodamine B, auramine O, methylene blue) and anionic dyes (phenol red, xylenol orange, cresol red, methyl orange). The calculated efficiencies of degradation and values of apparent rate constant for all dye samples suggested that cationic dyes are more actively degraded using GCN than anionic dyes. In addition, GCN was further analyzed for its splendid antibacterial activity against pathogenic bacteria (Klebsiella pneumonia and Escherichia coli). The synthesized photocatalyst holds a bright scope for the efficient remediation of organic pollutants and bacterial disinfection in wastewater. [Figure not available: see fulltext.]","author":[{"dropping-particle":"","family":"Rattan Paul","given":"Devina","non-dropping-particle":"","parse-names":false,"suffix":""},{"dropping-particle":"","family":"Nehra","given":"Satya Pal","non-dropping-particle":"","parse-names":false,"suffix":""}],"container-title":"Environmental Science and Pollution Research","id":"ITEM-2","issue":"4","issued":{"date-parts":[["2021"]]},"page":"3888-3896","publisher":"Environmental Science and Pollution Research","title":"Graphitic carbon nitride: a sustainable photocatalyst for organic pollutant degradation and antibacterial applications","type":"article-journal","volume":"28"},"uris":["http://www.mendeley.com/documents/?uuid=361700b5-e728-4643-bc18-00dbeb3601bb","http://www.mendeley.com/documents/?uuid=bedd24ed-155b-44f4-a2c4-bc011e87d74f","http://www.mendeley.com/documents/?uuid=49e3e155-5098-424a-9055-3a603e9d51c7"]}],"mendeley":{"formattedCitation":"[15],[16]","plainTextFormattedCitation":"[15],[16]","previouslyFormattedCitation":"[13],[14]"},"properties":{"noteIndex":0},"schema":"https://github.com/citation-style-language/schema/raw/master/csl-citation.json"}</w:instrText>
      </w:r>
      <w:r w:rsidRPr="00BE4F00">
        <w:rPr>
          <w:sz w:val="24"/>
          <w:szCs w:val="24"/>
        </w:rPr>
        <w:fldChar w:fldCharType="separate"/>
      </w:r>
      <w:r w:rsidR="00695713" w:rsidRPr="00BE4F00">
        <w:rPr>
          <w:noProof/>
          <w:sz w:val="24"/>
          <w:szCs w:val="24"/>
        </w:rPr>
        <w:t>[15],[16]</w:t>
      </w:r>
      <w:r w:rsidRPr="00BE4F00">
        <w:rPr>
          <w:sz w:val="24"/>
          <w:szCs w:val="24"/>
        </w:rPr>
        <w:fldChar w:fldCharType="end"/>
      </w:r>
      <w:r w:rsidRPr="00BE4F00">
        <w:t>. Additionally, a peak observed at 12.85° is indicated as the (100) plane and is associated with the in-plane periodicity arising from the nitride pore structure</w:t>
      </w:r>
      <w:r w:rsidRPr="00BE4F00">
        <w:rPr>
          <w:sz w:val="24"/>
          <w:szCs w:val="24"/>
        </w:rPr>
        <w:fldChar w:fldCharType="begin" w:fldLock="1"/>
      </w:r>
      <w:r w:rsidR="00695713" w:rsidRPr="00BE4F00">
        <w:rPr>
          <w:sz w:val="24"/>
          <w:szCs w:val="24"/>
        </w:rPr>
        <w:instrText>ADDIN CSL_CITATION {"citationItems":[{"id":"ITEM-1","itemData":{"DOI":"10.3390/coatings10050500","ISBN":"9198842846","ISSN":"2079-6412","abstract":"We examine the photocatalytic activity (PCA) of ZnO/graphitic carbon nitride g-C3N4 (g-CN) composite material for methylene blue (MB) degradation under visible-light irradiation (VLI). The polymeric g-CN materials were fabricated by the pyrolysis of urea and thiourea. More importantly, ZnO/g-CN nanostructured composites were fabricated by adding the different mounts (60, 65, 70, and 75 wt.%) of g-CN into ZnO via the simple hydrothermal process. Among fabricated composites, the 75% ZnO/g-CN nanocomposites displayed a superior PCA for MB degradation, which were ~three-fold an enhancement over the pure ZnO nanoparticles. The fabricated materials have been evaluated by X-ray diffraction (XRD), UV-Vis, Fourier transform infrared (FT-IR) spectroscopy, and electron microscopy. More importantly, the photodegradation of MB could get 98% in ZnO/g-CN could be credited to efficient separation of photo-induced charge carriers between ZnO and g-CN. Also, the recycling efficiency of the as-prepared composites was studied for multiple cycles, which shows that the photocatalysts are stable and suitable to carry out photocatalytic degradation in the logistic mode. Additionally, the probable photocatalytic mechanism has also discussed. The synthetic procedure of ZnO/g-CN based materials can be used in numerous fields such as environmental and in energy storage applications.","author":[{"dropping-particle":"","family":"Ngullie","given":"Renathung C","non-dropping-particle":"","parse-names":false,"suffix":""},{"dropping-particle":"","family":"Alaswad","given":"Saleh O","non-dropping-particle":"","parse-names":false,"suffix":""},{"dropping-particle":"","family":"Bhuvaneswari","given":"Kandasamy","non-dropping-particle":"","parse-names":false,"suffix":""},{"dropping-particle":"","family":"Shanmugam","given":"Paramasivam","non-dropping-particle":"","parse-names":false,"suffix":""},{"dropping-particle":"","family":"Pazhanivel","given":"Thangavelu","non-dropping-particle":"","parse-names":false,"suffix":""},{"dropping-particle":"","family":"Arunachalam","given":"Prabhakarn","non-dropping-particle":"","parse-names":false,"suffix":""}],"container-title":"Coatings","id":"ITEM-1","issue":"5","issued":{"date-parts":[["2020","5"]]},"page":"500","title":"Synthesis and Characterization of Efficient ZnO/g-C3N4 Nanocomposites Photocatalyst for Photocatalytic Degradation of Methylene Blue","type":"article-journal","volume":"10"},"uris":["http://www.mendeley.com/documents/?uuid=2ba58641-0418-4201-a9e7-da96d5860c3d","http://www.mendeley.com/documents/?uuid=fd9370f4-d40c-4042-95f3-0a338397178d","http://www.mendeley.com/documents/?uuid=e6ee83ac-4b84-4d0f-81fa-b7c2108c7a0c"]}],"mendeley":{"formattedCitation":"[17]","plainTextFormattedCitation":"[17]","previouslyFormattedCitation":"[15]"},"properties":{"noteIndex":0},"schema":"https://github.com/citation-style-language/schema/raw/master/csl-citation.json"}</w:instrText>
      </w:r>
      <w:r w:rsidRPr="00BE4F00">
        <w:rPr>
          <w:sz w:val="24"/>
          <w:szCs w:val="24"/>
        </w:rPr>
        <w:fldChar w:fldCharType="separate"/>
      </w:r>
      <w:r w:rsidR="00695713" w:rsidRPr="00BE4F00">
        <w:rPr>
          <w:noProof/>
          <w:sz w:val="24"/>
          <w:szCs w:val="24"/>
        </w:rPr>
        <w:t>[17]</w:t>
      </w:r>
      <w:r w:rsidRPr="00BE4F00">
        <w:rPr>
          <w:sz w:val="24"/>
          <w:szCs w:val="24"/>
        </w:rPr>
        <w:fldChar w:fldCharType="end"/>
      </w:r>
      <w:r w:rsidRPr="00BE4F00">
        <w:t>.</w:t>
      </w:r>
      <w:r w:rsidR="004C0E85" w:rsidRPr="00BE4F00">
        <w:t xml:space="preserve"> These diffraction features, as further illustrated in </w:t>
      </w:r>
      <w:r w:rsidR="004C0E85" w:rsidRPr="00BE4F00">
        <w:rPr>
          <w:b/>
          <w:bCs/>
        </w:rPr>
        <w:t>Figure 3b</w:t>
      </w:r>
      <w:r w:rsidR="004C0E85" w:rsidRPr="00BE4F00">
        <w:t>, confirm the typical of g-C₃N₄ characterized by its layered morphology and extended conjugated structure.</w:t>
      </w:r>
    </w:p>
    <w:p w14:paraId="31D24FD2" w14:textId="77777777" w:rsidR="000871ED" w:rsidRPr="00BE4F00" w:rsidRDefault="000871ED" w:rsidP="00370D5C">
      <w:pPr>
        <w:pStyle w:val="Paragraph"/>
        <w:jc w:val="center"/>
      </w:pPr>
    </w:p>
    <w:p w14:paraId="4E05AFDC" w14:textId="77777777" w:rsidR="00387E6C" w:rsidRPr="00BE4F00" w:rsidRDefault="00100BDA" w:rsidP="00387E6C">
      <w:pPr>
        <w:pStyle w:val="Paragraph"/>
        <w:keepNext/>
      </w:pPr>
      <w:r w:rsidRPr="00BE4F00">
        <w:rPr>
          <w:noProof/>
        </w:rPr>
        <w:drawing>
          <wp:inline distT="0" distB="0" distL="0" distR="0" wp14:anchorId="4FE626C9" wp14:editId="498D4BDD">
            <wp:extent cx="5995167" cy="2428214"/>
            <wp:effectExtent l="0" t="0" r="0" b="0"/>
            <wp:docPr id="18493960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11889" cy="2434987"/>
                    </a:xfrm>
                    <a:prstGeom prst="rect">
                      <a:avLst/>
                    </a:prstGeom>
                    <a:noFill/>
                  </pic:spPr>
                </pic:pic>
              </a:graphicData>
            </a:graphic>
          </wp:inline>
        </w:drawing>
      </w:r>
    </w:p>
    <w:p w14:paraId="03FC0E38" w14:textId="28A6BC65" w:rsidR="000744DC" w:rsidRPr="00BE4F00" w:rsidRDefault="00387E6C" w:rsidP="00387E6C">
      <w:pPr>
        <w:pStyle w:val="Caption"/>
        <w:jc w:val="center"/>
        <w:rPr>
          <w:b w:val="0"/>
          <w:bCs w:val="0"/>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3</w:t>
      </w:r>
      <w:r w:rsidRPr="00BE4F00">
        <w:rPr>
          <w:b w:val="0"/>
          <w:bCs w:val="0"/>
        </w:rPr>
        <w:fldChar w:fldCharType="end"/>
      </w:r>
      <w:r w:rsidRPr="00BE4F00">
        <w:rPr>
          <w:b w:val="0"/>
          <w:bCs w:val="0"/>
        </w:rPr>
        <w:t xml:space="preserve">. </w:t>
      </w:r>
      <w:r w:rsidRPr="00BE4F00">
        <w:rPr>
          <w:b w:val="0"/>
          <w:bCs w:val="0"/>
          <w:sz w:val="18"/>
          <w:szCs w:val="18"/>
        </w:rPr>
        <w:t>XRD (a) and structure (b) of g-C₃N₄</w:t>
      </w:r>
    </w:p>
    <w:p w14:paraId="0C038166" w14:textId="77777777" w:rsidR="00FF6B58" w:rsidRPr="00BE4F00" w:rsidRDefault="00FF6B58" w:rsidP="00713730">
      <w:pPr>
        <w:pStyle w:val="RSCB02ArticleText"/>
        <w:spacing w:line="240" w:lineRule="auto"/>
        <w:ind w:firstLine="720"/>
        <w:rPr>
          <w:rFonts w:ascii="Times New Roman" w:hAnsi="Times New Roman"/>
          <w:sz w:val="20"/>
          <w:szCs w:val="20"/>
        </w:rPr>
      </w:pPr>
    </w:p>
    <w:p w14:paraId="6133C1CC" w14:textId="129C58CE" w:rsidR="0095604B" w:rsidRPr="00BE4F00" w:rsidRDefault="00707A5B" w:rsidP="00713730">
      <w:pPr>
        <w:pStyle w:val="RSCB02ArticleText"/>
        <w:spacing w:line="240" w:lineRule="auto"/>
        <w:ind w:firstLine="720"/>
        <w:rPr>
          <w:rFonts w:ascii="Times New Roman" w:hAnsi="Times New Roman"/>
          <w:sz w:val="20"/>
          <w:szCs w:val="20"/>
        </w:rPr>
      </w:pPr>
      <w:r w:rsidRPr="00BE4F00">
        <w:rPr>
          <w:rFonts w:ascii="Times New Roman" w:hAnsi="Times New Roman"/>
          <w:sz w:val="20"/>
          <w:szCs w:val="20"/>
        </w:rPr>
        <w:t>The SEM micrograph of g-C</w:t>
      </w:r>
      <w:r w:rsidR="00D73DCB" w:rsidRPr="00BE4F00">
        <w:rPr>
          <w:rFonts w:ascii="Times New Roman" w:hAnsi="Times New Roman"/>
          <w:sz w:val="20"/>
          <w:szCs w:val="20"/>
          <w:vertAlign w:val="subscript"/>
        </w:rPr>
        <w:t>3</w:t>
      </w:r>
      <w:r w:rsidRPr="00BE4F00">
        <w:rPr>
          <w:rFonts w:ascii="Times New Roman" w:hAnsi="Times New Roman"/>
          <w:sz w:val="20"/>
          <w:szCs w:val="20"/>
        </w:rPr>
        <w:t>N</w:t>
      </w:r>
      <w:r w:rsidR="00D73DCB" w:rsidRPr="00BE4F00">
        <w:rPr>
          <w:rFonts w:ascii="Times New Roman" w:hAnsi="Times New Roman"/>
          <w:sz w:val="20"/>
          <w:szCs w:val="20"/>
          <w:vertAlign w:val="subscript"/>
        </w:rPr>
        <w:t>4</w:t>
      </w:r>
      <w:r w:rsidRPr="00BE4F00">
        <w:rPr>
          <w:rFonts w:ascii="Times New Roman" w:hAnsi="Times New Roman"/>
          <w:sz w:val="20"/>
          <w:szCs w:val="20"/>
        </w:rPr>
        <w:t xml:space="preserve"> (</w:t>
      </w:r>
      <w:r w:rsidRPr="00BE4F00">
        <w:rPr>
          <w:rFonts w:ascii="Times New Roman" w:hAnsi="Times New Roman"/>
          <w:b/>
          <w:bCs/>
          <w:sz w:val="20"/>
          <w:szCs w:val="20"/>
        </w:rPr>
        <w:t>Figure 4</w:t>
      </w:r>
      <w:r w:rsidRPr="00BE4F00">
        <w:rPr>
          <w:rFonts w:ascii="Times New Roman" w:hAnsi="Times New Roman"/>
          <w:sz w:val="20"/>
          <w:szCs w:val="20"/>
        </w:rPr>
        <w:t>) reveals that the material exhibits an aggregated morphology with a dominant flake-like appearance. These flake-like structures indicate the layered nature of g-C</w:t>
      </w:r>
      <w:r w:rsidR="00D73DCB" w:rsidRPr="00BE4F00">
        <w:rPr>
          <w:rFonts w:ascii="Times New Roman" w:hAnsi="Times New Roman"/>
          <w:sz w:val="20"/>
          <w:szCs w:val="20"/>
          <w:vertAlign w:val="subscript"/>
        </w:rPr>
        <w:t>3</w:t>
      </w:r>
      <w:r w:rsidRPr="00BE4F00">
        <w:rPr>
          <w:rFonts w:ascii="Times New Roman" w:hAnsi="Times New Roman"/>
          <w:sz w:val="20"/>
          <w:szCs w:val="20"/>
        </w:rPr>
        <w:t>N</w:t>
      </w:r>
      <w:r w:rsidR="00D73DCB" w:rsidRPr="00BE4F00">
        <w:rPr>
          <w:rFonts w:ascii="Times New Roman" w:hAnsi="Times New Roman"/>
          <w:sz w:val="20"/>
          <w:szCs w:val="20"/>
          <w:vertAlign w:val="subscript"/>
        </w:rPr>
        <w:t>4</w:t>
      </w:r>
      <w:r w:rsidRPr="00BE4F00">
        <w:rPr>
          <w:rFonts w:ascii="Times New Roman" w:hAnsi="Times New Roman"/>
          <w:sz w:val="20"/>
          <w:szCs w:val="20"/>
        </w:rPr>
        <w:t>, which is consistent with its graphitic structure composed of stacked conjugated sheets. The observed morphology also demonstrates irregular shapes and varying sizes of the flakes, suggesting partial exfoliation and aggregation during the synthesis process</w:t>
      </w:r>
      <w:r w:rsidR="0065527C" w:rsidRPr="00BE4F00">
        <w:rPr>
          <w:rFonts w:ascii="Times New Roman" w:hAnsi="Times New Roman"/>
          <w:sz w:val="20"/>
          <w:szCs w:val="20"/>
        </w:rPr>
        <w:t xml:space="preserve"> </w:t>
      </w:r>
      <w:r w:rsidR="0065527C" w:rsidRPr="00BE4F00">
        <w:rPr>
          <w:rFonts w:ascii="Times New Roman" w:hAnsi="Times New Roman"/>
          <w:sz w:val="20"/>
          <w:szCs w:val="20"/>
        </w:rPr>
        <w:fldChar w:fldCharType="begin" w:fldLock="1"/>
      </w:r>
      <w:r w:rsidR="00695713" w:rsidRPr="00BE4F00">
        <w:rPr>
          <w:rFonts w:ascii="Times New Roman" w:hAnsi="Times New Roman"/>
          <w:sz w:val="20"/>
          <w:szCs w:val="20"/>
        </w:rPr>
        <w:instrText>ADDIN CSL_CITATION {"citationItems":[{"id":"ITEM-1","itemData":{"DOI":"10.1016/j.chphi.2024.100577","ISSN":"26670224","abstract":"Recently, the widespread use of industrial dyes, such as methylene blue, is raising concerns about organic pollutants. These compounds can persist in the environment, contaminating water sources and harming aquatic ecosystems. The aim of the current study is to develop a nano-composite by mechanically grinding graphitic carbon nitride g-C3N4 and hematite α-Fe2O3, which cloud potentially be used for degradation of Methylene bleu organic pollutant. The obtained heterojunction nanocomposite, named 1 % α-Fe2O3/g-C3N4 (Fe/gCN), was characterized using XRD, ATR-FTIR, and SEM-EDS analysis. The industrial methylene blue (MB) dye was used to assess the visible light photodegradation efficiency of the Fe/gCN nanocomposite. The findings revealed a notable improvement in the photocatalytic degradation performance of the Fe/gCN nanocomposite. Furthermore, the band gap of Fe/gCN nanocomposite was narrowed from 2,78 to 2,54 eV Comparing to gCN alone. Compared with pure α-Fe2O3 and gCN, the Fe/gCN nanoparticles showed enhanced visible-light-induced photocatalytic performance which degrade efficiently 99,64 % of MB dye. The optimal conditions were determined as: pH =10,3, photocatalyst mass of 0,6 g/l and contact time t = 120 min for the Fe/gCN composite. •OH and •O2− radicals were identified as the dominant active species responsible for MB degradation and played the most crucial roles, while h+ and e− radicals were less contributing in MB photocatalytic elimination. Kinetic studies indicated that the MB photocatalytic decomposition of by Fe/gCN followed a pseudo second-order (PSO) model. These findings underscore the great potential of Fe/gCN nanocomposite for the visible light-induced MB dye photodecomposition.","author":[{"dropping-particle":"","family":"Hmamouchi","given":"Soufiane","non-dropping-particle":"","parse-names":false,"suffix":""},{"dropping-particle":"El","family":"Yacoubi","given":"Ahmed","non-dropping-particle":"","parse-names":false,"suffix":""},{"dropping-particle":"El","family":"Hezzat","given":"Mounir","non-dropping-particle":"","parse-names":false,"suffix":""},{"dropping-particle":"","family":"Sallek","given":"Brahim","non-dropping-particle":"","parse-names":false,"suffix":""},{"dropping-particle":"El","family":"Idrissi","given":"Brahim Chafik","non-dropping-particle":"","parse-names":false,"suffix":""}],"container-title":"Chemical Physics Impact","id":"ITEM-1","issue":"December 2023","issued":{"date-parts":[["2024"]]},"page":"100577","publisher":"Elsevier B.V.","title":"α-Fe2O3/g-C3N4 nanocomposite with type II heterojunction for methylene blue photodegradation","type":"article-journal","volume":"8"},"uris":["http://www.mendeley.com/documents/?uuid=f8b49c61-5408-47aa-9e78-c0a16f93f720","http://www.mendeley.com/documents/?uuid=b935872f-454b-45fa-aeda-3b4ed5932c84"]}],"mendeley":{"formattedCitation":"[18]","plainTextFormattedCitation":"[18]","previouslyFormattedCitation":"[16]"},"properties":{"noteIndex":0},"schema":"https://github.com/citation-style-language/schema/raw/master/csl-citation.json"}</w:instrText>
      </w:r>
      <w:r w:rsidR="0065527C" w:rsidRPr="00BE4F00">
        <w:rPr>
          <w:rFonts w:ascii="Times New Roman" w:hAnsi="Times New Roman"/>
          <w:sz w:val="20"/>
          <w:szCs w:val="20"/>
        </w:rPr>
        <w:fldChar w:fldCharType="separate"/>
      </w:r>
      <w:r w:rsidR="00695713" w:rsidRPr="00BE4F00">
        <w:rPr>
          <w:rFonts w:ascii="Times New Roman" w:hAnsi="Times New Roman"/>
          <w:noProof/>
          <w:sz w:val="20"/>
          <w:szCs w:val="20"/>
        </w:rPr>
        <w:t>[18]</w:t>
      </w:r>
      <w:r w:rsidR="0065527C" w:rsidRPr="00BE4F00">
        <w:rPr>
          <w:rFonts w:ascii="Times New Roman" w:hAnsi="Times New Roman"/>
          <w:sz w:val="20"/>
          <w:szCs w:val="20"/>
        </w:rPr>
        <w:fldChar w:fldCharType="end"/>
      </w:r>
      <w:r w:rsidRPr="00BE4F00">
        <w:rPr>
          <w:rFonts w:ascii="Times New Roman" w:hAnsi="Times New Roman"/>
          <w:sz w:val="20"/>
          <w:szCs w:val="20"/>
        </w:rPr>
        <w:t xml:space="preserve">. </w:t>
      </w:r>
      <w:r w:rsidR="002A3F7D" w:rsidRPr="00BE4F00">
        <w:rPr>
          <w:rFonts w:ascii="Times New Roman" w:hAnsi="Times New Roman"/>
          <w:sz w:val="20"/>
          <w:szCs w:val="20"/>
          <w:lang w:val="en-US"/>
        </w:rPr>
        <w:t xml:space="preserve">Such features are commonly reported for </w:t>
      </w:r>
      <w:r w:rsidR="00DD12D4" w:rsidRPr="00BE4F00">
        <w:rPr>
          <w:rFonts w:ascii="Times New Roman" w:hAnsi="Times New Roman"/>
          <w:sz w:val="20"/>
          <w:szCs w:val="20"/>
        </w:rPr>
        <w:t>g-C</w:t>
      </w:r>
      <w:r w:rsidR="00DD12D4" w:rsidRPr="00BE4F00">
        <w:rPr>
          <w:rFonts w:ascii="Times New Roman" w:hAnsi="Times New Roman"/>
          <w:sz w:val="20"/>
          <w:szCs w:val="20"/>
          <w:vertAlign w:val="subscript"/>
        </w:rPr>
        <w:t>3</w:t>
      </w:r>
      <w:r w:rsidR="00DD12D4" w:rsidRPr="00BE4F00">
        <w:rPr>
          <w:rFonts w:ascii="Times New Roman" w:hAnsi="Times New Roman"/>
          <w:sz w:val="20"/>
          <w:szCs w:val="20"/>
        </w:rPr>
        <w:t>N</w:t>
      </w:r>
      <w:r w:rsidR="00DD12D4" w:rsidRPr="00BE4F00">
        <w:rPr>
          <w:rFonts w:ascii="Times New Roman" w:hAnsi="Times New Roman"/>
          <w:sz w:val="20"/>
          <w:szCs w:val="20"/>
          <w:vertAlign w:val="subscript"/>
        </w:rPr>
        <w:t>4</w:t>
      </w:r>
      <w:r w:rsidR="002A3F7D" w:rsidRPr="00BE4F00">
        <w:rPr>
          <w:rFonts w:ascii="Times New Roman" w:hAnsi="Times New Roman"/>
          <w:sz w:val="20"/>
          <w:szCs w:val="20"/>
          <w:lang w:val="en-US"/>
        </w:rPr>
        <w:t xml:space="preserve"> prepared via thermal polymerization methods, where the condensation of precursor molecules leads to the formation of nanosheets that subsequently restack</w:t>
      </w:r>
      <w:r w:rsidR="006E65A7" w:rsidRPr="00BE4F00">
        <w:rPr>
          <w:rFonts w:ascii="Times New Roman" w:hAnsi="Times New Roman"/>
          <w:sz w:val="20"/>
          <w:szCs w:val="20"/>
          <w:lang w:val="en-US"/>
        </w:rPr>
        <w:t xml:space="preserve"> </w:t>
      </w:r>
      <w:r w:rsidR="008E1A03" w:rsidRPr="00BE4F00">
        <w:rPr>
          <w:rFonts w:ascii="Times New Roman" w:hAnsi="Times New Roman"/>
          <w:sz w:val="20"/>
          <w:szCs w:val="20"/>
          <w:lang w:val="en-US"/>
        </w:rPr>
        <w:fldChar w:fldCharType="begin" w:fldLock="1"/>
      </w:r>
      <w:r w:rsidR="00695713" w:rsidRPr="00BE4F00">
        <w:rPr>
          <w:rFonts w:ascii="Times New Roman" w:hAnsi="Times New Roman"/>
          <w:sz w:val="20"/>
          <w:szCs w:val="20"/>
          <w:lang w:val="en-US"/>
        </w:rPr>
        <w:instrText>ADDIN CSL_CITATION {"citationItems":[{"id":"ITEM-1","itemData":{"DOI":"10.1016/j.ceramint.2018.06.105","ISSN":"02728842","abstract":"g-C3N4 has received extensive attention because of its good chemical stability and environmental friendliness. Since g-C3N4 prepared from various precursors had different photocatalytic activities, g-C3N4 materials marked as U-gCN, D-gCN and M-gCN were synthesized from various precursors of urea, dicyandiamide and melamine, respectively. The D-gCN and M-gCN with smaller surface area were heated again to obtain exfoliated g-C3N4 with 2D nanosheet morphology and larger specific surface area named D-gCN-L and M-gCN-L, respectively. The synthesized bulk g-C3N4 and g-C3N4 2D nanosheets were characterized by XRD, SEM, BET, PL, UV–Vis diffuse reflectance spectroscopy, XPS, zeta potential and TG. The photocatalytic degradation of methylene blue (MB) was carried out on U-gCN, D-gCN, M-gCN, D-gCN-L and M-gCN-L, and D-gCN-L shows the highest photocatalytic degradation performance because of its larger specific surface area, lower electron-hole recombination and wide light absorption range.","author":[{"dropping-particle":"","family":"Yang","given":"Lirong","non-dropping-particle":"","parse-names":false,"suffix":""},{"dropping-particle":"","family":"Liu","given":"Xiaoyu","non-dropping-particle":"","parse-names":false,"suffix":""},{"dropping-particle":"","family":"Liu","given":"Zhigang","non-dropping-particle":"","parse-names":false,"suffix":""},{"dropping-particle":"","family":"Wang","given":"Chunmei","non-dropping-particle":"","parse-names":false,"suffix":""},{"dropping-particle":"","family":"Liu","given":"Gang","non-dropping-particle":"","parse-names":false,"suffix":""},{"dropping-particle":"","family":"Li","given":"Qinglong","non-dropping-particle":"","parse-names":false,"suffix":""},{"dropping-particle":"","family":"Feng","given":"Xiaoxin","non-dropping-particle":"","parse-names":false,"suffix":""}],"container-title":"Ceramics International","id":"ITEM-1","issue":"17","issued":{"date-parts":[["2018"]]},"page":"20613-20619","publisher":"Elsevier Ltd and Techna Group S.r.l.","title":"Enhanced photocatalytic activity of g-C3N4 2D nanosheets through thermal exfoliation using dicyandiamide as precursor","type":"article-journal","volume":"44"},"uris":["http://www.mendeley.com/documents/?uuid=7fbdbc8a-9010-4cb3-9271-257f4949bd0d","http://www.mendeley.com/documents/?uuid=91ba9ced-2093-4b29-acb7-8e42fb244bdd"]}],"mendeley":{"formattedCitation":"[19]","plainTextFormattedCitation":"[19]","previouslyFormattedCitation":"[17]"},"properties":{"noteIndex":0},"schema":"https://github.com/citation-style-language/schema/raw/master/csl-citation.json"}</w:instrText>
      </w:r>
      <w:r w:rsidR="008E1A03" w:rsidRPr="00BE4F00">
        <w:rPr>
          <w:rFonts w:ascii="Times New Roman" w:hAnsi="Times New Roman"/>
          <w:sz w:val="20"/>
          <w:szCs w:val="20"/>
          <w:lang w:val="en-US"/>
        </w:rPr>
        <w:fldChar w:fldCharType="separate"/>
      </w:r>
      <w:r w:rsidR="00695713" w:rsidRPr="00BE4F00">
        <w:rPr>
          <w:rFonts w:ascii="Times New Roman" w:hAnsi="Times New Roman"/>
          <w:noProof/>
          <w:sz w:val="20"/>
          <w:szCs w:val="20"/>
          <w:lang w:val="en-US"/>
        </w:rPr>
        <w:t>[19]</w:t>
      </w:r>
      <w:r w:rsidR="008E1A03" w:rsidRPr="00BE4F00">
        <w:rPr>
          <w:rFonts w:ascii="Times New Roman" w:hAnsi="Times New Roman"/>
          <w:sz w:val="20"/>
          <w:szCs w:val="20"/>
          <w:lang w:val="en-US"/>
        </w:rPr>
        <w:fldChar w:fldCharType="end"/>
      </w:r>
      <w:r w:rsidR="002A3F7D" w:rsidRPr="00BE4F00">
        <w:rPr>
          <w:rFonts w:ascii="Times New Roman" w:hAnsi="Times New Roman"/>
          <w:sz w:val="20"/>
          <w:szCs w:val="20"/>
          <w:lang w:val="en-US"/>
        </w:rPr>
        <w:t xml:space="preserve">. This phenomenon is further attributed to the thermal expansion of the air trapped between the layers, which causes the cleavage of hydrogen bonds and facilitates the separation of </w:t>
      </w:r>
      <w:r w:rsidR="00DD12D4" w:rsidRPr="00BE4F00">
        <w:rPr>
          <w:rFonts w:ascii="Times New Roman" w:hAnsi="Times New Roman"/>
          <w:sz w:val="20"/>
          <w:szCs w:val="20"/>
        </w:rPr>
        <w:t>g-C</w:t>
      </w:r>
      <w:r w:rsidR="00DD12D4" w:rsidRPr="00BE4F00">
        <w:rPr>
          <w:rFonts w:ascii="Times New Roman" w:hAnsi="Times New Roman"/>
          <w:sz w:val="20"/>
          <w:szCs w:val="20"/>
          <w:vertAlign w:val="subscript"/>
        </w:rPr>
        <w:t>3</w:t>
      </w:r>
      <w:r w:rsidR="00DD12D4" w:rsidRPr="00BE4F00">
        <w:rPr>
          <w:rFonts w:ascii="Times New Roman" w:hAnsi="Times New Roman"/>
          <w:sz w:val="20"/>
          <w:szCs w:val="20"/>
        </w:rPr>
        <w:t>N</w:t>
      </w:r>
      <w:r w:rsidR="00DD12D4" w:rsidRPr="00BE4F00">
        <w:rPr>
          <w:rFonts w:ascii="Times New Roman" w:hAnsi="Times New Roman"/>
          <w:sz w:val="20"/>
          <w:szCs w:val="20"/>
          <w:vertAlign w:val="subscript"/>
        </w:rPr>
        <w:t>4</w:t>
      </w:r>
      <w:r w:rsidR="002A3F7D" w:rsidRPr="00BE4F00">
        <w:rPr>
          <w:rFonts w:ascii="Times New Roman" w:hAnsi="Times New Roman"/>
          <w:sz w:val="20"/>
          <w:szCs w:val="20"/>
          <w:lang w:val="en-US"/>
        </w:rPr>
        <w:t xml:space="preserve"> sheets</w:t>
      </w:r>
      <w:r w:rsidR="00C52BEC" w:rsidRPr="00BE4F00">
        <w:rPr>
          <w:rFonts w:ascii="Times New Roman" w:hAnsi="Times New Roman"/>
          <w:sz w:val="20"/>
          <w:szCs w:val="20"/>
        </w:rPr>
        <w:t>.</w:t>
      </w:r>
    </w:p>
    <w:p w14:paraId="3D793FD3" w14:textId="77777777" w:rsidR="00FA370B" w:rsidRPr="00BE4F00" w:rsidRDefault="00387E6C" w:rsidP="00FA370B">
      <w:pPr>
        <w:pStyle w:val="RSCB02ArticleText"/>
        <w:keepNext/>
        <w:spacing w:line="240" w:lineRule="auto"/>
        <w:jc w:val="center"/>
      </w:pPr>
      <w:r w:rsidRPr="00BE4F00">
        <w:rPr>
          <w:rFonts w:ascii="Times New Roman" w:hAnsi="Times New Roman"/>
          <w:noProof/>
          <w:sz w:val="20"/>
          <w:szCs w:val="20"/>
        </w:rPr>
        <w:drawing>
          <wp:inline distT="0" distB="0" distL="0" distR="0" wp14:anchorId="5DD113F1" wp14:editId="373E1F8F">
            <wp:extent cx="3075515" cy="2306638"/>
            <wp:effectExtent l="0" t="0" r="0" b="0"/>
            <wp:docPr id="931913517" name="Picture 1" descr="A close-up of a grey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913517" name="Picture 1" descr="A close-up of a grey object&#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88781" cy="2316587"/>
                    </a:xfrm>
                    <a:prstGeom prst="rect">
                      <a:avLst/>
                    </a:prstGeom>
                  </pic:spPr>
                </pic:pic>
              </a:graphicData>
            </a:graphic>
          </wp:inline>
        </w:drawing>
      </w:r>
    </w:p>
    <w:p w14:paraId="5F473767" w14:textId="64AF34CC" w:rsidR="0095604B" w:rsidRPr="00BE4F00" w:rsidRDefault="00FA370B" w:rsidP="00FA370B">
      <w:pPr>
        <w:pStyle w:val="Caption"/>
        <w:jc w:val="center"/>
        <w:rPr>
          <w:b w:val="0"/>
          <w:bCs w:val="0"/>
          <w:sz w:val="18"/>
          <w:szCs w:val="18"/>
          <w:vertAlign w:val="subscript"/>
        </w:rPr>
      </w:pPr>
      <w:r w:rsidRPr="00BE4F00">
        <w:rPr>
          <w:b w:val="0"/>
          <w:bCs w:val="0"/>
          <w:sz w:val="18"/>
          <w:szCs w:val="18"/>
        </w:rPr>
        <w:t xml:space="preserve">Figure </w:t>
      </w:r>
      <w:r w:rsidRPr="00BE4F00">
        <w:rPr>
          <w:b w:val="0"/>
          <w:bCs w:val="0"/>
          <w:sz w:val="18"/>
          <w:szCs w:val="18"/>
        </w:rPr>
        <w:fldChar w:fldCharType="begin"/>
      </w:r>
      <w:r w:rsidRPr="00BE4F00">
        <w:rPr>
          <w:b w:val="0"/>
          <w:bCs w:val="0"/>
          <w:sz w:val="18"/>
          <w:szCs w:val="18"/>
        </w:rPr>
        <w:instrText xml:space="preserve"> SEQ Figure \* ARABIC </w:instrText>
      </w:r>
      <w:r w:rsidRPr="00BE4F00">
        <w:rPr>
          <w:b w:val="0"/>
          <w:bCs w:val="0"/>
          <w:sz w:val="18"/>
          <w:szCs w:val="18"/>
        </w:rPr>
        <w:fldChar w:fldCharType="separate"/>
      </w:r>
      <w:r w:rsidR="00F1219F">
        <w:rPr>
          <w:b w:val="0"/>
          <w:bCs w:val="0"/>
          <w:noProof/>
          <w:sz w:val="18"/>
          <w:szCs w:val="18"/>
        </w:rPr>
        <w:t>4</w:t>
      </w:r>
      <w:r w:rsidRPr="00BE4F00">
        <w:rPr>
          <w:b w:val="0"/>
          <w:bCs w:val="0"/>
          <w:sz w:val="18"/>
          <w:szCs w:val="18"/>
        </w:rPr>
        <w:fldChar w:fldCharType="end"/>
      </w:r>
      <w:r w:rsidRPr="00BE4F00">
        <w:rPr>
          <w:b w:val="0"/>
          <w:bCs w:val="0"/>
          <w:sz w:val="18"/>
          <w:szCs w:val="18"/>
        </w:rPr>
        <w:t>. SEM of g-C</w:t>
      </w:r>
      <w:r w:rsidRPr="00BE4F00">
        <w:rPr>
          <w:b w:val="0"/>
          <w:bCs w:val="0"/>
          <w:sz w:val="18"/>
          <w:szCs w:val="18"/>
          <w:vertAlign w:val="subscript"/>
        </w:rPr>
        <w:t>3</w:t>
      </w:r>
      <w:r w:rsidRPr="00BE4F00">
        <w:rPr>
          <w:b w:val="0"/>
          <w:bCs w:val="0"/>
          <w:sz w:val="18"/>
          <w:szCs w:val="18"/>
        </w:rPr>
        <w:t>N</w:t>
      </w:r>
      <w:r w:rsidRPr="00BE4F00">
        <w:rPr>
          <w:b w:val="0"/>
          <w:bCs w:val="0"/>
          <w:sz w:val="18"/>
          <w:szCs w:val="18"/>
          <w:vertAlign w:val="subscript"/>
        </w:rPr>
        <w:t>4</w:t>
      </w:r>
    </w:p>
    <w:p w14:paraId="6D4D2EC4" w14:textId="77777777" w:rsidR="00FA370B" w:rsidRPr="00BE4F00" w:rsidRDefault="00FA370B" w:rsidP="00FA370B"/>
    <w:p w14:paraId="4D2CE07E" w14:textId="77777777" w:rsidR="00724003" w:rsidRPr="00BE4F00" w:rsidRDefault="00724003" w:rsidP="00713730">
      <w:pPr>
        <w:pStyle w:val="RSCB02ArticleText"/>
        <w:spacing w:line="240" w:lineRule="auto"/>
        <w:ind w:firstLine="720"/>
        <w:rPr>
          <w:rFonts w:ascii="Times New Roman" w:hAnsi="Times New Roman"/>
          <w:sz w:val="20"/>
          <w:szCs w:val="20"/>
        </w:rPr>
      </w:pPr>
    </w:p>
    <w:p w14:paraId="03E80A33" w14:textId="04DB5978" w:rsidR="00D428E1" w:rsidRPr="00BE4F00" w:rsidRDefault="00516F62" w:rsidP="00713730">
      <w:pPr>
        <w:pStyle w:val="RSCB02ArticleText"/>
        <w:spacing w:line="240" w:lineRule="auto"/>
        <w:ind w:firstLine="720"/>
        <w:rPr>
          <w:rFonts w:ascii="Times New Roman" w:hAnsi="Times New Roman"/>
          <w:sz w:val="20"/>
          <w:szCs w:val="20"/>
        </w:rPr>
      </w:pPr>
      <w:r w:rsidRPr="00BE4F00">
        <w:rPr>
          <w:rFonts w:ascii="Times New Roman" w:hAnsi="Times New Roman"/>
          <w:sz w:val="20"/>
          <w:szCs w:val="20"/>
          <w:lang w:val="en-US"/>
        </w:rPr>
        <w:t>The nitrogen adsorption–desorption isotherm of g-C</w:t>
      </w:r>
      <w:r w:rsidR="003156D1" w:rsidRPr="00BE4F00">
        <w:rPr>
          <w:rFonts w:ascii="Times New Roman" w:hAnsi="Times New Roman"/>
          <w:sz w:val="20"/>
          <w:szCs w:val="20"/>
          <w:vertAlign w:val="subscript"/>
          <w:lang w:val="en-US"/>
        </w:rPr>
        <w:t>3</w:t>
      </w:r>
      <w:r w:rsidRPr="00BE4F00">
        <w:rPr>
          <w:rFonts w:ascii="Times New Roman" w:hAnsi="Times New Roman"/>
          <w:sz w:val="20"/>
          <w:szCs w:val="20"/>
          <w:lang w:val="en-US"/>
        </w:rPr>
        <w:t>N</w:t>
      </w:r>
      <w:r w:rsidR="003156D1" w:rsidRPr="00BE4F00">
        <w:rPr>
          <w:rFonts w:ascii="Times New Roman" w:hAnsi="Times New Roman"/>
          <w:sz w:val="20"/>
          <w:szCs w:val="20"/>
          <w:vertAlign w:val="subscript"/>
          <w:lang w:val="en-US"/>
        </w:rPr>
        <w:t>4</w:t>
      </w:r>
      <w:r w:rsidRPr="00BE4F00">
        <w:rPr>
          <w:rFonts w:ascii="Times New Roman" w:hAnsi="Times New Roman"/>
          <w:sz w:val="20"/>
          <w:szCs w:val="20"/>
          <w:lang w:val="en-US"/>
        </w:rPr>
        <w:t xml:space="preserve"> exhibits a typical type IV profile, which is characteristic of mesoporous materials. The presence of a hysteresis loop further confirms the existence of mesopores formed by the stacking of g-C</w:t>
      </w:r>
      <w:r w:rsidR="003156D1" w:rsidRPr="00BE4F00">
        <w:rPr>
          <w:rFonts w:ascii="Times New Roman" w:hAnsi="Times New Roman"/>
          <w:sz w:val="20"/>
          <w:szCs w:val="20"/>
          <w:vertAlign w:val="subscript"/>
          <w:lang w:val="en-US"/>
        </w:rPr>
        <w:t>3</w:t>
      </w:r>
      <w:r w:rsidRPr="00BE4F00">
        <w:rPr>
          <w:rFonts w:ascii="Times New Roman" w:hAnsi="Times New Roman"/>
          <w:sz w:val="20"/>
          <w:szCs w:val="20"/>
          <w:lang w:val="en-US"/>
        </w:rPr>
        <w:t>N</w:t>
      </w:r>
      <w:r w:rsidR="003156D1" w:rsidRPr="00BE4F00">
        <w:rPr>
          <w:rFonts w:ascii="Times New Roman" w:hAnsi="Times New Roman"/>
          <w:sz w:val="20"/>
          <w:szCs w:val="20"/>
          <w:vertAlign w:val="subscript"/>
          <w:lang w:val="en-US"/>
        </w:rPr>
        <w:t>4</w:t>
      </w:r>
      <w:r w:rsidRPr="00BE4F00">
        <w:rPr>
          <w:rFonts w:ascii="Times New Roman" w:hAnsi="Times New Roman"/>
          <w:sz w:val="20"/>
          <w:szCs w:val="20"/>
          <w:lang w:val="en-US"/>
        </w:rPr>
        <w:t xml:space="preserve"> layers and the interparticle voids</w:t>
      </w:r>
      <w:r w:rsidR="00840BBE" w:rsidRPr="00BE4F00">
        <w:rPr>
          <w:rFonts w:ascii="Times New Roman" w:hAnsi="Times New Roman"/>
          <w:sz w:val="20"/>
          <w:szCs w:val="20"/>
          <w:lang w:val="en-US"/>
        </w:rPr>
        <w:fldChar w:fldCharType="begin" w:fldLock="1"/>
      </w:r>
      <w:r w:rsidR="00695713" w:rsidRPr="00BE4F00">
        <w:rPr>
          <w:rFonts w:ascii="Times New Roman" w:hAnsi="Times New Roman"/>
          <w:sz w:val="20"/>
          <w:szCs w:val="20"/>
          <w:lang w:val="en-US"/>
        </w:rPr>
        <w:instrText>ADDIN CSL_CITATION {"citationItems":[{"id":"ITEM-1","itemData":{"DOI":"10.1016/j.ultsonch.2022.106273","ISSN":"18732828","PMID":"36603463","abstract":"A series of porous S-doped carbon nitride ribbons (PSCN) were prepared by one-pot hydrothermal and sonochemical synthesis techniques. The morphologies and nanostructures of the catalysts were characterized by SEM, XRD and IR, which confirmed the pristine graphitic structures of carbon nitrides retained in the products. Due to sonication treatment, PSCN has porous structures in the thin ribbon and larger specific surface areas (PSCN 43.5 m2/g, SCN 26.6 m2/g and GCN 6.5 m2/g). XPS and elemental mappings verified that sulfur atoms were successfully introduced into the carbon nitride framework. Diffuse reflectance spectroscopy (DRS) results showed S-doping in the carbon nitride reduced the bandgap energy and enhanced their capability of the utilization of visible light, which contributed to higher photo-generated current. Photoluminescence (PL) analysis indicates the recombination of photogenerated carriers was suppressed in PSCN. Moreover, the photocatalytic performance showed that S-doping and porous and thin ribbon nanostructures may effectively boost the CO2 reduction rate (to as much as 5.8 times of GCN) when illuminated by visible light (&gt;420 nm) without the need of sacrificial materials. The preliminary mechanisms of the formation of PSCN and its applications in photocatalytic CO2 reduction are proposed. It highlights the potential of the current technique to produce effective, nonmetal-doped carbon nitride photocatalysts.","author":[{"dropping-particle":"","family":"Wang","given":"Jiabei","non-dropping-particle":"","parse-names":false,"suffix":""},{"dropping-particle":"","family":"Jiang","given":"Zhiqiang","non-dropping-particle":"","parse-names":false,"suffix":""}],"container-title":"Ultrasonics Sonochemistry","id":"ITEM-1","issue":"October 2022","issued":{"date-parts":[["2023"]]},"page":"106273","publisher":"Elsevier B.V.","title":"Ultrasonic-assisted synthesis of porous S-doped carbon nitride ribbons for photocatalytic reduction of CO2","type":"article-journal","volume":"92"},"uris":["http://www.mendeley.com/documents/?uuid=ee35bfa0-d8b5-4014-a392-398ba41e90fd","http://www.mendeley.com/documents/?uuid=208b9088-2ecb-4dad-b695-dae01538156b"]}],"mendeley":{"formattedCitation":"[20]","plainTextFormattedCitation":"[20]","previouslyFormattedCitation":"[18]"},"properties":{"noteIndex":0},"schema":"https://github.com/citation-style-language/schema/raw/master/csl-citation.json"}</w:instrText>
      </w:r>
      <w:r w:rsidR="00840BBE" w:rsidRPr="00BE4F00">
        <w:rPr>
          <w:rFonts w:ascii="Times New Roman" w:hAnsi="Times New Roman"/>
          <w:sz w:val="20"/>
          <w:szCs w:val="20"/>
          <w:lang w:val="en-US"/>
        </w:rPr>
        <w:fldChar w:fldCharType="separate"/>
      </w:r>
      <w:r w:rsidR="00695713" w:rsidRPr="00BE4F00">
        <w:rPr>
          <w:rFonts w:ascii="Times New Roman" w:hAnsi="Times New Roman"/>
          <w:noProof/>
          <w:sz w:val="20"/>
          <w:szCs w:val="20"/>
          <w:lang w:val="en-US"/>
        </w:rPr>
        <w:t>[20]</w:t>
      </w:r>
      <w:r w:rsidR="00840BBE" w:rsidRPr="00BE4F00">
        <w:rPr>
          <w:rFonts w:ascii="Times New Roman" w:hAnsi="Times New Roman"/>
          <w:sz w:val="20"/>
          <w:szCs w:val="20"/>
          <w:lang w:val="en-US"/>
        </w:rPr>
        <w:fldChar w:fldCharType="end"/>
      </w:r>
      <w:r w:rsidRPr="00BE4F00">
        <w:rPr>
          <w:rFonts w:ascii="Times New Roman" w:hAnsi="Times New Roman"/>
          <w:sz w:val="20"/>
          <w:szCs w:val="20"/>
          <w:lang w:val="en-US"/>
        </w:rPr>
        <w:t xml:space="preserve">. The specific surface area, calculated by the </w:t>
      </w:r>
      <w:proofErr w:type="spellStart"/>
      <w:r w:rsidRPr="00BE4F00">
        <w:rPr>
          <w:rFonts w:ascii="Times New Roman" w:hAnsi="Times New Roman"/>
          <w:sz w:val="20"/>
          <w:szCs w:val="20"/>
          <w:lang w:val="en-US"/>
        </w:rPr>
        <w:t>Brunauer</w:t>
      </w:r>
      <w:proofErr w:type="spellEnd"/>
      <w:r w:rsidRPr="00BE4F00">
        <w:rPr>
          <w:rFonts w:ascii="Times New Roman" w:hAnsi="Times New Roman"/>
          <w:sz w:val="20"/>
          <w:szCs w:val="20"/>
          <w:lang w:val="en-US"/>
        </w:rPr>
        <w:t xml:space="preserve">–Emmett–Teller (BET) method, was found to be </w:t>
      </w:r>
      <w:r w:rsidR="003B1B70" w:rsidRPr="00BE4F00">
        <w:rPr>
          <w:rFonts w:ascii="Times New Roman" w:hAnsi="Times New Roman"/>
          <w:sz w:val="20"/>
          <w:szCs w:val="20"/>
          <w:lang w:val="en-US"/>
        </w:rPr>
        <w:t>53.08</w:t>
      </w:r>
      <w:r w:rsidRPr="00BE4F00">
        <w:rPr>
          <w:rFonts w:ascii="Times New Roman" w:hAnsi="Times New Roman"/>
          <w:sz w:val="20"/>
          <w:szCs w:val="20"/>
          <w:lang w:val="en-US"/>
        </w:rPr>
        <w:t xml:space="preserve"> m</w:t>
      </w:r>
      <w:r w:rsidR="003156D1" w:rsidRPr="00BE4F00">
        <w:rPr>
          <w:rFonts w:ascii="Times New Roman" w:hAnsi="Times New Roman"/>
          <w:sz w:val="20"/>
          <w:szCs w:val="20"/>
          <w:vertAlign w:val="superscript"/>
          <w:lang w:val="en-US"/>
        </w:rPr>
        <w:t>2</w:t>
      </w:r>
      <w:r w:rsidRPr="00BE4F00">
        <w:rPr>
          <w:rFonts w:ascii="Times New Roman" w:hAnsi="Times New Roman"/>
          <w:sz w:val="20"/>
          <w:szCs w:val="20"/>
          <w:lang w:val="en-US"/>
        </w:rPr>
        <w:t>g</w:t>
      </w:r>
      <w:r w:rsidR="003156D1" w:rsidRPr="00BE4F00">
        <w:rPr>
          <w:rFonts w:ascii="Times New Roman" w:hAnsi="Times New Roman"/>
          <w:sz w:val="20"/>
          <w:szCs w:val="20"/>
          <w:vertAlign w:val="superscript"/>
          <w:lang w:val="en-US"/>
        </w:rPr>
        <w:t>-1</w:t>
      </w:r>
      <w:r w:rsidRPr="00BE4F00">
        <w:rPr>
          <w:rFonts w:ascii="Times New Roman" w:hAnsi="Times New Roman"/>
          <w:sz w:val="20"/>
          <w:szCs w:val="20"/>
          <w:lang w:val="en-US"/>
        </w:rPr>
        <w:t xml:space="preserve">. </w:t>
      </w:r>
      <w:r w:rsidR="00832229" w:rsidRPr="00BE4F00">
        <w:rPr>
          <w:rFonts w:ascii="Times New Roman" w:hAnsi="Times New Roman"/>
          <w:sz w:val="20"/>
          <w:szCs w:val="20"/>
          <w:lang w:val="en-US"/>
        </w:rPr>
        <w:t>Enhancement</w:t>
      </w:r>
      <w:r w:rsidRPr="00BE4F00">
        <w:rPr>
          <w:rFonts w:ascii="Times New Roman" w:hAnsi="Times New Roman"/>
          <w:sz w:val="20"/>
          <w:szCs w:val="20"/>
          <w:lang w:val="en-US"/>
        </w:rPr>
        <w:t xml:space="preserve"> in surface area provides a greater number of accessible active sites and facilitates mass transfer during photocatalytic processes.</w:t>
      </w:r>
      <w:r w:rsidR="003B1B70" w:rsidRPr="00BE4F00">
        <w:rPr>
          <w:rFonts w:ascii="Times New Roman" w:hAnsi="Times New Roman"/>
          <w:sz w:val="20"/>
          <w:szCs w:val="20"/>
          <w:lang w:val="en-US"/>
        </w:rPr>
        <w:t xml:space="preserve"> This mesoporous structure is favorable for the diffusion of reactant molecules, thereby contributing to improved photocatalytic activity.</w:t>
      </w:r>
    </w:p>
    <w:p w14:paraId="0AE1AB8C" w14:textId="77777777" w:rsidR="00D428E1" w:rsidRPr="00BE4F00" w:rsidRDefault="00D428E1" w:rsidP="00D428E1">
      <w:pPr>
        <w:pStyle w:val="RSCB02ArticleText"/>
        <w:keepNext/>
        <w:spacing w:line="240" w:lineRule="auto"/>
        <w:ind w:firstLine="720"/>
        <w:jc w:val="center"/>
      </w:pPr>
      <w:r w:rsidRPr="00BE4F00">
        <w:rPr>
          <w:rFonts w:ascii="Times New Roman" w:hAnsi="Times New Roman"/>
          <w:noProof/>
          <w:sz w:val="20"/>
          <w:szCs w:val="20"/>
        </w:rPr>
        <w:drawing>
          <wp:inline distT="0" distB="0" distL="0" distR="0" wp14:anchorId="09C60DA2" wp14:editId="17D4B40F">
            <wp:extent cx="3249903" cy="2599563"/>
            <wp:effectExtent l="0" t="0" r="8255" b="0"/>
            <wp:docPr id="1711975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75472" cy="2620015"/>
                    </a:xfrm>
                    <a:prstGeom prst="rect">
                      <a:avLst/>
                    </a:prstGeom>
                    <a:noFill/>
                  </pic:spPr>
                </pic:pic>
              </a:graphicData>
            </a:graphic>
          </wp:inline>
        </w:drawing>
      </w:r>
    </w:p>
    <w:p w14:paraId="512BF06C" w14:textId="7C8BA43F" w:rsidR="00D428E1" w:rsidRPr="00BE4F00" w:rsidRDefault="00D428E1" w:rsidP="00D428E1">
      <w:pPr>
        <w:pStyle w:val="Caption"/>
        <w:jc w:val="center"/>
        <w:rPr>
          <w:b w:val="0"/>
          <w:bCs w:val="0"/>
          <w:vertAlign w:val="subscript"/>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5</w:t>
      </w:r>
      <w:r w:rsidRPr="00BE4F00">
        <w:rPr>
          <w:b w:val="0"/>
          <w:bCs w:val="0"/>
        </w:rPr>
        <w:fldChar w:fldCharType="end"/>
      </w:r>
      <w:r w:rsidRPr="00BE4F00">
        <w:rPr>
          <w:b w:val="0"/>
          <w:bCs w:val="0"/>
        </w:rPr>
        <w:t xml:space="preserve">. </w:t>
      </w:r>
      <w:r w:rsidR="009940B1" w:rsidRPr="00BE4F00">
        <w:rPr>
          <w:b w:val="0"/>
          <w:bCs w:val="0"/>
        </w:rPr>
        <w:t>BET of g-C</w:t>
      </w:r>
      <w:r w:rsidR="009940B1" w:rsidRPr="00BE4F00">
        <w:rPr>
          <w:b w:val="0"/>
          <w:bCs w:val="0"/>
          <w:vertAlign w:val="subscript"/>
        </w:rPr>
        <w:t>3</w:t>
      </w:r>
      <w:r w:rsidR="009940B1" w:rsidRPr="00BE4F00">
        <w:rPr>
          <w:b w:val="0"/>
          <w:bCs w:val="0"/>
        </w:rPr>
        <w:t>N</w:t>
      </w:r>
      <w:r w:rsidR="009940B1" w:rsidRPr="00BE4F00">
        <w:rPr>
          <w:b w:val="0"/>
          <w:bCs w:val="0"/>
          <w:vertAlign w:val="subscript"/>
        </w:rPr>
        <w:t>4</w:t>
      </w:r>
    </w:p>
    <w:p w14:paraId="217A8850" w14:textId="77777777" w:rsidR="009940B1" w:rsidRPr="00BE4F00" w:rsidRDefault="009940B1" w:rsidP="009940B1"/>
    <w:p w14:paraId="22C08AE4" w14:textId="5ACF80AA" w:rsidR="009D4F02" w:rsidRPr="00BE4F00" w:rsidRDefault="00713730" w:rsidP="00713730">
      <w:pPr>
        <w:pStyle w:val="RSCB02ArticleText"/>
        <w:spacing w:line="240" w:lineRule="auto"/>
        <w:ind w:firstLine="720"/>
        <w:rPr>
          <w:rFonts w:ascii="Times New Roman" w:hAnsi="Times New Roman"/>
          <w:sz w:val="24"/>
          <w:szCs w:val="24"/>
        </w:rPr>
      </w:pPr>
      <w:r w:rsidRPr="00BE4F00">
        <w:rPr>
          <w:rFonts w:ascii="Times New Roman" w:hAnsi="Times New Roman"/>
          <w:sz w:val="20"/>
          <w:szCs w:val="20"/>
        </w:rPr>
        <w:t xml:space="preserve">The </w:t>
      </w:r>
      <w:proofErr w:type="spellStart"/>
      <w:r w:rsidRPr="00BE4F00">
        <w:rPr>
          <w:rFonts w:ascii="Times New Roman" w:hAnsi="Times New Roman"/>
          <w:sz w:val="20"/>
          <w:szCs w:val="20"/>
        </w:rPr>
        <w:t>Tauc</w:t>
      </w:r>
      <w:proofErr w:type="spellEnd"/>
      <w:r w:rsidRPr="00BE4F00">
        <w:rPr>
          <w:rFonts w:ascii="Times New Roman" w:hAnsi="Times New Roman"/>
          <w:sz w:val="20"/>
          <w:szCs w:val="20"/>
        </w:rPr>
        <w:t xml:space="preserve"> plot in </w:t>
      </w:r>
      <w:r w:rsidRPr="00BE4F00">
        <w:rPr>
          <w:rFonts w:ascii="Times New Roman" w:hAnsi="Times New Roman"/>
          <w:b/>
          <w:sz w:val="20"/>
          <w:szCs w:val="20"/>
        </w:rPr>
        <w:t xml:space="preserve">Figure </w:t>
      </w:r>
      <w:r w:rsidR="003156D1" w:rsidRPr="00BE4F00">
        <w:rPr>
          <w:rFonts w:ascii="Times New Roman" w:hAnsi="Times New Roman"/>
          <w:b/>
          <w:bCs/>
          <w:sz w:val="20"/>
          <w:szCs w:val="20"/>
        </w:rPr>
        <w:t>6</w:t>
      </w:r>
      <w:r w:rsidRPr="00BE4F00">
        <w:rPr>
          <w:rFonts w:ascii="Times New Roman" w:hAnsi="Times New Roman"/>
          <w:sz w:val="20"/>
          <w:szCs w:val="20"/>
        </w:rPr>
        <w:t xml:space="preserve"> is utilized to assess the optical properties of g</w:t>
      </w:r>
      <w:r w:rsidR="004C0E85" w:rsidRPr="00BE4F00">
        <w:rPr>
          <w:rFonts w:ascii="Times New Roman" w:hAnsi="Times New Roman"/>
          <w:sz w:val="20"/>
          <w:szCs w:val="20"/>
        </w:rPr>
        <w:t>-</w:t>
      </w:r>
      <w:r w:rsidRPr="00BE4F00">
        <w:rPr>
          <w:rFonts w:ascii="Times New Roman" w:hAnsi="Times New Roman"/>
          <w:sz w:val="20"/>
          <w:szCs w:val="20"/>
        </w:rPr>
        <w:t>C</w:t>
      </w:r>
      <w:r w:rsidRPr="00BE4F00">
        <w:rPr>
          <w:rFonts w:ascii="Times New Roman" w:hAnsi="Times New Roman"/>
          <w:sz w:val="20"/>
          <w:szCs w:val="20"/>
          <w:vertAlign w:val="subscript"/>
        </w:rPr>
        <w:t>3</w:t>
      </w:r>
      <w:r w:rsidRPr="00BE4F00">
        <w:rPr>
          <w:rFonts w:ascii="Times New Roman" w:hAnsi="Times New Roman"/>
          <w:sz w:val="20"/>
          <w:szCs w:val="20"/>
        </w:rPr>
        <w:t>N</w:t>
      </w:r>
      <w:r w:rsidRPr="00BE4F00">
        <w:rPr>
          <w:rFonts w:ascii="Times New Roman" w:hAnsi="Times New Roman"/>
          <w:sz w:val="20"/>
          <w:szCs w:val="20"/>
          <w:vertAlign w:val="subscript"/>
        </w:rPr>
        <w:t>4</w:t>
      </w:r>
      <w:r w:rsidRPr="00BE4F00">
        <w:rPr>
          <w:rFonts w:ascii="Times New Roman" w:hAnsi="Times New Roman"/>
          <w:sz w:val="20"/>
          <w:szCs w:val="20"/>
        </w:rPr>
        <w:t xml:space="preserve">, specifically its bandgap energy. As seen from the plot, the bandgap of </w:t>
      </w:r>
      <w:r w:rsidR="004C0E85" w:rsidRPr="00BE4F00">
        <w:rPr>
          <w:rFonts w:ascii="Times New Roman" w:hAnsi="Times New Roman"/>
          <w:sz w:val="20"/>
          <w:szCs w:val="20"/>
        </w:rPr>
        <w:t>g-C</w:t>
      </w:r>
      <w:r w:rsidR="004C0E85" w:rsidRPr="00BE4F00">
        <w:rPr>
          <w:rFonts w:ascii="Times New Roman" w:hAnsi="Times New Roman"/>
          <w:sz w:val="20"/>
          <w:szCs w:val="20"/>
          <w:vertAlign w:val="subscript"/>
        </w:rPr>
        <w:t>3</w:t>
      </w:r>
      <w:r w:rsidR="004C0E85" w:rsidRPr="00BE4F00">
        <w:rPr>
          <w:rFonts w:ascii="Times New Roman" w:hAnsi="Times New Roman"/>
          <w:sz w:val="20"/>
          <w:szCs w:val="20"/>
        </w:rPr>
        <w:t>N</w:t>
      </w:r>
      <w:r w:rsidR="004C0E85" w:rsidRPr="00BE4F00">
        <w:rPr>
          <w:rFonts w:ascii="Times New Roman" w:hAnsi="Times New Roman"/>
          <w:sz w:val="20"/>
          <w:szCs w:val="20"/>
          <w:vertAlign w:val="subscript"/>
        </w:rPr>
        <w:t>4</w:t>
      </w:r>
      <w:r w:rsidRPr="00BE4F00">
        <w:rPr>
          <w:rFonts w:ascii="Times New Roman" w:hAnsi="Times New Roman"/>
          <w:sz w:val="20"/>
          <w:szCs w:val="20"/>
        </w:rPr>
        <w:t xml:space="preserve"> is calculated as 2.98 eV, which falls in the near-visible region. This appropriate bandgap makes </w:t>
      </w:r>
      <w:r w:rsidR="004C0E85" w:rsidRPr="00BE4F00">
        <w:rPr>
          <w:rFonts w:ascii="Times New Roman" w:hAnsi="Times New Roman"/>
          <w:sz w:val="20"/>
          <w:szCs w:val="20"/>
        </w:rPr>
        <w:t>g-C</w:t>
      </w:r>
      <w:r w:rsidR="004C0E85" w:rsidRPr="00BE4F00">
        <w:rPr>
          <w:rFonts w:ascii="Times New Roman" w:hAnsi="Times New Roman"/>
          <w:sz w:val="20"/>
          <w:szCs w:val="20"/>
          <w:vertAlign w:val="subscript"/>
        </w:rPr>
        <w:t>3</w:t>
      </w:r>
      <w:r w:rsidR="004C0E85" w:rsidRPr="00BE4F00">
        <w:rPr>
          <w:rFonts w:ascii="Times New Roman" w:hAnsi="Times New Roman"/>
          <w:sz w:val="20"/>
          <w:szCs w:val="20"/>
        </w:rPr>
        <w:t>N</w:t>
      </w:r>
      <w:r w:rsidR="004C0E85" w:rsidRPr="00BE4F00">
        <w:rPr>
          <w:rFonts w:ascii="Times New Roman" w:hAnsi="Times New Roman"/>
          <w:sz w:val="20"/>
          <w:szCs w:val="20"/>
          <w:vertAlign w:val="subscript"/>
        </w:rPr>
        <w:t>4</w:t>
      </w:r>
      <w:r w:rsidRPr="00BE4F00">
        <w:rPr>
          <w:rFonts w:ascii="Times New Roman" w:hAnsi="Times New Roman"/>
          <w:sz w:val="20"/>
          <w:szCs w:val="20"/>
        </w:rPr>
        <w:t xml:space="preserve"> capable of absorbing visible light effectively and hence is greatly promising for photocatalytic applications. Specifically, </w:t>
      </w:r>
      <w:r w:rsidR="004C0E85" w:rsidRPr="00BE4F00">
        <w:rPr>
          <w:rFonts w:ascii="Times New Roman" w:hAnsi="Times New Roman"/>
          <w:sz w:val="20"/>
          <w:szCs w:val="20"/>
        </w:rPr>
        <w:t>g-C</w:t>
      </w:r>
      <w:r w:rsidR="004C0E85" w:rsidRPr="00BE4F00">
        <w:rPr>
          <w:rFonts w:ascii="Times New Roman" w:hAnsi="Times New Roman"/>
          <w:sz w:val="20"/>
          <w:szCs w:val="20"/>
          <w:vertAlign w:val="subscript"/>
        </w:rPr>
        <w:t>3</w:t>
      </w:r>
      <w:r w:rsidR="004C0E85" w:rsidRPr="00BE4F00">
        <w:rPr>
          <w:rFonts w:ascii="Times New Roman" w:hAnsi="Times New Roman"/>
          <w:sz w:val="20"/>
          <w:szCs w:val="20"/>
        </w:rPr>
        <w:t>N</w:t>
      </w:r>
      <w:r w:rsidR="004C0E85" w:rsidRPr="00BE4F00">
        <w:rPr>
          <w:rFonts w:ascii="Times New Roman" w:hAnsi="Times New Roman"/>
          <w:sz w:val="20"/>
          <w:szCs w:val="20"/>
          <w:vertAlign w:val="subscript"/>
        </w:rPr>
        <w:t>4</w:t>
      </w:r>
      <w:r w:rsidRPr="00BE4F00">
        <w:rPr>
          <w:rFonts w:ascii="Times New Roman" w:hAnsi="Times New Roman"/>
          <w:sz w:val="20"/>
          <w:szCs w:val="20"/>
        </w:rPr>
        <w:t xml:space="preserve"> has exhibited great potential in the photodegradation of MB dye under visible light irradiation, due to its ability to generate reactive species that break down MB molecules. Therefore, its visible-light-responsive nature makes </w:t>
      </w:r>
      <w:r w:rsidR="004C0E85" w:rsidRPr="00BE4F00">
        <w:rPr>
          <w:rFonts w:ascii="Times New Roman" w:hAnsi="Times New Roman"/>
          <w:sz w:val="20"/>
          <w:szCs w:val="20"/>
        </w:rPr>
        <w:t>g-C</w:t>
      </w:r>
      <w:r w:rsidR="004C0E85" w:rsidRPr="00BE4F00">
        <w:rPr>
          <w:rFonts w:ascii="Times New Roman" w:hAnsi="Times New Roman"/>
          <w:sz w:val="20"/>
          <w:szCs w:val="20"/>
          <w:vertAlign w:val="subscript"/>
        </w:rPr>
        <w:t>3</w:t>
      </w:r>
      <w:r w:rsidR="004C0E85" w:rsidRPr="00BE4F00">
        <w:rPr>
          <w:rFonts w:ascii="Times New Roman" w:hAnsi="Times New Roman"/>
          <w:sz w:val="20"/>
          <w:szCs w:val="20"/>
        </w:rPr>
        <w:t>N</w:t>
      </w:r>
      <w:r w:rsidR="004C0E85" w:rsidRPr="00BE4F00">
        <w:rPr>
          <w:rFonts w:ascii="Times New Roman" w:hAnsi="Times New Roman"/>
          <w:sz w:val="20"/>
          <w:szCs w:val="20"/>
          <w:vertAlign w:val="subscript"/>
        </w:rPr>
        <w:t>4</w:t>
      </w:r>
      <w:r w:rsidRPr="00BE4F00">
        <w:rPr>
          <w:rFonts w:ascii="Times New Roman" w:hAnsi="Times New Roman"/>
          <w:sz w:val="20"/>
          <w:szCs w:val="20"/>
        </w:rPr>
        <w:t xml:space="preserve"> a strong candidate for use in dye wastewater treatment through photocatalytic processes</w:t>
      </w:r>
      <w:r w:rsidRPr="00BE4F00">
        <w:rPr>
          <w:rFonts w:ascii="Times New Roman" w:hAnsi="Times New Roman"/>
          <w:sz w:val="24"/>
          <w:szCs w:val="24"/>
        </w:rPr>
        <w:t>.</w:t>
      </w:r>
      <w:r w:rsidR="009D4F02" w:rsidRPr="00BE4F00">
        <w:rPr>
          <w:rFonts w:ascii="Times New Roman" w:hAnsi="Times New Roman"/>
          <w:sz w:val="24"/>
          <w:szCs w:val="24"/>
        </w:rPr>
        <w:t xml:space="preserve"> </w:t>
      </w:r>
    </w:p>
    <w:p w14:paraId="109DCAB4" w14:textId="0A8EC8F8" w:rsidR="00D64052" w:rsidRPr="00BE4F00" w:rsidRDefault="00D64052" w:rsidP="000744DC">
      <w:pPr>
        <w:pStyle w:val="Paragraph"/>
      </w:pPr>
      <w:r w:rsidRPr="00BE4F00">
        <w:t xml:space="preserve"> </w:t>
      </w:r>
    </w:p>
    <w:p w14:paraId="2005D5E7" w14:textId="77777777" w:rsidR="00FA370B" w:rsidRPr="00BE4F00" w:rsidRDefault="00D64052" w:rsidP="00FA370B">
      <w:pPr>
        <w:pStyle w:val="Paragraph"/>
        <w:keepNext/>
        <w:jc w:val="center"/>
      </w:pPr>
      <w:r w:rsidRPr="00BE4F00">
        <w:rPr>
          <w:noProof/>
        </w:rPr>
        <w:drawing>
          <wp:inline distT="0" distB="0" distL="0" distR="0" wp14:anchorId="50ECCC2C" wp14:editId="25AAD659">
            <wp:extent cx="2913846" cy="2283058"/>
            <wp:effectExtent l="0" t="0" r="1270" b="3175"/>
            <wp:docPr id="9087494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39010" cy="2302775"/>
                    </a:xfrm>
                    <a:prstGeom prst="rect">
                      <a:avLst/>
                    </a:prstGeom>
                    <a:noFill/>
                  </pic:spPr>
                </pic:pic>
              </a:graphicData>
            </a:graphic>
          </wp:inline>
        </w:drawing>
      </w:r>
    </w:p>
    <w:p w14:paraId="60913DFD" w14:textId="735B1170" w:rsidR="00FF6B58" w:rsidRPr="00BE4F00" w:rsidRDefault="00FA370B" w:rsidP="00FA370B">
      <w:pPr>
        <w:pStyle w:val="Caption"/>
        <w:jc w:val="center"/>
        <w:rPr>
          <w:b w:val="0"/>
          <w:bCs w:val="0"/>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6</w:t>
      </w:r>
      <w:r w:rsidRPr="00BE4F00">
        <w:rPr>
          <w:b w:val="0"/>
          <w:bCs w:val="0"/>
        </w:rPr>
        <w:fldChar w:fldCharType="end"/>
      </w:r>
      <w:r w:rsidRPr="00BE4F00">
        <w:rPr>
          <w:b w:val="0"/>
          <w:bCs w:val="0"/>
        </w:rPr>
        <w:t xml:space="preserve">. </w:t>
      </w:r>
      <w:proofErr w:type="spellStart"/>
      <w:r w:rsidRPr="00BE4F00">
        <w:rPr>
          <w:b w:val="0"/>
          <w:bCs w:val="0"/>
          <w:sz w:val="18"/>
          <w:szCs w:val="18"/>
        </w:rPr>
        <w:t>Tauc</w:t>
      </w:r>
      <w:proofErr w:type="spellEnd"/>
      <w:r w:rsidRPr="00BE4F00">
        <w:rPr>
          <w:b w:val="0"/>
          <w:bCs w:val="0"/>
          <w:sz w:val="18"/>
          <w:szCs w:val="18"/>
        </w:rPr>
        <w:t xml:space="preserve"> plot of g-C₃N₄</w:t>
      </w:r>
    </w:p>
    <w:p w14:paraId="181F2B13" w14:textId="63142D77" w:rsidR="00FF6B58" w:rsidRPr="00BE4F00" w:rsidRDefault="00FF6B58" w:rsidP="00FF6B58">
      <w:pPr>
        <w:pStyle w:val="Heading2"/>
      </w:pPr>
      <w:r w:rsidRPr="00BE4F00">
        <w:t>Photocatalytic Performance</w:t>
      </w:r>
    </w:p>
    <w:p w14:paraId="3F6A45F9" w14:textId="7459EECA" w:rsidR="004A53D7" w:rsidRPr="00BE4F00" w:rsidRDefault="008421CF" w:rsidP="008421CF">
      <w:pPr>
        <w:pStyle w:val="Paragraph"/>
        <w:rPr>
          <w:lang w:val="en-ID"/>
        </w:rPr>
      </w:pPr>
      <w:r w:rsidRPr="00BE4F00">
        <w:rPr>
          <w:lang w:val="en-ID"/>
        </w:rPr>
        <w:t xml:space="preserve">In </w:t>
      </w:r>
      <w:r w:rsidRPr="00BE4F00">
        <w:rPr>
          <w:b/>
          <w:bCs/>
          <w:lang w:val="en-ID"/>
        </w:rPr>
        <w:t xml:space="preserve">Figure </w:t>
      </w:r>
      <w:r w:rsidR="003156D1" w:rsidRPr="00BE4F00">
        <w:rPr>
          <w:b/>
          <w:bCs/>
          <w:lang w:val="en-ID"/>
        </w:rPr>
        <w:t>7</w:t>
      </w:r>
      <w:r w:rsidRPr="00BE4F00">
        <w:rPr>
          <w:b/>
          <w:bCs/>
          <w:lang w:val="en-ID"/>
        </w:rPr>
        <w:t>a</w:t>
      </w:r>
      <w:r w:rsidRPr="00BE4F00">
        <w:rPr>
          <w:lang w:val="en-ID"/>
        </w:rPr>
        <w:t xml:space="preserve">, the removal efficiency (%) of MB is plotted against time. A noticeable enhancement in photocatalytic performance is observed under daylight conditions compared to UV. </w:t>
      </w:r>
      <w:r w:rsidR="004A53D7" w:rsidRPr="00BE4F00">
        <w:t>During the dark phase, no photocatalytic reaction occurs due to the absence of light energy; thus, any observed decrease in MB concentration is solely attributed to the adsorption of dye molecules onto the surface of the g-C₃N₄ catalyst.</w:t>
      </w:r>
      <w:r w:rsidR="008E5E5C" w:rsidRPr="00BE4F00">
        <w:t xml:space="preserve"> This initial adsorption is essential because it facilitates better interaction between the catalyst and dye once light irradiation begins, allowing more efficient photodegradation</w:t>
      </w:r>
      <w:r w:rsidR="00914212" w:rsidRPr="00BE4F00">
        <w:t xml:space="preserve"> </w:t>
      </w:r>
      <w:r w:rsidR="00914212" w:rsidRPr="00BE4F00">
        <w:fldChar w:fldCharType="begin" w:fldLock="1"/>
      </w:r>
      <w:r w:rsidR="00695713" w:rsidRPr="00BE4F00">
        <w:instrText>ADDIN CSL_CITATION {"citationItems":[{"id":"ITEM-1","itemData":{"DOI":"10.1021/acsomega.4c07910","ISSN":"24701343","abstract":"In this study, photocatalytic- and adsorption-based removal processes were conducted, which are frequently preferred in wastewater treatment due to their ease of control and high removal efficiency. An innovative method aimed at wastewater treatment was developed by combining the advantages of these two distinct approaches within the same material. The study synthesized ZnO, ZnS, CdS, PbS, and their composite structures (ZnS@ZnO, CdS@ZnO, and PbS@ZnO) using a hydrothermal synthesis method. Characterization of the samples was performed through field emission-scanning electron microscopy (FE-SEM), FE-SEM-energy dispersive X-ray (FE-SEM-EDX), X-ray diffraction (XRD), Raman spectroscopy, and Fourier-transform infrared spectroscopy (FTIR) measurement. Additionally, the optical properties of all samples (absorption spectra and band gap) were investigated by using absorbance measurements obtained from ultraviolet (UV)-visible absorption spectroscopy. Although ZnO nanoparticles are among the materials with high photocatalytic properties (exhibiting a photodegradation efficiency of 95.8% in a short duration of 90 min), their adsorption properties are low. Therefore, with the aim of enhancing both the low adsorption values and the photocatalytic properties of pure metal sulfides (ZnS, CdS, PbS), nanocomposites ZnS@ZnO, CdS@ZnO, and PbS@ZnO with different morphologies were synthesized, and their photocatalytic and adsorption-based removal performances on methylene blue (MB) dye were investigated. FE-SEM images indicated that ZnS nanoparticles exhibit a spherical morphology, CdS nanoparticles have a flower-like morphology, and PbS nanoparticles display a dendritic-like structure. The results obtained from experimental studies demonstrated that the highest efficiency in both photocatalytic- and adsorption-based removal was achieved with the ZnS@ZnO nanocomposite. The degradation rates of MB were found to be 95.3, 90.5, and 89.4% for the heterojunction composites ZnS@ZnO, CdS@ZnO, and PbS@ZnO, respectively, over a time range of 0-480 min. The optimal amount of photocatalyst that could effectively degrade MB was determined to be 100 mg, and the reusability studies revealed that the ability of the ZnS@ZnO semiconductor heterojunction photocatalyst to decompose MB into simpler molecules was limited after the fourth cycle. The adsorption-based removal rates were 96.0, 30.5, and 19.4% for the heterojunction composites ZnS@ZnO, CdS@ZnO, and PbS@ZnO, respectively. Finally, …","author":[{"dropping-particle":"","family":"Bayram","given":"Ümit","non-dropping-particle":"","parse-names":false,"suffix":""},{"dropping-particle":"","family":"Özer","given":"Çiğdem","non-dropping-particle":"","parse-names":false,"suffix":""},{"dropping-particle":"","family":"Yilmaz","given":"Erkan","non-dropping-particle":"","parse-names":false,"suffix":""}],"container-title":"ACS Omega","id":"ITEM-1","issue":"10","issued":{"date-parts":[["2025"]]},"page":"9986-10003","title":"Comparison of Photocatalytic and Adsorption Properties of ZnS@ZnO, CdS@ZnO, and PbS@ZnO Nanocomposites to Select the Best Material for the Bifunctional Removal of Methylene Blue","type":"article-journal","volume":"10"},"uris":["http://www.mendeley.com/documents/?uuid=d1760f11-fb67-4e30-9e70-5bd85f20012c","http://www.mendeley.com/documents/?uuid=e2058d4b-02f4-4740-b6a2-c77d032a2473","http://www.mendeley.com/documents/?uuid=71083bb4-bc3d-4c64-bbcc-7513901faa08"]}],"mendeley":{"formattedCitation":"[21]","plainTextFormattedCitation":"[21]","previouslyFormattedCitation":"[19]"},"properties":{"noteIndex":0},"schema":"https://github.com/citation-style-language/schema/raw/master/csl-citation.json"}</w:instrText>
      </w:r>
      <w:r w:rsidR="00914212" w:rsidRPr="00BE4F00">
        <w:fldChar w:fldCharType="separate"/>
      </w:r>
      <w:r w:rsidR="00695713" w:rsidRPr="00BE4F00">
        <w:rPr>
          <w:noProof/>
        </w:rPr>
        <w:t>[21]</w:t>
      </w:r>
      <w:r w:rsidR="00914212" w:rsidRPr="00BE4F00">
        <w:fldChar w:fldCharType="end"/>
      </w:r>
      <w:r w:rsidR="008E5E5C" w:rsidRPr="00BE4F00">
        <w:t>. Moreover, the similar adsorption trends observed for both UV and daylight samples confirm that the subsequent differences in degradation performance are primarily because of light rather than variations in initial dye binding.</w:t>
      </w:r>
    </w:p>
    <w:p w14:paraId="4157E2C5" w14:textId="7E5FD472" w:rsidR="004A53D7" w:rsidRPr="00BE4F00" w:rsidRDefault="008421CF" w:rsidP="007629D8">
      <w:pPr>
        <w:pStyle w:val="Paragraph"/>
        <w:rPr>
          <w:lang w:val="en-ID"/>
        </w:rPr>
      </w:pPr>
      <w:r w:rsidRPr="00BE4F00">
        <w:rPr>
          <w:lang w:val="en-ID"/>
        </w:rPr>
        <w:t>Under daylight, g-C</w:t>
      </w:r>
      <w:r w:rsidR="007629D8" w:rsidRPr="00BE4F00">
        <w:rPr>
          <w:vertAlign w:val="subscript"/>
          <w:lang w:val="en-ID"/>
        </w:rPr>
        <w:t>3</w:t>
      </w:r>
      <w:r w:rsidRPr="00BE4F00">
        <w:rPr>
          <w:lang w:val="en-ID"/>
        </w:rPr>
        <w:t>N</w:t>
      </w:r>
      <w:r w:rsidR="007629D8" w:rsidRPr="00BE4F00">
        <w:rPr>
          <w:vertAlign w:val="subscript"/>
          <w:lang w:val="en-ID"/>
        </w:rPr>
        <w:t>4</w:t>
      </w:r>
      <w:r w:rsidRPr="00BE4F00">
        <w:rPr>
          <w:lang w:val="en-ID"/>
        </w:rPr>
        <w:t xml:space="preserve"> achieved approximately </w:t>
      </w:r>
      <w:r w:rsidR="007629D8" w:rsidRPr="00BE4F00">
        <w:rPr>
          <w:lang w:val="en-ID"/>
        </w:rPr>
        <w:t>56.20</w:t>
      </w:r>
      <w:r w:rsidRPr="00BE4F00">
        <w:rPr>
          <w:lang w:val="en-ID"/>
        </w:rPr>
        <w:t xml:space="preserve">% removal of MB within 60 minutes, whereas under UV light, the degradation efficiency remained below </w:t>
      </w:r>
      <w:r w:rsidR="007629D8" w:rsidRPr="00BE4F00">
        <w:rPr>
          <w:lang w:val="en-ID"/>
        </w:rPr>
        <w:t>22.46</w:t>
      </w:r>
      <w:r w:rsidRPr="00BE4F00">
        <w:rPr>
          <w:lang w:val="en-ID"/>
        </w:rPr>
        <w:t xml:space="preserve">% over the same time </w:t>
      </w:r>
      <w:r w:rsidR="004A53D7" w:rsidRPr="00BE4F00">
        <w:rPr>
          <w:lang w:val="en-ID"/>
        </w:rPr>
        <w:t>frame. This</w:t>
      </w:r>
      <w:r w:rsidRPr="00BE4F00">
        <w:rPr>
          <w:lang w:val="en-ID"/>
        </w:rPr>
        <w:t xml:space="preserve"> indicates that </w:t>
      </w:r>
      <w:r w:rsidR="007629D8" w:rsidRPr="00BE4F00">
        <w:rPr>
          <w:lang w:val="en-ID"/>
        </w:rPr>
        <w:t>g-C</w:t>
      </w:r>
      <w:r w:rsidR="007629D8" w:rsidRPr="00BE4F00">
        <w:rPr>
          <w:vertAlign w:val="subscript"/>
          <w:lang w:val="en-ID"/>
        </w:rPr>
        <w:t>3</w:t>
      </w:r>
      <w:r w:rsidR="007629D8" w:rsidRPr="00BE4F00">
        <w:rPr>
          <w:lang w:val="en-ID"/>
        </w:rPr>
        <w:t>N</w:t>
      </w:r>
      <w:r w:rsidR="007629D8" w:rsidRPr="00BE4F00">
        <w:rPr>
          <w:vertAlign w:val="subscript"/>
          <w:lang w:val="en-ID"/>
        </w:rPr>
        <w:t>4</w:t>
      </w:r>
      <w:r w:rsidRPr="00BE4F00">
        <w:rPr>
          <w:lang w:val="en-ID"/>
        </w:rPr>
        <w:t xml:space="preserve"> is responsive to visible light, which is consistent with its known band gap (2.</w:t>
      </w:r>
      <w:r w:rsidR="007629D8" w:rsidRPr="00BE4F00">
        <w:rPr>
          <w:lang w:val="en-ID"/>
        </w:rPr>
        <w:t>98</w:t>
      </w:r>
      <w:r w:rsidRPr="00BE4F00">
        <w:rPr>
          <w:lang w:val="en-ID"/>
        </w:rPr>
        <w:t xml:space="preserve"> eV), making it an effective photocatalyst under visible-light irradiation. The steep increase in removal percentage after light exposure (t = 0) under daylight further confirms the significant photocatalytic activity of </w:t>
      </w:r>
      <w:r w:rsidR="007629D8" w:rsidRPr="00BE4F00">
        <w:rPr>
          <w:lang w:val="en-ID"/>
        </w:rPr>
        <w:t>g-C</w:t>
      </w:r>
      <w:r w:rsidR="007629D8" w:rsidRPr="00BE4F00">
        <w:rPr>
          <w:vertAlign w:val="subscript"/>
          <w:lang w:val="en-ID"/>
        </w:rPr>
        <w:t>3</w:t>
      </w:r>
      <w:r w:rsidR="007629D8" w:rsidRPr="00BE4F00">
        <w:rPr>
          <w:lang w:val="en-ID"/>
        </w:rPr>
        <w:t>N</w:t>
      </w:r>
      <w:r w:rsidR="007629D8" w:rsidRPr="00BE4F00">
        <w:rPr>
          <w:vertAlign w:val="subscript"/>
          <w:lang w:val="en-ID"/>
        </w:rPr>
        <w:t>4</w:t>
      </w:r>
      <w:r w:rsidRPr="00BE4F00">
        <w:rPr>
          <w:lang w:val="en-ID"/>
        </w:rPr>
        <w:t>.</w:t>
      </w:r>
      <w:r w:rsidR="008E5E5C" w:rsidRPr="00BE4F00">
        <w:rPr>
          <w:lang w:val="en-ID"/>
        </w:rPr>
        <w:t xml:space="preserve"> </w:t>
      </w:r>
      <w:r w:rsidR="004A53D7" w:rsidRPr="00BE4F00">
        <w:rPr>
          <w:lang w:val="en-ID"/>
        </w:rPr>
        <w:t xml:space="preserve">This result clearly demonstrates that </w:t>
      </w:r>
      <w:r w:rsidR="007629D8" w:rsidRPr="00BE4F00">
        <w:rPr>
          <w:lang w:val="en-ID"/>
        </w:rPr>
        <w:t>g-C</w:t>
      </w:r>
      <w:r w:rsidR="007629D8" w:rsidRPr="00BE4F00">
        <w:rPr>
          <w:vertAlign w:val="subscript"/>
          <w:lang w:val="en-ID"/>
        </w:rPr>
        <w:t>3</w:t>
      </w:r>
      <w:r w:rsidR="007629D8" w:rsidRPr="00BE4F00">
        <w:rPr>
          <w:lang w:val="en-ID"/>
        </w:rPr>
        <w:t>N</w:t>
      </w:r>
      <w:r w:rsidR="007629D8" w:rsidRPr="00BE4F00">
        <w:rPr>
          <w:vertAlign w:val="subscript"/>
          <w:lang w:val="en-ID"/>
        </w:rPr>
        <w:t xml:space="preserve">4 </w:t>
      </w:r>
      <w:r w:rsidR="004A53D7" w:rsidRPr="00BE4F00">
        <w:rPr>
          <w:lang w:val="en-ID"/>
        </w:rPr>
        <w:t xml:space="preserve">exhibits enhanced photocatalytic activity under daylight compared to UV light. </w:t>
      </w:r>
      <w:r w:rsidR="005E6242" w:rsidRPr="00BE4F00">
        <w:t xml:space="preserve">This is because the bandgap value of </w:t>
      </w:r>
      <w:r w:rsidR="005E6242" w:rsidRPr="00BE4F00">
        <w:rPr>
          <w:lang w:val="en-ID"/>
        </w:rPr>
        <w:t>g-C</w:t>
      </w:r>
      <w:r w:rsidR="005E6242" w:rsidRPr="00BE4F00">
        <w:rPr>
          <w:vertAlign w:val="subscript"/>
          <w:lang w:val="en-ID"/>
        </w:rPr>
        <w:t>3</w:t>
      </w:r>
      <w:r w:rsidR="005E6242" w:rsidRPr="00BE4F00">
        <w:rPr>
          <w:lang w:val="en-ID"/>
        </w:rPr>
        <w:t>N</w:t>
      </w:r>
      <w:r w:rsidR="005E6242" w:rsidRPr="00BE4F00">
        <w:rPr>
          <w:vertAlign w:val="subscript"/>
          <w:lang w:val="en-ID"/>
        </w:rPr>
        <w:t>4</w:t>
      </w:r>
      <w:r w:rsidR="005E6242" w:rsidRPr="00BE4F00">
        <w:t xml:space="preserve"> is 2.98 eV, making it active under daylight than under UV light</w:t>
      </w:r>
      <w:r w:rsidR="004A53D7" w:rsidRPr="00BE4F00">
        <w:rPr>
          <w:lang w:val="en-ID"/>
        </w:rPr>
        <w:t xml:space="preserve">. The absorption spectrum analysis in </w:t>
      </w:r>
      <w:r w:rsidR="004A53D7" w:rsidRPr="00BE4F00">
        <w:rPr>
          <w:b/>
          <w:bCs/>
          <w:lang w:val="en-ID"/>
        </w:rPr>
        <w:t>Figure</w:t>
      </w:r>
      <w:r w:rsidR="00A93DCC" w:rsidRPr="00BE4F00">
        <w:rPr>
          <w:b/>
          <w:bCs/>
          <w:lang w:val="en-ID"/>
        </w:rPr>
        <w:t xml:space="preserve"> </w:t>
      </w:r>
      <w:r w:rsidR="003156D1" w:rsidRPr="00BE4F00">
        <w:rPr>
          <w:b/>
          <w:bCs/>
          <w:lang w:val="en-ID"/>
        </w:rPr>
        <w:t>7</w:t>
      </w:r>
      <w:r w:rsidR="004A53D7" w:rsidRPr="00BE4F00">
        <w:rPr>
          <w:b/>
          <w:bCs/>
          <w:lang w:val="en-ID"/>
        </w:rPr>
        <w:t>b</w:t>
      </w:r>
      <w:r w:rsidR="004A53D7" w:rsidRPr="00BE4F00">
        <w:rPr>
          <w:lang w:val="en-ID"/>
        </w:rPr>
        <w:t xml:space="preserve"> further supports this observation. The UV–</w:t>
      </w:r>
      <w:proofErr w:type="gramStart"/>
      <w:r w:rsidR="004A53D7" w:rsidRPr="00BE4F00">
        <w:rPr>
          <w:lang w:val="en-ID"/>
        </w:rPr>
        <w:t>Vis</w:t>
      </w:r>
      <w:proofErr w:type="gramEnd"/>
      <w:r w:rsidR="004A53D7" w:rsidRPr="00BE4F00">
        <w:rPr>
          <w:lang w:val="en-ID"/>
        </w:rPr>
        <w:t xml:space="preserve"> spectra show a significant reduction in the characteristic MB absorption peak at around 664 nm after photocatalytic treatment, with the greatest reduction occurring under daylight exposure. The initial MB solution exhibited strong absorbance, while the sample treated under UV showed moderate peak suppression. The daylight-treated sample showed the most pronounced decrease in peak intensity, confirming more extensive degradation of the </w:t>
      </w:r>
      <w:r w:rsidR="007629D8" w:rsidRPr="00BE4F00">
        <w:rPr>
          <w:lang w:val="en-ID"/>
        </w:rPr>
        <w:t>dye. The</w:t>
      </w:r>
      <w:r w:rsidR="004A53D7" w:rsidRPr="00BE4F00">
        <w:rPr>
          <w:lang w:val="en-ID"/>
        </w:rPr>
        <w:t xml:space="preserve"> inset images in </w:t>
      </w:r>
      <w:r w:rsidR="004A53D7" w:rsidRPr="00BE4F00">
        <w:rPr>
          <w:b/>
          <w:bCs/>
          <w:lang w:val="en-ID"/>
        </w:rPr>
        <w:t xml:space="preserve">Figure </w:t>
      </w:r>
      <w:r w:rsidR="003156D1" w:rsidRPr="00BE4F00">
        <w:rPr>
          <w:b/>
          <w:bCs/>
          <w:lang w:val="en-ID"/>
        </w:rPr>
        <w:t>7</w:t>
      </w:r>
      <w:r w:rsidR="004A53D7" w:rsidRPr="00BE4F00">
        <w:rPr>
          <w:b/>
          <w:bCs/>
          <w:lang w:val="en-ID"/>
        </w:rPr>
        <w:t>b</w:t>
      </w:r>
      <w:r w:rsidR="004A53D7" w:rsidRPr="00BE4F00">
        <w:rPr>
          <w:lang w:val="en-ID"/>
        </w:rPr>
        <w:t xml:space="preserve"> visually support the spectral data, showing a noticeable </w:t>
      </w:r>
      <w:proofErr w:type="spellStart"/>
      <w:r w:rsidR="004A53D7" w:rsidRPr="00BE4F00">
        <w:rPr>
          <w:lang w:val="en-ID"/>
        </w:rPr>
        <w:t>color</w:t>
      </w:r>
      <w:proofErr w:type="spellEnd"/>
      <w:r w:rsidR="004A53D7" w:rsidRPr="00BE4F00">
        <w:rPr>
          <w:lang w:val="en-ID"/>
        </w:rPr>
        <w:t xml:space="preserve"> fading in the MB solution, particularly under daylight exposure. This visual evidence, combined with the spectral and kinetic data, confirms that </w:t>
      </w:r>
      <w:r w:rsidR="005E6242" w:rsidRPr="00BE4F00">
        <w:rPr>
          <w:lang w:val="en-ID"/>
        </w:rPr>
        <w:t>g-C</w:t>
      </w:r>
      <w:r w:rsidR="005E6242" w:rsidRPr="00BE4F00">
        <w:rPr>
          <w:vertAlign w:val="subscript"/>
          <w:lang w:val="en-ID"/>
        </w:rPr>
        <w:t>3</w:t>
      </w:r>
      <w:r w:rsidR="005E6242" w:rsidRPr="00BE4F00">
        <w:rPr>
          <w:lang w:val="en-ID"/>
        </w:rPr>
        <w:t>N</w:t>
      </w:r>
      <w:r w:rsidR="005E6242" w:rsidRPr="00BE4F00">
        <w:rPr>
          <w:vertAlign w:val="subscript"/>
          <w:lang w:val="en-ID"/>
        </w:rPr>
        <w:t>4</w:t>
      </w:r>
      <w:r w:rsidR="005E6242" w:rsidRPr="00BE4F00">
        <w:rPr>
          <w:lang w:val="en-ID"/>
        </w:rPr>
        <w:t xml:space="preserve"> </w:t>
      </w:r>
      <w:r w:rsidR="004A53D7" w:rsidRPr="00BE4F00">
        <w:rPr>
          <w:lang w:val="en-ID"/>
        </w:rPr>
        <w:t xml:space="preserve">is efficient under daylight. </w:t>
      </w:r>
    </w:p>
    <w:p w14:paraId="601DAA6D" w14:textId="77777777" w:rsidR="00FA370B" w:rsidRPr="00BE4F00" w:rsidRDefault="00F36B55" w:rsidP="00FA370B">
      <w:pPr>
        <w:pStyle w:val="Paragraph"/>
        <w:keepNext/>
      </w:pPr>
      <w:r w:rsidRPr="00BE4F00">
        <w:rPr>
          <w:noProof/>
          <w:lang w:val="en-ID"/>
        </w:rPr>
        <w:lastRenderedPageBreak/>
        <w:drawing>
          <wp:inline distT="0" distB="0" distL="0" distR="0" wp14:anchorId="2A73C758" wp14:editId="3E5F1CED">
            <wp:extent cx="5780075" cy="2143621"/>
            <wp:effectExtent l="0" t="0" r="0" b="9525"/>
            <wp:docPr id="5983309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93938" cy="2148762"/>
                    </a:xfrm>
                    <a:prstGeom prst="rect">
                      <a:avLst/>
                    </a:prstGeom>
                    <a:noFill/>
                  </pic:spPr>
                </pic:pic>
              </a:graphicData>
            </a:graphic>
          </wp:inline>
        </w:drawing>
      </w:r>
    </w:p>
    <w:p w14:paraId="1B993F4C" w14:textId="2D4AF277" w:rsidR="004A53D7" w:rsidRPr="00BE4F00" w:rsidRDefault="00FA370B" w:rsidP="00FA370B">
      <w:pPr>
        <w:pStyle w:val="Caption"/>
        <w:jc w:val="center"/>
        <w:rPr>
          <w:b w:val="0"/>
          <w:bCs w:val="0"/>
          <w:lang w:val="en-ID"/>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7</w:t>
      </w:r>
      <w:r w:rsidRPr="00BE4F00">
        <w:rPr>
          <w:b w:val="0"/>
          <w:bCs w:val="0"/>
        </w:rPr>
        <w:fldChar w:fldCharType="end"/>
      </w:r>
      <w:r w:rsidRPr="00BE4F00">
        <w:rPr>
          <w:b w:val="0"/>
          <w:bCs w:val="0"/>
        </w:rPr>
        <w:t xml:space="preserve">. </w:t>
      </w:r>
      <w:r w:rsidRPr="00BE4F00">
        <w:rPr>
          <w:b w:val="0"/>
          <w:bCs w:val="0"/>
          <w:sz w:val="18"/>
          <w:szCs w:val="18"/>
          <w:lang w:val="en-ID"/>
        </w:rPr>
        <w:t>percentage removal of MB (a) and spectra UV-Vis of MB (b)</w:t>
      </w:r>
    </w:p>
    <w:p w14:paraId="159EBCE4" w14:textId="18208794" w:rsidR="008E5E5C" w:rsidRPr="00BE4F00" w:rsidRDefault="008E5E5C" w:rsidP="008E5E5C">
      <w:pPr>
        <w:pStyle w:val="Paragraph"/>
        <w:jc w:val="center"/>
        <w:rPr>
          <w:lang w:val="en-ID"/>
        </w:rPr>
      </w:pPr>
    </w:p>
    <w:p w14:paraId="556D94E3" w14:textId="20E25A12" w:rsidR="008E5E5C" w:rsidRPr="00BE4F00" w:rsidRDefault="00843E9B" w:rsidP="00843E9B">
      <w:pPr>
        <w:pStyle w:val="Heading2"/>
        <w:rPr>
          <w:lang w:val="en-ID"/>
        </w:rPr>
      </w:pPr>
      <w:r w:rsidRPr="00BE4F00">
        <w:rPr>
          <w:lang w:val="en-ID"/>
        </w:rPr>
        <w:t>Kinetic Evaluation</w:t>
      </w:r>
    </w:p>
    <w:p w14:paraId="13A0694D" w14:textId="719009EC" w:rsidR="00DA0CB4" w:rsidRPr="00BE4F00" w:rsidRDefault="00DA0CB4" w:rsidP="00DA0CB4">
      <w:pPr>
        <w:pStyle w:val="Paragraph"/>
        <w:rPr>
          <w:lang w:val="en-ID"/>
        </w:rPr>
      </w:pPr>
      <w:r w:rsidRPr="00BE4F00">
        <w:rPr>
          <w:lang w:val="en-ID"/>
        </w:rPr>
        <w:t xml:space="preserve">The adsorption kinetics of methylene blue (MB) onto </w:t>
      </w:r>
      <w:r w:rsidR="005E6242" w:rsidRPr="00BE4F00">
        <w:rPr>
          <w:lang w:val="en-ID"/>
        </w:rPr>
        <w:t>g-C</w:t>
      </w:r>
      <w:r w:rsidR="005E6242" w:rsidRPr="00BE4F00">
        <w:rPr>
          <w:vertAlign w:val="subscript"/>
          <w:lang w:val="en-ID"/>
        </w:rPr>
        <w:t>3</w:t>
      </w:r>
      <w:r w:rsidR="005E6242" w:rsidRPr="00BE4F00">
        <w:rPr>
          <w:lang w:val="en-ID"/>
        </w:rPr>
        <w:t>N</w:t>
      </w:r>
      <w:r w:rsidR="005E6242" w:rsidRPr="00BE4F00">
        <w:rPr>
          <w:vertAlign w:val="subscript"/>
          <w:lang w:val="en-ID"/>
        </w:rPr>
        <w:t>4</w:t>
      </w:r>
      <w:r w:rsidR="005E6242" w:rsidRPr="00BE4F00">
        <w:rPr>
          <w:lang w:val="en-ID"/>
        </w:rPr>
        <w:t xml:space="preserve"> </w:t>
      </w:r>
      <w:r w:rsidRPr="00BE4F00">
        <w:rPr>
          <w:lang w:val="en-ID"/>
        </w:rPr>
        <w:t>were evaluated using pseudo-first order</w:t>
      </w:r>
      <w:r w:rsidR="005E6242" w:rsidRPr="00BE4F00">
        <w:rPr>
          <w:lang w:val="en-ID"/>
        </w:rPr>
        <w:t>,</w:t>
      </w:r>
      <w:r w:rsidRPr="00BE4F00">
        <w:rPr>
          <w:lang w:val="en-ID"/>
        </w:rPr>
        <w:t xml:space="preserve"> pseudo-</w:t>
      </w:r>
      <w:r w:rsidR="006773F6" w:rsidRPr="00BE4F00">
        <w:rPr>
          <w:lang w:val="en-ID"/>
        </w:rPr>
        <w:t>second order</w:t>
      </w:r>
      <w:r w:rsidRPr="00BE4F00">
        <w:rPr>
          <w:lang w:val="en-ID"/>
        </w:rPr>
        <w:t xml:space="preserve"> </w:t>
      </w:r>
      <w:r w:rsidR="005E6242" w:rsidRPr="00BE4F00">
        <w:rPr>
          <w:lang w:val="en-ID"/>
        </w:rPr>
        <w:t xml:space="preserve">and diffusion intra-particle </w:t>
      </w:r>
      <w:r w:rsidRPr="00BE4F00">
        <w:rPr>
          <w:lang w:val="en-ID"/>
        </w:rPr>
        <w:t xml:space="preserve">kinetic models, as depicted in </w:t>
      </w:r>
      <w:r w:rsidRPr="00BE4F00">
        <w:rPr>
          <w:b/>
          <w:bCs/>
          <w:lang w:val="en-ID"/>
        </w:rPr>
        <w:t xml:space="preserve">Figure </w:t>
      </w:r>
      <w:r w:rsidR="003156D1" w:rsidRPr="00BE4F00">
        <w:rPr>
          <w:b/>
          <w:bCs/>
          <w:lang w:val="en-ID"/>
        </w:rPr>
        <w:t>8</w:t>
      </w:r>
      <w:r w:rsidRPr="00BE4F00">
        <w:rPr>
          <w:b/>
          <w:bCs/>
          <w:lang w:val="en-ID"/>
        </w:rPr>
        <w:t>a</w:t>
      </w:r>
      <w:r w:rsidR="005E6242" w:rsidRPr="00BE4F00">
        <w:rPr>
          <w:lang w:val="en-ID"/>
        </w:rPr>
        <w:t>,</w:t>
      </w:r>
      <w:r w:rsidR="00AE19E6" w:rsidRPr="00BE4F00">
        <w:rPr>
          <w:lang w:val="en-ID"/>
        </w:rPr>
        <w:t xml:space="preserve"> </w:t>
      </w:r>
      <w:r w:rsidRPr="00BE4F00">
        <w:rPr>
          <w:b/>
          <w:bCs/>
          <w:lang w:val="en-ID"/>
        </w:rPr>
        <w:t xml:space="preserve">Figure </w:t>
      </w:r>
      <w:r w:rsidR="003156D1" w:rsidRPr="00BE4F00">
        <w:rPr>
          <w:b/>
          <w:bCs/>
          <w:lang w:val="en-ID"/>
        </w:rPr>
        <w:t>8</w:t>
      </w:r>
      <w:r w:rsidRPr="00BE4F00">
        <w:rPr>
          <w:b/>
          <w:bCs/>
          <w:lang w:val="en-ID"/>
        </w:rPr>
        <w:t>b</w:t>
      </w:r>
      <w:r w:rsidRPr="00BE4F00">
        <w:rPr>
          <w:lang w:val="en-ID"/>
        </w:rPr>
        <w:t>,</w:t>
      </w:r>
      <w:r w:rsidR="006F190D" w:rsidRPr="00BE4F00">
        <w:rPr>
          <w:lang w:val="en-ID"/>
        </w:rPr>
        <w:t xml:space="preserve"> and </w:t>
      </w:r>
      <w:r w:rsidR="006F190D" w:rsidRPr="00BE4F00">
        <w:rPr>
          <w:b/>
          <w:bCs/>
          <w:lang w:val="en-ID"/>
        </w:rPr>
        <w:t xml:space="preserve">Figure </w:t>
      </w:r>
      <w:r w:rsidR="00BA378C" w:rsidRPr="00BE4F00">
        <w:rPr>
          <w:b/>
          <w:bCs/>
          <w:lang w:val="en-ID"/>
        </w:rPr>
        <w:t>8c</w:t>
      </w:r>
      <w:r w:rsidRPr="00BE4F00">
        <w:rPr>
          <w:lang w:val="en-ID"/>
        </w:rPr>
        <w:t xml:space="preserve"> respectively. The pseudo-first-order model, represented by the linear plot of </w:t>
      </w:r>
      <w:proofErr w:type="gramStart"/>
      <w:r w:rsidRPr="00BE4F00">
        <w:rPr>
          <w:lang w:val="en-ID"/>
        </w:rPr>
        <w:t>ln(</w:t>
      </w:r>
      <w:proofErr w:type="spellStart"/>
      <w:proofErr w:type="gramEnd"/>
      <w:r w:rsidRPr="00BE4F00">
        <w:rPr>
          <w:lang w:val="en-ID"/>
        </w:rPr>
        <w:t>Q</w:t>
      </w:r>
      <w:r w:rsidRPr="00BE4F00">
        <w:rPr>
          <w:vertAlign w:val="subscript"/>
          <w:lang w:val="en-ID"/>
        </w:rPr>
        <w:t>e</w:t>
      </w:r>
      <w:proofErr w:type="spellEnd"/>
      <w:r w:rsidRPr="00BE4F00">
        <w:rPr>
          <w:lang w:val="en-ID"/>
        </w:rPr>
        <w:t>−Q</w:t>
      </w:r>
      <w:r w:rsidRPr="00BE4F00">
        <w:rPr>
          <w:vertAlign w:val="subscript"/>
          <w:lang w:val="en-ID"/>
        </w:rPr>
        <w:t>t</w:t>
      </w:r>
      <w:r w:rsidRPr="00BE4F00">
        <w:rPr>
          <w:lang w:val="en-ID"/>
        </w:rPr>
        <w:t>) versus time, yielded a correlation coefficient (R²) of 0.949, indicating a moderate fit. In contrast, the pseudo-second-order kinetic model, shown by the linear plot of t/Q</w:t>
      </w:r>
      <w:r w:rsidRPr="00BE4F00">
        <w:rPr>
          <w:vertAlign w:val="subscript"/>
          <w:lang w:val="en-ID"/>
        </w:rPr>
        <w:t>t</w:t>
      </w:r>
      <w:r w:rsidRPr="00BE4F00">
        <w:rPr>
          <w:lang w:val="en-ID"/>
        </w:rPr>
        <w:t xml:space="preserve"> versus time, exhibited an excellent linear correlation with an R² value of 0.99</w:t>
      </w:r>
      <w:r w:rsidR="005E6242" w:rsidRPr="00BE4F00">
        <w:rPr>
          <w:lang w:val="en-ID"/>
        </w:rPr>
        <w:t>8</w:t>
      </w:r>
      <w:r w:rsidRPr="00BE4F00">
        <w:rPr>
          <w:lang w:val="en-ID"/>
        </w:rPr>
        <w:t>. This significantly higher correlation coefficient suggests that the adsorption of MB onto g-C₃N₄ follows the pseudo-second-order kinetic model more accurately. The values of the correlation coefficients (R²) and kinetic rate constants (k</w:t>
      </w:r>
      <w:r w:rsidR="000A6C99" w:rsidRPr="00BE4F00">
        <w:rPr>
          <w:vertAlign w:val="subscript"/>
          <w:lang w:val="en-ID"/>
        </w:rPr>
        <w:t>1</w:t>
      </w:r>
      <w:r w:rsidRPr="00BE4F00">
        <w:rPr>
          <w:lang w:val="en-ID"/>
        </w:rPr>
        <w:t xml:space="preserve"> and k</w:t>
      </w:r>
      <w:r w:rsidR="00923CE8" w:rsidRPr="00BE4F00">
        <w:rPr>
          <w:vertAlign w:val="subscript"/>
          <w:lang w:val="en-ID"/>
        </w:rPr>
        <w:t>2</w:t>
      </w:r>
      <w:r w:rsidRPr="00BE4F00">
        <w:rPr>
          <w:lang w:val="en-ID"/>
        </w:rPr>
        <w:t xml:space="preserve">) for each model are summarized in </w:t>
      </w:r>
      <w:r w:rsidRPr="00BE4F00">
        <w:rPr>
          <w:b/>
          <w:bCs/>
          <w:lang w:val="en-ID"/>
        </w:rPr>
        <w:t>Table 1</w:t>
      </w:r>
      <w:r w:rsidRPr="00BE4F00">
        <w:rPr>
          <w:lang w:val="en-ID"/>
        </w:rPr>
        <w:t>.</w:t>
      </w:r>
    </w:p>
    <w:p w14:paraId="0BF459FC" w14:textId="6720203B" w:rsidR="00DA0CB4" w:rsidRPr="00BE4F00" w:rsidRDefault="00DA0CB4" w:rsidP="006773F6">
      <w:pPr>
        <w:pStyle w:val="Paragraph"/>
        <w:rPr>
          <w:lang w:val="en-ID"/>
        </w:rPr>
      </w:pPr>
      <w:r w:rsidRPr="00BE4F00">
        <w:rPr>
          <w:lang w:val="en-ID"/>
        </w:rPr>
        <w:t xml:space="preserve">The conformity to the pseudo-second-order model indicates that the adsorption process is highly dependent on the availability and utilization of active sites on the </w:t>
      </w:r>
      <w:r w:rsidR="009C339C" w:rsidRPr="00BE4F00">
        <w:rPr>
          <w:lang w:val="en-ID"/>
        </w:rPr>
        <w:t>g-C</w:t>
      </w:r>
      <w:r w:rsidR="009C339C" w:rsidRPr="00BE4F00">
        <w:rPr>
          <w:vertAlign w:val="subscript"/>
          <w:lang w:val="en-ID"/>
        </w:rPr>
        <w:t>3</w:t>
      </w:r>
      <w:r w:rsidR="009C339C" w:rsidRPr="00BE4F00">
        <w:rPr>
          <w:lang w:val="en-ID"/>
        </w:rPr>
        <w:t>N</w:t>
      </w:r>
      <w:r w:rsidR="009C339C" w:rsidRPr="00BE4F00">
        <w:rPr>
          <w:vertAlign w:val="subscript"/>
          <w:lang w:val="en-ID"/>
        </w:rPr>
        <w:t>4</w:t>
      </w:r>
      <w:r w:rsidR="009C339C" w:rsidRPr="00BE4F00">
        <w:rPr>
          <w:lang w:val="en-ID"/>
        </w:rPr>
        <w:t xml:space="preserve"> </w:t>
      </w:r>
      <w:r w:rsidRPr="00BE4F00">
        <w:rPr>
          <w:lang w:val="en-ID"/>
        </w:rPr>
        <w:t xml:space="preserve">surface. </w:t>
      </w:r>
      <w:r w:rsidR="006773F6" w:rsidRPr="00BE4F00">
        <w:t xml:space="preserve">The primary active sites for methylene blue adsorption on </w:t>
      </w:r>
      <w:r w:rsidR="006773F6" w:rsidRPr="00BE4F00">
        <w:rPr>
          <w:lang w:val="en-ID"/>
        </w:rPr>
        <w:t>g-C</w:t>
      </w:r>
      <w:r w:rsidR="006773F6" w:rsidRPr="00BE4F00">
        <w:rPr>
          <w:vertAlign w:val="subscript"/>
          <w:lang w:val="en-ID"/>
        </w:rPr>
        <w:t>3</w:t>
      </w:r>
      <w:r w:rsidR="006773F6" w:rsidRPr="00BE4F00">
        <w:rPr>
          <w:lang w:val="en-ID"/>
        </w:rPr>
        <w:t>N</w:t>
      </w:r>
      <w:r w:rsidR="006773F6" w:rsidRPr="00BE4F00">
        <w:rPr>
          <w:vertAlign w:val="subscript"/>
          <w:lang w:val="en-ID"/>
        </w:rPr>
        <w:t>4</w:t>
      </w:r>
      <w:r w:rsidR="006773F6" w:rsidRPr="00BE4F00">
        <w:t xml:space="preserve"> are the nitrogen-based functional groups (NH</w:t>
      </w:r>
      <w:r w:rsidR="006773F6" w:rsidRPr="00BE4F00">
        <w:rPr>
          <w:vertAlign w:val="subscript"/>
        </w:rPr>
        <w:t>2</w:t>
      </w:r>
      <w:r w:rsidR="006773F6" w:rsidRPr="00BE4F00">
        <w:t>) and the carbon sites in heptazine rings, which facilitate π–π stacking and electrostatic interactions</w:t>
      </w:r>
      <w:r w:rsidR="00BA378C" w:rsidRPr="00BE4F00">
        <w:t xml:space="preserve"> </w:t>
      </w:r>
      <w:r w:rsidR="00BA378C" w:rsidRPr="00BE4F00">
        <w:rPr>
          <w:b/>
          <w:bCs/>
        </w:rPr>
        <w:t xml:space="preserve">(Figure </w:t>
      </w:r>
      <w:r w:rsidR="000A1B00" w:rsidRPr="00BE4F00">
        <w:rPr>
          <w:b/>
          <w:bCs/>
        </w:rPr>
        <w:t>8d)</w:t>
      </w:r>
      <w:r w:rsidR="006773F6" w:rsidRPr="00BE4F00">
        <w:t xml:space="preserve"> </w:t>
      </w:r>
      <w:r w:rsidR="006773F6" w:rsidRPr="00BE4F00">
        <w:fldChar w:fldCharType="begin" w:fldLock="1"/>
      </w:r>
      <w:r w:rsidR="00695713" w:rsidRPr="00BE4F00">
        <w:instrText>ADDIN CSL_CITATION {"citationItems":[{"id":"ITEM-1","itemData":{"DOI":"10.1021/acs.jpcb.4c06514","ISSN":"15205207","PMID":"39654031","abstract":"Silicate-based adsorbents offer significant advantages over traditional materials, particularly due to their superior thermal and chemical stability, enhanced regenerability, and the ability to endure more rigorous operating conditions. In this study, an amorphous Na-Ca-magnesium silicate adsorbent (SAAM) and its g-C3N4-modified counterpart (gCN-SAAM) were synthesized via alkali activation and a subsequent thermal process, respectively. The g-C3N4 modification resulted in a novel hybrid adsorbent with a remarkable methylene blue (MB) adsorption capacity of 420 mg g-1, four times higher than the unmodified sample, setting a new benchmark. Solid-state 29Si (MAS and CP/MAS), 1H MAS, and 13C CP/MAS NMR spectroscopy were used to investigate the complex structures of these adsorbents and their interactions with MB. The local structure of SAAM primarily consists of Q3 Si units, with minor Q0 and Q1 Si species, structural water, and Mg-OH sites. Exposure to MB caused an upfield shift in the 29Si CP/MAS spectrum and enhanced resonances in the high-field region, indicating MB interaction with Si sites. 1H MAS NMR spectra revealed significant interactions between water molecules in the geopolymer-like framework of SAAM and MB. The thermal treatment of SAAM with urea to produce gCN-SAAM enhanced the polymerization of Q3 Si species and increased the relative fraction of Q4 Si sites. This treatment also reduced the intensity of some Mg-OH units, showing interaction with g-C3N4. After MB adsorption on gCN-SAAM, NH2 groups of g-C3N4 disappeared, and shifts in the C2N-NHx and C3N sites indicated their involvement in adsorption, while Si sites remained intact. This thermal method creates a sustainable, cost-effective and efficient adsorbent for MB removal from wastewater. Multinuclear NMR spectroscopy provides detailed insights into the adsorbent’s complex structure and MB interactions, potentially guiding the design of improved future adsorbents.","author":[{"dropping-particle":"","family":"Soyer-Uzun","given":"Sezen","non-dropping-particle":"","parse-names":false,"suffix":""},{"dropping-particle":"","family":"Yu","given":"Ping","non-dropping-particle":"","parse-names":false,"suffix":""},{"dropping-particle":"","family":"Öner","given":"Feyza Kevser","non-dropping-particle":"","parse-names":false,"suffix":""},{"dropping-particle":"","family":"Sen","given":"Sabyasachi","non-dropping-particle":"","parse-names":false,"suffix":""}],"container-title":"Journal of Physical Chemistry B","id":"ITEM-1","issue":"50","issued":{"date-parts":[["2024"]]},"page":"12638-12650","title":"Mechanistic Understanding of Superior Methylene Blue Adsorption Capacity in a Novel g-C3N4 Modified Amorphous Na-Ca-Mg Silicate Adsorbent: Insights from Multinuclear Solid-State NMR Spectroscopy","type":"article-journal","volume":"128"},"uris":["http://www.mendeley.com/documents/?uuid=6c7faa55-966c-4969-8dbb-a3c203366830","http://www.mendeley.com/documents/?uuid=1275136d-0abd-45cd-a656-d3683089d9cb","http://www.mendeley.com/documents/?uuid=45d0738b-8ac1-4c67-922c-119ecca2ee30"]}],"mendeley":{"formattedCitation":"[22]","plainTextFormattedCitation":"[22]","previouslyFormattedCitation":"[20]"},"properties":{"noteIndex":0},"schema":"https://github.com/citation-style-language/schema/raw/master/csl-citation.json"}</w:instrText>
      </w:r>
      <w:r w:rsidR="006773F6" w:rsidRPr="00BE4F00">
        <w:fldChar w:fldCharType="separate"/>
      </w:r>
      <w:r w:rsidR="00695713" w:rsidRPr="00BE4F00">
        <w:rPr>
          <w:noProof/>
        </w:rPr>
        <w:t>[22]</w:t>
      </w:r>
      <w:r w:rsidR="006773F6" w:rsidRPr="00BE4F00">
        <w:fldChar w:fldCharType="end"/>
      </w:r>
      <w:r w:rsidR="006773F6" w:rsidRPr="00BE4F00">
        <w:t xml:space="preserve">. </w:t>
      </w:r>
      <w:r w:rsidRPr="00BE4F00">
        <w:rPr>
          <w:lang w:val="en-ID"/>
        </w:rPr>
        <w:t xml:space="preserve">These active sites play a crucial role in capturing dye molecules prior to photocatalytic degradation. Efficient adsorption on these sites ensures that the dye molecules are positioned close to the surface, allowing more effective interaction with photogenerated reactive species such as electrons, holes, or radicals under light irradiation. Therefore, the observed pseudo-second-order kinetics support the notion that </w:t>
      </w:r>
      <w:r w:rsidR="009C339C" w:rsidRPr="00BE4F00">
        <w:rPr>
          <w:lang w:val="en-ID"/>
        </w:rPr>
        <w:t>g-C</w:t>
      </w:r>
      <w:r w:rsidR="009C339C" w:rsidRPr="00BE4F00">
        <w:rPr>
          <w:vertAlign w:val="subscript"/>
          <w:lang w:val="en-ID"/>
        </w:rPr>
        <w:t>3</w:t>
      </w:r>
      <w:r w:rsidR="009C339C" w:rsidRPr="00BE4F00">
        <w:rPr>
          <w:lang w:val="en-ID"/>
        </w:rPr>
        <w:t>N</w:t>
      </w:r>
      <w:r w:rsidR="009C339C" w:rsidRPr="00BE4F00">
        <w:rPr>
          <w:vertAlign w:val="subscript"/>
          <w:lang w:val="en-ID"/>
        </w:rPr>
        <w:t>4</w:t>
      </w:r>
      <w:r w:rsidR="009C339C" w:rsidRPr="00BE4F00">
        <w:rPr>
          <w:lang w:val="en-ID"/>
        </w:rPr>
        <w:t xml:space="preserve"> </w:t>
      </w:r>
      <w:r w:rsidRPr="00BE4F00">
        <w:rPr>
          <w:lang w:val="en-ID"/>
        </w:rPr>
        <w:t>provides abundant and reactive surface sites, which significantly enhance the adsorption step and subsequently improve the overall photocatalytic efficiency.</w:t>
      </w:r>
    </w:p>
    <w:p w14:paraId="17CB9C85" w14:textId="13BF52BA" w:rsidR="00FA370B" w:rsidRPr="00BE4F00" w:rsidRDefault="000110DA" w:rsidP="00FA370B">
      <w:pPr>
        <w:pStyle w:val="Paragraph"/>
        <w:keepNext/>
        <w:ind w:firstLine="0"/>
      </w:pPr>
      <w:r w:rsidRPr="00BE4F00">
        <w:rPr>
          <w:noProof/>
        </w:rPr>
        <w:lastRenderedPageBreak/>
        <w:drawing>
          <wp:inline distT="0" distB="0" distL="0" distR="0" wp14:anchorId="296EECD1" wp14:editId="630E271A">
            <wp:extent cx="5941889" cy="4431826"/>
            <wp:effectExtent l="0" t="0" r="1905" b="6985"/>
            <wp:docPr id="59657468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62044" cy="4446859"/>
                    </a:xfrm>
                    <a:prstGeom prst="rect">
                      <a:avLst/>
                    </a:prstGeom>
                    <a:noFill/>
                  </pic:spPr>
                </pic:pic>
              </a:graphicData>
            </a:graphic>
          </wp:inline>
        </w:drawing>
      </w:r>
    </w:p>
    <w:p w14:paraId="509BA41A" w14:textId="4399A7B7" w:rsidR="006773F6" w:rsidRPr="00BE4F00" w:rsidRDefault="00FA370B" w:rsidP="00FA370B">
      <w:pPr>
        <w:pStyle w:val="Caption"/>
        <w:jc w:val="center"/>
        <w:rPr>
          <w:b w:val="0"/>
          <w:bCs w:val="0"/>
          <w:sz w:val="18"/>
          <w:szCs w:val="18"/>
          <w:lang w:val="en-ID"/>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8</w:t>
      </w:r>
      <w:r w:rsidRPr="00BE4F00">
        <w:rPr>
          <w:b w:val="0"/>
          <w:bCs w:val="0"/>
        </w:rPr>
        <w:fldChar w:fldCharType="end"/>
      </w:r>
      <w:r w:rsidRPr="00BE4F00">
        <w:rPr>
          <w:b w:val="0"/>
          <w:bCs w:val="0"/>
        </w:rPr>
        <w:t xml:space="preserve">. </w:t>
      </w:r>
      <w:r w:rsidRPr="00BE4F00">
        <w:rPr>
          <w:b w:val="0"/>
          <w:bCs w:val="0"/>
          <w:sz w:val="18"/>
          <w:szCs w:val="18"/>
          <w:lang w:val="en-ID"/>
        </w:rPr>
        <w:t>Pseudo-first order (a) pseudo-second order graphic (b)</w:t>
      </w:r>
      <w:r w:rsidR="00704AFC" w:rsidRPr="00BE4F00">
        <w:rPr>
          <w:b w:val="0"/>
          <w:bCs w:val="0"/>
          <w:sz w:val="18"/>
          <w:szCs w:val="18"/>
          <w:lang w:val="en-ID"/>
        </w:rPr>
        <w:t xml:space="preserve"> diffusion intra-particle (c) interaction of g-C</w:t>
      </w:r>
      <w:r w:rsidR="00704AFC" w:rsidRPr="00BE4F00">
        <w:rPr>
          <w:b w:val="0"/>
          <w:bCs w:val="0"/>
          <w:sz w:val="18"/>
          <w:szCs w:val="18"/>
          <w:vertAlign w:val="subscript"/>
          <w:lang w:val="en-ID"/>
        </w:rPr>
        <w:t>3</w:t>
      </w:r>
      <w:r w:rsidR="00704AFC" w:rsidRPr="00BE4F00">
        <w:rPr>
          <w:b w:val="0"/>
          <w:bCs w:val="0"/>
          <w:sz w:val="18"/>
          <w:szCs w:val="18"/>
          <w:lang w:val="en-ID"/>
        </w:rPr>
        <w:t>N</w:t>
      </w:r>
      <w:r w:rsidR="00704AFC" w:rsidRPr="00BE4F00">
        <w:rPr>
          <w:b w:val="0"/>
          <w:bCs w:val="0"/>
          <w:sz w:val="18"/>
          <w:szCs w:val="18"/>
          <w:vertAlign w:val="subscript"/>
          <w:lang w:val="en-ID"/>
        </w:rPr>
        <w:t>4</w:t>
      </w:r>
      <w:r w:rsidR="00704AFC" w:rsidRPr="00BE4F00">
        <w:rPr>
          <w:b w:val="0"/>
          <w:bCs w:val="0"/>
          <w:sz w:val="18"/>
          <w:szCs w:val="18"/>
          <w:lang w:val="en-ID"/>
        </w:rPr>
        <w:t xml:space="preserve"> </w:t>
      </w:r>
      <w:r w:rsidR="00114C37" w:rsidRPr="00BE4F00">
        <w:rPr>
          <w:b w:val="0"/>
          <w:bCs w:val="0"/>
          <w:sz w:val="18"/>
          <w:szCs w:val="18"/>
          <w:lang w:val="en-ID"/>
        </w:rPr>
        <w:t>with MB (d)</w:t>
      </w:r>
    </w:p>
    <w:p w14:paraId="564D0037" w14:textId="77777777" w:rsidR="000110DA" w:rsidRPr="00BE4F00" w:rsidRDefault="000110DA" w:rsidP="000110DA">
      <w:pPr>
        <w:rPr>
          <w:lang w:val="en-ID"/>
        </w:rPr>
      </w:pPr>
    </w:p>
    <w:p w14:paraId="7FD695CD" w14:textId="1328AF29" w:rsidR="006773F6" w:rsidRPr="00BE4F00" w:rsidRDefault="008B623C" w:rsidP="00B64B86">
      <w:pPr>
        <w:pStyle w:val="Paragraph"/>
        <w:ind w:firstLineChars="283" w:firstLine="566"/>
        <w:rPr>
          <w:lang w:val="en-ID"/>
        </w:rPr>
      </w:pPr>
      <w:r w:rsidRPr="00BE4F00">
        <w:t xml:space="preserve">The intra-particle diffusion model was used to analyze the adsorption mechanism of methylene blue (MB) onto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C1523E" w:rsidRPr="00BE4F00">
        <w:rPr>
          <w:lang w:val="en-ID"/>
        </w:rPr>
        <w:t xml:space="preserve">. </w:t>
      </w:r>
      <w:r w:rsidRPr="00BE4F00">
        <w:t xml:space="preserve">The plot of </w:t>
      </w:r>
      <w:r w:rsidR="00C1523E" w:rsidRPr="00BE4F00">
        <w:t>Q</w:t>
      </w:r>
      <w:r w:rsidR="00C1523E" w:rsidRPr="00BE4F00">
        <w:rPr>
          <w:vertAlign w:val="subscript"/>
        </w:rPr>
        <w:t>t</w:t>
      </w:r>
      <w:r w:rsidRPr="00BE4F00">
        <w:t xml:space="preserve"> versus t</w:t>
      </w:r>
      <w:r w:rsidR="00C1523E" w:rsidRPr="00BE4F00">
        <w:rPr>
          <w:vertAlign w:val="superscript"/>
        </w:rPr>
        <w:t>0.5</w:t>
      </w:r>
      <w:r w:rsidRPr="00BE4F00">
        <w:t xml:space="preserve"> shows a good linearity with an R² value of 0.9434. The relatively high correlation coefficient indicates that intra-particle diffusion contributes to the adsorption process. The adsorption of MB onto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C1523E" w:rsidRPr="00BE4F00">
        <w:rPr>
          <w:lang w:val="en-ID"/>
        </w:rPr>
        <w:t xml:space="preserve"> </w:t>
      </w:r>
      <w:r w:rsidRPr="00BE4F00">
        <w:t xml:space="preserve">following the intra-particle diffusion model suggests that the process involves the transport of MB molecules from the bulk solution into the internal pores or surface structure of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6709E4" w:rsidRPr="00BE4F00">
        <w:rPr>
          <w:vertAlign w:val="subscript"/>
          <w:lang w:val="en-ID"/>
        </w:rPr>
        <w:t xml:space="preserve"> </w:t>
      </w:r>
      <w:r w:rsidR="006709E4" w:rsidRPr="00BE4F00">
        <w:rPr>
          <w:vertAlign w:val="subscript"/>
          <w:lang w:val="en-ID"/>
        </w:rPr>
        <w:fldChar w:fldCharType="begin" w:fldLock="1"/>
      </w:r>
      <w:r w:rsidR="00695713" w:rsidRPr="00BE4F00">
        <w:rPr>
          <w:vertAlign w:val="subscript"/>
          <w:lang w:val="en-ID"/>
        </w:rPr>
        <w:instrText>ADDIN CSL_CITATION {"citationItems":[{"id":"ITEM-1","itemData":{"DOI":"10.1155/2019/2394184","ISSN":"16874129","abstract":"Using straw and urea as raw materials, biochar (BC) and g-C3N4 were prepared by oxygen-free pyrolysis at 300°C and 550°C. BC/g-C3N4 was prepared by loading different amounts of g-C3N4 onto the surface of biochar and characterized by SEM and FT-IR. The adsorption effect on methylene blue (MB) was investigated from the aspects of dosage and pH. The studies of adsorption equilibrium isotherms and the kinetic and the thermodynamic parameters on the BC/g-C3N4 adsorbents are discussed. The results showed that BC/g-C3N4 0.16 g/L with a doping ratio of 1: 3 was added to the MB solution with an initial concentration of 50 mg/L and pH = 11. The adsorption rate and adsorption amount were 96.72% and 302.25 mg/g, respectively. The adsorption process included surface adsorption and intraparticle diffusion, which conformed to the pseudo-second-order kinetic model and Langmuir-Freundlich model. Thermodynamic parameters (ΔG0 &lt; 0, ΔH0 &gt; 0, and ΔS0 &gt; 0) showed that the adsorption reaction is spontaneous, which positively correlated with temperature.","author":[{"dropping-particle":"","family":"Li","given":"Xiaodong","non-dropping-particle":"","parse-names":false,"suffix":""}],"container-title":"Journal of Nanomaterials","id":"ITEM-1","issued":{"date-parts":[["2019"]]},"title":"Preparation and adsorption properties of biochar/g-C3N4 composites for methylene blue in aqueous solution","type":"article-journal","volume":"2019"},"uris":["http://www.mendeley.com/documents/?uuid=ce025919-d8fd-4d5f-b9d2-b22ee2ee99da","http://www.mendeley.com/documents/?uuid=b42b5a66-26ab-4c51-9efb-ede1065a804c","http://www.mendeley.com/documents/?uuid=339b09e9-c874-4778-9953-04d3bc87ad6c"]}],"mendeley":{"formattedCitation":"[23]","plainTextFormattedCitation":"[23]","previouslyFormattedCitation":"[21]"},"properties":{"noteIndex":0},"schema":"https://github.com/citation-style-language/schema/raw/master/csl-citation.json"}</w:instrText>
      </w:r>
      <w:r w:rsidR="006709E4" w:rsidRPr="00BE4F00">
        <w:rPr>
          <w:vertAlign w:val="subscript"/>
          <w:lang w:val="en-ID"/>
        </w:rPr>
        <w:fldChar w:fldCharType="separate"/>
      </w:r>
      <w:r w:rsidR="00695713" w:rsidRPr="00BE4F00">
        <w:rPr>
          <w:noProof/>
          <w:lang w:val="en-ID"/>
        </w:rPr>
        <w:t>[23]</w:t>
      </w:r>
      <w:r w:rsidR="006709E4" w:rsidRPr="00BE4F00">
        <w:rPr>
          <w:vertAlign w:val="subscript"/>
          <w:lang w:val="en-ID"/>
        </w:rPr>
        <w:fldChar w:fldCharType="end"/>
      </w:r>
      <w:r w:rsidRPr="00BE4F00">
        <w:t xml:space="preserve">. </w:t>
      </w:r>
      <w:r w:rsidR="00C1523E" w:rsidRPr="00BE4F00">
        <w:t xml:space="preserve">MB molecules, which are cationic and planar, can interact with the nitrogen-rich sites of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C1523E" w:rsidRPr="00BE4F00">
        <w:t xml:space="preserve"> via electrostatic attraction and π–π interactions </w:t>
      </w:r>
      <w:r w:rsidR="00C1523E" w:rsidRPr="00BE4F00">
        <w:fldChar w:fldCharType="begin" w:fldLock="1"/>
      </w:r>
      <w:r w:rsidR="00695713" w:rsidRPr="00BE4F00">
        <w:instrText>ADDIN CSL_CITATION {"citationItems":[{"id":"ITEM-1","itemData":{"DOI":"10.1021/acs.jpcb.4c06514","ISSN":"15205207","PMID":"39654031","abstract":"Silicate-based adsorbents offer significant advantages over traditional materials, particularly due to their superior thermal and chemical stability, enhanced regenerability, and the ability to endure more rigorous operating conditions. In this study, an amorphous Na-Ca-magnesium silicate adsorbent (SAAM) and its g-C3N4-modified counterpart (gCN-SAAM) were synthesized via alkali activation and a subsequent thermal process, respectively. The g-C3N4 modification resulted in a novel hybrid adsorbent with a remarkable methylene blue (MB) adsorption capacity of 420 mg g-1, four times higher than the unmodified sample, setting a new benchmark. Solid-state 29Si (MAS and CP/MAS), 1H MAS, and 13C CP/MAS NMR spectroscopy were used to investigate the complex structures of these adsorbents and their interactions with MB. The local structure of SAAM primarily consists of Q3 Si units, with minor Q0 and Q1 Si species, structural water, and Mg-OH sites. Exposure to MB caused an upfield shift in the 29Si CP/MAS spectrum and enhanced resonances in the high-field region, indicating MB interaction with Si sites. 1H MAS NMR spectra revealed significant interactions between water molecules in the geopolymer-like framework of SAAM and MB. The thermal treatment of SAAM with urea to produce gCN-SAAM enhanced the polymerization of Q3 Si species and increased the relative fraction of Q4 Si sites. This treatment also reduced the intensity of some Mg-OH units, showing interaction with g-C3N4. After MB adsorption on gCN-SAAM, NH2 groups of g-C3N4 disappeared, and shifts in the C2N-NHx and C3N sites indicated their involvement in adsorption, while Si sites remained intact. This thermal method creates a sustainable, cost-effective and efficient adsorbent for MB removal from wastewater. Multinuclear NMR spectroscopy provides detailed insights into the adsorbent’s complex structure and MB interactions, potentially guiding the design of improved future adsorbents.","author":[{"dropping-particle":"","family":"Soyer-Uzun","given":"Sezen","non-dropping-particle":"","parse-names":false,"suffix":""},{"dropping-particle":"","family":"Yu","given":"Ping","non-dropping-particle":"","parse-names":false,"suffix":""},{"dropping-particle":"","family":"Öner","given":"Feyza Kevser","non-dropping-particle":"","parse-names":false,"suffix":""},{"dropping-particle":"","family":"Sen","given":"Sabyasachi","non-dropping-particle":"","parse-names":false,"suffix":""}],"container-title":"Journal of Physical Chemistry B","id":"ITEM-1","issue":"50","issued":{"date-parts":[["2024"]]},"page":"12638-12650","title":"Mechanistic Understanding of Superior Methylene Blue Adsorption Capacity in a Novel g-C3N4 Modified Amorphous Na-Ca-Mg Silicate Adsorbent: Insights from Multinuclear Solid-State NMR Spectroscopy","type":"article-journal","volume":"128"},"uris":["http://www.mendeley.com/documents/?uuid=45d0738b-8ac1-4c67-922c-119ecca2ee30","http://www.mendeley.com/documents/?uuid=1275136d-0abd-45cd-a656-d3683089d9cb","http://www.mendeley.com/documents/?uuid=6c7faa55-966c-4969-8dbb-a3c203366830"]}],"mendeley":{"formattedCitation":"[22]","plainTextFormattedCitation":"[22]","previouslyFormattedCitation":"[20]"},"properties":{"noteIndex":0},"schema":"https://github.com/citation-style-language/schema/raw/master/csl-citation.json"}</w:instrText>
      </w:r>
      <w:r w:rsidR="00C1523E" w:rsidRPr="00BE4F00">
        <w:fldChar w:fldCharType="separate"/>
      </w:r>
      <w:r w:rsidR="00695713" w:rsidRPr="00BE4F00">
        <w:rPr>
          <w:noProof/>
        </w:rPr>
        <w:t>[22]</w:t>
      </w:r>
      <w:r w:rsidR="00C1523E" w:rsidRPr="00BE4F00">
        <w:fldChar w:fldCharType="end"/>
      </w:r>
      <w:r w:rsidR="00C1523E" w:rsidRPr="00BE4F00">
        <w:t xml:space="preserve">. These interactions, combined with the gradual diffusion into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C1523E" w:rsidRPr="00BE4F00">
        <w:t xml:space="preserve"> porous matrix, support the applicability of the intra-particle diffusion model in describing the adsorption behavior of MB on </w:t>
      </w:r>
      <w:r w:rsidR="00C1523E" w:rsidRPr="00BE4F00">
        <w:rPr>
          <w:lang w:val="en-ID"/>
        </w:rPr>
        <w:t>g-C</w:t>
      </w:r>
      <w:r w:rsidR="00C1523E" w:rsidRPr="00BE4F00">
        <w:rPr>
          <w:vertAlign w:val="subscript"/>
          <w:lang w:val="en-ID"/>
        </w:rPr>
        <w:t>3</w:t>
      </w:r>
      <w:r w:rsidR="00C1523E" w:rsidRPr="00BE4F00">
        <w:rPr>
          <w:lang w:val="en-ID"/>
        </w:rPr>
        <w:t>N</w:t>
      </w:r>
      <w:r w:rsidR="00C1523E" w:rsidRPr="00BE4F00">
        <w:rPr>
          <w:vertAlign w:val="subscript"/>
          <w:lang w:val="en-ID"/>
        </w:rPr>
        <w:t>4</w:t>
      </w:r>
      <w:r w:rsidR="00C1523E" w:rsidRPr="00BE4F00">
        <w:t>.</w:t>
      </w:r>
    </w:p>
    <w:p w14:paraId="00164B4D" w14:textId="373C2F65" w:rsidR="003A7E44" w:rsidRPr="00BE4F00" w:rsidRDefault="003A7E44" w:rsidP="007C1CA6">
      <w:pPr>
        <w:pStyle w:val="TableCaption"/>
        <w:rPr>
          <w:lang w:val="en-ID"/>
        </w:rPr>
      </w:pPr>
      <w:r w:rsidRPr="00BE4F00">
        <w:rPr>
          <w:lang w:val="en-ID"/>
        </w:rPr>
        <w:t xml:space="preserve">Table 1. Properties of </w:t>
      </w:r>
      <w:r w:rsidR="00E019CA" w:rsidRPr="00BE4F00">
        <w:rPr>
          <w:lang w:val="en-ID"/>
        </w:rPr>
        <w:t xml:space="preserve">kinetic </w:t>
      </w:r>
      <w:r w:rsidRPr="00BE4F00">
        <w:rPr>
          <w:lang w:val="en-ID"/>
        </w:rPr>
        <w:t>adsorption process</w:t>
      </w:r>
    </w:p>
    <w:tbl>
      <w:tblPr>
        <w:tblStyle w:val="TableGrid"/>
        <w:tblW w:w="0" w:type="auto"/>
        <w:tblLook w:val="04A0" w:firstRow="1" w:lastRow="0" w:firstColumn="1" w:lastColumn="0" w:noHBand="0" w:noVBand="1"/>
      </w:tblPr>
      <w:tblGrid>
        <w:gridCol w:w="3122"/>
        <w:gridCol w:w="3112"/>
        <w:gridCol w:w="3126"/>
      </w:tblGrid>
      <w:tr w:rsidR="00BE4F00" w:rsidRPr="00BE4F00" w14:paraId="0726129A" w14:textId="77777777" w:rsidTr="003A7E44">
        <w:tc>
          <w:tcPr>
            <w:tcW w:w="3192" w:type="dxa"/>
            <w:tcBorders>
              <w:left w:val="nil"/>
              <w:bottom w:val="single" w:sz="4" w:space="0" w:color="auto"/>
              <w:right w:val="nil"/>
            </w:tcBorders>
          </w:tcPr>
          <w:p w14:paraId="6AFAC5FA" w14:textId="01B2BE9F" w:rsidR="003A7E44" w:rsidRPr="00BE4F00" w:rsidRDefault="003A7E44" w:rsidP="003A7E44">
            <w:pPr>
              <w:pStyle w:val="Paragraph"/>
              <w:ind w:firstLine="0"/>
              <w:rPr>
                <w:b/>
                <w:bCs/>
                <w:lang w:val="en-ID"/>
              </w:rPr>
            </w:pPr>
            <w:r w:rsidRPr="00BE4F00">
              <w:rPr>
                <w:b/>
                <w:bCs/>
                <w:lang w:val="en-ID"/>
              </w:rPr>
              <w:t>Kinetic Model</w:t>
            </w:r>
          </w:p>
        </w:tc>
        <w:tc>
          <w:tcPr>
            <w:tcW w:w="3192" w:type="dxa"/>
            <w:tcBorders>
              <w:left w:val="nil"/>
              <w:bottom w:val="single" w:sz="4" w:space="0" w:color="auto"/>
              <w:right w:val="nil"/>
            </w:tcBorders>
          </w:tcPr>
          <w:p w14:paraId="3189ED33" w14:textId="6E5BCD5A" w:rsidR="003A7E44" w:rsidRPr="00BE4F00" w:rsidRDefault="003A7E44" w:rsidP="003A7E44">
            <w:pPr>
              <w:pStyle w:val="Paragraph"/>
              <w:ind w:firstLine="0"/>
              <w:rPr>
                <w:b/>
                <w:bCs/>
                <w:lang w:val="en-ID"/>
              </w:rPr>
            </w:pPr>
            <w:r w:rsidRPr="00BE4F00">
              <w:rPr>
                <w:b/>
                <w:bCs/>
                <w:lang w:val="en-ID"/>
              </w:rPr>
              <w:t>R</w:t>
            </w:r>
            <w:r w:rsidRPr="00BE4F00">
              <w:rPr>
                <w:b/>
                <w:bCs/>
                <w:vertAlign w:val="superscript"/>
                <w:lang w:val="en-ID"/>
              </w:rPr>
              <w:t>2</w:t>
            </w:r>
          </w:p>
        </w:tc>
        <w:tc>
          <w:tcPr>
            <w:tcW w:w="3192" w:type="dxa"/>
            <w:tcBorders>
              <w:left w:val="nil"/>
              <w:bottom w:val="single" w:sz="4" w:space="0" w:color="auto"/>
              <w:right w:val="nil"/>
            </w:tcBorders>
          </w:tcPr>
          <w:p w14:paraId="135D8E3A" w14:textId="346068BC" w:rsidR="003A7E44" w:rsidRPr="00BE4F00" w:rsidRDefault="00D24579" w:rsidP="003A7E44">
            <w:pPr>
              <w:pStyle w:val="Paragraph"/>
              <w:ind w:firstLine="0"/>
              <w:rPr>
                <w:b/>
                <w:bCs/>
                <w:lang w:val="en-ID"/>
              </w:rPr>
            </w:pPr>
            <w:r w:rsidRPr="00BE4F00">
              <w:rPr>
                <w:b/>
                <w:bCs/>
                <w:lang w:val="en-ID"/>
              </w:rPr>
              <w:t>k</w:t>
            </w:r>
            <w:r w:rsidR="003A7E44" w:rsidRPr="00BE4F00">
              <w:rPr>
                <w:b/>
                <w:bCs/>
                <w:lang w:val="en-ID"/>
              </w:rPr>
              <w:t xml:space="preserve"> (rate constant)</w:t>
            </w:r>
          </w:p>
        </w:tc>
      </w:tr>
      <w:tr w:rsidR="00BE4F00" w:rsidRPr="00BE4F00" w14:paraId="45523C84" w14:textId="77777777" w:rsidTr="003A7E44">
        <w:tc>
          <w:tcPr>
            <w:tcW w:w="3192" w:type="dxa"/>
            <w:tcBorders>
              <w:top w:val="single" w:sz="4" w:space="0" w:color="auto"/>
              <w:left w:val="nil"/>
              <w:bottom w:val="single" w:sz="4" w:space="0" w:color="auto"/>
              <w:right w:val="nil"/>
            </w:tcBorders>
          </w:tcPr>
          <w:p w14:paraId="5AA45504" w14:textId="64863B38" w:rsidR="003A7E44" w:rsidRPr="00BE4F00" w:rsidRDefault="003A7E44" w:rsidP="003A7E44">
            <w:pPr>
              <w:pStyle w:val="Paragraph"/>
              <w:ind w:firstLine="0"/>
              <w:rPr>
                <w:lang w:val="en-ID"/>
              </w:rPr>
            </w:pPr>
            <w:r w:rsidRPr="00BE4F00">
              <w:rPr>
                <w:lang w:val="en-ID"/>
              </w:rPr>
              <w:t>Pseudo-first order</w:t>
            </w:r>
          </w:p>
        </w:tc>
        <w:tc>
          <w:tcPr>
            <w:tcW w:w="3192" w:type="dxa"/>
            <w:tcBorders>
              <w:top w:val="single" w:sz="4" w:space="0" w:color="auto"/>
              <w:left w:val="nil"/>
              <w:bottom w:val="single" w:sz="4" w:space="0" w:color="auto"/>
              <w:right w:val="nil"/>
            </w:tcBorders>
          </w:tcPr>
          <w:p w14:paraId="6D5E67B2" w14:textId="2C9411D8" w:rsidR="003A7E44" w:rsidRPr="00BE4F00" w:rsidRDefault="003A7E44" w:rsidP="003A7E44">
            <w:pPr>
              <w:pStyle w:val="Paragraph"/>
              <w:ind w:firstLine="0"/>
              <w:rPr>
                <w:lang w:val="en-ID"/>
              </w:rPr>
            </w:pPr>
            <w:r w:rsidRPr="00BE4F00">
              <w:rPr>
                <w:lang w:val="en-ID"/>
              </w:rPr>
              <w:t>0.9</w:t>
            </w:r>
            <w:r w:rsidR="007E717C" w:rsidRPr="00BE4F00">
              <w:rPr>
                <w:lang w:val="en-ID"/>
              </w:rPr>
              <w:t>49</w:t>
            </w:r>
          </w:p>
        </w:tc>
        <w:tc>
          <w:tcPr>
            <w:tcW w:w="3192" w:type="dxa"/>
            <w:tcBorders>
              <w:top w:val="single" w:sz="4" w:space="0" w:color="auto"/>
              <w:left w:val="nil"/>
              <w:bottom w:val="single" w:sz="4" w:space="0" w:color="auto"/>
              <w:right w:val="nil"/>
            </w:tcBorders>
          </w:tcPr>
          <w:p w14:paraId="59BD116C" w14:textId="71FF41EC" w:rsidR="003A7E44" w:rsidRPr="00BE4F00" w:rsidRDefault="003A7E44" w:rsidP="003A7E44">
            <w:pPr>
              <w:pStyle w:val="Paragraph"/>
              <w:ind w:firstLine="0"/>
              <w:rPr>
                <w:lang w:val="en-ID"/>
              </w:rPr>
            </w:pPr>
            <w:r w:rsidRPr="00BE4F00">
              <w:rPr>
                <w:lang w:val="en-ID"/>
              </w:rPr>
              <w:t>0.17</w:t>
            </w:r>
            <w:r w:rsidR="00D24579" w:rsidRPr="00BE4F00">
              <w:rPr>
                <w:lang w:val="en-ID"/>
              </w:rPr>
              <w:t>5</w:t>
            </w:r>
            <w:r w:rsidRPr="00BE4F00">
              <w:rPr>
                <w:lang w:val="en-ID"/>
              </w:rPr>
              <w:t xml:space="preserve"> (min</w:t>
            </w:r>
            <w:r w:rsidRPr="00BE4F00">
              <w:rPr>
                <w:vertAlign w:val="superscript"/>
                <w:lang w:val="en-ID"/>
              </w:rPr>
              <w:t>-1</w:t>
            </w:r>
            <w:r w:rsidRPr="00BE4F00">
              <w:rPr>
                <w:lang w:val="en-ID"/>
              </w:rPr>
              <w:t>)</w:t>
            </w:r>
          </w:p>
        </w:tc>
      </w:tr>
      <w:tr w:rsidR="00BE4F00" w:rsidRPr="00BE4F00" w14:paraId="1A1F52D1" w14:textId="77777777" w:rsidTr="00893B1F">
        <w:tc>
          <w:tcPr>
            <w:tcW w:w="3192" w:type="dxa"/>
            <w:tcBorders>
              <w:top w:val="single" w:sz="4" w:space="0" w:color="auto"/>
              <w:left w:val="nil"/>
              <w:bottom w:val="single" w:sz="4" w:space="0" w:color="auto"/>
              <w:right w:val="nil"/>
            </w:tcBorders>
          </w:tcPr>
          <w:p w14:paraId="7EE87D73" w14:textId="7E3A1E23" w:rsidR="003A7E44" w:rsidRPr="00BE4F00" w:rsidRDefault="003A7E44" w:rsidP="003A7E44">
            <w:pPr>
              <w:pStyle w:val="Paragraph"/>
              <w:ind w:firstLine="0"/>
              <w:rPr>
                <w:lang w:val="en-ID"/>
              </w:rPr>
            </w:pPr>
            <w:r w:rsidRPr="00BE4F00">
              <w:rPr>
                <w:lang w:val="en-ID"/>
              </w:rPr>
              <w:t>Pseudo-second order</w:t>
            </w:r>
          </w:p>
        </w:tc>
        <w:tc>
          <w:tcPr>
            <w:tcW w:w="3192" w:type="dxa"/>
            <w:tcBorders>
              <w:top w:val="single" w:sz="4" w:space="0" w:color="auto"/>
              <w:left w:val="nil"/>
              <w:bottom w:val="single" w:sz="4" w:space="0" w:color="auto"/>
              <w:right w:val="nil"/>
            </w:tcBorders>
          </w:tcPr>
          <w:p w14:paraId="38219B64" w14:textId="6702FF6A" w:rsidR="003A7E44" w:rsidRPr="00BE4F00" w:rsidRDefault="003A7E44" w:rsidP="003A7E44">
            <w:pPr>
              <w:pStyle w:val="Paragraph"/>
              <w:ind w:firstLine="0"/>
              <w:rPr>
                <w:lang w:val="en-ID"/>
              </w:rPr>
            </w:pPr>
            <w:r w:rsidRPr="00BE4F00">
              <w:rPr>
                <w:lang w:val="en-ID"/>
              </w:rPr>
              <w:t>0.99</w:t>
            </w:r>
            <w:r w:rsidR="00D24579" w:rsidRPr="00BE4F00">
              <w:rPr>
                <w:lang w:val="en-ID"/>
              </w:rPr>
              <w:t>8</w:t>
            </w:r>
          </w:p>
        </w:tc>
        <w:tc>
          <w:tcPr>
            <w:tcW w:w="3192" w:type="dxa"/>
            <w:tcBorders>
              <w:top w:val="single" w:sz="4" w:space="0" w:color="auto"/>
              <w:left w:val="nil"/>
              <w:bottom w:val="single" w:sz="4" w:space="0" w:color="auto"/>
              <w:right w:val="nil"/>
            </w:tcBorders>
          </w:tcPr>
          <w:p w14:paraId="7C53137B" w14:textId="28B15C96" w:rsidR="003A7E44" w:rsidRPr="00BE4F00" w:rsidRDefault="00D40E75" w:rsidP="003A7E44">
            <w:pPr>
              <w:pStyle w:val="Paragraph"/>
              <w:ind w:firstLine="0"/>
              <w:rPr>
                <w:lang w:val="en-ID"/>
              </w:rPr>
            </w:pPr>
            <w:r w:rsidRPr="00BE4F00">
              <w:rPr>
                <w:lang w:val="en-ID"/>
              </w:rPr>
              <w:t>8.4</w:t>
            </w:r>
            <w:r w:rsidR="003A7E44" w:rsidRPr="00BE4F00">
              <w:rPr>
                <w:lang w:val="en-ID"/>
              </w:rPr>
              <w:t xml:space="preserve"> (g</w:t>
            </w:r>
            <w:r w:rsidR="00D24579" w:rsidRPr="00BE4F00">
              <w:rPr>
                <w:lang w:val="en-ID"/>
              </w:rPr>
              <w:t>/</w:t>
            </w:r>
            <w:proofErr w:type="spellStart"/>
            <w:r w:rsidR="003A7E44" w:rsidRPr="00BE4F00">
              <w:rPr>
                <w:lang w:val="en-ID"/>
              </w:rPr>
              <w:t>mg.min</w:t>
            </w:r>
            <w:proofErr w:type="spellEnd"/>
            <w:r w:rsidR="003A7E44" w:rsidRPr="00BE4F00">
              <w:rPr>
                <w:lang w:val="en-ID"/>
              </w:rPr>
              <w:t>)</w:t>
            </w:r>
          </w:p>
        </w:tc>
      </w:tr>
      <w:tr w:rsidR="00893B1F" w:rsidRPr="00BE4F00" w14:paraId="12D51A81" w14:textId="77777777" w:rsidTr="003A7E44">
        <w:tc>
          <w:tcPr>
            <w:tcW w:w="3192" w:type="dxa"/>
            <w:tcBorders>
              <w:top w:val="single" w:sz="4" w:space="0" w:color="auto"/>
              <w:left w:val="nil"/>
              <w:right w:val="nil"/>
            </w:tcBorders>
          </w:tcPr>
          <w:p w14:paraId="6C5AD51C" w14:textId="00780738" w:rsidR="00893B1F" w:rsidRPr="00BE4F00" w:rsidRDefault="00893B1F" w:rsidP="003A7E44">
            <w:pPr>
              <w:pStyle w:val="Paragraph"/>
              <w:ind w:firstLine="0"/>
              <w:rPr>
                <w:lang w:val="en-ID"/>
              </w:rPr>
            </w:pPr>
            <w:r w:rsidRPr="00BE4F00">
              <w:rPr>
                <w:lang w:val="en-ID"/>
              </w:rPr>
              <w:t>Diffusion Intra-particle</w:t>
            </w:r>
          </w:p>
        </w:tc>
        <w:tc>
          <w:tcPr>
            <w:tcW w:w="3192" w:type="dxa"/>
            <w:tcBorders>
              <w:top w:val="single" w:sz="4" w:space="0" w:color="auto"/>
              <w:left w:val="nil"/>
              <w:right w:val="nil"/>
            </w:tcBorders>
          </w:tcPr>
          <w:p w14:paraId="73AE88E2" w14:textId="2600425A" w:rsidR="00893B1F" w:rsidRPr="00BE4F00" w:rsidRDefault="00D24579" w:rsidP="003A7E44">
            <w:pPr>
              <w:pStyle w:val="Paragraph"/>
              <w:ind w:firstLine="0"/>
              <w:rPr>
                <w:lang w:val="en-ID"/>
              </w:rPr>
            </w:pPr>
            <w:r w:rsidRPr="00BE4F00">
              <w:rPr>
                <w:lang w:val="en-ID"/>
              </w:rPr>
              <w:t>0.943</w:t>
            </w:r>
          </w:p>
        </w:tc>
        <w:tc>
          <w:tcPr>
            <w:tcW w:w="3192" w:type="dxa"/>
            <w:tcBorders>
              <w:top w:val="single" w:sz="4" w:space="0" w:color="auto"/>
              <w:left w:val="nil"/>
              <w:right w:val="nil"/>
            </w:tcBorders>
          </w:tcPr>
          <w:p w14:paraId="09C62DBB" w14:textId="3739A7E8" w:rsidR="00893B1F" w:rsidRPr="00BE4F00" w:rsidRDefault="00D24579" w:rsidP="003A7E44">
            <w:pPr>
              <w:pStyle w:val="Paragraph"/>
              <w:ind w:firstLine="0"/>
              <w:rPr>
                <w:lang w:val="en-ID"/>
              </w:rPr>
            </w:pPr>
            <w:r w:rsidRPr="00BE4F00">
              <w:rPr>
                <w:lang w:val="en-ID"/>
              </w:rPr>
              <w:t>0.293 (mg/g. min</w:t>
            </w:r>
            <w:r w:rsidRPr="00BE4F00">
              <w:rPr>
                <w:vertAlign w:val="superscript"/>
                <w:lang w:val="en-ID"/>
              </w:rPr>
              <w:t>0.5</w:t>
            </w:r>
            <w:r w:rsidRPr="00BE4F00">
              <w:rPr>
                <w:lang w:val="en-ID"/>
              </w:rPr>
              <w:t>)</w:t>
            </w:r>
          </w:p>
        </w:tc>
      </w:tr>
    </w:tbl>
    <w:p w14:paraId="1C32B8DC" w14:textId="77777777" w:rsidR="007E717C" w:rsidRPr="00BE4F00" w:rsidRDefault="007E717C" w:rsidP="007E717C">
      <w:pPr>
        <w:pStyle w:val="Paragraph"/>
        <w:ind w:firstLine="0"/>
        <w:rPr>
          <w:lang w:val="en-ID"/>
        </w:rPr>
      </w:pPr>
    </w:p>
    <w:p w14:paraId="75E40663" w14:textId="4299A01E" w:rsidR="00A9267F" w:rsidRPr="00BE4F00" w:rsidRDefault="00A9267F" w:rsidP="00A9267F">
      <w:pPr>
        <w:pStyle w:val="Paragraph"/>
        <w:rPr>
          <w:lang w:val="en-ID"/>
        </w:rPr>
      </w:pPr>
      <w:r w:rsidRPr="00BE4F00">
        <w:rPr>
          <w:b/>
          <w:bCs/>
          <w:lang w:val="en-ID"/>
        </w:rPr>
        <w:t xml:space="preserve">Figure </w:t>
      </w:r>
      <w:r w:rsidR="003156D1" w:rsidRPr="00BE4F00">
        <w:rPr>
          <w:b/>
          <w:bCs/>
          <w:lang w:val="en-ID"/>
        </w:rPr>
        <w:t>10</w:t>
      </w:r>
      <w:r w:rsidRPr="00BE4F00">
        <w:rPr>
          <w:lang w:val="en-ID"/>
        </w:rPr>
        <w:t xml:space="preserve"> shows the kinetic </w:t>
      </w:r>
      <w:r w:rsidR="00860A82" w:rsidRPr="00BE4F00">
        <w:rPr>
          <w:lang w:val="en-ID"/>
        </w:rPr>
        <w:t>modelling</w:t>
      </w:r>
      <w:r w:rsidRPr="00BE4F00">
        <w:rPr>
          <w:lang w:val="en-ID"/>
        </w:rPr>
        <w:t xml:space="preserve"> results for methylene blue degradation under UV and daylight illumination, evaluated using both </w:t>
      </w:r>
      <w:r w:rsidR="00860A82" w:rsidRPr="00BE4F00">
        <w:rPr>
          <w:lang w:val="en-ID"/>
        </w:rPr>
        <w:t>first order</w:t>
      </w:r>
      <w:r w:rsidRPr="00BE4F00">
        <w:rPr>
          <w:lang w:val="en-ID"/>
        </w:rPr>
        <w:t xml:space="preserve"> and second-order reaction models. In </w:t>
      </w:r>
      <w:r w:rsidRPr="00BE4F00">
        <w:rPr>
          <w:b/>
          <w:bCs/>
          <w:lang w:val="en-ID"/>
        </w:rPr>
        <w:t xml:space="preserve">Figure </w:t>
      </w:r>
      <w:r w:rsidR="003156D1" w:rsidRPr="00BE4F00">
        <w:rPr>
          <w:b/>
          <w:bCs/>
          <w:lang w:val="en-ID"/>
        </w:rPr>
        <w:t>10</w:t>
      </w:r>
      <w:r w:rsidRPr="00BE4F00">
        <w:rPr>
          <w:b/>
          <w:bCs/>
          <w:lang w:val="en-ID"/>
        </w:rPr>
        <w:t>a</w:t>
      </w:r>
      <w:r w:rsidRPr="00BE4F00">
        <w:rPr>
          <w:lang w:val="en-ID"/>
        </w:rPr>
        <w:t xml:space="preserve">, the first-order model demonstrates a stronger correlation with the experimental data, as indicated by higher R² values </w:t>
      </w:r>
      <w:r w:rsidR="00860A82" w:rsidRPr="00BE4F00">
        <w:rPr>
          <w:lang w:val="en-ID"/>
        </w:rPr>
        <w:t xml:space="preserve">of </w:t>
      </w:r>
      <w:r w:rsidRPr="00BE4F00">
        <w:rPr>
          <w:lang w:val="en-ID"/>
        </w:rPr>
        <w:t xml:space="preserve">0.9725 for daylight and 0.7275 for UV, compared to the second-order model in </w:t>
      </w:r>
      <w:r w:rsidRPr="00BE4F00">
        <w:rPr>
          <w:b/>
          <w:bCs/>
          <w:lang w:val="en-ID"/>
        </w:rPr>
        <w:t xml:space="preserve">Figure </w:t>
      </w:r>
      <w:r w:rsidR="003156D1" w:rsidRPr="00BE4F00">
        <w:rPr>
          <w:b/>
          <w:bCs/>
          <w:lang w:val="en-ID"/>
        </w:rPr>
        <w:t>10</w:t>
      </w:r>
      <w:r w:rsidRPr="00BE4F00">
        <w:rPr>
          <w:b/>
          <w:bCs/>
          <w:lang w:val="en-ID"/>
        </w:rPr>
        <w:t>b</w:t>
      </w:r>
      <w:r w:rsidRPr="00BE4F00">
        <w:rPr>
          <w:lang w:val="en-ID"/>
        </w:rPr>
        <w:t xml:space="preserve">, which yields R² values of 0.969 for daylight and 0.7117 for UV. </w:t>
      </w:r>
      <w:r w:rsidR="00860A82" w:rsidRPr="00BE4F00">
        <w:t>The strong linearity observed in the first-order plots indicates that the degradation process is better described by first-order kinetics, especially under daylight</w:t>
      </w:r>
      <w:r w:rsidRPr="00BE4F00">
        <w:rPr>
          <w:lang w:val="en-ID"/>
        </w:rPr>
        <w:t xml:space="preserve">. </w:t>
      </w:r>
      <w:r w:rsidR="00860A82" w:rsidRPr="00BE4F00">
        <w:t xml:space="preserve">In a first-order reaction, the degradation rate is directly dependent on the concentration of methylene blue; thus, the reaction proceeds faster at higher concentrations and slows as the </w:t>
      </w:r>
      <w:r w:rsidR="00860A82" w:rsidRPr="00BE4F00">
        <w:lastRenderedPageBreak/>
        <w:t>dye is consumed</w:t>
      </w:r>
      <w:r w:rsidR="00E019CA" w:rsidRPr="00BE4F00">
        <w:t xml:space="preserve"> </w:t>
      </w:r>
      <w:r w:rsidR="00E019CA" w:rsidRPr="00BE4F00">
        <w:fldChar w:fldCharType="begin" w:fldLock="1"/>
      </w:r>
      <w:r w:rsidR="00695713" w:rsidRPr="00BE4F00">
        <w:instrText>ADDIN CSL_CITATION {"citationItems":[{"id":"ITEM-1","itemData":{"DOI":"10.1039/d3ra01970e","ISSN":"20462069","abstract":"Organic compounds are widespread pollutants in wastewater, causing significant risks for living organisms. In terms of advanced oxidation processes, photocatalysis is known as an effective technology for the oxidation and mineralization of numerous non-biodegradable organic contaminants. The underlying mechanisms of photocatalytic degradation can be explored through kinetic studies. In previous works, Langmuir-Hinshelwood and pseudo-first-order models were commonly applied to fit batch-mode experimental data, revealing critical kinetic parameters. However, the application or combination conditions of these models were inconsistent or ignored. This paper briefly reviews kinetic models and various factors influencing the kinetics of photocatalytic degradation. In this review, kinetic models are also systemized by a new approach to establish a general concept of a kinetic model for the photocatalytic degradation of organic compounds in an aqueous solution.","author":[{"dropping-particle":"","family":"Tran","given":"Hai D.","non-dropping-particle":"","parse-names":false,"suffix":""},{"dropping-particle":"","family":"Nguyen","given":"Dinh Quan","non-dropping-particle":"","parse-names":false,"suffix":""},{"dropping-particle":"","family":"Do","given":"Phuong T.","non-dropping-particle":"","parse-names":false,"suffix":""},{"dropping-particle":"","family":"Tran","given":"Uyen N.P.","non-dropping-particle":"","parse-names":false,"suffix":""}],"container-title":"RSC Advances","id":"ITEM-1","issue":"25","issued":{"date-parts":[["2023"]]},"page":"16915-16925","publisher":"Royal Society of Chemistry","title":"Kinetics of photocatalytic degradation of organic compounds: a mini-review and new approach","type":"article-journal","volume":"13"},"uris":["http://www.mendeley.com/documents/?uuid=1d507706-56ff-4d2a-8eb1-b7717a474d0b","http://www.mendeley.com/documents/?uuid=efc84f1e-945d-4d95-a23d-bb9a16405b3a"]},{"id":"ITEM-2","itemData":{"DOI":"10.1155/2024/5259089","ISSN":"16874129","abstract":"Synthetic organic dyes are coloring agents used in various industries. Despite the fact that they offer exciting colors and long-lasting effects, certain organic dyes can have harmful impacts on human health and aquatic ecosystems. This study investigates the photocatalytic degradation of malachite green dye using Ni-TiO2 nanoparticles (NPs) and Ni-TiO2/PANI nanocomposites (NCs) in various reaction conditions. The surface and compositional change of synthesized photocatalysts were characterized by XRD, FTIR, AAS, and UV-vis spectrophotometer. Accordingly, the XRD results signify the crystal structure of photocatalysts found to be tetragonal anatase phase while the FT-IR spectra indicate the titanium has predominantly form a coordination compound upon reaction with nitrogen atom through weakening the bond strength between C═N, C═C, and C</w:instrText>
      </w:r>
      <w:r w:rsidR="00695713" w:rsidRPr="00BE4F00">
        <w:rPr>
          <w:rFonts w:hint="eastAsia"/>
        </w:rPr>
        <w:instrText>─</w:instrText>
      </w:r>
      <w:r w:rsidR="00695713" w:rsidRPr="00BE4F00">
        <w:instrText>N in the PANI. The UV-vis measurement shows that the energy bandgaps were decreased from 3.20 to 2.77 eV and 2.59 eV for Ni-TiO2 NPs and Ni-TiO2/PANI NCs, respectively. From AAS data, the authors confirmed that Ni metal has significantly existed in the aforementioned photocatalysts after the calcination process. The photocatalytic degradation of Ni-TiO2 NPs and Ni-TiO2/PANI NCs on the model dye has studied and their efficiency was 94.22% and 99.09%, respectively. The photocatalytic degradation follows pseudo-first order with 2.23 × 10-2 min-1 reaction rate at optimum conditions of pH 8.5, initial dye concentration of 0.2 g/L, catalyst load of 0.2 g/L, and irradiation time of 90 min. With this, the outstanding result recorded using Ni-TiO2/PANI NCs is ascribed to the smaller particle size as compared to Ni-TiO2 NPs, and it is found to be the promising photocatalyst for the removal of wastewater containing organic dyes.","author":[{"dropping-particle":"","family":"Asefa","given":"Girmaye","non-dropping-particle":"","parse-names":false,"suffix":""},{"dropping-particle":"","family":"Negussa","given":"Dunkana","non-dropping-particle":"","parse-names":false,"suffix":""},{"dropping-particle":"","family":"Lemessa","given":"Gemechu","non-dropping-particle":"","parse-names":false,"suffix":""},{"dropping-particle":"","family":"Alemu","given":"Tibebu","non-dropping-particle":"","parse-names":false,"suffix":""}],"container-title":"Journal of Nanomaterials","id":"ITEM-2","issued":{"date-parts":[["2024"]]},"title":"The Study of Photocatalytic Degradation Kinetics and Mechanism of Malachite Green Dye on Ni-TiO2 Surface Modified with Polyaniline","type":"article-journal","volume":"2024"},"uris":["http://www.mendeley.com/documents/?uuid=91340924-56ae-4abd-b1b1-2c3bc4912751","http://www.mendeley.com/documents/?uuid=9253940f-f674-4798-b3f1-d94f278d407d","http://www.mendeley.com/documents/?uuid=88a1a1b3-3478-4ec1-a92b-a6f0e26ab85d"]}],"mendeley":{"formattedCitation":"[24],[25]","plainTextFormattedCitation":"[24],[25]","previouslyFormattedCitation":"[22],[23]"},"properties":{"noteIndex":0},"schema":"https://github.com/citation-style-language/schema/raw/master/csl-citation.json"}</w:instrText>
      </w:r>
      <w:r w:rsidR="00E019CA" w:rsidRPr="00BE4F00">
        <w:fldChar w:fldCharType="separate"/>
      </w:r>
      <w:r w:rsidR="00695713" w:rsidRPr="00BE4F00">
        <w:rPr>
          <w:noProof/>
        </w:rPr>
        <w:t>[24],[25]</w:t>
      </w:r>
      <w:r w:rsidR="00E019CA" w:rsidRPr="00BE4F00">
        <w:fldChar w:fldCharType="end"/>
      </w:r>
      <w:r w:rsidR="00860A82" w:rsidRPr="00BE4F00">
        <w:t>. This pattern suggests that dye concentration is the main limiting factor, while the photocatalyst is present in excess</w:t>
      </w:r>
      <w:r w:rsidRPr="00BE4F00">
        <w:rPr>
          <w:lang w:val="en-ID"/>
        </w:rPr>
        <w:t xml:space="preserve">. This </w:t>
      </w:r>
      <w:proofErr w:type="spellStart"/>
      <w:r w:rsidRPr="00BE4F00">
        <w:rPr>
          <w:lang w:val="en-ID"/>
        </w:rPr>
        <w:t>behavior</w:t>
      </w:r>
      <w:proofErr w:type="spellEnd"/>
      <w:r w:rsidRPr="00BE4F00">
        <w:rPr>
          <w:lang w:val="en-ID"/>
        </w:rPr>
        <w:t xml:space="preserve"> typically reflects that the dye concentration limits the reaction rate, while the photocatalyst is present in sufficient quantities. Additionally, the rate constant under daylight (k = 0.0032 min⁻¹) is higher than that under UV (k = 0.0020 min⁻¹), confirming better photocatalytic performance under visible light. </w:t>
      </w:r>
      <w:r w:rsidRPr="00BE4F00">
        <w:rPr>
          <w:b/>
          <w:bCs/>
          <w:lang w:val="en-ID"/>
        </w:rPr>
        <w:t>Table 2</w:t>
      </w:r>
      <w:r w:rsidRPr="00BE4F00">
        <w:rPr>
          <w:lang w:val="en-ID"/>
        </w:rPr>
        <w:t xml:space="preserve"> summarizes the kinetic parameters, including rate constants and R² values for both models. The degradation results also align with previous adsorption studies that followed pseudo-second-order kinetics, indicating that surface interactions and active site occupation are key factors in both the adsorption and photocatalytic processes.</w:t>
      </w:r>
    </w:p>
    <w:p w14:paraId="1A857A97" w14:textId="77777777" w:rsidR="00B64B86" w:rsidRPr="00BE4F00" w:rsidRDefault="00FB5592" w:rsidP="00B64B86">
      <w:pPr>
        <w:pStyle w:val="Paragraph"/>
        <w:keepNext/>
        <w:ind w:firstLine="0"/>
      </w:pPr>
      <w:r w:rsidRPr="00BE4F00">
        <w:rPr>
          <w:noProof/>
          <w:lang w:val="en-ID"/>
        </w:rPr>
        <w:drawing>
          <wp:inline distT="0" distB="0" distL="0" distR="0" wp14:anchorId="43F1525B" wp14:editId="575586FA">
            <wp:extent cx="5838420" cy="2299828"/>
            <wp:effectExtent l="0" t="0" r="0" b="5715"/>
            <wp:docPr id="1719931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2035" b="-1"/>
                    <a:stretch>
                      <a:fillRect/>
                    </a:stretch>
                  </pic:blipFill>
                  <pic:spPr bwMode="auto">
                    <a:xfrm>
                      <a:off x="0" y="0"/>
                      <a:ext cx="5880040" cy="2316222"/>
                    </a:xfrm>
                    <a:prstGeom prst="rect">
                      <a:avLst/>
                    </a:prstGeom>
                    <a:noFill/>
                    <a:ln>
                      <a:noFill/>
                    </a:ln>
                    <a:extLst>
                      <a:ext uri="{53640926-AAD7-44D8-BBD7-CCE9431645EC}">
                        <a14:shadowObscured xmlns:a14="http://schemas.microsoft.com/office/drawing/2010/main"/>
                      </a:ext>
                    </a:extLst>
                  </pic:spPr>
                </pic:pic>
              </a:graphicData>
            </a:graphic>
          </wp:inline>
        </w:drawing>
      </w:r>
    </w:p>
    <w:p w14:paraId="5A73B264" w14:textId="649BBF4A" w:rsidR="003E7C74" w:rsidRPr="00BE4F00" w:rsidRDefault="00B64B86" w:rsidP="00B64B86">
      <w:pPr>
        <w:pStyle w:val="Caption"/>
        <w:jc w:val="center"/>
        <w:rPr>
          <w:b w:val="0"/>
          <w:bCs w:val="0"/>
          <w:lang w:val="en-ID"/>
        </w:rPr>
      </w:pPr>
      <w:r w:rsidRPr="00BE4F00">
        <w:rPr>
          <w:b w:val="0"/>
          <w:bCs w:val="0"/>
        </w:rPr>
        <w:t xml:space="preserve">Figure </w:t>
      </w:r>
      <w:r w:rsidRPr="00BE4F00">
        <w:rPr>
          <w:b w:val="0"/>
          <w:bCs w:val="0"/>
        </w:rPr>
        <w:fldChar w:fldCharType="begin"/>
      </w:r>
      <w:r w:rsidRPr="00BE4F00">
        <w:rPr>
          <w:b w:val="0"/>
          <w:bCs w:val="0"/>
        </w:rPr>
        <w:instrText xml:space="preserve"> SEQ Figure \* ARABIC </w:instrText>
      </w:r>
      <w:r w:rsidRPr="00BE4F00">
        <w:rPr>
          <w:b w:val="0"/>
          <w:bCs w:val="0"/>
        </w:rPr>
        <w:fldChar w:fldCharType="separate"/>
      </w:r>
      <w:r w:rsidR="00F1219F">
        <w:rPr>
          <w:b w:val="0"/>
          <w:bCs w:val="0"/>
          <w:noProof/>
        </w:rPr>
        <w:t>9</w:t>
      </w:r>
      <w:r w:rsidRPr="00BE4F00">
        <w:rPr>
          <w:b w:val="0"/>
          <w:bCs w:val="0"/>
        </w:rPr>
        <w:fldChar w:fldCharType="end"/>
      </w:r>
      <w:r w:rsidRPr="00BE4F00">
        <w:rPr>
          <w:b w:val="0"/>
          <w:bCs w:val="0"/>
        </w:rPr>
        <w:t xml:space="preserve">. </w:t>
      </w:r>
      <w:r w:rsidRPr="00BE4F00">
        <w:rPr>
          <w:b w:val="0"/>
          <w:bCs w:val="0"/>
          <w:sz w:val="18"/>
          <w:szCs w:val="18"/>
          <w:lang w:val="en-ID"/>
        </w:rPr>
        <w:t>first order (a) and second order (b) of degradation photocatalytic kinetic</w:t>
      </w:r>
    </w:p>
    <w:p w14:paraId="2970DEDB" w14:textId="77777777" w:rsidR="00893B1F" w:rsidRPr="00BE4F00" w:rsidRDefault="00893B1F" w:rsidP="00B87527">
      <w:pPr>
        <w:pStyle w:val="Paragraph"/>
        <w:ind w:firstLine="0"/>
        <w:rPr>
          <w:sz w:val="18"/>
          <w:szCs w:val="18"/>
          <w:lang w:val="en-ID"/>
        </w:rPr>
      </w:pPr>
    </w:p>
    <w:p w14:paraId="3EDC2748" w14:textId="21E932AC" w:rsidR="00893B1F" w:rsidRPr="00BE4F00" w:rsidRDefault="00893B1F" w:rsidP="00857E89">
      <w:pPr>
        <w:pStyle w:val="Paragraph"/>
        <w:ind w:firstLine="360"/>
      </w:pPr>
      <w:r w:rsidRPr="00BE4F00">
        <w:t>The combination of pseudo-second-order kinetics in the adsorption stage and first-order kinetics in the photocatalytic degradation stage offers significant advantages for an efficient dye removal process. The pseudo-second-order model indicates that adsorption is primarily controlled by the availability of active sites and involves chemisorption, suggesting a strong interaction between dye molecules and the surface of g-C</w:t>
      </w:r>
      <w:r w:rsidR="00E019CA" w:rsidRPr="00BE4F00">
        <w:rPr>
          <w:vertAlign w:val="subscript"/>
        </w:rPr>
        <w:t>3</w:t>
      </w:r>
      <w:r w:rsidRPr="00BE4F00">
        <w:t>N</w:t>
      </w:r>
      <w:r w:rsidR="00E019CA" w:rsidRPr="00BE4F00">
        <w:rPr>
          <w:vertAlign w:val="subscript"/>
        </w:rPr>
        <w:t>4</w:t>
      </w:r>
      <w:r w:rsidRPr="00BE4F00">
        <w:t>. This facilitates the effective accumulation of dye molecules near the photocatalyst's reactive sites, enhancing the readiness for subsequent degradation. In the photocatalytic stage, the first-order kinetic model implies that the degradation rate is directly proportional to the concentration of the dye, which is favorable at the lower concentrations typically remaining after the adsorption step. This kinetic behavior supports a continuous and effective breakdown of pollutants without saturation effects. Together, this sequential mechanism maximizes the utilization of surface-active sites and light-driven degradation efficiency, making the system highly suitable for practical applications in environmental remediation.</w:t>
      </w:r>
    </w:p>
    <w:p w14:paraId="338B86F0" w14:textId="625770AC" w:rsidR="00893B1F" w:rsidRPr="00BE4F00" w:rsidRDefault="00893B1F" w:rsidP="00C2004D">
      <w:pPr>
        <w:pStyle w:val="TableCaption"/>
        <w:rPr>
          <w:lang w:val="en-ID"/>
        </w:rPr>
      </w:pPr>
      <w:r w:rsidRPr="00BE4F00">
        <w:rPr>
          <w:lang w:val="en-ID"/>
        </w:rPr>
        <w:t xml:space="preserve">Table </w:t>
      </w:r>
      <w:r w:rsidR="00E019CA" w:rsidRPr="00BE4F00">
        <w:rPr>
          <w:lang w:val="en-ID"/>
        </w:rPr>
        <w:t xml:space="preserve">2. Properties of photocatalytic process </w:t>
      </w:r>
    </w:p>
    <w:tbl>
      <w:tblPr>
        <w:tblStyle w:val="TableGrid"/>
        <w:tblW w:w="0" w:type="auto"/>
        <w:tblLook w:val="04A0" w:firstRow="1" w:lastRow="0" w:firstColumn="1" w:lastColumn="0" w:noHBand="0" w:noVBand="1"/>
      </w:tblPr>
      <w:tblGrid>
        <w:gridCol w:w="1952"/>
        <w:gridCol w:w="1858"/>
        <w:gridCol w:w="1695"/>
        <w:gridCol w:w="2043"/>
        <w:gridCol w:w="1812"/>
      </w:tblGrid>
      <w:tr w:rsidR="00BE4F00" w:rsidRPr="00BE4F00" w14:paraId="307B0094" w14:textId="52235820" w:rsidTr="008B7D58">
        <w:tc>
          <w:tcPr>
            <w:tcW w:w="1994" w:type="dxa"/>
            <w:tcBorders>
              <w:left w:val="nil"/>
              <w:bottom w:val="single" w:sz="4" w:space="0" w:color="auto"/>
              <w:right w:val="nil"/>
            </w:tcBorders>
          </w:tcPr>
          <w:p w14:paraId="310C787C" w14:textId="77777777" w:rsidR="008B7D58" w:rsidRPr="00BE4F00" w:rsidRDefault="008B7D58" w:rsidP="000D5F7F">
            <w:pPr>
              <w:pStyle w:val="Paragraph"/>
              <w:ind w:firstLine="0"/>
              <w:rPr>
                <w:b/>
                <w:bCs/>
                <w:lang w:val="en-ID"/>
              </w:rPr>
            </w:pPr>
          </w:p>
        </w:tc>
        <w:tc>
          <w:tcPr>
            <w:tcW w:w="3644" w:type="dxa"/>
            <w:gridSpan w:val="2"/>
            <w:tcBorders>
              <w:left w:val="nil"/>
              <w:bottom w:val="single" w:sz="4" w:space="0" w:color="auto"/>
              <w:right w:val="nil"/>
            </w:tcBorders>
            <w:vAlign w:val="center"/>
          </w:tcPr>
          <w:p w14:paraId="5FE57D69" w14:textId="73FFD6EF" w:rsidR="008B7D58" w:rsidRPr="00BE4F00" w:rsidRDefault="008B7D58" w:rsidP="008B7D58">
            <w:pPr>
              <w:pStyle w:val="Paragraph"/>
              <w:ind w:firstLine="0"/>
              <w:jc w:val="center"/>
              <w:rPr>
                <w:b/>
                <w:bCs/>
                <w:lang w:val="en-ID"/>
              </w:rPr>
            </w:pPr>
            <w:r w:rsidRPr="00BE4F00">
              <w:rPr>
                <w:b/>
                <w:bCs/>
                <w:lang w:val="en-ID"/>
              </w:rPr>
              <w:t>First order</w:t>
            </w:r>
          </w:p>
        </w:tc>
        <w:tc>
          <w:tcPr>
            <w:tcW w:w="3938" w:type="dxa"/>
            <w:gridSpan w:val="2"/>
            <w:tcBorders>
              <w:left w:val="nil"/>
              <w:bottom w:val="single" w:sz="4" w:space="0" w:color="auto"/>
              <w:right w:val="nil"/>
            </w:tcBorders>
            <w:vAlign w:val="center"/>
          </w:tcPr>
          <w:p w14:paraId="30F89B24" w14:textId="61AB4B69" w:rsidR="008B7D58" w:rsidRPr="00BE4F00" w:rsidRDefault="008B7D58" w:rsidP="008B7D58">
            <w:pPr>
              <w:pStyle w:val="Paragraph"/>
              <w:ind w:firstLine="0"/>
              <w:jc w:val="center"/>
              <w:rPr>
                <w:b/>
                <w:bCs/>
                <w:lang w:val="en-ID"/>
              </w:rPr>
            </w:pPr>
            <w:r w:rsidRPr="00BE4F00">
              <w:rPr>
                <w:b/>
                <w:bCs/>
                <w:lang w:val="en-ID"/>
              </w:rPr>
              <w:t>Second order</w:t>
            </w:r>
          </w:p>
        </w:tc>
      </w:tr>
      <w:tr w:rsidR="00BE4F00" w:rsidRPr="00BE4F00" w14:paraId="39A56254" w14:textId="4C6493E9" w:rsidTr="008B7D58">
        <w:tc>
          <w:tcPr>
            <w:tcW w:w="1994" w:type="dxa"/>
            <w:tcBorders>
              <w:left w:val="nil"/>
              <w:bottom w:val="single" w:sz="4" w:space="0" w:color="auto"/>
              <w:right w:val="nil"/>
            </w:tcBorders>
          </w:tcPr>
          <w:p w14:paraId="53D540E4" w14:textId="4F9B9F03" w:rsidR="008B7D58" w:rsidRPr="00BE4F00" w:rsidRDefault="008B7D58" w:rsidP="000D5F7F">
            <w:pPr>
              <w:pStyle w:val="Paragraph"/>
              <w:ind w:firstLine="0"/>
              <w:rPr>
                <w:b/>
                <w:bCs/>
                <w:lang w:val="en-ID"/>
              </w:rPr>
            </w:pPr>
          </w:p>
        </w:tc>
        <w:tc>
          <w:tcPr>
            <w:tcW w:w="1907" w:type="dxa"/>
            <w:tcBorders>
              <w:left w:val="nil"/>
              <w:bottom w:val="single" w:sz="4" w:space="0" w:color="auto"/>
              <w:right w:val="nil"/>
            </w:tcBorders>
          </w:tcPr>
          <w:p w14:paraId="37274CC3" w14:textId="7845DB76" w:rsidR="008B7D58" w:rsidRPr="00BE4F00" w:rsidRDefault="008B7D58" w:rsidP="000D5F7F">
            <w:pPr>
              <w:pStyle w:val="Paragraph"/>
              <w:ind w:firstLine="0"/>
              <w:rPr>
                <w:b/>
                <w:bCs/>
                <w:lang w:val="en-ID"/>
              </w:rPr>
            </w:pPr>
            <w:r w:rsidRPr="00BE4F00">
              <w:rPr>
                <w:b/>
                <w:bCs/>
                <w:lang w:val="en-ID"/>
              </w:rPr>
              <w:t>K</w:t>
            </w:r>
            <w:r w:rsidRPr="00BE4F00">
              <w:rPr>
                <w:b/>
                <w:bCs/>
                <w:vertAlign w:val="subscript"/>
                <w:lang w:val="en-ID"/>
              </w:rPr>
              <w:t>1</w:t>
            </w:r>
            <w:r w:rsidR="008B623C" w:rsidRPr="00BE4F00">
              <w:rPr>
                <w:b/>
                <w:bCs/>
                <w:vertAlign w:val="subscript"/>
                <w:lang w:val="en-ID"/>
              </w:rPr>
              <w:t xml:space="preserve"> </w:t>
            </w:r>
            <w:r w:rsidR="008B623C" w:rsidRPr="00BE4F00">
              <w:rPr>
                <w:b/>
                <w:bCs/>
                <w:lang w:val="en-ID"/>
              </w:rPr>
              <w:t>(min</w:t>
            </w:r>
            <w:r w:rsidR="008B623C" w:rsidRPr="00BE4F00">
              <w:rPr>
                <w:b/>
                <w:bCs/>
                <w:vertAlign w:val="superscript"/>
                <w:lang w:val="en-ID"/>
              </w:rPr>
              <w:t>-1</w:t>
            </w:r>
            <w:r w:rsidR="008B623C" w:rsidRPr="00BE4F00">
              <w:rPr>
                <w:b/>
                <w:bCs/>
                <w:lang w:val="en-ID"/>
              </w:rPr>
              <w:t>)</w:t>
            </w:r>
          </w:p>
        </w:tc>
        <w:tc>
          <w:tcPr>
            <w:tcW w:w="1737" w:type="dxa"/>
            <w:tcBorders>
              <w:left w:val="nil"/>
              <w:bottom w:val="single" w:sz="4" w:space="0" w:color="auto"/>
              <w:right w:val="nil"/>
            </w:tcBorders>
          </w:tcPr>
          <w:p w14:paraId="0A853650" w14:textId="6449E6D0" w:rsidR="008B7D58" w:rsidRPr="00BE4F00" w:rsidRDefault="008B7D58" w:rsidP="000D5F7F">
            <w:pPr>
              <w:pStyle w:val="Paragraph"/>
              <w:ind w:firstLine="0"/>
              <w:rPr>
                <w:b/>
                <w:bCs/>
                <w:lang w:val="en-ID"/>
              </w:rPr>
            </w:pPr>
            <w:r w:rsidRPr="00BE4F00">
              <w:rPr>
                <w:b/>
                <w:bCs/>
                <w:lang w:val="en-ID"/>
              </w:rPr>
              <w:t>R</w:t>
            </w:r>
            <w:r w:rsidRPr="00BE4F00">
              <w:rPr>
                <w:b/>
                <w:bCs/>
                <w:vertAlign w:val="superscript"/>
                <w:lang w:val="en-ID"/>
              </w:rPr>
              <w:t>2</w:t>
            </w:r>
          </w:p>
        </w:tc>
        <w:tc>
          <w:tcPr>
            <w:tcW w:w="2079" w:type="dxa"/>
            <w:tcBorders>
              <w:left w:val="nil"/>
              <w:bottom w:val="single" w:sz="4" w:space="0" w:color="auto"/>
              <w:right w:val="nil"/>
            </w:tcBorders>
          </w:tcPr>
          <w:p w14:paraId="79B897D3" w14:textId="74110525" w:rsidR="008B7D58" w:rsidRPr="00BE4F00" w:rsidRDefault="008B7D58" w:rsidP="000D5F7F">
            <w:pPr>
              <w:pStyle w:val="Paragraph"/>
              <w:ind w:firstLine="0"/>
              <w:rPr>
                <w:b/>
                <w:bCs/>
                <w:lang w:val="en-ID"/>
              </w:rPr>
            </w:pPr>
            <w:r w:rsidRPr="00BE4F00">
              <w:rPr>
                <w:b/>
                <w:bCs/>
                <w:lang w:val="en-ID"/>
              </w:rPr>
              <w:t>K</w:t>
            </w:r>
            <w:r w:rsidRPr="00BE4F00">
              <w:rPr>
                <w:b/>
                <w:bCs/>
                <w:vertAlign w:val="subscript"/>
                <w:lang w:val="en-ID"/>
              </w:rPr>
              <w:t>2</w:t>
            </w:r>
            <w:r w:rsidR="008B623C" w:rsidRPr="00BE4F00">
              <w:rPr>
                <w:b/>
                <w:bCs/>
                <w:vertAlign w:val="subscript"/>
                <w:lang w:val="en-ID"/>
              </w:rPr>
              <w:t xml:space="preserve"> </w:t>
            </w:r>
            <w:r w:rsidR="008B623C" w:rsidRPr="00BE4F00">
              <w:rPr>
                <w:b/>
                <w:bCs/>
                <w:lang w:val="en-ID"/>
              </w:rPr>
              <w:t>(g/</w:t>
            </w:r>
            <w:proofErr w:type="spellStart"/>
            <w:r w:rsidR="008B623C" w:rsidRPr="00BE4F00">
              <w:rPr>
                <w:b/>
                <w:bCs/>
                <w:lang w:val="en-ID"/>
              </w:rPr>
              <w:t>mg.min</w:t>
            </w:r>
            <w:proofErr w:type="spellEnd"/>
            <w:r w:rsidR="008B623C" w:rsidRPr="00BE4F00">
              <w:rPr>
                <w:b/>
                <w:bCs/>
                <w:lang w:val="en-ID"/>
              </w:rPr>
              <w:t>)</w:t>
            </w:r>
          </w:p>
        </w:tc>
        <w:tc>
          <w:tcPr>
            <w:tcW w:w="1859" w:type="dxa"/>
            <w:tcBorders>
              <w:left w:val="nil"/>
              <w:bottom w:val="single" w:sz="4" w:space="0" w:color="auto"/>
              <w:right w:val="nil"/>
            </w:tcBorders>
          </w:tcPr>
          <w:p w14:paraId="498B37B2" w14:textId="4A86E08D" w:rsidR="008B7D58" w:rsidRPr="00BE4F00" w:rsidRDefault="008B7D58" w:rsidP="000D5F7F">
            <w:pPr>
              <w:pStyle w:val="Paragraph"/>
              <w:ind w:firstLine="0"/>
              <w:rPr>
                <w:b/>
                <w:bCs/>
                <w:lang w:val="en-ID"/>
              </w:rPr>
            </w:pPr>
            <w:r w:rsidRPr="00BE4F00">
              <w:rPr>
                <w:b/>
                <w:bCs/>
                <w:lang w:val="en-ID"/>
              </w:rPr>
              <w:t>R</w:t>
            </w:r>
            <w:r w:rsidRPr="00BE4F00">
              <w:rPr>
                <w:b/>
                <w:bCs/>
                <w:vertAlign w:val="superscript"/>
                <w:lang w:val="en-ID"/>
              </w:rPr>
              <w:t>2</w:t>
            </w:r>
          </w:p>
        </w:tc>
      </w:tr>
      <w:tr w:rsidR="00BE4F00" w:rsidRPr="00BE4F00" w14:paraId="57580DD4" w14:textId="7CE490A3" w:rsidTr="008B7D58">
        <w:tc>
          <w:tcPr>
            <w:tcW w:w="1994" w:type="dxa"/>
            <w:tcBorders>
              <w:top w:val="single" w:sz="4" w:space="0" w:color="auto"/>
              <w:left w:val="nil"/>
              <w:bottom w:val="single" w:sz="4" w:space="0" w:color="auto"/>
              <w:right w:val="nil"/>
            </w:tcBorders>
          </w:tcPr>
          <w:p w14:paraId="18BA00EB" w14:textId="07D17327" w:rsidR="008B7D58" w:rsidRPr="00BE4F00" w:rsidRDefault="008B7D58" w:rsidP="000D5F7F">
            <w:pPr>
              <w:pStyle w:val="Paragraph"/>
              <w:ind w:firstLine="0"/>
              <w:rPr>
                <w:lang w:val="en-ID"/>
              </w:rPr>
            </w:pPr>
            <w:r w:rsidRPr="00BE4F00">
              <w:rPr>
                <w:lang w:val="en-ID"/>
              </w:rPr>
              <w:t>UV</w:t>
            </w:r>
          </w:p>
        </w:tc>
        <w:tc>
          <w:tcPr>
            <w:tcW w:w="1907" w:type="dxa"/>
            <w:tcBorders>
              <w:top w:val="single" w:sz="4" w:space="0" w:color="auto"/>
              <w:left w:val="nil"/>
              <w:bottom w:val="single" w:sz="4" w:space="0" w:color="auto"/>
              <w:right w:val="nil"/>
            </w:tcBorders>
          </w:tcPr>
          <w:p w14:paraId="32C1E707" w14:textId="6272EB39" w:rsidR="008B7D58" w:rsidRPr="00BE4F00" w:rsidRDefault="008B7D58" w:rsidP="000D5F7F">
            <w:pPr>
              <w:pStyle w:val="Paragraph"/>
              <w:ind w:firstLine="0"/>
              <w:rPr>
                <w:lang w:val="en-ID"/>
              </w:rPr>
            </w:pPr>
            <w:r w:rsidRPr="00BE4F00">
              <w:rPr>
                <w:lang w:val="en-ID"/>
              </w:rPr>
              <w:t>2 x 10</w:t>
            </w:r>
            <w:r w:rsidRPr="00BE4F00">
              <w:rPr>
                <w:vertAlign w:val="superscript"/>
                <w:lang w:val="en-ID"/>
              </w:rPr>
              <w:t>-3</w:t>
            </w:r>
          </w:p>
        </w:tc>
        <w:tc>
          <w:tcPr>
            <w:tcW w:w="1737" w:type="dxa"/>
            <w:tcBorders>
              <w:top w:val="single" w:sz="4" w:space="0" w:color="auto"/>
              <w:left w:val="nil"/>
              <w:bottom w:val="single" w:sz="4" w:space="0" w:color="auto"/>
              <w:right w:val="nil"/>
            </w:tcBorders>
          </w:tcPr>
          <w:p w14:paraId="025899B0" w14:textId="03D95BFD" w:rsidR="008B7D58" w:rsidRPr="00BE4F00" w:rsidRDefault="008B7D58" w:rsidP="000D5F7F">
            <w:pPr>
              <w:pStyle w:val="Paragraph"/>
              <w:ind w:firstLine="0"/>
              <w:rPr>
                <w:lang w:val="en-ID"/>
              </w:rPr>
            </w:pPr>
            <w:r w:rsidRPr="00BE4F00">
              <w:rPr>
                <w:lang w:val="en-ID"/>
              </w:rPr>
              <w:t>0.728</w:t>
            </w:r>
          </w:p>
        </w:tc>
        <w:tc>
          <w:tcPr>
            <w:tcW w:w="2079" w:type="dxa"/>
            <w:tcBorders>
              <w:top w:val="single" w:sz="4" w:space="0" w:color="auto"/>
              <w:left w:val="nil"/>
              <w:bottom w:val="single" w:sz="4" w:space="0" w:color="auto"/>
              <w:right w:val="nil"/>
            </w:tcBorders>
          </w:tcPr>
          <w:p w14:paraId="53C8BF19" w14:textId="68F5F906" w:rsidR="008B7D58" w:rsidRPr="00BE4F00" w:rsidRDefault="00FB5592" w:rsidP="000D5F7F">
            <w:pPr>
              <w:pStyle w:val="Paragraph"/>
              <w:ind w:firstLine="0"/>
              <w:rPr>
                <w:lang w:val="en-ID"/>
              </w:rPr>
            </w:pPr>
            <w:r w:rsidRPr="00BE4F00">
              <w:rPr>
                <w:lang w:val="en-ID"/>
              </w:rPr>
              <w:t>2 x 10</w:t>
            </w:r>
            <w:r w:rsidRPr="00BE4F00">
              <w:rPr>
                <w:vertAlign w:val="superscript"/>
                <w:lang w:val="en-ID"/>
              </w:rPr>
              <w:t>-4</w:t>
            </w:r>
          </w:p>
        </w:tc>
        <w:tc>
          <w:tcPr>
            <w:tcW w:w="1859" w:type="dxa"/>
            <w:tcBorders>
              <w:top w:val="single" w:sz="4" w:space="0" w:color="auto"/>
              <w:left w:val="nil"/>
              <w:bottom w:val="single" w:sz="4" w:space="0" w:color="auto"/>
              <w:right w:val="nil"/>
            </w:tcBorders>
          </w:tcPr>
          <w:p w14:paraId="678DA969" w14:textId="3B783BEF" w:rsidR="008B7D58" w:rsidRPr="00BE4F00" w:rsidRDefault="00FB5592" w:rsidP="000D5F7F">
            <w:pPr>
              <w:pStyle w:val="Paragraph"/>
              <w:ind w:firstLine="0"/>
              <w:rPr>
                <w:lang w:val="en-ID"/>
              </w:rPr>
            </w:pPr>
            <w:r w:rsidRPr="00BE4F00">
              <w:rPr>
                <w:lang w:val="en-ID"/>
              </w:rPr>
              <w:t>0.712</w:t>
            </w:r>
          </w:p>
        </w:tc>
      </w:tr>
      <w:tr w:rsidR="008B7D58" w:rsidRPr="00BE4F00" w14:paraId="192DFF90" w14:textId="40A90613" w:rsidTr="008B7D58">
        <w:tc>
          <w:tcPr>
            <w:tcW w:w="1994" w:type="dxa"/>
            <w:tcBorders>
              <w:top w:val="single" w:sz="4" w:space="0" w:color="auto"/>
              <w:left w:val="nil"/>
              <w:right w:val="nil"/>
            </w:tcBorders>
          </w:tcPr>
          <w:p w14:paraId="68175F7F" w14:textId="07D21E02" w:rsidR="008B7D58" w:rsidRPr="00BE4F00" w:rsidRDefault="008B7D58" w:rsidP="000D5F7F">
            <w:pPr>
              <w:pStyle w:val="Paragraph"/>
              <w:ind w:firstLine="0"/>
              <w:rPr>
                <w:lang w:val="en-ID"/>
              </w:rPr>
            </w:pPr>
            <w:r w:rsidRPr="00BE4F00">
              <w:rPr>
                <w:lang w:val="en-ID"/>
              </w:rPr>
              <w:t>Daylight</w:t>
            </w:r>
          </w:p>
        </w:tc>
        <w:tc>
          <w:tcPr>
            <w:tcW w:w="1907" w:type="dxa"/>
            <w:tcBorders>
              <w:top w:val="single" w:sz="4" w:space="0" w:color="auto"/>
              <w:left w:val="nil"/>
              <w:right w:val="nil"/>
            </w:tcBorders>
          </w:tcPr>
          <w:p w14:paraId="63B7710A" w14:textId="3633853D" w:rsidR="008B7D58" w:rsidRPr="00BE4F00" w:rsidRDefault="008B7D58" w:rsidP="000D5F7F">
            <w:pPr>
              <w:pStyle w:val="Paragraph"/>
              <w:ind w:firstLine="0"/>
              <w:rPr>
                <w:lang w:val="en-ID"/>
              </w:rPr>
            </w:pPr>
            <w:r w:rsidRPr="00BE4F00">
              <w:rPr>
                <w:lang w:val="en-ID"/>
              </w:rPr>
              <w:t>3.2 x 10</w:t>
            </w:r>
            <w:r w:rsidRPr="00BE4F00">
              <w:rPr>
                <w:vertAlign w:val="superscript"/>
                <w:lang w:val="en-ID"/>
              </w:rPr>
              <w:t>-3</w:t>
            </w:r>
          </w:p>
        </w:tc>
        <w:tc>
          <w:tcPr>
            <w:tcW w:w="1737" w:type="dxa"/>
            <w:tcBorders>
              <w:top w:val="single" w:sz="4" w:space="0" w:color="auto"/>
              <w:left w:val="nil"/>
              <w:right w:val="nil"/>
            </w:tcBorders>
          </w:tcPr>
          <w:p w14:paraId="2DDC2E37" w14:textId="7F197A92" w:rsidR="008B7D58" w:rsidRPr="00BE4F00" w:rsidRDefault="008B7D58" w:rsidP="000D5F7F">
            <w:pPr>
              <w:pStyle w:val="Paragraph"/>
              <w:ind w:firstLine="0"/>
              <w:rPr>
                <w:lang w:val="en-ID"/>
              </w:rPr>
            </w:pPr>
            <w:r w:rsidRPr="00BE4F00">
              <w:rPr>
                <w:lang w:val="en-ID"/>
              </w:rPr>
              <w:t>0.973</w:t>
            </w:r>
          </w:p>
        </w:tc>
        <w:tc>
          <w:tcPr>
            <w:tcW w:w="2079" w:type="dxa"/>
            <w:tcBorders>
              <w:top w:val="single" w:sz="4" w:space="0" w:color="auto"/>
              <w:left w:val="nil"/>
              <w:right w:val="nil"/>
            </w:tcBorders>
          </w:tcPr>
          <w:p w14:paraId="0F7867AD" w14:textId="07F7583B" w:rsidR="008B7D58" w:rsidRPr="00BE4F00" w:rsidRDefault="00FB5592" w:rsidP="000D5F7F">
            <w:pPr>
              <w:pStyle w:val="Paragraph"/>
              <w:ind w:firstLine="0"/>
              <w:rPr>
                <w:lang w:val="en-ID"/>
              </w:rPr>
            </w:pPr>
            <w:r w:rsidRPr="00BE4F00">
              <w:rPr>
                <w:lang w:val="en-ID"/>
              </w:rPr>
              <w:t>7 x 10</w:t>
            </w:r>
            <w:r w:rsidRPr="00BE4F00">
              <w:rPr>
                <w:vertAlign w:val="superscript"/>
                <w:lang w:val="en-ID"/>
              </w:rPr>
              <w:t>-4</w:t>
            </w:r>
          </w:p>
        </w:tc>
        <w:tc>
          <w:tcPr>
            <w:tcW w:w="1859" w:type="dxa"/>
            <w:tcBorders>
              <w:top w:val="single" w:sz="4" w:space="0" w:color="auto"/>
              <w:left w:val="nil"/>
              <w:right w:val="nil"/>
            </w:tcBorders>
          </w:tcPr>
          <w:p w14:paraId="2F5AD414" w14:textId="61BA2261" w:rsidR="008B7D58" w:rsidRPr="00BE4F00" w:rsidRDefault="00FB5592" w:rsidP="000D5F7F">
            <w:pPr>
              <w:pStyle w:val="Paragraph"/>
              <w:ind w:firstLine="0"/>
              <w:rPr>
                <w:lang w:val="en-ID"/>
              </w:rPr>
            </w:pPr>
            <w:r w:rsidRPr="00BE4F00">
              <w:rPr>
                <w:lang w:val="en-ID"/>
              </w:rPr>
              <w:t>0.969</w:t>
            </w:r>
          </w:p>
        </w:tc>
      </w:tr>
    </w:tbl>
    <w:p w14:paraId="443A21B8" w14:textId="77777777" w:rsidR="00893B1F" w:rsidRPr="00BE4F00" w:rsidRDefault="00893B1F" w:rsidP="00B87527">
      <w:pPr>
        <w:pStyle w:val="Paragraph"/>
        <w:ind w:firstLine="0"/>
        <w:rPr>
          <w:lang w:val="en-ID"/>
        </w:rPr>
      </w:pPr>
    </w:p>
    <w:p w14:paraId="40C8949C" w14:textId="464ED410" w:rsidR="00D02402" w:rsidRPr="00BE4F00" w:rsidRDefault="00D02402" w:rsidP="00E019CA">
      <w:pPr>
        <w:pStyle w:val="Heading1"/>
        <w:rPr>
          <w:lang w:val="en-ID"/>
        </w:rPr>
      </w:pPr>
      <w:r w:rsidRPr="00BE4F00">
        <w:rPr>
          <w:lang w:val="en-ID"/>
        </w:rPr>
        <w:t>Ph</w:t>
      </w:r>
      <w:r w:rsidR="00247620" w:rsidRPr="00BE4F00">
        <w:rPr>
          <w:lang w:val="en-ID"/>
        </w:rPr>
        <w:t>otocatalys mechanism</w:t>
      </w:r>
    </w:p>
    <w:p w14:paraId="4D3D3B97" w14:textId="691411C7" w:rsidR="00537884" w:rsidRPr="00BE4F00" w:rsidRDefault="00EE7C1A" w:rsidP="00253B8C">
      <w:pPr>
        <w:pStyle w:val="Paragraph"/>
        <w:rPr>
          <w:lang w:val="en-ID"/>
        </w:rPr>
      </w:pPr>
      <w:r w:rsidRPr="00BE4F00">
        <w:rPr>
          <w:b/>
          <w:bCs/>
          <w:lang w:val="en-ID"/>
        </w:rPr>
        <w:t>Figure 1</w:t>
      </w:r>
      <w:r w:rsidR="00302E35" w:rsidRPr="00BE4F00">
        <w:rPr>
          <w:b/>
          <w:bCs/>
          <w:lang w:val="en-ID"/>
        </w:rPr>
        <w:t>1</w:t>
      </w:r>
      <w:r w:rsidRPr="00BE4F00">
        <w:rPr>
          <w:lang w:val="en-ID"/>
        </w:rPr>
        <w:t xml:space="preserve"> illustrat</w:t>
      </w:r>
      <w:r w:rsidR="002A1FC4" w:rsidRPr="00BE4F00">
        <w:rPr>
          <w:lang w:val="en-ID"/>
        </w:rPr>
        <w:t xml:space="preserve">es </w:t>
      </w:r>
      <w:r w:rsidR="0089111A" w:rsidRPr="00BE4F00">
        <w:rPr>
          <w:lang w:val="en-ID"/>
        </w:rPr>
        <w:t xml:space="preserve">a </w:t>
      </w:r>
      <w:r w:rsidRPr="00BE4F00">
        <w:rPr>
          <w:lang w:val="en-ID"/>
        </w:rPr>
        <w:t>predict</w:t>
      </w:r>
      <w:r w:rsidR="0089111A" w:rsidRPr="00BE4F00">
        <w:rPr>
          <w:lang w:val="en-ID"/>
        </w:rPr>
        <w:t>ed photocatalyst</w:t>
      </w:r>
      <w:r w:rsidR="002D4040" w:rsidRPr="00BE4F00">
        <w:rPr>
          <w:lang w:val="en-ID"/>
        </w:rPr>
        <w:t xml:space="preserve"> </w:t>
      </w:r>
      <w:r w:rsidR="002D4040" w:rsidRPr="00BE4F00">
        <w:t xml:space="preserve">under visible light irradiation. Based on the </w:t>
      </w:r>
      <w:proofErr w:type="spellStart"/>
      <w:r w:rsidR="002D4040" w:rsidRPr="00BE4F00">
        <w:t>Tauc</w:t>
      </w:r>
      <w:proofErr w:type="spellEnd"/>
      <w:r w:rsidR="002D4040" w:rsidRPr="00BE4F00">
        <w:t xml:space="preserve"> plot, the band gap of g-C</w:t>
      </w:r>
      <w:r w:rsidR="000B4059" w:rsidRPr="00BE4F00">
        <w:rPr>
          <w:vertAlign w:val="subscript"/>
        </w:rPr>
        <w:t>3</w:t>
      </w:r>
      <w:r w:rsidR="002D4040" w:rsidRPr="00BE4F00">
        <w:t>N</w:t>
      </w:r>
      <w:r w:rsidR="000B4059" w:rsidRPr="00BE4F00">
        <w:rPr>
          <w:vertAlign w:val="subscript"/>
        </w:rPr>
        <w:t>4</w:t>
      </w:r>
      <w:r w:rsidR="002D4040" w:rsidRPr="00BE4F00">
        <w:t xml:space="preserve"> is 2.</w:t>
      </w:r>
      <w:r w:rsidR="00B454FB" w:rsidRPr="00BE4F00">
        <w:t>98</w:t>
      </w:r>
      <w:r w:rsidR="002D4040" w:rsidRPr="00BE4F00">
        <w:t xml:space="preserve"> eV. </w:t>
      </w:r>
      <w:r w:rsidR="009C1631" w:rsidRPr="00BE4F00">
        <w:t xml:space="preserve">When </w:t>
      </w:r>
      <w:r w:rsidR="006C1223" w:rsidRPr="00BE4F00">
        <w:t>g-C</w:t>
      </w:r>
      <w:r w:rsidR="006C1223" w:rsidRPr="00BE4F00">
        <w:rPr>
          <w:vertAlign w:val="subscript"/>
        </w:rPr>
        <w:t>3</w:t>
      </w:r>
      <w:r w:rsidR="006C1223" w:rsidRPr="00BE4F00">
        <w:t>N</w:t>
      </w:r>
      <w:r w:rsidR="006C1223" w:rsidRPr="00BE4F00">
        <w:rPr>
          <w:vertAlign w:val="subscript"/>
        </w:rPr>
        <w:t>4</w:t>
      </w:r>
      <w:r w:rsidR="009C1631" w:rsidRPr="00BE4F00">
        <w:t xml:space="preserve"> absorbs photons with energy equal to or greater than its bandgap (~2.7 eV), electrons are excited from the valence band to the conduction band, leaving behind holes in the valence band. These photogenerated charge carriers migrate to the catalyst surface, where electrons reduce dissolved oxygen to form reactive superoxide </w:t>
      </w:r>
      <w:proofErr w:type="gramStart"/>
      <w:r w:rsidR="00B56137" w:rsidRPr="00BE4F00">
        <w:t>radicals</w:t>
      </w:r>
      <w:r w:rsidR="00974E16" w:rsidRPr="00BE4F00">
        <w:t xml:space="preserve"> </w:t>
      </w:r>
      <w:r w:rsidR="00B56137" w:rsidRPr="00BE4F00">
        <w:t>(</w:t>
      </w:r>
      <w:r w:rsidR="009273E7" w:rsidRPr="00BE4F00">
        <w:rPr>
          <w:rFonts w:ascii="Malgun Gothic" w:eastAsia="Malgun Gothic" w:hAnsi="Malgun Gothic" w:hint="eastAsia"/>
        </w:rPr>
        <w:t>•</w:t>
      </w:r>
      <w:proofErr w:type="gramEnd"/>
      <w:r w:rsidR="009C1631" w:rsidRPr="00BE4F00">
        <w:t>O</w:t>
      </w:r>
      <w:r w:rsidR="00B56137" w:rsidRPr="00BE4F00">
        <w:rPr>
          <w:vertAlign w:val="subscript"/>
        </w:rPr>
        <w:t>2</w:t>
      </w:r>
      <w:r w:rsidR="00B56137" w:rsidRPr="00BE4F00">
        <w:rPr>
          <w:vertAlign w:val="superscript"/>
        </w:rPr>
        <w:t>-</w:t>
      </w:r>
      <w:r w:rsidR="009C1631" w:rsidRPr="00BE4F00">
        <w:t xml:space="preserve">). </w:t>
      </w:r>
      <w:r w:rsidR="00567E56" w:rsidRPr="00BE4F00">
        <w:t xml:space="preserve">At the same time, the valence band holes can either oxidize MB directly or react with water to produce hydroxyl </w:t>
      </w:r>
      <w:proofErr w:type="gramStart"/>
      <w:r w:rsidR="00567E56" w:rsidRPr="00BE4F00">
        <w:t>radicals (</w:t>
      </w:r>
      <w:r w:rsidR="009273E7" w:rsidRPr="00BE4F00">
        <w:rPr>
          <w:rFonts w:ascii="Malgun Gothic" w:eastAsia="Malgun Gothic" w:hAnsi="Malgun Gothic" w:hint="eastAsia"/>
        </w:rPr>
        <w:t>•</w:t>
      </w:r>
      <w:proofErr w:type="gramEnd"/>
      <w:r w:rsidR="00567E56" w:rsidRPr="00BE4F00">
        <w:t>OH). The combined activity of these reactive oxygen species, along with the strong oxidative capacity of the holes, drives the sequential degradation of MB via N-demethylation, breakdown of aromatic structures, and ultimate mineralization into CO</w:t>
      </w:r>
      <w:r w:rsidR="00B56137" w:rsidRPr="00BE4F00">
        <w:rPr>
          <w:vertAlign w:val="subscript"/>
        </w:rPr>
        <w:t>2</w:t>
      </w:r>
      <w:r w:rsidR="0082279C" w:rsidRPr="00BE4F00">
        <w:t>,</w:t>
      </w:r>
      <w:r w:rsidR="00567E56" w:rsidRPr="00BE4F00">
        <w:t xml:space="preserve"> H</w:t>
      </w:r>
      <w:r w:rsidR="00B56137" w:rsidRPr="00BE4F00">
        <w:rPr>
          <w:vertAlign w:val="subscript"/>
        </w:rPr>
        <w:t>2</w:t>
      </w:r>
      <w:r w:rsidR="00567E56" w:rsidRPr="00BE4F00">
        <w:t>O</w:t>
      </w:r>
      <w:r w:rsidR="0082279C" w:rsidRPr="00BE4F00">
        <w:t>,</w:t>
      </w:r>
      <w:r w:rsidR="00567E56" w:rsidRPr="00BE4F00">
        <w:t xml:space="preserve"> and inorganic ions</w:t>
      </w:r>
      <w:r w:rsidR="006350EF" w:rsidRPr="00BE4F00">
        <w:t xml:space="preserve"> </w:t>
      </w:r>
      <w:r w:rsidR="0082279C" w:rsidRPr="00BE4F00">
        <w:fldChar w:fldCharType="begin" w:fldLock="1"/>
      </w:r>
      <w:r w:rsidR="00695713" w:rsidRPr="00BE4F00">
        <w:instrText>ADDIN CSL_CITATION {"citationItems":[{"id":"ITEM-1","itemData":{"DOI":"10.1016/j.jclepro.2023.138538","ISSN":"09596526","abstract":"In this work, we report the effective fabrication of exfoliated graphitic carbon nitride (gCN) photocatalysts through thermal exfoliation utilizing melamine, urea, and a combination of the two as precursors. As fabricated photocatalysts were characterized by different analytical techniques like XRD, FT-IR, UV-DRS, BET, FE-SEM HRTEM and XPS. Combining the various findings, it found that the gCN synthesized from urea has a loose nanosheet-like structure with smaller lamellae and a high surface area with porosity. The specific surface area for U-gCN was observed to be 168.98 m2 g−1, which was nearly 10 times higher than that of M-gCN (≈14.56 m2 g−1). Band gap energies using Tauc plot were estimated to be 2.57 eV for M-gCN, 2.68 eV for UM-gCN, and 2.82 eV for U-gCN, difference in the band gap energies was due to the peak shift observed in UV-DRS spectra. It was observed that thermally exfoliated U-gCN nanosheets were observed to be 5 times more efficient (98.4% degradation in 60 min) than M-gCN and UM-gCN in the photo-degradation of Methylene blue (MB) dye. Similarly, U-gCN photocatalyst showed remarkable ability to degrade tetracycline (TC) drug and the results exhibited that the TC antibiotic was almost completely degraded within 60 min of light exposure, at a rate of 0.0065 min−1. Scavenger studies were also carried out to investigate the reactive species. Further the plausible degradation mechanism was studied by combining the results of Tauc plot and VB-XPS. Additionally, photocatalytic antibacterial experiments revealed that U-gCN have remarkable antibacterial activity against S. aureus bacteria. Overall, enormous thin sheet-like arrangement, porous structure (which leads to effective charge separation), high surface area and extended light absorption characteristics are all contributing factors for the remarkable photocatalytic efficiency of U-gCN.","author":[{"dropping-particle":"","family":"Attri","given":"Prerna","non-dropping-particle":"","parse-names":false,"suffix":""},{"dropping-particle":"","family":"Garg","given":"Preeti","non-dropping-particle":"","parse-names":false,"suffix":""},{"dropping-particle":"","family":"Sharma","given":"Pallavi","non-dropping-particle":"","parse-names":false,"suffix":""},{"dropping-particle":"","family":"Singh","given":"Rajender","non-dropping-particle":"","parse-names":false,"suffix":""},{"dropping-particle":"","family":"Chauhan","given":"Moondeep","non-dropping-particle":"","parse-names":false,"suffix":""},{"dropping-particle":"","family":"Lim","given":"Dong Kwon","non-dropping-particle":"","parse-names":false,"suffix":""},{"dropping-particle":"","family":"Kumar","given":"Sandeep","non-dropping-particle":"","parse-names":false,"suffix":""},{"dropping-particle":"","family":"Chaudhary","given":"Ganga Ram","non-dropping-particle":"","parse-names":false,"suffix":""}],"container-title":"Journal of Cleaner Production","id":"ITEM-1","issue":"June","issued":{"date-parts":[["2023"]]},"page":"138538","publisher":"Elsevier Ltd","title":"Precursor-dependent fabrication of exfoliated graphitic carbon nitride (gCN) for enhanced photocatalytic and antimicrobial activity under visible light irradiation","type":"article-journal","volume":"422"},"uris":["http://www.mendeley.com/documents/?uuid=56881735-76cc-4a12-a9ba-cb10a5b018ff","http://www.mendeley.com/documents/?uuid=5e835c86-c046-47eb-bfcc-d2153f4269a9"]}],"mendeley":{"formattedCitation":"[26]","plainTextFormattedCitation":"[26]","previouslyFormattedCitation":"[24]"},"properties":{"noteIndex":0},"schema":"https://github.com/citation-style-language/schema/raw/master/csl-citation.json"}</w:instrText>
      </w:r>
      <w:r w:rsidR="0082279C" w:rsidRPr="00BE4F00">
        <w:fldChar w:fldCharType="separate"/>
      </w:r>
      <w:r w:rsidR="00695713" w:rsidRPr="00BE4F00">
        <w:rPr>
          <w:noProof/>
        </w:rPr>
        <w:t>[26]</w:t>
      </w:r>
      <w:r w:rsidR="0082279C" w:rsidRPr="00BE4F00">
        <w:fldChar w:fldCharType="end"/>
      </w:r>
      <w:r w:rsidR="00567E56" w:rsidRPr="00BE4F00">
        <w:t>.</w:t>
      </w:r>
    </w:p>
    <w:p w14:paraId="03171157" w14:textId="72B47733" w:rsidR="00537884" w:rsidRPr="00BE4F00" w:rsidRDefault="003E6DD6" w:rsidP="00537884">
      <w:pPr>
        <w:pStyle w:val="Heading1"/>
      </w:pPr>
      <w:r w:rsidRPr="00BE4F00">
        <w:rPr>
          <w:noProof/>
        </w:rPr>
        <w:lastRenderedPageBreak/>
        <w:drawing>
          <wp:inline distT="0" distB="0" distL="0" distR="0" wp14:anchorId="18F416A6" wp14:editId="427304EC">
            <wp:extent cx="6035653" cy="2119691"/>
            <wp:effectExtent l="0" t="0" r="3810" b="0"/>
            <wp:docPr id="5068087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71013" cy="2132109"/>
                    </a:xfrm>
                    <a:prstGeom prst="rect">
                      <a:avLst/>
                    </a:prstGeom>
                    <a:noFill/>
                  </pic:spPr>
                </pic:pic>
              </a:graphicData>
            </a:graphic>
          </wp:inline>
        </w:drawing>
      </w:r>
    </w:p>
    <w:p w14:paraId="2700EA88" w14:textId="2F892BF8" w:rsidR="00537884" w:rsidRPr="00BE4F00" w:rsidRDefault="00537884" w:rsidP="00537884">
      <w:pPr>
        <w:pStyle w:val="Caption"/>
        <w:jc w:val="center"/>
        <w:rPr>
          <w:b w:val="0"/>
          <w:bCs w:val="0"/>
          <w:sz w:val="18"/>
          <w:szCs w:val="18"/>
        </w:rPr>
      </w:pPr>
      <w:r w:rsidRPr="00BE4F00">
        <w:rPr>
          <w:b w:val="0"/>
          <w:bCs w:val="0"/>
          <w:sz w:val="18"/>
          <w:szCs w:val="18"/>
        </w:rPr>
        <w:t xml:space="preserve">Figure </w:t>
      </w:r>
      <w:r w:rsidRPr="00BE4F00">
        <w:rPr>
          <w:b w:val="0"/>
          <w:bCs w:val="0"/>
          <w:sz w:val="18"/>
          <w:szCs w:val="18"/>
        </w:rPr>
        <w:fldChar w:fldCharType="begin"/>
      </w:r>
      <w:r w:rsidRPr="00BE4F00">
        <w:rPr>
          <w:b w:val="0"/>
          <w:bCs w:val="0"/>
          <w:sz w:val="18"/>
          <w:szCs w:val="18"/>
        </w:rPr>
        <w:instrText xml:space="preserve"> SEQ Figure \* ARABIC </w:instrText>
      </w:r>
      <w:r w:rsidRPr="00BE4F00">
        <w:rPr>
          <w:b w:val="0"/>
          <w:bCs w:val="0"/>
          <w:sz w:val="18"/>
          <w:szCs w:val="18"/>
        </w:rPr>
        <w:fldChar w:fldCharType="separate"/>
      </w:r>
      <w:r w:rsidR="00F1219F">
        <w:rPr>
          <w:b w:val="0"/>
          <w:bCs w:val="0"/>
          <w:noProof/>
          <w:sz w:val="18"/>
          <w:szCs w:val="18"/>
        </w:rPr>
        <w:t>10</w:t>
      </w:r>
      <w:r w:rsidRPr="00BE4F00">
        <w:rPr>
          <w:b w:val="0"/>
          <w:bCs w:val="0"/>
          <w:sz w:val="18"/>
          <w:szCs w:val="18"/>
        </w:rPr>
        <w:fldChar w:fldCharType="end"/>
      </w:r>
      <w:r w:rsidRPr="00BE4F00">
        <w:rPr>
          <w:b w:val="0"/>
          <w:bCs w:val="0"/>
          <w:sz w:val="18"/>
          <w:szCs w:val="18"/>
        </w:rPr>
        <w:t>. g-C</w:t>
      </w:r>
      <w:r w:rsidRPr="00BE4F00">
        <w:rPr>
          <w:b w:val="0"/>
          <w:bCs w:val="0"/>
          <w:sz w:val="18"/>
          <w:szCs w:val="18"/>
          <w:vertAlign w:val="subscript"/>
        </w:rPr>
        <w:t>3</w:t>
      </w:r>
      <w:r w:rsidRPr="00BE4F00">
        <w:rPr>
          <w:b w:val="0"/>
          <w:bCs w:val="0"/>
          <w:sz w:val="18"/>
          <w:szCs w:val="18"/>
        </w:rPr>
        <w:t>N</w:t>
      </w:r>
      <w:r w:rsidRPr="00BE4F00">
        <w:rPr>
          <w:b w:val="0"/>
          <w:bCs w:val="0"/>
          <w:sz w:val="18"/>
          <w:szCs w:val="18"/>
          <w:vertAlign w:val="subscript"/>
        </w:rPr>
        <w:t>4</w:t>
      </w:r>
      <w:r w:rsidRPr="00BE4F00">
        <w:rPr>
          <w:b w:val="0"/>
          <w:bCs w:val="0"/>
          <w:sz w:val="18"/>
          <w:szCs w:val="18"/>
        </w:rPr>
        <w:t xml:space="preserve"> </w:t>
      </w:r>
      <w:r w:rsidR="009223E5" w:rsidRPr="00BE4F00">
        <w:rPr>
          <w:b w:val="0"/>
          <w:bCs w:val="0"/>
          <w:sz w:val="18"/>
          <w:szCs w:val="18"/>
        </w:rPr>
        <w:t>photocatalyst</w:t>
      </w:r>
      <w:r w:rsidRPr="00BE4F00">
        <w:rPr>
          <w:b w:val="0"/>
          <w:bCs w:val="0"/>
          <w:sz w:val="18"/>
          <w:szCs w:val="18"/>
        </w:rPr>
        <w:t xml:space="preserve"> </w:t>
      </w:r>
      <w:r w:rsidR="009223E5" w:rsidRPr="00BE4F00">
        <w:rPr>
          <w:b w:val="0"/>
          <w:bCs w:val="0"/>
          <w:sz w:val="18"/>
          <w:szCs w:val="18"/>
        </w:rPr>
        <w:t>mechanism</w:t>
      </w:r>
    </w:p>
    <w:p w14:paraId="55D56508" w14:textId="7FFC09F6" w:rsidR="00D87E2A" w:rsidRPr="00BE4F00" w:rsidRDefault="00D87E2A" w:rsidP="00E019CA">
      <w:pPr>
        <w:pStyle w:val="Heading1"/>
        <w:rPr>
          <w:rFonts w:asciiTheme="majorBidi" w:hAnsiTheme="majorBidi" w:cstheme="majorBidi"/>
        </w:rPr>
      </w:pPr>
      <w:r w:rsidRPr="00BE4F00">
        <w:rPr>
          <w:rFonts w:asciiTheme="majorBidi" w:hAnsiTheme="majorBidi" w:cstheme="majorBidi"/>
        </w:rPr>
        <w:t>CONCLUSION</w:t>
      </w:r>
    </w:p>
    <w:p w14:paraId="707EAEEB" w14:textId="7C4D75A8" w:rsidR="00E019CA" w:rsidRPr="00BE4F00" w:rsidRDefault="00E019CA" w:rsidP="003B0050">
      <w:pPr>
        <w:pStyle w:val="Paragraph"/>
      </w:pPr>
      <w:r w:rsidRPr="00BE4F00">
        <w:t>The removal of methylene blue using g-C</w:t>
      </w:r>
      <w:r w:rsidRPr="00BE4F00">
        <w:rPr>
          <w:vertAlign w:val="subscript"/>
        </w:rPr>
        <w:t>3</w:t>
      </w:r>
      <w:r w:rsidRPr="00BE4F00">
        <w:t>N</w:t>
      </w:r>
      <w:r w:rsidRPr="00BE4F00">
        <w:rPr>
          <w:vertAlign w:val="subscript"/>
        </w:rPr>
        <w:t xml:space="preserve">4 </w:t>
      </w:r>
      <w:r w:rsidRPr="00BE4F00">
        <w:t xml:space="preserve">achieved efficiencies of 56.20% under daylight and </w:t>
      </w:r>
      <w:r w:rsidRPr="00BE4F00">
        <w:rPr>
          <w:lang w:val="en-ID"/>
        </w:rPr>
        <w:t>22.46</w:t>
      </w:r>
      <w:r w:rsidR="00F14EEE" w:rsidRPr="00BE4F00">
        <w:rPr>
          <w:lang w:val="en-ID"/>
        </w:rPr>
        <w:t xml:space="preserve">% </w:t>
      </w:r>
      <w:r w:rsidR="00F14EEE" w:rsidRPr="00BE4F00">
        <w:t>under</w:t>
      </w:r>
      <w:r w:rsidRPr="00BE4F00">
        <w:t xml:space="preserve"> UV light, indicating a significantly enhanced performance under visible light. This observation is strongly supported by the kinetic analysis, which shows a higher rate constant and stronger correlation with the first-order kinetic model under daylight conditions. </w:t>
      </w:r>
      <w:r w:rsidR="00F14EEE" w:rsidRPr="00BE4F00">
        <w:t>Effective</w:t>
      </w:r>
      <w:r w:rsidRPr="00BE4F00">
        <w:t xml:space="preserve"> photocatalytic activity in </w:t>
      </w:r>
      <w:r w:rsidR="00F14EEE" w:rsidRPr="00BE4F00">
        <w:t>day</w:t>
      </w:r>
      <w:r w:rsidRPr="00BE4F00">
        <w:t>light can be attributed to the bandgap of g-C</w:t>
      </w:r>
      <w:r w:rsidRPr="00BE4F00">
        <w:rPr>
          <w:vertAlign w:val="subscript"/>
        </w:rPr>
        <w:t>3</w:t>
      </w:r>
      <w:r w:rsidRPr="00BE4F00">
        <w:t>N</w:t>
      </w:r>
      <w:r w:rsidRPr="00BE4F00">
        <w:rPr>
          <w:vertAlign w:val="subscript"/>
        </w:rPr>
        <w:t>4</w:t>
      </w:r>
      <w:r w:rsidRPr="00BE4F00">
        <w:t xml:space="preserve"> (2.98 eV), which allows efficient absorption of visible photos</w:t>
      </w:r>
      <w:r w:rsidR="00F14EEE" w:rsidRPr="00BE4F00">
        <w:t xml:space="preserve"> </w:t>
      </w:r>
      <w:r w:rsidRPr="00BE4F00">
        <w:t xml:space="preserve">for dye degradation. </w:t>
      </w:r>
      <w:r w:rsidR="00F14EEE" w:rsidRPr="00BE4F00">
        <w:t>The adsorption process followed a pseudo-second-order kinetic model, indicating that the uptake of MB was primarily controlled by surface interactions and the availability of active sites on the g-C</w:t>
      </w:r>
      <w:r w:rsidR="00F14EEE" w:rsidRPr="00BE4F00">
        <w:rPr>
          <w:vertAlign w:val="subscript"/>
        </w:rPr>
        <w:t>3</w:t>
      </w:r>
      <w:r w:rsidR="00F14EEE" w:rsidRPr="00BE4F00">
        <w:t>N</w:t>
      </w:r>
      <w:r w:rsidR="00F14EEE" w:rsidRPr="00BE4F00">
        <w:rPr>
          <w:vertAlign w:val="subscript"/>
        </w:rPr>
        <w:t>4</w:t>
      </w:r>
      <w:r w:rsidR="00F14EEE" w:rsidRPr="00BE4F00">
        <w:t xml:space="preserve"> surface. This was followed by a photocatalytic degradation step, which conformed to a first-order kinetic model, suggesting that the degradation rate depended on the concentration of MB and was more efficient when the dye concentration was higher. The consistency between the adsorption and photocatalytic stages highlights that surface interactions and active site utilization are key factors influencing the overall efficiency of MB removal. These findings confirm that g-C</w:t>
      </w:r>
      <w:r w:rsidR="00F14EEE" w:rsidRPr="00BE4F00">
        <w:rPr>
          <w:vertAlign w:val="subscript"/>
        </w:rPr>
        <w:t>3</w:t>
      </w:r>
      <w:r w:rsidR="00F14EEE" w:rsidRPr="00BE4F00">
        <w:t>N</w:t>
      </w:r>
      <w:r w:rsidR="00F14EEE" w:rsidRPr="00BE4F00">
        <w:rPr>
          <w:vertAlign w:val="subscript"/>
        </w:rPr>
        <w:t>4</w:t>
      </w:r>
      <w:r w:rsidR="00F14EEE" w:rsidRPr="00BE4F00">
        <w:t xml:space="preserve"> is an effective and visible-light-responsive material for dye remediation through photocatalytic mechanisms. </w:t>
      </w:r>
    </w:p>
    <w:p w14:paraId="7691B80C" w14:textId="4322EDE2" w:rsidR="00613B4D" w:rsidRPr="00BE4F00" w:rsidRDefault="0016385D" w:rsidP="00613B4D">
      <w:pPr>
        <w:pStyle w:val="Heading1"/>
        <w:rPr>
          <w:b w:val="0"/>
          <w:caps w:val="0"/>
          <w:sz w:val="20"/>
        </w:rPr>
      </w:pPr>
      <w:r w:rsidRPr="00BE4F00">
        <w:rPr>
          <w:rFonts w:asciiTheme="majorBidi" w:hAnsiTheme="majorBidi" w:cstheme="majorBidi"/>
        </w:rPr>
        <w:t>Acknowledgments</w:t>
      </w:r>
    </w:p>
    <w:p w14:paraId="4F4EA3E3" w14:textId="2078A108" w:rsidR="000B3A2D" w:rsidRPr="00BE4F00" w:rsidRDefault="00A01179" w:rsidP="00DA1B21">
      <w:pPr>
        <w:pStyle w:val="Paragraph"/>
        <w:rPr>
          <w:sz w:val="16"/>
          <w:szCs w:val="16"/>
        </w:rPr>
      </w:pPr>
      <w:r w:rsidRPr="00BE4F00">
        <w:t xml:space="preserve">The author gratefully acknowledges the </w:t>
      </w:r>
      <w:r w:rsidR="00DA1B21" w:rsidRPr="00BE4F00">
        <w:t xml:space="preserve">supported funding from the Ministry of Higher Education, Sciences and Technology of Republic Indonesia through </w:t>
      </w:r>
      <w:proofErr w:type="spellStart"/>
      <w:r w:rsidR="00DA1B21" w:rsidRPr="00BE4F00">
        <w:t>Penelitian</w:t>
      </w:r>
      <w:proofErr w:type="spellEnd"/>
      <w:r w:rsidR="00DA1B21" w:rsidRPr="00BE4F00">
        <w:t xml:space="preserve"> Fundamental </w:t>
      </w:r>
      <w:proofErr w:type="spellStart"/>
      <w:r w:rsidR="00DA1B21" w:rsidRPr="00BE4F00">
        <w:t>Reguler</w:t>
      </w:r>
      <w:proofErr w:type="spellEnd"/>
      <w:r w:rsidR="00DA1B21" w:rsidRPr="00BE4F00">
        <w:t xml:space="preserve"> under contract no: 1316/PKS/ITS/2025</w:t>
      </w:r>
      <w:r w:rsidR="00695713" w:rsidRPr="00BE4F00">
        <w:t xml:space="preserve"> and the financial support from the </w:t>
      </w:r>
      <w:proofErr w:type="spellStart"/>
      <w:r w:rsidR="00695713" w:rsidRPr="00BE4F00">
        <w:t>Institut</w:t>
      </w:r>
      <w:proofErr w:type="spellEnd"/>
      <w:r w:rsidR="00695713" w:rsidRPr="00BE4F00">
        <w:t xml:space="preserve"> </w:t>
      </w:r>
      <w:proofErr w:type="spellStart"/>
      <w:r w:rsidR="00695713" w:rsidRPr="00BE4F00">
        <w:t>Teknologi</w:t>
      </w:r>
      <w:proofErr w:type="spellEnd"/>
      <w:r w:rsidR="00695713" w:rsidRPr="00BE4F00">
        <w:t xml:space="preserve"> </w:t>
      </w:r>
      <w:proofErr w:type="spellStart"/>
      <w:r w:rsidR="00695713" w:rsidRPr="00BE4F00">
        <w:t>Sepuluh</w:t>
      </w:r>
      <w:proofErr w:type="spellEnd"/>
      <w:r w:rsidR="00695713" w:rsidRPr="00BE4F00">
        <w:t xml:space="preserve"> </w:t>
      </w:r>
      <w:proofErr w:type="spellStart"/>
      <w:r w:rsidR="00695713" w:rsidRPr="00BE4F00">
        <w:t>Nopember</w:t>
      </w:r>
      <w:proofErr w:type="spellEnd"/>
      <w:r w:rsidR="00695713" w:rsidRPr="00BE4F00">
        <w:t xml:space="preserve"> for this work, under project scheme of the Publication Writing and IPR Incentive Program (PPHKI) 2025.</w:t>
      </w:r>
    </w:p>
    <w:p w14:paraId="16F21B4D" w14:textId="7A2FFE9B" w:rsidR="00613B4D" w:rsidRPr="00BE4F00" w:rsidRDefault="0016385D" w:rsidP="00613B4D">
      <w:pPr>
        <w:pStyle w:val="Heading1"/>
        <w:rPr>
          <w:b w:val="0"/>
          <w:caps w:val="0"/>
          <w:sz w:val="20"/>
        </w:rPr>
      </w:pPr>
      <w:r w:rsidRPr="00BE4F00">
        <w:rPr>
          <w:rFonts w:asciiTheme="majorBidi" w:hAnsiTheme="majorBidi" w:cstheme="majorBidi"/>
        </w:rPr>
        <w:t>References</w:t>
      </w:r>
    </w:p>
    <w:p w14:paraId="11B0AF0D" w14:textId="3A723D96" w:rsidR="00695713" w:rsidRPr="00BE4F00" w:rsidRDefault="00773A5B" w:rsidP="004C5D76">
      <w:pPr>
        <w:widowControl w:val="0"/>
        <w:autoSpaceDE w:val="0"/>
        <w:autoSpaceDN w:val="0"/>
        <w:adjustRightInd w:val="0"/>
        <w:ind w:left="284" w:hanging="284"/>
        <w:jc w:val="both"/>
        <w:rPr>
          <w:noProof/>
          <w:sz w:val="20"/>
        </w:rPr>
      </w:pPr>
      <w:r w:rsidRPr="00BE4F00">
        <w:fldChar w:fldCharType="begin" w:fldLock="1"/>
      </w:r>
      <w:r w:rsidRPr="00BE4F00">
        <w:instrText xml:space="preserve">ADDIN Mendeley Bibliography CSL_BIBLIOGRAPHY </w:instrText>
      </w:r>
      <w:r w:rsidRPr="00BE4F00">
        <w:fldChar w:fldCharType="separate"/>
      </w:r>
      <w:r w:rsidR="00695713" w:rsidRPr="00BE4F00">
        <w:rPr>
          <w:noProof/>
          <w:sz w:val="20"/>
        </w:rPr>
        <w:t xml:space="preserve">[1] P.O. Oladoye, T.O. Ajiboye, E.O. Omotola, dan O.J. Oyewola, Results Eng. </w:t>
      </w:r>
      <w:r w:rsidR="00695713" w:rsidRPr="00BE4F00">
        <w:rPr>
          <w:b/>
          <w:bCs/>
          <w:noProof/>
          <w:sz w:val="20"/>
        </w:rPr>
        <w:t>16</w:t>
      </w:r>
      <w:r w:rsidR="00695713" w:rsidRPr="00BE4F00">
        <w:rPr>
          <w:noProof/>
          <w:sz w:val="20"/>
        </w:rPr>
        <w:t>, 100678 (2022).</w:t>
      </w:r>
    </w:p>
    <w:p w14:paraId="42383022"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 M.A. Abu-Dalo, S.A. Al-Rosan, dan B.A. Albiss, Polymers (Basel). </w:t>
      </w:r>
      <w:r w:rsidRPr="00BE4F00">
        <w:rPr>
          <w:b/>
          <w:bCs/>
          <w:noProof/>
          <w:sz w:val="20"/>
        </w:rPr>
        <w:t>13</w:t>
      </w:r>
      <w:r w:rsidRPr="00BE4F00">
        <w:rPr>
          <w:noProof/>
          <w:sz w:val="20"/>
        </w:rPr>
        <w:t>, (2021).</w:t>
      </w:r>
    </w:p>
    <w:p w14:paraId="009B5ADA"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[3] A. Chakravorty dan S. Roy, Sustain. Chem. Environ. </w:t>
      </w:r>
      <w:r w:rsidRPr="00BE4F00">
        <w:rPr>
          <w:b/>
          <w:bCs/>
          <w:noProof/>
          <w:sz w:val="20"/>
        </w:rPr>
        <w:t>8</w:t>
      </w:r>
      <w:r w:rsidRPr="00BE4F00">
        <w:rPr>
          <w:noProof/>
          <w:sz w:val="20"/>
        </w:rPr>
        <w:t>, 100155 (2024).</w:t>
      </w:r>
    </w:p>
    <w:p w14:paraId="62F91025"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[4] F. Mohamadpour dan A.M. Amani, RSC Adv. </w:t>
      </w:r>
      <w:r w:rsidRPr="00BE4F00">
        <w:rPr>
          <w:b/>
          <w:bCs/>
          <w:noProof/>
          <w:sz w:val="20"/>
        </w:rPr>
        <w:t>14</w:t>
      </w:r>
      <w:r w:rsidRPr="00BE4F00">
        <w:rPr>
          <w:noProof/>
          <w:sz w:val="20"/>
        </w:rPr>
        <w:t>, 20609 (2024).</w:t>
      </w:r>
    </w:p>
    <w:p w14:paraId="07ED4911"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[5] N. Madima, K.K. Kefeni, S.B. Mishra, A.K. Mishra, dan A.T. Kuvarega, Inorg. Chem. Commun. </w:t>
      </w:r>
      <w:r w:rsidRPr="00BE4F00">
        <w:rPr>
          <w:b/>
          <w:bCs/>
          <w:noProof/>
          <w:sz w:val="20"/>
        </w:rPr>
        <w:t>145</w:t>
      </w:r>
      <w:r w:rsidRPr="00BE4F00">
        <w:rPr>
          <w:noProof/>
          <w:sz w:val="20"/>
        </w:rPr>
        <w:t>, 109966 (2022).</w:t>
      </w:r>
    </w:p>
    <w:p w14:paraId="3518C627"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[6] A.P. Torane, A.B. Ubale, K.G. Kanade, dan P.K. Pagare, Mater. Today Proc. </w:t>
      </w:r>
      <w:r w:rsidRPr="00BE4F00">
        <w:rPr>
          <w:b/>
          <w:bCs/>
          <w:noProof/>
          <w:sz w:val="20"/>
        </w:rPr>
        <w:t>43</w:t>
      </w:r>
      <w:r w:rsidRPr="00BE4F00">
        <w:rPr>
          <w:noProof/>
          <w:sz w:val="20"/>
        </w:rPr>
        <w:t>, 2738 (2020).</w:t>
      </w:r>
    </w:p>
    <w:p w14:paraId="127689C2"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[7] H. Subramanian, M. Krishnan, dan A. Mahalingam, RSC Adv. </w:t>
      </w:r>
      <w:r w:rsidRPr="00BE4F00">
        <w:rPr>
          <w:b/>
          <w:bCs/>
          <w:noProof/>
          <w:sz w:val="20"/>
        </w:rPr>
        <w:t>12</w:t>
      </w:r>
      <w:r w:rsidRPr="00BE4F00">
        <w:rPr>
          <w:noProof/>
          <w:sz w:val="20"/>
        </w:rPr>
        <w:t>, 985 (2022).</w:t>
      </w:r>
    </w:p>
    <w:p w14:paraId="688F84CE"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[8] X. Chen, Z. Wu, D. Liu, dan Z. Gao, Nanoscale Res. Lett. </w:t>
      </w:r>
      <w:r w:rsidRPr="00BE4F00">
        <w:rPr>
          <w:b/>
          <w:bCs/>
          <w:noProof/>
          <w:sz w:val="20"/>
        </w:rPr>
        <w:t>12</w:t>
      </w:r>
      <w:r w:rsidRPr="00BE4F00">
        <w:rPr>
          <w:noProof/>
          <w:sz w:val="20"/>
        </w:rPr>
        <w:t>, 4 (2017).</w:t>
      </w:r>
    </w:p>
    <w:p w14:paraId="64E6CEEA"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[9] E.D.M. Isa, N.W.C. Jusoh, dan A.A.M. Rodzi, Environ. Sci. Pollut. Res. </w:t>
      </w:r>
      <w:r w:rsidRPr="00BE4F00">
        <w:rPr>
          <w:b/>
          <w:bCs/>
          <w:noProof/>
          <w:sz w:val="20"/>
        </w:rPr>
        <w:t>30</w:t>
      </w:r>
      <w:r w:rsidRPr="00BE4F00">
        <w:rPr>
          <w:noProof/>
          <w:sz w:val="20"/>
        </w:rPr>
        <w:t>, 116921 (2023).</w:t>
      </w:r>
    </w:p>
    <w:p w14:paraId="059CDF6C"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[10] J.Y. Chin, A.L. Ahmad, dan S.C. Low, Mater. Chem. Phys. </w:t>
      </w:r>
      <w:r w:rsidRPr="00BE4F00">
        <w:rPr>
          <w:b/>
          <w:bCs/>
          <w:noProof/>
          <w:sz w:val="20"/>
        </w:rPr>
        <w:t>301</w:t>
      </w:r>
      <w:r w:rsidRPr="00BE4F00">
        <w:rPr>
          <w:noProof/>
          <w:sz w:val="20"/>
        </w:rPr>
        <w:t>, 127626 (2023).</w:t>
      </w:r>
    </w:p>
    <w:p w14:paraId="6E33E1BD"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[11] A. Junaidi, D.N. Nilamsari, C. Nareswari, N. Sazali, T. Gunawan, dan N. Widiastuti, Chem. Eng. J. </w:t>
      </w:r>
      <w:r w:rsidRPr="00BE4F00">
        <w:rPr>
          <w:b/>
          <w:bCs/>
          <w:noProof/>
          <w:sz w:val="20"/>
        </w:rPr>
        <w:t>510</w:t>
      </w:r>
      <w:r w:rsidRPr="00BE4F00">
        <w:rPr>
          <w:noProof/>
          <w:sz w:val="20"/>
        </w:rPr>
        <w:t xml:space="preserve">, 161861 </w:t>
      </w:r>
      <w:r w:rsidRPr="00BE4F00">
        <w:rPr>
          <w:noProof/>
          <w:sz w:val="20"/>
        </w:rPr>
        <w:lastRenderedPageBreak/>
        <w:t>(2025).</w:t>
      </w:r>
    </w:p>
    <w:p w14:paraId="5767EFA4"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[12] C. Nareswari, U. Zulfiani, A. Junaidi, T. Gunawan, dan N. Widiastuti, South African J. Chem. Eng. </w:t>
      </w:r>
      <w:r w:rsidRPr="00BE4F00">
        <w:rPr>
          <w:b/>
          <w:bCs/>
          <w:noProof/>
          <w:sz w:val="20"/>
        </w:rPr>
        <w:t>49</w:t>
      </w:r>
      <w:r w:rsidRPr="00BE4F00">
        <w:rPr>
          <w:noProof/>
          <w:sz w:val="20"/>
        </w:rPr>
        <w:t>, 105 (2024).</w:t>
      </w:r>
    </w:p>
    <w:p w14:paraId="49615AA4"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[13] S. Patel, S. Mukherjee, M. Neem, S. Neogi, K.L. Ameta, A. Mishra, M.P. Deshpande, dan M. Kumar, Colloids Surfaces C Environ. Asp. </w:t>
      </w:r>
      <w:r w:rsidRPr="00BE4F00">
        <w:rPr>
          <w:b/>
          <w:bCs/>
          <w:noProof/>
          <w:sz w:val="20"/>
        </w:rPr>
        <w:t>2</w:t>
      </w:r>
      <w:r w:rsidRPr="00BE4F00">
        <w:rPr>
          <w:noProof/>
          <w:sz w:val="20"/>
        </w:rPr>
        <w:t>, 100047 (2024).</w:t>
      </w:r>
    </w:p>
    <w:p w14:paraId="36DF2D48"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[14] A.H. Warda, M. Rostom, M.I. Mashaly, E.T. Helmy, E.A. Gomaa, dan E.M. Abouelleef, Surfaces and Interfaces </w:t>
      </w:r>
      <w:r w:rsidRPr="00BE4F00">
        <w:rPr>
          <w:b/>
          <w:bCs/>
          <w:noProof/>
          <w:sz w:val="20"/>
        </w:rPr>
        <w:t>72</w:t>
      </w:r>
      <w:r w:rsidRPr="00BE4F00">
        <w:rPr>
          <w:noProof/>
          <w:sz w:val="20"/>
        </w:rPr>
        <w:t>, 107123 (2025).</w:t>
      </w:r>
    </w:p>
    <w:p w14:paraId="2AD8E59F"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[15] D.R. Paul, S. Gautam, P. Panchal, S.P. Nehra, P. Choudhary, dan A. Sharma, ACS Omega </w:t>
      </w:r>
      <w:r w:rsidRPr="00BE4F00">
        <w:rPr>
          <w:b/>
          <w:bCs/>
          <w:noProof/>
          <w:sz w:val="20"/>
        </w:rPr>
        <w:t>5</w:t>
      </w:r>
      <w:r w:rsidRPr="00BE4F00">
        <w:rPr>
          <w:noProof/>
          <w:sz w:val="20"/>
        </w:rPr>
        <w:t>, 3828 (2020).</w:t>
      </w:r>
    </w:p>
    <w:p w14:paraId="5DEDBCA8"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[16] D. Rattan Paul dan S.P. Nehra, Environ. Sci. Pollut. Res. </w:t>
      </w:r>
      <w:r w:rsidRPr="00BE4F00">
        <w:rPr>
          <w:b/>
          <w:bCs/>
          <w:noProof/>
          <w:sz w:val="20"/>
        </w:rPr>
        <w:t>28</w:t>
      </w:r>
      <w:r w:rsidRPr="00BE4F00">
        <w:rPr>
          <w:noProof/>
          <w:sz w:val="20"/>
        </w:rPr>
        <w:t>, 3888 (2021).</w:t>
      </w:r>
    </w:p>
    <w:p w14:paraId="046B6635"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[17] R.C. Ngullie, S.O. Alaswad, K. Bhuvaneswari, P. Shanmugam, T. Pazhanivel, dan P. Arunachalam, Coatings </w:t>
      </w:r>
      <w:r w:rsidRPr="00BE4F00">
        <w:rPr>
          <w:b/>
          <w:bCs/>
          <w:noProof/>
          <w:sz w:val="20"/>
        </w:rPr>
        <w:t>10</w:t>
      </w:r>
      <w:r w:rsidRPr="00BE4F00">
        <w:rPr>
          <w:noProof/>
          <w:sz w:val="20"/>
        </w:rPr>
        <w:t>, 500 (2020).</w:t>
      </w:r>
    </w:p>
    <w:p w14:paraId="273CA552"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[18] S. Hmamouchi, A. El Yacoubi, M. El Hezzat, B. Sallek, dan B.C. El Idrissi, Chem. Phys. Impact </w:t>
      </w:r>
      <w:r w:rsidRPr="00BE4F00">
        <w:rPr>
          <w:b/>
          <w:bCs/>
          <w:noProof/>
          <w:sz w:val="20"/>
        </w:rPr>
        <w:t>8</w:t>
      </w:r>
      <w:r w:rsidRPr="00BE4F00">
        <w:rPr>
          <w:noProof/>
          <w:sz w:val="20"/>
        </w:rPr>
        <w:t>, 100577 (2024).</w:t>
      </w:r>
    </w:p>
    <w:p w14:paraId="5C9EF8C1"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[19] L. Yang, X. Liu, Z. Liu, C. Wang, G. Liu, Q. Li, dan X. Feng, Ceram. Int. </w:t>
      </w:r>
      <w:r w:rsidRPr="00BE4F00">
        <w:rPr>
          <w:b/>
          <w:bCs/>
          <w:noProof/>
          <w:sz w:val="20"/>
        </w:rPr>
        <w:t>44</w:t>
      </w:r>
      <w:r w:rsidRPr="00BE4F00">
        <w:rPr>
          <w:noProof/>
          <w:sz w:val="20"/>
        </w:rPr>
        <w:t>, 20613 (2018).</w:t>
      </w:r>
    </w:p>
    <w:p w14:paraId="59B9E645"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[20] J. Wang dan Z. Jiang, Ultrason. Sonochem. </w:t>
      </w:r>
      <w:r w:rsidRPr="00BE4F00">
        <w:rPr>
          <w:b/>
          <w:bCs/>
          <w:noProof/>
          <w:sz w:val="20"/>
        </w:rPr>
        <w:t>92</w:t>
      </w:r>
      <w:r w:rsidRPr="00BE4F00">
        <w:rPr>
          <w:noProof/>
          <w:sz w:val="20"/>
        </w:rPr>
        <w:t>, 106273 (2023).</w:t>
      </w:r>
    </w:p>
    <w:p w14:paraId="4BC3BCF5"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[21] Ü. Bayram, Ç. Özer, dan E. Yilmaz, ACS Omega </w:t>
      </w:r>
      <w:r w:rsidRPr="00BE4F00">
        <w:rPr>
          <w:b/>
          <w:bCs/>
          <w:noProof/>
          <w:sz w:val="20"/>
        </w:rPr>
        <w:t>10</w:t>
      </w:r>
      <w:r w:rsidRPr="00BE4F00">
        <w:rPr>
          <w:noProof/>
          <w:sz w:val="20"/>
        </w:rPr>
        <w:t>, 9986 (2025).</w:t>
      </w:r>
    </w:p>
    <w:p w14:paraId="2F34DF51"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[22] S. Soyer-Uzun, P. Yu, F.K. Öner, dan S. Sen, J. Phys. Chem. B </w:t>
      </w:r>
      <w:r w:rsidRPr="00BE4F00">
        <w:rPr>
          <w:b/>
          <w:bCs/>
          <w:noProof/>
          <w:sz w:val="20"/>
        </w:rPr>
        <w:t>128</w:t>
      </w:r>
      <w:r w:rsidRPr="00BE4F00">
        <w:rPr>
          <w:noProof/>
          <w:sz w:val="20"/>
        </w:rPr>
        <w:t>, 12638 (2024).</w:t>
      </w:r>
    </w:p>
    <w:p w14:paraId="1A67F7E0"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[23] X. Li, J. Nanomater. </w:t>
      </w:r>
      <w:r w:rsidRPr="00BE4F00">
        <w:rPr>
          <w:b/>
          <w:bCs/>
          <w:noProof/>
          <w:sz w:val="20"/>
        </w:rPr>
        <w:t>2019</w:t>
      </w:r>
      <w:r w:rsidRPr="00BE4F00">
        <w:rPr>
          <w:noProof/>
          <w:sz w:val="20"/>
        </w:rPr>
        <w:t>, (2019).</w:t>
      </w:r>
    </w:p>
    <w:p w14:paraId="219D10DD"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[24] H.D. Tran, D.Q. Nguyen, P.T. Do, dan U.N.P. Tran, RSC Adv. </w:t>
      </w:r>
      <w:r w:rsidRPr="00BE4F00">
        <w:rPr>
          <w:b/>
          <w:bCs/>
          <w:noProof/>
          <w:sz w:val="20"/>
        </w:rPr>
        <w:t>13</w:t>
      </w:r>
      <w:r w:rsidRPr="00BE4F00">
        <w:rPr>
          <w:noProof/>
          <w:sz w:val="20"/>
        </w:rPr>
        <w:t>, 16915 (2023).</w:t>
      </w:r>
    </w:p>
    <w:p w14:paraId="219CA283"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[25] G. Asefa, D. Negussa, G. Lemessa, dan T. Alemu, J. Nanomater. </w:t>
      </w:r>
      <w:r w:rsidRPr="00BE4F00">
        <w:rPr>
          <w:b/>
          <w:bCs/>
          <w:noProof/>
          <w:sz w:val="20"/>
        </w:rPr>
        <w:t>2024</w:t>
      </w:r>
      <w:r w:rsidRPr="00BE4F00">
        <w:rPr>
          <w:noProof/>
          <w:sz w:val="20"/>
        </w:rPr>
        <w:t>, (2024).</w:t>
      </w:r>
    </w:p>
    <w:p w14:paraId="11134639" w14:textId="77777777" w:rsidR="00695713" w:rsidRPr="00BE4F00" w:rsidRDefault="00695713" w:rsidP="004C5D76">
      <w:pPr>
        <w:widowControl w:val="0"/>
        <w:autoSpaceDE w:val="0"/>
        <w:autoSpaceDN w:val="0"/>
        <w:adjustRightInd w:val="0"/>
        <w:ind w:left="284" w:hanging="284"/>
        <w:jc w:val="both"/>
        <w:rPr>
          <w:noProof/>
          <w:sz w:val="20"/>
        </w:rPr>
      </w:pPr>
      <w:r w:rsidRPr="00BE4F00">
        <w:rPr>
          <w:noProof/>
          <w:sz w:val="20"/>
        </w:rPr>
        <w:t xml:space="preserve">[26] P. Attri, P. Garg, P. Sharma, R. Singh, M. Chauhan, D.K. Lim, S. Kumar, dan G.R. Chaudhary, J. Clean. Prod. </w:t>
      </w:r>
      <w:r w:rsidRPr="00BE4F00">
        <w:rPr>
          <w:b/>
          <w:bCs/>
          <w:noProof/>
          <w:sz w:val="20"/>
        </w:rPr>
        <w:t>422</w:t>
      </w:r>
      <w:r w:rsidRPr="00BE4F00">
        <w:rPr>
          <w:noProof/>
          <w:sz w:val="20"/>
        </w:rPr>
        <w:t>, 138538 (2023).</w:t>
      </w:r>
    </w:p>
    <w:p w14:paraId="4DE91CCB" w14:textId="2BA9ADF3" w:rsidR="00326AE0" w:rsidRPr="00BE4F00" w:rsidRDefault="00773A5B" w:rsidP="004C5D76">
      <w:pPr>
        <w:pStyle w:val="Paragraph"/>
        <w:ind w:firstLine="0"/>
      </w:pPr>
      <w:r w:rsidRPr="00BE4F00">
        <w:fldChar w:fldCharType="end"/>
      </w:r>
    </w:p>
    <w:sectPr w:rsidR="00326AE0" w:rsidRPr="00BE4F00" w:rsidSect="00402DA2">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37CB4" w14:textId="77777777" w:rsidR="00932201" w:rsidRDefault="00932201" w:rsidP="00D02402">
      <w:r>
        <w:separator/>
      </w:r>
    </w:p>
  </w:endnote>
  <w:endnote w:type="continuationSeparator" w:id="0">
    <w:p w14:paraId="098FCF58" w14:textId="77777777" w:rsidR="00932201" w:rsidRDefault="00932201" w:rsidP="00D024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9A2890" w14:textId="77777777" w:rsidR="00932201" w:rsidRDefault="00932201" w:rsidP="00D02402">
      <w:r>
        <w:separator/>
      </w:r>
    </w:p>
  </w:footnote>
  <w:footnote w:type="continuationSeparator" w:id="0">
    <w:p w14:paraId="3F0CA13F" w14:textId="77777777" w:rsidR="00932201" w:rsidRDefault="00932201" w:rsidP="00D024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841428741">
    <w:abstractNumId w:val="15"/>
  </w:num>
  <w:num w:numId="2" w16cid:durableId="698706775">
    <w:abstractNumId w:val="3"/>
  </w:num>
  <w:num w:numId="3" w16cid:durableId="537087153">
    <w:abstractNumId w:val="12"/>
  </w:num>
  <w:num w:numId="4" w16cid:durableId="631977992">
    <w:abstractNumId w:val="7"/>
  </w:num>
  <w:num w:numId="5" w16cid:durableId="504514744">
    <w:abstractNumId w:val="11"/>
  </w:num>
  <w:num w:numId="6" w16cid:durableId="181285061">
    <w:abstractNumId w:val="4"/>
  </w:num>
  <w:num w:numId="7" w16cid:durableId="235172005">
    <w:abstractNumId w:val="6"/>
  </w:num>
  <w:num w:numId="8" w16cid:durableId="1275945047">
    <w:abstractNumId w:val="1"/>
  </w:num>
  <w:num w:numId="9" w16cid:durableId="1289773868">
    <w:abstractNumId w:val="14"/>
  </w:num>
  <w:num w:numId="10" w16cid:durableId="170993402">
    <w:abstractNumId w:val="9"/>
  </w:num>
  <w:num w:numId="11" w16cid:durableId="1381201805">
    <w:abstractNumId w:val="13"/>
  </w:num>
  <w:num w:numId="12" w16cid:durableId="1362587441">
    <w:abstractNumId w:val="10"/>
  </w:num>
  <w:num w:numId="13" w16cid:durableId="1722821625">
    <w:abstractNumId w:val="5"/>
  </w:num>
  <w:num w:numId="14" w16cid:durableId="8289568">
    <w:abstractNumId w:val="14"/>
  </w:num>
  <w:num w:numId="15" w16cid:durableId="1781224620">
    <w:abstractNumId w:val="8"/>
  </w:num>
  <w:num w:numId="16" w16cid:durableId="368065301">
    <w:abstractNumId w:val="5"/>
  </w:num>
  <w:num w:numId="17" w16cid:durableId="1266621841">
    <w:abstractNumId w:val="5"/>
  </w:num>
  <w:num w:numId="18" w16cid:durableId="761953015">
    <w:abstractNumId w:val="5"/>
  </w:num>
  <w:num w:numId="19" w16cid:durableId="2003964535">
    <w:abstractNumId w:val="5"/>
  </w:num>
  <w:num w:numId="20" w16cid:durableId="1050422531">
    <w:abstractNumId w:val="5"/>
  </w:num>
  <w:num w:numId="21" w16cid:durableId="1098330279">
    <w:abstractNumId w:val="5"/>
  </w:num>
  <w:num w:numId="22" w16cid:durableId="1145001908">
    <w:abstractNumId w:val="5"/>
  </w:num>
  <w:num w:numId="23" w16cid:durableId="1872448902">
    <w:abstractNumId w:val="5"/>
  </w:num>
  <w:num w:numId="24" w16cid:durableId="1521888970">
    <w:abstractNumId w:val="5"/>
  </w:num>
  <w:num w:numId="25" w16cid:durableId="25256687">
    <w:abstractNumId w:val="5"/>
  </w:num>
  <w:num w:numId="26" w16cid:durableId="1192034507">
    <w:abstractNumId w:val="5"/>
  </w:num>
  <w:num w:numId="27" w16cid:durableId="1947344846">
    <w:abstractNumId w:val="5"/>
  </w:num>
  <w:num w:numId="28" w16cid:durableId="1914195659">
    <w:abstractNumId w:val="5"/>
  </w:num>
  <w:num w:numId="29" w16cid:durableId="502741394">
    <w:abstractNumId w:val="11"/>
  </w:num>
  <w:num w:numId="30" w16cid:durableId="506750532">
    <w:abstractNumId w:val="11"/>
  </w:num>
  <w:num w:numId="31" w16cid:durableId="1151826138">
    <w:abstractNumId w:val="11"/>
    <w:lvlOverride w:ilvl="0">
      <w:startOverride w:val="1"/>
    </w:lvlOverride>
  </w:num>
  <w:num w:numId="32" w16cid:durableId="134228267">
    <w:abstractNumId w:val="11"/>
  </w:num>
  <w:num w:numId="33" w16cid:durableId="1202010690">
    <w:abstractNumId w:val="11"/>
    <w:lvlOverride w:ilvl="0">
      <w:startOverride w:val="1"/>
    </w:lvlOverride>
  </w:num>
  <w:num w:numId="34" w16cid:durableId="634137838">
    <w:abstractNumId w:val="11"/>
    <w:lvlOverride w:ilvl="0">
      <w:startOverride w:val="1"/>
    </w:lvlOverride>
  </w:num>
  <w:num w:numId="35" w16cid:durableId="158157938">
    <w:abstractNumId w:val="12"/>
    <w:lvlOverride w:ilvl="0">
      <w:startOverride w:val="1"/>
    </w:lvlOverride>
  </w:num>
  <w:num w:numId="36" w16cid:durableId="2135977941">
    <w:abstractNumId w:val="12"/>
  </w:num>
  <w:num w:numId="37" w16cid:durableId="1299146342">
    <w:abstractNumId w:val="12"/>
    <w:lvlOverride w:ilvl="0">
      <w:startOverride w:val="1"/>
    </w:lvlOverride>
  </w:num>
  <w:num w:numId="38" w16cid:durableId="2082603869">
    <w:abstractNumId w:val="12"/>
  </w:num>
  <w:num w:numId="39" w16cid:durableId="1538154786">
    <w:abstractNumId w:val="12"/>
    <w:lvlOverride w:ilvl="0">
      <w:startOverride w:val="1"/>
    </w:lvlOverride>
  </w:num>
  <w:num w:numId="40" w16cid:durableId="763110401">
    <w:abstractNumId w:val="12"/>
    <w:lvlOverride w:ilvl="0">
      <w:startOverride w:val="1"/>
    </w:lvlOverride>
  </w:num>
  <w:num w:numId="41" w16cid:durableId="1732539171">
    <w:abstractNumId w:val="12"/>
    <w:lvlOverride w:ilvl="0">
      <w:startOverride w:val="1"/>
    </w:lvlOverride>
  </w:num>
  <w:num w:numId="42" w16cid:durableId="560866957">
    <w:abstractNumId w:val="12"/>
  </w:num>
  <w:num w:numId="43" w16cid:durableId="52050496">
    <w:abstractNumId w:val="12"/>
  </w:num>
  <w:num w:numId="44" w16cid:durableId="681394554">
    <w:abstractNumId w:val="2"/>
  </w:num>
  <w:num w:numId="45" w16cid:durableId="11509739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intPostScriptOverText/>
  <w:embedSystemFonts/>
  <w:bordersDoNotSurroundHeader/>
  <w:bordersDoNotSurroundFooter/>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10DA"/>
    <w:rsid w:val="00014140"/>
    <w:rsid w:val="00027428"/>
    <w:rsid w:val="00031EC9"/>
    <w:rsid w:val="00044C8F"/>
    <w:rsid w:val="00045C42"/>
    <w:rsid w:val="000656CA"/>
    <w:rsid w:val="00066FED"/>
    <w:rsid w:val="000744DC"/>
    <w:rsid w:val="00075EA6"/>
    <w:rsid w:val="0007693C"/>
    <w:rsid w:val="0007709F"/>
    <w:rsid w:val="00085BFF"/>
    <w:rsid w:val="00086F62"/>
    <w:rsid w:val="000871ED"/>
    <w:rsid w:val="00090674"/>
    <w:rsid w:val="0009320B"/>
    <w:rsid w:val="00093E48"/>
    <w:rsid w:val="00096AE0"/>
    <w:rsid w:val="000A1B00"/>
    <w:rsid w:val="000A44DB"/>
    <w:rsid w:val="000A6C99"/>
    <w:rsid w:val="000B1B74"/>
    <w:rsid w:val="000B3A2D"/>
    <w:rsid w:val="000B3B2F"/>
    <w:rsid w:val="000B4059"/>
    <w:rsid w:val="000B49C0"/>
    <w:rsid w:val="000C3A28"/>
    <w:rsid w:val="000D1186"/>
    <w:rsid w:val="000D2EEC"/>
    <w:rsid w:val="000D67E0"/>
    <w:rsid w:val="000E382F"/>
    <w:rsid w:val="000E75CD"/>
    <w:rsid w:val="00100BDA"/>
    <w:rsid w:val="001036BA"/>
    <w:rsid w:val="00106F22"/>
    <w:rsid w:val="001146DC"/>
    <w:rsid w:val="00114AB1"/>
    <w:rsid w:val="00114C37"/>
    <w:rsid w:val="001217C5"/>
    <w:rsid w:val="001230FF"/>
    <w:rsid w:val="001257F1"/>
    <w:rsid w:val="00130BD7"/>
    <w:rsid w:val="00155B67"/>
    <w:rsid w:val="001562AF"/>
    <w:rsid w:val="00161A5B"/>
    <w:rsid w:val="0016385D"/>
    <w:rsid w:val="00166A08"/>
    <w:rsid w:val="0016782F"/>
    <w:rsid w:val="00170037"/>
    <w:rsid w:val="00176891"/>
    <w:rsid w:val="001858F2"/>
    <w:rsid w:val="001937E9"/>
    <w:rsid w:val="00194BB5"/>
    <w:rsid w:val="001964E5"/>
    <w:rsid w:val="001B263B"/>
    <w:rsid w:val="001B476A"/>
    <w:rsid w:val="001C764F"/>
    <w:rsid w:val="001C7BB3"/>
    <w:rsid w:val="001D469C"/>
    <w:rsid w:val="001F4DEA"/>
    <w:rsid w:val="0021619E"/>
    <w:rsid w:val="002305F2"/>
    <w:rsid w:val="0023171B"/>
    <w:rsid w:val="00236BFC"/>
    <w:rsid w:val="00237437"/>
    <w:rsid w:val="00247620"/>
    <w:rsid w:val="002502FD"/>
    <w:rsid w:val="00253B8C"/>
    <w:rsid w:val="0027387B"/>
    <w:rsid w:val="00274622"/>
    <w:rsid w:val="0028035B"/>
    <w:rsid w:val="00285D24"/>
    <w:rsid w:val="00290390"/>
    <w:rsid w:val="002908F5"/>
    <w:rsid w:val="002915D3"/>
    <w:rsid w:val="002924DB"/>
    <w:rsid w:val="002941DA"/>
    <w:rsid w:val="002A1FC4"/>
    <w:rsid w:val="002A2E44"/>
    <w:rsid w:val="002A3F7D"/>
    <w:rsid w:val="002B5648"/>
    <w:rsid w:val="002C7D0D"/>
    <w:rsid w:val="002C7EE0"/>
    <w:rsid w:val="002D4040"/>
    <w:rsid w:val="002E3C35"/>
    <w:rsid w:val="002F5298"/>
    <w:rsid w:val="00302E35"/>
    <w:rsid w:val="00313FFF"/>
    <w:rsid w:val="003156D1"/>
    <w:rsid w:val="00326AE0"/>
    <w:rsid w:val="00337E4F"/>
    <w:rsid w:val="00340C36"/>
    <w:rsid w:val="00346A9D"/>
    <w:rsid w:val="00370D5C"/>
    <w:rsid w:val="00387E6C"/>
    <w:rsid w:val="00392816"/>
    <w:rsid w:val="0039376F"/>
    <w:rsid w:val="00393866"/>
    <w:rsid w:val="00393986"/>
    <w:rsid w:val="003A287B"/>
    <w:rsid w:val="003A39BD"/>
    <w:rsid w:val="003A5C85"/>
    <w:rsid w:val="003A61B1"/>
    <w:rsid w:val="003A7E44"/>
    <w:rsid w:val="003B0050"/>
    <w:rsid w:val="003B1B70"/>
    <w:rsid w:val="003D6312"/>
    <w:rsid w:val="003E6DD6"/>
    <w:rsid w:val="003E7C74"/>
    <w:rsid w:val="003F31C6"/>
    <w:rsid w:val="0040225B"/>
    <w:rsid w:val="00402DA2"/>
    <w:rsid w:val="00425AC2"/>
    <w:rsid w:val="0044771F"/>
    <w:rsid w:val="00465FA4"/>
    <w:rsid w:val="00494B92"/>
    <w:rsid w:val="004A53D7"/>
    <w:rsid w:val="004B151D"/>
    <w:rsid w:val="004C0E85"/>
    <w:rsid w:val="004C5D76"/>
    <w:rsid w:val="004C7243"/>
    <w:rsid w:val="004D562B"/>
    <w:rsid w:val="004E21DE"/>
    <w:rsid w:val="004E2E47"/>
    <w:rsid w:val="004E3C57"/>
    <w:rsid w:val="004E3CB2"/>
    <w:rsid w:val="00502458"/>
    <w:rsid w:val="00516F62"/>
    <w:rsid w:val="00520A93"/>
    <w:rsid w:val="00525813"/>
    <w:rsid w:val="0053513F"/>
    <w:rsid w:val="00537884"/>
    <w:rsid w:val="00567E56"/>
    <w:rsid w:val="00570AF1"/>
    <w:rsid w:val="00574405"/>
    <w:rsid w:val="005854B0"/>
    <w:rsid w:val="005A0E21"/>
    <w:rsid w:val="005B3A34"/>
    <w:rsid w:val="005D49AF"/>
    <w:rsid w:val="005E0A17"/>
    <w:rsid w:val="005E415C"/>
    <w:rsid w:val="005E6242"/>
    <w:rsid w:val="005E71ED"/>
    <w:rsid w:val="005E7946"/>
    <w:rsid w:val="005F7475"/>
    <w:rsid w:val="00607171"/>
    <w:rsid w:val="0060766E"/>
    <w:rsid w:val="00607ED2"/>
    <w:rsid w:val="00611299"/>
    <w:rsid w:val="00613B4D"/>
    <w:rsid w:val="00615A33"/>
    <w:rsid w:val="00616365"/>
    <w:rsid w:val="00616F3B"/>
    <w:rsid w:val="006249A7"/>
    <w:rsid w:val="006350EF"/>
    <w:rsid w:val="0064225B"/>
    <w:rsid w:val="00653E8E"/>
    <w:rsid w:val="0065527C"/>
    <w:rsid w:val="006709E4"/>
    <w:rsid w:val="006763F9"/>
    <w:rsid w:val="006773F6"/>
    <w:rsid w:val="00681993"/>
    <w:rsid w:val="006949BC"/>
    <w:rsid w:val="00695713"/>
    <w:rsid w:val="006A6078"/>
    <w:rsid w:val="006A7D0E"/>
    <w:rsid w:val="006C1223"/>
    <w:rsid w:val="006D1229"/>
    <w:rsid w:val="006D372F"/>
    <w:rsid w:val="006D5045"/>
    <w:rsid w:val="006D6541"/>
    <w:rsid w:val="006D7A18"/>
    <w:rsid w:val="006E4474"/>
    <w:rsid w:val="006E65A7"/>
    <w:rsid w:val="006F190D"/>
    <w:rsid w:val="006F7C23"/>
    <w:rsid w:val="00701388"/>
    <w:rsid w:val="00704AFC"/>
    <w:rsid w:val="00707A5B"/>
    <w:rsid w:val="00713730"/>
    <w:rsid w:val="00723B7F"/>
    <w:rsid w:val="00724003"/>
    <w:rsid w:val="007244C3"/>
    <w:rsid w:val="00725861"/>
    <w:rsid w:val="0073393A"/>
    <w:rsid w:val="0073539D"/>
    <w:rsid w:val="007629D8"/>
    <w:rsid w:val="00767B57"/>
    <w:rsid w:val="00767B8A"/>
    <w:rsid w:val="00773A5B"/>
    <w:rsid w:val="00775481"/>
    <w:rsid w:val="00793B66"/>
    <w:rsid w:val="007A233B"/>
    <w:rsid w:val="007B4863"/>
    <w:rsid w:val="007C1CA6"/>
    <w:rsid w:val="007C65E6"/>
    <w:rsid w:val="007D2F99"/>
    <w:rsid w:val="007D406B"/>
    <w:rsid w:val="007D4407"/>
    <w:rsid w:val="007E1CA3"/>
    <w:rsid w:val="007E717C"/>
    <w:rsid w:val="00811EF3"/>
    <w:rsid w:val="00812D62"/>
    <w:rsid w:val="00812F29"/>
    <w:rsid w:val="008203DD"/>
    <w:rsid w:val="00821713"/>
    <w:rsid w:val="0082279C"/>
    <w:rsid w:val="00827050"/>
    <w:rsid w:val="00832229"/>
    <w:rsid w:val="0083278B"/>
    <w:rsid w:val="00834538"/>
    <w:rsid w:val="00840BBE"/>
    <w:rsid w:val="008421CF"/>
    <w:rsid w:val="00843E9B"/>
    <w:rsid w:val="00846566"/>
    <w:rsid w:val="00850E89"/>
    <w:rsid w:val="00857E89"/>
    <w:rsid w:val="00860A82"/>
    <w:rsid w:val="0089111A"/>
    <w:rsid w:val="008930E4"/>
    <w:rsid w:val="00893821"/>
    <w:rsid w:val="00893B1F"/>
    <w:rsid w:val="008A5AF8"/>
    <w:rsid w:val="008A7B9C"/>
    <w:rsid w:val="008B39FA"/>
    <w:rsid w:val="008B4754"/>
    <w:rsid w:val="008B623C"/>
    <w:rsid w:val="008B7D58"/>
    <w:rsid w:val="008C5A2F"/>
    <w:rsid w:val="008C6C29"/>
    <w:rsid w:val="008E1A03"/>
    <w:rsid w:val="008E5E5C"/>
    <w:rsid w:val="008E6A7A"/>
    <w:rsid w:val="008F1038"/>
    <w:rsid w:val="008F7046"/>
    <w:rsid w:val="009005FC"/>
    <w:rsid w:val="00904044"/>
    <w:rsid w:val="00914212"/>
    <w:rsid w:val="009223E5"/>
    <w:rsid w:val="00922E5A"/>
    <w:rsid w:val="00923CE8"/>
    <w:rsid w:val="009273E7"/>
    <w:rsid w:val="00932201"/>
    <w:rsid w:val="00943315"/>
    <w:rsid w:val="00946C27"/>
    <w:rsid w:val="00955931"/>
    <w:rsid w:val="0095604B"/>
    <w:rsid w:val="00974E16"/>
    <w:rsid w:val="009940B1"/>
    <w:rsid w:val="009947FC"/>
    <w:rsid w:val="009A0247"/>
    <w:rsid w:val="009A03B8"/>
    <w:rsid w:val="009A4F3D"/>
    <w:rsid w:val="009B696B"/>
    <w:rsid w:val="009B7671"/>
    <w:rsid w:val="009C1631"/>
    <w:rsid w:val="009C339C"/>
    <w:rsid w:val="009C4E37"/>
    <w:rsid w:val="009D4F02"/>
    <w:rsid w:val="009D6572"/>
    <w:rsid w:val="009E5BA1"/>
    <w:rsid w:val="009E77C3"/>
    <w:rsid w:val="009F056E"/>
    <w:rsid w:val="009F7AA9"/>
    <w:rsid w:val="00A01179"/>
    <w:rsid w:val="00A11C1E"/>
    <w:rsid w:val="00A24F3D"/>
    <w:rsid w:val="00A26DCD"/>
    <w:rsid w:val="00A314BB"/>
    <w:rsid w:val="00A32B7D"/>
    <w:rsid w:val="00A4487C"/>
    <w:rsid w:val="00A5596B"/>
    <w:rsid w:val="00A646B3"/>
    <w:rsid w:val="00A6739B"/>
    <w:rsid w:val="00A77E15"/>
    <w:rsid w:val="00A90413"/>
    <w:rsid w:val="00A9267F"/>
    <w:rsid w:val="00A93DCC"/>
    <w:rsid w:val="00AA728C"/>
    <w:rsid w:val="00AB0A9C"/>
    <w:rsid w:val="00AB7119"/>
    <w:rsid w:val="00AD5855"/>
    <w:rsid w:val="00AE19E6"/>
    <w:rsid w:val="00AE48A5"/>
    <w:rsid w:val="00AE7500"/>
    <w:rsid w:val="00AE7F87"/>
    <w:rsid w:val="00AF3542"/>
    <w:rsid w:val="00AF5ABE"/>
    <w:rsid w:val="00B00415"/>
    <w:rsid w:val="00B03C2A"/>
    <w:rsid w:val="00B1000D"/>
    <w:rsid w:val="00B10134"/>
    <w:rsid w:val="00B16BFE"/>
    <w:rsid w:val="00B35DFD"/>
    <w:rsid w:val="00B454FB"/>
    <w:rsid w:val="00B500E5"/>
    <w:rsid w:val="00B56137"/>
    <w:rsid w:val="00B64B86"/>
    <w:rsid w:val="00B87527"/>
    <w:rsid w:val="00BA378C"/>
    <w:rsid w:val="00BA39BB"/>
    <w:rsid w:val="00BA3B3D"/>
    <w:rsid w:val="00BB448A"/>
    <w:rsid w:val="00BB7EEA"/>
    <w:rsid w:val="00BC08F7"/>
    <w:rsid w:val="00BD1909"/>
    <w:rsid w:val="00BE4F00"/>
    <w:rsid w:val="00BE5E16"/>
    <w:rsid w:val="00BE5FD1"/>
    <w:rsid w:val="00C0030D"/>
    <w:rsid w:val="00C032AF"/>
    <w:rsid w:val="00C06E05"/>
    <w:rsid w:val="00C14B14"/>
    <w:rsid w:val="00C1523E"/>
    <w:rsid w:val="00C17370"/>
    <w:rsid w:val="00C2004D"/>
    <w:rsid w:val="00C2054D"/>
    <w:rsid w:val="00C252EB"/>
    <w:rsid w:val="00C26A55"/>
    <w:rsid w:val="00C26EC0"/>
    <w:rsid w:val="00C3093C"/>
    <w:rsid w:val="00C52BEC"/>
    <w:rsid w:val="00C56C77"/>
    <w:rsid w:val="00C77EE1"/>
    <w:rsid w:val="00C84923"/>
    <w:rsid w:val="00CA1861"/>
    <w:rsid w:val="00CA7A33"/>
    <w:rsid w:val="00CB7B3E"/>
    <w:rsid w:val="00CB7D2D"/>
    <w:rsid w:val="00CC739D"/>
    <w:rsid w:val="00CE32B2"/>
    <w:rsid w:val="00D02402"/>
    <w:rsid w:val="00D04468"/>
    <w:rsid w:val="00D06800"/>
    <w:rsid w:val="00D23432"/>
    <w:rsid w:val="00D24357"/>
    <w:rsid w:val="00D24579"/>
    <w:rsid w:val="00D36257"/>
    <w:rsid w:val="00D40E75"/>
    <w:rsid w:val="00D428E1"/>
    <w:rsid w:val="00D45A81"/>
    <w:rsid w:val="00D4687E"/>
    <w:rsid w:val="00D53A12"/>
    <w:rsid w:val="00D64052"/>
    <w:rsid w:val="00D66FD3"/>
    <w:rsid w:val="00D73DCB"/>
    <w:rsid w:val="00D7701A"/>
    <w:rsid w:val="00D87E2A"/>
    <w:rsid w:val="00DA0CB4"/>
    <w:rsid w:val="00DA1B21"/>
    <w:rsid w:val="00DA30E0"/>
    <w:rsid w:val="00DB0C43"/>
    <w:rsid w:val="00DD12D4"/>
    <w:rsid w:val="00DE3354"/>
    <w:rsid w:val="00DF0E56"/>
    <w:rsid w:val="00DF7DCD"/>
    <w:rsid w:val="00E019CA"/>
    <w:rsid w:val="00E24FA7"/>
    <w:rsid w:val="00E505F5"/>
    <w:rsid w:val="00E50B7D"/>
    <w:rsid w:val="00E51745"/>
    <w:rsid w:val="00E64BA9"/>
    <w:rsid w:val="00E904A1"/>
    <w:rsid w:val="00E937CD"/>
    <w:rsid w:val="00E96CBF"/>
    <w:rsid w:val="00EB133C"/>
    <w:rsid w:val="00EB7D28"/>
    <w:rsid w:val="00EC0D0C"/>
    <w:rsid w:val="00ED0939"/>
    <w:rsid w:val="00ED4A2C"/>
    <w:rsid w:val="00EE7C1A"/>
    <w:rsid w:val="00EF50A6"/>
    <w:rsid w:val="00EF6940"/>
    <w:rsid w:val="00EF7335"/>
    <w:rsid w:val="00F056E6"/>
    <w:rsid w:val="00F1219F"/>
    <w:rsid w:val="00F14EEE"/>
    <w:rsid w:val="00F16FBD"/>
    <w:rsid w:val="00F2044A"/>
    <w:rsid w:val="00F20BFC"/>
    <w:rsid w:val="00F24D5F"/>
    <w:rsid w:val="00F35346"/>
    <w:rsid w:val="00F36B55"/>
    <w:rsid w:val="00F45D61"/>
    <w:rsid w:val="00F51614"/>
    <w:rsid w:val="00F726C3"/>
    <w:rsid w:val="00F81143"/>
    <w:rsid w:val="00F81682"/>
    <w:rsid w:val="00F820CA"/>
    <w:rsid w:val="00F8554C"/>
    <w:rsid w:val="00F95F82"/>
    <w:rsid w:val="00F97A90"/>
    <w:rsid w:val="00FA2D69"/>
    <w:rsid w:val="00FA370B"/>
    <w:rsid w:val="00FA4528"/>
    <w:rsid w:val="00FB15DB"/>
    <w:rsid w:val="00FB5592"/>
    <w:rsid w:val="00FC2F35"/>
    <w:rsid w:val="00FC3FD7"/>
    <w:rsid w:val="00FC5F36"/>
    <w:rsid w:val="00FD116E"/>
    <w:rsid w:val="00FD1FC6"/>
    <w:rsid w:val="00FE176C"/>
    <w:rsid w:val="00FE2D42"/>
    <w:rsid w:val="00FE5869"/>
    <w:rsid w:val="00FF0700"/>
    <w:rsid w:val="00FF6B58"/>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RSCB01ARTAbstract">
    <w:name w:val="RSC B01 ART Abstract"/>
    <w:basedOn w:val="Normal"/>
    <w:link w:val="RSCB01ARTAbstractChar"/>
    <w:qFormat/>
    <w:rsid w:val="00607ED2"/>
    <w:pPr>
      <w:spacing w:after="200" w:line="240" w:lineRule="exact"/>
      <w:jc w:val="both"/>
    </w:pPr>
    <w:rPr>
      <w:rFonts w:eastAsiaTheme="minorHAnsi" w:cstheme="minorBidi"/>
      <w:noProof/>
      <w:sz w:val="16"/>
      <w:szCs w:val="22"/>
      <w:lang w:val="en-GB" w:eastAsia="en-GB"/>
    </w:rPr>
  </w:style>
  <w:style w:type="character" w:customStyle="1" w:styleId="RSCB01ARTAbstractChar">
    <w:name w:val="RSC B01 ART Abstract Char"/>
    <w:basedOn w:val="DefaultParagraphFont"/>
    <w:link w:val="RSCB01ARTAbstract"/>
    <w:rsid w:val="00607ED2"/>
    <w:rPr>
      <w:rFonts w:eastAsiaTheme="minorHAnsi" w:cstheme="minorBidi"/>
      <w:noProof/>
      <w:sz w:val="16"/>
      <w:szCs w:val="22"/>
    </w:rPr>
  </w:style>
  <w:style w:type="paragraph" w:customStyle="1" w:styleId="RSCB03MathematicsGreeketc">
    <w:name w:val="RSC B03 Mathematics/Greek etc"/>
    <w:basedOn w:val="Normal"/>
    <w:link w:val="RSCB03MathematicsGreeketcChar"/>
    <w:qFormat/>
    <w:rsid w:val="00D45A81"/>
    <w:pPr>
      <w:tabs>
        <w:tab w:val="center" w:pos="2268"/>
        <w:tab w:val="right" w:pos="4536"/>
      </w:tabs>
      <w:spacing w:before="160" w:after="160"/>
    </w:pPr>
    <w:rPr>
      <w:rFonts w:eastAsiaTheme="minorHAnsi" w:cstheme="minorBidi"/>
      <w:sz w:val="18"/>
      <w:szCs w:val="22"/>
      <w:lang w:val="en-GB"/>
    </w:rPr>
  </w:style>
  <w:style w:type="character" w:customStyle="1" w:styleId="RSCB03MathematicsGreeketcChar">
    <w:name w:val="RSC B03 Mathematics/Greek etc Char"/>
    <w:basedOn w:val="DefaultParagraphFont"/>
    <w:link w:val="RSCB03MathematicsGreeketc"/>
    <w:rsid w:val="00D45A81"/>
    <w:rPr>
      <w:rFonts w:eastAsiaTheme="minorHAnsi" w:cstheme="minorBidi"/>
      <w:sz w:val="18"/>
      <w:szCs w:val="22"/>
      <w:lang w:eastAsia="en-US"/>
    </w:rPr>
  </w:style>
  <w:style w:type="paragraph" w:customStyle="1" w:styleId="RSCB02ArticleText">
    <w:name w:val="RSC B02 Article Text"/>
    <w:basedOn w:val="Normal"/>
    <w:link w:val="RSCB02ArticleTextChar"/>
    <w:qFormat/>
    <w:rsid w:val="009D4F02"/>
    <w:pPr>
      <w:spacing w:line="240" w:lineRule="exact"/>
      <w:jc w:val="both"/>
    </w:pPr>
    <w:rPr>
      <w:rFonts w:asciiTheme="minorHAnsi" w:eastAsiaTheme="minorHAnsi" w:hAnsiTheme="minorHAnsi"/>
      <w:w w:val="108"/>
      <w:sz w:val="18"/>
      <w:szCs w:val="18"/>
      <w:lang w:val="en-GB"/>
    </w:rPr>
  </w:style>
  <w:style w:type="character" w:customStyle="1" w:styleId="RSCB02ArticleTextChar">
    <w:name w:val="RSC B02 Article Text Char"/>
    <w:basedOn w:val="DefaultParagraphFont"/>
    <w:link w:val="RSCB02ArticleText"/>
    <w:rsid w:val="009D4F02"/>
    <w:rPr>
      <w:rFonts w:asciiTheme="minorHAnsi" w:eastAsiaTheme="minorHAnsi" w:hAnsiTheme="minorHAnsi"/>
      <w:w w:val="108"/>
      <w:sz w:val="18"/>
      <w:szCs w:val="18"/>
      <w:lang w:eastAsia="en-US"/>
    </w:rPr>
  </w:style>
  <w:style w:type="paragraph" w:styleId="Header">
    <w:name w:val="header"/>
    <w:basedOn w:val="Normal"/>
    <w:link w:val="HeaderChar"/>
    <w:unhideWhenUsed/>
    <w:rsid w:val="00D02402"/>
    <w:pPr>
      <w:tabs>
        <w:tab w:val="center" w:pos="4513"/>
        <w:tab w:val="right" w:pos="9026"/>
      </w:tabs>
      <w:snapToGrid w:val="0"/>
    </w:pPr>
  </w:style>
  <w:style w:type="character" w:customStyle="1" w:styleId="HeaderChar">
    <w:name w:val="Header Char"/>
    <w:basedOn w:val="DefaultParagraphFont"/>
    <w:link w:val="Header"/>
    <w:rsid w:val="00D02402"/>
    <w:rPr>
      <w:sz w:val="24"/>
      <w:lang w:val="en-US" w:eastAsia="en-US"/>
    </w:rPr>
  </w:style>
  <w:style w:type="paragraph" w:styleId="Footer">
    <w:name w:val="footer"/>
    <w:basedOn w:val="Normal"/>
    <w:link w:val="FooterChar"/>
    <w:unhideWhenUsed/>
    <w:rsid w:val="00D02402"/>
    <w:pPr>
      <w:tabs>
        <w:tab w:val="center" w:pos="4513"/>
        <w:tab w:val="right" w:pos="9026"/>
      </w:tabs>
      <w:snapToGrid w:val="0"/>
    </w:pPr>
  </w:style>
  <w:style w:type="character" w:customStyle="1" w:styleId="FooterChar">
    <w:name w:val="Footer Char"/>
    <w:basedOn w:val="DefaultParagraphFont"/>
    <w:link w:val="Footer"/>
    <w:rsid w:val="00D02402"/>
    <w:rPr>
      <w:sz w:val="24"/>
      <w:lang w:val="en-US" w:eastAsia="en-US"/>
    </w:rPr>
  </w:style>
  <w:style w:type="paragraph" w:styleId="Caption">
    <w:name w:val="caption"/>
    <w:basedOn w:val="Normal"/>
    <w:next w:val="Normal"/>
    <w:unhideWhenUsed/>
    <w:qFormat/>
    <w:rsid w:val="00387E6C"/>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30647">
      <w:bodyDiv w:val="1"/>
      <w:marLeft w:val="0"/>
      <w:marRight w:val="0"/>
      <w:marTop w:val="0"/>
      <w:marBottom w:val="0"/>
      <w:divBdr>
        <w:top w:val="none" w:sz="0" w:space="0" w:color="auto"/>
        <w:left w:val="none" w:sz="0" w:space="0" w:color="auto"/>
        <w:bottom w:val="none" w:sz="0" w:space="0" w:color="auto"/>
        <w:right w:val="none" w:sz="0" w:space="0" w:color="auto"/>
      </w:divBdr>
    </w:div>
    <w:div w:id="361132173">
      <w:bodyDiv w:val="1"/>
      <w:marLeft w:val="0"/>
      <w:marRight w:val="0"/>
      <w:marTop w:val="0"/>
      <w:marBottom w:val="0"/>
      <w:divBdr>
        <w:top w:val="none" w:sz="0" w:space="0" w:color="auto"/>
        <w:left w:val="none" w:sz="0" w:space="0" w:color="auto"/>
        <w:bottom w:val="none" w:sz="0" w:space="0" w:color="auto"/>
        <w:right w:val="none" w:sz="0" w:space="0" w:color="auto"/>
      </w:divBdr>
    </w:div>
    <w:div w:id="362021482">
      <w:bodyDiv w:val="1"/>
      <w:marLeft w:val="0"/>
      <w:marRight w:val="0"/>
      <w:marTop w:val="0"/>
      <w:marBottom w:val="0"/>
      <w:divBdr>
        <w:top w:val="none" w:sz="0" w:space="0" w:color="auto"/>
        <w:left w:val="none" w:sz="0" w:space="0" w:color="auto"/>
        <w:bottom w:val="none" w:sz="0" w:space="0" w:color="auto"/>
        <w:right w:val="none" w:sz="0" w:space="0" w:color="auto"/>
      </w:divBdr>
    </w:div>
    <w:div w:id="583220404">
      <w:bodyDiv w:val="1"/>
      <w:marLeft w:val="0"/>
      <w:marRight w:val="0"/>
      <w:marTop w:val="0"/>
      <w:marBottom w:val="0"/>
      <w:divBdr>
        <w:top w:val="none" w:sz="0" w:space="0" w:color="auto"/>
        <w:left w:val="none" w:sz="0" w:space="0" w:color="auto"/>
        <w:bottom w:val="none" w:sz="0" w:space="0" w:color="auto"/>
        <w:right w:val="none" w:sz="0" w:space="0" w:color="auto"/>
      </w:divBdr>
    </w:div>
    <w:div w:id="674069148">
      <w:bodyDiv w:val="1"/>
      <w:marLeft w:val="0"/>
      <w:marRight w:val="0"/>
      <w:marTop w:val="0"/>
      <w:marBottom w:val="0"/>
      <w:divBdr>
        <w:top w:val="none" w:sz="0" w:space="0" w:color="auto"/>
        <w:left w:val="none" w:sz="0" w:space="0" w:color="auto"/>
        <w:bottom w:val="none" w:sz="0" w:space="0" w:color="auto"/>
        <w:right w:val="none" w:sz="0" w:space="0" w:color="auto"/>
      </w:divBdr>
    </w:div>
    <w:div w:id="868565235">
      <w:bodyDiv w:val="1"/>
      <w:marLeft w:val="0"/>
      <w:marRight w:val="0"/>
      <w:marTop w:val="0"/>
      <w:marBottom w:val="0"/>
      <w:divBdr>
        <w:top w:val="none" w:sz="0" w:space="0" w:color="auto"/>
        <w:left w:val="none" w:sz="0" w:space="0" w:color="auto"/>
        <w:bottom w:val="none" w:sz="0" w:space="0" w:color="auto"/>
        <w:right w:val="none" w:sz="0" w:space="0" w:color="auto"/>
      </w:divBdr>
    </w:div>
    <w:div w:id="903099070">
      <w:bodyDiv w:val="1"/>
      <w:marLeft w:val="0"/>
      <w:marRight w:val="0"/>
      <w:marTop w:val="0"/>
      <w:marBottom w:val="0"/>
      <w:divBdr>
        <w:top w:val="none" w:sz="0" w:space="0" w:color="auto"/>
        <w:left w:val="none" w:sz="0" w:space="0" w:color="auto"/>
        <w:bottom w:val="none" w:sz="0" w:space="0" w:color="auto"/>
        <w:right w:val="none" w:sz="0" w:space="0" w:color="auto"/>
      </w:divBdr>
    </w:div>
    <w:div w:id="964392256">
      <w:bodyDiv w:val="1"/>
      <w:marLeft w:val="0"/>
      <w:marRight w:val="0"/>
      <w:marTop w:val="0"/>
      <w:marBottom w:val="0"/>
      <w:divBdr>
        <w:top w:val="none" w:sz="0" w:space="0" w:color="auto"/>
        <w:left w:val="none" w:sz="0" w:space="0" w:color="auto"/>
        <w:bottom w:val="none" w:sz="0" w:space="0" w:color="auto"/>
        <w:right w:val="none" w:sz="0" w:space="0" w:color="auto"/>
      </w:divBdr>
    </w:div>
    <w:div w:id="1056271778">
      <w:bodyDiv w:val="1"/>
      <w:marLeft w:val="0"/>
      <w:marRight w:val="0"/>
      <w:marTop w:val="0"/>
      <w:marBottom w:val="0"/>
      <w:divBdr>
        <w:top w:val="none" w:sz="0" w:space="0" w:color="auto"/>
        <w:left w:val="none" w:sz="0" w:space="0" w:color="auto"/>
        <w:bottom w:val="none" w:sz="0" w:space="0" w:color="auto"/>
        <w:right w:val="none" w:sz="0" w:space="0" w:color="auto"/>
      </w:divBdr>
    </w:div>
    <w:div w:id="119774350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26277282">
      <w:bodyDiv w:val="1"/>
      <w:marLeft w:val="0"/>
      <w:marRight w:val="0"/>
      <w:marTop w:val="0"/>
      <w:marBottom w:val="0"/>
      <w:divBdr>
        <w:top w:val="none" w:sz="0" w:space="0" w:color="auto"/>
        <w:left w:val="none" w:sz="0" w:space="0" w:color="auto"/>
        <w:bottom w:val="none" w:sz="0" w:space="0" w:color="auto"/>
        <w:right w:val="none" w:sz="0" w:space="0" w:color="auto"/>
      </w:divBdr>
    </w:div>
    <w:div w:id="1518500565">
      <w:bodyDiv w:val="1"/>
      <w:marLeft w:val="0"/>
      <w:marRight w:val="0"/>
      <w:marTop w:val="0"/>
      <w:marBottom w:val="0"/>
      <w:divBdr>
        <w:top w:val="none" w:sz="0" w:space="0" w:color="auto"/>
        <w:left w:val="none" w:sz="0" w:space="0" w:color="auto"/>
        <w:bottom w:val="none" w:sz="0" w:space="0" w:color="auto"/>
        <w:right w:val="none" w:sz="0" w:space="0" w:color="auto"/>
      </w:divBdr>
    </w:div>
    <w:div w:id="1547796386">
      <w:bodyDiv w:val="1"/>
      <w:marLeft w:val="0"/>
      <w:marRight w:val="0"/>
      <w:marTop w:val="0"/>
      <w:marBottom w:val="0"/>
      <w:divBdr>
        <w:top w:val="none" w:sz="0" w:space="0" w:color="auto"/>
        <w:left w:val="none" w:sz="0" w:space="0" w:color="auto"/>
        <w:bottom w:val="none" w:sz="0" w:space="0" w:color="auto"/>
        <w:right w:val="none" w:sz="0" w:space="0" w:color="auto"/>
      </w:divBdr>
    </w:div>
    <w:div w:id="163775952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2009595939">
      <w:bodyDiv w:val="1"/>
      <w:marLeft w:val="0"/>
      <w:marRight w:val="0"/>
      <w:marTop w:val="0"/>
      <w:marBottom w:val="0"/>
      <w:divBdr>
        <w:top w:val="none" w:sz="0" w:space="0" w:color="auto"/>
        <w:left w:val="none" w:sz="0" w:space="0" w:color="auto"/>
        <w:bottom w:val="none" w:sz="0" w:space="0" w:color="auto"/>
        <w:right w:val="none" w:sz="0" w:space="0" w:color="auto"/>
      </w:divBdr>
    </w:div>
    <w:div w:id="2090272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burhan@chem.its.ac.id" TargetMode="Externa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yperlink" Target="mailto:wp.utomo@its.ac.id" TargetMode="External"/><Relationship Id="rId17" Type="http://schemas.openxmlformats.org/officeDocument/2006/relationships/image" Target="media/image1.png"/><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hyperlink" Target="mailto:triyanda@its.ac.id" TargetMode="External"/><Relationship Id="rId20" Type="http://schemas.openxmlformats.org/officeDocument/2006/relationships/image" Target="media/image4.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khlus@its.ac.id" TargetMode="External"/><Relationship Id="rId24" Type="http://schemas.openxmlformats.org/officeDocument/2006/relationships/image" Target="media/image8.png"/><Relationship Id="rId5" Type="http://schemas.openxmlformats.org/officeDocument/2006/relationships/numbering" Target="numbering.xml"/><Relationship Id="rId15" Type="http://schemas.openxmlformats.org/officeDocument/2006/relationships/hyperlink" Target="mailto:ardi.nugroho@its.ac.id" TargetMode="External"/><Relationship Id="rId23" Type="http://schemas.openxmlformats.org/officeDocument/2006/relationships/image" Target="media/image7.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h.fansuri@chem.its.ac.id" TargetMode="External"/><Relationship Id="rId22" Type="http://schemas.openxmlformats.org/officeDocument/2006/relationships/image" Target="media/image6.pn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193C1C8-2EEF-42AE-AD6E-E30790446301}">
  <we:reference id="WA104382081" version="1.55.1.0" store="Omex" storeType="OMEX"/>
  <we:alternateReferences>
    <we:reference id="WA104382081" version="1.55.1.0" store="WA104382081" storeType="OMEX"/>
  </we:alternateReferences>
  <we:properties>
    <we:property name="MENDELEY_BIBLIOGRAPHY_IS_DIRTY" value="true"/>
    <we:property name="MENDELEY_BIBLIOGRAPHY_LAST_MODIFIED" value="1758253701038"/>
    <we:property name="MENDELEY_CITATIONS" value="[]"/>
    <we:property name="MENDELEY_CITATIONS_STYLE" value="{&quot;id&quot;:&quot;https://www.zotero.org/styles/taylor-and-francis-aip&quot;,&quot;title&quot;:&quot;Taylor &amp; Francis - American Institute of Physic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문서" ma:contentTypeID="0x0101002413EC7805A11847A492AF5D75B29660" ma:contentTypeVersion="8" ma:contentTypeDescription="새 문서를 만듭니다." ma:contentTypeScope="" ma:versionID="0088c0f5382f8d783146104eb2800e11">
  <xsd:schema xmlns:xsd="http://www.w3.org/2001/XMLSchema" xmlns:xs="http://www.w3.org/2001/XMLSchema" xmlns:p="http://schemas.microsoft.com/office/2006/metadata/properties" xmlns:ns3="05ca6d6a-03fb-40d4-8242-6f7762d46e2a" targetNamespace="http://schemas.microsoft.com/office/2006/metadata/properties" ma:root="true" ma:fieldsID="6a23b412d3f673d848c2d83ac3844eec" ns3:_="">
    <xsd:import namespace="05ca6d6a-03fb-40d4-8242-6f7762d46e2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System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ca6d6a-03fb-40d4-8242-6f7762d46e2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SystemTags" ma:index="12" nillable="true" ma:displayName="MediaServiceSystemTags" ma:hidden="true" ma:internalName="MediaServiceSystemTags" ma:readOnly="true">
      <xsd:simpleType>
        <xsd:restriction base="dms:Note"/>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콘텐츠 형식"/>
        <xsd:element ref="dc:title" minOccurs="0" maxOccurs="1" ma:index="4" ma:displayName="제목"/>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5448AEE-4B54-4840-897B-410BFC753E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ca6d6a-03fb-40d4-8242-6f7762d46e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1389</TotalTime>
  <Pages>12</Pages>
  <Words>16027</Words>
  <Characters>91354</Characters>
  <Application>Microsoft Office Word</Application>
  <DocSecurity>0</DocSecurity>
  <Lines>761</Lines>
  <Paragraphs>214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107167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Immanuel Nathanael Lumban Gaol</cp:lastModifiedBy>
  <cp:revision>13</cp:revision>
  <cp:lastPrinted>2025-10-02T06:34:00Z</cp:lastPrinted>
  <dcterms:created xsi:type="dcterms:W3CDTF">2025-09-19T03:48:00Z</dcterms:created>
  <dcterms:modified xsi:type="dcterms:W3CDTF">2025-10-02T06:35:00Z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0x0101002413EC7805A11847A492AF5D75B29660</vt:lpwstr>
  </property>
  <property fmtid="{D5CDD505-2E9C-101B-9397-08002B2CF9AE}" pid="3" name="Mendeley Document_1">
    <vt:lpwstr>True</vt:lpwstr>
  </property>
  <property fmtid="{D5CDD505-2E9C-101B-9397-08002B2CF9AE}" pid="4" name="Mendeley Citation Style_1">
    <vt:lpwstr>http://www.zotero.org/styles/taylor-and-francis-aip</vt:lpwstr>
  </property>
  <property fmtid="{D5CDD505-2E9C-101B-9397-08002B2CF9AE}" pid="5" name="Mendeley Unique User Id_1">
    <vt:lpwstr>51b4611c-f7cc-3ea1-9e0a-1857d1ef817c</vt:lpwstr>
  </property>
  <property fmtid="{D5CDD505-2E9C-101B-9397-08002B2CF9AE}" pid="6" name="Mendeley Recent Style Id 0_1">
    <vt:lpwstr>http://www.zotero.org/styles/apa</vt:lpwstr>
  </property>
  <property fmtid="{D5CDD505-2E9C-101B-9397-08002B2CF9AE}" pid="7" name="Mendeley Recent Style Name 0_1">
    <vt:lpwstr>American Psychological Association 7th edition</vt:lpwstr>
  </property>
  <property fmtid="{D5CDD505-2E9C-101B-9397-08002B2CF9AE}" pid="8" name="Mendeley Recent Style Id 1_1">
    <vt:lpwstr>http://www.zotero.org/styles/american-sociological-association</vt:lpwstr>
  </property>
  <property fmtid="{D5CDD505-2E9C-101B-9397-08002B2CF9AE}" pid="9" name="Mendeley Recent Style Name 1_1">
    <vt:lpwstr>American Sociological Association 6th/7th edition</vt:lpwstr>
  </property>
  <property fmtid="{D5CDD505-2E9C-101B-9397-08002B2CF9AE}" pid="10" name="Mendeley Recent Style Id 2_1">
    <vt:lpwstr>http://www.zotero.org/styles/carbon</vt:lpwstr>
  </property>
  <property fmtid="{D5CDD505-2E9C-101B-9397-08002B2CF9AE}" pid="11" name="Mendeley Recent Style Name 2_1">
    <vt:lpwstr>Carbon</vt:lpwstr>
  </property>
  <property fmtid="{D5CDD505-2E9C-101B-9397-08002B2CF9AE}" pid="12" name="Mendeley Recent Style Id 3_1">
    <vt:lpwstr>http://www.zotero.org/styles/chicago-author-date</vt:lpwstr>
  </property>
  <property fmtid="{D5CDD505-2E9C-101B-9397-08002B2CF9AE}" pid="13" name="Mendeley Recent Style Name 3_1">
    <vt:lpwstr>Chicago Manual of Style 17th edition (author-date)</vt:lpwstr>
  </property>
  <property fmtid="{D5CDD505-2E9C-101B-9397-08002B2CF9AE}" pid="14" name="Mendeley Recent Style Id 4_1">
    <vt:lpwstr>http://www.zotero.org/styles/harvard-cite-them-right</vt:lpwstr>
  </property>
  <property fmtid="{D5CDD505-2E9C-101B-9397-08002B2CF9AE}" pid="15" name="Mendeley Recent Style Name 4_1">
    <vt:lpwstr>Cite Them Right 12th edition - Harvard</vt:lpwstr>
  </property>
  <property fmtid="{D5CDD505-2E9C-101B-9397-08002B2CF9AE}" pid="16" name="Mendeley Recent Style Id 5_1">
    <vt:lpwstr>http://www.zotero.org/styles/institut-teknologi-bandung-sekolah-pascasarjana</vt:lpwstr>
  </property>
  <property fmtid="{D5CDD505-2E9C-101B-9397-08002B2CF9AE}" pid="17" name="Mendeley Recent Style Name 5_1">
    <vt:lpwstr>Institut Teknologi Bandung - Sekolah Pascasarjana</vt:lpwstr>
  </property>
  <property fmtid="{D5CDD505-2E9C-101B-9397-08002B2CF9AE}" pid="18" name="Mendeley Recent Style Id 6_1">
    <vt:lpwstr>http://www.zotero.org/styles/modern-humanities-research-association</vt:lpwstr>
  </property>
  <property fmtid="{D5CDD505-2E9C-101B-9397-08002B2CF9AE}" pid="19" name="Mendeley Recent Style Name 6_1">
    <vt:lpwstr>Modern Humanities Research Association 4th edition (note with bibliography)</vt:lpwstr>
  </property>
  <property fmtid="{D5CDD505-2E9C-101B-9397-08002B2CF9AE}" pid="20" name="Mendeley Recent Style Id 7_1">
    <vt:lpwstr>http://www.zotero.org/styles/modern-language-association</vt:lpwstr>
  </property>
  <property fmtid="{D5CDD505-2E9C-101B-9397-08002B2CF9AE}" pid="21" name="Mendeley Recent Style Name 7_1">
    <vt:lpwstr>Modern Language Association 9th edition</vt:lpwstr>
  </property>
  <property fmtid="{D5CDD505-2E9C-101B-9397-08002B2CF9AE}" pid="22" name="Mendeley Recent Style Id 8_1">
    <vt:lpwstr>http://www.zotero.org/styles/nature</vt:lpwstr>
  </property>
  <property fmtid="{D5CDD505-2E9C-101B-9397-08002B2CF9AE}" pid="23" name="Mendeley Recent Style Name 8_1">
    <vt:lpwstr>Nature</vt:lpwstr>
  </property>
  <property fmtid="{D5CDD505-2E9C-101B-9397-08002B2CF9AE}" pid="24" name="Mendeley Recent Style Id 9_1">
    <vt:lpwstr>http://www.zotero.org/styles/taylor-and-francis-aip</vt:lpwstr>
  </property>
  <property fmtid="{D5CDD505-2E9C-101B-9397-08002B2CF9AE}" pid="25" name="Mendeley Recent Style Name 9_1">
    <vt:lpwstr>Taylor &amp; Francis - American Institute of Physics</vt:lpwstr>
  </property>
</Properties>
</file>