
<file path=[Content_Types].xml><?xml version="1.0" encoding="utf-8"?>
<Types xmlns="http://schemas.openxmlformats.org/package/2006/content-types">
  <Default ContentType="image/jpeg" Extension="jpg"/>
  <Default ContentType="application/vnd.openxmlformats-officedocument.oleObject" Extension="bin"/>
  <Default ContentType="application/xml" Extension="xml"/>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b w:val="1"/>
          <w:sz w:val="36"/>
          <w:szCs w:val="36"/>
        </w:rPr>
      </w:pPr>
      <w:r w:rsidDel="00000000" w:rsidR="00000000" w:rsidRPr="00000000">
        <w:rPr>
          <w:rtl w:val="0"/>
        </w:rPr>
      </w:r>
    </w:p>
    <w:p w:rsidR="00000000" w:rsidDel="00000000" w:rsidP="00000000" w:rsidRDefault="00000000" w:rsidRPr="00000000" w14:paraId="00000003">
      <w:pPr>
        <w:jc w:val="center"/>
        <w:rPr>
          <w:b w:val="1"/>
          <w:color w:val="000000"/>
          <w:sz w:val="36"/>
          <w:szCs w:val="36"/>
        </w:rPr>
      </w:pPr>
      <w:r w:rsidDel="00000000" w:rsidR="00000000" w:rsidRPr="00000000">
        <w:rPr>
          <w:b w:val="1"/>
          <w:color w:val="000000"/>
          <w:sz w:val="36"/>
          <w:szCs w:val="36"/>
          <w:rtl w:val="0"/>
        </w:rPr>
        <w:t xml:space="preserve">Exploring Acetylcysteine, L-Glutathione and Acetyl-L-Carnitine as α-Glucosidase Inhibitors through Molecular Docking Studies for Diabetes Treatment</w:t>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709" w:right="709" w:firstLine="0"/>
        <w:jc w:val="center"/>
        <w:rPr>
          <w:rFonts w:ascii="Arial" w:cs="Arial" w:eastAsia="Arial" w:hAnsi="Arial"/>
          <w:color w:val="000000"/>
        </w:rPr>
      </w:pPr>
      <w:r w:rsidDel="00000000" w:rsidR="00000000" w:rsidRPr="00000000">
        <w:rPr>
          <w:color w:val="000000"/>
          <w:sz w:val="28"/>
          <w:szCs w:val="28"/>
          <w:rtl w:val="0"/>
        </w:rPr>
        <w:br w:type="textWrapping"/>
        <w:t xml:space="preserve">Virgitha Yustanari Kusuma Putri</w:t>
      </w:r>
      <w:r w:rsidDel="00000000" w:rsidR="00000000" w:rsidRPr="00000000">
        <w:rPr>
          <w:color w:val="000000"/>
          <w:sz w:val="28"/>
          <w:szCs w:val="28"/>
          <w:vertAlign w:val="superscript"/>
          <w:rtl w:val="0"/>
        </w:rPr>
        <w:t xml:space="preserve">1)</w:t>
      </w:r>
      <w:r w:rsidDel="00000000" w:rsidR="00000000" w:rsidRPr="00000000">
        <w:rPr>
          <w:color w:val="000000"/>
          <w:sz w:val="28"/>
          <w:szCs w:val="28"/>
          <w:rtl w:val="0"/>
        </w:rPr>
        <w:t xml:space="preserve">, Triyanda Gunawan</w:t>
      </w:r>
      <w:r w:rsidDel="00000000" w:rsidR="00000000" w:rsidRPr="00000000">
        <w:rPr>
          <w:color w:val="000000"/>
          <w:sz w:val="28"/>
          <w:szCs w:val="28"/>
          <w:vertAlign w:val="superscript"/>
          <w:rtl w:val="0"/>
        </w:rPr>
        <w:t xml:space="preserve">1,a)</w:t>
      </w:r>
      <w:r w:rsidDel="00000000" w:rsidR="00000000" w:rsidRPr="00000000">
        <w:rPr>
          <w:color w:val="000000"/>
          <w:sz w:val="28"/>
          <w:szCs w:val="28"/>
          <w:rtl w:val="0"/>
        </w:rPr>
        <w:t xml:space="preserve"> and Yuly Kusumawati</w:t>
      </w:r>
      <w:r w:rsidDel="00000000" w:rsidR="00000000" w:rsidRPr="00000000">
        <w:rPr>
          <w:color w:val="000000"/>
          <w:sz w:val="28"/>
          <w:szCs w:val="28"/>
          <w:vertAlign w:val="superscript"/>
          <w:rtl w:val="0"/>
        </w:rPr>
        <w:t xml:space="preserve">1,b)</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color w:val="000000"/>
          <w:sz w:val="20"/>
          <w:szCs w:val="20"/>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Author Affiliations </w:t>
      </w:r>
    </w:p>
    <w:p w:rsidR="00000000" w:rsidDel="00000000" w:rsidP="00000000" w:rsidRDefault="00000000" w:rsidRPr="00000000" w14:paraId="00000007">
      <w:pPr>
        <w:jc w:val="center"/>
        <w:rPr>
          <w:i w:val="1"/>
          <w:sz w:val="20"/>
          <w:szCs w:val="20"/>
        </w:rPr>
      </w:pPr>
      <w:r w:rsidDel="00000000" w:rsidR="00000000" w:rsidRPr="00000000">
        <w:rPr>
          <w:i w:val="1"/>
          <w:sz w:val="20"/>
          <w:szCs w:val="20"/>
          <w:vertAlign w:val="superscript"/>
          <w:rtl w:val="0"/>
        </w:rPr>
        <w:t xml:space="preserve">1</w:t>
      </w:r>
      <w:r w:rsidDel="00000000" w:rsidR="00000000" w:rsidRPr="00000000">
        <w:rPr>
          <w:i w:val="1"/>
          <w:sz w:val="20"/>
          <w:szCs w:val="20"/>
          <w:rtl w:val="0"/>
        </w:rPr>
        <w:t xml:space="preserve">Department of Chemistry, Faculty of Science and Data Analytics, Sepuluh Nopember Institute of Technology,</w:t>
      </w:r>
    </w:p>
    <w:p w:rsidR="00000000" w:rsidDel="00000000" w:rsidP="00000000" w:rsidRDefault="00000000" w:rsidRPr="00000000" w14:paraId="00000008">
      <w:pPr>
        <w:jc w:val="center"/>
        <w:rPr>
          <w:i w:val="1"/>
          <w:sz w:val="20"/>
          <w:szCs w:val="20"/>
        </w:rPr>
      </w:pPr>
      <w:r w:rsidDel="00000000" w:rsidR="00000000" w:rsidRPr="00000000">
        <w:rPr>
          <w:i w:val="1"/>
          <w:sz w:val="20"/>
          <w:szCs w:val="20"/>
          <w:rtl w:val="0"/>
        </w:rPr>
        <w:t xml:space="preserve">ITS Sukolilo Campus, Surabaya 60111, East Java, Indonesia.</w:t>
      </w:r>
    </w:p>
    <w:p w:rsidR="00000000" w:rsidDel="00000000" w:rsidP="00000000" w:rsidRDefault="00000000" w:rsidRPr="00000000" w14:paraId="00000009">
      <w:pPr>
        <w:pBdr>
          <w:top w:space="0" w:sz="0" w:val="nil"/>
          <w:left w:space="0" w:sz="0" w:val="nil"/>
          <w:bottom w:space="0" w:sz="0" w:val="nil"/>
          <w:right w:space="0" w:sz="0" w:val="nil"/>
          <w:between w:space="0" w:sz="0" w:val="nil"/>
        </w:pBdr>
        <w:ind w:right="709"/>
        <w:jc w:val="center"/>
        <w:rPr>
          <w:i w:val="1"/>
          <w:color w:val="000000"/>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Corresponding author</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hyperlink r:id="rId9">
        <w:r w:rsidDel="00000000" w:rsidR="00000000" w:rsidRPr="00000000">
          <w:rPr>
            <w:rFonts w:ascii="Times New Roman" w:cs="Times New Roman" w:eastAsia="Times New Roman" w:hAnsi="Times New Roman"/>
            <w:b w:val="0"/>
            <w:i w:val="1"/>
            <w:smallCaps w:val="0"/>
            <w:strike w:val="0"/>
            <w:color w:val="0000ff"/>
            <w:sz w:val="20"/>
            <w:szCs w:val="20"/>
            <w:u w:val="single"/>
            <w:shd w:fill="auto" w:val="clear"/>
            <w:vertAlign w:val="baseline"/>
            <w:rtl w:val="0"/>
          </w:rPr>
          <w:t xml:space="preserve">triyanda@its.ac.id</w:t>
        </w:r>
      </w:hyperlink>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b)</w:t>
      </w:r>
      <w:hyperlink r:id="rId10">
        <w:r w:rsidDel="00000000" w:rsidR="00000000" w:rsidRPr="00000000">
          <w:rPr>
            <w:rFonts w:ascii="Times New Roman" w:cs="Times New Roman" w:eastAsia="Times New Roman" w:hAnsi="Times New Roman"/>
            <w:b w:val="0"/>
            <w:i w:val="1"/>
            <w:smallCaps w:val="0"/>
            <w:strike w:val="0"/>
            <w:color w:val="0000ff"/>
            <w:sz w:val="20"/>
            <w:szCs w:val="20"/>
            <w:u w:val="single"/>
            <w:shd w:fill="auto" w:val="clear"/>
            <w:vertAlign w:val="baseline"/>
            <w:rtl w:val="0"/>
          </w:rPr>
          <w:t xml:space="preserve">y_kusumawati@chem.its.ac.id</w:t>
        </w:r>
      </w:hyperlink>
      <w:r w:rsidDel="00000000" w:rsidR="00000000" w:rsidRPr="00000000">
        <w:rPr>
          <w:rtl w:val="0"/>
        </w:rPr>
      </w:r>
    </w:p>
    <w:p w:rsidR="00000000" w:rsidDel="00000000" w:rsidP="00000000" w:rsidRDefault="00000000" w:rsidRPr="00000000" w14:paraId="0000000C">
      <w:pPr>
        <w:rPr>
          <w:rFonts w:ascii="Arial" w:cs="Arial" w:eastAsia="Arial" w:hAnsi="Arial"/>
          <w:b w:val="1"/>
          <w:u w:val="single"/>
        </w:rPr>
      </w:pPr>
      <w:r w:rsidDel="00000000" w:rsidR="00000000" w:rsidRPr="00000000">
        <w:rPr>
          <w:rtl w:val="0"/>
        </w:rPr>
      </w:r>
    </w:p>
    <w:p w:rsidR="00000000" w:rsidDel="00000000" w:rsidP="00000000" w:rsidRDefault="00000000" w:rsidRPr="00000000" w14:paraId="0000000D">
      <w:pPr>
        <w:ind w:left="113" w:right="113" w:firstLine="0"/>
        <w:jc w:val="both"/>
        <w:rPr>
          <w:sz w:val="18"/>
          <w:szCs w:val="18"/>
        </w:rPr>
      </w:pPr>
      <w:r w:rsidDel="00000000" w:rsidR="00000000" w:rsidRPr="00000000">
        <w:rPr>
          <w:b w:val="1"/>
          <w:color w:val="000000"/>
          <w:sz w:val="18"/>
          <w:szCs w:val="18"/>
          <w:rtl w:val="0"/>
        </w:rPr>
        <w:t xml:space="preserve">Abstract.</w:t>
      </w:r>
      <w:r w:rsidDel="00000000" w:rsidR="00000000" w:rsidRPr="00000000">
        <w:rPr>
          <w:color w:val="000000"/>
          <w:sz w:val="18"/>
          <w:szCs w:val="18"/>
          <w:rtl w:val="0"/>
        </w:rPr>
        <w:t xml:space="preserve"> </w:t>
      </w:r>
      <w:r w:rsidDel="00000000" w:rsidR="00000000" w:rsidRPr="00000000">
        <w:rPr>
          <w:sz w:val="18"/>
          <w:szCs w:val="18"/>
          <w:rtl w:val="0"/>
        </w:rPr>
        <w:t xml:space="preserve">Diabetes is a chronic disease that cannot be cured, resulting in an escalating number of patients annually. Consequently, α-glucosidase inhibition has emerged as a crucial strategy to prevent surges in blood glucose levels. Proteins like Acetylcysteine, L-Glutathione, and Acetyl-L-Carnitine are anticipated to function as α-glucosidase inhibitors. Traditionally, Acetylcysteine has been utilized as a mucolytic medication in Indonesia, while L-Glutathione and Acetyl-L-Carnitine have been employed as multivitamin supplements. In this study, molecular docking simulations were conducted between the 8EMR protein and Acetylcysteine, L-Glutathione, and Acetyl-L-Carnitine using the Autodock Vina program, with binding free energy and inhibition constant (Ki) as the parameters. The findings revealed that Acetylcysteine, L-Glutathione, and Acetyl-L-Carnitine possess the capability to inhibit α-glucosidase, exhibiting binding free energies of -3.69, -2.46, and -4.41 kcal/mol, respectively, and inhibition constants (Ki) of 1.96 mM, 15.78 mM, and 583.54 μM. This research concluded that Acetylcysteine, L-Glutathione, and Acetyl-L-Carnitine can effectively inhibit α-glucosidase and serve as potential alternatives to reduce blood glucose levels.</w:t>
      </w:r>
    </w:p>
    <w:p w:rsidR="00000000" w:rsidDel="00000000" w:rsidP="00000000" w:rsidRDefault="00000000" w:rsidRPr="00000000" w14:paraId="0000000E">
      <w:pPr>
        <w:shd w:fill="ffffff" w:val="clear"/>
        <w:spacing w:after="240" w:line="336" w:lineRule="auto"/>
        <w:ind w:left="113" w:right="113" w:firstLine="0"/>
        <w:jc w:val="both"/>
        <w:rPr>
          <w:i w:val="1"/>
          <w:color w:val="1f1f1f"/>
          <w:sz w:val="18"/>
          <w:szCs w:val="18"/>
        </w:rPr>
      </w:pPr>
      <w:r w:rsidDel="00000000" w:rsidR="00000000" w:rsidRPr="00000000">
        <w:rPr>
          <w:b w:val="1"/>
          <w:color w:val="1f1f1f"/>
          <w:sz w:val="18"/>
          <w:szCs w:val="18"/>
          <w:rtl w:val="0"/>
        </w:rPr>
        <w:t xml:space="preserve">Keywords</w:t>
      </w:r>
      <w:r w:rsidDel="00000000" w:rsidR="00000000" w:rsidRPr="00000000">
        <w:rPr>
          <w:color w:val="1f1f1f"/>
          <w:sz w:val="18"/>
          <w:szCs w:val="18"/>
          <w:rtl w:val="0"/>
        </w:rPr>
        <w:t xml:space="preserve">:</w:t>
      </w:r>
      <w:r w:rsidDel="00000000" w:rsidR="00000000" w:rsidRPr="00000000">
        <w:rPr>
          <w:i w:val="1"/>
          <w:color w:val="1f1f1f"/>
          <w:sz w:val="18"/>
          <w:szCs w:val="18"/>
          <w:rtl w:val="0"/>
        </w:rPr>
        <w:t xml:space="preserve"> Diabetes, Antidiabetic Agent, Acetylcysteine, L-Glutathione, Acetyl-L-Carnitine, </w:t>
      </w:r>
      <w:r w:rsidDel="00000000" w:rsidR="00000000" w:rsidRPr="00000000">
        <w:rPr>
          <w:i w:val="1"/>
          <w:sz w:val="18"/>
          <w:szCs w:val="18"/>
          <w:rtl w:val="0"/>
        </w:rPr>
        <w:t xml:space="preserve">α-glucosidase, AutodockTools, SDG</w:t>
      </w:r>
      <w:r w:rsidDel="00000000" w:rsidR="00000000" w:rsidRPr="00000000">
        <w:rPr>
          <w:i w:val="1"/>
          <w:color w:val="1f1f1f"/>
          <w:sz w:val="18"/>
          <w:szCs w:val="18"/>
          <w:rtl w:val="0"/>
        </w:rPr>
        <w:t xml:space="preserve">.</w:t>
      </w:r>
    </w:p>
    <w:p w:rsidR="00000000" w:rsidDel="00000000" w:rsidP="00000000" w:rsidRDefault="00000000" w:rsidRPr="00000000" w14:paraId="0000000F">
      <w:pPr>
        <w:pStyle w:val="Heading1"/>
        <w:rPr>
          <w:b w:val="0"/>
          <w:smallCaps w:val="0"/>
          <w:sz w:val="20"/>
          <w:szCs w:val="20"/>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10">
      <w:pPr>
        <w:ind w:left="113" w:right="113" w:firstLine="284"/>
        <w:jc w:val="both"/>
        <w:rPr>
          <w:sz w:val="20"/>
          <w:szCs w:val="20"/>
        </w:rPr>
      </w:pPr>
      <w:r w:rsidDel="00000000" w:rsidR="00000000" w:rsidRPr="00000000">
        <w:rPr>
          <w:sz w:val="20"/>
          <w:szCs w:val="20"/>
          <w:rtl w:val="0"/>
        </w:rPr>
        <w:t xml:space="preserve">Diabetes mellitus, a chronic metabolic condition characterized by elevated blood glucose levels, affects millions of people worldwide. One of the main methods used to treat diabetes is controlling blood glucose levels by blocking enzymes that are involved in carbohydrate metabolism [1–3] . According to figures from the International Diabetes Federation (IDF), Indonesia is in the top 5 countries with the greatest prevalence of diabetes [4]. This is a problem that we must address, particularly because this figure will increase over time. The explanation of this expansion is that individuals with diabetes cannot be cured; they can only achieve remission and reduction until the condition no longer recurs [5]. Diabetes is a genetic condition that is influenced by both one's eating habits and family history [6]. In Indonesia, people are accustomed to and have a strong dependence on fast food and sugary meals, leading to a steady rise in the number of individuals affected by diabetes each year. There are two types of diabetes. Individuals with Type 1 diabetes are characterized by their inability to produce sufficient amounts of insulin or a complete lack of insulin production. The treatment for this patient involves administering insulin by injection. In type 2 diabetes, there is impairment to both the receptor and the production of insulin. Therefore, managing type 2 diabetes is a difficult task that cannot be only accomplished by the administration of insulin injections [5]. Currently, a ketogenic diet is employed to decrease blood glucose levels [6]. The a-glucosidase protein in human blood breaks down carbohydrates and other sources into glucose. By inhibiting a-glucosidase, one aims to induce remission of diabetes. Alpha-glucosidase inhibitors prevent the absorption of carbohydrates in the small intestine. They compete to inhibit the enzymes responsible for converting indigestible complex carbohydrates into easily absorbable simple carbohydrates [7–16]. In recent years, there has been growing interest in natural compounds as potential α-glucosidase inhibitors and acetylcysteine, L-glutathione, and acetyl-L-carnitine have emerged as promising candidates. The distinctive structural and functional properties of these compounds may contribute to their ability to block α-glucosidase [17].</w:t>
      </w:r>
    </w:p>
    <w:p w:rsidR="00000000" w:rsidDel="00000000" w:rsidP="00000000" w:rsidRDefault="00000000" w:rsidRPr="00000000" w14:paraId="00000011">
      <w:pPr>
        <w:ind w:left="113" w:right="113" w:firstLine="284"/>
        <w:jc w:val="both"/>
        <w:rPr>
          <w:sz w:val="20"/>
          <w:szCs w:val="20"/>
        </w:rPr>
      </w:pPr>
      <w:r w:rsidDel="00000000" w:rsidR="00000000" w:rsidRPr="00000000">
        <w:rPr>
          <w:sz w:val="20"/>
          <w:szCs w:val="20"/>
          <w:rtl w:val="0"/>
        </w:rPr>
        <w:t xml:space="preserve">The antioxidant and mucolytic properties of acetylcysteine, a derivative of a semi-essential amino acid, have been extensively studied [7, 18]. Acetylcysteine is readily accessible in Indonesian pharmacies as a cough medicine. Acetylcysteine is a promising candidate for further investigation as a potential antidiabetic medication due to recent findings suggesting its potential α-glucosidase inhibitory activity. L-glutathione, a tripeptide composed of glutamic acid, cysteine, and glycine, is a potent antioxidant found in virtually all living cells. The neuroprotective and cognitive-enhancing properties of acetyl-L-carnitine, an ester derivative of the amino acid L-carnitine, have been extensively studied. Recent investigations have defined its potential as an α-glucosidase inhibitor, indicating that it might be used in the treatment of diabetes and other metabolic illnesses [19].</w:t>
      </w:r>
    </w:p>
    <w:p w:rsidR="00000000" w:rsidDel="00000000" w:rsidP="00000000" w:rsidRDefault="00000000" w:rsidRPr="00000000" w14:paraId="00000012">
      <w:pPr>
        <w:ind w:left="113" w:right="113" w:firstLine="284"/>
        <w:jc w:val="both"/>
        <w:rPr>
          <w:sz w:val="20"/>
          <w:szCs w:val="20"/>
        </w:rPr>
      </w:pPr>
      <w:bookmarkStart w:colFirst="0" w:colLast="0" w:name="_heading=h.ccpt83tmmb0c" w:id="0"/>
      <w:bookmarkEnd w:id="0"/>
      <w:r w:rsidDel="00000000" w:rsidR="00000000" w:rsidRPr="00000000">
        <w:rPr>
          <w:sz w:val="20"/>
          <w:szCs w:val="20"/>
          <w:rtl w:val="0"/>
        </w:rPr>
        <w:t xml:space="preserve">For the new diabetes treatments, particularly in light of recent statistics highlighting Indonesia's high diabetes prevalence, we will employ cutting-edge molecular docking techniques. This computational approach, which represents the latest trend in drug discovery, will be used to predict the binding interactions between these compounds and the 8EMR protein [20, 21]. By conducting simulations to analyze the affinities and binding patterns of acetylcysteine, L-glutathione, and acetyl-L-carnitine with the 8EMR protein, scientists can get a deeper understanding of how these substances hinder the protein's activity. This knowledge can help identify promising compounds for further exploration. This study aims to assess the inhibitory ability of acetylcysteine, L-glutathione, and acetyl-L-carnitine as α-glucosidase inhibitors. Molecular docking studies will be conducted against the 8EMR protein to explore their effectiveness. Our research focuses on understanding the molecular interactions and binding characteristics involved in order to develop more effective therapeutic strategies for treating diabetes and related metabolic disorders.</w:t>
      </w:r>
    </w:p>
    <w:p w:rsidR="00000000" w:rsidDel="00000000" w:rsidP="00000000" w:rsidRDefault="00000000" w:rsidRPr="00000000" w14:paraId="00000013">
      <w:pPr>
        <w:ind w:left="113" w:right="113" w:firstLine="284"/>
        <w:jc w:val="both"/>
        <w:rPr>
          <w:sz w:val="20"/>
          <w:szCs w:val="20"/>
        </w:rPr>
      </w:pPr>
      <w:r w:rsidDel="00000000" w:rsidR="00000000" w:rsidRPr="00000000">
        <w:rPr>
          <w:sz w:val="20"/>
          <w:szCs w:val="20"/>
          <w:rtl w:val="0"/>
        </w:rPr>
        <w:t xml:space="preserve">Our main focus is on computational elements of α-glucosidase inhibitor investigations. We restrict the scope of our study to in silico simulations and analysis, especially molecular docking methods. This computational method enables us to easily and cost-effectively anticipate and evaluate molecular interactions between the examined drugs (acetylcysteine, L-glutathione, and acetyl-L-carnitine) and the target 8EMR protein. While these computational tools are effective in providing preliminary insights into possible inhibitors, it should be noted that these in silico results require additional confirmation by in vitro and in vivo experimental trials. This constraint enables us to focus on the predictive and mechanistic elements of drug-target interactions, laying a solid foundation for future experimental study. We hope that our targeted and comprehensive approach will have a significant influence on the early stages of diabetic drug development. However, we realize the need for more study to confirm our computational findings in more complex biological systems.</w:t>
      </w:r>
    </w:p>
    <w:p w:rsidR="00000000" w:rsidDel="00000000" w:rsidP="00000000" w:rsidRDefault="00000000" w:rsidRPr="00000000" w14:paraId="00000014">
      <w:pPr>
        <w:pStyle w:val="Heading1"/>
        <w:rPr>
          <w:b w:val="0"/>
          <w:smallCaps w:val="0"/>
          <w:sz w:val="20"/>
          <w:szCs w:val="20"/>
        </w:rPr>
      </w:pPr>
      <w:r w:rsidDel="00000000" w:rsidR="00000000" w:rsidRPr="00000000">
        <w:rPr>
          <w:rtl w:val="0"/>
        </w:rPr>
        <w:t xml:space="preserve">METHODS</w:t>
      </w:r>
      <w:r w:rsidDel="00000000" w:rsidR="00000000" w:rsidRPr="00000000">
        <w:rPr>
          <w:rtl w:val="0"/>
        </w:rPr>
      </w:r>
    </w:p>
    <w:p w:rsidR="00000000" w:rsidDel="00000000" w:rsidP="00000000" w:rsidRDefault="00000000" w:rsidRPr="00000000" w14:paraId="00000015">
      <w:pPr>
        <w:ind w:left="113" w:right="113" w:firstLine="284"/>
        <w:jc w:val="both"/>
        <w:rPr>
          <w:sz w:val="20"/>
          <w:szCs w:val="20"/>
        </w:rPr>
      </w:pPr>
      <w:r w:rsidDel="00000000" w:rsidR="00000000" w:rsidRPr="00000000">
        <w:rPr>
          <w:sz w:val="20"/>
          <w:szCs w:val="20"/>
          <w:rtl w:val="0"/>
        </w:rPr>
        <w:t xml:space="preserve">The crystal structure of α-glucosidase protein (PDB ID: 8EMR) was obtained from the Research Collaboratory for Structural Bioinformatics (RCSB) Protein Data Bank [22]. Using AutoDockTools 1.5.6 package the protein file was inserted and prepared, including removing hetero atoms and water molecules from the protein structure, as well as adding polar hydrogen and Kollman charges. In order to prepare the protein for futur  e ligand binding, the mineral ligand was extracted from the structure [23, 24]. Moreover, the protein is composed of three chains A, B, and C. The chemical structures of Acetylcysteine, L-glutathione, and acetyl-L-carnitine were acquired from the PubChem database [25–27]. The obtained structures were subsequently converted into forms compatible with Open Babel 3.1.1 from sdf to pdbqt [28, 29]. The ligands were individually docked into the binding site of α-glucosidase (PDB ID: 8EMR) using Lamarckian genetic algorithm with autodock 4. The conformations with the highest scores were subsequently determined based on their projected binding affinities. The docking findings were examined and presented using PyMOL version 3.0, as well as using Protein-Ligand Interaction Profiler (PLIP), Proteinsplus poseview and LigPlot</w:t>
      </w:r>
      <w:r w:rsidDel="00000000" w:rsidR="00000000" w:rsidRPr="00000000">
        <w:rPr>
          <w:sz w:val="20"/>
          <w:szCs w:val="20"/>
          <w:vertAlign w:val="superscript"/>
          <w:rtl w:val="0"/>
        </w:rPr>
        <w:t xml:space="preserve">+</w:t>
      </w:r>
      <w:r w:rsidDel="00000000" w:rsidR="00000000" w:rsidRPr="00000000">
        <w:rPr>
          <w:sz w:val="20"/>
          <w:szCs w:val="20"/>
          <w:rtl w:val="0"/>
        </w:rPr>
        <w:t xml:space="preserve"> [30–36]. The main objective was to identify possible hydrophobic, hydrogen bonding, and other significant interactions between the ligands and the residues in the active site.</w:t>
      </w:r>
    </w:p>
    <w:p w:rsidR="00000000" w:rsidDel="00000000" w:rsidP="00000000" w:rsidRDefault="00000000" w:rsidRPr="00000000" w14:paraId="00000016">
      <w:pPr>
        <w:pStyle w:val="Heading1"/>
        <w:rPr>
          <w:b w:val="0"/>
          <w:smallCaps w:val="0"/>
          <w:sz w:val="20"/>
          <w:szCs w:val="20"/>
        </w:rPr>
      </w:pPr>
      <w:r w:rsidDel="00000000" w:rsidR="00000000" w:rsidRPr="00000000">
        <w:rPr>
          <w:rtl w:val="0"/>
        </w:rPr>
        <w:t xml:space="preserve">RESULT AND DISCUSSION</w:t>
      </w:r>
      <w:r w:rsidDel="00000000" w:rsidR="00000000" w:rsidRPr="00000000">
        <w:rPr>
          <w:rtl w:val="0"/>
        </w:rPr>
      </w:r>
    </w:p>
    <w:p w:rsidR="00000000" w:rsidDel="00000000" w:rsidP="00000000" w:rsidRDefault="00000000" w:rsidRPr="00000000" w14:paraId="00000017">
      <w:pPr>
        <w:ind w:left="113" w:right="113" w:firstLine="284"/>
        <w:jc w:val="both"/>
        <w:rPr>
          <w:sz w:val="20"/>
          <w:szCs w:val="20"/>
        </w:rPr>
      </w:pPr>
      <w:r w:rsidDel="00000000" w:rsidR="00000000" w:rsidRPr="00000000">
        <w:rPr>
          <w:sz w:val="20"/>
          <w:szCs w:val="20"/>
          <w:rtl w:val="0"/>
        </w:rPr>
        <w:t xml:space="preserve">Molecular docking techniques have been used to investigate the level of atomic interactions between small molecules and receptors. This approach provides valuable insight into the behavior of small molecules in the attachment sites of protein targets [37]. It also helps to explain biological processes, particularly the binding of amino acids to the active site. By observing these molecular interactions, researchers can gain further understanding of the mechanisms underlying drug-receptor interactions and protein function. Molecular docking can be used to observe the interactions between the α-glucosidase protein (PDB ID: 8EMR) and ligands Acetylcysteine, L-glutathione, and acetyl-L-carnitine. The α-glucosidase protein (PDB ID: 8EMR) was chosen due to its effectiveness in remission of type 2 diabetes [38]. This docking research on 8EMR, an α-glucosidase in the human liver is expected to aid in diabetes treatment, especially type 2, in humans before clinical trials are conducted [22, 39–41]. Acetylcysteine, L-glutathione, and acetyl-L-carnitine are amino acids that are commonly regarded as antioxidants. Acetylcysteine, L-glutathione, and acetyl-L-carnitine have many active sites that can inhibit the 8EMR protein (</w:t>
      </w:r>
      <w:r w:rsidDel="00000000" w:rsidR="00000000" w:rsidRPr="00000000">
        <w:rPr>
          <w:b w:val="1"/>
          <w:sz w:val="20"/>
          <w:szCs w:val="20"/>
          <w:rtl w:val="0"/>
        </w:rPr>
        <w:t xml:space="preserve">Fig 1</w:t>
      </w:r>
      <w:r w:rsidDel="00000000" w:rsidR="00000000" w:rsidRPr="00000000">
        <w:rPr>
          <w:sz w:val="20"/>
          <w:szCs w:val="20"/>
          <w:rtl w:val="0"/>
        </w:rPr>
        <w:t xml:space="preserve">).</w:t>
      </w:r>
    </w:p>
    <w:p w:rsidR="00000000" w:rsidDel="00000000" w:rsidP="00000000" w:rsidRDefault="00000000" w:rsidRPr="00000000" w14:paraId="00000018">
      <w:pPr>
        <w:ind w:left="113" w:right="113" w:firstLine="284"/>
        <w:jc w:val="both"/>
        <w:rPr>
          <w:sz w:val="20"/>
          <w:szCs w:val="20"/>
        </w:rPr>
      </w:pPr>
      <w:r w:rsidDel="00000000" w:rsidR="00000000" w:rsidRPr="00000000">
        <w:rPr>
          <w:sz w:val="20"/>
          <w:szCs w:val="20"/>
          <w:rtl w:val="0"/>
        </w:rPr>
        <w:t xml:space="preserve">The antioxidant and mucolytic properties of acetylcysteine, a derivative of a semi-essential amino acid, have been extensively studied. Acetylcysteine is readily accessible in Indonesian pharmacies as a cough medicine, whilst L-glutathione and acetyl-L-carnitine are used as antioxidants or cosmetic products. The Lipinski's rule of five parameters apply to acetylcysteine, L-glutathione, and acetyl-L-carnitine. Acetylcysteine, having a molecular weight of 163.2 g/mol, a logP value of 0.4, 3 hydrogen bond donors, 4 hydrogen bond acceptors, and 3 rotatable bonds, complies with all of Lipinski's requirements. L-glutathione has a molecular weight of 307.33 g/mol, which is within the permitted range. The compound's logP value of -4.5 shows a strong affinity for water, and it possesses 6 hydrogen bond donors, which exceeds the acceptable amount. Acetyl-L-carnitine, which has a molecular weight of 203.24 g/mol and a logP value of 0.4, meets the requirements for both molecular weight and lipophilicity. The molecule possesses 3 hydrogen bond donors, 4 hydrogen bond acceptors, and 9 rotatable bonds. According to Lipinski's principles, the study shows that acetylcysteine and acetyl-L-carnitine possess advantageous drug-like characteristics. However, L-glutathione may have difficulties in being absorbed by the body when taken orally since it has a greater number of hydrogen bond donors and is very hydrophilic. These findings offer valuable information on the possible pharmaceutical uses of these compounds, namely in terms of their drug-like properties and potential for being taken orally (</w:t>
      </w:r>
      <w:r w:rsidDel="00000000" w:rsidR="00000000" w:rsidRPr="00000000">
        <w:rPr>
          <w:b w:val="1"/>
          <w:sz w:val="20"/>
          <w:szCs w:val="20"/>
          <w:rtl w:val="0"/>
        </w:rPr>
        <w:t xml:space="preserve">TABLE 1</w:t>
      </w:r>
      <w:r w:rsidDel="00000000" w:rsidR="00000000" w:rsidRPr="00000000">
        <w:rPr>
          <w:sz w:val="20"/>
          <w:szCs w:val="20"/>
          <w:rtl w:val="0"/>
        </w:rPr>
        <w:t xml:space="preserve">) [25–27]. Acetylcysteine, L-glutathione, and acetyl-L-carnitine are probable α-glucosidase inhibitors, according to docking data in the dlg file.</w:t>
      </w:r>
    </w:p>
    <w:p w:rsidR="00000000" w:rsidDel="00000000" w:rsidP="00000000" w:rsidRDefault="00000000" w:rsidRPr="00000000" w14:paraId="00000019">
      <w:pPr>
        <w:ind w:left="-142" w:right="4" w:firstLine="0"/>
        <w:jc w:val="center"/>
        <w:rPr>
          <w:sz w:val="20"/>
          <w:szCs w:val="20"/>
        </w:rPr>
      </w:pPr>
      <w:r w:rsidDel="00000000" w:rsidR="00000000" w:rsidRPr="00000000">
        <w:rPr/>
        <w:pict>
          <v:shape id="_x0000_i1025" style="width:467pt;height:250.5pt;mso-width-percent:0;mso-height-percent:0;mso-width-percent:0;mso-height-percent:0" alt="" o:ole="" type="#_x0000_t75">
            <v:imagedata r:id="rId1" o:title=""/>
          </v:shape>
          <o:OLEObject DrawAspect="Content" r:id="rId2" ObjectID="_1820911542" ProgID="ChemDraw.Document.6.0" ShapeID="_x0000_i1025" Type="Embed"/>
        </w:pic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-160933</wp:posOffset>
            </wp:positionH>
            <wp:positionV relativeFrom="paragraph">
              <wp:posOffset>0</wp:posOffset>
            </wp:positionV>
            <wp:extent cx="1969770" cy="2882265"/>
            <wp:effectExtent b="0" l="0" r="0" t="0"/>
            <wp:wrapNone/>
            <wp:docPr id="1990230692" name="image4.jpg"/>
            <a:graphic>
              <a:graphicData uri="http://schemas.openxmlformats.org/drawingml/2006/picture">
                <pic:pic>
                  <pic:nvPicPr>
                    <pic:cNvPr id="0" name="image4.jpg"/>
                    <pic:cNvPicPr preferRelativeResize="0"/>
                  </pic:nvPicPr>
                  <pic:blipFill>
                    <a:blip r:embed="rId11"/>
                    <a:srcRect b="0" l="12579" r="19064" t="0"/>
                    <a:stretch>
                      <a:fillRect/>
                    </a:stretch>
                  </pic:blipFill>
                  <pic:spPr>
                    <a:xfrm>
                      <a:off x="0" y="0"/>
                      <a:ext cx="1969770" cy="2882265"/>
                    </a:xfrm>
                    <a:prstGeom prst="rect"/>
                    <a:ln/>
                  </pic:spPr>
                </pic:pic>
              </a:graphicData>
            </a:graphic>
          </wp:anchor>
        </w:drawing>
      </w:r>
    </w:p>
    <w:p w:rsidR="00000000" w:rsidDel="00000000" w:rsidP="00000000" w:rsidRDefault="00000000" w:rsidRPr="00000000" w14:paraId="0000001A">
      <w:pPr>
        <w:ind w:left="113" w:right="113" w:firstLine="284"/>
        <w:jc w:val="center"/>
        <w:rPr>
          <w:b w:val="1"/>
          <w:sz w:val="18"/>
          <w:szCs w:val="18"/>
        </w:rPr>
      </w:pPr>
      <w:r w:rsidDel="00000000" w:rsidR="00000000" w:rsidRPr="00000000">
        <w:rPr>
          <w:rtl w:val="0"/>
        </w:rPr>
      </w:r>
    </w:p>
    <w:p w:rsidR="00000000" w:rsidDel="00000000" w:rsidP="00000000" w:rsidRDefault="00000000" w:rsidRPr="00000000" w14:paraId="0000001B">
      <w:pPr>
        <w:ind w:left="113" w:right="113" w:firstLine="284"/>
        <w:jc w:val="center"/>
        <w:rPr>
          <w:sz w:val="18"/>
          <w:szCs w:val="18"/>
        </w:rPr>
      </w:pPr>
      <w:r w:rsidDel="00000000" w:rsidR="00000000" w:rsidRPr="00000000">
        <w:rPr>
          <w:b w:val="1"/>
          <w:sz w:val="18"/>
          <w:szCs w:val="18"/>
          <w:rtl w:val="0"/>
        </w:rPr>
        <w:t xml:space="preserve">Figure 1. </w:t>
      </w:r>
      <w:r w:rsidDel="00000000" w:rsidR="00000000" w:rsidRPr="00000000">
        <w:rPr>
          <w:sz w:val="18"/>
          <w:szCs w:val="18"/>
          <w:rtl w:val="0"/>
        </w:rPr>
        <w:t xml:space="preserve">The structure of (a) 8EMR, (b) acetylcysteine, (c) L-glutathione, (d) acetyl-L-carnitine</w:t>
      </w:r>
    </w:p>
    <w:p w:rsidR="00000000" w:rsidDel="00000000" w:rsidP="00000000" w:rsidRDefault="00000000" w:rsidRPr="00000000" w14:paraId="0000001C">
      <w:pPr>
        <w:pStyle w:val="Heading2"/>
        <w:spacing w:after="120" w:before="120" w:lineRule="auto"/>
        <w:rPr>
          <w:sz w:val="18"/>
          <w:szCs w:val="18"/>
        </w:rPr>
      </w:pPr>
      <w:r w:rsidDel="00000000" w:rsidR="00000000" w:rsidRPr="00000000">
        <w:rPr>
          <w:sz w:val="18"/>
          <w:szCs w:val="18"/>
          <w:rtl w:val="0"/>
        </w:rPr>
        <w:t xml:space="preserve">TABLE 1. </w:t>
      </w:r>
      <w:r w:rsidDel="00000000" w:rsidR="00000000" w:rsidRPr="00000000">
        <w:rPr>
          <w:b w:val="0"/>
          <w:sz w:val="18"/>
          <w:szCs w:val="18"/>
          <w:rtl w:val="0"/>
        </w:rPr>
        <w:t xml:space="preserve">The Lipinski rule of five for acetylcysteine, L-glutathione and acetyl-L-carnitine.</w:t>
      </w:r>
      <w:r w:rsidDel="00000000" w:rsidR="00000000" w:rsidRPr="00000000">
        <w:rPr>
          <w:rtl w:val="0"/>
        </w:rPr>
      </w:r>
    </w:p>
    <w:tbl>
      <w:tblPr>
        <w:tblStyle w:val="Table1"/>
        <w:tblW w:w="9298.0" w:type="dxa"/>
        <w:jc w:val="left"/>
        <w:tblLayout w:type="fixed"/>
        <w:tblLook w:val="0400"/>
      </w:tblPr>
      <w:tblGrid>
        <w:gridCol w:w="1843"/>
        <w:gridCol w:w="1843"/>
        <w:gridCol w:w="1120"/>
        <w:gridCol w:w="1400"/>
        <w:gridCol w:w="1732"/>
        <w:gridCol w:w="1360"/>
        <w:tblGridChange w:id="0">
          <w:tblGrid>
            <w:gridCol w:w="1843"/>
            <w:gridCol w:w="1843"/>
            <w:gridCol w:w="1120"/>
            <w:gridCol w:w="1400"/>
            <w:gridCol w:w="1732"/>
            <w:gridCol w:w="1360"/>
          </w:tblGrid>
        </w:tblGridChange>
      </w:tblGrid>
      <w:tr>
        <w:trPr>
          <w:cantSplit w:val="0"/>
          <w:trHeight w:val="510" w:hRule="atLeast"/>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1D">
            <w:pPr>
              <w:jc w:val="center"/>
              <w:rPr>
                <w:b w:val="1"/>
                <w:color w:val="000000"/>
                <w:sz w:val="20"/>
                <w:szCs w:val="20"/>
              </w:rPr>
            </w:pPr>
            <w:r w:rsidDel="00000000" w:rsidR="00000000" w:rsidRPr="00000000">
              <w:rPr>
                <w:b w:val="1"/>
                <w:color w:val="000000"/>
                <w:sz w:val="20"/>
                <w:szCs w:val="20"/>
                <w:rtl w:val="0"/>
              </w:rPr>
              <w:t xml:space="preserve">Ligand</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1E">
            <w:pPr>
              <w:jc w:val="center"/>
              <w:rPr>
                <w:b w:val="1"/>
                <w:color w:val="000000"/>
                <w:sz w:val="20"/>
                <w:szCs w:val="20"/>
              </w:rPr>
            </w:pPr>
            <w:r w:rsidDel="00000000" w:rsidR="00000000" w:rsidRPr="00000000">
              <w:rPr>
                <w:b w:val="1"/>
                <w:color w:val="000000"/>
                <w:sz w:val="20"/>
                <w:szCs w:val="20"/>
                <w:rtl w:val="0"/>
              </w:rPr>
              <w:t xml:space="preserve">Molecular Weight (&lt;500 Da)</w:t>
            </w:r>
          </w:p>
          <w:p w:rsidR="00000000" w:rsidDel="00000000" w:rsidP="00000000" w:rsidRDefault="00000000" w:rsidRPr="00000000" w14:paraId="0000001F">
            <w:pPr>
              <w:jc w:val="center"/>
              <w:rPr>
                <w:b w:val="1"/>
                <w:color w:val="000000"/>
                <w:sz w:val="20"/>
                <w:szCs w:val="20"/>
              </w:rPr>
            </w:pPr>
            <w:r w:rsidDel="00000000" w:rsidR="00000000" w:rsidRPr="00000000">
              <w:rPr>
                <w:b w:val="1"/>
                <w:color w:val="000000"/>
                <w:sz w:val="20"/>
                <w:szCs w:val="20"/>
                <w:rtl w:val="0"/>
              </w:rPr>
              <w:t xml:space="preserve">(g/mol)</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0">
            <w:pPr>
              <w:jc w:val="center"/>
              <w:rPr>
                <w:b w:val="1"/>
                <w:color w:val="000000"/>
                <w:sz w:val="20"/>
                <w:szCs w:val="20"/>
              </w:rPr>
            </w:pPr>
            <w:r w:rsidDel="00000000" w:rsidR="00000000" w:rsidRPr="00000000">
              <w:rPr>
                <w:b w:val="1"/>
                <w:color w:val="000000"/>
                <w:sz w:val="20"/>
                <w:szCs w:val="20"/>
                <w:rtl w:val="0"/>
              </w:rPr>
              <w:t xml:space="preserve">logP</w:t>
            </w:r>
          </w:p>
          <w:p w:rsidR="00000000" w:rsidDel="00000000" w:rsidP="00000000" w:rsidRDefault="00000000" w:rsidRPr="00000000" w14:paraId="00000021">
            <w:pPr>
              <w:jc w:val="center"/>
              <w:rPr>
                <w:b w:val="1"/>
                <w:color w:val="000000"/>
                <w:sz w:val="20"/>
                <w:szCs w:val="20"/>
              </w:rPr>
            </w:pPr>
            <w:r w:rsidDel="00000000" w:rsidR="00000000" w:rsidRPr="00000000">
              <w:rPr>
                <w:b w:val="1"/>
                <w:color w:val="000000"/>
                <w:sz w:val="20"/>
                <w:szCs w:val="20"/>
                <w:rtl w:val="0"/>
              </w:rPr>
              <w:t xml:space="preserve">(&lt;5)</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2">
            <w:pPr>
              <w:jc w:val="center"/>
              <w:rPr>
                <w:b w:val="1"/>
                <w:color w:val="000000"/>
                <w:sz w:val="20"/>
                <w:szCs w:val="20"/>
              </w:rPr>
            </w:pPr>
            <w:r w:rsidDel="00000000" w:rsidR="00000000" w:rsidRPr="00000000">
              <w:rPr>
                <w:b w:val="1"/>
                <w:color w:val="000000"/>
                <w:sz w:val="20"/>
                <w:szCs w:val="20"/>
                <w:rtl w:val="0"/>
              </w:rPr>
              <w:t xml:space="preserve">H-Bond Donor (&lt;5)</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3">
            <w:pPr>
              <w:jc w:val="center"/>
              <w:rPr>
                <w:b w:val="1"/>
                <w:color w:val="000000"/>
                <w:sz w:val="20"/>
                <w:szCs w:val="20"/>
              </w:rPr>
            </w:pPr>
            <w:r w:rsidDel="00000000" w:rsidR="00000000" w:rsidRPr="00000000">
              <w:rPr>
                <w:b w:val="1"/>
                <w:color w:val="000000"/>
                <w:sz w:val="20"/>
                <w:szCs w:val="20"/>
                <w:rtl w:val="0"/>
              </w:rPr>
              <w:t xml:space="preserve">H-Bond Acceptor (&lt;10)</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4">
            <w:pPr>
              <w:jc w:val="center"/>
              <w:rPr>
                <w:b w:val="1"/>
                <w:color w:val="000000"/>
                <w:sz w:val="20"/>
                <w:szCs w:val="20"/>
              </w:rPr>
            </w:pPr>
            <w:r w:rsidDel="00000000" w:rsidR="00000000" w:rsidRPr="00000000">
              <w:rPr>
                <w:b w:val="1"/>
                <w:color w:val="000000"/>
                <w:sz w:val="20"/>
                <w:szCs w:val="20"/>
                <w:rtl w:val="0"/>
              </w:rPr>
              <w:t xml:space="preserve">Rotatable Bond (5)</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5">
            <w:pPr>
              <w:jc w:val="center"/>
              <w:rPr>
                <w:color w:val="000000"/>
                <w:sz w:val="20"/>
                <w:szCs w:val="20"/>
              </w:rPr>
            </w:pPr>
            <w:r w:rsidDel="00000000" w:rsidR="00000000" w:rsidRPr="00000000">
              <w:rPr>
                <w:color w:val="000000"/>
                <w:sz w:val="20"/>
                <w:szCs w:val="20"/>
                <w:rtl w:val="0"/>
              </w:rPr>
              <w:t xml:space="preserve">Acetylcysteine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6">
            <w:pPr>
              <w:jc w:val="center"/>
              <w:rPr>
                <w:color w:val="000000"/>
                <w:sz w:val="20"/>
                <w:szCs w:val="20"/>
              </w:rPr>
            </w:pPr>
            <w:r w:rsidDel="00000000" w:rsidR="00000000" w:rsidRPr="00000000">
              <w:rPr>
                <w:color w:val="000000"/>
                <w:sz w:val="20"/>
                <w:szCs w:val="20"/>
                <w:rtl w:val="0"/>
              </w:rPr>
              <w:t xml:space="preserve">163.2</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7">
            <w:pPr>
              <w:jc w:val="center"/>
              <w:rPr>
                <w:color w:val="000000"/>
                <w:sz w:val="20"/>
                <w:szCs w:val="20"/>
              </w:rPr>
            </w:pPr>
            <w:r w:rsidDel="00000000" w:rsidR="00000000" w:rsidRPr="00000000">
              <w:rPr>
                <w:color w:val="000000"/>
                <w:sz w:val="20"/>
                <w:szCs w:val="20"/>
                <w:rtl w:val="0"/>
              </w:rPr>
              <w:t xml:space="preserve">0.4</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8">
            <w:pPr>
              <w:jc w:val="center"/>
              <w:rPr>
                <w:color w:val="000000"/>
                <w:sz w:val="20"/>
                <w:szCs w:val="20"/>
              </w:rPr>
            </w:pPr>
            <w:r w:rsidDel="00000000" w:rsidR="00000000" w:rsidRPr="00000000">
              <w:rPr>
                <w:color w:val="000000"/>
                <w:sz w:val="20"/>
                <w:szCs w:val="20"/>
                <w:rtl w:val="0"/>
              </w:rPr>
              <w:t xml:space="preserve">3</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9">
            <w:pPr>
              <w:jc w:val="center"/>
              <w:rPr>
                <w:color w:val="000000"/>
                <w:sz w:val="20"/>
                <w:szCs w:val="20"/>
              </w:rPr>
            </w:pPr>
            <w:r w:rsidDel="00000000" w:rsidR="00000000" w:rsidRPr="00000000">
              <w:rPr>
                <w:color w:val="000000"/>
                <w:sz w:val="20"/>
                <w:szCs w:val="20"/>
                <w:rtl w:val="0"/>
              </w:rPr>
              <w:t xml:space="preserve">4</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A">
            <w:pPr>
              <w:jc w:val="center"/>
              <w:rPr>
                <w:color w:val="000000"/>
                <w:sz w:val="20"/>
                <w:szCs w:val="20"/>
              </w:rPr>
            </w:pPr>
            <w:r w:rsidDel="00000000" w:rsidR="00000000" w:rsidRPr="00000000">
              <w:rPr>
                <w:color w:val="000000"/>
                <w:sz w:val="20"/>
                <w:szCs w:val="20"/>
                <w:rtl w:val="0"/>
              </w:rPr>
              <w:t xml:space="preserve">3</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B">
            <w:pPr>
              <w:jc w:val="center"/>
              <w:rPr>
                <w:color w:val="000000"/>
                <w:sz w:val="20"/>
                <w:szCs w:val="20"/>
              </w:rPr>
            </w:pPr>
            <w:r w:rsidDel="00000000" w:rsidR="00000000" w:rsidRPr="00000000">
              <w:rPr>
                <w:color w:val="000000"/>
                <w:sz w:val="20"/>
                <w:szCs w:val="20"/>
                <w:rtl w:val="0"/>
              </w:rPr>
              <w:t xml:space="preserve">L-glutathione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C">
            <w:pPr>
              <w:jc w:val="center"/>
              <w:rPr>
                <w:color w:val="000000"/>
                <w:sz w:val="20"/>
                <w:szCs w:val="20"/>
              </w:rPr>
            </w:pPr>
            <w:r w:rsidDel="00000000" w:rsidR="00000000" w:rsidRPr="00000000">
              <w:rPr>
                <w:color w:val="000000"/>
                <w:sz w:val="20"/>
                <w:szCs w:val="20"/>
                <w:rtl w:val="0"/>
              </w:rPr>
              <w:t xml:space="preserve">307.33</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D">
            <w:pPr>
              <w:jc w:val="center"/>
              <w:rPr>
                <w:color w:val="000000"/>
                <w:sz w:val="20"/>
                <w:szCs w:val="20"/>
              </w:rPr>
            </w:pPr>
            <w:r w:rsidDel="00000000" w:rsidR="00000000" w:rsidRPr="00000000">
              <w:rPr>
                <w:color w:val="000000"/>
                <w:sz w:val="20"/>
                <w:szCs w:val="20"/>
                <w:rtl w:val="0"/>
              </w:rPr>
              <w:t xml:space="preserve">-4.5</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E">
            <w:pPr>
              <w:jc w:val="center"/>
              <w:rPr>
                <w:color w:val="000000"/>
                <w:sz w:val="20"/>
                <w:szCs w:val="20"/>
              </w:rPr>
            </w:pPr>
            <w:r w:rsidDel="00000000" w:rsidR="00000000" w:rsidRPr="00000000">
              <w:rPr>
                <w:color w:val="000000"/>
                <w:sz w:val="20"/>
                <w:szCs w:val="20"/>
                <w:rtl w:val="0"/>
              </w:rPr>
              <w:t xml:space="preserve">6</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F">
            <w:pPr>
              <w:jc w:val="center"/>
              <w:rPr>
                <w:color w:val="000000"/>
                <w:sz w:val="20"/>
                <w:szCs w:val="20"/>
              </w:rPr>
            </w:pPr>
            <w:r w:rsidDel="00000000" w:rsidR="00000000" w:rsidRPr="00000000">
              <w:rPr>
                <w:color w:val="000000"/>
                <w:sz w:val="20"/>
                <w:szCs w:val="20"/>
                <w:rtl w:val="0"/>
              </w:rPr>
              <w:t xml:space="preserve">8</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0">
            <w:pPr>
              <w:jc w:val="center"/>
              <w:rPr>
                <w:color w:val="000000"/>
                <w:sz w:val="20"/>
                <w:szCs w:val="20"/>
              </w:rPr>
            </w:pPr>
            <w:r w:rsidDel="00000000" w:rsidR="00000000" w:rsidRPr="00000000">
              <w:rPr>
                <w:color w:val="000000"/>
                <w:sz w:val="20"/>
                <w:szCs w:val="20"/>
                <w:rtl w:val="0"/>
              </w:rPr>
              <w:t xml:space="preserve">9</w:t>
            </w:r>
          </w:p>
        </w:tc>
      </w:tr>
      <w:tr>
        <w:trPr>
          <w:cantSplit w:val="0"/>
          <w:trHeight w:val="255" w:hRule="atLeast"/>
          <w:tblHeader w:val="0"/>
        </w:trPr>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31">
            <w:pPr>
              <w:jc w:val="center"/>
              <w:rPr>
                <w:color w:val="000000"/>
                <w:sz w:val="20"/>
                <w:szCs w:val="20"/>
              </w:rPr>
            </w:pPr>
            <w:r w:rsidDel="00000000" w:rsidR="00000000" w:rsidRPr="00000000">
              <w:rPr>
                <w:color w:val="000000"/>
                <w:sz w:val="20"/>
                <w:szCs w:val="20"/>
                <w:rtl w:val="0"/>
              </w:rPr>
              <w:t xml:space="preserve">acetyl-L-carnitine </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32">
            <w:pPr>
              <w:jc w:val="center"/>
              <w:rPr>
                <w:color w:val="000000"/>
                <w:sz w:val="20"/>
                <w:szCs w:val="20"/>
              </w:rPr>
            </w:pPr>
            <w:r w:rsidDel="00000000" w:rsidR="00000000" w:rsidRPr="00000000">
              <w:rPr>
                <w:color w:val="000000"/>
                <w:sz w:val="20"/>
                <w:szCs w:val="20"/>
                <w:rtl w:val="0"/>
              </w:rPr>
              <w:t xml:space="preserve">203.24</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33">
            <w:pPr>
              <w:jc w:val="center"/>
              <w:rPr>
                <w:color w:val="000000"/>
                <w:sz w:val="20"/>
                <w:szCs w:val="20"/>
              </w:rPr>
            </w:pPr>
            <w:r w:rsidDel="00000000" w:rsidR="00000000" w:rsidRPr="00000000">
              <w:rPr>
                <w:color w:val="000000"/>
                <w:sz w:val="20"/>
                <w:szCs w:val="20"/>
                <w:rtl w:val="0"/>
              </w:rPr>
              <w:t xml:space="preserve">0.4</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34">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35">
            <w:pPr>
              <w:jc w:val="center"/>
              <w:rPr>
                <w:color w:val="000000"/>
                <w:sz w:val="20"/>
                <w:szCs w:val="20"/>
              </w:rPr>
            </w:pPr>
            <w:r w:rsidDel="00000000" w:rsidR="00000000" w:rsidRPr="00000000">
              <w:rPr>
                <w:color w:val="000000"/>
                <w:sz w:val="20"/>
                <w:szCs w:val="20"/>
                <w:rtl w:val="0"/>
              </w:rPr>
              <w:t xml:space="preserve">4</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36">
            <w:pPr>
              <w:jc w:val="center"/>
              <w:rPr>
                <w:color w:val="000000"/>
                <w:sz w:val="20"/>
                <w:szCs w:val="20"/>
              </w:rPr>
            </w:pPr>
            <w:r w:rsidDel="00000000" w:rsidR="00000000" w:rsidRPr="00000000">
              <w:rPr>
                <w:color w:val="000000"/>
                <w:sz w:val="20"/>
                <w:szCs w:val="20"/>
                <w:rtl w:val="0"/>
              </w:rPr>
              <w:t xml:space="preserve">5</w:t>
            </w:r>
          </w:p>
        </w:tc>
      </w:tr>
    </w:tbl>
    <w:p w:rsidR="00000000" w:rsidDel="00000000" w:rsidP="00000000" w:rsidRDefault="00000000" w:rsidRPr="00000000" w14:paraId="00000037">
      <w:pPr>
        <w:ind w:left="113" w:right="113" w:firstLine="284"/>
        <w:jc w:val="both"/>
        <w:rPr>
          <w:b w:val="1"/>
          <w:sz w:val="20"/>
          <w:szCs w:val="20"/>
        </w:rPr>
      </w:pPr>
      <w:r w:rsidDel="00000000" w:rsidR="00000000" w:rsidRPr="00000000">
        <w:rPr>
          <w:rtl w:val="0"/>
        </w:rPr>
      </w:r>
    </w:p>
    <w:p w:rsidR="00000000" w:rsidDel="00000000" w:rsidP="00000000" w:rsidRDefault="00000000" w:rsidRPr="00000000" w14:paraId="00000038">
      <w:pPr>
        <w:ind w:left="113" w:right="113" w:firstLine="284"/>
        <w:jc w:val="both"/>
        <w:rPr>
          <w:sz w:val="20"/>
          <w:szCs w:val="20"/>
        </w:rPr>
      </w:pPr>
      <w:r w:rsidDel="00000000" w:rsidR="00000000" w:rsidRPr="00000000">
        <w:rPr>
          <w:b w:val="1"/>
          <w:sz w:val="20"/>
          <w:szCs w:val="20"/>
          <w:rtl w:val="0"/>
        </w:rPr>
        <w:t xml:space="preserve">TABLE 2</w:t>
      </w:r>
      <w:r w:rsidDel="00000000" w:rsidR="00000000" w:rsidRPr="00000000">
        <w:rPr>
          <w:sz w:val="20"/>
          <w:szCs w:val="20"/>
          <w:rtl w:val="0"/>
        </w:rPr>
        <w:t xml:space="preserve"> shows the results of protein binding pocket/site prediction for 8EMR, providing crucial details on the likely places where this protein may interact with drugs. The table displays five distinct binding locations, each delineated by distinctive features. Binding site 1 has the highest volume (788.43 Å³), surface area (1242.24 Å²), drug score (0.81), and simple score (0.56). Based on the data, site 1 is the most favorable option for pharmacological interactions, the subsequent binding sites (2-5) shows a steady reduction in both volume and surface area, with site 5 being the smallest in size (with a volume of 100.86 Å³ and a surface area of 227.05 Å²). It is worth mentioning that sites 2, 3, and 4 consistently have drug scores between 0.23 and 0.25. However, their simple scores differed, with sites 3 and 4 having a value of zero. Site 5, although being modest, has a drug score of 0.18. An extensive analysis of the characteristics of the binding site yields useful insights for the development and refinement of medications that specifically target the 8EMR protein. This might potentially result in the creation of more potent pharmaceutical drugs[42]. The color-coding in the table corresponds to visual representations in </w:t>
      </w:r>
      <w:r w:rsidDel="00000000" w:rsidR="00000000" w:rsidRPr="00000000">
        <w:rPr>
          <w:b w:val="1"/>
          <w:sz w:val="20"/>
          <w:szCs w:val="20"/>
          <w:rtl w:val="0"/>
        </w:rPr>
        <w:t xml:space="preserve">Fig 2</w:t>
      </w:r>
      <w:r w:rsidDel="00000000" w:rsidR="00000000" w:rsidRPr="00000000">
        <w:rPr>
          <w:sz w:val="20"/>
          <w:szCs w:val="20"/>
          <w:rtl w:val="0"/>
        </w:rPr>
        <w:t xml:space="preserve">, offering a complementary view of these binding sites.</w:t>
      </w:r>
    </w:p>
    <w:p w:rsidR="00000000" w:rsidDel="00000000" w:rsidP="00000000" w:rsidRDefault="00000000" w:rsidRPr="00000000" w14:paraId="00000039">
      <w:pPr>
        <w:pStyle w:val="Heading2"/>
        <w:spacing w:after="120" w:before="120" w:lineRule="auto"/>
        <w:rPr>
          <w:sz w:val="18"/>
          <w:szCs w:val="18"/>
        </w:rPr>
      </w:pPr>
      <w:r w:rsidDel="00000000" w:rsidR="00000000" w:rsidRPr="00000000">
        <w:rPr>
          <w:sz w:val="18"/>
          <w:szCs w:val="18"/>
          <w:rtl w:val="0"/>
        </w:rPr>
        <w:t xml:space="preserve">TABLE 2. </w:t>
      </w:r>
      <w:r w:rsidDel="00000000" w:rsidR="00000000" w:rsidRPr="00000000">
        <w:rPr>
          <w:b w:val="0"/>
          <w:sz w:val="18"/>
          <w:szCs w:val="18"/>
          <w:rtl w:val="0"/>
        </w:rPr>
        <w:t xml:space="preserve">The Lipinski rule of five for acetylcysteine, L-glutathione and acetyl-L-carnitine.</w:t>
      </w:r>
      <w:r w:rsidDel="00000000" w:rsidR="00000000" w:rsidRPr="00000000">
        <w:rPr>
          <w:rtl w:val="0"/>
        </w:rPr>
      </w:r>
    </w:p>
    <w:tbl>
      <w:tblPr>
        <w:tblStyle w:val="Table2"/>
        <w:tblW w:w="8958.0" w:type="dxa"/>
        <w:jc w:val="left"/>
        <w:tblLayout w:type="fixed"/>
        <w:tblLook w:val="0400"/>
      </w:tblPr>
      <w:tblGrid>
        <w:gridCol w:w="1560"/>
        <w:gridCol w:w="1720"/>
        <w:gridCol w:w="1398"/>
        <w:gridCol w:w="1400"/>
        <w:gridCol w:w="1520"/>
        <w:gridCol w:w="1360"/>
        <w:tblGridChange w:id="0">
          <w:tblGrid>
            <w:gridCol w:w="1560"/>
            <w:gridCol w:w="1720"/>
            <w:gridCol w:w="1398"/>
            <w:gridCol w:w="1400"/>
            <w:gridCol w:w="1520"/>
            <w:gridCol w:w="1360"/>
          </w:tblGrid>
        </w:tblGridChange>
      </w:tblGrid>
      <w:tr>
        <w:trPr>
          <w:cantSplit w:val="0"/>
          <w:trHeight w:val="255" w:hRule="atLeast"/>
          <w:tblHeader w:val="0"/>
        </w:trPr>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3A">
            <w:pPr>
              <w:jc w:val="center"/>
              <w:rPr>
                <w:b w:val="1"/>
                <w:color w:val="000000"/>
                <w:sz w:val="20"/>
                <w:szCs w:val="20"/>
              </w:rPr>
            </w:pPr>
            <w:r w:rsidDel="00000000" w:rsidR="00000000" w:rsidRPr="00000000">
              <w:rPr>
                <w:b w:val="1"/>
                <w:color w:val="000000"/>
                <w:sz w:val="20"/>
                <w:szCs w:val="20"/>
                <w:rtl w:val="0"/>
              </w:rPr>
              <w:t xml:space="preserve">Binding site</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3B">
            <w:pPr>
              <w:jc w:val="center"/>
              <w:rPr>
                <w:b w:val="1"/>
                <w:color w:val="000000"/>
                <w:sz w:val="20"/>
                <w:szCs w:val="20"/>
              </w:rPr>
            </w:pPr>
            <w:r w:rsidDel="00000000" w:rsidR="00000000" w:rsidRPr="00000000">
              <w:rPr>
                <w:b w:val="1"/>
                <w:color w:val="000000"/>
                <w:sz w:val="20"/>
                <w:szCs w:val="20"/>
                <w:rtl w:val="0"/>
              </w:rPr>
              <w:t xml:space="preserve">Colour</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3C">
            <w:pPr>
              <w:jc w:val="center"/>
              <w:rPr>
                <w:b w:val="1"/>
                <w:color w:val="000000"/>
                <w:sz w:val="20"/>
                <w:szCs w:val="20"/>
              </w:rPr>
            </w:pPr>
            <w:r w:rsidDel="00000000" w:rsidR="00000000" w:rsidRPr="00000000">
              <w:rPr>
                <w:b w:val="1"/>
                <w:color w:val="000000"/>
                <w:sz w:val="20"/>
                <w:szCs w:val="20"/>
                <w:rtl w:val="0"/>
              </w:rPr>
              <w:t xml:space="preserve">Volume (A</w:t>
            </w:r>
            <w:r w:rsidDel="00000000" w:rsidR="00000000" w:rsidRPr="00000000">
              <w:rPr>
                <w:b w:val="1"/>
                <w:color w:val="000000"/>
                <w:sz w:val="20"/>
                <w:szCs w:val="20"/>
                <w:vertAlign w:val="superscript"/>
                <w:rtl w:val="0"/>
              </w:rPr>
              <w:t xml:space="preserve">3</w:t>
            </w:r>
            <w:r w:rsidDel="00000000" w:rsidR="00000000" w:rsidRPr="00000000">
              <w:rPr>
                <w:b w:val="1"/>
                <w:color w:val="000000"/>
                <w:sz w:val="20"/>
                <w:szCs w:val="20"/>
                <w:rtl w:val="0"/>
              </w:rPr>
              <w:t xml:space="preserve">)</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3D">
            <w:pPr>
              <w:jc w:val="center"/>
              <w:rPr>
                <w:b w:val="1"/>
                <w:color w:val="000000"/>
                <w:sz w:val="20"/>
                <w:szCs w:val="20"/>
              </w:rPr>
            </w:pPr>
            <w:r w:rsidDel="00000000" w:rsidR="00000000" w:rsidRPr="00000000">
              <w:rPr>
                <w:b w:val="1"/>
                <w:color w:val="000000"/>
                <w:sz w:val="20"/>
                <w:szCs w:val="20"/>
                <w:rtl w:val="0"/>
              </w:rPr>
              <w:t xml:space="preserve">Surface (A</w:t>
            </w:r>
            <w:r w:rsidDel="00000000" w:rsidR="00000000" w:rsidRPr="00000000">
              <w:rPr>
                <w:b w:val="1"/>
                <w:color w:val="000000"/>
                <w:sz w:val="20"/>
                <w:szCs w:val="20"/>
                <w:vertAlign w:val="superscript"/>
                <w:rtl w:val="0"/>
              </w:rPr>
              <w:t xml:space="preserve">2</w:t>
            </w:r>
            <w:r w:rsidDel="00000000" w:rsidR="00000000" w:rsidRPr="00000000">
              <w:rPr>
                <w:b w:val="1"/>
                <w:color w:val="000000"/>
                <w:sz w:val="20"/>
                <w:szCs w:val="20"/>
                <w:rtl w:val="0"/>
              </w:rPr>
              <w:t xml:space="preserve">)</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3E">
            <w:pPr>
              <w:jc w:val="center"/>
              <w:rPr>
                <w:b w:val="1"/>
                <w:color w:val="000000"/>
                <w:sz w:val="20"/>
                <w:szCs w:val="20"/>
              </w:rPr>
            </w:pPr>
            <w:r w:rsidDel="00000000" w:rsidR="00000000" w:rsidRPr="00000000">
              <w:rPr>
                <w:b w:val="1"/>
                <w:color w:val="000000"/>
                <w:sz w:val="20"/>
                <w:szCs w:val="20"/>
                <w:rtl w:val="0"/>
              </w:rPr>
              <w:t xml:space="preserve">Drug Score</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3F">
            <w:pPr>
              <w:jc w:val="center"/>
              <w:rPr>
                <w:b w:val="1"/>
                <w:color w:val="000000"/>
                <w:sz w:val="20"/>
                <w:szCs w:val="20"/>
              </w:rPr>
            </w:pPr>
            <w:r w:rsidDel="00000000" w:rsidR="00000000" w:rsidRPr="00000000">
              <w:rPr>
                <w:b w:val="1"/>
                <w:color w:val="000000"/>
                <w:sz w:val="20"/>
                <w:szCs w:val="20"/>
                <w:rtl w:val="0"/>
              </w:rPr>
              <w:t xml:space="preserve">Simple Score</w:t>
            </w:r>
          </w:p>
        </w:tc>
      </w:tr>
      <w:tr>
        <w:trPr>
          <w:cantSplit w:val="0"/>
          <w:trHeight w:val="255" w:hRule="atLeast"/>
          <w:tblHeader w:val="0"/>
        </w:trPr>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40">
            <w:pPr>
              <w:jc w:val="center"/>
              <w:rPr>
                <w:color w:val="000000"/>
                <w:sz w:val="20"/>
                <w:szCs w:val="20"/>
              </w:rPr>
            </w:pPr>
            <w:r w:rsidDel="00000000" w:rsidR="00000000" w:rsidRPr="00000000">
              <w:rPr>
                <w:color w:val="000000"/>
                <w:sz w:val="20"/>
                <w:szCs w:val="20"/>
                <w:rtl w:val="0"/>
              </w:rPr>
              <w:t xml:space="preserve">1</w:t>
            </w:r>
          </w:p>
        </w:tc>
        <w:tc>
          <w:tcPr>
            <w:tcBorders>
              <w:top w:color="000000" w:space="0" w:sz="4" w:val="single"/>
              <w:left w:color="000000" w:space="0" w:sz="0" w:val="nil"/>
              <w:bottom w:color="000000" w:space="0" w:sz="0" w:val="nil"/>
              <w:right w:color="000000" w:space="0" w:sz="0" w:val="nil"/>
            </w:tcBorders>
            <w:shd w:fill="f6dfa5" w:val="clear"/>
            <w:vAlign w:val="center"/>
          </w:tcPr>
          <w:p w:rsidR="00000000" w:rsidDel="00000000" w:rsidP="00000000" w:rsidRDefault="00000000" w:rsidRPr="00000000" w14:paraId="00000041">
            <w:pPr>
              <w:jc w:val="center"/>
              <w:rPr>
                <w:color w:val="000000"/>
                <w:sz w:val="20"/>
                <w:szCs w:val="20"/>
              </w:rPr>
            </w:pPr>
            <w:r w:rsidDel="00000000" w:rsidR="00000000" w:rsidRPr="00000000">
              <w:rPr>
                <w:color w:val="000000"/>
                <w:sz w:val="20"/>
                <w:szCs w:val="20"/>
                <w:rtl w:val="0"/>
              </w:rPr>
              <w:t xml:space="preserve"> </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42">
            <w:pPr>
              <w:jc w:val="center"/>
              <w:rPr>
                <w:color w:val="000000"/>
                <w:sz w:val="20"/>
                <w:szCs w:val="20"/>
              </w:rPr>
            </w:pPr>
            <w:r w:rsidDel="00000000" w:rsidR="00000000" w:rsidRPr="00000000">
              <w:rPr>
                <w:color w:val="000000"/>
                <w:sz w:val="20"/>
                <w:szCs w:val="20"/>
                <w:rtl w:val="0"/>
              </w:rPr>
              <w:t xml:space="preserve">788.43</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43">
            <w:pPr>
              <w:jc w:val="center"/>
              <w:rPr>
                <w:color w:val="000000"/>
                <w:sz w:val="20"/>
                <w:szCs w:val="20"/>
              </w:rPr>
            </w:pPr>
            <w:r w:rsidDel="00000000" w:rsidR="00000000" w:rsidRPr="00000000">
              <w:rPr>
                <w:color w:val="000000"/>
                <w:sz w:val="20"/>
                <w:szCs w:val="20"/>
                <w:rtl w:val="0"/>
              </w:rPr>
              <w:t xml:space="preserve">1242.24</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44">
            <w:pPr>
              <w:jc w:val="center"/>
              <w:rPr>
                <w:color w:val="000000"/>
                <w:sz w:val="20"/>
                <w:szCs w:val="20"/>
              </w:rPr>
            </w:pPr>
            <w:r w:rsidDel="00000000" w:rsidR="00000000" w:rsidRPr="00000000">
              <w:rPr>
                <w:color w:val="000000"/>
                <w:sz w:val="20"/>
                <w:szCs w:val="20"/>
                <w:rtl w:val="0"/>
              </w:rPr>
              <w:t xml:space="preserve">0.81</w:t>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45">
            <w:pPr>
              <w:jc w:val="center"/>
              <w:rPr>
                <w:color w:val="000000"/>
                <w:sz w:val="20"/>
                <w:szCs w:val="20"/>
              </w:rPr>
            </w:pPr>
            <w:r w:rsidDel="00000000" w:rsidR="00000000" w:rsidRPr="00000000">
              <w:rPr>
                <w:color w:val="000000"/>
                <w:sz w:val="20"/>
                <w:szCs w:val="20"/>
                <w:rtl w:val="0"/>
              </w:rPr>
              <w:t xml:space="preserve">0.56</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6">
            <w:pPr>
              <w:jc w:val="center"/>
              <w:rPr>
                <w:color w:val="000000"/>
                <w:sz w:val="20"/>
                <w:szCs w:val="20"/>
              </w:rPr>
            </w:pPr>
            <w:r w:rsidDel="00000000" w:rsidR="00000000" w:rsidRPr="00000000">
              <w:rPr>
                <w:color w:val="000000"/>
                <w:sz w:val="20"/>
                <w:szCs w:val="20"/>
                <w:rtl w:val="0"/>
              </w:rPr>
              <w:t xml:space="preserve">2</w:t>
            </w:r>
          </w:p>
        </w:tc>
        <w:tc>
          <w:tcPr>
            <w:tcBorders>
              <w:top w:color="000000" w:space="0" w:sz="0" w:val="nil"/>
              <w:left w:color="000000" w:space="0" w:sz="0" w:val="nil"/>
              <w:bottom w:color="000000" w:space="0" w:sz="0" w:val="nil"/>
              <w:right w:color="000000" w:space="0" w:sz="0" w:val="nil"/>
            </w:tcBorders>
            <w:shd w:fill="f6a5b2" w:val="clear"/>
            <w:vAlign w:val="center"/>
          </w:tcPr>
          <w:p w:rsidR="00000000" w:rsidDel="00000000" w:rsidP="00000000" w:rsidRDefault="00000000" w:rsidRPr="00000000" w14:paraId="00000047">
            <w:pPr>
              <w:jc w:val="center"/>
              <w:rPr>
                <w:color w:val="000000"/>
                <w:sz w:val="20"/>
                <w:szCs w:val="20"/>
              </w:rPr>
            </w:pPr>
            <w:r w:rsidDel="00000000" w:rsidR="00000000" w:rsidRPr="00000000">
              <w:rPr>
                <w:color w:val="000000"/>
                <w:sz w:val="20"/>
                <w:szCs w:val="20"/>
                <w:rtl w:val="0"/>
              </w:rPr>
              <w:t xml:space="preserve"> </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8">
            <w:pPr>
              <w:jc w:val="center"/>
              <w:rPr>
                <w:color w:val="000000"/>
                <w:sz w:val="20"/>
                <w:szCs w:val="20"/>
              </w:rPr>
            </w:pPr>
            <w:r w:rsidDel="00000000" w:rsidR="00000000" w:rsidRPr="00000000">
              <w:rPr>
                <w:color w:val="000000"/>
                <w:sz w:val="20"/>
                <w:szCs w:val="20"/>
                <w:rtl w:val="0"/>
              </w:rPr>
              <w:t xml:space="preserve">163.97</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9">
            <w:pPr>
              <w:jc w:val="center"/>
              <w:rPr>
                <w:color w:val="000000"/>
                <w:sz w:val="20"/>
                <w:szCs w:val="20"/>
              </w:rPr>
            </w:pPr>
            <w:r w:rsidDel="00000000" w:rsidR="00000000" w:rsidRPr="00000000">
              <w:rPr>
                <w:color w:val="000000"/>
                <w:sz w:val="20"/>
                <w:szCs w:val="20"/>
                <w:rtl w:val="0"/>
              </w:rPr>
              <w:t xml:space="preserve">311.47</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A">
            <w:pPr>
              <w:jc w:val="center"/>
              <w:rPr>
                <w:color w:val="000000"/>
                <w:sz w:val="20"/>
                <w:szCs w:val="20"/>
              </w:rPr>
            </w:pPr>
            <w:r w:rsidDel="00000000" w:rsidR="00000000" w:rsidRPr="00000000">
              <w:rPr>
                <w:color w:val="000000"/>
                <w:sz w:val="20"/>
                <w:szCs w:val="20"/>
                <w:rtl w:val="0"/>
              </w:rPr>
              <w:t xml:space="preserve">0.25</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B">
            <w:pPr>
              <w:jc w:val="center"/>
              <w:rPr>
                <w:color w:val="000000"/>
                <w:sz w:val="20"/>
                <w:szCs w:val="20"/>
              </w:rPr>
            </w:pPr>
            <w:r w:rsidDel="00000000" w:rsidR="00000000" w:rsidRPr="00000000">
              <w:rPr>
                <w:color w:val="000000"/>
                <w:sz w:val="20"/>
                <w:szCs w:val="20"/>
                <w:rtl w:val="0"/>
              </w:rPr>
              <w:t xml:space="preserve">0.03</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C">
            <w:pPr>
              <w:jc w:val="center"/>
              <w:rPr>
                <w:color w:val="000000"/>
                <w:sz w:val="20"/>
                <w:szCs w:val="20"/>
              </w:rPr>
            </w:pPr>
            <w:r w:rsidDel="00000000" w:rsidR="00000000" w:rsidRPr="00000000">
              <w:rPr>
                <w:color w:val="000000"/>
                <w:sz w:val="20"/>
                <w:szCs w:val="20"/>
                <w:rtl w:val="0"/>
              </w:rPr>
              <w:t xml:space="preserve">3</w:t>
            </w:r>
          </w:p>
        </w:tc>
        <w:tc>
          <w:tcPr>
            <w:tcBorders>
              <w:top w:color="000000" w:space="0" w:sz="0" w:val="nil"/>
              <w:left w:color="000000" w:space="0" w:sz="0" w:val="nil"/>
              <w:bottom w:color="000000" w:space="0" w:sz="0" w:val="nil"/>
              <w:right w:color="000000" w:space="0" w:sz="0" w:val="nil"/>
            </w:tcBorders>
            <w:shd w:fill="90bef4" w:val="clear"/>
            <w:vAlign w:val="center"/>
          </w:tcPr>
          <w:p w:rsidR="00000000" w:rsidDel="00000000" w:rsidP="00000000" w:rsidRDefault="00000000" w:rsidRPr="00000000" w14:paraId="0000004D">
            <w:pPr>
              <w:jc w:val="center"/>
              <w:rPr>
                <w:color w:val="000000"/>
                <w:sz w:val="20"/>
                <w:szCs w:val="20"/>
              </w:rPr>
            </w:pPr>
            <w:r w:rsidDel="00000000" w:rsidR="00000000" w:rsidRPr="00000000">
              <w:rPr>
                <w:color w:val="000000"/>
                <w:sz w:val="20"/>
                <w:szCs w:val="20"/>
                <w:rtl w:val="0"/>
              </w:rPr>
              <w:t xml:space="preserve"> </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E">
            <w:pPr>
              <w:jc w:val="center"/>
              <w:rPr>
                <w:color w:val="000000"/>
                <w:sz w:val="20"/>
                <w:szCs w:val="20"/>
              </w:rPr>
            </w:pPr>
            <w:r w:rsidDel="00000000" w:rsidR="00000000" w:rsidRPr="00000000">
              <w:rPr>
                <w:color w:val="000000"/>
                <w:sz w:val="20"/>
                <w:szCs w:val="20"/>
                <w:rtl w:val="0"/>
              </w:rPr>
              <w:t xml:space="preserve">140.54</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F">
            <w:pPr>
              <w:jc w:val="center"/>
              <w:rPr>
                <w:color w:val="000000"/>
                <w:sz w:val="20"/>
                <w:szCs w:val="20"/>
              </w:rPr>
            </w:pPr>
            <w:r w:rsidDel="00000000" w:rsidR="00000000" w:rsidRPr="00000000">
              <w:rPr>
                <w:color w:val="000000"/>
                <w:sz w:val="20"/>
                <w:szCs w:val="20"/>
                <w:rtl w:val="0"/>
              </w:rPr>
              <w:t xml:space="preserve">333.44</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0">
            <w:pPr>
              <w:jc w:val="center"/>
              <w:rPr>
                <w:color w:val="000000"/>
                <w:sz w:val="20"/>
                <w:szCs w:val="20"/>
              </w:rPr>
            </w:pPr>
            <w:r w:rsidDel="00000000" w:rsidR="00000000" w:rsidRPr="00000000">
              <w:rPr>
                <w:color w:val="000000"/>
                <w:sz w:val="20"/>
                <w:szCs w:val="20"/>
                <w:rtl w:val="0"/>
              </w:rPr>
              <w:t xml:space="preserve">0.23</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1">
            <w:pPr>
              <w:jc w:val="center"/>
              <w:rPr>
                <w:color w:val="000000"/>
                <w:sz w:val="20"/>
                <w:szCs w:val="20"/>
              </w:rPr>
            </w:pPr>
            <w:r w:rsidDel="00000000" w:rsidR="00000000" w:rsidRPr="00000000">
              <w:rPr>
                <w:color w:val="000000"/>
                <w:sz w:val="20"/>
                <w:szCs w:val="20"/>
                <w:rtl w:val="0"/>
              </w:rPr>
              <w:t xml:space="preserve">0</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2">
            <w:pPr>
              <w:jc w:val="center"/>
              <w:rPr>
                <w:color w:val="000000"/>
                <w:sz w:val="20"/>
                <w:szCs w:val="20"/>
              </w:rPr>
            </w:pPr>
            <w:r w:rsidDel="00000000" w:rsidR="00000000" w:rsidRPr="00000000">
              <w:rPr>
                <w:color w:val="000000"/>
                <w:sz w:val="20"/>
                <w:szCs w:val="20"/>
                <w:rtl w:val="0"/>
              </w:rPr>
              <w:t xml:space="preserve">4</w:t>
            </w:r>
          </w:p>
        </w:tc>
        <w:tc>
          <w:tcPr>
            <w:tcBorders>
              <w:top w:color="000000" w:space="0" w:sz="0" w:val="nil"/>
              <w:left w:color="000000" w:space="0" w:sz="0" w:val="nil"/>
              <w:bottom w:color="000000" w:space="0" w:sz="0" w:val="nil"/>
              <w:right w:color="000000" w:space="0" w:sz="0" w:val="nil"/>
            </w:tcBorders>
            <w:shd w:fill="d4f378" w:val="clear"/>
            <w:vAlign w:val="center"/>
          </w:tcPr>
          <w:p w:rsidR="00000000" w:rsidDel="00000000" w:rsidP="00000000" w:rsidRDefault="00000000" w:rsidRPr="00000000" w14:paraId="00000053">
            <w:pPr>
              <w:jc w:val="center"/>
              <w:rPr>
                <w:color w:val="000000"/>
                <w:sz w:val="20"/>
                <w:szCs w:val="20"/>
              </w:rPr>
            </w:pPr>
            <w:r w:rsidDel="00000000" w:rsidR="00000000" w:rsidRPr="00000000">
              <w:rPr>
                <w:color w:val="000000"/>
                <w:sz w:val="20"/>
                <w:szCs w:val="20"/>
                <w:rtl w:val="0"/>
              </w:rPr>
              <w:t xml:space="preserve"> </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4">
            <w:pPr>
              <w:jc w:val="center"/>
              <w:rPr>
                <w:color w:val="000000"/>
                <w:sz w:val="20"/>
                <w:szCs w:val="20"/>
              </w:rPr>
            </w:pPr>
            <w:r w:rsidDel="00000000" w:rsidR="00000000" w:rsidRPr="00000000">
              <w:rPr>
                <w:color w:val="000000"/>
                <w:sz w:val="20"/>
                <w:szCs w:val="20"/>
                <w:rtl w:val="0"/>
              </w:rPr>
              <w:t xml:space="preserve">120.51</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5">
            <w:pPr>
              <w:jc w:val="center"/>
              <w:rPr>
                <w:color w:val="000000"/>
                <w:sz w:val="20"/>
                <w:szCs w:val="20"/>
              </w:rPr>
            </w:pPr>
            <w:r w:rsidDel="00000000" w:rsidR="00000000" w:rsidRPr="00000000">
              <w:rPr>
                <w:color w:val="000000"/>
                <w:sz w:val="20"/>
                <w:szCs w:val="20"/>
                <w:rtl w:val="0"/>
              </w:rPr>
              <w:t xml:space="preserve">385.08</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6">
            <w:pPr>
              <w:jc w:val="center"/>
              <w:rPr>
                <w:color w:val="000000"/>
                <w:sz w:val="20"/>
                <w:szCs w:val="20"/>
              </w:rPr>
            </w:pPr>
            <w:r w:rsidDel="00000000" w:rsidR="00000000" w:rsidRPr="00000000">
              <w:rPr>
                <w:color w:val="000000"/>
                <w:sz w:val="20"/>
                <w:szCs w:val="20"/>
                <w:rtl w:val="0"/>
              </w:rPr>
              <w:t xml:space="preserve">0.23</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7">
            <w:pPr>
              <w:jc w:val="center"/>
              <w:rPr>
                <w:color w:val="000000"/>
                <w:sz w:val="20"/>
                <w:szCs w:val="20"/>
              </w:rPr>
            </w:pPr>
            <w:r w:rsidDel="00000000" w:rsidR="00000000" w:rsidRPr="00000000">
              <w:rPr>
                <w:color w:val="000000"/>
                <w:sz w:val="20"/>
                <w:szCs w:val="20"/>
                <w:rtl w:val="0"/>
              </w:rPr>
              <w:t xml:space="preserve">0</w:t>
            </w:r>
          </w:p>
        </w:tc>
      </w:tr>
      <w:tr>
        <w:trPr>
          <w:cantSplit w:val="0"/>
          <w:trHeight w:val="255" w:hRule="atLeast"/>
          <w:tblHeader w:val="0"/>
        </w:trPr>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58">
            <w:pPr>
              <w:jc w:val="center"/>
              <w:rPr>
                <w:color w:val="000000"/>
                <w:sz w:val="20"/>
                <w:szCs w:val="20"/>
              </w:rPr>
            </w:pPr>
            <w:r w:rsidDel="00000000" w:rsidR="00000000" w:rsidRPr="00000000">
              <w:rPr>
                <w:color w:val="000000"/>
                <w:sz w:val="20"/>
                <w:szCs w:val="20"/>
                <w:rtl w:val="0"/>
              </w:rPr>
              <w:t xml:space="preserve">5</w:t>
            </w:r>
          </w:p>
        </w:tc>
        <w:tc>
          <w:tcPr>
            <w:tcBorders>
              <w:top w:color="000000" w:space="0" w:sz="0" w:val="nil"/>
              <w:left w:color="000000" w:space="0" w:sz="0" w:val="nil"/>
              <w:bottom w:color="000000" w:space="0" w:sz="4" w:val="single"/>
              <w:right w:color="000000" w:space="0" w:sz="0" w:val="nil"/>
            </w:tcBorders>
            <w:shd w:fill="f5b7f9" w:val="clear"/>
            <w:vAlign w:val="center"/>
          </w:tcPr>
          <w:p w:rsidR="00000000" w:rsidDel="00000000" w:rsidP="00000000" w:rsidRDefault="00000000" w:rsidRPr="00000000" w14:paraId="00000059">
            <w:pPr>
              <w:jc w:val="center"/>
              <w:rPr>
                <w:color w:val="000000"/>
                <w:sz w:val="20"/>
                <w:szCs w:val="20"/>
              </w:rPr>
            </w:pPr>
            <w:r w:rsidDel="00000000" w:rsidR="00000000" w:rsidRPr="00000000">
              <w:rPr>
                <w:color w:val="000000"/>
                <w:sz w:val="20"/>
                <w:szCs w:val="20"/>
                <w:rtl w:val="0"/>
              </w:rPr>
              <w:t xml:space="preserve"> </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5A">
            <w:pPr>
              <w:jc w:val="center"/>
              <w:rPr>
                <w:color w:val="000000"/>
                <w:sz w:val="20"/>
                <w:szCs w:val="20"/>
              </w:rPr>
            </w:pPr>
            <w:r w:rsidDel="00000000" w:rsidR="00000000" w:rsidRPr="00000000">
              <w:rPr>
                <w:color w:val="000000"/>
                <w:sz w:val="20"/>
                <w:szCs w:val="20"/>
                <w:rtl w:val="0"/>
              </w:rPr>
              <w:t xml:space="preserve">100.86</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5B">
            <w:pPr>
              <w:jc w:val="center"/>
              <w:rPr>
                <w:color w:val="000000"/>
                <w:sz w:val="20"/>
                <w:szCs w:val="20"/>
              </w:rPr>
            </w:pPr>
            <w:r w:rsidDel="00000000" w:rsidR="00000000" w:rsidRPr="00000000">
              <w:rPr>
                <w:color w:val="000000"/>
                <w:sz w:val="20"/>
                <w:szCs w:val="20"/>
                <w:rtl w:val="0"/>
              </w:rPr>
              <w:t xml:space="preserve">227.05</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5C">
            <w:pPr>
              <w:jc w:val="center"/>
              <w:rPr>
                <w:color w:val="000000"/>
                <w:sz w:val="20"/>
                <w:szCs w:val="20"/>
              </w:rPr>
            </w:pPr>
            <w:r w:rsidDel="00000000" w:rsidR="00000000" w:rsidRPr="00000000">
              <w:rPr>
                <w:color w:val="000000"/>
                <w:sz w:val="20"/>
                <w:szCs w:val="20"/>
                <w:rtl w:val="0"/>
              </w:rPr>
              <w:t xml:space="preserve">0.18</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5D">
            <w:pPr>
              <w:jc w:val="center"/>
              <w:rPr>
                <w:color w:val="000000"/>
                <w:sz w:val="20"/>
                <w:szCs w:val="20"/>
              </w:rPr>
            </w:pPr>
            <w:r w:rsidDel="00000000" w:rsidR="00000000" w:rsidRPr="00000000">
              <w:rPr>
                <w:color w:val="000000"/>
                <w:sz w:val="20"/>
                <w:szCs w:val="20"/>
                <w:rtl w:val="0"/>
              </w:rPr>
              <w:t xml:space="preserve">0</w:t>
            </w:r>
          </w:p>
        </w:tc>
      </w:tr>
    </w:tbl>
    <w:p w:rsidR="00000000" w:rsidDel="00000000" w:rsidP="00000000" w:rsidRDefault="00000000" w:rsidRPr="00000000" w14:paraId="0000005E">
      <w:pPr>
        <w:ind w:right="113"/>
        <w:rPr>
          <w:sz w:val="18"/>
          <w:szCs w:val="18"/>
        </w:rPr>
      </w:pPr>
      <w:r w:rsidDel="00000000" w:rsidR="00000000" w:rsidRPr="00000000">
        <w:rPr>
          <w:rtl w:val="0"/>
        </w:rPr>
      </w:r>
    </w:p>
    <w:p w:rsidR="00000000" w:rsidDel="00000000" w:rsidP="00000000" w:rsidRDefault="00000000" w:rsidRPr="00000000" w14:paraId="0000005F">
      <w:pPr>
        <w:ind w:left="113" w:right="113" w:firstLine="284"/>
        <w:jc w:val="center"/>
        <w:rPr>
          <w:sz w:val="18"/>
          <w:szCs w:val="18"/>
        </w:rPr>
      </w:pPr>
      <w:r w:rsidDel="00000000" w:rsidR="00000000" w:rsidRPr="00000000">
        <w:rPr/>
        <w:drawing>
          <wp:inline distB="0" distT="0" distL="0" distR="0">
            <wp:extent cx="2292196" cy="2557996"/>
            <wp:effectExtent b="0" l="0" r="0" t="0"/>
            <wp:docPr id="1990230693" name="image2.png"/>
            <a:graphic>
              <a:graphicData uri="http://schemas.openxmlformats.org/drawingml/2006/picture">
                <pic:pic>
                  <pic:nvPicPr>
                    <pic:cNvPr id="0" name="image2.png"/>
                    <pic:cNvPicPr preferRelativeResize="0"/>
                  </pic:nvPicPr>
                  <pic:blipFill>
                    <a:blip r:embed="rId12"/>
                    <a:srcRect b="20262" l="13887" r="24136" t="11862"/>
                    <a:stretch>
                      <a:fillRect/>
                    </a:stretch>
                  </pic:blipFill>
                  <pic:spPr>
                    <a:xfrm>
                      <a:off x="0" y="0"/>
                      <a:ext cx="2292196" cy="2557996"/>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ind w:left="113" w:right="113" w:firstLine="284"/>
        <w:jc w:val="center"/>
        <w:rPr>
          <w:sz w:val="18"/>
          <w:szCs w:val="18"/>
        </w:rPr>
      </w:pPr>
      <w:r w:rsidDel="00000000" w:rsidR="00000000" w:rsidRPr="00000000">
        <w:rPr>
          <w:rtl w:val="0"/>
        </w:rPr>
      </w:r>
    </w:p>
    <w:p w:rsidR="00000000" w:rsidDel="00000000" w:rsidP="00000000" w:rsidRDefault="00000000" w:rsidRPr="00000000" w14:paraId="00000061">
      <w:pPr>
        <w:spacing w:after="120" w:lineRule="auto"/>
        <w:ind w:left="113" w:right="113" w:firstLine="284"/>
        <w:jc w:val="center"/>
        <w:rPr>
          <w:sz w:val="18"/>
          <w:szCs w:val="18"/>
        </w:rPr>
      </w:pPr>
      <w:r w:rsidDel="00000000" w:rsidR="00000000" w:rsidRPr="00000000">
        <w:rPr>
          <w:b w:val="1"/>
          <w:sz w:val="18"/>
          <w:szCs w:val="18"/>
          <w:rtl w:val="0"/>
        </w:rPr>
        <w:t xml:space="preserve">Figure 2. </w:t>
      </w:r>
      <w:r w:rsidDel="00000000" w:rsidR="00000000" w:rsidRPr="00000000">
        <w:rPr>
          <w:sz w:val="18"/>
          <w:szCs w:val="18"/>
          <w:rtl w:val="0"/>
        </w:rPr>
        <w:t xml:space="preserve">Binding pocket/site prediction of 8EMR</w:t>
      </w:r>
    </w:p>
    <w:p w:rsidR="00000000" w:rsidDel="00000000" w:rsidP="00000000" w:rsidRDefault="00000000" w:rsidRPr="00000000" w14:paraId="00000062">
      <w:pPr>
        <w:ind w:left="113" w:right="113" w:firstLine="284"/>
        <w:jc w:val="both"/>
        <w:rPr>
          <w:sz w:val="20"/>
          <w:szCs w:val="20"/>
        </w:rPr>
      </w:pPr>
      <w:r w:rsidDel="00000000" w:rsidR="00000000" w:rsidRPr="00000000">
        <w:rPr>
          <w:sz w:val="20"/>
          <w:szCs w:val="20"/>
          <w:rtl w:val="0"/>
        </w:rPr>
        <w:t xml:space="preserve">The docking results indicate that acetylcysteine, L-glutathione, and acetyl-L-carnitine can interact with the 8EMR protein. GLU105B interacts hydrophobically with the active site of acetylcysteine, while CYS112B interacts with it via a hydrogen bond (</w:t>
      </w:r>
      <w:r w:rsidDel="00000000" w:rsidR="00000000" w:rsidRPr="00000000">
        <w:rPr>
          <w:b w:val="1"/>
          <w:sz w:val="20"/>
          <w:szCs w:val="20"/>
          <w:rtl w:val="0"/>
        </w:rPr>
        <w:t xml:space="preserve">Fig 3a</w:t>
      </w:r>
      <w:r w:rsidDel="00000000" w:rsidR="00000000" w:rsidRPr="00000000">
        <w:rPr>
          <w:sz w:val="20"/>
          <w:szCs w:val="20"/>
          <w:rtl w:val="0"/>
        </w:rPr>
        <w:t xml:space="preserve">). There is a hydrophobic connection between PRO71B and the L-glutathione active site, as well as hydrogen bond interactions between GLY2A, GLY2A, CYS70B, CYS70B, PRO71B, and ASN90B and the L-glutathione active site (</w:t>
      </w:r>
      <w:r w:rsidDel="00000000" w:rsidR="00000000" w:rsidRPr="00000000">
        <w:rPr>
          <w:b w:val="1"/>
          <w:sz w:val="20"/>
          <w:szCs w:val="20"/>
          <w:rtl w:val="0"/>
        </w:rPr>
        <w:t xml:space="preserve">Fig 3b</w:t>
      </w:r>
      <w:r w:rsidDel="00000000" w:rsidR="00000000" w:rsidRPr="00000000">
        <w:rPr>
          <w:sz w:val="20"/>
          <w:szCs w:val="20"/>
          <w:rtl w:val="0"/>
        </w:rPr>
        <w:t xml:space="preserve">). Acetyl-L-carnitine has hydrophobic contacts with PHE75B, hydrogen bond interactions with LEU25B, THR78B, THR103B, and the active site of acetyl-L-carnitine, and π-cation interactions with TYR106B (</w:t>
      </w:r>
      <w:r w:rsidDel="00000000" w:rsidR="00000000" w:rsidRPr="00000000">
        <w:rPr>
          <w:b w:val="1"/>
          <w:sz w:val="20"/>
          <w:szCs w:val="20"/>
          <w:rtl w:val="0"/>
        </w:rPr>
        <w:t xml:space="preserve">Fig 3c</w:t>
      </w:r>
      <w:r w:rsidDel="00000000" w:rsidR="00000000" w:rsidRPr="00000000">
        <w:rPr>
          <w:sz w:val="20"/>
          <w:szCs w:val="20"/>
          <w:rtl w:val="0"/>
        </w:rPr>
        <w:t xml:space="preserve">). </w:t>
      </w:r>
      <w:r w:rsidDel="00000000" w:rsidR="00000000" w:rsidRPr="00000000">
        <w:rPr>
          <w:b w:val="1"/>
          <w:sz w:val="20"/>
          <w:szCs w:val="20"/>
          <w:rtl w:val="0"/>
        </w:rPr>
        <w:t xml:space="preserve">TABLE 3</w:t>
      </w:r>
      <w:r w:rsidDel="00000000" w:rsidR="00000000" w:rsidRPr="00000000">
        <w:rPr>
          <w:sz w:val="20"/>
          <w:szCs w:val="20"/>
          <w:rtl w:val="0"/>
        </w:rPr>
        <w:t xml:space="preserve"> shows how acetylcysteine, L-glutathione, and acetyl-L-carnitine interact with the 8EMR protein. The Root Mean Square Deviation (RMSD) of the docking clusters was found to be 0 Å, falling below the 1.2 Å criterion. This result is highly significant in molecular docking studies. An RMSD of 0 Å shows complete alignment between the predicted ligand posture and the reference structure. Values below 1.2 Å are typically recognized as indicative of extremely excellent alignment. These low RMSD values indicate a high level of trust in the docking simulations' correctness and the predictability of protein-ligand interactions [43].</w:t>
      </w:r>
    </w:p>
    <w:p w:rsidR="00000000" w:rsidDel="00000000" w:rsidP="00000000" w:rsidRDefault="00000000" w:rsidRPr="00000000" w14:paraId="00000063">
      <w:pPr>
        <w:rPr>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64">
      <w:pPr>
        <w:ind w:right="113"/>
        <w:rPr/>
      </w:pPr>
      <w:r w:rsidDel="00000000" w:rsidR="00000000" w:rsidRPr="00000000">
        <w:rPr>
          <w:rtl w:val="0"/>
        </w:rPr>
      </w:r>
    </w:p>
    <w:p w:rsidR="00000000" w:rsidDel="00000000" w:rsidP="00000000" w:rsidRDefault="00000000" w:rsidRPr="00000000" w14:paraId="00000065">
      <w:pPr>
        <w:ind w:right="113"/>
        <w:rPr/>
      </w:pPr>
      <w:r w:rsidDel="00000000" w:rsidR="00000000" w:rsidRPr="00000000">
        <w:rPr/>
        <mc:AlternateContent>
          <mc:Choice Requires="wpg">
            <w:drawing>
              <wp:inline distB="0" distT="0" distL="0" distR="0">
                <wp:extent cx="6050605" cy="7624688"/>
                <wp:effectExtent b="0" l="0" r="0" t="0"/>
                <wp:docPr id="1990230690" name=""/>
                <a:graphic>
                  <a:graphicData uri="http://schemas.microsoft.com/office/word/2010/wordprocessingGroup">
                    <wpg:wgp>
                      <wpg:cNvGrpSpPr/>
                      <wpg:grpSpPr>
                        <a:xfrm>
                          <a:off x="2320675" y="0"/>
                          <a:ext cx="6050605" cy="7624688"/>
                          <a:chOff x="2320675" y="0"/>
                          <a:chExt cx="6050650" cy="7560000"/>
                        </a:xfrm>
                      </wpg:grpSpPr>
                      <wpg:grpSp>
                        <wpg:cNvGrpSpPr/>
                        <wpg:grpSpPr>
                          <a:xfrm>
                            <a:off x="2320698" y="0"/>
                            <a:ext cx="6050605" cy="7560000"/>
                            <a:chOff x="0" y="0"/>
                            <a:chExt cx="6050605" cy="7624688"/>
                          </a:xfrm>
                        </wpg:grpSpPr>
                        <wps:wsp>
                          <wps:cNvSpPr/>
                          <wps:cNvPr id="3" name="Shape 3"/>
                          <wps:spPr>
                            <a:xfrm>
                              <a:off x="0" y="0"/>
                              <a:ext cx="6050600" cy="7624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0"/>
                              <a:ext cx="5943600" cy="2400300"/>
                              <a:chOff x="0" y="74140"/>
                              <a:chExt cx="7618095" cy="2724401"/>
                            </a:xfrm>
                          </wpg:grpSpPr>
                          <pic:pic>
                            <pic:nvPicPr>
                              <pic:cNvPr id="5" name="Shape 5"/>
                              <pic:cNvPicPr preferRelativeResize="0"/>
                            </pic:nvPicPr>
                            <pic:blipFill rotWithShape="1">
                              <a:blip r:embed="rId13">
                                <a:alphaModFix/>
                              </a:blip>
                              <a:srcRect b="0" l="0" r="0" t="0"/>
                              <a:stretch/>
                            </pic:blipFill>
                            <pic:spPr>
                              <a:xfrm>
                                <a:off x="0" y="230660"/>
                                <a:ext cx="3067050" cy="2219325"/>
                              </a:xfrm>
                              <a:prstGeom prst="rect">
                                <a:avLst/>
                              </a:prstGeom>
                              <a:noFill/>
                              <a:ln>
                                <a:noFill/>
                              </a:ln>
                            </pic:spPr>
                          </pic:pic>
                          <pic:pic>
                            <pic:nvPicPr>
                              <pic:cNvPr id="6" name="Shape 6"/>
                              <pic:cNvPicPr preferRelativeResize="0"/>
                            </pic:nvPicPr>
                            <pic:blipFill rotWithShape="1">
                              <a:blip r:embed="rId14">
                                <a:alphaModFix/>
                              </a:blip>
                              <a:srcRect b="0" l="0" r="0" t="0"/>
                              <a:stretch/>
                            </pic:blipFill>
                            <pic:spPr>
                              <a:xfrm>
                                <a:off x="2874356" y="362175"/>
                                <a:ext cx="1788260" cy="2436366"/>
                              </a:xfrm>
                              <a:prstGeom prst="rect">
                                <a:avLst/>
                              </a:prstGeom>
                              <a:noFill/>
                              <a:ln>
                                <a:noFill/>
                              </a:ln>
                            </pic:spPr>
                          </pic:pic>
                          <pic:pic>
                            <pic:nvPicPr>
                              <pic:cNvPr id="7" name="Shape 7"/>
                              <pic:cNvPicPr preferRelativeResize="0"/>
                            </pic:nvPicPr>
                            <pic:blipFill rotWithShape="1">
                              <a:blip r:embed="rId15">
                                <a:alphaModFix/>
                              </a:blip>
                              <a:srcRect b="15964" l="9118" r="12" t="2547"/>
                              <a:stretch/>
                            </pic:blipFill>
                            <pic:spPr>
                              <a:xfrm>
                                <a:off x="4662616" y="74140"/>
                                <a:ext cx="2955479" cy="2371570"/>
                              </a:xfrm>
                              <a:prstGeom prst="rect">
                                <a:avLst/>
                              </a:prstGeom>
                              <a:noFill/>
                              <a:ln>
                                <a:noFill/>
                              </a:ln>
                            </pic:spPr>
                          </pic:pic>
                        </wpg:grpSp>
                        <wpg:grpSp>
                          <wpg:cNvGrpSpPr/>
                          <wpg:grpSpPr>
                            <a:xfrm>
                              <a:off x="107005" y="2529191"/>
                              <a:ext cx="5943600" cy="2400935"/>
                              <a:chOff x="0" y="0"/>
                              <a:chExt cx="7439986" cy="2816860"/>
                            </a:xfrm>
                          </wpg:grpSpPr>
                          <pic:pic>
                            <pic:nvPicPr>
                              <pic:cNvPr id="9" name="Shape 9"/>
                              <pic:cNvPicPr preferRelativeResize="0"/>
                            </pic:nvPicPr>
                            <pic:blipFill rotWithShape="1">
                              <a:blip r:embed="rId16">
                                <a:alphaModFix/>
                              </a:blip>
                              <a:srcRect b="0" l="5916" r="0" t="0"/>
                              <a:stretch/>
                            </pic:blipFill>
                            <pic:spPr>
                              <a:xfrm>
                                <a:off x="0" y="247135"/>
                                <a:ext cx="2364105" cy="2390140"/>
                              </a:xfrm>
                              <a:prstGeom prst="rect">
                                <a:avLst/>
                              </a:prstGeom>
                              <a:noFill/>
                              <a:ln>
                                <a:noFill/>
                              </a:ln>
                            </pic:spPr>
                          </pic:pic>
                          <pic:pic>
                            <pic:nvPicPr>
                              <pic:cNvPr id="10" name="Shape 10"/>
                              <pic:cNvPicPr preferRelativeResize="0"/>
                            </pic:nvPicPr>
                            <pic:blipFill rotWithShape="1">
                              <a:blip r:embed="rId17">
                                <a:alphaModFix/>
                              </a:blip>
                              <a:srcRect b="0" l="3802" r="0" t="0"/>
                              <a:stretch/>
                            </pic:blipFill>
                            <pic:spPr>
                              <a:xfrm>
                                <a:off x="2306594" y="403654"/>
                                <a:ext cx="2482850" cy="2232025"/>
                              </a:xfrm>
                              <a:prstGeom prst="rect">
                                <a:avLst/>
                              </a:prstGeom>
                              <a:noFill/>
                              <a:ln>
                                <a:noFill/>
                              </a:ln>
                            </pic:spPr>
                          </pic:pic>
                          <pic:pic>
                            <pic:nvPicPr>
                              <pic:cNvPr id="11" name="Shape 11"/>
                              <pic:cNvPicPr preferRelativeResize="0"/>
                            </pic:nvPicPr>
                            <pic:blipFill rotWithShape="1">
                              <a:blip r:embed="rId18">
                                <a:alphaModFix/>
                              </a:blip>
                              <a:srcRect b="16745" l="3689" r="0" t="0"/>
                              <a:stretch/>
                            </pic:blipFill>
                            <pic:spPr>
                              <a:xfrm>
                                <a:off x="4720281" y="0"/>
                                <a:ext cx="2719705" cy="2816860"/>
                              </a:xfrm>
                              <a:prstGeom prst="rect">
                                <a:avLst/>
                              </a:prstGeom>
                              <a:noFill/>
                              <a:ln>
                                <a:noFill/>
                              </a:ln>
                            </pic:spPr>
                          </pic:pic>
                        </wpg:grpSp>
                        <wpg:grpSp>
                          <wpg:cNvGrpSpPr/>
                          <wpg:grpSpPr>
                            <a:xfrm>
                              <a:off x="38911" y="5223753"/>
                              <a:ext cx="5943600" cy="2400935"/>
                              <a:chOff x="0" y="0"/>
                              <a:chExt cx="7389935" cy="2914650"/>
                            </a:xfrm>
                          </wpg:grpSpPr>
                          <pic:pic>
                            <pic:nvPicPr>
                              <pic:cNvPr id="13" name="Shape 13"/>
                              <pic:cNvPicPr preferRelativeResize="0"/>
                            </pic:nvPicPr>
                            <pic:blipFill rotWithShape="1">
                              <a:blip r:embed="rId19">
                                <a:alphaModFix/>
                              </a:blip>
                              <a:srcRect b="0" l="6366" r="0" t="0"/>
                              <a:stretch/>
                            </pic:blipFill>
                            <pic:spPr>
                              <a:xfrm>
                                <a:off x="0" y="0"/>
                                <a:ext cx="2782570" cy="2914650"/>
                              </a:xfrm>
                              <a:prstGeom prst="rect">
                                <a:avLst/>
                              </a:prstGeom>
                              <a:noFill/>
                              <a:ln>
                                <a:noFill/>
                              </a:ln>
                            </pic:spPr>
                          </pic:pic>
                          <pic:pic>
                            <pic:nvPicPr>
                              <pic:cNvPr id="14" name="Shape 14"/>
                              <pic:cNvPicPr preferRelativeResize="0"/>
                            </pic:nvPicPr>
                            <pic:blipFill rotWithShape="1">
                              <a:blip r:embed="rId20">
                                <a:alphaModFix/>
                              </a:blip>
                              <a:srcRect b="0" l="4001" r="0" t="0"/>
                              <a:stretch/>
                            </pic:blipFill>
                            <pic:spPr>
                              <a:xfrm>
                                <a:off x="2672862" y="290147"/>
                                <a:ext cx="2122170" cy="2459355"/>
                              </a:xfrm>
                              <a:prstGeom prst="rect">
                                <a:avLst/>
                              </a:prstGeom>
                              <a:noFill/>
                              <a:ln>
                                <a:noFill/>
                              </a:ln>
                            </pic:spPr>
                          </pic:pic>
                          <pic:pic>
                            <pic:nvPicPr>
                              <pic:cNvPr id="15" name="Shape 15"/>
                              <pic:cNvPicPr preferRelativeResize="0"/>
                            </pic:nvPicPr>
                            <pic:blipFill rotWithShape="1">
                              <a:blip r:embed="rId21">
                                <a:alphaModFix/>
                              </a:blip>
                              <a:srcRect b="0" l="0" r="0" t="0"/>
                              <a:stretch/>
                            </pic:blipFill>
                            <pic:spPr>
                              <a:xfrm>
                                <a:off x="4703885" y="422031"/>
                                <a:ext cx="2686050" cy="2332990"/>
                              </a:xfrm>
                              <a:prstGeom prst="rect">
                                <a:avLst/>
                              </a:prstGeom>
                              <a:noFill/>
                              <a:ln>
                                <a:noFill/>
                              </a:ln>
                            </pic:spPr>
                          </pic:pic>
                        </wpg:grpSp>
                      </wpg:grpSp>
                    </wpg:wgp>
                  </a:graphicData>
                </a:graphic>
              </wp:inline>
            </w:drawing>
          </mc:Choice>
          <mc:Fallback>
            <w:drawing>
              <wp:inline distB="0" distT="0" distL="0" distR="0">
                <wp:extent cx="6050605" cy="7624688"/>
                <wp:effectExtent b="0" l="0" r="0" t="0"/>
                <wp:docPr id="1990230690" name="image3.png"/>
                <a:graphic>
                  <a:graphicData uri="http://schemas.openxmlformats.org/drawingml/2006/picture">
                    <pic:pic>
                      <pic:nvPicPr>
                        <pic:cNvPr id="0" name="image3.png"/>
                        <pic:cNvPicPr preferRelativeResize="0"/>
                      </pic:nvPicPr>
                      <pic:blipFill>
                        <a:blip r:embed="rId22"/>
                        <a:srcRect/>
                        <a:stretch>
                          <a:fillRect/>
                        </a:stretch>
                      </pic:blipFill>
                      <pic:spPr>
                        <a:xfrm>
                          <a:off x="0" y="0"/>
                          <a:ext cx="6050605" cy="762468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38912</wp:posOffset>
                </wp:positionH>
                <wp:positionV relativeFrom="paragraph">
                  <wp:posOffset>350195</wp:posOffset>
                </wp:positionV>
                <wp:extent cx="709335" cy="5368668"/>
                <wp:effectExtent b="0" l="0" r="0" t="0"/>
                <wp:wrapNone/>
                <wp:docPr id="1990230691" name=""/>
                <a:graphic>
                  <a:graphicData uri="http://schemas.microsoft.com/office/word/2010/wordprocessingGroup">
                    <wpg:wgp>
                      <wpg:cNvGrpSpPr/>
                      <wpg:grpSpPr>
                        <a:xfrm>
                          <a:off x="4991325" y="1095650"/>
                          <a:ext cx="709335" cy="5368668"/>
                          <a:chOff x="4991325" y="1095650"/>
                          <a:chExt cx="709350" cy="5368700"/>
                        </a:xfrm>
                      </wpg:grpSpPr>
                      <wpg:grpSp>
                        <wpg:cNvGrpSpPr/>
                        <wpg:grpSpPr>
                          <a:xfrm>
                            <a:off x="4991333" y="1095666"/>
                            <a:ext cx="709335" cy="5368668"/>
                            <a:chOff x="0" y="0"/>
                            <a:chExt cx="709335" cy="5368668"/>
                          </a:xfrm>
                        </wpg:grpSpPr>
                        <wps:wsp>
                          <wps:cNvSpPr/>
                          <wps:cNvPr id="3" name="Shape 3"/>
                          <wps:spPr>
                            <a:xfrm>
                              <a:off x="0" y="0"/>
                              <a:ext cx="709325" cy="5368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116732" y="2461098"/>
                              <a:ext cx="524510" cy="29019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b.</w:t>
                                </w:r>
                              </w:p>
                            </w:txbxContent>
                          </wps:txbx>
                          <wps:bodyPr anchorCtr="0" anchor="t" bIns="45700" lIns="91425" spcFirstLastPara="1" rIns="91425" wrap="square" tIns="45700">
                            <a:noAutofit/>
                          </wps:bodyPr>
                        </wps:wsp>
                        <wps:wsp>
                          <wps:cNvSpPr/>
                          <wps:cNvPr id="18" name="Shape 18"/>
                          <wps:spPr>
                            <a:xfrm>
                              <a:off x="184825" y="5077838"/>
                              <a:ext cx="524510" cy="2908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c.</w:t>
                                </w:r>
                              </w:p>
                            </w:txbxContent>
                          </wps:txbx>
                          <wps:bodyPr anchorCtr="0" anchor="t" bIns="45700" lIns="91425" spcFirstLastPara="1" rIns="91425" wrap="square" tIns="45700">
                            <a:noAutofit/>
                          </wps:bodyPr>
                        </wps:wsp>
                        <wps:wsp>
                          <wps:cNvSpPr/>
                          <wps:cNvPr id="19" name="Shape 19"/>
                          <wps:spPr>
                            <a:xfrm>
                              <a:off x="0" y="0"/>
                              <a:ext cx="524510" cy="29019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a.</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38912</wp:posOffset>
                </wp:positionH>
                <wp:positionV relativeFrom="paragraph">
                  <wp:posOffset>350195</wp:posOffset>
                </wp:positionV>
                <wp:extent cx="709335" cy="5368668"/>
                <wp:effectExtent b="0" l="0" r="0" t="0"/>
                <wp:wrapNone/>
                <wp:docPr id="1990230691" name="image5.png"/>
                <a:graphic>
                  <a:graphicData uri="http://schemas.openxmlformats.org/drawingml/2006/picture">
                    <pic:pic>
                      <pic:nvPicPr>
                        <pic:cNvPr id="0" name="image5.png"/>
                        <pic:cNvPicPr preferRelativeResize="0"/>
                      </pic:nvPicPr>
                      <pic:blipFill>
                        <a:blip r:embed="rId22"/>
                        <a:srcRect/>
                        <a:stretch>
                          <a:fillRect/>
                        </a:stretch>
                      </pic:blipFill>
                      <pic:spPr>
                        <a:xfrm>
                          <a:off x="0" y="0"/>
                          <a:ext cx="709335" cy="5368668"/>
                        </a:xfrm>
                        <a:prstGeom prst="rect"/>
                        <a:ln/>
                      </pic:spPr>
                    </pic:pic>
                  </a:graphicData>
                </a:graphic>
              </wp:anchor>
            </w:drawing>
          </mc:Fallback>
        </mc:AlternateContent>
      </w:r>
    </w:p>
    <w:p w:rsidR="00000000" w:rsidDel="00000000" w:rsidP="00000000" w:rsidRDefault="00000000" w:rsidRPr="00000000" w14:paraId="00000066">
      <w:pPr>
        <w:ind w:left="113" w:right="113" w:firstLine="284"/>
        <w:jc w:val="center"/>
        <w:rPr>
          <w:b w:val="1"/>
          <w:sz w:val="18"/>
          <w:szCs w:val="18"/>
        </w:rPr>
      </w:pPr>
      <w:r w:rsidDel="00000000" w:rsidR="00000000" w:rsidRPr="00000000">
        <w:rPr>
          <w:rtl w:val="0"/>
        </w:rPr>
      </w:r>
    </w:p>
    <w:p w:rsidR="00000000" w:rsidDel="00000000" w:rsidP="00000000" w:rsidRDefault="00000000" w:rsidRPr="00000000" w14:paraId="00000067">
      <w:pPr>
        <w:ind w:left="113" w:right="113" w:firstLine="284"/>
        <w:jc w:val="center"/>
        <w:rPr>
          <w:sz w:val="18"/>
          <w:szCs w:val="18"/>
        </w:rPr>
      </w:pPr>
      <w:r w:rsidDel="00000000" w:rsidR="00000000" w:rsidRPr="00000000">
        <w:rPr>
          <w:b w:val="1"/>
          <w:sz w:val="18"/>
          <w:szCs w:val="18"/>
          <w:rtl w:val="0"/>
        </w:rPr>
        <w:t xml:space="preserve">Figure 3. </w:t>
      </w:r>
      <w:r w:rsidDel="00000000" w:rsidR="00000000" w:rsidRPr="00000000">
        <w:rPr>
          <w:sz w:val="18"/>
          <w:szCs w:val="18"/>
          <w:rtl w:val="0"/>
        </w:rPr>
        <w:t xml:space="preserve">The interactions of 8EMR with (a) acetylcysteine, (b) L-glutathione, (c) acetyl-L-carnitine</w:t>
      </w: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2"/>
        <w:spacing w:after="120" w:before="120" w:lineRule="auto"/>
        <w:rPr>
          <w:sz w:val="18"/>
          <w:szCs w:val="18"/>
        </w:rPr>
      </w:pPr>
      <w:bookmarkStart w:colFirst="0" w:colLast="0" w:name="_heading=h.cpzs77dbl50a" w:id="1"/>
      <w:bookmarkEnd w:id="1"/>
      <w:r w:rsidDel="00000000" w:rsidR="00000000" w:rsidRPr="00000000">
        <w:rPr>
          <w:sz w:val="18"/>
          <w:szCs w:val="18"/>
          <w:rtl w:val="0"/>
        </w:rPr>
        <w:t xml:space="preserve">TABLE 3. </w:t>
      </w:r>
      <w:r w:rsidDel="00000000" w:rsidR="00000000" w:rsidRPr="00000000">
        <w:rPr>
          <w:b w:val="0"/>
          <w:sz w:val="18"/>
          <w:szCs w:val="18"/>
          <w:rtl w:val="0"/>
        </w:rPr>
        <w:t xml:space="preserve">The interactions of 8EMR with acetylcysteine, L-glutathione, and acetyl-L-carnitine</w:t>
      </w:r>
      <w:r w:rsidDel="00000000" w:rsidR="00000000" w:rsidRPr="00000000">
        <w:rPr>
          <w:sz w:val="18"/>
          <w:szCs w:val="18"/>
          <w:rtl w:val="0"/>
        </w:rPr>
        <w:t xml:space="preserve">.</w:t>
      </w:r>
    </w:p>
    <w:tbl>
      <w:tblPr>
        <w:tblStyle w:val="Table3"/>
        <w:tblW w:w="9741.0" w:type="dxa"/>
        <w:jc w:val="left"/>
        <w:tblInd w:w="-284.0" w:type="dxa"/>
        <w:tblLayout w:type="fixed"/>
        <w:tblLook w:val="0400"/>
      </w:tblPr>
      <w:tblGrid>
        <w:gridCol w:w="1701"/>
        <w:gridCol w:w="805"/>
        <w:gridCol w:w="985"/>
        <w:gridCol w:w="1343"/>
        <w:gridCol w:w="7"/>
        <w:gridCol w:w="1243"/>
        <w:gridCol w:w="7"/>
        <w:gridCol w:w="1050"/>
        <w:gridCol w:w="1350"/>
        <w:gridCol w:w="1243"/>
        <w:gridCol w:w="7"/>
        <w:tblGridChange w:id="0">
          <w:tblGrid>
            <w:gridCol w:w="1701"/>
            <w:gridCol w:w="805"/>
            <w:gridCol w:w="985"/>
            <w:gridCol w:w="1343"/>
            <w:gridCol w:w="7"/>
            <w:gridCol w:w="1243"/>
            <w:gridCol w:w="7"/>
            <w:gridCol w:w="1050"/>
            <w:gridCol w:w="1350"/>
            <w:gridCol w:w="1243"/>
            <w:gridCol w:w="7"/>
          </w:tblGrid>
        </w:tblGridChange>
      </w:tblGrid>
      <w:tr>
        <w:trPr>
          <w:cantSplit w:val="0"/>
          <w:trHeight w:val="255" w:hRule="atLeast"/>
          <w:tblHeader w:val="0"/>
        </w:trPr>
        <w:tc>
          <w:tcPr>
            <w:vMerge w:val="restart"/>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69">
            <w:pPr>
              <w:jc w:val="center"/>
              <w:rPr>
                <w:b w:val="1"/>
                <w:color w:val="000000"/>
                <w:sz w:val="20"/>
                <w:szCs w:val="20"/>
              </w:rPr>
            </w:pPr>
            <w:r w:rsidDel="00000000" w:rsidR="00000000" w:rsidRPr="00000000">
              <w:rPr>
                <w:b w:val="1"/>
                <w:color w:val="000000"/>
                <w:sz w:val="20"/>
                <w:szCs w:val="20"/>
                <w:rtl w:val="0"/>
              </w:rPr>
              <w:t xml:space="preserve">Ligand</w:t>
            </w:r>
          </w:p>
        </w:tc>
        <w:tc>
          <w:tcPr>
            <w:vMerge w:val="restart"/>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6A">
            <w:pPr>
              <w:jc w:val="center"/>
              <w:rPr>
                <w:b w:val="1"/>
                <w:color w:val="000000"/>
                <w:sz w:val="20"/>
                <w:szCs w:val="20"/>
              </w:rPr>
            </w:pPr>
            <w:r w:rsidDel="00000000" w:rsidR="00000000" w:rsidRPr="00000000">
              <w:rPr>
                <w:b w:val="1"/>
                <w:color w:val="000000"/>
                <w:sz w:val="20"/>
                <w:szCs w:val="20"/>
                <w:rtl w:val="0"/>
              </w:rPr>
              <w:t xml:space="preserve">cluster RMSD</w:t>
            </w:r>
          </w:p>
        </w:tc>
        <w:tc>
          <w:tcPr>
            <w:gridSpan w:val="2"/>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6B">
            <w:pPr>
              <w:jc w:val="center"/>
              <w:rPr>
                <w:b w:val="1"/>
                <w:color w:val="000000"/>
                <w:sz w:val="20"/>
                <w:szCs w:val="20"/>
              </w:rPr>
            </w:pPr>
            <w:r w:rsidDel="00000000" w:rsidR="00000000" w:rsidRPr="00000000">
              <w:rPr>
                <w:b w:val="1"/>
                <w:color w:val="000000"/>
                <w:sz w:val="20"/>
                <w:szCs w:val="20"/>
                <w:rtl w:val="0"/>
              </w:rPr>
              <w:t xml:space="preserve">Number of Interaction</w:t>
            </w:r>
          </w:p>
        </w:tc>
        <w:tc>
          <w:tcPr>
            <w:gridSpan w:val="2"/>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6D">
            <w:pPr>
              <w:jc w:val="center"/>
              <w:rPr>
                <w:b w:val="1"/>
                <w:color w:val="000000"/>
                <w:sz w:val="20"/>
                <w:szCs w:val="20"/>
              </w:rPr>
            </w:pPr>
            <w:r w:rsidDel="00000000" w:rsidR="00000000" w:rsidRPr="00000000">
              <w:rPr>
                <w:b w:val="1"/>
                <w:color w:val="000000"/>
                <w:sz w:val="20"/>
                <w:szCs w:val="20"/>
                <w:rtl w:val="0"/>
              </w:rPr>
              <w:t xml:space="preserve"> </w:t>
            </w:r>
          </w:p>
        </w:tc>
        <w:tc>
          <w:tcPr>
            <w:gridSpan w:val="4"/>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6F">
            <w:pPr>
              <w:jc w:val="center"/>
              <w:rPr>
                <w:b w:val="1"/>
                <w:color w:val="000000"/>
                <w:sz w:val="20"/>
                <w:szCs w:val="20"/>
              </w:rPr>
            </w:pPr>
            <w:r w:rsidDel="00000000" w:rsidR="00000000" w:rsidRPr="00000000">
              <w:rPr>
                <w:b w:val="1"/>
                <w:color w:val="000000"/>
                <w:sz w:val="20"/>
                <w:szCs w:val="20"/>
                <w:rtl w:val="0"/>
              </w:rPr>
              <w:t xml:space="preserve">Amino acid Involved in Interaction</w:t>
            </w:r>
          </w:p>
        </w:tc>
      </w:tr>
      <w:tr>
        <w:trPr>
          <w:cantSplit w:val="0"/>
          <w:trHeight w:val="510" w:hRule="atLeast"/>
          <w:tblHeader w:val="0"/>
        </w:trPr>
        <w:tc>
          <w:tcPr>
            <w:vMerge w:val="continue"/>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c>
          <w:tcPr>
            <w:vMerge w:val="continue"/>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75">
            <w:pPr>
              <w:jc w:val="center"/>
              <w:rPr>
                <w:b w:val="1"/>
                <w:color w:val="000000"/>
                <w:sz w:val="20"/>
                <w:szCs w:val="20"/>
              </w:rPr>
            </w:pPr>
            <w:r w:rsidDel="00000000" w:rsidR="00000000" w:rsidRPr="00000000">
              <w:rPr>
                <w:b w:val="1"/>
                <w:color w:val="000000"/>
                <w:sz w:val="20"/>
                <w:szCs w:val="20"/>
                <w:rtl w:val="0"/>
              </w:rPr>
              <w:t xml:space="preserve">H-Bond</w:t>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76">
            <w:pPr>
              <w:jc w:val="center"/>
              <w:rPr>
                <w:b w:val="1"/>
                <w:color w:val="000000"/>
                <w:sz w:val="20"/>
                <w:szCs w:val="20"/>
              </w:rPr>
            </w:pPr>
            <w:r w:rsidDel="00000000" w:rsidR="00000000" w:rsidRPr="00000000">
              <w:rPr>
                <w:b w:val="1"/>
                <w:color w:val="000000"/>
                <w:sz w:val="20"/>
                <w:szCs w:val="20"/>
                <w:rtl w:val="0"/>
              </w:rPr>
              <w:t xml:space="preserve">Hydrophobic</w:t>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78">
            <w:pPr>
              <w:jc w:val="center"/>
              <w:rPr>
                <w:b w:val="1"/>
                <w:color w:val="000000"/>
                <w:sz w:val="20"/>
                <w:szCs w:val="20"/>
              </w:rPr>
            </w:pPr>
            <w:r w:rsidDel="00000000" w:rsidR="00000000" w:rsidRPr="00000000">
              <w:rPr>
                <w:b w:val="1"/>
                <w:color w:val="000000"/>
                <w:sz w:val="20"/>
                <w:szCs w:val="20"/>
                <w:rtl w:val="0"/>
              </w:rPr>
              <w:t xml:space="preserve">π-Cation Interactions</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7A">
            <w:pPr>
              <w:jc w:val="center"/>
              <w:rPr>
                <w:b w:val="1"/>
                <w:color w:val="000000"/>
                <w:sz w:val="20"/>
                <w:szCs w:val="20"/>
              </w:rPr>
            </w:pPr>
            <w:r w:rsidDel="00000000" w:rsidR="00000000" w:rsidRPr="00000000">
              <w:rPr>
                <w:b w:val="1"/>
                <w:color w:val="000000"/>
                <w:sz w:val="20"/>
                <w:szCs w:val="20"/>
                <w:rtl w:val="0"/>
              </w:rPr>
              <w:t xml:space="preserve">H-Bond</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7B">
            <w:pPr>
              <w:jc w:val="center"/>
              <w:rPr>
                <w:b w:val="1"/>
                <w:color w:val="000000"/>
                <w:sz w:val="20"/>
                <w:szCs w:val="20"/>
              </w:rPr>
            </w:pPr>
            <w:r w:rsidDel="00000000" w:rsidR="00000000" w:rsidRPr="00000000">
              <w:rPr>
                <w:b w:val="1"/>
                <w:color w:val="000000"/>
                <w:sz w:val="20"/>
                <w:szCs w:val="20"/>
                <w:rtl w:val="0"/>
              </w:rPr>
              <w:t xml:space="preserve">Hydrophobic</w:t>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7C">
            <w:pPr>
              <w:jc w:val="center"/>
              <w:rPr>
                <w:b w:val="1"/>
                <w:color w:val="000000"/>
                <w:sz w:val="20"/>
                <w:szCs w:val="20"/>
              </w:rPr>
            </w:pPr>
            <w:r w:rsidDel="00000000" w:rsidR="00000000" w:rsidRPr="00000000">
              <w:rPr>
                <w:b w:val="1"/>
                <w:color w:val="000000"/>
                <w:sz w:val="20"/>
                <w:szCs w:val="20"/>
                <w:rtl w:val="0"/>
              </w:rPr>
              <w:t xml:space="preserve">π-Cation Interactions</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jc w:val="center"/>
              <w:rPr>
                <w:color w:val="000000"/>
                <w:sz w:val="20"/>
                <w:szCs w:val="20"/>
              </w:rPr>
            </w:pPr>
            <w:r w:rsidDel="00000000" w:rsidR="00000000" w:rsidRPr="00000000">
              <w:rPr>
                <w:color w:val="000000"/>
                <w:sz w:val="20"/>
                <w:szCs w:val="20"/>
                <w:rtl w:val="0"/>
              </w:rPr>
              <w:t xml:space="preserve">Acetylcysteine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0">
            <w:pPr>
              <w:jc w:val="center"/>
              <w:rPr>
                <w:color w:val="000000"/>
                <w:sz w:val="20"/>
                <w:szCs w:val="20"/>
              </w:rPr>
            </w:pPr>
            <w:r w:rsidDel="00000000" w:rsidR="00000000" w:rsidRPr="00000000">
              <w:rPr>
                <w:color w:val="000000"/>
                <w:sz w:val="20"/>
                <w:szCs w:val="20"/>
                <w:rtl w:val="0"/>
              </w:rPr>
              <w:t xml:space="preserve">1</w:t>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jc w:val="center"/>
              <w:rPr>
                <w:color w:val="000000"/>
                <w:sz w:val="20"/>
                <w:szCs w:val="20"/>
              </w:rPr>
            </w:pPr>
            <w:r w:rsidDel="00000000" w:rsidR="00000000" w:rsidRPr="00000000">
              <w:rPr>
                <w:color w:val="000000"/>
                <w:sz w:val="20"/>
                <w:szCs w:val="20"/>
                <w:rtl w:val="0"/>
              </w:rPr>
              <w:t xml:space="preserve">1</w:t>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jc w:val="center"/>
              <w:rPr>
                <w:color w:val="000000"/>
                <w:sz w:val="20"/>
                <w:szCs w:val="20"/>
              </w:rPr>
            </w:pPr>
            <w:r w:rsidDel="00000000" w:rsidR="00000000" w:rsidRPr="00000000">
              <w:rPr>
                <w:color w:val="000000"/>
                <w:sz w:val="20"/>
                <w:szCs w:val="20"/>
                <w:rtl w:val="0"/>
              </w:rPr>
              <w:t xml:space="preserv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jc w:val="center"/>
              <w:rPr>
                <w:color w:val="000000"/>
                <w:sz w:val="20"/>
                <w:szCs w:val="20"/>
              </w:rPr>
            </w:pPr>
            <w:r w:rsidDel="00000000" w:rsidR="00000000" w:rsidRPr="00000000">
              <w:rPr>
                <w:color w:val="000000"/>
                <w:sz w:val="20"/>
                <w:szCs w:val="20"/>
                <w:rtl w:val="0"/>
              </w:rPr>
              <w:t xml:space="preserve">CYS112B</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jc w:val="center"/>
              <w:rPr>
                <w:color w:val="000000"/>
                <w:sz w:val="20"/>
                <w:szCs w:val="20"/>
              </w:rPr>
            </w:pPr>
            <w:r w:rsidDel="00000000" w:rsidR="00000000" w:rsidRPr="00000000">
              <w:rPr>
                <w:color w:val="000000"/>
                <w:sz w:val="20"/>
                <w:szCs w:val="20"/>
                <w:rtl w:val="0"/>
              </w:rPr>
              <w:t xml:space="preserve">GLU105B</w:t>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jc w:val="center"/>
              <w:rPr>
                <w:color w:val="000000"/>
                <w:sz w:val="20"/>
                <w:szCs w:val="20"/>
              </w:rPr>
            </w:pPr>
            <w:r w:rsidDel="00000000" w:rsidR="00000000" w:rsidRPr="00000000">
              <w:rPr>
                <w:color w:val="000000"/>
                <w:sz w:val="20"/>
                <w:szCs w:val="20"/>
                <w:rtl w:val="0"/>
              </w:rPr>
              <w:t xml:space="preserve">-</w:t>
            </w:r>
          </w:p>
        </w:tc>
      </w:tr>
      <w:tr>
        <w:trPr>
          <w:cantSplit w:val="0"/>
          <w:trHeight w:val="1530"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jc w:val="center"/>
              <w:rPr>
                <w:color w:val="000000"/>
                <w:sz w:val="20"/>
                <w:szCs w:val="20"/>
              </w:rPr>
            </w:pPr>
            <w:r w:rsidDel="00000000" w:rsidR="00000000" w:rsidRPr="00000000">
              <w:rPr>
                <w:color w:val="000000"/>
                <w:sz w:val="20"/>
                <w:szCs w:val="20"/>
                <w:rtl w:val="0"/>
              </w:rPr>
              <w:t xml:space="preserve">L-glutathione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A">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B">
            <w:pPr>
              <w:jc w:val="center"/>
              <w:rPr>
                <w:color w:val="000000"/>
                <w:sz w:val="20"/>
                <w:szCs w:val="20"/>
              </w:rPr>
            </w:pPr>
            <w:r w:rsidDel="00000000" w:rsidR="00000000" w:rsidRPr="00000000">
              <w:rPr>
                <w:color w:val="000000"/>
                <w:sz w:val="20"/>
                <w:szCs w:val="20"/>
                <w:rtl w:val="0"/>
              </w:rPr>
              <w:t xml:space="preserve">6</w:t>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C">
            <w:pPr>
              <w:jc w:val="center"/>
              <w:rPr>
                <w:color w:val="000000"/>
                <w:sz w:val="20"/>
                <w:szCs w:val="20"/>
              </w:rPr>
            </w:pPr>
            <w:r w:rsidDel="00000000" w:rsidR="00000000" w:rsidRPr="00000000">
              <w:rPr>
                <w:color w:val="000000"/>
                <w:sz w:val="20"/>
                <w:szCs w:val="20"/>
                <w:rtl w:val="0"/>
              </w:rPr>
              <w:t xml:space="preserve">1</w:t>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E">
            <w:pPr>
              <w:jc w:val="center"/>
              <w:rPr>
                <w:color w:val="000000"/>
                <w:sz w:val="20"/>
                <w:szCs w:val="20"/>
              </w:rPr>
            </w:pPr>
            <w:r w:rsidDel="00000000" w:rsidR="00000000" w:rsidRPr="00000000">
              <w:rPr>
                <w:color w:val="000000"/>
                <w:sz w:val="20"/>
                <w:szCs w:val="20"/>
                <w:rtl w:val="0"/>
              </w:rPr>
              <w:t xml:space="preserv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0">
            <w:pPr>
              <w:jc w:val="center"/>
              <w:rPr>
                <w:color w:val="000000"/>
                <w:sz w:val="20"/>
                <w:szCs w:val="20"/>
              </w:rPr>
            </w:pPr>
            <w:r w:rsidDel="00000000" w:rsidR="00000000" w:rsidRPr="00000000">
              <w:rPr>
                <w:color w:val="000000"/>
                <w:sz w:val="20"/>
                <w:szCs w:val="20"/>
                <w:rtl w:val="0"/>
              </w:rPr>
              <w:t xml:space="preserve">GLY2A, GLY2A, CYS70B, CYS70B, PRO71B, ASN90B</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1">
            <w:pPr>
              <w:jc w:val="center"/>
              <w:rPr>
                <w:color w:val="000000"/>
                <w:sz w:val="20"/>
                <w:szCs w:val="20"/>
              </w:rPr>
            </w:pPr>
            <w:r w:rsidDel="00000000" w:rsidR="00000000" w:rsidRPr="00000000">
              <w:rPr>
                <w:color w:val="000000"/>
                <w:sz w:val="20"/>
                <w:szCs w:val="20"/>
                <w:rtl w:val="0"/>
              </w:rPr>
              <w:t xml:space="preserve">PRO71B</w:t>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2">
            <w:pPr>
              <w:jc w:val="center"/>
              <w:rPr>
                <w:color w:val="000000"/>
                <w:sz w:val="20"/>
                <w:szCs w:val="20"/>
              </w:rPr>
            </w:pPr>
            <w:r w:rsidDel="00000000" w:rsidR="00000000" w:rsidRPr="00000000">
              <w:rPr>
                <w:color w:val="000000"/>
                <w:sz w:val="20"/>
                <w:szCs w:val="20"/>
                <w:rtl w:val="0"/>
              </w:rPr>
              <w:t xml:space="preserve">-</w:t>
            </w:r>
          </w:p>
        </w:tc>
      </w:tr>
      <w:tr>
        <w:trPr>
          <w:cantSplit w:val="0"/>
          <w:trHeight w:val="1020" w:hRule="atLeast"/>
          <w:tblHeader w:val="0"/>
        </w:trPr>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4">
            <w:pPr>
              <w:jc w:val="center"/>
              <w:rPr>
                <w:color w:val="000000"/>
                <w:sz w:val="20"/>
                <w:szCs w:val="20"/>
              </w:rPr>
            </w:pPr>
            <w:r w:rsidDel="00000000" w:rsidR="00000000" w:rsidRPr="00000000">
              <w:rPr>
                <w:color w:val="000000"/>
                <w:sz w:val="20"/>
                <w:szCs w:val="20"/>
                <w:rtl w:val="0"/>
              </w:rPr>
              <w:t xml:space="preserve">acetyl-L-carnitine </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5">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6">
            <w:pPr>
              <w:jc w:val="center"/>
              <w:rPr>
                <w:color w:val="000000"/>
                <w:sz w:val="20"/>
                <w:szCs w:val="20"/>
              </w:rPr>
            </w:pPr>
            <w:r w:rsidDel="00000000" w:rsidR="00000000" w:rsidRPr="00000000">
              <w:rPr>
                <w:color w:val="000000"/>
                <w:sz w:val="20"/>
                <w:szCs w:val="20"/>
                <w:rtl w:val="0"/>
              </w:rPr>
              <w:t xml:space="preserve">4</w:t>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7">
            <w:pPr>
              <w:jc w:val="center"/>
              <w:rPr>
                <w:color w:val="000000"/>
                <w:sz w:val="20"/>
                <w:szCs w:val="20"/>
              </w:rPr>
            </w:pPr>
            <w:r w:rsidDel="00000000" w:rsidR="00000000" w:rsidRPr="00000000">
              <w:rPr>
                <w:color w:val="000000"/>
                <w:sz w:val="20"/>
                <w:szCs w:val="20"/>
                <w:rtl w:val="0"/>
              </w:rPr>
              <w:t xml:space="preserve">1</w:t>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9">
            <w:pPr>
              <w:jc w:val="center"/>
              <w:rPr>
                <w:color w:val="000000"/>
                <w:sz w:val="20"/>
                <w:szCs w:val="20"/>
              </w:rPr>
            </w:pPr>
            <w:r w:rsidDel="00000000" w:rsidR="00000000" w:rsidRPr="00000000">
              <w:rPr>
                <w:color w:val="000000"/>
                <w:sz w:val="20"/>
                <w:szCs w:val="20"/>
                <w:rtl w:val="0"/>
              </w:rPr>
              <w:t xml:space="preserve">1</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B">
            <w:pPr>
              <w:jc w:val="center"/>
              <w:rPr>
                <w:color w:val="000000"/>
                <w:sz w:val="20"/>
                <w:szCs w:val="20"/>
              </w:rPr>
            </w:pPr>
            <w:r w:rsidDel="00000000" w:rsidR="00000000" w:rsidRPr="00000000">
              <w:rPr>
                <w:color w:val="000000"/>
                <w:sz w:val="20"/>
                <w:szCs w:val="20"/>
                <w:rtl w:val="0"/>
              </w:rPr>
              <w:t xml:space="preserve">LEU25B, THR78B, THR78B, THR103B</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C">
            <w:pPr>
              <w:jc w:val="center"/>
              <w:rPr>
                <w:color w:val="000000"/>
                <w:sz w:val="20"/>
                <w:szCs w:val="20"/>
              </w:rPr>
            </w:pPr>
            <w:r w:rsidDel="00000000" w:rsidR="00000000" w:rsidRPr="00000000">
              <w:rPr>
                <w:color w:val="000000"/>
                <w:sz w:val="20"/>
                <w:szCs w:val="20"/>
                <w:rtl w:val="0"/>
              </w:rPr>
              <w:t xml:space="preserve">PHE75B</w:t>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9D">
            <w:pPr>
              <w:jc w:val="center"/>
              <w:rPr>
                <w:color w:val="000000"/>
                <w:sz w:val="20"/>
                <w:szCs w:val="20"/>
              </w:rPr>
            </w:pPr>
            <w:r w:rsidDel="00000000" w:rsidR="00000000" w:rsidRPr="00000000">
              <w:rPr>
                <w:color w:val="000000"/>
                <w:sz w:val="20"/>
                <w:szCs w:val="20"/>
                <w:rtl w:val="0"/>
              </w:rPr>
              <w:t xml:space="preserve">TYR106B</w:t>
            </w:r>
          </w:p>
        </w:tc>
      </w:tr>
    </w:tbl>
    <w:p w:rsidR="00000000" w:rsidDel="00000000" w:rsidP="00000000" w:rsidRDefault="00000000" w:rsidRPr="00000000" w14:paraId="0000009F">
      <w:pPr>
        <w:ind w:left="113" w:right="113" w:firstLine="284"/>
        <w:jc w:val="both"/>
        <w:rPr>
          <w:sz w:val="20"/>
          <w:szCs w:val="20"/>
        </w:rPr>
      </w:pPr>
      <w:r w:rsidDel="00000000" w:rsidR="00000000" w:rsidRPr="00000000">
        <w:rPr>
          <w:rtl w:val="0"/>
        </w:rPr>
      </w:r>
    </w:p>
    <w:p w:rsidR="00000000" w:rsidDel="00000000" w:rsidP="00000000" w:rsidRDefault="00000000" w:rsidRPr="00000000" w14:paraId="000000A0">
      <w:pPr>
        <w:tabs>
          <w:tab w:val="left" w:leader="none" w:pos="2038"/>
        </w:tabs>
        <w:ind w:firstLine="284"/>
        <w:jc w:val="both"/>
        <w:rPr>
          <w:sz w:val="20"/>
          <w:szCs w:val="20"/>
        </w:rPr>
      </w:pPr>
      <w:r w:rsidDel="00000000" w:rsidR="00000000" w:rsidRPr="00000000">
        <w:rPr>
          <w:sz w:val="20"/>
          <w:szCs w:val="20"/>
          <w:rtl w:val="0"/>
        </w:rPr>
        <w:t xml:space="preserve">Metformin, a typical medicine, has a binding energy of -5.40 kcal/mol with the active site of α-glucosidase, according to previous investigations [44–47]. The binding affinity of the α-glucosidase 8EMR protein with acetylcysteine, L-glutathione, and acetyl-L-carnitine is -3.69, -2.46, and -4.41 kcal/mol (</w:t>
      </w:r>
      <w:r w:rsidDel="00000000" w:rsidR="00000000" w:rsidRPr="00000000">
        <w:rPr>
          <w:b w:val="1"/>
          <w:sz w:val="20"/>
          <w:szCs w:val="20"/>
          <w:rtl w:val="0"/>
        </w:rPr>
        <w:t xml:space="preserve">TABLE 4</w:t>
      </w:r>
      <w:r w:rsidDel="00000000" w:rsidR="00000000" w:rsidRPr="00000000">
        <w:rPr>
          <w:sz w:val="20"/>
          <w:szCs w:val="20"/>
          <w:rtl w:val="0"/>
        </w:rPr>
        <w:t xml:space="preserve">). These findings suggest that the ligands acetylcysteine, L-glutathione, and acetyl-L-carnitine have the potential to acquire binding affinities similar to metformin. Acetylcysteine, L-glutathione, and acetyl-L-carnitine create a stable complex with the target protein to inhibiting α-glucosidase 8EMR. In this molecular docking investigation, the estimated inhibitory constant (Ki) values for interactions between the 8EMR protein and acetylcysteine, L-glutathione, and acetyl-L-carnitine were 1.96 mM, 15.78 mM, and 583.54 μM. The inhibition constant value is half the maximal inhibition of an enzyme by a chemical substance and is used to measure a substrate/inhibitor's ability to enhance or inhibit protein biology and function. Potential inhibitors are defined as those with a lower inhibition constant (Ki) [48].</w:t>
      </w:r>
    </w:p>
    <w:p w:rsidR="00000000" w:rsidDel="00000000" w:rsidP="00000000" w:rsidRDefault="00000000" w:rsidRPr="00000000" w14:paraId="000000A1">
      <w:pPr>
        <w:tabs>
          <w:tab w:val="left" w:leader="none" w:pos="2038"/>
        </w:tabs>
        <w:ind w:firstLine="284"/>
        <w:jc w:val="both"/>
        <w:rPr>
          <w:sz w:val="20"/>
          <w:szCs w:val="20"/>
        </w:rPr>
      </w:pPr>
      <w:r w:rsidDel="00000000" w:rsidR="00000000" w:rsidRPr="00000000">
        <w:rPr>
          <w:sz w:val="20"/>
          <w:szCs w:val="20"/>
          <w:rtl w:val="0"/>
        </w:rPr>
        <w:t xml:space="preserve">Comparative insights are crucial for assessing their effectiveness as α-glucosidase inhibitors. Intermolecular Energy refers to the interaction energy between the ligand and the protein, lower values signify a higher binding affinity. Internal Energy indicates the stress within the ligand molecule during binding, negative values imply that the ligand retains a stable conformation upon binding. Torsional energy measures ligand flexibility, higher torsional energy may suggest improved adaptation of the ligand to the binding site. Acetylcysteine exhibits balanced properties, characterized by significant intermolecular energy (–5.19 kcal/mol) and moderate torsional energy (1.49 kcal/mol), suggesting stable binding with a degree of flexibility. L-glutathione demonstrates significant stability, with an intermolecular energy of –6.58 kcal/mol, the lowest recorded. However, it may show flexibility because to a higher torsional energy of 3.88 kcal/mol. Acetyl-L-carnitine has an intermolecular energy of -5.49 kcal/mol and a torsional energy of 1.79 kcal/mol, highlight adaptability and effectiveness in binding interactions.</w:t>
      </w:r>
    </w:p>
    <w:p w:rsidR="00000000" w:rsidDel="00000000" w:rsidP="00000000" w:rsidRDefault="00000000" w:rsidRPr="00000000" w14:paraId="000000A2">
      <w:pPr>
        <w:pStyle w:val="Heading2"/>
        <w:spacing w:after="120" w:before="120" w:lineRule="auto"/>
        <w:rPr>
          <w:sz w:val="18"/>
          <w:szCs w:val="18"/>
        </w:rPr>
      </w:pPr>
      <w:r w:rsidDel="00000000" w:rsidR="00000000" w:rsidRPr="00000000">
        <w:rPr>
          <w:sz w:val="18"/>
          <w:szCs w:val="18"/>
          <w:rtl w:val="0"/>
        </w:rPr>
        <w:t xml:space="preserve">TABLE 4. </w:t>
      </w:r>
      <w:r w:rsidDel="00000000" w:rsidR="00000000" w:rsidRPr="00000000">
        <w:rPr>
          <w:b w:val="0"/>
          <w:sz w:val="18"/>
          <w:szCs w:val="18"/>
          <w:rtl w:val="0"/>
        </w:rPr>
        <w:t xml:space="preserve">The characteristic of 8EMR with acetylcysteine, L-glutathione and acetyl-L-carnitine</w:t>
      </w:r>
      <w:r w:rsidDel="00000000" w:rsidR="00000000" w:rsidRPr="00000000">
        <w:rPr>
          <w:sz w:val="18"/>
          <w:szCs w:val="18"/>
          <w:rtl w:val="0"/>
        </w:rPr>
        <w:t xml:space="preserve">.</w:t>
      </w:r>
    </w:p>
    <w:tbl>
      <w:tblPr>
        <w:tblStyle w:val="Table4"/>
        <w:tblW w:w="9213.999999999998" w:type="dxa"/>
        <w:jc w:val="left"/>
        <w:tblLayout w:type="fixed"/>
        <w:tblLook w:val="0400"/>
      </w:tblPr>
      <w:tblGrid>
        <w:gridCol w:w="1843"/>
        <w:gridCol w:w="850"/>
        <w:gridCol w:w="1135"/>
        <w:gridCol w:w="1505"/>
        <w:gridCol w:w="1188"/>
        <w:gridCol w:w="1276"/>
        <w:gridCol w:w="1417"/>
        <w:tblGridChange w:id="0">
          <w:tblGrid>
            <w:gridCol w:w="1843"/>
            <w:gridCol w:w="850"/>
            <w:gridCol w:w="1135"/>
            <w:gridCol w:w="1505"/>
            <w:gridCol w:w="1188"/>
            <w:gridCol w:w="1276"/>
            <w:gridCol w:w="1417"/>
          </w:tblGrid>
        </w:tblGridChange>
      </w:tblGrid>
      <w:tr>
        <w:trPr>
          <w:cantSplit w:val="0"/>
          <w:trHeight w:val="510" w:hRule="atLeast"/>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3">
            <w:pPr>
              <w:jc w:val="center"/>
              <w:rPr>
                <w:b w:val="1"/>
                <w:color w:val="000000"/>
                <w:sz w:val="20"/>
                <w:szCs w:val="20"/>
              </w:rPr>
            </w:pPr>
            <w:r w:rsidDel="00000000" w:rsidR="00000000" w:rsidRPr="00000000">
              <w:rPr>
                <w:b w:val="1"/>
                <w:color w:val="000000"/>
                <w:sz w:val="20"/>
                <w:szCs w:val="20"/>
                <w:rtl w:val="0"/>
              </w:rPr>
              <w:t xml:space="preserve">Ligand</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4">
            <w:pPr>
              <w:jc w:val="center"/>
              <w:rPr>
                <w:b w:val="1"/>
                <w:color w:val="000000"/>
                <w:sz w:val="20"/>
                <w:szCs w:val="20"/>
              </w:rPr>
            </w:pPr>
            <w:r w:rsidDel="00000000" w:rsidR="00000000" w:rsidRPr="00000000">
              <w:rPr>
                <w:b w:val="1"/>
                <w:color w:val="000000"/>
                <w:sz w:val="20"/>
                <w:szCs w:val="20"/>
                <w:rtl w:val="0"/>
              </w:rPr>
              <w:t xml:space="preserve">Cluster RMSD</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5">
            <w:pPr>
              <w:jc w:val="center"/>
              <w:rPr>
                <w:b w:val="1"/>
                <w:color w:val="000000"/>
                <w:sz w:val="20"/>
                <w:szCs w:val="20"/>
              </w:rPr>
            </w:pPr>
            <w:r w:rsidDel="00000000" w:rsidR="00000000" w:rsidRPr="00000000">
              <w:rPr>
                <w:b w:val="1"/>
                <w:color w:val="000000"/>
                <w:sz w:val="20"/>
                <w:szCs w:val="20"/>
                <w:rtl w:val="0"/>
              </w:rPr>
              <w:t xml:space="preserve">Inhibition constant (KI)</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6">
            <w:pPr>
              <w:jc w:val="center"/>
              <w:rPr>
                <w:b w:val="1"/>
                <w:color w:val="000000"/>
                <w:sz w:val="20"/>
                <w:szCs w:val="20"/>
              </w:rPr>
            </w:pPr>
            <w:r w:rsidDel="00000000" w:rsidR="00000000" w:rsidRPr="00000000">
              <w:rPr>
                <w:b w:val="1"/>
                <w:color w:val="000000"/>
                <w:sz w:val="20"/>
                <w:szCs w:val="20"/>
                <w:rtl w:val="0"/>
              </w:rPr>
              <w:t xml:space="preserve">Intermolecular Energy (kcal/mol)</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7">
            <w:pPr>
              <w:jc w:val="center"/>
              <w:rPr>
                <w:b w:val="1"/>
                <w:color w:val="000000"/>
                <w:sz w:val="20"/>
                <w:szCs w:val="20"/>
              </w:rPr>
            </w:pPr>
            <w:r w:rsidDel="00000000" w:rsidR="00000000" w:rsidRPr="00000000">
              <w:rPr>
                <w:b w:val="1"/>
                <w:color w:val="000000"/>
                <w:sz w:val="20"/>
                <w:szCs w:val="20"/>
                <w:rtl w:val="0"/>
              </w:rPr>
              <w:t xml:space="preserve">Internal Energy (kcal/mol)</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8">
            <w:pPr>
              <w:jc w:val="center"/>
              <w:rPr>
                <w:b w:val="1"/>
                <w:color w:val="000000"/>
                <w:sz w:val="20"/>
                <w:szCs w:val="20"/>
              </w:rPr>
            </w:pPr>
            <w:r w:rsidDel="00000000" w:rsidR="00000000" w:rsidRPr="00000000">
              <w:rPr>
                <w:b w:val="1"/>
                <w:color w:val="000000"/>
                <w:sz w:val="20"/>
                <w:szCs w:val="20"/>
                <w:rtl w:val="0"/>
              </w:rPr>
              <w:t xml:space="preserve">Torsional energy (kcal/mol)</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A9">
            <w:pPr>
              <w:jc w:val="center"/>
              <w:rPr>
                <w:b w:val="1"/>
                <w:color w:val="000000"/>
                <w:sz w:val="20"/>
                <w:szCs w:val="20"/>
              </w:rPr>
            </w:pPr>
            <w:r w:rsidDel="00000000" w:rsidR="00000000" w:rsidRPr="00000000">
              <w:rPr>
                <w:b w:val="1"/>
                <w:color w:val="000000"/>
                <w:sz w:val="20"/>
                <w:szCs w:val="20"/>
                <w:rtl w:val="0"/>
              </w:rPr>
              <w:t xml:space="preserve">Binding Energy (kcal/mol)</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A">
            <w:pPr>
              <w:jc w:val="center"/>
              <w:rPr>
                <w:color w:val="000000"/>
                <w:sz w:val="20"/>
                <w:szCs w:val="20"/>
              </w:rPr>
            </w:pPr>
            <w:r w:rsidDel="00000000" w:rsidR="00000000" w:rsidRPr="00000000">
              <w:rPr>
                <w:color w:val="000000"/>
                <w:sz w:val="20"/>
                <w:szCs w:val="20"/>
                <w:rtl w:val="0"/>
              </w:rPr>
              <w:t xml:space="preserve">Acetylcysteine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B">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C">
            <w:pPr>
              <w:jc w:val="center"/>
              <w:rPr>
                <w:color w:val="000000"/>
                <w:sz w:val="20"/>
                <w:szCs w:val="20"/>
              </w:rPr>
            </w:pPr>
            <w:r w:rsidDel="00000000" w:rsidR="00000000" w:rsidRPr="00000000">
              <w:rPr>
                <w:color w:val="000000"/>
                <w:sz w:val="20"/>
                <w:szCs w:val="20"/>
                <w:rtl w:val="0"/>
              </w:rPr>
              <w:t xml:space="preserve">1.96 mM</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D">
            <w:pPr>
              <w:jc w:val="center"/>
              <w:rPr>
                <w:color w:val="000000"/>
                <w:sz w:val="20"/>
                <w:szCs w:val="20"/>
              </w:rPr>
            </w:pPr>
            <w:r w:rsidDel="00000000" w:rsidR="00000000" w:rsidRPr="00000000">
              <w:rPr>
                <w:color w:val="000000"/>
                <w:sz w:val="20"/>
                <w:szCs w:val="20"/>
                <w:rtl w:val="0"/>
              </w:rPr>
              <w:t xml:space="preserve">-5.19</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E">
            <w:pPr>
              <w:jc w:val="center"/>
              <w:rPr>
                <w:color w:val="000000"/>
                <w:sz w:val="20"/>
                <w:szCs w:val="20"/>
              </w:rPr>
            </w:pPr>
            <w:r w:rsidDel="00000000" w:rsidR="00000000" w:rsidRPr="00000000">
              <w:rPr>
                <w:color w:val="000000"/>
                <w:sz w:val="20"/>
                <w:szCs w:val="20"/>
                <w:rtl w:val="0"/>
              </w:rPr>
              <w:t xml:space="preserve">-1.58</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F">
            <w:pPr>
              <w:jc w:val="center"/>
              <w:rPr>
                <w:color w:val="000000"/>
                <w:sz w:val="20"/>
                <w:szCs w:val="20"/>
              </w:rPr>
            </w:pPr>
            <w:r w:rsidDel="00000000" w:rsidR="00000000" w:rsidRPr="00000000">
              <w:rPr>
                <w:color w:val="000000"/>
                <w:sz w:val="20"/>
                <w:szCs w:val="20"/>
                <w:rtl w:val="0"/>
              </w:rPr>
              <w:t xml:space="preserve">1.49</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0">
            <w:pPr>
              <w:jc w:val="center"/>
              <w:rPr>
                <w:color w:val="000000"/>
                <w:sz w:val="20"/>
                <w:szCs w:val="20"/>
              </w:rPr>
            </w:pPr>
            <w:r w:rsidDel="00000000" w:rsidR="00000000" w:rsidRPr="00000000">
              <w:rPr>
                <w:color w:val="000000"/>
                <w:sz w:val="20"/>
                <w:szCs w:val="20"/>
                <w:rtl w:val="0"/>
              </w:rPr>
              <w:t xml:space="preserve">-3.69</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1">
            <w:pPr>
              <w:jc w:val="center"/>
              <w:rPr>
                <w:color w:val="000000"/>
                <w:sz w:val="20"/>
                <w:szCs w:val="20"/>
              </w:rPr>
            </w:pPr>
            <w:r w:rsidDel="00000000" w:rsidR="00000000" w:rsidRPr="00000000">
              <w:rPr>
                <w:color w:val="000000"/>
                <w:sz w:val="20"/>
                <w:szCs w:val="20"/>
                <w:rtl w:val="0"/>
              </w:rPr>
              <w:t xml:space="preserve">L-glutathione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2">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3">
            <w:pPr>
              <w:jc w:val="center"/>
              <w:rPr>
                <w:color w:val="000000"/>
                <w:sz w:val="20"/>
                <w:szCs w:val="20"/>
              </w:rPr>
            </w:pPr>
            <w:r w:rsidDel="00000000" w:rsidR="00000000" w:rsidRPr="00000000">
              <w:rPr>
                <w:color w:val="000000"/>
                <w:sz w:val="20"/>
                <w:szCs w:val="20"/>
                <w:rtl w:val="0"/>
              </w:rPr>
              <w:t xml:space="preserve">15.78 mM</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4">
            <w:pPr>
              <w:jc w:val="center"/>
              <w:rPr>
                <w:color w:val="000000"/>
                <w:sz w:val="20"/>
                <w:szCs w:val="20"/>
              </w:rPr>
            </w:pPr>
            <w:r w:rsidDel="00000000" w:rsidR="00000000" w:rsidRPr="00000000">
              <w:rPr>
                <w:color w:val="000000"/>
                <w:sz w:val="20"/>
                <w:szCs w:val="20"/>
                <w:rtl w:val="0"/>
              </w:rPr>
              <w:t xml:space="preserve">-5.53</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5">
            <w:pPr>
              <w:jc w:val="center"/>
              <w:rPr>
                <w:color w:val="000000"/>
                <w:sz w:val="20"/>
                <w:szCs w:val="20"/>
              </w:rPr>
            </w:pPr>
            <w:r w:rsidDel="00000000" w:rsidR="00000000" w:rsidRPr="00000000">
              <w:rPr>
                <w:color w:val="000000"/>
                <w:sz w:val="20"/>
                <w:szCs w:val="20"/>
                <w:rtl w:val="0"/>
              </w:rPr>
              <w:t xml:space="preserve">-6.58</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6">
            <w:pPr>
              <w:jc w:val="center"/>
              <w:rPr>
                <w:color w:val="000000"/>
                <w:sz w:val="20"/>
                <w:szCs w:val="20"/>
              </w:rPr>
            </w:pPr>
            <w:r w:rsidDel="00000000" w:rsidR="00000000" w:rsidRPr="00000000">
              <w:rPr>
                <w:color w:val="000000"/>
                <w:sz w:val="20"/>
                <w:szCs w:val="20"/>
                <w:rtl w:val="0"/>
              </w:rPr>
              <w:t xml:space="preserve">3.88</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B7">
            <w:pPr>
              <w:jc w:val="center"/>
              <w:rPr>
                <w:color w:val="000000"/>
                <w:sz w:val="20"/>
                <w:szCs w:val="20"/>
              </w:rPr>
            </w:pPr>
            <w:r w:rsidDel="00000000" w:rsidR="00000000" w:rsidRPr="00000000">
              <w:rPr>
                <w:color w:val="000000"/>
                <w:sz w:val="20"/>
                <w:szCs w:val="20"/>
                <w:rtl w:val="0"/>
              </w:rPr>
              <w:t xml:space="preserve">-2.46</w:t>
            </w:r>
          </w:p>
        </w:tc>
      </w:tr>
      <w:tr>
        <w:trPr>
          <w:cantSplit w:val="0"/>
          <w:trHeight w:val="255" w:hRule="atLeast"/>
          <w:tblHeader w:val="0"/>
        </w:trPr>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8">
            <w:pPr>
              <w:jc w:val="center"/>
              <w:rPr>
                <w:color w:val="000000"/>
                <w:sz w:val="20"/>
                <w:szCs w:val="20"/>
              </w:rPr>
            </w:pPr>
            <w:r w:rsidDel="00000000" w:rsidR="00000000" w:rsidRPr="00000000">
              <w:rPr>
                <w:color w:val="000000"/>
                <w:sz w:val="20"/>
                <w:szCs w:val="20"/>
                <w:rtl w:val="0"/>
              </w:rPr>
              <w:t xml:space="preserve">acetyl-L-carnitine </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9">
            <w:pPr>
              <w:jc w:val="cente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A">
            <w:pPr>
              <w:jc w:val="center"/>
              <w:rPr>
                <w:color w:val="000000"/>
                <w:sz w:val="20"/>
                <w:szCs w:val="20"/>
              </w:rPr>
            </w:pPr>
            <w:r w:rsidDel="00000000" w:rsidR="00000000" w:rsidRPr="00000000">
              <w:rPr>
                <w:color w:val="000000"/>
                <w:sz w:val="20"/>
                <w:szCs w:val="20"/>
                <w:rtl w:val="0"/>
              </w:rPr>
              <w:t xml:space="preserve">583.54 </w:t>
            </w:r>
            <w:r w:rsidDel="00000000" w:rsidR="00000000" w:rsidRPr="00000000">
              <w:rPr>
                <w:rFonts w:ascii="Calibri" w:cs="Calibri" w:eastAsia="Calibri" w:hAnsi="Calibri"/>
                <w:color w:val="000000"/>
                <w:sz w:val="20"/>
                <w:szCs w:val="20"/>
                <w:rtl w:val="0"/>
              </w:rPr>
              <w:t xml:space="preserve">μM</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B">
            <w:pPr>
              <w:jc w:val="center"/>
              <w:rPr>
                <w:color w:val="000000"/>
                <w:sz w:val="20"/>
                <w:szCs w:val="20"/>
              </w:rPr>
            </w:pPr>
            <w:r w:rsidDel="00000000" w:rsidR="00000000" w:rsidRPr="00000000">
              <w:rPr>
                <w:color w:val="000000"/>
                <w:sz w:val="20"/>
                <w:szCs w:val="20"/>
                <w:rtl w:val="0"/>
              </w:rPr>
              <w:t xml:space="preserve">-5.49</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C">
            <w:pPr>
              <w:jc w:val="center"/>
              <w:rPr>
                <w:color w:val="000000"/>
                <w:sz w:val="20"/>
                <w:szCs w:val="20"/>
              </w:rPr>
            </w:pPr>
            <w:r w:rsidDel="00000000" w:rsidR="00000000" w:rsidRPr="00000000">
              <w:rPr>
                <w:color w:val="000000"/>
                <w:sz w:val="20"/>
                <w:szCs w:val="20"/>
                <w:rtl w:val="0"/>
              </w:rPr>
              <w:t xml:space="preserve">-1.08</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D">
            <w:pPr>
              <w:jc w:val="center"/>
              <w:rPr>
                <w:color w:val="000000"/>
                <w:sz w:val="20"/>
                <w:szCs w:val="20"/>
              </w:rPr>
            </w:pPr>
            <w:r w:rsidDel="00000000" w:rsidR="00000000" w:rsidRPr="00000000">
              <w:rPr>
                <w:color w:val="000000"/>
                <w:sz w:val="20"/>
                <w:szCs w:val="20"/>
                <w:rtl w:val="0"/>
              </w:rPr>
              <w:t xml:space="preserve">1.79</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BE">
            <w:pPr>
              <w:jc w:val="center"/>
              <w:rPr>
                <w:color w:val="000000"/>
                <w:sz w:val="20"/>
                <w:szCs w:val="20"/>
              </w:rPr>
            </w:pPr>
            <w:r w:rsidDel="00000000" w:rsidR="00000000" w:rsidRPr="00000000">
              <w:rPr>
                <w:color w:val="000000"/>
                <w:sz w:val="20"/>
                <w:szCs w:val="20"/>
                <w:rtl w:val="0"/>
              </w:rPr>
              <w:t xml:space="preserve">-4.41</w:t>
            </w:r>
          </w:p>
        </w:tc>
      </w:tr>
    </w:tbl>
    <w:p w:rsidR="00000000" w:rsidDel="00000000" w:rsidP="00000000" w:rsidRDefault="00000000" w:rsidRPr="00000000" w14:paraId="000000BF">
      <w:pPr>
        <w:ind w:right="113"/>
        <w:rPr/>
      </w:pPr>
      <w:r w:rsidDel="00000000" w:rsidR="00000000" w:rsidRPr="00000000">
        <w:rPr>
          <w:rtl w:val="0"/>
        </w:rPr>
      </w:r>
    </w:p>
    <w:p w:rsidR="00000000" w:rsidDel="00000000" w:rsidP="00000000" w:rsidRDefault="00000000" w:rsidRPr="00000000" w14:paraId="000000C0">
      <w:pPr>
        <w:ind w:firstLine="284"/>
        <w:jc w:val="both"/>
        <w:rPr>
          <w:sz w:val="20"/>
          <w:szCs w:val="20"/>
        </w:rPr>
      </w:pPr>
      <w:r w:rsidDel="00000000" w:rsidR="00000000" w:rsidRPr="00000000">
        <w:rPr>
          <w:b w:val="1"/>
          <w:sz w:val="20"/>
          <w:szCs w:val="20"/>
          <w:rtl w:val="0"/>
        </w:rPr>
        <w:t xml:space="preserve">TABLE 5</w:t>
      </w:r>
      <w:sdt>
        <w:sdtPr>
          <w:id w:val="1201563745"/>
          <w:tag w:val="goog_rdk_0"/>
        </w:sdtPr>
        <w:sdtContent>
          <w:r w:rsidDel="00000000" w:rsidR="00000000" w:rsidRPr="00000000">
            <w:rPr>
              <w:rFonts w:ascii="Gungsuh" w:cs="Gungsuh" w:eastAsia="Gungsuh" w:hAnsi="Gungsuh"/>
              <w:sz w:val="20"/>
              <w:szCs w:val="20"/>
              <w:rtl w:val="0"/>
            </w:rPr>
            <w:t xml:space="preserve"> shows that Acetylcysteine, L-Glutathione, and Acetyl-L-Carnitine exhibited moderate to strong binding energies (-5.19, -2.46, and -4.41 kcal/mol, respectively), indicating a good potential for stable inhibitor-enzyme complexes that could serve as Metformin alternatives. The Annona muricata study produced promising results, indicating that 15-acetyl guanacone has a high binding affinity (−7.00 kcal/mol) for glucosidase that is better than Metformin (−5.40 kcal/mol) [49]. This shows that plant extracts may be excellent inhibitors of glucosidase and could be helpful in developing new obesity and diabetes treatments. The same could be said for the flavonoids and other natural polyphenols studied, because they also seem to be good inhibitors of glucosidase. Binding energies for both Quercetin and Acarbose hovered around -4.8 to -5.0 kcal/mol, indicating comparable effectiveness to our reference medications, and perhaps even greater reliability due to potential side effects. Furthermore, these flavonoids highlight their potential for regulating postprandial glycemia, offering an effective and safer approach in managing blood sugar level [50]. In summary, all three studies demonstrate significant potential in α-glucosidase inhibition, with plant-based and amino acid-based inhibitors offering viable and natural alternatives to conventional drugs like Metformin and Acarbose. These findings pave the way for further research into natural compounds to improve diabetes treatment strategies.</w:t>
          </w:r>
        </w:sdtContent>
      </w:sdt>
    </w:p>
    <w:p w:rsidR="00000000" w:rsidDel="00000000" w:rsidP="00000000" w:rsidRDefault="00000000" w:rsidRPr="00000000" w14:paraId="000000C1">
      <w:pPr>
        <w:pStyle w:val="Heading2"/>
        <w:spacing w:after="120" w:before="120" w:lineRule="auto"/>
        <w:rPr>
          <w:sz w:val="18"/>
          <w:szCs w:val="18"/>
        </w:rPr>
      </w:pPr>
      <w:bookmarkStart w:colFirst="0" w:colLast="0" w:name="_heading=h.4i3mspmwr0ng" w:id="2"/>
      <w:bookmarkEnd w:id="2"/>
      <w:r w:rsidDel="00000000" w:rsidR="00000000" w:rsidRPr="00000000">
        <w:rPr>
          <w:sz w:val="18"/>
          <w:szCs w:val="18"/>
          <w:rtl w:val="0"/>
        </w:rPr>
        <w:t xml:space="preserve">TABLE 5. </w:t>
      </w:r>
      <w:r w:rsidDel="00000000" w:rsidR="00000000" w:rsidRPr="00000000">
        <w:rPr>
          <w:b w:val="0"/>
          <w:sz w:val="18"/>
          <w:szCs w:val="18"/>
          <w:rtl w:val="0"/>
        </w:rPr>
        <w:t xml:space="preserve">Comparison of α-Glucosidase Inhibition Potency.</w:t>
      </w:r>
      <w:r w:rsidDel="00000000" w:rsidR="00000000" w:rsidRPr="00000000">
        <w:rPr>
          <w:rtl w:val="0"/>
        </w:rPr>
      </w:r>
    </w:p>
    <w:tbl>
      <w:tblPr>
        <w:tblStyle w:val="Table5"/>
        <w:tblW w:w="9155.0" w:type="dxa"/>
        <w:jc w:val="left"/>
        <w:tblLayout w:type="fixed"/>
        <w:tblLook w:val="0400"/>
      </w:tblPr>
      <w:tblGrid>
        <w:gridCol w:w="1985"/>
        <w:gridCol w:w="1697"/>
        <w:gridCol w:w="1847"/>
        <w:gridCol w:w="2126"/>
        <w:gridCol w:w="1500"/>
        <w:tblGridChange w:id="0">
          <w:tblGrid>
            <w:gridCol w:w="1985"/>
            <w:gridCol w:w="1697"/>
            <w:gridCol w:w="1847"/>
            <w:gridCol w:w="2126"/>
            <w:gridCol w:w="1500"/>
          </w:tblGrid>
        </w:tblGridChange>
      </w:tblGrid>
      <w:tr>
        <w:trPr>
          <w:cantSplit w:val="0"/>
          <w:trHeight w:val="510" w:hRule="atLeast"/>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C2">
            <w:pPr>
              <w:jc w:val="center"/>
              <w:rPr>
                <w:b w:val="1"/>
                <w:color w:val="000000"/>
                <w:sz w:val="20"/>
                <w:szCs w:val="20"/>
              </w:rPr>
            </w:pPr>
            <w:r w:rsidDel="00000000" w:rsidR="00000000" w:rsidRPr="00000000">
              <w:rPr>
                <w:b w:val="1"/>
                <w:color w:val="000000"/>
                <w:sz w:val="20"/>
                <w:szCs w:val="20"/>
                <w:rtl w:val="0"/>
              </w:rPr>
              <w:t xml:space="preserve">Ligand</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C3">
            <w:pPr>
              <w:jc w:val="center"/>
              <w:rPr>
                <w:b w:val="1"/>
                <w:color w:val="000000"/>
                <w:sz w:val="20"/>
                <w:szCs w:val="20"/>
              </w:rPr>
            </w:pPr>
            <w:r w:rsidDel="00000000" w:rsidR="00000000" w:rsidRPr="00000000">
              <w:rPr>
                <w:b w:val="1"/>
                <w:color w:val="000000"/>
                <w:sz w:val="20"/>
                <w:szCs w:val="20"/>
                <w:rtl w:val="0"/>
              </w:rPr>
              <w:t xml:space="preserve">Binding Energy (kcal/mol)</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C4">
            <w:pPr>
              <w:jc w:val="center"/>
              <w:rPr>
                <w:b w:val="1"/>
                <w:color w:val="000000"/>
                <w:sz w:val="20"/>
                <w:szCs w:val="20"/>
              </w:rPr>
            </w:pPr>
            <w:r w:rsidDel="00000000" w:rsidR="00000000" w:rsidRPr="00000000">
              <w:rPr>
                <w:b w:val="1"/>
                <w:color w:val="000000"/>
                <w:sz w:val="20"/>
                <w:szCs w:val="20"/>
                <w:rtl w:val="0"/>
              </w:rPr>
              <w:t xml:space="preserve">Inhibitor Type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C5">
            <w:pPr>
              <w:jc w:val="center"/>
              <w:rPr>
                <w:b w:val="1"/>
                <w:color w:val="000000"/>
                <w:sz w:val="20"/>
                <w:szCs w:val="20"/>
              </w:rPr>
            </w:pPr>
            <w:r w:rsidDel="00000000" w:rsidR="00000000" w:rsidRPr="00000000">
              <w:rPr>
                <w:b w:val="1"/>
                <w:color w:val="000000"/>
                <w:sz w:val="20"/>
                <w:szCs w:val="20"/>
                <w:rtl w:val="0"/>
              </w:rPr>
              <w:t xml:space="preserve">Key Advantages</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C6">
            <w:pPr>
              <w:jc w:val="center"/>
              <w:rPr>
                <w:b w:val="1"/>
                <w:color w:val="000000"/>
                <w:sz w:val="20"/>
                <w:szCs w:val="20"/>
              </w:rPr>
            </w:pPr>
            <w:r w:rsidDel="00000000" w:rsidR="00000000" w:rsidRPr="00000000">
              <w:rPr>
                <w:b w:val="1"/>
                <w:color w:val="000000"/>
                <w:sz w:val="20"/>
                <w:szCs w:val="20"/>
                <w:rtl w:val="0"/>
              </w:rPr>
              <w:t xml:space="preserve">Ref</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7">
            <w:pPr>
              <w:jc w:val="center"/>
              <w:rPr>
                <w:color w:val="000000"/>
                <w:sz w:val="20"/>
                <w:szCs w:val="20"/>
              </w:rPr>
            </w:pPr>
            <w:r w:rsidDel="00000000" w:rsidR="00000000" w:rsidRPr="00000000">
              <w:rPr>
                <w:color w:val="000000"/>
                <w:sz w:val="20"/>
                <w:szCs w:val="20"/>
                <w:rtl w:val="0"/>
              </w:rPr>
              <w:t xml:space="preserve">Acetylcysteine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8">
            <w:pPr>
              <w:jc w:val="center"/>
              <w:rPr>
                <w:color w:val="000000"/>
                <w:sz w:val="20"/>
                <w:szCs w:val="20"/>
              </w:rPr>
            </w:pPr>
            <w:r w:rsidDel="00000000" w:rsidR="00000000" w:rsidRPr="00000000">
              <w:rPr>
                <w:color w:val="000000"/>
                <w:sz w:val="20"/>
                <w:szCs w:val="20"/>
                <w:rtl w:val="0"/>
              </w:rPr>
              <w:t xml:space="preserve">-3.69</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9">
            <w:pPr>
              <w:jc w:val="center"/>
              <w:rPr>
                <w:color w:val="000000"/>
                <w:sz w:val="20"/>
                <w:szCs w:val="20"/>
              </w:rPr>
            </w:pPr>
            <w:r w:rsidDel="00000000" w:rsidR="00000000" w:rsidRPr="00000000">
              <w:rPr>
                <w:color w:val="000000"/>
                <w:sz w:val="20"/>
                <w:szCs w:val="20"/>
                <w:rtl w:val="0"/>
              </w:rPr>
              <w:t xml:space="preserve">amino acid based </w:t>
            </w:r>
          </w:p>
        </w:tc>
        <w:tc>
          <w:tcPr>
            <w:vMerge w:val="restart"/>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A">
            <w:pPr>
              <w:rPr>
                <w:color w:val="000000"/>
                <w:sz w:val="20"/>
                <w:szCs w:val="20"/>
              </w:rPr>
            </w:pPr>
            <w:r w:rsidDel="00000000" w:rsidR="00000000" w:rsidRPr="00000000">
              <w:rPr>
                <w:color w:val="000000"/>
                <w:sz w:val="20"/>
                <w:szCs w:val="20"/>
                <w:rtl w:val="0"/>
              </w:rPr>
              <w:t xml:space="preserve">Moderate to strong binding, stable complexes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B">
            <w:pPr>
              <w:jc w:val="center"/>
              <w:rPr>
                <w:color w:val="000000"/>
                <w:sz w:val="20"/>
                <w:szCs w:val="20"/>
              </w:rPr>
            </w:pPr>
            <w:r w:rsidDel="00000000" w:rsidR="00000000" w:rsidRPr="00000000">
              <w:rPr>
                <w:color w:val="000000"/>
                <w:sz w:val="20"/>
                <w:szCs w:val="20"/>
                <w:rtl w:val="0"/>
              </w:rPr>
              <w:t xml:space="preserve">this paper</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C">
            <w:pPr>
              <w:jc w:val="center"/>
              <w:rPr>
                <w:color w:val="000000"/>
                <w:sz w:val="20"/>
                <w:szCs w:val="20"/>
              </w:rPr>
            </w:pPr>
            <w:r w:rsidDel="00000000" w:rsidR="00000000" w:rsidRPr="00000000">
              <w:rPr>
                <w:color w:val="000000"/>
                <w:sz w:val="20"/>
                <w:szCs w:val="20"/>
                <w:rtl w:val="0"/>
              </w:rPr>
              <w:t xml:space="preserve">L-glutathione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D">
            <w:pPr>
              <w:jc w:val="center"/>
              <w:rPr>
                <w:color w:val="000000"/>
                <w:sz w:val="20"/>
                <w:szCs w:val="20"/>
              </w:rPr>
            </w:pPr>
            <w:r w:rsidDel="00000000" w:rsidR="00000000" w:rsidRPr="00000000">
              <w:rPr>
                <w:color w:val="000000"/>
                <w:sz w:val="20"/>
                <w:szCs w:val="20"/>
                <w:rtl w:val="0"/>
              </w:rPr>
              <w:t xml:space="preserve">-2.46</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E">
            <w:pPr>
              <w:jc w:val="center"/>
              <w:rPr>
                <w:color w:val="000000"/>
                <w:sz w:val="20"/>
                <w:szCs w:val="20"/>
              </w:rPr>
            </w:pPr>
            <w:r w:rsidDel="00000000" w:rsidR="00000000" w:rsidRPr="00000000">
              <w:rPr>
                <w:color w:val="000000"/>
                <w:sz w:val="20"/>
                <w:szCs w:val="20"/>
                <w:rtl w:val="0"/>
              </w:rPr>
              <w:t xml:space="preserve">amino acid based </w:t>
            </w:r>
          </w:p>
        </w:tc>
        <w:tc>
          <w:tcPr>
            <w:vMerge w:val="continue"/>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0">
            <w:pPr>
              <w:jc w:val="center"/>
              <w:rPr>
                <w:color w:val="000000"/>
                <w:sz w:val="20"/>
                <w:szCs w:val="20"/>
              </w:rPr>
            </w:pPr>
            <w:r w:rsidDel="00000000" w:rsidR="00000000" w:rsidRPr="00000000">
              <w:rPr>
                <w:color w:val="000000"/>
                <w:sz w:val="20"/>
                <w:szCs w:val="20"/>
                <w:rtl w:val="0"/>
              </w:rPr>
              <w:t xml:space="preserve">this paper</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1">
            <w:pPr>
              <w:jc w:val="center"/>
              <w:rPr>
                <w:color w:val="000000"/>
                <w:sz w:val="20"/>
                <w:szCs w:val="20"/>
              </w:rPr>
            </w:pPr>
            <w:r w:rsidDel="00000000" w:rsidR="00000000" w:rsidRPr="00000000">
              <w:rPr>
                <w:color w:val="000000"/>
                <w:sz w:val="20"/>
                <w:szCs w:val="20"/>
                <w:rtl w:val="0"/>
              </w:rPr>
              <w:t xml:space="preserve">acetyl-L-carnitine </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2">
            <w:pPr>
              <w:jc w:val="center"/>
              <w:rPr>
                <w:color w:val="000000"/>
                <w:sz w:val="20"/>
                <w:szCs w:val="20"/>
              </w:rPr>
            </w:pPr>
            <w:r w:rsidDel="00000000" w:rsidR="00000000" w:rsidRPr="00000000">
              <w:rPr>
                <w:color w:val="000000"/>
                <w:sz w:val="20"/>
                <w:szCs w:val="20"/>
                <w:rtl w:val="0"/>
              </w:rPr>
              <w:t xml:space="preserve">-4.41</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3">
            <w:pPr>
              <w:jc w:val="center"/>
              <w:rPr>
                <w:color w:val="000000"/>
                <w:sz w:val="20"/>
                <w:szCs w:val="20"/>
              </w:rPr>
            </w:pPr>
            <w:r w:rsidDel="00000000" w:rsidR="00000000" w:rsidRPr="00000000">
              <w:rPr>
                <w:color w:val="000000"/>
                <w:sz w:val="20"/>
                <w:szCs w:val="20"/>
                <w:rtl w:val="0"/>
              </w:rPr>
              <w:t xml:space="preserve">amino acid based </w:t>
            </w:r>
          </w:p>
        </w:tc>
        <w:tc>
          <w:tcPr>
            <w:vMerge w:val="continue"/>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5">
            <w:pPr>
              <w:jc w:val="center"/>
              <w:rPr>
                <w:color w:val="000000"/>
                <w:sz w:val="20"/>
                <w:szCs w:val="20"/>
              </w:rPr>
            </w:pPr>
            <w:r w:rsidDel="00000000" w:rsidR="00000000" w:rsidRPr="00000000">
              <w:rPr>
                <w:color w:val="000000"/>
                <w:sz w:val="20"/>
                <w:szCs w:val="20"/>
                <w:rtl w:val="0"/>
              </w:rPr>
              <w:t xml:space="preserve">this paper</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6">
            <w:pPr>
              <w:jc w:val="center"/>
              <w:rPr>
                <w:color w:val="000000"/>
                <w:sz w:val="20"/>
                <w:szCs w:val="20"/>
              </w:rPr>
            </w:pPr>
            <w:r w:rsidDel="00000000" w:rsidR="00000000" w:rsidRPr="00000000">
              <w:rPr>
                <w:color w:val="000000"/>
                <w:sz w:val="20"/>
                <w:szCs w:val="20"/>
                <w:rtl w:val="0"/>
              </w:rPr>
              <w:t xml:space="preserve">Metformin</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7">
            <w:pPr>
              <w:jc w:val="center"/>
              <w:rPr>
                <w:color w:val="000000"/>
                <w:sz w:val="20"/>
                <w:szCs w:val="20"/>
              </w:rPr>
            </w:pPr>
            <w:r w:rsidDel="00000000" w:rsidR="00000000" w:rsidRPr="00000000">
              <w:rPr>
                <w:color w:val="000000"/>
                <w:sz w:val="20"/>
                <w:szCs w:val="20"/>
                <w:rtl w:val="0"/>
              </w:rPr>
              <w:t xml:space="preserve">-5.40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8">
            <w:pPr>
              <w:jc w:val="center"/>
              <w:rPr>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D9">
            <w:pPr>
              <w:jc w:val="center"/>
              <w:rPr>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A">
            <w:pPr>
              <w:jc w:val="center"/>
              <w:rPr>
                <w:sz w:val="20"/>
                <w:szCs w:val="20"/>
              </w:rPr>
            </w:pPr>
            <w:r w:rsidDel="00000000" w:rsidR="00000000" w:rsidRPr="00000000">
              <w:rPr>
                <w:sz w:val="20"/>
                <w:szCs w:val="20"/>
                <w:rtl w:val="0"/>
              </w:rPr>
              <w:t xml:space="preserve">[49]</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B">
            <w:pPr>
              <w:jc w:val="center"/>
              <w:rPr>
                <w:color w:val="000000"/>
                <w:sz w:val="20"/>
                <w:szCs w:val="20"/>
              </w:rPr>
            </w:pPr>
            <w:r w:rsidDel="00000000" w:rsidR="00000000" w:rsidRPr="00000000">
              <w:rPr>
                <w:color w:val="000000"/>
                <w:sz w:val="20"/>
                <w:szCs w:val="20"/>
                <w:rtl w:val="0"/>
              </w:rPr>
              <w:t xml:space="preserve">15-acetyl guanacone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C">
            <w:pPr>
              <w:jc w:val="center"/>
              <w:rPr>
                <w:color w:val="000000"/>
                <w:sz w:val="20"/>
                <w:szCs w:val="20"/>
              </w:rPr>
            </w:pPr>
            <w:r w:rsidDel="00000000" w:rsidR="00000000" w:rsidRPr="00000000">
              <w:rPr>
                <w:color w:val="000000"/>
                <w:sz w:val="20"/>
                <w:szCs w:val="20"/>
                <w:rtl w:val="0"/>
              </w:rPr>
              <w:t xml:space="preserve">-7.00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D">
            <w:pPr>
              <w:jc w:val="center"/>
              <w:rPr>
                <w:color w:val="000000"/>
                <w:sz w:val="20"/>
                <w:szCs w:val="20"/>
              </w:rPr>
            </w:pPr>
            <w:r w:rsidDel="00000000" w:rsidR="00000000" w:rsidRPr="00000000">
              <w:rPr>
                <w:color w:val="000000"/>
                <w:sz w:val="20"/>
                <w:szCs w:val="20"/>
                <w:rtl w:val="0"/>
              </w:rPr>
              <w:t xml:space="preserve">plant extract based</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E">
            <w:pPr>
              <w:rPr>
                <w:color w:val="000000"/>
                <w:sz w:val="20"/>
                <w:szCs w:val="20"/>
              </w:rPr>
            </w:pPr>
            <w:r w:rsidDel="00000000" w:rsidR="00000000" w:rsidRPr="00000000">
              <w:rPr>
                <w:color w:val="000000"/>
                <w:sz w:val="20"/>
                <w:szCs w:val="20"/>
                <w:rtl w:val="0"/>
              </w:rPr>
              <w:t xml:space="preserve">Higher binding affinity</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DF">
            <w:pPr>
              <w:jc w:val="center"/>
              <w:rPr>
                <w:color w:val="000000"/>
                <w:sz w:val="20"/>
                <w:szCs w:val="20"/>
              </w:rPr>
            </w:pPr>
            <w:r w:rsidDel="00000000" w:rsidR="00000000" w:rsidRPr="00000000">
              <w:rPr>
                <w:color w:val="000000"/>
                <w:sz w:val="20"/>
                <w:szCs w:val="20"/>
                <w:rtl w:val="0"/>
              </w:rPr>
              <w:t xml:space="preserve">[49]</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0">
            <w:pPr>
              <w:jc w:val="center"/>
              <w:rPr>
                <w:color w:val="000000"/>
                <w:sz w:val="20"/>
                <w:szCs w:val="20"/>
              </w:rPr>
            </w:pPr>
            <w:r w:rsidDel="00000000" w:rsidR="00000000" w:rsidRPr="00000000">
              <w:rPr>
                <w:color w:val="000000"/>
                <w:sz w:val="20"/>
                <w:szCs w:val="20"/>
                <w:rtl w:val="0"/>
              </w:rPr>
              <w:t xml:space="preserve">Quercetin</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1">
            <w:pPr>
              <w:jc w:val="center"/>
              <w:rPr>
                <w:color w:val="000000"/>
                <w:sz w:val="20"/>
                <w:szCs w:val="20"/>
              </w:rPr>
            </w:pPr>
            <w:r w:rsidDel="00000000" w:rsidR="00000000" w:rsidRPr="00000000">
              <w:rPr>
                <w:color w:val="000000"/>
                <w:sz w:val="20"/>
                <w:szCs w:val="20"/>
                <w:rtl w:val="0"/>
              </w:rPr>
              <w:t xml:space="preserve">-4.80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2">
            <w:pPr>
              <w:jc w:val="center"/>
              <w:rPr>
                <w:color w:val="000000"/>
                <w:sz w:val="20"/>
                <w:szCs w:val="20"/>
              </w:rPr>
            </w:pPr>
            <w:r w:rsidDel="00000000" w:rsidR="00000000" w:rsidRPr="00000000">
              <w:rPr>
                <w:color w:val="000000"/>
                <w:sz w:val="20"/>
                <w:szCs w:val="20"/>
                <w:rtl w:val="0"/>
              </w:rPr>
              <w:t xml:space="preserve">polyphenol based</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3">
            <w:pPr>
              <w:rPr>
                <w:color w:val="000000"/>
                <w:sz w:val="20"/>
                <w:szCs w:val="20"/>
              </w:rPr>
            </w:pPr>
            <w:r w:rsidDel="00000000" w:rsidR="00000000" w:rsidRPr="00000000">
              <w:rPr>
                <w:color w:val="000000"/>
                <w:sz w:val="20"/>
                <w:szCs w:val="20"/>
                <w:rtl w:val="0"/>
              </w:rPr>
              <w:t xml:space="preserve">Fewer side effects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4">
            <w:pPr>
              <w:jc w:val="center"/>
              <w:rPr>
                <w:color w:val="000000"/>
                <w:sz w:val="20"/>
                <w:szCs w:val="20"/>
              </w:rPr>
            </w:pPr>
            <w:r w:rsidDel="00000000" w:rsidR="00000000" w:rsidRPr="00000000">
              <w:rPr>
                <w:color w:val="000000"/>
                <w:sz w:val="20"/>
                <w:szCs w:val="20"/>
                <w:rtl w:val="0"/>
              </w:rPr>
              <w:t xml:space="preserve">[50]</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5">
            <w:pPr>
              <w:jc w:val="center"/>
              <w:rPr>
                <w:color w:val="000000"/>
                <w:sz w:val="20"/>
                <w:szCs w:val="20"/>
              </w:rPr>
            </w:pPr>
            <w:r w:rsidDel="00000000" w:rsidR="00000000" w:rsidRPr="00000000">
              <w:rPr>
                <w:color w:val="000000"/>
                <w:sz w:val="20"/>
                <w:szCs w:val="20"/>
                <w:rtl w:val="0"/>
              </w:rPr>
              <w:t xml:space="preserve">Kaempferol</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6">
            <w:pPr>
              <w:jc w:val="center"/>
              <w:rPr>
                <w:color w:val="000000"/>
                <w:sz w:val="20"/>
                <w:szCs w:val="20"/>
              </w:rPr>
            </w:pPr>
            <w:r w:rsidDel="00000000" w:rsidR="00000000" w:rsidRPr="00000000">
              <w:rPr>
                <w:color w:val="000000"/>
                <w:sz w:val="20"/>
                <w:szCs w:val="20"/>
                <w:rtl w:val="0"/>
              </w:rPr>
              <w:t xml:space="preserve">-</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7">
            <w:pPr>
              <w:jc w:val="center"/>
              <w:rPr>
                <w:color w:val="000000"/>
                <w:sz w:val="20"/>
                <w:szCs w:val="20"/>
              </w:rPr>
            </w:pPr>
            <w:r w:rsidDel="00000000" w:rsidR="00000000" w:rsidRPr="00000000">
              <w:rPr>
                <w:color w:val="000000"/>
                <w:sz w:val="20"/>
                <w:szCs w:val="20"/>
                <w:rtl w:val="0"/>
              </w:rPr>
              <w:t xml:space="preserve">polyphenol based</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8">
            <w:pPr>
              <w:rPr>
                <w:color w:val="000000"/>
                <w:sz w:val="20"/>
                <w:szCs w:val="20"/>
              </w:rPr>
            </w:pPr>
            <w:r w:rsidDel="00000000" w:rsidR="00000000" w:rsidRPr="00000000">
              <w:rPr>
                <w:color w:val="000000"/>
                <w:sz w:val="20"/>
                <w:szCs w:val="20"/>
                <w:rtl w:val="0"/>
              </w:rPr>
              <w:t xml:space="preserve">Fewer side effects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E9">
            <w:pPr>
              <w:jc w:val="center"/>
              <w:rPr>
                <w:color w:val="000000"/>
                <w:sz w:val="20"/>
                <w:szCs w:val="20"/>
              </w:rPr>
            </w:pPr>
            <w:r w:rsidDel="00000000" w:rsidR="00000000" w:rsidRPr="00000000">
              <w:rPr>
                <w:color w:val="000000"/>
                <w:sz w:val="20"/>
                <w:szCs w:val="20"/>
                <w:rtl w:val="0"/>
              </w:rPr>
              <w:t xml:space="preserve">[50]</w:t>
            </w:r>
          </w:p>
        </w:tc>
      </w:tr>
      <w:tr>
        <w:trPr>
          <w:cantSplit w:val="0"/>
          <w:trHeight w:val="255" w:hRule="atLeast"/>
          <w:tblHeader w:val="0"/>
        </w:trPr>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EA">
            <w:pPr>
              <w:jc w:val="center"/>
              <w:rPr>
                <w:color w:val="000000"/>
                <w:sz w:val="20"/>
                <w:szCs w:val="20"/>
              </w:rPr>
            </w:pPr>
            <w:r w:rsidDel="00000000" w:rsidR="00000000" w:rsidRPr="00000000">
              <w:rPr>
                <w:color w:val="000000"/>
                <w:sz w:val="20"/>
                <w:szCs w:val="20"/>
                <w:rtl w:val="0"/>
              </w:rPr>
              <w:t xml:space="preserve">Acarbose</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EB">
            <w:pPr>
              <w:jc w:val="center"/>
              <w:rPr>
                <w:color w:val="000000"/>
                <w:sz w:val="20"/>
                <w:szCs w:val="20"/>
              </w:rPr>
            </w:pPr>
            <w:r w:rsidDel="00000000" w:rsidR="00000000" w:rsidRPr="00000000">
              <w:rPr>
                <w:color w:val="000000"/>
                <w:sz w:val="20"/>
                <w:szCs w:val="20"/>
                <w:rtl w:val="0"/>
              </w:rPr>
              <w:t xml:space="preserve">~-5</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EC">
            <w:pPr>
              <w:jc w:val="center"/>
              <w:rPr>
                <w:color w:val="000000"/>
                <w:sz w:val="20"/>
                <w:szCs w:val="20"/>
              </w:rPr>
            </w:pPr>
            <w:r w:rsidDel="00000000" w:rsidR="00000000" w:rsidRPr="00000000">
              <w:rPr>
                <w:color w:val="000000"/>
                <w:sz w:val="20"/>
                <w:szCs w:val="20"/>
                <w:rtl w:val="0"/>
              </w:rPr>
              <w:t xml:space="preserve">polyphenol based</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ED">
            <w:pPr>
              <w:jc w:val="center"/>
              <w:rPr>
                <w:color w:val="000000"/>
                <w:sz w:val="20"/>
                <w:szCs w:val="20"/>
              </w:rPr>
            </w:pPr>
            <w:r w:rsidDel="00000000" w:rsidR="00000000" w:rsidRPr="00000000">
              <w:rPr>
                <w:color w:val="000000"/>
                <w:sz w:val="20"/>
                <w:szCs w:val="20"/>
                <w:rtl w:val="0"/>
              </w:rPr>
              <w:t xml:space="preserve">-</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EE">
            <w:pPr>
              <w:jc w:val="center"/>
              <w:rPr>
                <w:color w:val="000000"/>
                <w:sz w:val="20"/>
                <w:szCs w:val="20"/>
              </w:rPr>
            </w:pPr>
            <w:r w:rsidDel="00000000" w:rsidR="00000000" w:rsidRPr="00000000">
              <w:rPr>
                <w:color w:val="000000"/>
                <w:sz w:val="20"/>
                <w:szCs w:val="20"/>
                <w:rtl w:val="0"/>
              </w:rPr>
              <w:t xml:space="preserve">[50]</w:t>
            </w:r>
          </w:p>
        </w:tc>
      </w:tr>
    </w:tbl>
    <w:p w:rsidR="00000000" w:rsidDel="00000000" w:rsidP="00000000" w:rsidRDefault="00000000" w:rsidRPr="00000000" w14:paraId="000000EF">
      <w:pPr>
        <w:pStyle w:val="Heading1"/>
        <w:rPr>
          <w:b w:val="0"/>
          <w:smallCaps w:val="0"/>
          <w:sz w:val="20"/>
          <w:szCs w:val="20"/>
        </w:rPr>
      </w:pPr>
      <w:r w:rsidDel="00000000" w:rsidR="00000000" w:rsidRPr="00000000">
        <w:rPr>
          <w:rtl w:val="0"/>
        </w:rPr>
        <w:t xml:space="preserve">CONCLUSION</w:t>
      </w:r>
      <w:r w:rsidDel="00000000" w:rsidR="00000000" w:rsidRPr="00000000">
        <w:rPr>
          <w:rtl w:val="0"/>
        </w:rPr>
      </w:r>
    </w:p>
    <w:p w:rsidR="00000000" w:rsidDel="00000000" w:rsidP="00000000" w:rsidRDefault="00000000" w:rsidRPr="00000000" w14:paraId="000000F0">
      <w:pPr>
        <w:ind w:left="113" w:right="113" w:firstLine="284"/>
        <w:jc w:val="both"/>
        <w:rPr>
          <w:sz w:val="20"/>
          <w:szCs w:val="20"/>
        </w:rPr>
      </w:pPr>
      <w:r w:rsidDel="00000000" w:rsidR="00000000" w:rsidRPr="00000000">
        <w:rPr>
          <w:sz w:val="20"/>
          <w:szCs w:val="20"/>
          <w:rtl w:val="0"/>
        </w:rPr>
        <w:t xml:space="preserve">This study investigates the impacts of Acetylcysteine, L-glutathione, and acetyl-L-carnitine for inhibitions the α-glucosidase protein 8EMR, by evaluating their ability to bind to the established drug metformin. Our molecular docking study, which was validated by RMSD values of 0 Å, categorizes these compounds as very promising inhibitors of 8EMR α-glucosidase. This is owing to their exceptional ligand efficiency and appealing interaction features. This finding is also reinforced by the presence of negative binding energies and low inhibition constants (Ki). Although the computational results are fascinating, they emphasize the significance of thorough experimental validation and optimization. Future research should focus on determining the inhibitory effects using cellular models, confirming the characteristics of protein-ligand interactions, and exploring structural modifications to enhance effectiveness and safety. These discoveries might potentially result in the creation of novel α-glucosidase inhibitors and therapeutic approaches for the treatment of type 2 diabetes. Nevertheless, it is crucial to highlight that more in vitro and in vivo investigations are necessary to fully comprehend the potential of these medicines as safe and effective inhibitors for clinical use.</w:t>
      </w:r>
    </w:p>
    <w:p w:rsidR="00000000" w:rsidDel="00000000" w:rsidP="00000000" w:rsidRDefault="00000000" w:rsidRPr="00000000" w14:paraId="000000F1">
      <w:pPr>
        <w:pStyle w:val="Heading1"/>
        <w:rPr>
          <w:b w:val="0"/>
          <w:smallCaps w:val="0"/>
          <w:sz w:val="20"/>
          <w:szCs w:val="20"/>
        </w:rPr>
      </w:pPr>
      <w:r w:rsidDel="00000000" w:rsidR="00000000" w:rsidRPr="00000000">
        <w:rPr>
          <w:rtl w:val="0"/>
        </w:rPr>
        <w:t xml:space="preserve">ACKNOWLEDGEMENT</w:t>
      </w:r>
      <w:r w:rsidDel="00000000" w:rsidR="00000000" w:rsidRPr="00000000">
        <w:rPr>
          <w:rtl w:val="0"/>
        </w:rPr>
      </w:r>
    </w:p>
    <w:p w:rsidR="00000000" w:rsidDel="00000000" w:rsidP="00000000" w:rsidRDefault="00000000" w:rsidRPr="00000000" w14:paraId="000000F2">
      <w:pPr>
        <w:ind w:left="113" w:right="113" w:firstLine="284"/>
        <w:jc w:val="both"/>
        <w:rPr>
          <w:sz w:val="20"/>
          <w:szCs w:val="20"/>
        </w:rPr>
      </w:pPr>
      <w:r w:rsidDel="00000000" w:rsidR="00000000" w:rsidRPr="00000000">
        <w:rPr>
          <w:sz w:val="20"/>
          <w:szCs w:val="20"/>
          <w:rtl w:val="0"/>
        </w:rPr>
        <w:t xml:space="preserve">The Author gratefully acknowledge financial support from the Institut Teknologi Sepuluh Nopember for this work, under project scheme of the Publication Writing and IPR Incentive Program (PPHKI) 2025.</w:t>
      </w:r>
    </w:p>
    <w:p w:rsidR="00000000" w:rsidDel="00000000" w:rsidP="00000000" w:rsidRDefault="00000000" w:rsidRPr="00000000" w14:paraId="000000F3">
      <w:pPr>
        <w:pStyle w:val="Heading1"/>
        <w:rPr/>
      </w:pPr>
      <w:r w:rsidDel="00000000" w:rsidR="00000000" w:rsidRPr="00000000">
        <w:rPr>
          <w:rtl w:val="0"/>
        </w:rPr>
        <w:t xml:space="preserve">REFERENCES</w:t>
      </w:r>
    </w:p>
    <w:p w:rsidR="00000000" w:rsidDel="00000000" w:rsidP="00000000" w:rsidRDefault="00000000" w:rsidRPr="00000000" w14:paraId="000000F4">
      <w:pPr>
        <w:spacing w:after="160" w:line="259" w:lineRule="auto"/>
        <w:ind w:left="567" w:hanging="567"/>
        <w:jc w:val="both"/>
        <w:rPr>
          <w:sz w:val="20"/>
          <w:szCs w:val="20"/>
        </w:rPr>
      </w:pPr>
      <w:r w:rsidDel="00000000" w:rsidR="00000000" w:rsidRPr="00000000">
        <w:rPr>
          <w:sz w:val="20"/>
          <w:szCs w:val="20"/>
          <w:rtl w:val="0"/>
        </w:rPr>
        <w:t xml:space="preserve">[1] </w:t>
        <w:tab/>
        <w:t xml:space="preserve">L. F. Schütz, M. H. Park, and M. Choudhury, HDACs in Diabetes, in Nutritional and Therapeutic Interventions for Diabetes and Metabolic Syndrome, Elsevier (2018), pp. 475–486.</w:t>
      </w:r>
    </w:p>
    <w:p w:rsidR="00000000" w:rsidDel="00000000" w:rsidP="00000000" w:rsidRDefault="00000000" w:rsidRPr="00000000" w14:paraId="000000F5">
      <w:pPr>
        <w:spacing w:after="160" w:line="259" w:lineRule="auto"/>
        <w:ind w:left="567" w:hanging="567"/>
        <w:jc w:val="both"/>
        <w:rPr>
          <w:sz w:val="20"/>
          <w:szCs w:val="20"/>
        </w:rPr>
      </w:pPr>
      <w:r w:rsidDel="00000000" w:rsidR="00000000" w:rsidRPr="00000000">
        <w:rPr>
          <w:sz w:val="20"/>
          <w:szCs w:val="20"/>
          <w:rtl w:val="0"/>
        </w:rPr>
        <w:t xml:space="preserve">[2] </w:t>
        <w:tab/>
        <w:t xml:space="preserve">R. Makkar, T. Behl, and S. Arora, Current Research in Translational Medicine 68, 45 (2020).</w:t>
      </w:r>
    </w:p>
    <w:p w:rsidR="00000000" w:rsidDel="00000000" w:rsidP="00000000" w:rsidRDefault="00000000" w:rsidRPr="00000000" w14:paraId="000000F6">
      <w:pPr>
        <w:spacing w:after="160" w:line="259" w:lineRule="auto"/>
        <w:ind w:left="567" w:hanging="567"/>
        <w:jc w:val="both"/>
        <w:rPr>
          <w:sz w:val="20"/>
          <w:szCs w:val="20"/>
        </w:rPr>
      </w:pPr>
      <w:r w:rsidDel="00000000" w:rsidR="00000000" w:rsidRPr="00000000">
        <w:rPr>
          <w:sz w:val="20"/>
          <w:szCs w:val="20"/>
          <w:rtl w:val="0"/>
        </w:rPr>
        <w:t xml:space="preserve">[3] </w:t>
        <w:tab/>
        <w:t xml:space="preserve">D. P. Christensen, M. Dahllöf, M. Lundh, D. N. Rasmussen, M. D. Nielsen, N. Billestrup, L. G. Grunnet, and T. Mandrup-Poulsen, Mol Med 17, 378 (2011).</w:t>
      </w:r>
    </w:p>
    <w:p w:rsidR="00000000" w:rsidDel="00000000" w:rsidP="00000000" w:rsidRDefault="00000000" w:rsidRPr="00000000" w14:paraId="000000F7">
      <w:pPr>
        <w:spacing w:after="160" w:line="259" w:lineRule="auto"/>
        <w:ind w:left="567" w:hanging="567"/>
        <w:jc w:val="both"/>
        <w:rPr>
          <w:sz w:val="20"/>
          <w:szCs w:val="20"/>
        </w:rPr>
      </w:pPr>
      <w:r w:rsidDel="00000000" w:rsidR="00000000" w:rsidRPr="00000000">
        <w:rPr>
          <w:sz w:val="20"/>
          <w:szCs w:val="20"/>
          <w:rtl w:val="0"/>
        </w:rPr>
        <w:t xml:space="preserve">[4]</w:t>
        <w:tab/>
        <w:t xml:space="preserve"> D. Magliano and E. J. Boyko, IDF diabetes atlas, Brussels, International Diabetes Federation (2021).</w:t>
      </w:r>
    </w:p>
    <w:p w:rsidR="00000000" w:rsidDel="00000000" w:rsidP="00000000" w:rsidRDefault="00000000" w:rsidRPr="00000000" w14:paraId="000000F8">
      <w:pPr>
        <w:spacing w:after="160" w:line="259" w:lineRule="auto"/>
        <w:ind w:left="567" w:hanging="567"/>
        <w:jc w:val="both"/>
        <w:rPr>
          <w:sz w:val="20"/>
          <w:szCs w:val="20"/>
        </w:rPr>
      </w:pPr>
      <w:r w:rsidDel="00000000" w:rsidR="00000000" w:rsidRPr="00000000">
        <w:rPr>
          <w:sz w:val="20"/>
          <w:szCs w:val="20"/>
          <w:rtl w:val="0"/>
        </w:rPr>
        <w:t xml:space="preserve">[5] </w:t>
        <w:tab/>
        <w:t xml:space="preserve">J. M. Forbes and M. E. Cooper, Physiological Reviews 93, 137 (2013).</w:t>
      </w:r>
    </w:p>
    <w:p w:rsidR="00000000" w:rsidDel="00000000" w:rsidP="00000000" w:rsidRDefault="00000000" w:rsidRPr="00000000" w14:paraId="000000F9">
      <w:pPr>
        <w:spacing w:after="160" w:line="259" w:lineRule="auto"/>
        <w:ind w:left="567" w:hanging="567"/>
        <w:jc w:val="both"/>
        <w:rPr>
          <w:sz w:val="20"/>
          <w:szCs w:val="20"/>
        </w:rPr>
      </w:pPr>
      <w:r w:rsidDel="00000000" w:rsidR="00000000" w:rsidRPr="00000000">
        <w:rPr>
          <w:sz w:val="20"/>
          <w:szCs w:val="20"/>
          <w:rtl w:val="0"/>
        </w:rPr>
        <w:t xml:space="preserve">[6] </w:t>
        <w:tab/>
        <w:t xml:space="preserve">Z. Bahadoran, P. Mirmiran, and F. Azizi, J Diabetes Metab Disord 12, 43 (2013).</w:t>
      </w:r>
    </w:p>
    <w:p w:rsidR="00000000" w:rsidDel="00000000" w:rsidP="00000000" w:rsidRDefault="00000000" w:rsidRPr="00000000" w14:paraId="000000FA">
      <w:pPr>
        <w:spacing w:after="160" w:line="259" w:lineRule="auto"/>
        <w:ind w:left="567" w:hanging="567"/>
        <w:jc w:val="both"/>
        <w:rPr>
          <w:sz w:val="20"/>
          <w:szCs w:val="20"/>
        </w:rPr>
      </w:pPr>
      <w:r w:rsidDel="00000000" w:rsidR="00000000" w:rsidRPr="00000000">
        <w:rPr>
          <w:sz w:val="20"/>
          <w:szCs w:val="20"/>
          <w:rtl w:val="0"/>
        </w:rPr>
        <w:t xml:space="preserve">[7]</w:t>
        <w:tab/>
        <w:t xml:space="preserve"> K. C. Agu, N. Eluehike, R. O. Ofeimun, D. Abile, G. Ideho, M. O. Ogedengbe, P. O. Onose, and O. O. Elekofehinti, Clin Phytosci 5, 21 (2019).</w:t>
      </w:r>
    </w:p>
    <w:p w:rsidR="00000000" w:rsidDel="00000000" w:rsidP="00000000" w:rsidRDefault="00000000" w:rsidRPr="00000000" w14:paraId="000000FB">
      <w:pPr>
        <w:spacing w:after="160" w:line="259" w:lineRule="auto"/>
        <w:ind w:left="567" w:hanging="567"/>
        <w:jc w:val="both"/>
        <w:rPr>
          <w:sz w:val="20"/>
          <w:szCs w:val="20"/>
        </w:rPr>
      </w:pPr>
      <w:r w:rsidDel="00000000" w:rsidR="00000000" w:rsidRPr="00000000">
        <w:rPr>
          <w:sz w:val="20"/>
          <w:szCs w:val="20"/>
          <w:rtl w:val="0"/>
        </w:rPr>
        <w:t xml:space="preserve">[8] </w:t>
        <w:tab/>
        <w:t xml:space="preserve">M. Genovese, I. Nesi, A. Caselli, and P. Paoli, Molecules 26, 4818 (2021).</w:t>
      </w:r>
    </w:p>
    <w:p w:rsidR="00000000" w:rsidDel="00000000" w:rsidP="00000000" w:rsidRDefault="00000000" w:rsidRPr="00000000" w14:paraId="000000FC">
      <w:pPr>
        <w:spacing w:after="160" w:line="259" w:lineRule="auto"/>
        <w:ind w:left="567" w:hanging="567"/>
        <w:jc w:val="both"/>
        <w:rPr>
          <w:sz w:val="20"/>
          <w:szCs w:val="20"/>
        </w:rPr>
      </w:pPr>
      <w:r w:rsidDel="00000000" w:rsidR="00000000" w:rsidRPr="00000000">
        <w:rPr>
          <w:sz w:val="20"/>
          <w:szCs w:val="20"/>
          <w:rtl w:val="0"/>
        </w:rPr>
        <w:t xml:space="preserve">[9] </w:t>
        <w:tab/>
        <w:t xml:space="preserve">J. Hu, X. Lai, X. Wu, H. Wang, N. Weng, J. Lu, M. Lyu, and S. Wang, Foods 12, 183 (2023).</w:t>
      </w:r>
    </w:p>
    <w:p w:rsidR="00000000" w:rsidDel="00000000" w:rsidP="00000000" w:rsidRDefault="00000000" w:rsidRPr="00000000" w14:paraId="000000FD">
      <w:pPr>
        <w:spacing w:after="160" w:line="259" w:lineRule="auto"/>
        <w:ind w:left="567" w:hanging="567"/>
        <w:jc w:val="both"/>
        <w:rPr>
          <w:sz w:val="20"/>
          <w:szCs w:val="20"/>
        </w:rPr>
      </w:pPr>
      <w:r w:rsidDel="00000000" w:rsidR="00000000" w:rsidRPr="00000000">
        <w:rPr>
          <w:sz w:val="20"/>
          <w:szCs w:val="20"/>
          <w:rtl w:val="0"/>
        </w:rPr>
        <w:t xml:space="preserve">[10] </w:t>
        <w:tab/>
        <w:t xml:space="preserve">C. Proença, M. Freitas, D. Ribeiro, E. F. T. Oliveira, J. L. C. Sousa, S. M. Tomé, M. J. Ramos, A. M. S. Silva, P. A. Fernandes, and E. Fernandes, Journal of Enzyme Inhibition and Medicinal Chemistry 32, 1216 (2017).</w:t>
      </w:r>
    </w:p>
    <w:p w:rsidR="00000000" w:rsidDel="00000000" w:rsidP="00000000" w:rsidRDefault="00000000" w:rsidRPr="00000000" w14:paraId="000000FE">
      <w:pPr>
        <w:spacing w:after="160" w:line="259" w:lineRule="auto"/>
        <w:ind w:left="567" w:hanging="567"/>
        <w:jc w:val="both"/>
        <w:rPr>
          <w:sz w:val="20"/>
          <w:szCs w:val="20"/>
        </w:rPr>
      </w:pPr>
      <w:r w:rsidDel="00000000" w:rsidR="00000000" w:rsidRPr="00000000">
        <w:rPr>
          <w:sz w:val="20"/>
          <w:szCs w:val="20"/>
          <w:rtl w:val="0"/>
        </w:rPr>
        <w:t xml:space="preserve">[11]</w:t>
        <w:tab/>
        <w:t xml:space="preserve"> J. Riyaphan, D.-C. Pham, M. K. Leong, and C.-F. Weng, Biomolecules 11, 1877 (2021).</w:t>
      </w:r>
    </w:p>
    <w:p w:rsidR="00000000" w:rsidDel="00000000" w:rsidP="00000000" w:rsidRDefault="00000000" w:rsidRPr="00000000" w14:paraId="000000FF">
      <w:pPr>
        <w:spacing w:after="160" w:line="259" w:lineRule="auto"/>
        <w:ind w:left="567" w:hanging="567"/>
        <w:jc w:val="both"/>
        <w:rPr>
          <w:sz w:val="20"/>
          <w:szCs w:val="20"/>
        </w:rPr>
      </w:pPr>
      <w:r w:rsidDel="00000000" w:rsidR="00000000" w:rsidRPr="00000000">
        <w:rPr>
          <w:sz w:val="20"/>
          <w:szCs w:val="20"/>
          <w:rtl w:val="0"/>
        </w:rPr>
        <w:t xml:space="preserve">[12] </w:t>
        <w:tab/>
        <w:t xml:space="preserve">Z. Yin, W. Zhang, F. Feng, Y. Zhang, and W. Kang, Food Science and Human Wellness 3, 136 (2014).</w:t>
      </w:r>
    </w:p>
    <w:p w:rsidR="00000000" w:rsidDel="00000000" w:rsidP="00000000" w:rsidRDefault="00000000" w:rsidRPr="00000000" w14:paraId="00000100">
      <w:pPr>
        <w:spacing w:after="160" w:line="259" w:lineRule="auto"/>
        <w:ind w:left="567" w:hanging="567"/>
        <w:jc w:val="both"/>
        <w:rPr>
          <w:sz w:val="20"/>
          <w:szCs w:val="20"/>
        </w:rPr>
      </w:pPr>
      <w:r w:rsidDel="00000000" w:rsidR="00000000" w:rsidRPr="00000000">
        <w:rPr>
          <w:sz w:val="20"/>
          <w:szCs w:val="20"/>
          <w:rtl w:val="0"/>
        </w:rPr>
        <w:t xml:space="preserve">[13] </w:t>
        <w:tab/>
        <w:t xml:space="preserve">Y. Zhang, F. Zhou, M. Bai, Y. Liu, L. Zhang, Q. Zhu, Y. Bi, G. Ning, L. Zhou, and X. Wang, Cell Death Dis 10, 66 (2019).</w:t>
      </w:r>
    </w:p>
    <w:p w:rsidR="00000000" w:rsidDel="00000000" w:rsidP="00000000" w:rsidRDefault="00000000" w:rsidRPr="00000000" w14:paraId="00000101">
      <w:pPr>
        <w:spacing w:after="160" w:line="259" w:lineRule="auto"/>
        <w:ind w:left="567" w:hanging="567"/>
        <w:jc w:val="both"/>
        <w:rPr>
          <w:sz w:val="20"/>
          <w:szCs w:val="20"/>
        </w:rPr>
      </w:pPr>
      <w:r w:rsidDel="00000000" w:rsidR="00000000" w:rsidRPr="00000000">
        <w:rPr>
          <w:sz w:val="20"/>
          <w:szCs w:val="20"/>
          <w:rtl w:val="0"/>
        </w:rPr>
        <w:t xml:space="preserve">[14] </w:t>
        <w:tab/>
        <w:t xml:space="preserve">H. Zheng, J. Wu, Z. Jin, and L.-J. Yan, Biochem Insights 9, BCI.S36141 (2016).</w:t>
      </w:r>
    </w:p>
    <w:p w:rsidR="00000000" w:rsidDel="00000000" w:rsidP="00000000" w:rsidRDefault="00000000" w:rsidRPr="00000000" w14:paraId="00000102">
      <w:pPr>
        <w:spacing w:after="160" w:line="259" w:lineRule="auto"/>
        <w:ind w:left="567" w:hanging="567"/>
        <w:jc w:val="both"/>
        <w:rPr>
          <w:sz w:val="20"/>
          <w:szCs w:val="20"/>
        </w:rPr>
      </w:pPr>
      <w:r w:rsidDel="00000000" w:rsidR="00000000" w:rsidRPr="00000000">
        <w:rPr>
          <w:sz w:val="20"/>
          <w:szCs w:val="20"/>
          <w:rtl w:val="0"/>
        </w:rPr>
        <w:t xml:space="preserve">[15] </w:t>
        <w:tab/>
        <w:t xml:space="preserve">H. Tateiwa, T. Kawano, A. Nishigaki, D. Yamanaka, B. Aoyama, M. Shigematsu-Locatelli, S. Eguchi, F. M. Locatelli, and M. Yokoyama, Life Sciences 197, 56 (2018).</w:t>
      </w:r>
    </w:p>
    <w:p w:rsidR="00000000" w:rsidDel="00000000" w:rsidP="00000000" w:rsidRDefault="00000000" w:rsidRPr="00000000" w14:paraId="00000103">
      <w:pPr>
        <w:spacing w:after="160" w:line="259" w:lineRule="auto"/>
        <w:ind w:left="567" w:hanging="567"/>
        <w:jc w:val="both"/>
        <w:rPr>
          <w:sz w:val="20"/>
          <w:szCs w:val="20"/>
        </w:rPr>
      </w:pPr>
      <w:r w:rsidDel="00000000" w:rsidR="00000000" w:rsidRPr="00000000">
        <w:rPr>
          <w:sz w:val="20"/>
          <w:szCs w:val="20"/>
          <w:rtl w:val="0"/>
        </w:rPr>
        <w:t xml:space="preserve">[16] </w:t>
        <w:tab/>
        <w:t xml:space="preserve">Y. Xiong, P. Peng, S.-J. Chen, M. Chang, Q. Wang, S.-N. Yin, and D.-F. Ren, Food Chemistry: Molecular Sciences 5, 100139 (2022).</w:t>
      </w:r>
    </w:p>
    <w:p w:rsidR="00000000" w:rsidDel="00000000" w:rsidP="00000000" w:rsidRDefault="00000000" w:rsidRPr="00000000" w14:paraId="00000104">
      <w:pPr>
        <w:spacing w:after="160" w:line="259" w:lineRule="auto"/>
        <w:ind w:left="567" w:hanging="567"/>
        <w:jc w:val="both"/>
        <w:rPr>
          <w:sz w:val="20"/>
          <w:szCs w:val="20"/>
        </w:rPr>
      </w:pPr>
      <w:r w:rsidDel="00000000" w:rsidR="00000000" w:rsidRPr="00000000">
        <w:rPr>
          <w:sz w:val="20"/>
          <w:szCs w:val="20"/>
          <w:rtl w:val="0"/>
        </w:rPr>
        <w:t xml:space="preserve">[17] </w:t>
        <w:tab/>
        <w:t xml:space="preserve">C. Berraquero-García, F. Rivero-Pino, J. L. Ospina, R. Pérez-Gálvez, F. J. Espejo-Carpio, A. Guadix, P. J. García-Moreno, and E. M. Guadix, Food Bioscience 55, 102954 (2023).</w:t>
      </w:r>
    </w:p>
    <w:p w:rsidR="00000000" w:rsidDel="00000000" w:rsidP="00000000" w:rsidRDefault="00000000" w:rsidRPr="00000000" w14:paraId="00000105">
      <w:pPr>
        <w:spacing w:after="160" w:line="259" w:lineRule="auto"/>
        <w:ind w:left="567" w:hanging="567"/>
        <w:jc w:val="both"/>
        <w:rPr>
          <w:sz w:val="20"/>
          <w:szCs w:val="20"/>
        </w:rPr>
      </w:pPr>
      <w:r w:rsidDel="00000000" w:rsidR="00000000" w:rsidRPr="00000000">
        <w:rPr>
          <w:sz w:val="20"/>
          <w:szCs w:val="20"/>
          <w:rtl w:val="0"/>
        </w:rPr>
        <w:t xml:space="preserve">[18] </w:t>
        <w:tab/>
        <w:t xml:space="preserve">R. J. Perry, J.-P. G. Camporez, R. Kursawe, P. M. Titchenell, D. Zhang, C. J. Perry, M. J. Jurczak, A. Abudukadier, M. S. Han, X.-M. Zhang, H.-B. Ruan, X. Yang, S. Caprio, S. M. Kaech, H. S. Sul, M. J. Birnbaum, R. J. Davis, G. W. Cline, K. F. Petersen, and G. I. Shulman, Cell 160, 745 (2015).</w:t>
      </w:r>
    </w:p>
    <w:p w:rsidR="00000000" w:rsidDel="00000000" w:rsidP="00000000" w:rsidRDefault="00000000" w:rsidRPr="00000000" w14:paraId="00000106">
      <w:pPr>
        <w:spacing w:after="160" w:line="259" w:lineRule="auto"/>
        <w:ind w:left="567" w:hanging="567"/>
        <w:jc w:val="both"/>
        <w:rPr>
          <w:sz w:val="20"/>
          <w:szCs w:val="20"/>
        </w:rPr>
      </w:pPr>
      <w:r w:rsidDel="00000000" w:rsidR="00000000" w:rsidRPr="00000000">
        <w:rPr>
          <w:sz w:val="20"/>
          <w:szCs w:val="20"/>
          <w:rtl w:val="0"/>
        </w:rPr>
        <w:t xml:space="preserve">[19]</w:t>
        <w:tab/>
        <w:t xml:space="preserve"> S. Lowitt, J. I. Malone, A. Salem, W. M. Kozak, and Z. Orfalian, 42 (1993).</w:t>
      </w:r>
    </w:p>
    <w:p w:rsidR="00000000" w:rsidDel="00000000" w:rsidP="00000000" w:rsidRDefault="00000000" w:rsidRPr="00000000" w14:paraId="00000107">
      <w:pPr>
        <w:spacing w:after="160" w:line="259" w:lineRule="auto"/>
        <w:ind w:left="567" w:hanging="567"/>
        <w:jc w:val="both"/>
        <w:rPr>
          <w:sz w:val="20"/>
          <w:szCs w:val="20"/>
        </w:rPr>
      </w:pPr>
      <w:r w:rsidDel="00000000" w:rsidR="00000000" w:rsidRPr="00000000">
        <w:rPr>
          <w:sz w:val="20"/>
          <w:szCs w:val="20"/>
          <w:rtl w:val="0"/>
        </w:rPr>
        <w:t xml:space="preserve">[20] </w:t>
        <w:tab/>
        <w:t xml:space="preserve">X. Che, Q. Liu, and L. Zhang, Results in Engineering 19, 101335 (2023).</w:t>
      </w:r>
    </w:p>
    <w:p w:rsidR="00000000" w:rsidDel="00000000" w:rsidP="00000000" w:rsidRDefault="00000000" w:rsidRPr="00000000" w14:paraId="00000108">
      <w:pPr>
        <w:spacing w:after="160" w:line="259" w:lineRule="auto"/>
        <w:ind w:left="567" w:hanging="567"/>
        <w:jc w:val="both"/>
        <w:rPr>
          <w:sz w:val="20"/>
          <w:szCs w:val="20"/>
        </w:rPr>
      </w:pPr>
      <w:r w:rsidDel="00000000" w:rsidR="00000000" w:rsidRPr="00000000">
        <w:rPr>
          <w:sz w:val="20"/>
          <w:szCs w:val="20"/>
          <w:rtl w:val="0"/>
        </w:rPr>
        <w:t xml:space="preserve">[21] </w:t>
        <w:tab/>
        <w:t xml:space="preserve">O. L. Erukainure, K. P. Otukile, K. R. Harejane, V. F. Salau, A. Aljoundi, C. I. Chukwuma, and M. G. Matsabisa, Arabian Journal of Chemistry 16, 104842 (2023).</w:t>
      </w:r>
    </w:p>
    <w:p w:rsidR="00000000" w:rsidDel="00000000" w:rsidP="00000000" w:rsidRDefault="00000000" w:rsidRPr="00000000" w14:paraId="00000109">
      <w:pPr>
        <w:spacing w:after="160" w:line="259" w:lineRule="auto"/>
        <w:ind w:left="567" w:hanging="567"/>
        <w:jc w:val="both"/>
        <w:rPr>
          <w:sz w:val="20"/>
          <w:szCs w:val="20"/>
        </w:rPr>
      </w:pPr>
      <w:r w:rsidDel="00000000" w:rsidR="00000000" w:rsidRPr="00000000">
        <w:rPr>
          <w:sz w:val="20"/>
          <w:szCs w:val="20"/>
          <w:rtl w:val="0"/>
        </w:rPr>
        <w:t xml:space="preserve">[22] </w:t>
        <w:tab/>
        <w:t xml:space="preserve">C.-C. Su, M. Lyu, Z. Zhang, M. Miyagi, W. Huang, D. J. Taylor, and E. W. Yu, Cell Reports 42, 112609 (2023).</w:t>
      </w:r>
    </w:p>
    <w:p w:rsidR="00000000" w:rsidDel="00000000" w:rsidP="00000000" w:rsidRDefault="00000000" w:rsidRPr="00000000" w14:paraId="0000010A">
      <w:pPr>
        <w:spacing w:after="160" w:line="259" w:lineRule="auto"/>
        <w:ind w:left="567" w:hanging="567"/>
        <w:jc w:val="both"/>
        <w:rPr>
          <w:sz w:val="20"/>
          <w:szCs w:val="20"/>
        </w:rPr>
      </w:pPr>
      <w:r w:rsidDel="00000000" w:rsidR="00000000" w:rsidRPr="00000000">
        <w:rPr>
          <w:sz w:val="20"/>
          <w:szCs w:val="20"/>
          <w:rtl w:val="0"/>
        </w:rPr>
        <w:t xml:space="preserve">[23] </w:t>
        <w:tab/>
        <w:t xml:space="preserve">R. Huey, G. M. Morris, A. J. Olson, and D. S. Goodsell, Journal of Computational Chemistry 28, 1145 (2007).</w:t>
      </w:r>
    </w:p>
    <w:p w:rsidR="00000000" w:rsidDel="00000000" w:rsidP="00000000" w:rsidRDefault="00000000" w:rsidRPr="00000000" w14:paraId="0000010B">
      <w:pPr>
        <w:spacing w:after="160" w:line="259" w:lineRule="auto"/>
        <w:ind w:left="567" w:hanging="567"/>
        <w:jc w:val="both"/>
        <w:rPr>
          <w:sz w:val="20"/>
          <w:szCs w:val="20"/>
        </w:rPr>
      </w:pPr>
      <w:r w:rsidDel="00000000" w:rsidR="00000000" w:rsidRPr="00000000">
        <w:rPr>
          <w:sz w:val="20"/>
          <w:szCs w:val="20"/>
          <w:rtl w:val="0"/>
        </w:rPr>
        <w:t xml:space="preserve">[24] </w:t>
        <w:tab/>
        <w:t xml:space="preserve">G. M. Morris, D. S. Goodsell, R. S. Halliday, R. Huey, W. E. Hart, R. K. Belew, and A. J. Olson, J. Comput. Chem. 19, 1639 (1998).</w:t>
      </w:r>
    </w:p>
    <w:p w:rsidR="00000000" w:rsidDel="00000000" w:rsidP="00000000" w:rsidRDefault="00000000" w:rsidRPr="00000000" w14:paraId="0000010C">
      <w:pPr>
        <w:spacing w:after="160" w:line="259" w:lineRule="auto"/>
        <w:ind w:left="567" w:hanging="567"/>
        <w:jc w:val="both"/>
        <w:rPr>
          <w:sz w:val="20"/>
          <w:szCs w:val="20"/>
        </w:rPr>
      </w:pPr>
      <w:r w:rsidDel="00000000" w:rsidR="00000000" w:rsidRPr="00000000">
        <w:rPr>
          <w:sz w:val="20"/>
          <w:szCs w:val="20"/>
          <w:rtl w:val="0"/>
        </w:rPr>
        <w:t xml:space="preserve">[25] </w:t>
        <w:tab/>
        <w:t xml:space="preserve">National Center for Biotechnology Information (2024), PubChem Compound Summary for CID 12035, Acetylcysteine, (2024).at &lt;https://pubchem.ncbi.nlm.nih.gov/compound/Acetylcysteine.&gt;</w:t>
      </w:r>
    </w:p>
    <w:p w:rsidR="00000000" w:rsidDel="00000000" w:rsidP="00000000" w:rsidRDefault="00000000" w:rsidRPr="00000000" w14:paraId="0000010D">
      <w:pPr>
        <w:spacing w:after="160" w:line="259" w:lineRule="auto"/>
        <w:ind w:left="567" w:hanging="567"/>
        <w:jc w:val="both"/>
        <w:rPr>
          <w:sz w:val="20"/>
          <w:szCs w:val="20"/>
        </w:rPr>
      </w:pPr>
      <w:r w:rsidDel="00000000" w:rsidR="00000000" w:rsidRPr="00000000">
        <w:rPr>
          <w:sz w:val="20"/>
          <w:szCs w:val="20"/>
          <w:rtl w:val="0"/>
        </w:rPr>
        <w:t xml:space="preserve">[26] </w:t>
        <w:tab/>
        <w:t xml:space="preserve">National Center for Biotechnology Information (2024), PubChem Compound Summary for CID 124886, Glutathione, (2024).at &lt;https://pubchem.ncbi.nlm.nih.gov/compound/Glutathione&gt;</w:t>
      </w:r>
    </w:p>
    <w:p w:rsidR="00000000" w:rsidDel="00000000" w:rsidP="00000000" w:rsidRDefault="00000000" w:rsidRPr="00000000" w14:paraId="0000010E">
      <w:pPr>
        <w:spacing w:after="160" w:line="259" w:lineRule="auto"/>
        <w:ind w:left="567" w:hanging="567"/>
        <w:jc w:val="both"/>
        <w:rPr>
          <w:sz w:val="20"/>
          <w:szCs w:val="20"/>
        </w:rPr>
      </w:pPr>
      <w:r w:rsidDel="00000000" w:rsidR="00000000" w:rsidRPr="00000000">
        <w:rPr>
          <w:sz w:val="20"/>
          <w:szCs w:val="20"/>
          <w:rtl w:val="0"/>
        </w:rPr>
        <w:t xml:space="preserve">[27] </w:t>
        <w:tab/>
        <w:t xml:space="preserve">National Center for Biotechnology Information (2024), PubChem Compound Summary for CID 7045767, Acetyl-L-Carnitine, (2024).at &lt;https://pubchem.ncbi.nlm.nih.gov/compound/Acetyl-L-Carnitine&gt;</w:t>
      </w:r>
    </w:p>
    <w:p w:rsidR="00000000" w:rsidDel="00000000" w:rsidP="00000000" w:rsidRDefault="00000000" w:rsidRPr="00000000" w14:paraId="0000010F">
      <w:pPr>
        <w:spacing w:after="160" w:line="259" w:lineRule="auto"/>
        <w:ind w:left="567" w:hanging="567"/>
        <w:jc w:val="both"/>
        <w:rPr>
          <w:sz w:val="20"/>
          <w:szCs w:val="20"/>
        </w:rPr>
      </w:pPr>
      <w:r w:rsidDel="00000000" w:rsidR="00000000" w:rsidRPr="00000000">
        <w:rPr>
          <w:sz w:val="20"/>
          <w:szCs w:val="20"/>
          <w:rtl w:val="0"/>
        </w:rPr>
        <w:t xml:space="preserve">[28] </w:t>
        <w:tab/>
        <w:t xml:space="preserve">N. M. O’Boyle, M. Banck, C. A. James, C. Morley, T. Vandermeersch, and G. R. Hutchison, J Cheminform 3, 33 (2011).</w:t>
      </w:r>
    </w:p>
    <w:p w:rsidR="00000000" w:rsidDel="00000000" w:rsidP="00000000" w:rsidRDefault="00000000" w:rsidRPr="00000000" w14:paraId="00000110">
      <w:pPr>
        <w:spacing w:after="160" w:line="259" w:lineRule="auto"/>
        <w:ind w:left="567" w:hanging="567"/>
        <w:jc w:val="both"/>
        <w:rPr>
          <w:sz w:val="20"/>
          <w:szCs w:val="20"/>
        </w:rPr>
      </w:pPr>
      <w:r w:rsidDel="00000000" w:rsidR="00000000" w:rsidRPr="00000000">
        <w:rPr>
          <w:sz w:val="20"/>
          <w:szCs w:val="20"/>
          <w:rtl w:val="0"/>
        </w:rPr>
        <w:t xml:space="preserve">[29] </w:t>
        <w:tab/>
        <w:t xml:space="preserve">The Open Babel Package, version 3.1.1at &lt;http://openbabel.org&gt;</w:t>
      </w:r>
    </w:p>
    <w:p w:rsidR="00000000" w:rsidDel="00000000" w:rsidP="00000000" w:rsidRDefault="00000000" w:rsidRPr="00000000" w14:paraId="00000111">
      <w:pPr>
        <w:spacing w:after="160" w:line="259" w:lineRule="auto"/>
        <w:ind w:left="567" w:hanging="567"/>
        <w:jc w:val="both"/>
        <w:rPr>
          <w:sz w:val="20"/>
          <w:szCs w:val="20"/>
        </w:rPr>
      </w:pPr>
      <w:r w:rsidDel="00000000" w:rsidR="00000000" w:rsidRPr="00000000">
        <w:rPr>
          <w:sz w:val="20"/>
          <w:szCs w:val="20"/>
          <w:rtl w:val="0"/>
        </w:rPr>
        <w:t xml:space="preserve">[30] </w:t>
        <w:tab/>
        <w:t xml:space="preserve">The PyMOL Molecular Graphics System, Version 3.0 Schrödinger, LLC.at &lt;https://pymol.org/support.html&gt;</w:t>
      </w:r>
    </w:p>
    <w:p w:rsidR="00000000" w:rsidDel="00000000" w:rsidP="00000000" w:rsidRDefault="00000000" w:rsidRPr="00000000" w14:paraId="00000112">
      <w:pPr>
        <w:spacing w:after="160" w:line="259" w:lineRule="auto"/>
        <w:ind w:left="567" w:hanging="567"/>
        <w:jc w:val="both"/>
        <w:rPr>
          <w:sz w:val="20"/>
          <w:szCs w:val="20"/>
        </w:rPr>
      </w:pPr>
      <w:r w:rsidDel="00000000" w:rsidR="00000000" w:rsidRPr="00000000">
        <w:rPr>
          <w:sz w:val="20"/>
          <w:szCs w:val="20"/>
          <w:rtl w:val="0"/>
        </w:rPr>
        <w:t xml:space="preserve">[31] </w:t>
        <w:tab/>
        <w:t xml:space="preserve">M. F. Adasme, K. L. Linnemann, S. N. Bolz, F. Kaiser, S. Salentin, V. J. Haupt, and M. Schroeder, Nucleic Acids Research 49, W530 (2021).</w:t>
      </w:r>
    </w:p>
    <w:p w:rsidR="00000000" w:rsidDel="00000000" w:rsidP="00000000" w:rsidRDefault="00000000" w:rsidRPr="00000000" w14:paraId="00000113">
      <w:pPr>
        <w:spacing w:after="160" w:line="259" w:lineRule="auto"/>
        <w:ind w:left="567" w:hanging="567"/>
        <w:jc w:val="both"/>
        <w:rPr>
          <w:sz w:val="20"/>
          <w:szCs w:val="20"/>
        </w:rPr>
      </w:pPr>
      <w:r w:rsidDel="00000000" w:rsidR="00000000" w:rsidRPr="00000000">
        <w:rPr>
          <w:sz w:val="20"/>
          <w:szCs w:val="20"/>
          <w:rtl w:val="0"/>
        </w:rPr>
        <w:t xml:space="preserve">[32] </w:t>
        <w:tab/>
        <w:t xml:space="preserve">R. A. Laskowski and M. B. Swindells, J. Chem. Inf. Model. 51, 2778 (2011).</w:t>
      </w:r>
    </w:p>
    <w:p w:rsidR="00000000" w:rsidDel="00000000" w:rsidP="00000000" w:rsidRDefault="00000000" w:rsidRPr="00000000" w14:paraId="00000114">
      <w:pPr>
        <w:spacing w:after="160" w:line="259" w:lineRule="auto"/>
        <w:ind w:left="567" w:hanging="567"/>
        <w:jc w:val="both"/>
        <w:rPr>
          <w:sz w:val="20"/>
          <w:szCs w:val="20"/>
        </w:rPr>
      </w:pPr>
      <w:r w:rsidDel="00000000" w:rsidR="00000000" w:rsidRPr="00000000">
        <w:rPr>
          <w:sz w:val="20"/>
          <w:szCs w:val="20"/>
          <w:rtl w:val="0"/>
        </w:rPr>
        <w:t xml:space="preserve">[33] </w:t>
        <w:tab/>
        <w:t xml:space="preserve">R. Fährrolfes, S. Bietz, F. Flachsenberg, A. Meyder, E. Nittinger, T. Otto, A. Volkamer, and M. Rarey, Nucleic Acids Research 45, W337 (2017).</w:t>
      </w:r>
    </w:p>
    <w:p w:rsidR="00000000" w:rsidDel="00000000" w:rsidP="00000000" w:rsidRDefault="00000000" w:rsidRPr="00000000" w14:paraId="00000115">
      <w:pPr>
        <w:spacing w:after="160" w:line="259" w:lineRule="auto"/>
        <w:ind w:left="567" w:hanging="567"/>
        <w:jc w:val="both"/>
        <w:rPr>
          <w:sz w:val="20"/>
          <w:szCs w:val="20"/>
        </w:rPr>
      </w:pPr>
      <w:r w:rsidDel="00000000" w:rsidR="00000000" w:rsidRPr="00000000">
        <w:rPr>
          <w:sz w:val="20"/>
          <w:szCs w:val="20"/>
          <w:rtl w:val="0"/>
        </w:rPr>
        <w:t xml:space="preserve">[34] </w:t>
        <w:tab/>
        <w:t xml:space="preserve">K. Schöning-Stierand, K. Diedrich, R. Fährrolfes, F. Flachsenberg, A. Meyder, E. Nittinger, R. Steinegger, and M. Rarey, Nucleic Acids Research 48, W48 (2020).</w:t>
      </w:r>
    </w:p>
    <w:p w:rsidR="00000000" w:rsidDel="00000000" w:rsidP="00000000" w:rsidRDefault="00000000" w:rsidRPr="00000000" w14:paraId="00000116">
      <w:pPr>
        <w:spacing w:after="160" w:line="259" w:lineRule="auto"/>
        <w:ind w:left="567" w:hanging="567"/>
        <w:jc w:val="both"/>
        <w:rPr>
          <w:sz w:val="20"/>
          <w:szCs w:val="20"/>
        </w:rPr>
      </w:pPr>
      <w:r w:rsidDel="00000000" w:rsidR="00000000" w:rsidRPr="00000000">
        <w:rPr>
          <w:sz w:val="20"/>
          <w:szCs w:val="20"/>
          <w:rtl w:val="0"/>
        </w:rPr>
        <w:t xml:space="preserve">[35] </w:t>
        <w:tab/>
        <w:t xml:space="preserve">K. Stierand and M. Rarey, ACS Med. Chem. Lett. 1, 540 (2010).</w:t>
      </w:r>
    </w:p>
    <w:p w:rsidR="00000000" w:rsidDel="00000000" w:rsidP="00000000" w:rsidRDefault="00000000" w:rsidRPr="00000000" w14:paraId="00000117">
      <w:pPr>
        <w:spacing w:after="160" w:line="259" w:lineRule="auto"/>
        <w:ind w:left="567" w:hanging="567"/>
        <w:jc w:val="both"/>
        <w:rPr>
          <w:sz w:val="20"/>
          <w:szCs w:val="20"/>
        </w:rPr>
      </w:pPr>
      <w:r w:rsidDel="00000000" w:rsidR="00000000" w:rsidRPr="00000000">
        <w:rPr>
          <w:sz w:val="20"/>
          <w:szCs w:val="20"/>
          <w:rtl w:val="0"/>
        </w:rPr>
        <w:t xml:space="preserve">[36] </w:t>
        <w:tab/>
        <w:t xml:space="preserve">K. Schöning-Stierand, K. Diedrich, C. Ehrt, F. Flachsenberg, J. Graef, J. Sieg, P. Penner, M. Poppinga, A. Ungethüm, and M. Rarey, Nucleic Acids Research 50, W611 (2022).</w:t>
      </w:r>
    </w:p>
    <w:p w:rsidR="00000000" w:rsidDel="00000000" w:rsidP="00000000" w:rsidRDefault="00000000" w:rsidRPr="00000000" w14:paraId="00000118">
      <w:pPr>
        <w:spacing w:after="160" w:line="259" w:lineRule="auto"/>
        <w:ind w:left="567" w:hanging="567"/>
        <w:jc w:val="both"/>
        <w:rPr>
          <w:sz w:val="20"/>
          <w:szCs w:val="20"/>
        </w:rPr>
      </w:pPr>
      <w:r w:rsidDel="00000000" w:rsidR="00000000" w:rsidRPr="00000000">
        <w:rPr>
          <w:sz w:val="20"/>
          <w:szCs w:val="20"/>
          <w:rtl w:val="0"/>
        </w:rPr>
        <w:t xml:space="preserve">[37]</w:t>
        <w:tab/>
        <w:t xml:space="preserve"> N. Kerru, A. Singh-Pillay, P. Awolade, and P. Singh, European Journal of Medicinal Chemistry 152, 436 (2018).</w:t>
      </w:r>
    </w:p>
    <w:p w:rsidR="00000000" w:rsidDel="00000000" w:rsidP="00000000" w:rsidRDefault="00000000" w:rsidRPr="00000000" w14:paraId="00000119">
      <w:pPr>
        <w:spacing w:after="160" w:line="259" w:lineRule="auto"/>
        <w:ind w:left="567" w:hanging="567"/>
        <w:jc w:val="both"/>
        <w:rPr>
          <w:sz w:val="20"/>
          <w:szCs w:val="20"/>
        </w:rPr>
      </w:pPr>
      <w:r w:rsidDel="00000000" w:rsidR="00000000" w:rsidRPr="00000000">
        <w:rPr>
          <w:sz w:val="20"/>
          <w:szCs w:val="20"/>
          <w:rtl w:val="0"/>
        </w:rPr>
        <w:t xml:space="preserve">[38] </w:t>
        <w:tab/>
        <w:t xml:space="preserve">H. K. Thabet, A. Ragab, M. Imran, M. Hamdy Helal, S. Ibrahim Alaqel, A. Alshehri, A. Ash Mohd, S. S. Alshammari, Y. A. Ammar, and M. S. Abusaif, RSC Adv. 14, 15691 (2024).</w:t>
      </w:r>
    </w:p>
    <w:p w:rsidR="00000000" w:rsidDel="00000000" w:rsidP="00000000" w:rsidRDefault="00000000" w:rsidRPr="00000000" w14:paraId="0000011A">
      <w:pPr>
        <w:spacing w:after="160" w:line="259" w:lineRule="auto"/>
        <w:ind w:left="567" w:hanging="567"/>
        <w:jc w:val="both"/>
        <w:rPr>
          <w:sz w:val="20"/>
          <w:szCs w:val="20"/>
        </w:rPr>
      </w:pPr>
      <w:r w:rsidDel="00000000" w:rsidR="00000000" w:rsidRPr="00000000">
        <w:rPr>
          <w:sz w:val="20"/>
          <w:szCs w:val="20"/>
          <w:rtl w:val="0"/>
        </w:rPr>
        <w:t xml:space="preserve">[39] </w:t>
        <w:tab/>
        <w:t xml:space="preserve">L. S. Jefferson, W. S. Liao, D. E. Peavy, T. B. Miller, M. C. Appel, and J. M. Taylor, Journal of Biological Chemistry 258, 1369 (1983).</w:t>
      </w:r>
    </w:p>
    <w:p w:rsidR="00000000" w:rsidDel="00000000" w:rsidP="00000000" w:rsidRDefault="00000000" w:rsidRPr="00000000" w14:paraId="0000011B">
      <w:pPr>
        <w:spacing w:after="160" w:line="259" w:lineRule="auto"/>
        <w:ind w:left="567" w:hanging="567"/>
        <w:jc w:val="both"/>
        <w:rPr>
          <w:sz w:val="20"/>
          <w:szCs w:val="20"/>
        </w:rPr>
      </w:pPr>
      <w:r w:rsidDel="00000000" w:rsidR="00000000" w:rsidRPr="00000000">
        <w:rPr>
          <w:sz w:val="20"/>
          <w:szCs w:val="20"/>
          <w:rtl w:val="0"/>
        </w:rPr>
        <w:t xml:space="preserve">[40] </w:t>
        <w:tab/>
        <w:t xml:space="preserve">F. Oyakhire, E. M.A, E. Ogie, and E. E. Valentine, Med.Lab.Tech.J. 7, 155 (2021).</w:t>
      </w:r>
    </w:p>
    <w:p w:rsidR="00000000" w:rsidDel="00000000" w:rsidP="00000000" w:rsidRDefault="00000000" w:rsidRPr="00000000" w14:paraId="0000011C">
      <w:pPr>
        <w:spacing w:after="160" w:line="259" w:lineRule="auto"/>
        <w:ind w:left="567" w:hanging="567"/>
        <w:jc w:val="both"/>
        <w:rPr>
          <w:sz w:val="20"/>
          <w:szCs w:val="20"/>
        </w:rPr>
      </w:pPr>
      <w:r w:rsidDel="00000000" w:rsidR="00000000" w:rsidRPr="00000000">
        <w:rPr>
          <w:sz w:val="20"/>
          <w:szCs w:val="20"/>
          <w:rtl w:val="0"/>
        </w:rPr>
        <w:t xml:space="preserve">[41] </w:t>
        <w:tab/>
        <w:t xml:space="preserve">J. Zhang, O. Pivovarova-Ramich, S. Kabisch, M. Markova, S. Hornemann, S. Sucher, S. Rohn, J. Machann, and A. F. H. Pfeiffer, Front. Nutr. 9, 808346 (2022).</w:t>
      </w:r>
    </w:p>
    <w:p w:rsidR="00000000" w:rsidDel="00000000" w:rsidP="00000000" w:rsidRDefault="00000000" w:rsidRPr="00000000" w14:paraId="0000011D">
      <w:pPr>
        <w:spacing w:after="160" w:line="259" w:lineRule="auto"/>
        <w:ind w:left="567" w:hanging="567"/>
        <w:jc w:val="both"/>
        <w:rPr>
          <w:sz w:val="20"/>
          <w:szCs w:val="20"/>
        </w:rPr>
      </w:pPr>
      <w:r w:rsidDel="00000000" w:rsidR="00000000" w:rsidRPr="00000000">
        <w:rPr>
          <w:sz w:val="20"/>
          <w:szCs w:val="20"/>
          <w:rtl w:val="0"/>
        </w:rPr>
        <w:t xml:space="preserve">[42] </w:t>
        <w:tab/>
        <w:t xml:space="preserve">A. Volkamer, D. Kuhn, T. Grombacher, F. Rippmann, and M. Rarey, J. Chem. Inf. Model. 52, 360 (2012).</w:t>
      </w:r>
    </w:p>
    <w:p w:rsidR="00000000" w:rsidDel="00000000" w:rsidP="00000000" w:rsidRDefault="00000000" w:rsidRPr="00000000" w14:paraId="0000011E">
      <w:pPr>
        <w:spacing w:after="160" w:line="259" w:lineRule="auto"/>
        <w:ind w:left="567" w:hanging="567"/>
        <w:jc w:val="both"/>
        <w:rPr>
          <w:sz w:val="20"/>
          <w:szCs w:val="20"/>
        </w:rPr>
      </w:pPr>
      <w:r w:rsidDel="00000000" w:rsidR="00000000" w:rsidRPr="00000000">
        <w:rPr>
          <w:sz w:val="20"/>
          <w:szCs w:val="20"/>
          <w:rtl w:val="0"/>
        </w:rPr>
        <w:t xml:space="preserve">[43] </w:t>
        <w:tab/>
        <w:t xml:space="preserve">I. Kufareva and R. Abagyan, Methods of Protein Structure Comparison, in Homology Modeling, Edited by A. J. W. Orry and R. Abagyan, Totowa, NJ, Humana Press (2011), pp. 231–257.</w:t>
      </w:r>
    </w:p>
    <w:p w:rsidR="00000000" w:rsidDel="00000000" w:rsidP="00000000" w:rsidRDefault="00000000" w:rsidRPr="00000000" w14:paraId="0000011F">
      <w:pPr>
        <w:spacing w:after="160" w:line="259" w:lineRule="auto"/>
        <w:ind w:left="567" w:hanging="567"/>
        <w:jc w:val="both"/>
        <w:rPr>
          <w:sz w:val="20"/>
          <w:szCs w:val="20"/>
        </w:rPr>
      </w:pPr>
      <w:r w:rsidDel="00000000" w:rsidR="00000000" w:rsidRPr="00000000">
        <w:rPr>
          <w:sz w:val="20"/>
          <w:szCs w:val="20"/>
          <w:rtl w:val="0"/>
        </w:rPr>
        <w:t xml:space="preserve">[44] </w:t>
        <w:tab/>
        <w:t xml:space="preserve">G. Ashraf, D. DasGupta, M. Alam, S. Baeesa, B. Alghamdi, F. Anwar, T. Alqurashi, S. Sharaf, W. Al Abdulmonem, M. Alyousef, F. Alhumaydhi, and A. Shamsi, Molecules 27, 4652 (2022).</w:t>
      </w:r>
    </w:p>
    <w:p w:rsidR="00000000" w:rsidDel="00000000" w:rsidP="00000000" w:rsidRDefault="00000000" w:rsidRPr="00000000" w14:paraId="00000120">
      <w:pPr>
        <w:spacing w:after="160" w:line="259" w:lineRule="auto"/>
        <w:ind w:left="567" w:hanging="567"/>
        <w:jc w:val="both"/>
        <w:rPr>
          <w:sz w:val="20"/>
          <w:szCs w:val="20"/>
        </w:rPr>
      </w:pPr>
      <w:r w:rsidDel="00000000" w:rsidR="00000000" w:rsidRPr="00000000">
        <w:rPr>
          <w:sz w:val="20"/>
          <w:szCs w:val="20"/>
          <w:rtl w:val="0"/>
        </w:rPr>
        <w:t xml:space="preserve">[45]</w:t>
        <w:tab/>
        <w:t xml:space="preserve"> R. W. Hunter, C. C. Hughey, L. Lantier, E. I. Sundelin, M. Peggie, E. Zeqiraj, F. Sicheri, N. Jessen, D. H. Wasserman, and K. Sakamoto, Nat Med 24, 1395 (2018).</w:t>
      </w:r>
    </w:p>
    <w:p w:rsidR="00000000" w:rsidDel="00000000" w:rsidP="00000000" w:rsidRDefault="00000000" w:rsidRPr="00000000" w14:paraId="00000121">
      <w:pPr>
        <w:spacing w:after="160" w:line="259" w:lineRule="auto"/>
        <w:ind w:left="567" w:hanging="567"/>
        <w:jc w:val="both"/>
        <w:rPr>
          <w:sz w:val="20"/>
          <w:szCs w:val="20"/>
        </w:rPr>
      </w:pPr>
      <w:r w:rsidDel="00000000" w:rsidR="00000000" w:rsidRPr="00000000">
        <w:rPr>
          <w:sz w:val="20"/>
          <w:szCs w:val="20"/>
          <w:rtl w:val="0"/>
        </w:rPr>
        <w:t xml:space="preserve">[46]</w:t>
        <w:tab/>
        <w:t xml:space="preserve"> S. A. Ashraf, A. E. O. Elkhalifa, A. J. Siddiqui, M. Patel, A. M. Awadelkareem, M. Snoussi, M. S. Ashraf, M. Adnan, and S. Hadi, Molecules 25, 2735 (2020).</w:t>
      </w:r>
    </w:p>
    <w:p w:rsidR="00000000" w:rsidDel="00000000" w:rsidP="00000000" w:rsidRDefault="00000000" w:rsidRPr="00000000" w14:paraId="00000122">
      <w:pPr>
        <w:spacing w:after="160" w:line="259" w:lineRule="auto"/>
        <w:ind w:left="567" w:hanging="567"/>
        <w:jc w:val="both"/>
        <w:rPr>
          <w:sz w:val="20"/>
          <w:szCs w:val="20"/>
        </w:rPr>
      </w:pPr>
      <w:r w:rsidDel="00000000" w:rsidR="00000000" w:rsidRPr="00000000">
        <w:rPr>
          <w:sz w:val="20"/>
          <w:szCs w:val="20"/>
          <w:rtl w:val="0"/>
        </w:rPr>
        <w:t xml:space="preserve">[47]</w:t>
        <w:tab/>
        <w:t xml:space="preserve"> S. A. Ashraf, A. E. O. Elkhalifa, K. Mehmood, M. Adnan, M. A. Khan, N. E. Eltoum, A. Krishnan, and M. S. Baig, Molecules 26, 5957 (2021).</w:t>
      </w:r>
    </w:p>
    <w:p w:rsidR="00000000" w:rsidDel="00000000" w:rsidP="00000000" w:rsidRDefault="00000000" w:rsidRPr="00000000" w14:paraId="00000123">
      <w:pPr>
        <w:spacing w:after="160" w:line="259" w:lineRule="auto"/>
        <w:ind w:left="567" w:hanging="567"/>
        <w:jc w:val="both"/>
        <w:rPr>
          <w:sz w:val="20"/>
          <w:szCs w:val="20"/>
        </w:rPr>
      </w:pPr>
      <w:r w:rsidDel="00000000" w:rsidR="00000000" w:rsidRPr="00000000">
        <w:rPr>
          <w:sz w:val="20"/>
          <w:szCs w:val="20"/>
          <w:rtl w:val="0"/>
        </w:rPr>
        <w:t xml:space="preserve">[48] </w:t>
        <w:tab/>
        <w:t xml:space="preserve">S. C, D. K. S., V. Ragunathan, P. Tiwari, S. A., and B. D. P, Journal of Biomolecular Structure and Dynamics 40, 585 (2022).</w:t>
      </w:r>
    </w:p>
    <w:p w:rsidR="00000000" w:rsidDel="00000000" w:rsidP="00000000" w:rsidRDefault="00000000" w:rsidRPr="00000000" w14:paraId="00000124">
      <w:pPr>
        <w:spacing w:after="160" w:line="259" w:lineRule="auto"/>
        <w:ind w:left="567" w:hanging="567"/>
        <w:jc w:val="both"/>
        <w:rPr>
          <w:sz w:val="20"/>
          <w:szCs w:val="20"/>
        </w:rPr>
      </w:pPr>
      <w:r w:rsidDel="00000000" w:rsidR="00000000" w:rsidRPr="00000000">
        <w:rPr>
          <w:sz w:val="20"/>
          <w:szCs w:val="20"/>
          <w:rtl w:val="0"/>
        </w:rPr>
        <w:t xml:space="preserve">[49] </w:t>
        <w:tab/>
        <w:t xml:space="preserve">K. C. Agu, N. Eluehike, R. O. Ofeimun, D. Abile, G. Ideho, M. O. Ogedengbe, P. O. Onose, and O. O. Elekofehinti, Clin Phytosci 5, 21 (2019).</w:t>
      </w:r>
    </w:p>
    <w:p w:rsidR="00000000" w:rsidDel="00000000" w:rsidP="00000000" w:rsidRDefault="00000000" w:rsidRPr="00000000" w14:paraId="00000125">
      <w:pPr>
        <w:spacing w:after="160" w:line="259" w:lineRule="auto"/>
        <w:ind w:left="567" w:hanging="567"/>
        <w:jc w:val="both"/>
        <w:rPr>
          <w:sz w:val="20"/>
          <w:szCs w:val="20"/>
        </w:rPr>
      </w:pPr>
      <w:r w:rsidDel="00000000" w:rsidR="00000000" w:rsidRPr="00000000">
        <w:rPr>
          <w:sz w:val="20"/>
          <w:szCs w:val="20"/>
          <w:rtl w:val="0"/>
        </w:rPr>
        <w:t xml:space="preserve">[50] </w:t>
        <w:tab/>
        <w:t xml:space="preserve">E. Barber, M. J. Houghton, and G. Williamson, Foods 10, 1939 (2021).</w:t>
      </w:r>
    </w:p>
    <w:p w:rsidR="00000000" w:rsidDel="00000000" w:rsidP="00000000" w:rsidRDefault="00000000" w:rsidRPr="00000000" w14:paraId="00000126">
      <w:pPr>
        <w:rPr/>
      </w:pPr>
      <w:r w:rsidDel="00000000" w:rsidR="00000000" w:rsidRPr="00000000">
        <w:rPr>
          <w:rtl w:val="0"/>
        </w:rPr>
      </w:r>
    </w:p>
    <w:sectPr>
      <w:pgSz w:h="15840" w:w="12240" w:orient="portrait"/>
      <w:pgMar w:bottom="1701"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alibri"/>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C0501C"/>
    <w:pPr>
      <w:ind w:left="720"/>
      <w:contextualSpacing w:val="1"/>
    </w:pPr>
    <w:rPr>
      <w:rFonts w:asciiTheme="minorHAnsi" w:cstheme="minorBidi" w:eastAsiaTheme="minorHAnsi" w:hAnsiTheme="minorHAnsi"/>
      <w:kern w:val="2"/>
      <w:lang w:eastAsia="en-US" w:val="en-ID"/>
    </w:rPr>
  </w:style>
  <w:style w:type="character" w:styleId="Hyperlink">
    <w:name w:val="Hyperlink"/>
    <w:basedOn w:val="DefaultParagraphFont"/>
    <w:uiPriority w:val="99"/>
    <w:unhideWhenUsed w:val="1"/>
    <w:rsid w:val="00C0501C"/>
    <w:rPr>
      <w:color w:val="0000ff" w:themeColor="hyperlink"/>
      <w:u w:val="single"/>
    </w:rPr>
  </w:style>
  <w:style w:type="paragraph" w:styleId="whitespace-pre-wrap" w:customStyle="1">
    <w:name w:val="whitespace-pre-wrap"/>
    <w:basedOn w:val="Normal"/>
    <w:rsid w:val="0091568B"/>
    <w:pPr>
      <w:spacing w:after="100" w:afterAutospacing="1" w:before="100" w:beforeAutospacing="1"/>
    </w:pPr>
    <w:rPr>
      <w:lang w:val="en-ID"/>
    </w:rPr>
  </w:style>
  <w:style w:type="paragraph" w:styleId="Paragraph" w:customStyle="1">
    <w:name w:val="Paragraph"/>
    <w:basedOn w:val="Normal"/>
    <w:rsid w:val="00956AED"/>
    <w:pPr>
      <w:ind w:firstLine="284"/>
      <w:jc w:val="both"/>
    </w:pPr>
    <w:rPr>
      <w:sz w:val="20"/>
      <w:szCs w:val="20"/>
      <w:lang w:eastAsia="en-US"/>
    </w:rPr>
  </w:style>
  <w:style w:type="paragraph" w:styleId="AuthorName" w:customStyle="1">
    <w:name w:val="Author Name"/>
    <w:basedOn w:val="Normal"/>
    <w:next w:val="Normal"/>
    <w:rsid w:val="00B77737"/>
    <w:pPr>
      <w:spacing w:after="360" w:before="360"/>
      <w:jc w:val="center"/>
    </w:pPr>
    <w:rPr>
      <w:sz w:val="28"/>
      <w:szCs w:val="20"/>
      <w:lang w:eastAsia="en-US"/>
    </w:rPr>
  </w:style>
  <w:style w:type="paragraph" w:styleId="Bibliography">
    <w:name w:val="Bibliography"/>
    <w:basedOn w:val="Normal"/>
    <w:next w:val="Normal"/>
    <w:uiPriority w:val="37"/>
    <w:unhideWhenUsed w:val="1"/>
    <w:rsid w:val="00B22CF3"/>
  </w:style>
  <w:style w:type="paragraph" w:styleId="Header">
    <w:name w:val="header"/>
    <w:basedOn w:val="Normal"/>
    <w:link w:val="HeaderChar"/>
    <w:uiPriority w:val="99"/>
    <w:unhideWhenUsed w:val="1"/>
    <w:rsid w:val="00432E9C"/>
    <w:pPr>
      <w:tabs>
        <w:tab w:val="center" w:pos="4513"/>
        <w:tab w:val="right" w:pos="9026"/>
      </w:tabs>
    </w:pPr>
  </w:style>
  <w:style w:type="character" w:styleId="HeaderChar" w:customStyle="1">
    <w:name w:val="Header Char"/>
    <w:basedOn w:val="DefaultParagraphFont"/>
    <w:link w:val="Header"/>
    <w:uiPriority w:val="99"/>
    <w:rsid w:val="00432E9C"/>
  </w:style>
  <w:style w:type="paragraph" w:styleId="Footer">
    <w:name w:val="footer"/>
    <w:basedOn w:val="Normal"/>
    <w:link w:val="FooterChar"/>
    <w:uiPriority w:val="99"/>
    <w:unhideWhenUsed w:val="1"/>
    <w:rsid w:val="00432E9C"/>
    <w:pPr>
      <w:tabs>
        <w:tab w:val="center" w:pos="4513"/>
        <w:tab w:val="right" w:pos="9026"/>
      </w:tabs>
    </w:pPr>
  </w:style>
  <w:style w:type="character" w:styleId="FooterChar" w:customStyle="1">
    <w:name w:val="Footer Char"/>
    <w:basedOn w:val="DefaultParagraphFont"/>
    <w:link w:val="Footer"/>
    <w:uiPriority w:val="99"/>
    <w:rsid w:val="00432E9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11" Type="http://schemas.openxmlformats.org/officeDocument/2006/relationships/image" Target="media/image4.jpg"/><Relationship Id="rId22" Type="http://schemas.openxmlformats.org/officeDocument/2006/relationships/image" Target="media/image3.png"/><Relationship Id="rId10" Type="http://schemas.openxmlformats.org/officeDocument/2006/relationships/hyperlink" Target="mailto:y_kusumawati@chem.its.ac.id" TargetMode="External"/><Relationship Id="rId21" Type="http://schemas.openxmlformats.org/officeDocument/2006/relationships/image" Target="media/image14.png"/><Relationship Id="rId13" Type="http://schemas.openxmlformats.org/officeDocument/2006/relationships/image" Target="media/image12.png"/><Relationship Id="rId12" Type="http://schemas.openxmlformats.org/officeDocument/2006/relationships/image" Target="media/image2.png"/><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riyanda@its.ac.id" TargetMode="External"/><Relationship Id="rId15" Type="http://schemas.openxmlformats.org/officeDocument/2006/relationships/image" Target="media/image10.png"/><Relationship Id="rId14" Type="http://schemas.openxmlformats.org/officeDocument/2006/relationships/image" Target="media/image13.png"/><Relationship Id="rId17" Type="http://schemas.openxmlformats.org/officeDocument/2006/relationships/image" Target="media/image11.png"/><Relationship Id="rId16" Type="http://schemas.openxmlformats.org/officeDocument/2006/relationships/image" Target="media/image9.png"/><Relationship Id="rId5" Type="http://schemas.openxmlformats.org/officeDocument/2006/relationships/fontTable" Target="fontTable.xml"/><Relationship Id="rId19" Type="http://schemas.openxmlformats.org/officeDocument/2006/relationships/image" Target="media/image7.png"/><Relationship Id="rId6" Type="http://schemas.openxmlformats.org/officeDocument/2006/relationships/numbering" Target="numbering.xml"/><Relationship Id="rId18" Type="http://schemas.openxmlformats.org/officeDocument/2006/relationships/image" Target="media/image8.png"/><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xSV/kpvHohf16Yl+GCKCl4milQ==">CgMxLjAaFAoBMBIPCg0IB0IJEgdHdW5nc3VoMg5oLmNjcHQ4M3RtbWIwYzIOaC5jcHpzNzdkYmw1MGEyDmguNGkzbXNwbXdyMG5nOAByITFxZ3RhSkR2QUZDNUtwTTVSZmw1M18yb09FQ25iMkcxdg==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2025-10-02T04:59:00Z</dcterms:created>
  <dc:creator>VIRGI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zotero-version="7.0.7"&gt;&lt;session id="545H1McU"/&gt;&lt;style id="http://www.zotero.org/styles/journal-of-nanoscience-and-nanotechnology" hasBibliography="1" bibliographyStyleHasBeenSet="1"/&gt;&lt;prefs&gt;&lt;pref name="fieldType" value="Field"/&gt;&lt;/pr</vt:lpwstr>
  </property>
  <property fmtid="{D5CDD505-2E9C-101B-9397-08002B2CF9AE}" pid="3" name="ZOTERO_PREF_2">
    <vt:lpwstr>efs&gt;&lt;/data&gt;</vt:lpwstr>
  </property>
</Properties>
</file>