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DC23CA" w14:textId="2A797698" w:rsidR="00724DB2" w:rsidRDefault="00535463" w:rsidP="00860F8F">
      <w:pPr>
        <w:pStyle w:val="PaperTitle"/>
      </w:pPr>
      <w:bookmarkStart w:id="0" w:name="_Hlk165105278"/>
      <w:r>
        <w:t xml:space="preserve"> </w:t>
      </w:r>
      <w:r w:rsidR="00632DCC" w:rsidRPr="00632DCC">
        <w:t xml:space="preserve">Influence of Thermal </w:t>
      </w:r>
      <w:proofErr w:type="spellStart"/>
      <w:r w:rsidR="00632DCC" w:rsidRPr="00632DCC">
        <w:t>Effusivity</w:t>
      </w:r>
      <w:proofErr w:type="spellEnd"/>
      <w:r w:rsidR="00632DCC" w:rsidRPr="00632DCC">
        <w:t xml:space="preserve"> on Transient Surface Temperature Rise in Semi-Infinite Solids</w:t>
      </w:r>
    </w:p>
    <w:bookmarkEnd w:id="0"/>
    <w:p w14:paraId="4C43F055" w14:textId="0E5615FC" w:rsidR="00A419EF" w:rsidRPr="00535463" w:rsidRDefault="00A419EF" w:rsidP="00860F8F">
      <w:pPr>
        <w:pStyle w:val="AuthorName"/>
      </w:pPr>
      <w:r w:rsidRPr="00535463">
        <w:t>Sudhakar Reddy Kota</w:t>
      </w:r>
      <w:r w:rsidRPr="00535463">
        <w:rPr>
          <w:vertAlign w:val="superscript"/>
        </w:rPr>
        <w:t>1</w:t>
      </w:r>
      <w:r w:rsidRPr="00535463">
        <w:t>, M Prem Kumar Reddy</w:t>
      </w:r>
      <w:r w:rsidRPr="00535463">
        <w:rPr>
          <w:vertAlign w:val="superscript"/>
        </w:rPr>
        <w:t>2</w:t>
      </w:r>
      <w:r w:rsidRPr="00535463">
        <w:t xml:space="preserve">, </w:t>
      </w:r>
      <w:proofErr w:type="spellStart"/>
      <w:r w:rsidRPr="00535463">
        <w:t>Seeniappan</w:t>
      </w:r>
      <w:proofErr w:type="spellEnd"/>
      <w:r w:rsidRPr="00535463">
        <w:t xml:space="preserve"> Kaliappan</w:t>
      </w:r>
      <w:r w:rsidRPr="00535463">
        <w:rPr>
          <w:vertAlign w:val="superscript"/>
        </w:rPr>
        <w:t>3</w:t>
      </w:r>
      <w:r w:rsidRPr="00535463">
        <w:t>, M</w:t>
      </w:r>
      <w:r w:rsidR="00860F8F">
        <w:t xml:space="preserve"> </w:t>
      </w:r>
      <w:r w:rsidRPr="00535463">
        <w:t>Muthukannan</w:t>
      </w:r>
      <w:r w:rsidRPr="00535463">
        <w:rPr>
          <w:vertAlign w:val="superscript"/>
        </w:rPr>
        <w:t>4</w:t>
      </w:r>
      <w:r w:rsidRPr="00535463">
        <w:t xml:space="preserve">, </w:t>
      </w:r>
      <w:proofErr w:type="spellStart"/>
      <w:r w:rsidRPr="00535463">
        <w:t>Vijayanandh</w:t>
      </w:r>
      <w:proofErr w:type="spellEnd"/>
      <w:r w:rsidRPr="00535463">
        <w:t xml:space="preserve"> Raja</w:t>
      </w:r>
      <w:r w:rsidRPr="00535463">
        <w:rPr>
          <w:vertAlign w:val="superscript"/>
        </w:rPr>
        <w:t>5</w:t>
      </w:r>
      <w:r w:rsidRPr="00535463">
        <w:t xml:space="preserve">, </w:t>
      </w:r>
      <w:r w:rsidR="00F61A8E">
        <w:t xml:space="preserve">M </w:t>
      </w:r>
      <w:r w:rsidRPr="00535463">
        <w:t>Ramya</w:t>
      </w:r>
      <w:proofErr w:type="gramStart"/>
      <w:r w:rsidRPr="00535463">
        <w:rPr>
          <w:vertAlign w:val="superscript"/>
        </w:rPr>
        <w:t>6</w:t>
      </w:r>
      <w:r w:rsidR="00860F8F">
        <w:rPr>
          <w:vertAlign w:val="superscript"/>
        </w:rPr>
        <w:t>,a</w:t>
      </w:r>
      <w:proofErr w:type="gramEnd"/>
      <w:r w:rsidR="00860F8F">
        <w:rPr>
          <w:vertAlign w:val="superscript"/>
        </w:rPr>
        <w:t>)</w:t>
      </w:r>
    </w:p>
    <w:p w14:paraId="71D2237D" w14:textId="50674404" w:rsidR="00A419EF" w:rsidRPr="00761052" w:rsidRDefault="00A419EF" w:rsidP="00860F8F">
      <w:pPr>
        <w:pStyle w:val="AuthorAffiliation"/>
      </w:pPr>
      <w:r w:rsidRPr="00761052">
        <w:rPr>
          <w:vertAlign w:val="superscript"/>
        </w:rPr>
        <w:t>1</w:t>
      </w:r>
      <w:r w:rsidRPr="00761052">
        <w:t xml:space="preserve"> Department of Civil Engineering, G. Pulla Reddy Engineering College, Kurnool, India</w:t>
      </w:r>
    </w:p>
    <w:p w14:paraId="62D82584" w14:textId="24A9402C" w:rsidR="00A419EF" w:rsidRPr="00761052" w:rsidRDefault="00A419EF" w:rsidP="00860F8F">
      <w:pPr>
        <w:pStyle w:val="AuthorAffiliation"/>
      </w:pPr>
      <w:r w:rsidRPr="00761052">
        <w:rPr>
          <w:vertAlign w:val="superscript"/>
        </w:rPr>
        <w:t xml:space="preserve">2 </w:t>
      </w:r>
      <w:r w:rsidRPr="00761052">
        <w:t>Department of Mechanical Engineering, College Name: Aditya University, Surampalem, India</w:t>
      </w:r>
    </w:p>
    <w:p w14:paraId="1595A3FC" w14:textId="0C0F8EFC" w:rsidR="00A419EF" w:rsidRPr="00761052" w:rsidRDefault="00A419EF" w:rsidP="00860F8F">
      <w:pPr>
        <w:pStyle w:val="AuthorAffiliation"/>
      </w:pPr>
      <w:r w:rsidRPr="00761052">
        <w:rPr>
          <w:vertAlign w:val="superscript"/>
        </w:rPr>
        <w:t>3</w:t>
      </w:r>
      <w:r w:rsidRPr="00761052">
        <w:t xml:space="preserve"> Department of Mechanical Engineering, KCG College of Technology, </w:t>
      </w:r>
      <w:proofErr w:type="spellStart"/>
      <w:r w:rsidRPr="00761052">
        <w:t>Karapakkam</w:t>
      </w:r>
      <w:proofErr w:type="spellEnd"/>
      <w:r w:rsidRPr="00761052">
        <w:t>,</w:t>
      </w:r>
    </w:p>
    <w:p w14:paraId="28C0BD9C" w14:textId="77777777" w:rsidR="00A419EF" w:rsidRPr="00761052" w:rsidRDefault="00A419EF" w:rsidP="00860F8F">
      <w:pPr>
        <w:pStyle w:val="AuthorAffiliation"/>
      </w:pPr>
      <w:r w:rsidRPr="00761052">
        <w:t>Chennai-600097, Tamil Nadu, India.</w:t>
      </w:r>
    </w:p>
    <w:p w14:paraId="6EC551A5" w14:textId="4BED1976" w:rsidR="00A419EF" w:rsidRPr="00761052" w:rsidRDefault="00A419EF" w:rsidP="00860F8F">
      <w:pPr>
        <w:pStyle w:val="AuthorAffiliation"/>
      </w:pPr>
      <w:r w:rsidRPr="00761052">
        <w:rPr>
          <w:vertAlign w:val="superscript"/>
        </w:rPr>
        <w:t>4</w:t>
      </w:r>
      <w:r w:rsidRPr="00761052">
        <w:t xml:space="preserve"> Department of Civil, KCG College of Technology, </w:t>
      </w:r>
      <w:proofErr w:type="spellStart"/>
      <w:r w:rsidRPr="00761052">
        <w:t>Karapakkam</w:t>
      </w:r>
      <w:proofErr w:type="spellEnd"/>
      <w:r w:rsidRPr="00761052">
        <w:t>, Chennai 600 097, India</w:t>
      </w:r>
    </w:p>
    <w:p w14:paraId="2924F6E8" w14:textId="61F69B62" w:rsidR="00A419EF" w:rsidRPr="00761052" w:rsidRDefault="00A419EF" w:rsidP="00860F8F">
      <w:pPr>
        <w:pStyle w:val="AuthorAffiliation"/>
      </w:pPr>
      <w:r w:rsidRPr="00761052">
        <w:rPr>
          <w:vertAlign w:val="superscript"/>
        </w:rPr>
        <w:t>5</w:t>
      </w:r>
      <w:r w:rsidRPr="00761052">
        <w:t xml:space="preserve"> Department of Aeronautical Engineering, Kumaraguru College of Technology, Coimbatore-641049, Tamil Nadu, India.</w:t>
      </w:r>
    </w:p>
    <w:p w14:paraId="76ED4634" w14:textId="624D1EE8" w:rsidR="00A419EF" w:rsidRPr="00761052" w:rsidRDefault="00A419EF" w:rsidP="00860F8F">
      <w:pPr>
        <w:pStyle w:val="AuthorAffiliation"/>
      </w:pPr>
      <w:r w:rsidRPr="00761052">
        <w:rPr>
          <w:vertAlign w:val="superscript"/>
        </w:rPr>
        <w:t xml:space="preserve">6 </w:t>
      </w:r>
      <w:r w:rsidRPr="00761052">
        <w:t xml:space="preserve">Division of Research and Development, Lovely Professional University, Jalandhar - Delhi </w:t>
      </w:r>
      <w:proofErr w:type="spellStart"/>
      <w:r w:rsidRPr="00761052">
        <w:t>G.</w:t>
      </w:r>
      <w:proofErr w:type="gramStart"/>
      <w:r w:rsidRPr="00761052">
        <w:t>T.Road</w:t>
      </w:r>
      <w:proofErr w:type="spellEnd"/>
      <w:proofErr w:type="gramEnd"/>
      <w:r w:rsidRPr="00761052">
        <w:t>, Phagwara, Punjab– 144411, India.</w:t>
      </w:r>
      <w:r w:rsidR="00CF6307">
        <w:t xml:space="preserve"> </w:t>
      </w:r>
    </w:p>
    <w:p w14:paraId="68B3629D" w14:textId="6013AD5E" w:rsidR="00A419EF" w:rsidRPr="00860F8F" w:rsidRDefault="00A419EF" w:rsidP="00860F8F">
      <w:pPr>
        <w:pStyle w:val="AuthorEmail"/>
      </w:pPr>
      <w:r w:rsidRPr="00860F8F">
        <w:t xml:space="preserve">Corresponding </w:t>
      </w:r>
      <w:r w:rsidR="005D5FB0" w:rsidRPr="00860F8F">
        <w:t>Author:</w:t>
      </w:r>
      <w:r w:rsidR="008E4E4C" w:rsidRPr="00860F8F">
        <w:t xml:space="preserve"> </w:t>
      </w:r>
      <w:r w:rsidR="00860F8F">
        <w:rPr>
          <w:vertAlign w:val="superscript"/>
        </w:rPr>
        <w:t>a)</w:t>
      </w:r>
      <w:hyperlink r:id="rId5" w:history="1">
        <w:r w:rsidR="00860F8F" w:rsidRPr="0080020C">
          <w:rPr>
            <w:rStyle w:val="Hyperlink"/>
          </w:rPr>
          <w:t>ramyalpu@yahoo.com</w:t>
        </w:r>
      </w:hyperlink>
      <w:r w:rsidR="00860F8F">
        <w:t xml:space="preserve"> </w:t>
      </w:r>
      <w:r w:rsidR="002C0B2C" w:rsidRPr="00860F8F">
        <w:t xml:space="preserve"> </w:t>
      </w:r>
    </w:p>
    <w:p w14:paraId="45464133" w14:textId="77777777" w:rsidR="00860F8F" w:rsidRDefault="00195C26" w:rsidP="00860F8F">
      <w:pPr>
        <w:pStyle w:val="Abstract"/>
      </w:pPr>
      <w:r>
        <w:rPr>
          <w:b/>
          <w:bCs/>
        </w:rPr>
        <w:t>Abstract</w:t>
      </w:r>
      <w:r w:rsidR="00860F8F">
        <w:rPr>
          <w:b/>
          <w:bCs/>
        </w:rPr>
        <w:t xml:space="preserve">: </w:t>
      </w:r>
      <w:r w:rsidR="002019EF" w:rsidRPr="002019EF">
        <w:t>According to the thermodynamic transmission principle, a substance's thermal conduction report phrase (k) and its thermal dispersion (</w:t>
      </w:r>
      <w:r w:rsidR="002019EF" w:rsidRPr="002019EF">
        <w:rPr>
          <w:rFonts w:ascii="Cambria Math" w:hAnsi="Cambria Math" w:cs="Cambria Math"/>
        </w:rPr>
        <w:t>𝛼</w:t>
      </w:r>
      <w:r w:rsidR="002019EF" w:rsidRPr="002019EF">
        <w:t>) have an impact on the speed at which temperatures vary in both irregular and regular objects and react to different heating and cooling situations. In the current work, the classic statement involving both thermo-physical features is thoroughly analysed for the situation of a semi-infinite area. The main goal of this work is to find out how a little-known thermophysical feature termed therma</w:t>
      </w:r>
      <w:r w:rsidR="002019EF">
        <w:t xml:space="preserve">l </w:t>
      </w:r>
      <w:proofErr w:type="spellStart"/>
      <w:r w:rsidR="002019EF" w:rsidRPr="002019EF">
        <w:t>effusivity</w:t>
      </w:r>
      <w:proofErr w:type="spellEnd"/>
      <w:r w:rsidR="002019EF" w:rsidRPr="002019EF">
        <w:t xml:space="preserve">, affects a semi-infinite object subjected to homogeneous ambient heat flow and its first rise in surface temperatures. Finding a crucial </w:t>
      </w:r>
      <w:proofErr w:type="spellStart"/>
      <w:r w:rsidR="002019EF" w:rsidRPr="002019EF">
        <w:t>figur</w:t>
      </w:r>
      <w:proofErr w:type="spellEnd"/>
      <w:r w:rsidR="002019EF" w:rsidRPr="002019EF">
        <w:t xml:space="preserve"> of -merit, called the undefined</w:t>
      </w:r>
      <w:r w:rsidR="002019EF">
        <w:t xml:space="preserve"> </w:t>
      </w:r>
      <w:r w:rsidR="002019EF" w:rsidRPr="002019EF">
        <w:t>thresholds a period of time that distinguishes between the beginning temperatures</w:t>
      </w:r>
      <w:r w:rsidR="002019EF">
        <w:t xml:space="preserve"> </w:t>
      </w:r>
      <w:r w:rsidR="002019EF" w:rsidRPr="002019EF">
        <w:t>rising in a semi-infinite region and the beginning temperatures</w:t>
      </w:r>
      <w:r w:rsidR="004A0256">
        <w:t xml:space="preserve"> </w:t>
      </w:r>
      <w:r w:rsidR="002019EF" w:rsidRPr="002019EF">
        <w:t>rising</w:t>
      </w:r>
      <w:r w:rsidR="004A0256">
        <w:t xml:space="preserve"> </w:t>
      </w:r>
      <w:r w:rsidR="002019EF" w:rsidRPr="002019EF">
        <w:t xml:space="preserve"> in a substantial wall of limited weight under a single consistent surface-temperature</w:t>
      </w:r>
      <w:r w:rsidR="002019EF">
        <w:t xml:space="preserve"> </w:t>
      </w:r>
      <w:r w:rsidR="002019EF" w:rsidRPr="002019EF">
        <w:t>movement is the study's second objective. The meticulous analysis's conclusion indicates that 0.10 ought to correspond to the precise estimation for the undefined cutoff period</w:t>
      </w:r>
      <w:r w:rsidR="002019EF">
        <w:t xml:space="preserve"> </w:t>
      </w:r>
      <w:r w:rsidR="002019EF" w:rsidRPr="002019EF">
        <w:t>in the semi-infinite area. </w:t>
      </w:r>
    </w:p>
    <w:p w14:paraId="2B1C8358" w14:textId="67B92827" w:rsidR="00195C26" w:rsidRDefault="00195C26" w:rsidP="00860F8F">
      <w:pPr>
        <w:pStyle w:val="Abstract"/>
      </w:pPr>
      <w:r w:rsidRPr="00195C26">
        <w:rPr>
          <w:b/>
          <w:bCs/>
        </w:rPr>
        <w:t xml:space="preserve">Keywords: </w:t>
      </w:r>
      <w:r w:rsidRPr="00195C26">
        <w:t xml:space="preserve">Thermal </w:t>
      </w:r>
      <w:proofErr w:type="spellStart"/>
      <w:r w:rsidRPr="00195C26">
        <w:t>effusivity</w:t>
      </w:r>
      <w:proofErr w:type="spellEnd"/>
      <w:r w:rsidRPr="00195C26">
        <w:t>; Heat flux; Surface temperature; Threshold time; Heat transfer</w:t>
      </w:r>
      <w:r>
        <w:t>.</w:t>
      </w:r>
    </w:p>
    <w:p w14:paraId="06BBB403" w14:textId="3EB147F3" w:rsidR="00195C26" w:rsidRDefault="00195C26" w:rsidP="00860F8F">
      <w:pPr>
        <w:pStyle w:val="Heading1"/>
      </w:pPr>
      <w:r w:rsidRPr="00195C26">
        <w:t>Introduction</w:t>
      </w:r>
    </w:p>
    <w:p w14:paraId="73637C76" w14:textId="1C6FFF26" w:rsidR="00DB0A9A" w:rsidRDefault="002019EF" w:rsidP="00860F8F">
      <w:pPr>
        <w:pStyle w:val="Paragraph"/>
      </w:pPr>
      <w:r w:rsidRPr="002019EF">
        <w:t>The development of green energy collection technology has received significant attention due to the growing need for renewable energy sources. In both the natural world and the workplace, temperature swings are ubiquitous sources of energy. Thermal electricity devices may easily extract warmth in the form of a geographical heat differential. Conversely, another as-yet-largely untapped source of thermal power is the environment's transitory change in temperature</w:t>
      </w:r>
      <w:r w:rsidR="004A0256">
        <w:t xml:space="preserve"> [1]</w:t>
      </w:r>
      <w:r w:rsidRPr="002019EF">
        <w:t>. These narrow temporal and geographical gradients provide an enormous obstacle to traditional methods like thermal electricity, pyroelectric, and thermophotovoltaic. This difficulty has been addressed in recent studies by transforming variations in time into geographical variations in temperature that allow for a discernible transfer to electrical power. This tactic served as inspiration for our introduction of the thermal resonator idea, which has since been developed by others. Experimental evidence has shown that it is a renewable energy harvest system that can produce power over a wide range of temperature waves</w:t>
      </w:r>
      <w:r w:rsidR="004A0256">
        <w:t xml:space="preserve"> [2]</w:t>
      </w:r>
      <w:r w:rsidRPr="002019EF">
        <w:t>. Through the construction and investigation of physical designs, ideal materials and the layout of devices are being methodically considered. Cordless nodes for sensors may be powered using thermal resonances, which have been demonstrated to be a reliable source of energy in a range of settings.</w:t>
      </w:r>
    </w:p>
    <w:p w14:paraId="11CB363C" w14:textId="3B6F28C6" w:rsidR="00195C26" w:rsidRPr="00195C26" w:rsidRDefault="002019EF" w:rsidP="00860F8F">
      <w:pPr>
        <w:pStyle w:val="Paragraph"/>
        <w:rPr>
          <w:b/>
          <w:bCs/>
          <w:sz w:val="28"/>
          <w:szCs w:val="28"/>
        </w:rPr>
      </w:pPr>
      <w:r w:rsidRPr="002019EF">
        <w:lastRenderedPageBreak/>
        <w:t>According to the information in the heat transfer texts written by Carlaw and Jaeger, unstable heat transmission in normal and uneven objects has exceptional value in a diversity of engineering situations worldwide. The abundance of computational methods has produced a variety of answers for unstable heat transfer in regular or uneven objects exposed to different cooling and heating conditions, including: 1) precise analytic answers; 2) approximation analytic solutions; and 3) approximation/numerical answers. It follows from the structure of the thermophysical characteristics of materials that thermal conductivity (k) and thermal diffusion (α) are both thermophysical qualities that determine the degree of heat dispersion in regular and uneven objects</w:t>
      </w:r>
      <w:r w:rsidR="004A0256">
        <w:t xml:space="preserve"> [3]</w:t>
      </w:r>
      <w:r w:rsidRPr="002019EF">
        <w:t>. The semi-infinite zone with constant starting frequency and frequency-invariant thermo-physical characteristics that are heated with equal heat transfer at the outermost layer (Neumann border conditions) is the subject of the current investigation</w:t>
      </w:r>
      <w:r w:rsidR="0040271B">
        <w:t xml:space="preserve"> [4]</w:t>
      </w:r>
      <w:r w:rsidRPr="002019EF">
        <w:t>. The investigation's primary objective is to look into any possible interactions among the surface temperature increase in the semi-infinite area as a result of constant warming and a less well-known thermophysical feature referred to as thermal effectivity, or "e." The research's additional objective is to determine an undefined cutoff period α</w:t>
      </w:r>
      <w:proofErr w:type="spellStart"/>
      <w:r w:rsidRPr="002019EF">
        <w:t>th</w:t>
      </w:r>
      <w:proofErr w:type="spellEnd"/>
      <w:r w:rsidRPr="002019EF">
        <w:t xml:space="preserve"> which, during the early stages of both regions' continual heating up, divides them into a huge, finite-thick wall and a semi-infinite zone. A crucial figure of merit is established in this section, which is helpful in the study of these kinds of unstable thermal conduction issues</w:t>
      </w:r>
      <w:r w:rsidR="004A0256">
        <w:t xml:space="preserve"> [5]</w:t>
      </w:r>
      <w:r w:rsidRPr="002019EF">
        <w:t>.</w:t>
      </w:r>
    </w:p>
    <w:p w14:paraId="2961E330" w14:textId="2FE9C87E" w:rsidR="00DB0A9A" w:rsidRDefault="00DC435E" w:rsidP="00860F8F">
      <w:pPr>
        <w:pStyle w:val="Paragraph"/>
      </w:pPr>
      <w:r w:rsidRPr="00DC435E">
        <w:t xml:space="preserve">Think about a semi-infinite area that is heated by an adjacent supply. A constant heat flux (FH) enters the semi-infinite zone after originating at a heat supply as thermal or optical warming. In particular, the surface temperature, or Ts, turns out to be the main goal value in the ongoing heating in the semi-infinite area studied herein. This is the case since, at any given point in the method of heating, Ts is the greatest temperature in a semi-infinite area that has to stay under </w:t>
      </w:r>
      <w:r>
        <w:t>melting</w:t>
      </w:r>
      <w:r w:rsidRPr="00DC435E">
        <w:t xml:space="preserve"> the substance's point of melting. A list of normal boiling points Metals and alloy melts are accessible</w:t>
      </w:r>
      <w:r w:rsidR="00F56AE5">
        <w:t xml:space="preserve"> [12-15]</w:t>
      </w:r>
      <w:r w:rsidRPr="00DC435E">
        <w:t>.</w:t>
      </w:r>
      <w:r w:rsidR="00DB0A9A">
        <w:t xml:space="preserve"> </w:t>
      </w:r>
    </w:p>
    <w:p w14:paraId="528926E8" w14:textId="21E431D4" w:rsidR="00DB0A9A" w:rsidRPr="00DB0A9A" w:rsidRDefault="00DB0A9A" w:rsidP="00860F8F">
      <w:pPr>
        <w:pStyle w:val="Heading1"/>
      </w:pPr>
      <w:r w:rsidRPr="00DB0A9A">
        <w:t>Experimentations</w:t>
      </w:r>
    </w:p>
    <w:p w14:paraId="01E69638" w14:textId="13CF2827" w:rsidR="00DB0A9A" w:rsidRPr="00DB0A9A" w:rsidRDefault="00DB0A9A" w:rsidP="00860F8F">
      <w:pPr>
        <w:pStyle w:val="Heading2"/>
      </w:pPr>
      <w:r w:rsidRPr="00DB0A9A">
        <w:t xml:space="preserve">Concept of Thermal </w:t>
      </w:r>
      <w:proofErr w:type="spellStart"/>
      <w:r w:rsidRPr="00DB0A9A">
        <w:t>Effusivity</w:t>
      </w:r>
      <w:proofErr w:type="spellEnd"/>
    </w:p>
    <w:p w14:paraId="23E17F6E" w14:textId="05317811" w:rsidR="00DC435E" w:rsidRDefault="00DC435E" w:rsidP="00860F8F">
      <w:pPr>
        <w:pStyle w:val="Paragraph"/>
      </w:pPr>
      <w:r w:rsidRPr="00DC435E">
        <w:t>Different types of environmental fluctuations were observed, including computer hours of operation and daily cycling in a natural environment. We have developed a general design for a thermally resonant that entails a heat generator (often a piezoelectric module) positioned among two blocks or substances, referred to as thermally crowds, in order to transform into spatial gradients. Usually in the shape of metallic fins, warmth 2 is composed of something having little heat capability and strong thermal conduction. Its job is to optimise the environment's exchange of heat. Thermal mass 1, on the other hand, has the ability to collect warmth in the warm phase of the thermodynamic period, retain it, and finally discharge it throughout the chilly phase. Strong heat transfer along with excellent storage of energy are features of high-efficacy composites. Transitional-phase substances are often employed for the former. When phase-changing materials, or PCMs, are added close to their transitional temperatures (</w:t>
      </w:r>
      <w:r w:rsidRPr="00DC435E">
        <w:rPr>
          <w:rFonts w:ascii="Cambria Math" w:hAnsi="Cambria Math" w:cs="Cambria Math"/>
        </w:rPr>
        <w:t>𝑇𝑇∗</w:t>
      </w:r>
      <w:r w:rsidRPr="00DC435E">
        <w:t xml:space="preserve">), the energy density per cubic inch is increased by almost a factor larger when compared to practical storage of warmth. An efficient temperature </w:t>
      </w:r>
      <w:proofErr w:type="spellStart"/>
      <w:r w:rsidRPr="00DC435E">
        <w:t>effusivity</w:t>
      </w:r>
      <w:proofErr w:type="spellEnd"/>
      <w:r w:rsidRPr="00DC435E">
        <w:t>, or e, ought to be utilised in this instance</w:t>
      </w:r>
      <w:r w:rsidR="004A0256">
        <w:t xml:space="preserve"> [6</w:t>
      </w:r>
      <w:r w:rsidR="00F56AE5">
        <w:t>, 16-20</w:t>
      </w:r>
      <w:r w:rsidR="004A0256">
        <w:t>]</w:t>
      </w:r>
      <w:r w:rsidRPr="00DC435E">
        <w:t>.</w:t>
      </w:r>
    </w:p>
    <w:p w14:paraId="1B2256D9" w14:textId="5B8DB6A4" w:rsidR="00DB0A9A" w:rsidRDefault="00DC435E" w:rsidP="00860F8F">
      <w:pPr>
        <w:pStyle w:val="Paragraph"/>
      </w:pPr>
      <w:r w:rsidRPr="00DC435E">
        <w:t xml:space="preserve">Unfortunately, the poor inherent thermal conductivity of the majority of PCMs severely restricts the level of thermal </w:t>
      </w:r>
      <w:proofErr w:type="spellStart"/>
      <w:r w:rsidRPr="00DC435E">
        <w:t>effusivity</w:t>
      </w:r>
      <w:proofErr w:type="spellEnd"/>
      <w:r w:rsidRPr="00DC435E">
        <w:t xml:space="preserve"> that may be achieved. Graphitic nanomaterials made of carbon have great attraction for biological PCMs with excellent inherent thermal insulation as well as physical and thermal resistance. Diamonds and carbon graphite have high temperatures due to their stiff C-C connection, tiny atomic weights, and extremely weak dispersion, which provide high sonic velocity and a long median straight route. In order to improve PCM's heat </w:t>
      </w:r>
      <w:proofErr w:type="spellStart"/>
      <w:r w:rsidRPr="00DC435E">
        <w:t>effusivity</w:t>
      </w:r>
      <w:proofErr w:type="spellEnd"/>
      <w:r w:rsidRPr="00DC435E">
        <w:t>, many researchers have created composites with nanoparticles of carbon included in them</w:t>
      </w:r>
      <w:r w:rsidR="00F56AE5">
        <w:t xml:space="preserve"> [21-23]</w:t>
      </w:r>
      <w:r w:rsidRPr="00DC435E">
        <w:t xml:space="preserve">. Using graphene/hexadecane solutions with acid intercalation, which microwaves growth, and supersonic dispersal for graphene, the researchers Zheng et al. produced a nanocomposite with a successful thermal diffusion of 14 J in one of their early attempts. Since that point, additional kinds of nanocarbon compounds and more sophisticated preparation techniques have been used. Wu et al. increased the thermal conductivity by three times at the state changeover at 29 °C using 1.3 weight percent carbon black in octadecane. Utilising just 0.25 percent weight percent of carbon nanotube (CNT) in octadecane, Chandra et al. were able to achieve an </w:t>
      </w:r>
      <w:proofErr w:type="spellStart"/>
      <w:r w:rsidRPr="00DC435E">
        <w:t>effusivity</w:t>
      </w:r>
      <w:proofErr w:type="spellEnd"/>
      <w:r w:rsidRPr="00DC435E">
        <w:t xml:space="preserve"> of 9J with a comparable increase in heat transfer. The compound hex and palmitic acid were added by Wang and colleagues to sunflower carbon from biomass as an aerogel, resulting in thermal evaporation of approximately 10 J</w:t>
      </w:r>
      <w:r w:rsidR="00F56AE5">
        <w:t xml:space="preserve"> [24-29]</w:t>
      </w:r>
      <w:r w:rsidRPr="00DC435E">
        <w:t>.</w:t>
      </w:r>
      <w:r w:rsidR="00DB0A9A" w:rsidRPr="00DB0A9A">
        <w:t xml:space="preserve"> </w:t>
      </w:r>
    </w:p>
    <w:p w14:paraId="28EBC6BE" w14:textId="16C9D3A8" w:rsidR="00DB0A9A" w:rsidRDefault="00DB0A9A" w:rsidP="00860F8F">
      <w:pPr>
        <w:pStyle w:val="Heading1"/>
      </w:pPr>
      <w:r w:rsidRPr="00DB0A9A">
        <w:lastRenderedPageBreak/>
        <w:t>Result and discussions</w:t>
      </w:r>
    </w:p>
    <w:p w14:paraId="095EEF40" w14:textId="23FCF020" w:rsidR="00DB0A9A" w:rsidRDefault="00DC435E" w:rsidP="00860F8F">
      <w:pPr>
        <w:pStyle w:val="Paragraph"/>
      </w:pPr>
      <w:r w:rsidRPr="00DC435E">
        <w:t xml:space="preserve">Multiple laboratories have built many </w:t>
      </w:r>
      <w:proofErr w:type="spellStart"/>
      <w:r w:rsidRPr="00DC435E">
        <w:t>thermoresonances</w:t>
      </w:r>
      <w:proofErr w:type="spellEnd"/>
      <w:r w:rsidRPr="00DC435E">
        <w:t xml:space="preserve"> for beneficial electricity collection from environmental environments. In Figure 4A, a standard standalone unit is demonstrated. An aluminium radiator fin was selected as the thermal mass two, and a high thermal dispersion PCM-carbon composite as the heat weight one. The two heat masses were positioned across industrial piezoelectric sections, which used their temperature differential to generate electricity. Our goal has been to extract power through the daily rhythm (Figure 4B, F), which is one of the most frequent temperature variations seen in the natural world. The conceptualization of a device of this kind may be guided by our theories: just like we did as shown in Figure 3D, the dimension of the heat mass </w:t>
      </w:r>
      <w:r w:rsidR="004A0256">
        <w:t>one</w:t>
      </w:r>
      <w:r w:rsidRPr="00DC435E">
        <w:t xml:space="preserve"> was chosen to maximise power production at the daily rate of its temperature fluctuations</w:t>
      </w:r>
      <w:r w:rsidR="004A0256">
        <w:t xml:space="preserve"> [7]</w:t>
      </w:r>
      <w:r w:rsidRPr="00DC435E">
        <w:t>. By using PCMs without varied transitional scores, thermal resonances may be tailored to operate at different temperatures. Because eicosane (E) has a sufficient freezing temperature of around 37 °C, it was employed in the Saudi Arabian deserts when the mean heat was more than 35 °C (Figure 4B). On the other hand, octadecane (OD, the melting point, ~28 °C) was employed due to the warmer temperature in Massachusetts, in the United States. Liao et al. utilised two distinct kinds of paraffin, each having a distinct point of melting, to fully utilise the temperature fluctuation between 0 and 40 °C</w:t>
      </w:r>
      <w:r w:rsidR="00861474">
        <w:t xml:space="preserve"> [30-35]</w:t>
      </w:r>
      <w:r w:rsidRPr="00DC435E">
        <w:t xml:space="preserve">. This approach has been shown to provide superior results compared to the use of just one kind of PCM. In the state of Massachusetts, the well-planned thermal oscillator produced a vertical density of power of 0.6 </w:t>
      </w:r>
      <w:proofErr w:type="spellStart"/>
      <w:r w:rsidRPr="00DC435E">
        <w:t>μW</w:t>
      </w:r>
      <w:proofErr w:type="spellEnd"/>
      <w:r w:rsidRPr="00DC435E">
        <w:t xml:space="preserve"> cm2 and a mean output power of almost 50 </w:t>
      </w:r>
      <w:proofErr w:type="spellStart"/>
      <w:r w:rsidRPr="00DC435E">
        <w:t>μW</w:t>
      </w:r>
      <w:proofErr w:type="spellEnd"/>
      <w:r w:rsidRPr="00DC435E">
        <w:t xml:space="preserve">. A substantially higher power content of 3.5 </w:t>
      </w:r>
      <w:proofErr w:type="spellStart"/>
      <w:r w:rsidRPr="00DC435E">
        <w:t>μW</w:t>
      </w:r>
      <w:proofErr w:type="spellEnd"/>
      <w:r w:rsidRPr="00DC435E">
        <w:t xml:space="preserve"> cm2 was possibly attained in Saudi Arabia, wherein its temperature variation possessed a higher magnitude and appeared less impacted by climate</w:t>
      </w:r>
      <w:r w:rsidR="004A0256">
        <w:t xml:space="preserve"> [8</w:t>
      </w:r>
      <w:r w:rsidR="00861474">
        <w:t>, 36-40</w:t>
      </w:r>
      <w:r w:rsidR="004A0256">
        <w:t>]</w:t>
      </w:r>
      <w:r w:rsidRPr="00DC435E">
        <w:t>. </w:t>
      </w:r>
      <w:r w:rsidR="00DB0A9A">
        <w:t xml:space="preserve"> </w:t>
      </w:r>
    </w:p>
    <w:p w14:paraId="5AAC6454" w14:textId="18CEE011" w:rsidR="007250B1" w:rsidRDefault="005847BB" w:rsidP="007250B1">
      <w:pPr>
        <w:spacing w:line="360" w:lineRule="auto"/>
        <w:jc w:val="center"/>
      </w:pPr>
      <w:r>
        <w:rPr>
          <w:noProof/>
        </w:rPr>
        <w:object w:dxaOrig="7957" w:dyaOrig="5612" w14:anchorId="6EC864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96.6pt;height:282pt;mso-width-percent:0;mso-height-percent:0;mso-width-percent:0;mso-height-percent:0" o:ole="">
            <v:imagedata r:id="rId6" o:title=""/>
          </v:shape>
          <o:OLEObject Type="Embed" ProgID="Origin50.Graph" ShapeID="_x0000_i1025" DrawAspect="Content" ObjectID="_1819373254" r:id="rId7"/>
        </w:object>
      </w:r>
    </w:p>
    <w:p w14:paraId="1FE7DB89" w14:textId="6B20F5D1" w:rsidR="00020985" w:rsidRDefault="00020985" w:rsidP="00860F8F">
      <w:pPr>
        <w:pStyle w:val="FigureCaption"/>
      </w:pPr>
      <w:r w:rsidRPr="00020985">
        <w:rPr>
          <w:b/>
          <w:bCs/>
        </w:rPr>
        <w:t xml:space="preserve">Figure </w:t>
      </w:r>
      <w:r>
        <w:rPr>
          <w:b/>
          <w:bCs/>
        </w:rPr>
        <w:t>1</w:t>
      </w:r>
      <w:r w:rsidRPr="00020985">
        <w:rPr>
          <w:b/>
          <w:bCs/>
        </w:rPr>
        <w:t>.</w:t>
      </w:r>
      <w:r w:rsidRPr="00020985">
        <w:t xml:space="preserve"> Heat resonant theory and prototype testing</w:t>
      </w:r>
    </w:p>
    <w:p w14:paraId="127A2EDE" w14:textId="37605995" w:rsidR="006B21BB" w:rsidRDefault="006B21BB" w:rsidP="00860F8F">
      <w:pPr>
        <w:pStyle w:val="Paragraph"/>
      </w:pPr>
      <w:r w:rsidRPr="006B21BB">
        <w:t>The ambient temperature curve and the resulting wattage curve both exhibit comparable jumping patterns. A voltage distribution chart of a heat resonance plotted against its temperature capacitor and conductivity, as anticipated by numerical modelling of a simulation, is shown in Figure 4D. It demonstrates once more how high thermal evaporation substances (upper-left corner) maximise the thermal resonator's efficiency. The power intensity ranging from 3 to 17 μW cm2 was likewise anticipated by the computer model, which agreed with the results of the experiment</w:t>
      </w:r>
      <w:r w:rsidR="0040271B">
        <w:t xml:space="preserve"> [9]</w:t>
      </w:r>
      <w:r w:rsidRPr="006B21BB">
        <w:t>. Example 4H plots the resultant value of a thermal resonance across a 100 Ω resistance; its inset displays a voltage that is different at night than during the daylight hours, and this is consistent with what is theoretically shown in the previous figure</w:t>
      </w:r>
      <w:r w:rsidR="00861474">
        <w:t xml:space="preserve"> [41-43]</w:t>
      </w:r>
      <w:r w:rsidRPr="006B21BB">
        <w:t xml:space="preserve">. A heat resonance that had elevated effusivity heat mass (Ni/G/OD) almost quadrupled the power in comparison to a system using purity OD, as indicated by modelling </w:t>
      </w:r>
      <w:r w:rsidRPr="006B21BB">
        <w:lastRenderedPageBreak/>
        <w:t>(Figure 4G). We observe that within our gadget, thermal mass often occupies the bulk of the space (&gt;80%). In actuality, the large thermal bulk might be buried below or integrated into the structural elements of structures, which would reduce the net volume increase of a thermal resonance and increase its actual energy per unit</w:t>
      </w:r>
      <w:r w:rsidR="004A0256">
        <w:t xml:space="preserve"> [10</w:t>
      </w:r>
      <w:r w:rsidR="00861474">
        <w:t>, 44-45</w:t>
      </w:r>
      <w:r w:rsidR="004A0256">
        <w:t>]</w:t>
      </w:r>
      <w:r w:rsidRPr="006B21BB">
        <w:t>.</w:t>
      </w:r>
      <w:r w:rsidR="007250B1">
        <w:t xml:space="preserve"> </w:t>
      </w:r>
    </w:p>
    <w:p w14:paraId="423E3A95" w14:textId="2E16CBFE" w:rsidR="00020985" w:rsidRDefault="005847BB" w:rsidP="00020985">
      <w:pPr>
        <w:spacing w:line="360" w:lineRule="auto"/>
        <w:jc w:val="center"/>
      </w:pPr>
      <w:r>
        <w:rPr>
          <w:noProof/>
        </w:rPr>
        <w:object w:dxaOrig="7957" w:dyaOrig="5612" w14:anchorId="0CD04C96">
          <v:shape id="_x0000_i1026" type="#_x0000_t75" alt="" style="width:396.6pt;height:282pt;mso-width-percent:0;mso-height-percent:0;mso-width-percent:0;mso-height-percent:0" o:ole="">
            <v:imagedata r:id="rId8" o:title=""/>
          </v:shape>
          <o:OLEObject Type="Embed" ProgID="Origin50.Graph" ShapeID="_x0000_i1026" DrawAspect="Content" ObjectID="_1819373255" r:id="rId9"/>
        </w:object>
      </w:r>
    </w:p>
    <w:p w14:paraId="024A63A5" w14:textId="6BF7BC1C" w:rsidR="00020985" w:rsidRPr="00020985" w:rsidRDefault="00020985" w:rsidP="00860F8F">
      <w:pPr>
        <w:pStyle w:val="FigureCaption"/>
      </w:pPr>
      <w:r w:rsidRPr="00020985">
        <w:rPr>
          <w:b/>
          <w:bCs/>
        </w:rPr>
        <w:t xml:space="preserve">Figure </w:t>
      </w:r>
      <w:r>
        <w:rPr>
          <w:b/>
          <w:bCs/>
        </w:rPr>
        <w:t>2</w:t>
      </w:r>
      <w:r w:rsidRPr="00020985">
        <w:rPr>
          <w:b/>
          <w:bCs/>
        </w:rPr>
        <w:t>.</w:t>
      </w:r>
      <w:r w:rsidRPr="00020985">
        <w:t xml:space="preserve"> High-efficiency composites made of nanocarbon and PCM</w:t>
      </w:r>
    </w:p>
    <w:p w14:paraId="481377FE" w14:textId="78A36C14" w:rsidR="00DB0A9A" w:rsidRPr="006B21BB" w:rsidRDefault="006B21BB" w:rsidP="00860F8F">
      <w:pPr>
        <w:pStyle w:val="Paragraph"/>
      </w:pPr>
      <w:r w:rsidRPr="006B21BB">
        <w:t>Some clean energy-collecting methods, like thermal resonance, have discontinuous or variable power production</w:t>
      </w:r>
      <w:r w:rsidR="0040271B">
        <w:t xml:space="preserve"> [11]</w:t>
      </w:r>
      <w:r w:rsidRPr="006B21BB">
        <w:t>. Therefore, investigating ways to integrate them with batteries in order to provide a consistent and reliable power supply is quite interesting</w:t>
      </w:r>
      <w:r w:rsidR="0040271B">
        <w:t xml:space="preserve"> [12]</w:t>
      </w:r>
      <w:r w:rsidRPr="006B21BB">
        <w:t>. We demonstrated how to use an electrical step-up conversion to power a 4 V lithium-ion battery using a heating resonance inside a temperature-controlled container. The chamber's temperatures are set to replicate the daily period, cycling between 17 and 30 degrees Celsius each day</w:t>
      </w:r>
      <w:r w:rsidR="0040271B">
        <w:t xml:space="preserve"> [13]</w:t>
      </w:r>
      <w:r w:rsidRPr="006B21BB">
        <w:t>. The thermal resonator may charge a battery constantly for an entire week. A thermal resonance and an RF energy harvest have been combined by Azamat et al. to create multi-source power harvesting; the RF antennae is represented by the grey spots on the exterior of the heat resonance</w:t>
      </w:r>
      <w:r w:rsidR="0040271B">
        <w:t xml:space="preserve"> [14]</w:t>
      </w:r>
      <w:r w:rsidRPr="006B21BB">
        <w:t>. In an enclosed space that has few temperature fluctuations, the RF harvesting acts as a supplemental source of energy for the heat resonance. During the day, an invisible sensor that only receives power from this multi-source harvesting may collect and communicate information to a mobile device about the outside conditions</w:t>
      </w:r>
      <w:r w:rsidR="0040271B">
        <w:t xml:space="preserve"> [15</w:t>
      </w:r>
      <w:r w:rsidR="00861474">
        <w:t>, 46-48</w:t>
      </w:r>
      <w:r w:rsidR="0040271B">
        <w:t>]</w:t>
      </w:r>
      <w:r w:rsidRPr="006B21BB">
        <w:t>.</w:t>
      </w:r>
    </w:p>
    <w:p w14:paraId="0A8D8419" w14:textId="2AD260CB" w:rsidR="00DB0A9A" w:rsidRPr="000541D5" w:rsidRDefault="000541D5" w:rsidP="00860F8F">
      <w:pPr>
        <w:pStyle w:val="Heading1"/>
      </w:pPr>
      <w:r w:rsidRPr="000541D5">
        <w:t>Conclusion</w:t>
      </w:r>
    </w:p>
    <w:p w14:paraId="20DC146D" w14:textId="3A94AE29" w:rsidR="000541D5" w:rsidRDefault="006B21BB" w:rsidP="00860F8F">
      <w:pPr>
        <w:pStyle w:val="Paragraph"/>
      </w:pPr>
      <w:r w:rsidRPr="006B21BB">
        <w:t>The need for alternative sources of energy, like thermal resonances, is going to increase as long as worldwide carbon dioxide emissions and global warming continue to pick up speed. In order to achieve a large power density on heating resonators, high-temperature effusivity materials are preferred, as we described in this research. The past few decades have seen a greater than two-fold increase in thermal evaporation thanks to the creation of nanocarbon-PCM composites. Ideally, this will result in a comparable level of improvement in the thermoresonances' areal capacity. Graphite nanoparticles may also have additional applications in the development of more sophisticated thermal energy harvesters. For instance, several studies have shown the effects of heat generation on asymmetry weight loads in nanotubes composed of a material called poly (PDMS)-graphite cones, hanging graphene layers, triangle-shortened graphene oxide documents, and graphite-PEG frameworks. As explained in our previous paper, these temperature diodes might be used to enhance the effectiveness of thermally resonance devices with an additional boost to their rectifying proportion. Composites with a three-dimensional tiny graphite are additionally ideal for heat from the sun, which can potentially be used to significantly increase the frequency of thermal change.</w:t>
      </w:r>
    </w:p>
    <w:p w14:paraId="0B9397E4" w14:textId="186D0C44" w:rsidR="004A0256" w:rsidRPr="004A0256" w:rsidRDefault="004A0256" w:rsidP="00860F8F">
      <w:pPr>
        <w:pStyle w:val="Heading1"/>
      </w:pPr>
      <w:r w:rsidRPr="004A0256">
        <w:lastRenderedPageBreak/>
        <w:t>References</w:t>
      </w:r>
    </w:p>
    <w:p w14:paraId="184EA919" w14:textId="77777777" w:rsidR="006F34FD" w:rsidRPr="0040271B" w:rsidRDefault="006F34FD" w:rsidP="00860F8F">
      <w:pPr>
        <w:pStyle w:val="Reference"/>
        <w:rPr>
          <w:shd w:val="clear" w:color="auto" w:fill="FFFFFF"/>
        </w:rPr>
      </w:pPr>
      <w:r w:rsidRPr="0040271B">
        <w:rPr>
          <w:shd w:val="clear" w:color="auto" w:fill="FFFFFF"/>
        </w:rPr>
        <w:t>Lima, Gustavo Meirelles, and Sandro MM de Lima e Silva. "Thermal effusivity estimation of polymers in time domain." </w:t>
      </w:r>
      <w:r w:rsidRPr="0040271B">
        <w:rPr>
          <w:i/>
          <w:iCs/>
          <w:shd w:val="clear" w:color="auto" w:fill="FFFFFF"/>
        </w:rPr>
        <w:t>Journal of the Brazilian Society of Mechanical Sciences and Engineering</w:t>
      </w:r>
      <w:r w:rsidRPr="0040271B">
        <w:rPr>
          <w:shd w:val="clear" w:color="auto" w:fill="FFFFFF"/>
        </w:rPr>
        <w:t> 33 (2011): 393-399.</w:t>
      </w:r>
    </w:p>
    <w:p w14:paraId="1CB9F262" w14:textId="77777777" w:rsidR="006F34FD" w:rsidRPr="0040271B" w:rsidRDefault="006F34FD" w:rsidP="00860F8F">
      <w:pPr>
        <w:pStyle w:val="Reference"/>
        <w:rPr>
          <w:shd w:val="clear" w:color="auto" w:fill="FFFFFF"/>
        </w:rPr>
      </w:pPr>
      <w:r w:rsidRPr="0040271B">
        <w:rPr>
          <w:shd w:val="clear" w:color="auto" w:fill="FFFFFF"/>
        </w:rPr>
        <w:t>Moskovchenko, Alexey, Vladimir Vavilov, Michal Švantner, Lukáš Muzika, and Šárka Houdková. "Active IR thermography evaluation of coating thickness by determining apparent thermal effusivity." </w:t>
      </w:r>
      <w:r w:rsidRPr="00F56AE5">
        <w:rPr>
          <w:shd w:val="clear" w:color="auto" w:fill="FFFFFF"/>
        </w:rPr>
        <w:t>Materials</w:t>
      </w:r>
      <w:r w:rsidRPr="0040271B">
        <w:rPr>
          <w:shd w:val="clear" w:color="auto" w:fill="FFFFFF"/>
        </w:rPr>
        <w:t> 13, no. 18 (2020): 4057.</w:t>
      </w:r>
    </w:p>
    <w:p w14:paraId="0486905A" w14:textId="77777777" w:rsidR="0040271B" w:rsidRPr="00F56AE5" w:rsidRDefault="0040271B" w:rsidP="00860F8F">
      <w:pPr>
        <w:pStyle w:val="Reference"/>
        <w:rPr>
          <w:shd w:val="clear" w:color="auto" w:fill="FFFFFF"/>
        </w:rPr>
      </w:pPr>
      <w:bookmarkStart w:id="1" w:name="_Hlk199498488"/>
      <w:r w:rsidRPr="0040271B">
        <w:rPr>
          <w:shd w:val="clear" w:color="auto" w:fill="FFFFFF"/>
        </w:rPr>
        <w:t>Malladi et al., (2024).</w:t>
      </w:r>
      <w:r w:rsidRPr="00F56AE5">
        <w:t> </w:t>
      </w:r>
      <w:r w:rsidRPr="00F56AE5">
        <w:rPr>
          <w:shd w:val="clear" w:color="auto" w:fill="FFFFFF"/>
        </w:rPr>
        <w:t>Effectiveness of thermal and mechanical properties of jute fibers under different chemical treatment for automotive interior trim</w:t>
      </w:r>
      <w:r w:rsidRPr="00F56AE5">
        <w:t> </w:t>
      </w:r>
      <w:r w:rsidRPr="0040271B">
        <w:rPr>
          <w:shd w:val="clear" w:color="auto" w:fill="FFFFFF"/>
        </w:rPr>
        <w:t>(No. 2024-01-5008). SAE Technical Paper.</w:t>
      </w:r>
      <w:hyperlink r:id="rId10" w:history="1">
        <w:r w:rsidRPr="00F56AE5">
          <w:rPr>
            <w:shd w:val="clear" w:color="auto" w:fill="FFFFFF"/>
          </w:rPr>
          <w:t> https://doi.org/10.4271/2024-01-5008</w:t>
        </w:r>
      </w:hyperlink>
    </w:p>
    <w:bookmarkEnd w:id="1"/>
    <w:p w14:paraId="24946C53" w14:textId="77777777" w:rsidR="006F34FD" w:rsidRPr="0040271B" w:rsidRDefault="006F34FD" w:rsidP="00860F8F">
      <w:pPr>
        <w:pStyle w:val="Reference"/>
        <w:rPr>
          <w:shd w:val="clear" w:color="auto" w:fill="FFFFFF"/>
        </w:rPr>
      </w:pPr>
      <w:r w:rsidRPr="0040271B">
        <w:rPr>
          <w:shd w:val="clear" w:color="auto" w:fill="FFFFFF"/>
        </w:rPr>
        <w:t>Pech-May, Nelson Wilbur, Ángel Cifuentes, Arantza Mendioroz, Alberto Oleaga, and Agustín Salazar. "Simultaneous measurement of thermal diffusivity and effusivity of solids using the flash technique in the front-face configuration." </w:t>
      </w:r>
      <w:r w:rsidRPr="00F56AE5">
        <w:rPr>
          <w:shd w:val="clear" w:color="auto" w:fill="FFFFFF"/>
        </w:rPr>
        <w:t>Measurement Science and Technology</w:t>
      </w:r>
      <w:r w:rsidRPr="0040271B">
        <w:rPr>
          <w:shd w:val="clear" w:color="auto" w:fill="FFFFFF"/>
        </w:rPr>
        <w:t> 26, no. 8 (2015): 085017.</w:t>
      </w:r>
    </w:p>
    <w:p w14:paraId="6D0C7402" w14:textId="77777777" w:rsidR="006F34FD" w:rsidRPr="0040271B" w:rsidRDefault="006F34FD" w:rsidP="00860F8F">
      <w:pPr>
        <w:pStyle w:val="Reference"/>
        <w:rPr>
          <w:shd w:val="clear" w:color="auto" w:fill="FFFFFF"/>
        </w:rPr>
      </w:pPr>
      <w:r w:rsidRPr="0040271B">
        <w:rPr>
          <w:shd w:val="clear" w:color="auto" w:fill="FFFFFF"/>
        </w:rPr>
        <w:t>Strotos, George, George Aleksis, Manolis Gavaises, Konstantinos-Stephen Nikas, Nikos Nikolopoulos, and Andreas Theodorakakos. "Non-dimensionalisation parameters for predicting the cooling effectiveness of droplets impinging on moderate temperature solid surfaces." </w:t>
      </w:r>
      <w:r w:rsidRPr="00F56AE5">
        <w:rPr>
          <w:shd w:val="clear" w:color="auto" w:fill="FFFFFF"/>
        </w:rPr>
        <w:t>International Journal of Thermal Sciences</w:t>
      </w:r>
      <w:r w:rsidRPr="0040271B">
        <w:rPr>
          <w:shd w:val="clear" w:color="auto" w:fill="FFFFFF"/>
        </w:rPr>
        <w:t> 50, no. 5 (2011): 698-711.</w:t>
      </w:r>
    </w:p>
    <w:p w14:paraId="5A92528F" w14:textId="77777777" w:rsidR="0040271B" w:rsidRPr="00F56AE5" w:rsidRDefault="0040271B" w:rsidP="00860F8F">
      <w:pPr>
        <w:pStyle w:val="Reference"/>
        <w:rPr>
          <w:shd w:val="clear" w:color="auto" w:fill="FFFFFF"/>
        </w:rPr>
      </w:pPr>
      <w:bookmarkStart w:id="2" w:name="_Hlk199498442"/>
      <w:bookmarkStart w:id="3" w:name="_Hlk199498472"/>
      <w:r w:rsidRPr="0040271B">
        <w:rPr>
          <w:shd w:val="clear" w:color="auto" w:fill="FFFFFF"/>
        </w:rPr>
        <w:t>Muda et al., (2024). Innovative Blockchain Protocol for Enhancing Transaction Security and Integrity in Decentralized Financial Ecosystems. In</w:t>
      </w:r>
      <w:r w:rsidRPr="00F56AE5">
        <w:t> </w:t>
      </w:r>
      <w:r w:rsidRPr="00F56AE5">
        <w:rPr>
          <w:shd w:val="clear" w:color="auto" w:fill="FFFFFF"/>
        </w:rPr>
        <w:t>2024 International Conference on Data Science and Network Security (ICDSNS</w:t>
      </w:r>
      <w:proofErr w:type="gramStart"/>
      <w:r w:rsidRPr="00F56AE5">
        <w:rPr>
          <w:shd w:val="clear" w:color="auto" w:fill="FFFFFF"/>
        </w:rPr>
        <w:t>)</w:t>
      </w:r>
      <w:r w:rsidRPr="0040271B">
        <w:rPr>
          <w:shd w:val="clear" w:color="auto" w:fill="FFFFFF"/>
        </w:rPr>
        <w:t>(</w:t>
      </w:r>
      <w:proofErr w:type="gramEnd"/>
      <w:r w:rsidRPr="0040271B">
        <w:rPr>
          <w:shd w:val="clear" w:color="auto" w:fill="FFFFFF"/>
        </w:rPr>
        <w:t xml:space="preserve">pp. 1-6). IEEE. </w:t>
      </w:r>
      <w:bookmarkEnd w:id="2"/>
      <w:r w:rsidRPr="00F56AE5">
        <w:rPr>
          <w:b/>
          <w:bCs/>
          <w:shd w:val="clear" w:color="auto" w:fill="FFFFFF"/>
        </w:rPr>
        <w:t>https://doi.org/10.1109/ICDSNS62112.2024.10691288</w:t>
      </w:r>
    </w:p>
    <w:bookmarkEnd w:id="3"/>
    <w:p w14:paraId="11CB51FD" w14:textId="77777777" w:rsidR="006F34FD" w:rsidRPr="0040271B" w:rsidRDefault="006F34FD" w:rsidP="00860F8F">
      <w:pPr>
        <w:pStyle w:val="Reference"/>
        <w:rPr>
          <w:shd w:val="clear" w:color="auto" w:fill="FFFFFF"/>
        </w:rPr>
      </w:pPr>
      <w:r w:rsidRPr="0040271B">
        <w:rPr>
          <w:shd w:val="clear" w:color="auto" w:fill="FFFFFF"/>
        </w:rPr>
        <w:t>Moon, Joo Hyun, Minhaeng Cho, and Seong Hyuk Lee. "Dynamic wetting and heat transfer characteristics of a liquid droplet impinging on heated textured surfaces." </w:t>
      </w:r>
      <w:r w:rsidRPr="00F56AE5">
        <w:rPr>
          <w:shd w:val="clear" w:color="auto" w:fill="FFFFFF"/>
        </w:rPr>
        <w:t>International Journal of Heat and Mass Transfer</w:t>
      </w:r>
      <w:r w:rsidRPr="0040271B">
        <w:rPr>
          <w:shd w:val="clear" w:color="auto" w:fill="FFFFFF"/>
        </w:rPr>
        <w:t> 97 (2016): 308-317.</w:t>
      </w:r>
    </w:p>
    <w:p w14:paraId="401501B2" w14:textId="77777777" w:rsidR="006F34FD" w:rsidRPr="0040271B" w:rsidRDefault="006F34FD" w:rsidP="00860F8F">
      <w:pPr>
        <w:pStyle w:val="Reference"/>
        <w:rPr>
          <w:shd w:val="clear" w:color="auto" w:fill="FFFFFF"/>
        </w:rPr>
      </w:pPr>
      <w:r w:rsidRPr="0040271B">
        <w:rPr>
          <w:shd w:val="clear" w:color="auto" w:fill="FFFFFF"/>
        </w:rPr>
        <w:t>Yang, Yingying, Tingting Vogt Wu, Alain Sempey, Jean Dumoulin, and Jean-Christophe Batsale. "Short time non-destructive evaluation of thermal performances of building walls by studying transient heat transfer." </w:t>
      </w:r>
      <w:r w:rsidRPr="00F56AE5">
        <w:rPr>
          <w:shd w:val="clear" w:color="auto" w:fill="FFFFFF"/>
        </w:rPr>
        <w:t>Energy and Buildings</w:t>
      </w:r>
      <w:r w:rsidRPr="0040271B">
        <w:rPr>
          <w:shd w:val="clear" w:color="auto" w:fill="FFFFFF"/>
        </w:rPr>
        <w:t> 184 (2019): 141-151.</w:t>
      </w:r>
    </w:p>
    <w:p w14:paraId="63889938" w14:textId="77777777" w:rsidR="0040271B" w:rsidRPr="00F56AE5" w:rsidRDefault="0040271B" w:rsidP="00860F8F">
      <w:pPr>
        <w:pStyle w:val="Reference"/>
        <w:rPr>
          <w:shd w:val="clear" w:color="auto" w:fill="FFFFFF"/>
        </w:rPr>
      </w:pPr>
      <w:bookmarkStart w:id="4" w:name="_Hlk199498426"/>
      <w:r w:rsidRPr="0040271B">
        <w:rPr>
          <w:shd w:val="clear" w:color="auto" w:fill="FFFFFF"/>
        </w:rPr>
        <w:t>Anita et al., (2024). Energy Trading and Optimum Scheduling for Microgrids Using Multiple Agents Based DL Approach.</w:t>
      </w:r>
      <w:r w:rsidRPr="00F56AE5">
        <w:rPr>
          <w:shd w:val="clear" w:color="auto" w:fill="FFFFFF"/>
        </w:rPr>
        <w:t> Electric Power Components and Systems</w:t>
      </w:r>
      <w:r w:rsidRPr="0040271B">
        <w:rPr>
          <w:shd w:val="clear" w:color="auto" w:fill="FFFFFF"/>
        </w:rPr>
        <w:t>, 1-19.</w:t>
      </w:r>
      <w:r w:rsidRPr="00F56AE5">
        <w:rPr>
          <w:shd w:val="clear" w:color="auto" w:fill="FFFFFF"/>
        </w:rPr>
        <w:t xml:space="preserve">  </w:t>
      </w:r>
      <w:hyperlink r:id="rId11" w:history="1">
        <w:r w:rsidRPr="00F56AE5">
          <w:rPr>
            <w:shd w:val="clear" w:color="auto" w:fill="FFFFFF"/>
          </w:rPr>
          <w:t>https://doi.org/10.1080/15325008.2023.2300329</w:t>
        </w:r>
      </w:hyperlink>
    </w:p>
    <w:p w14:paraId="6C56767B" w14:textId="77777777" w:rsidR="00F56AE5" w:rsidRPr="00F56AE5" w:rsidRDefault="00F56AE5" w:rsidP="00860F8F">
      <w:pPr>
        <w:pStyle w:val="Reference"/>
        <w:rPr>
          <w:shd w:val="clear" w:color="auto" w:fill="FFFFFF"/>
        </w:rPr>
      </w:pPr>
      <w:r w:rsidRPr="00F56AE5">
        <w:rPr>
          <w:shd w:val="clear" w:color="auto" w:fill="FFFFFF"/>
        </w:rPr>
        <w:t xml:space="preserve">Singh et al. Natural fiber-ceramic filler configured polypropylene hybrid composite made via hot compression technique: Characteristics evaluation. J Mech Sci Technol. 39(1), 2025. </w:t>
      </w:r>
      <w:hyperlink r:id="rId12" w:history="1">
        <w:r w:rsidRPr="00F56AE5">
          <w:rPr>
            <w:shd w:val="clear" w:color="auto" w:fill="FFFFFF"/>
          </w:rPr>
          <w:t>https://doi.org/10.1007/s12206-024-1216-4</w:t>
        </w:r>
      </w:hyperlink>
    </w:p>
    <w:p w14:paraId="4C0C4AB7" w14:textId="77777777" w:rsidR="00F56AE5" w:rsidRPr="00F56AE5" w:rsidRDefault="00F56AE5" w:rsidP="00860F8F">
      <w:pPr>
        <w:pStyle w:val="Reference"/>
        <w:rPr>
          <w:shd w:val="clear" w:color="auto" w:fill="FFFFFF"/>
        </w:rPr>
      </w:pPr>
      <w:r w:rsidRPr="00F56AE5">
        <w:rPr>
          <w:shd w:val="clear" w:color="auto" w:fill="FFFFFF"/>
        </w:rPr>
        <w:t xml:space="preserve">S. Prabagaran et al. Texturing of silicon nitride passivation layers on functional behaviour study of polycrystalline silicon (p-Si) made with plasma enhanced chemical vapour deposition. J Mater Sci: Mater Electron 36, 73 (2025). </w:t>
      </w:r>
      <w:hyperlink r:id="rId13" w:history="1">
        <w:r w:rsidRPr="00F56AE5">
          <w:rPr>
            <w:shd w:val="clear" w:color="auto" w:fill="FFFFFF"/>
          </w:rPr>
          <w:t>https://doi.org/10.1007/s10854-024-14135-6</w:t>
        </w:r>
      </w:hyperlink>
    </w:p>
    <w:p w14:paraId="4187DEE8" w14:textId="77777777" w:rsidR="00F56AE5" w:rsidRPr="00F56AE5" w:rsidRDefault="00F56AE5" w:rsidP="00860F8F">
      <w:pPr>
        <w:pStyle w:val="Reference"/>
        <w:rPr>
          <w:shd w:val="clear" w:color="auto" w:fill="FFFFFF"/>
        </w:rPr>
      </w:pPr>
      <w:r w:rsidRPr="00F56AE5">
        <w:rPr>
          <w:shd w:val="clear" w:color="auto" w:fill="FFFFFF"/>
        </w:rPr>
        <w:t xml:space="preserve">S. Ravi et al. Processing and SiC content on functional behaviour of aluminium alloy composite. J Mech Sci Technol (2025). </w:t>
      </w:r>
      <w:hyperlink r:id="rId14" w:history="1">
        <w:r w:rsidRPr="00F56AE5">
          <w:rPr>
            <w:shd w:val="clear" w:color="auto" w:fill="FFFFFF"/>
          </w:rPr>
          <w:t>https://doi.org/10.1007/s12206-025-0723-2</w:t>
        </w:r>
      </w:hyperlink>
    </w:p>
    <w:p w14:paraId="147F4EFD" w14:textId="77777777" w:rsidR="00F56AE5" w:rsidRPr="00F56AE5" w:rsidRDefault="00F56AE5" w:rsidP="00860F8F">
      <w:pPr>
        <w:pStyle w:val="Reference"/>
        <w:rPr>
          <w:shd w:val="clear" w:color="auto" w:fill="FFFFFF"/>
        </w:rPr>
      </w:pPr>
      <w:r w:rsidRPr="00F56AE5">
        <w:rPr>
          <w:shd w:val="clear" w:color="auto" w:fill="FFFFFF"/>
        </w:rPr>
        <w:t xml:space="preserve">N. </w:t>
      </w:r>
      <w:proofErr w:type="spellStart"/>
      <w:r w:rsidRPr="00F56AE5">
        <w:rPr>
          <w:shd w:val="clear" w:color="auto" w:fill="FFFFFF"/>
        </w:rPr>
        <w:t>Basavegowda</w:t>
      </w:r>
      <w:proofErr w:type="spellEnd"/>
      <w:r w:rsidRPr="00F56AE5">
        <w:rPr>
          <w:shd w:val="clear" w:color="auto" w:fill="FFFFFF"/>
        </w:rPr>
        <w:t xml:space="preserve"> et al. Influence of Silver Nanowire Concentration on Electrical and Optical Properties of Polyaniline for Transparent Conductive Sensors. J. Electron. Mater. (2025). </w:t>
      </w:r>
      <w:hyperlink r:id="rId15" w:history="1">
        <w:r w:rsidRPr="00F56AE5">
          <w:rPr>
            <w:shd w:val="clear" w:color="auto" w:fill="FFFFFF"/>
          </w:rPr>
          <w:t>https://doi.org/10.1007/s11664-025-12174-1</w:t>
        </w:r>
      </w:hyperlink>
    </w:p>
    <w:p w14:paraId="61FD1284" w14:textId="77777777" w:rsidR="00F56AE5" w:rsidRPr="00F56AE5" w:rsidRDefault="00F56AE5" w:rsidP="00860F8F">
      <w:pPr>
        <w:pStyle w:val="Reference"/>
        <w:rPr>
          <w:shd w:val="clear" w:color="auto" w:fill="FFFFFF"/>
        </w:rPr>
      </w:pPr>
      <w:r w:rsidRPr="00F56AE5">
        <w:rPr>
          <w:shd w:val="clear" w:color="auto" w:fill="FFFFFF"/>
        </w:rPr>
        <w:t xml:space="preserve">V. V. Upadhyay et al. Hexachloroethane fluxing mechanism and actions of hybrid fillers on functional behaviour of AZ31B alloy composites. J Mech Sci Technol (2025). </w:t>
      </w:r>
      <w:hyperlink r:id="rId16" w:history="1">
        <w:r w:rsidRPr="00F56AE5">
          <w:rPr>
            <w:shd w:val="clear" w:color="auto" w:fill="FFFFFF"/>
          </w:rPr>
          <w:t>https://doi.org/10.1007/s12206-025-0622-6</w:t>
        </w:r>
      </w:hyperlink>
    </w:p>
    <w:p w14:paraId="44BC37C8" w14:textId="77777777" w:rsidR="00F56AE5" w:rsidRPr="00F56AE5" w:rsidRDefault="00F56AE5" w:rsidP="00860F8F">
      <w:pPr>
        <w:pStyle w:val="Reference"/>
        <w:rPr>
          <w:shd w:val="clear" w:color="auto" w:fill="FFFFFF"/>
        </w:rPr>
      </w:pPr>
      <w:r w:rsidRPr="00F56AE5">
        <w:rPr>
          <w:shd w:val="clear" w:color="auto" w:fill="FFFFFF"/>
        </w:rPr>
        <w:t xml:space="preserve">V. </w:t>
      </w:r>
      <w:proofErr w:type="spellStart"/>
      <w:r w:rsidRPr="00F56AE5">
        <w:rPr>
          <w:shd w:val="clear" w:color="auto" w:fill="FFFFFF"/>
        </w:rPr>
        <w:t>Mohanavel</w:t>
      </w:r>
      <w:proofErr w:type="spellEnd"/>
      <w:r w:rsidRPr="00F56AE5">
        <w:rPr>
          <w:shd w:val="clear" w:color="auto" w:fill="FFFFFF"/>
        </w:rPr>
        <w:t xml:space="preserve"> et al. Exploration of photovoltaic thermal collector performance enhancement by the accumulations of hybrid nanofluid and phase change material. J </w:t>
      </w:r>
      <w:proofErr w:type="spellStart"/>
      <w:r w:rsidRPr="00F56AE5">
        <w:rPr>
          <w:shd w:val="clear" w:color="auto" w:fill="FFFFFF"/>
        </w:rPr>
        <w:t>Therm</w:t>
      </w:r>
      <w:proofErr w:type="spellEnd"/>
      <w:r w:rsidRPr="00F56AE5">
        <w:rPr>
          <w:shd w:val="clear" w:color="auto" w:fill="FFFFFF"/>
        </w:rPr>
        <w:t xml:space="preserve"> Anal </w:t>
      </w:r>
      <w:proofErr w:type="spellStart"/>
      <w:r w:rsidRPr="00F56AE5">
        <w:rPr>
          <w:shd w:val="clear" w:color="auto" w:fill="FFFFFF"/>
        </w:rPr>
        <w:t>Calorim</w:t>
      </w:r>
      <w:proofErr w:type="spellEnd"/>
      <w:r w:rsidRPr="00F56AE5">
        <w:rPr>
          <w:shd w:val="clear" w:color="auto" w:fill="FFFFFF"/>
        </w:rPr>
        <w:t xml:space="preserve"> (2025). </w:t>
      </w:r>
      <w:hyperlink r:id="rId17" w:history="1">
        <w:r w:rsidRPr="00F56AE5">
          <w:rPr>
            <w:shd w:val="clear" w:color="auto" w:fill="FFFFFF"/>
          </w:rPr>
          <w:t>https://doi.org/10.1007/s10973-025-14427-x</w:t>
        </w:r>
      </w:hyperlink>
    </w:p>
    <w:p w14:paraId="4E590ADD" w14:textId="77777777" w:rsidR="00F56AE5" w:rsidRPr="00F56AE5" w:rsidRDefault="00F56AE5" w:rsidP="00860F8F">
      <w:pPr>
        <w:pStyle w:val="Reference"/>
        <w:rPr>
          <w:shd w:val="clear" w:color="auto" w:fill="FFFFFF"/>
        </w:rPr>
      </w:pPr>
      <w:proofErr w:type="spellStart"/>
      <w:r w:rsidRPr="00F56AE5">
        <w:rPr>
          <w:shd w:val="clear" w:color="auto" w:fill="FFFFFF"/>
        </w:rPr>
        <w:t>Raskar</w:t>
      </w:r>
      <w:proofErr w:type="spellEnd"/>
      <w:r w:rsidRPr="00F56AE5">
        <w:rPr>
          <w:shd w:val="clear" w:color="auto" w:fill="FFFFFF"/>
        </w:rPr>
        <w:t>, Sandeep, Gulshan Dhasmana, M. Lakshminarayana, and Harshal Patil. Enhancing Energy Efficiency in Wireless Sensor Networks using Deep Learning. In 2025 International Conference on Multi-Agent Systems for Collaborative Intelligence (ICMSCI), pp. 1515-1520. IEEE, 2025.</w:t>
      </w:r>
    </w:p>
    <w:p w14:paraId="49029315" w14:textId="77777777" w:rsidR="00F56AE5" w:rsidRPr="00F56AE5" w:rsidRDefault="00F56AE5" w:rsidP="00860F8F">
      <w:pPr>
        <w:pStyle w:val="Reference"/>
        <w:rPr>
          <w:shd w:val="clear" w:color="auto" w:fill="FFFFFF"/>
        </w:rPr>
      </w:pPr>
      <w:r w:rsidRPr="00F56AE5">
        <w:rPr>
          <w:shd w:val="clear" w:color="auto" w:fill="FFFFFF"/>
        </w:rPr>
        <w:t xml:space="preserve">Natarajan, Gobu, et al. Influence of heat treated Manihot Esculenta </w:t>
      </w:r>
      <w:proofErr w:type="spellStart"/>
      <w:r w:rsidRPr="00F56AE5">
        <w:rPr>
          <w:shd w:val="clear" w:color="auto" w:fill="FFFFFF"/>
        </w:rPr>
        <w:t>Biosilica</w:t>
      </w:r>
      <w:proofErr w:type="spellEnd"/>
      <w:r w:rsidRPr="00F56AE5">
        <w:rPr>
          <w:shd w:val="clear" w:color="auto" w:fill="FFFFFF"/>
        </w:rPr>
        <w:t xml:space="preserve"> on friction stir welded AA 6065-Al2O3 metal matrix composite and microstructural, mechanical, and fatigue analysis. Materials Research 28 (2025): e20240473.</w:t>
      </w:r>
    </w:p>
    <w:p w14:paraId="5F33BDE3" w14:textId="77777777" w:rsidR="00F56AE5" w:rsidRPr="00F56AE5" w:rsidRDefault="00F56AE5" w:rsidP="00860F8F">
      <w:pPr>
        <w:pStyle w:val="Reference"/>
        <w:rPr>
          <w:shd w:val="clear" w:color="auto" w:fill="FFFFFF"/>
        </w:rPr>
      </w:pPr>
      <w:r w:rsidRPr="00F56AE5">
        <w:rPr>
          <w:shd w:val="clear" w:color="auto" w:fill="FFFFFF"/>
        </w:rPr>
        <w:t xml:space="preserve">Venkatesh, R., Chaturvedi, R., </w:t>
      </w:r>
      <w:proofErr w:type="spellStart"/>
      <w:r w:rsidRPr="00F56AE5">
        <w:rPr>
          <w:shd w:val="clear" w:color="auto" w:fill="FFFFFF"/>
        </w:rPr>
        <w:t>Umamaheswari</w:t>
      </w:r>
      <w:proofErr w:type="spellEnd"/>
      <w:r w:rsidRPr="00F56AE5">
        <w:rPr>
          <w:shd w:val="clear" w:color="auto" w:fill="FFFFFF"/>
        </w:rPr>
        <w:t xml:space="preserve">, D. et al. Featuring of Fiber-Ceramic Combination on Behavior Studies of </w:t>
      </w:r>
      <w:proofErr w:type="gramStart"/>
      <w:r w:rsidRPr="00F56AE5">
        <w:rPr>
          <w:shd w:val="clear" w:color="auto" w:fill="FFFFFF"/>
        </w:rPr>
        <w:t>High Density</w:t>
      </w:r>
      <w:proofErr w:type="gramEnd"/>
      <w:r w:rsidRPr="00F56AE5">
        <w:rPr>
          <w:shd w:val="clear" w:color="auto" w:fill="FFFFFF"/>
        </w:rPr>
        <w:t xml:space="preserve"> Polyethylene Composite: Hot Compression Mould. Mech Compos Mater (2025). </w:t>
      </w:r>
      <w:hyperlink r:id="rId18" w:history="1">
        <w:r w:rsidRPr="00F56AE5">
          <w:rPr>
            <w:shd w:val="clear" w:color="auto" w:fill="FFFFFF"/>
          </w:rPr>
          <w:t>https://doi.org/10.1007/s11029-025-10305-7</w:t>
        </w:r>
      </w:hyperlink>
    </w:p>
    <w:p w14:paraId="5F08A2CD" w14:textId="77777777" w:rsidR="00F56AE5" w:rsidRPr="00F56AE5" w:rsidRDefault="00F56AE5" w:rsidP="00860F8F">
      <w:pPr>
        <w:pStyle w:val="Reference"/>
        <w:rPr>
          <w:shd w:val="clear" w:color="auto" w:fill="FFFFFF"/>
        </w:rPr>
      </w:pPr>
      <w:r w:rsidRPr="00F56AE5">
        <w:rPr>
          <w:shd w:val="clear" w:color="auto" w:fill="FFFFFF"/>
        </w:rPr>
        <w:t xml:space="preserve">Senthilkumar et al., (2024). Maximizing Power Utilization through Machine Learning and IoT based Power Flow Strategies in DC Micro Grids with Renewable Energy Resources. In 2024 International Conference on </w:t>
      </w:r>
      <w:r w:rsidRPr="00F56AE5">
        <w:rPr>
          <w:shd w:val="clear" w:color="auto" w:fill="FFFFFF"/>
        </w:rPr>
        <w:lastRenderedPageBreak/>
        <w:t>Inventive Computation Technologies (ICICT) (pp. 1166-1171). IEEE.  https://doi.org/10.1109/ICICT60155.2024.10544791</w:t>
      </w:r>
    </w:p>
    <w:p w14:paraId="67EDD36D" w14:textId="77777777" w:rsidR="00F56AE5" w:rsidRPr="00F56AE5" w:rsidRDefault="00F56AE5" w:rsidP="00860F8F">
      <w:pPr>
        <w:pStyle w:val="Reference"/>
        <w:rPr>
          <w:shd w:val="clear" w:color="auto" w:fill="FFFFFF"/>
        </w:rPr>
      </w:pPr>
      <w:r w:rsidRPr="00F56AE5">
        <w:rPr>
          <w:shd w:val="clear" w:color="auto" w:fill="FFFFFF"/>
        </w:rPr>
        <w:t>Kaliappan et al., (2024). Thermal and Mechanical Properties of Abutilon indicum Fiber-Based Polyester Composites under Alkali Treatment for Automotive Sector (No. 2024-01-5031). SAE Technical Paper.</w:t>
      </w:r>
      <w:hyperlink r:id="rId19" w:history="1">
        <w:r w:rsidRPr="00F56AE5">
          <w:rPr>
            <w:shd w:val="clear" w:color="auto" w:fill="FFFFFF"/>
          </w:rPr>
          <w:t> https://doi.org/10.4271/2024-01-5031</w:t>
        </w:r>
      </w:hyperlink>
    </w:p>
    <w:p w14:paraId="29D4E20D" w14:textId="77777777" w:rsidR="00F56AE5" w:rsidRPr="00F56AE5" w:rsidRDefault="00F56AE5" w:rsidP="00860F8F">
      <w:pPr>
        <w:pStyle w:val="Reference"/>
        <w:rPr>
          <w:shd w:val="clear" w:color="auto" w:fill="FFFFFF"/>
        </w:rPr>
      </w:pPr>
      <w:proofErr w:type="spellStart"/>
      <w:r w:rsidRPr="00F56AE5">
        <w:rPr>
          <w:shd w:val="clear" w:color="auto" w:fill="FFFFFF"/>
        </w:rPr>
        <w:t>Tuluwengjiang</w:t>
      </w:r>
      <w:proofErr w:type="spellEnd"/>
      <w:r w:rsidRPr="00F56AE5">
        <w:rPr>
          <w:shd w:val="clear" w:color="auto" w:fill="FFFFFF"/>
        </w:rPr>
        <w:t xml:space="preserve"> et al., (2024). Dendritic cell-derived exosomes (Dex): Underlying the role of exosomes derived from diverse DC subtypes in cancer pathogenesis. Pathology-Research and Practice, 254, 155097. </w:t>
      </w:r>
      <w:hyperlink r:id="rId20" w:tgtFrame="_blank" w:tooltip="Persistent link using digital object identifier" w:history="1">
        <w:r w:rsidRPr="00F56AE5">
          <w:rPr>
            <w:shd w:val="clear" w:color="auto" w:fill="FFFFFF"/>
          </w:rPr>
          <w:t>https://doi.org/10.1016/j.prp.2024.155097</w:t>
        </w:r>
      </w:hyperlink>
    </w:p>
    <w:p w14:paraId="66F0E450" w14:textId="77777777" w:rsidR="00F56AE5" w:rsidRPr="00F56AE5" w:rsidRDefault="00F56AE5" w:rsidP="00860F8F">
      <w:pPr>
        <w:pStyle w:val="Reference"/>
        <w:rPr>
          <w:shd w:val="clear" w:color="auto" w:fill="FFFFFF"/>
        </w:rPr>
      </w:pPr>
      <w:r w:rsidRPr="00F56AE5">
        <w:rPr>
          <w:shd w:val="clear" w:color="auto" w:fill="FFFFFF"/>
        </w:rPr>
        <w:t xml:space="preserve">Kaushal et </w:t>
      </w:r>
      <w:proofErr w:type="gramStart"/>
      <w:r w:rsidRPr="00F56AE5">
        <w:rPr>
          <w:shd w:val="clear" w:color="auto" w:fill="FFFFFF"/>
        </w:rPr>
        <w:t>al,.</w:t>
      </w:r>
      <w:proofErr w:type="gramEnd"/>
      <w:r w:rsidRPr="00F56AE5">
        <w:rPr>
          <w:shd w:val="clear" w:color="auto" w:fill="FFFFFF"/>
        </w:rPr>
        <w:t xml:space="preserve"> (2024). Navigating Independence: The Smart Walking Stick for the Visually Impaired. In 2024 5th International Conference on Mobile Computing and Sustainable Informatics (ICMCSI) (pp. 103-108). IEEE. https://doi.org/10.1109/ICMCSI61536.2024.00022 </w:t>
      </w:r>
    </w:p>
    <w:p w14:paraId="1C98AC16" w14:textId="77777777" w:rsidR="00F56AE5" w:rsidRPr="00F56AE5" w:rsidRDefault="00F56AE5" w:rsidP="00860F8F">
      <w:pPr>
        <w:pStyle w:val="Reference"/>
        <w:rPr>
          <w:shd w:val="clear" w:color="auto" w:fill="FFFFFF"/>
        </w:rPr>
      </w:pPr>
      <w:proofErr w:type="spellStart"/>
      <w:r w:rsidRPr="00F56AE5">
        <w:rPr>
          <w:shd w:val="clear" w:color="auto" w:fill="FFFFFF"/>
        </w:rPr>
        <w:t>Masannan</w:t>
      </w:r>
      <w:proofErr w:type="spellEnd"/>
      <w:r w:rsidRPr="00F56AE5">
        <w:rPr>
          <w:shd w:val="clear" w:color="auto" w:fill="FFFFFF"/>
        </w:rPr>
        <w:t xml:space="preserve"> et al., (2024). Experimental investigation on the drilling characteristics of kenaf/PLA-based laminates. Engineering Proceedings, 61(1), 9. </w:t>
      </w:r>
      <w:hyperlink r:id="rId21" w:history="1">
        <w:r w:rsidRPr="00F56AE5">
          <w:rPr>
            <w:shd w:val="clear" w:color="auto" w:fill="FFFFFF"/>
          </w:rPr>
          <w:t>https://doi.org/10.3390/engproc2024061009</w:t>
        </w:r>
      </w:hyperlink>
    </w:p>
    <w:p w14:paraId="280E9013" w14:textId="77777777" w:rsidR="00F56AE5" w:rsidRPr="00F56AE5" w:rsidRDefault="00F56AE5" w:rsidP="00860F8F">
      <w:pPr>
        <w:pStyle w:val="Reference"/>
        <w:rPr>
          <w:shd w:val="clear" w:color="auto" w:fill="FFFFFF"/>
        </w:rPr>
      </w:pPr>
      <w:r w:rsidRPr="00F56AE5">
        <w:rPr>
          <w:shd w:val="clear" w:color="auto" w:fill="FFFFFF"/>
        </w:rPr>
        <w:t>Kaliappan S et al.</w:t>
      </w:r>
      <w:proofErr w:type="gramStart"/>
      <w:r w:rsidRPr="00F56AE5">
        <w:rPr>
          <w:shd w:val="clear" w:color="auto" w:fill="FFFFFF"/>
        </w:rPr>
        <w:t>,  (</w:t>
      </w:r>
      <w:proofErr w:type="gramEnd"/>
      <w:r w:rsidRPr="00F56AE5">
        <w:rPr>
          <w:shd w:val="clear" w:color="auto" w:fill="FFFFFF"/>
        </w:rPr>
        <w:t>2024). Impact of Kenaf Fiber and Inorganic Nanofillers on Mechanical Properties of Epoxy-Based Nanocomposites for Sustainable Automotive Applications (No. 2023-01-5115). SAE Technical Paper.</w:t>
      </w:r>
      <w:hyperlink r:id="rId22" w:history="1">
        <w:r w:rsidRPr="00F56AE5">
          <w:rPr>
            <w:shd w:val="clear" w:color="auto" w:fill="FFFFFF"/>
          </w:rPr>
          <w:t> https://doi.org/10.4271/2023-01-5115</w:t>
        </w:r>
      </w:hyperlink>
    </w:p>
    <w:p w14:paraId="3D2F73D2" w14:textId="77777777" w:rsidR="00F56AE5" w:rsidRPr="00F56AE5" w:rsidRDefault="00F56AE5" w:rsidP="00860F8F">
      <w:pPr>
        <w:pStyle w:val="Reference"/>
        <w:rPr>
          <w:shd w:val="clear" w:color="auto" w:fill="FFFFFF"/>
        </w:rPr>
      </w:pPr>
      <w:r w:rsidRPr="00F56AE5">
        <w:rPr>
          <w:shd w:val="clear" w:color="auto" w:fill="FFFFFF"/>
        </w:rPr>
        <w:t xml:space="preserve">Yuvaraj, K. P., Reddy, V. K., &amp; Ali, H. M. (2024). Evaluating the Wear and Mechanical Properties of Cotton Fabrics for Women’s Summer Clothing. Engineering Proceedings, 61(1), 15. </w:t>
      </w:r>
      <w:hyperlink r:id="rId23" w:history="1">
        <w:r w:rsidRPr="00F56AE5">
          <w:rPr>
            <w:shd w:val="clear" w:color="auto" w:fill="FFFFFF"/>
          </w:rPr>
          <w:t>https://doi.org/10.3390/engproc2024061015</w:t>
        </w:r>
      </w:hyperlink>
    </w:p>
    <w:p w14:paraId="300C9854" w14:textId="2792228D" w:rsidR="00F56AE5" w:rsidRPr="00F56AE5" w:rsidRDefault="00F56AE5" w:rsidP="00860F8F">
      <w:pPr>
        <w:pStyle w:val="Reference"/>
        <w:rPr>
          <w:shd w:val="clear" w:color="auto" w:fill="FFFFFF"/>
        </w:rPr>
      </w:pPr>
      <w:r w:rsidRPr="00F56AE5">
        <w:rPr>
          <w:shd w:val="clear" w:color="auto" w:fill="FFFFFF"/>
        </w:rPr>
        <w:t xml:space="preserve">Niveditha, V. R., </w:t>
      </w:r>
      <w:proofErr w:type="spellStart"/>
      <w:r w:rsidRPr="00F56AE5">
        <w:rPr>
          <w:shd w:val="clear" w:color="auto" w:fill="FFFFFF"/>
        </w:rPr>
        <w:t>Nadh</w:t>
      </w:r>
      <w:proofErr w:type="spellEnd"/>
      <w:r w:rsidRPr="00F56AE5">
        <w:rPr>
          <w:shd w:val="clear" w:color="auto" w:fill="FFFFFF"/>
        </w:rPr>
        <w:t xml:space="preserve">, V. S., Srinivas, C., Dhanraj, J. A., &amp; Saravanan, A. (2024). Application of response surface and artificial neural network optimization approaches for exploring methylene blue adsorption using luffa fiber treated with sodium Rajendran et al., (2024). Development of Intelligent Power Quality Management in Renewable Energy System in Smart Grid using Deep Learning. In 2024 International Conference on Inventive Computation Technologies (ICICT) (pp. 1178-1182). IEEE.  </w:t>
      </w:r>
      <w:hyperlink r:id="rId24" w:history="1">
        <w:r w:rsidRPr="00F56AE5">
          <w:rPr>
            <w:shd w:val="clear" w:color="auto" w:fill="FFFFFF"/>
          </w:rPr>
          <w:t>https://doi.org/10.1109/ICICT60155.2024.10544835</w:t>
        </w:r>
      </w:hyperlink>
      <w:r w:rsidRPr="00F56AE5">
        <w:rPr>
          <w:shd w:val="clear" w:color="auto" w:fill="FFFFFF"/>
        </w:rPr>
        <w:t xml:space="preserve"> </w:t>
      </w:r>
    </w:p>
    <w:p w14:paraId="6E3CA4FB" w14:textId="77777777" w:rsidR="00F56AE5" w:rsidRPr="00F56AE5" w:rsidRDefault="00F56AE5" w:rsidP="00860F8F">
      <w:pPr>
        <w:pStyle w:val="Reference"/>
        <w:rPr>
          <w:shd w:val="clear" w:color="auto" w:fill="FFFFFF"/>
        </w:rPr>
      </w:pPr>
      <w:r w:rsidRPr="00F56AE5">
        <w:rPr>
          <w:shd w:val="clear" w:color="auto" w:fill="FFFFFF"/>
        </w:rPr>
        <w:t xml:space="preserve">Parashar et al., (2024). Time series analysis and random forest techniques for prediction of sales for retail grocery. In 2024 IEEE International Conference on Computing, Power and Communication Technologies (IC2PCT) (Vol. 5, pp. 531-535). IEEE. </w:t>
      </w:r>
      <w:hyperlink r:id="rId25" w:history="1">
        <w:r w:rsidRPr="00F56AE5">
          <w:rPr>
            <w:shd w:val="clear" w:color="auto" w:fill="FFFFFF"/>
          </w:rPr>
          <w:t>https://doi.org/10.1109/IC2PCT60090.2024.10486802</w:t>
        </w:r>
      </w:hyperlink>
      <w:r w:rsidRPr="00F56AE5">
        <w:rPr>
          <w:shd w:val="clear" w:color="auto" w:fill="FFFFFF"/>
        </w:rPr>
        <w:t xml:space="preserve"> </w:t>
      </w:r>
    </w:p>
    <w:p w14:paraId="33181EDE" w14:textId="77777777" w:rsidR="00F56AE5" w:rsidRPr="00F56AE5" w:rsidRDefault="00F56AE5" w:rsidP="00860F8F">
      <w:pPr>
        <w:pStyle w:val="Reference"/>
        <w:rPr>
          <w:shd w:val="clear" w:color="auto" w:fill="FFFFFF"/>
        </w:rPr>
      </w:pPr>
      <w:r w:rsidRPr="00F56AE5">
        <w:rPr>
          <w:shd w:val="clear" w:color="auto" w:fill="FFFFFF"/>
        </w:rPr>
        <w:t>Anita et al., (2024). Energy Trading and Optimum Scheduling for Microgrids Using Multiple Agents Based DL Approach. Electric Power Components and Systems, 1-19.  </w:t>
      </w:r>
      <w:hyperlink r:id="rId26" w:history="1">
        <w:r w:rsidRPr="00F56AE5">
          <w:rPr>
            <w:shd w:val="clear" w:color="auto" w:fill="FFFFFF"/>
          </w:rPr>
          <w:t>https://doi.org/10.1080/15325008.2023.2300329</w:t>
        </w:r>
      </w:hyperlink>
    </w:p>
    <w:p w14:paraId="3F64F042" w14:textId="77777777" w:rsidR="00F56AE5" w:rsidRPr="00F56AE5" w:rsidRDefault="00F56AE5" w:rsidP="00860F8F">
      <w:pPr>
        <w:pStyle w:val="Reference"/>
        <w:rPr>
          <w:shd w:val="clear" w:color="auto" w:fill="FFFFFF"/>
        </w:rPr>
      </w:pPr>
      <w:proofErr w:type="spellStart"/>
      <w:r w:rsidRPr="00F56AE5">
        <w:rPr>
          <w:shd w:val="clear" w:color="auto" w:fill="FFFFFF"/>
        </w:rPr>
        <w:t>Chhaparwal</w:t>
      </w:r>
      <w:proofErr w:type="spellEnd"/>
      <w:r w:rsidRPr="00F56AE5">
        <w:rPr>
          <w:shd w:val="clear" w:color="auto" w:fill="FFFFFF"/>
        </w:rPr>
        <w:t xml:space="preserve"> et al., (2024). Numerical and experimental investigation of a solar air heater duct with circular detached ribs to improve its efficiency. Case Studies in Thermal Engineering, 60, 104780. </w:t>
      </w:r>
      <w:hyperlink r:id="rId27" w:tgtFrame="_blank" w:tooltip="Persistent link using digital object identifier" w:history="1">
        <w:r w:rsidRPr="00F56AE5">
          <w:rPr>
            <w:shd w:val="clear" w:color="auto" w:fill="FFFFFF"/>
          </w:rPr>
          <w:t>https://doi.org/10.1016/j.csite.2024.104780</w:t>
        </w:r>
      </w:hyperlink>
    </w:p>
    <w:p w14:paraId="1E61E401" w14:textId="77777777" w:rsidR="00F56AE5" w:rsidRPr="00F56AE5" w:rsidRDefault="00F56AE5" w:rsidP="00860F8F">
      <w:pPr>
        <w:pStyle w:val="Reference"/>
        <w:rPr>
          <w:shd w:val="clear" w:color="auto" w:fill="FFFFFF"/>
        </w:rPr>
      </w:pPr>
      <w:r w:rsidRPr="00F56AE5">
        <w:rPr>
          <w:shd w:val="clear" w:color="auto" w:fill="FFFFFF"/>
        </w:rPr>
        <w:t xml:space="preserve">Kumar et al., (2024). Optimized forecasting approach for scheduling wind generation plants and maximizing renewable energy utilization. Electric Power Components and Systems, 1-17. </w:t>
      </w:r>
      <w:hyperlink r:id="rId28" w:history="1">
        <w:r w:rsidRPr="00F56AE5">
          <w:rPr>
            <w:shd w:val="clear" w:color="auto" w:fill="FFFFFF"/>
          </w:rPr>
          <w:t>https://doi.org/10.1080/15325008.2024.2337218</w:t>
        </w:r>
      </w:hyperlink>
    </w:p>
    <w:p w14:paraId="2CCE4798" w14:textId="77777777" w:rsidR="00F56AE5" w:rsidRPr="00F56AE5" w:rsidRDefault="00F56AE5" w:rsidP="00860F8F">
      <w:pPr>
        <w:pStyle w:val="Reference"/>
        <w:rPr>
          <w:shd w:val="clear" w:color="auto" w:fill="FFFFFF"/>
        </w:rPr>
      </w:pPr>
      <w:r w:rsidRPr="00F56AE5">
        <w:rPr>
          <w:shd w:val="clear" w:color="auto" w:fill="FFFFFF"/>
        </w:rPr>
        <w:t xml:space="preserve">R.P. Singh et al. Influence of a Copper Layer on the Functional Behaviour of a Cadmium Telluride Solar Cell Processed via Thermal Evaporation. J. Electron. Mater. (2024). </w:t>
      </w:r>
      <w:hyperlink r:id="rId29" w:history="1">
        <w:r w:rsidRPr="00F56AE5">
          <w:rPr>
            <w:shd w:val="clear" w:color="auto" w:fill="FFFFFF"/>
          </w:rPr>
          <w:t>https://doi.org/10.1007/s11664-024-11669-7</w:t>
        </w:r>
      </w:hyperlink>
    </w:p>
    <w:p w14:paraId="009D6133" w14:textId="77777777" w:rsidR="00F56AE5" w:rsidRPr="00F56AE5" w:rsidRDefault="00F56AE5" w:rsidP="00860F8F">
      <w:pPr>
        <w:pStyle w:val="Reference"/>
        <w:rPr>
          <w:shd w:val="clear" w:color="auto" w:fill="FFFFFF"/>
        </w:rPr>
      </w:pPr>
      <w:r w:rsidRPr="00F56AE5">
        <w:rPr>
          <w:shd w:val="clear" w:color="auto" w:fill="FFFFFF"/>
        </w:rPr>
        <w:t xml:space="preserve">R. Venkatesh Effects of ramie fiber/boron nitride exposure on the mechanical characteristics of injection-moulded polypropylene composites for automated structural applications. International Journal of Automotive Science and Technology. 2024; 8 (4): 451-456. </w:t>
      </w:r>
      <w:hyperlink r:id="rId30" w:history="1">
        <w:r w:rsidRPr="00F56AE5">
          <w:rPr>
            <w:shd w:val="clear" w:color="auto" w:fill="FFFFFF"/>
          </w:rPr>
          <w:t>http://dx.doi.org/10.29228/ijastech..1528281</w:t>
        </w:r>
      </w:hyperlink>
    </w:p>
    <w:p w14:paraId="30A67FE0" w14:textId="77777777" w:rsidR="00F56AE5" w:rsidRPr="00F56AE5" w:rsidRDefault="00F56AE5" w:rsidP="00860F8F">
      <w:pPr>
        <w:pStyle w:val="Reference"/>
        <w:rPr>
          <w:shd w:val="clear" w:color="auto" w:fill="FFFFFF"/>
        </w:rPr>
      </w:pPr>
      <w:r w:rsidRPr="00F56AE5">
        <w:rPr>
          <w:shd w:val="clear" w:color="auto" w:fill="FFFFFF"/>
        </w:rPr>
        <w:t xml:space="preserve">R. Venkatesh Fabrication and Functional Behavior Studies of Polypropylene Composite Containing Hybrid Reinforcements, SAE Int. J. Mater. Manf. 18(2), 2025, </w:t>
      </w:r>
      <w:hyperlink r:id="rId31" w:history="1">
        <w:r w:rsidRPr="00F56AE5">
          <w:rPr>
            <w:shd w:val="clear" w:color="auto" w:fill="FFFFFF"/>
          </w:rPr>
          <w:t>https://doi.org/10.4271/05-18-02-0015</w:t>
        </w:r>
      </w:hyperlink>
      <w:r w:rsidRPr="00F56AE5">
        <w:rPr>
          <w:shd w:val="clear" w:color="auto" w:fill="FFFFFF"/>
        </w:rPr>
        <w:t>.</w:t>
      </w:r>
    </w:p>
    <w:p w14:paraId="7E847D81" w14:textId="77777777" w:rsidR="00F56AE5" w:rsidRPr="00F56AE5" w:rsidRDefault="00F56AE5" w:rsidP="00860F8F">
      <w:pPr>
        <w:pStyle w:val="Reference"/>
        <w:rPr>
          <w:shd w:val="clear" w:color="auto" w:fill="FFFFFF"/>
        </w:rPr>
      </w:pPr>
      <w:r w:rsidRPr="00F56AE5">
        <w:rPr>
          <w:shd w:val="clear" w:color="auto" w:fill="FFFFFF"/>
        </w:rPr>
        <w:t xml:space="preserve">R. Venkatasubramanian et al. Thermal characteristics and dryer performance analysis of double pass solar collector powered by copper and iron oxide. J. Thermal Sci. Eng. Appl. (2025) 1-20.  https://doi.org/10.1115/1.4067258 </w:t>
      </w:r>
    </w:p>
    <w:p w14:paraId="66D86BAF" w14:textId="77777777" w:rsidR="00F56AE5" w:rsidRPr="00F56AE5" w:rsidRDefault="00F56AE5" w:rsidP="00860F8F">
      <w:pPr>
        <w:pStyle w:val="Reference"/>
        <w:rPr>
          <w:shd w:val="clear" w:color="auto" w:fill="FFFFFF"/>
        </w:rPr>
      </w:pPr>
      <w:proofErr w:type="spellStart"/>
      <w:r w:rsidRPr="00F56AE5">
        <w:rPr>
          <w:shd w:val="clear" w:color="auto" w:fill="FFFFFF"/>
        </w:rPr>
        <w:t>Sreethar</w:t>
      </w:r>
      <w:proofErr w:type="spellEnd"/>
      <w:r w:rsidRPr="00F56AE5">
        <w:rPr>
          <w:shd w:val="clear" w:color="auto" w:fill="FFFFFF"/>
        </w:rPr>
        <w:t xml:space="preserve"> et al., (2024). Implementation of cross layer design with localization techniques in wireless sensor networks using deep learning. In 2024 International Conference on Expert Clouds and Applications (ICOECA) (pp. 607-613). IEEE. </w:t>
      </w:r>
      <w:hyperlink r:id="rId32" w:history="1">
        <w:r w:rsidRPr="00F56AE5">
          <w:rPr>
            <w:shd w:val="clear" w:color="auto" w:fill="FFFFFF"/>
          </w:rPr>
          <w:t>https://doi.org/10.1109/ICOECA62351.2024.00111</w:t>
        </w:r>
      </w:hyperlink>
      <w:r w:rsidRPr="00F56AE5">
        <w:rPr>
          <w:shd w:val="clear" w:color="auto" w:fill="FFFFFF"/>
        </w:rPr>
        <w:t xml:space="preserve"> </w:t>
      </w:r>
    </w:p>
    <w:p w14:paraId="17A814BC" w14:textId="77777777" w:rsidR="00F56AE5" w:rsidRPr="00F56AE5" w:rsidRDefault="00F56AE5" w:rsidP="00860F8F">
      <w:pPr>
        <w:pStyle w:val="Reference"/>
        <w:rPr>
          <w:shd w:val="clear" w:color="auto" w:fill="FFFFFF"/>
        </w:rPr>
      </w:pPr>
      <w:r w:rsidRPr="00F56AE5">
        <w:rPr>
          <w:shd w:val="clear" w:color="auto" w:fill="FFFFFF"/>
        </w:rPr>
        <w:t xml:space="preserve">Kamal, M. R., Manivannan, K. K., &amp; Sunil, G. (2024, January). Machine Learning and Data Mining Approaches for Infectious Disease Surveillance and Outbreak Management in Healthcare. In 2024 International Conference on Advancements in Smart, Secure and Intelligent Computing (ASSIC) (pp. 1-7). IEEE. </w:t>
      </w:r>
      <w:hyperlink r:id="rId33" w:history="1">
        <w:r w:rsidRPr="00F56AE5">
          <w:rPr>
            <w:shd w:val="clear" w:color="auto" w:fill="FFFFFF"/>
          </w:rPr>
          <w:t>https://doi.org/10.1109/ASSIC60049.2024.10507990</w:t>
        </w:r>
      </w:hyperlink>
    </w:p>
    <w:p w14:paraId="5B04F259" w14:textId="77777777" w:rsidR="00F56AE5" w:rsidRPr="00F56AE5" w:rsidRDefault="00F56AE5" w:rsidP="00860F8F">
      <w:pPr>
        <w:pStyle w:val="Reference"/>
        <w:rPr>
          <w:shd w:val="clear" w:color="auto" w:fill="FFFFFF"/>
        </w:rPr>
      </w:pPr>
      <w:r w:rsidRPr="00F56AE5">
        <w:rPr>
          <w:shd w:val="clear" w:color="auto" w:fill="FFFFFF"/>
        </w:rPr>
        <w:t xml:space="preserve">Murthy, HS Niranjana, Shirish Kulkarni, Syed Mohd Uzair Iqbal, and Umang Pancha. Enhancing Video Captioning: A Bayesian Normalized Attention-based Multi-Dimensional Graph Network with Moss Growth </w:t>
      </w:r>
      <w:r w:rsidRPr="00F56AE5">
        <w:rPr>
          <w:shd w:val="clear" w:color="auto" w:fill="FFFFFF"/>
        </w:rPr>
        <w:lastRenderedPageBreak/>
        <w:t>Optimization. In 2025 5th International Conference on Pervasive Computing and Social Networking (ICPCSN), pp. 1688-1694. IEEE, 2025.</w:t>
      </w:r>
    </w:p>
    <w:p w14:paraId="67D2234F" w14:textId="77777777" w:rsidR="00F56AE5" w:rsidRPr="00F56AE5" w:rsidRDefault="00F56AE5" w:rsidP="00860F8F">
      <w:pPr>
        <w:pStyle w:val="Reference"/>
        <w:rPr>
          <w:shd w:val="clear" w:color="auto" w:fill="FFFFFF"/>
        </w:rPr>
      </w:pPr>
      <w:r w:rsidRPr="00F56AE5">
        <w:rPr>
          <w:shd w:val="clear" w:color="auto" w:fill="FFFFFF"/>
        </w:rPr>
        <w:t>Chaturvedi, Abhay, S. Suhas, JL Divya Shivani, Ch Raja, Umang Soni. Enhancing IoT Network Security: A Double Decker Convolutional Neural Network with Brown-Bear Optimization for Intrusion Detection. In 2025 International Conference on Inventive Computation Technologies (ICICT), pp. 1903-1908. IEEE, 2025.</w:t>
      </w:r>
    </w:p>
    <w:p w14:paraId="08D3DD6F" w14:textId="77777777" w:rsidR="00F56AE5" w:rsidRPr="00F56AE5" w:rsidRDefault="00F56AE5" w:rsidP="00860F8F">
      <w:pPr>
        <w:pStyle w:val="Reference"/>
        <w:rPr>
          <w:shd w:val="clear" w:color="auto" w:fill="FFFFFF"/>
        </w:rPr>
      </w:pPr>
      <w:r w:rsidRPr="00F56AE5">
        <w:rPr>
          <w:shd w:val="clear" w:color="auto" w:fill="FFFFFF"/>
        </w:rPr>
        <w:t xml:space="preserve">Kaushal et al., (2024). Fault prediction and awareness for power distribution in grid connected res using hybrid machine learning. Electric Power Components and Systems, 1-22. </w:t>
      </w:r>
      <w:hyperlink r:id="rId34" w:history="1">
        <w:r w:rsidRPr="00F56AE5">
          <w:rPr>
            <w:shd w:val="clear" w:color="auto" w:fill="FFFFFF"/>
          </w:rPr>
          <w:t>https://doi.org/10.1080/15325008.2024.2337217</w:t>
        </w:r>
      </w:hyperlink>
    </w:p>
    <w:p w14:paraId="2F6063D2" w14:textId="77777777" w:rsidR="00F56AE5" w:rsidRPr="00F56AE5" w:rsidRDefault="00F56AE5" w:rsidP="00860F8F">
      <w:pPr>
        <w:pStyle w:val="Reference"/>
        <w:rPr>
          <w:shd w:val="clear" w:color="auto" w:fill="FFFFFF"/>
        </w:rPr>
      </w:pPr>
      <w:r w:rsidRPr="00F56AE5">
        <w:rPr>
          <w:shd w:val="clear" w:color="auto" w:fill="FFFFFF"/>
        </w:rPr>
        <w:t xml:space="preserve">. </w:t>
      </w:r>
      <w:proofErr w:type="spellStart"/>
      <w:r w:rsidRPr="00F56AE5">
        <w:rPr>
          <w:shd w:val="clear" w:color="auto" w:fill="FFFFFF"/>
        </w:rPr>
        <w:t>Mohanavel</w:t>
      </w:r>
      <w:proofErr w:type="spellEnd"/>
      <w:r w:rsidRPr="00F56AE5">
        <w:rPr>
          <w:shd w:val="clear" w:color="auto" w:fill="FFFFFF"/>
        </w:rPr>
        <w:t xml:space="preserve"> et al. Investigation of Al/Mg composite behaviour by the adaptation of SiC and Al2O3 nanoparticle via electromagnetic stir cast route. Materials Science and Technology. 2025;0(0). doi:10.1177/02670836241306686</w:t>
      </w:r>
    </w:p>
    <w:p w14:paraId="1FE240AA" w14:textId="77777777" w:rsidR="00F56AE5" w:rsidRPr="00F56AE5" w:rsidRDefault="00F56AE5" w:rsidP="00860F8F">
      <w:pPr>
        <w:pStyle w:val="Reference"/>
        <w:rPr>
          <w:shd w:val="clear" w:color="auto" w:fill="FFFFFF"/>
        </w:rPr>
      </w:pPr>
      <w:r w:rsidRPr="00F56AE5">
        <w:rPr>
          <w:shd w:val="clear" w:color="auto" w:fill="FFFFFF"/>
        </w:rPr>
        <w:t xml:space="preserve">G. Deepana et al. (2025). Synthesis and machining characteristics study of agro-waste coconut shell powder incorporated aluminium alloy composite via the squeeze cast technique. International Journal of Cast Metals Research, 1–11. </w:t>
      </w:r>
      <w:hyperlink r:id="rId35" w:history="1">
        <w:r w:rsidRPr="00F56AE5">
          <w:rPr>
            <w:shd w:val="clear" w:color="auto" w:fill="FFFFFF"/>
          </w:rPr>
          <w:t>https://doi.org/10.1080/13640461.2024.2447101</w:t>
        </w:r>
      </w:hyperlink>
    </w:p>
    <w:p w14:paraId="45D77746" w14:textId="77777777" w:rsidR="00F56AE5" w:rsidRPr="00F56AE5" w:rsidRDefault="00F56AE5" w:rsidP="00860F8F">
      <w:pPr>
        <w:pStyle w:val="Reference"/>
        <w:rPr>
          <w:shd w:val="clear" w:color="auto" w:fill="FFFFFF"/>
        </w:rPr>
      </w:pPr>
      <w:r w:rsidRPr="00F56AE5">
        <w:rPr>
          <w:shd w:val="clear" w:color="auto" w:fill="FFFFFF"/>
        </w:rPr>
        <w:t xml:space="preserve">K.  Logesh et al. Injection mould processing and characteristics measures of hybrid epoxy composites with jute fiber/boron nitride. J Mech Sci Technol. 39(1), 2025. </w:t>
      </w:r>
      <w:hyperlink r:id="rId36" w:history="1">
        <w:r w:rsidRPr="00F56AE5">
          <w:rPr>
            <w:shd w:val="clear" w:color="auto" w:fill="FFFFFF"/>
          </w:rPr>
          <w:t>https://doi.org/10.1007/s12206-024-1219-1</w:t>
        </w:r>
      </w:hyperlink>
    </w:p>
    <w:p w14:paraId="038C2157" w14:textId="77777777" w:rsidR="00F56AE5" w:rsidRPr="00F56AE5" w:rsidRDefault="00F56AE5" w:rsidP="00860F8F">
      <w:pPr>
        <w:pStyle w:val="Reference"/>
        <w:rPr>
          <w:shd w:val="clear" w:color="auto" w:fill="FFFFFF"/>
        </w:rPr>
      </w:pPr>
      <w:r w:rsidRPr="00F56AE5">
        <w:rPr>
          <w:shd w:val="clear" w:color="auto" w:fill="FFFFFF"/>
        </w:rPr>
        <w:t xml:space="preserve">K. K. Ilavenil et al. Enrichment of monolithic aluminium alloy characteristics by nano ceramic: Solid state process. J Mech Sci Technol (2025). </w:t>
      </w:r>
      <w:hyperlink r:id="rId37" w:history="1">
        <w:r w:rsidRPr="00F56AE5">
          <w:rPr>
            <w:shd w:val="clear" w:color="auto" w:fill="FFFFFF"/>
          </w:rPr>
          <w:t>https://doi.org/10.1007/s12206-025-0513-x</w:t>
        </w:r>
      </w:hyperlink>
    </w:p>
    <w:p w14:paraId="088506BA" w14:textId="77777777" w:rsidR="00F56AE5" w:rsidRPr="00F56AE5" w:rsidRDefault="00F56AE5" w:rsidP="00860F8F">
      <w:pPr>
        <w:pStyle w:val="Reference"/>
        <w:rPr>
          <w:shd w:val="clear" w:color="auto" w:fill="FFFFFF"/>
        </w:rPr>
      </w:pPr>
      <w:r w:rsidRPr="00F56AE5">
        <w:rPr>
          <w:shd w:val="clear" w:color="auto" w:fill="FFFFFF"/>
        </w:rPr>
        <w:t xml:space="preserve">M. A. Babu et al. Effect of Surfactants and Hybrid Filler on Microstructural and Mechanical Properties of Al7075/TiC/Graphene Alloy Composite via Additive Manufacturing. J. of Materi Eng and Perform (2025). </w:t>
      </w:r>
      <w:hyperlink r:id="rId38" w:history="1">
        <w:r w:rsidRPr="00F56AE5">
          <w:rPr>
            <w:shd w:val="clear" w:color="auto" w:fill="FFFFFF"/>
          </w:rPr>
          <w:t>https://doi.org/10.1007/s11665-025-11873-4</w:t>
        </w:r>
      </w:hyperlink>
    </w:p>
    <w:p w14:paraId="725FBCFF" w14:textId="77777777" w:rsidR="00F56AE5" w:rsidRPr="00F56AE5" w:rsidRDefault="00F56AE5" w:rsidP="00860F8F">
      <w:pPr>
        <w:pStyle w:val="Reference"/>
        <w:rPr>
          <w:shd w:val="clear" w:color="auto" w:fill="FFFFFF"/>
        </w:rPr>
      </w:pPr>
      <w:r w:rsidRPr="00F56AE5">
        <w:rPr>
          <w:shd w:val="clear" w:color="auto" w:fill="FFFFFF"/>
        </w:rPr>
        <w:t xml:space="preserve">A. Sharma et al. Semisolid stir casting and effect of hybrid fillers on functional properties of aluminium alloy composites. J Mech Sci Technol (2025). </w:t>
      </w:r>
      <w:hyperlink r:id="rId39" w:history="1">
        <w:r w:rsidRPr="00F56AE5">
          <w:rPr>
            <w:shd w:val="clear" w:color="auto" w:fill="FFFFFF"/>
          </w:rPr>
          <w:t>https://doi.org/10.1007/s12206-025-0620-8</w:t>
        </w:r>
      </w:hyperlink>
    </w:p>
    <w:p w14:paraId="5DE28203" w14:textId="77777777" w:rsidR="00F56AE5" w:rsidRPr="00F56AE5" w:rsidRDefault="00F56AE5" w:rsidP="00860F8F">
      <w:pPr>
        <w:pStyle w:val="Reference"/>
        <w:rPr>
          <w:shd w:val="clear" w:color="auto" w:fill="FFFFFF"/>
        </w:rPr>
      </w:pPr>
      <w:r w:rsidRPr="00F56AE5">
        <w:rPr>
          <w:shd w:val="clear" w:color="auto" w:fill="FFFFFF"/>
        </w:rPr>
        <w:t xml:space="preserve">V. </w:t>
      </w:r>
      <w:proofErr w:type="spellStart"/>
      <w:r w:rsidRPr="00F56AE5">
        <w:rPr>
          <w:shd w:val="clear" w:color="auto" w:fill="FFFFFF"/>
        </w:rPr>
        <w:t>Rathinavelu</w:t>
      </w:r>
      <w:proofErr w:type="spellEnd"/>
      <w:r w:rsidRPr="00F56AE5">
        <w:rPr>
          <w:shd w:val="clear" w:color="auto" w:fill="FFFFFF"/>
        </w:rPr>
        <w:t xml:space="preserve"> et al. Optimal performance of poly-hybrid nanocomposites promoted with carbon fibers and nano silicon carbide particles via compression associated with hot pressing: characterization study. International Polymer Processing, 2025. </w:t>
      </w:r>
      <w:hyperlink r:id="rId40" w:history="1">
        <w:r w:rsidRPr="00F56AE5">
          <w:rPr>
            <w:shd w:val="clear" w:color="auto" w:fill="FFFFFF"/>
          </w:rPr>
          <w:t>https://doi.org/10.1515/ipp-2024-0152</w:t>
        </w:r>
      </w:hyperlink>
    </w:p>
    <w:p w14:paraId="55A2A533" w14:textId="77777777" w:rsidR="00F56AE5" w:rsidRPr="00F56AE5" w:rsidRDefault="00F56AE5" w:rsidP="00860F8F">
      <w:pPr>
        <w:pStyle w:val="Reference"/>
        <w:rPr>
          <w:shd w:val="clear" w:color="auto" w:fill="FFFFFF"/>
        </w:rPr>
      </w:pPr>
      <w:r w:rsidRPr="00F56AE5">
        <w:rPr>
          <w:shd w:val="clear" w:color="auto" w:fill="FFFFFF"/>
        </w:rPr>
        <w:t xml:space="preserve">M.E.M. Soudagar et al. Exploration and thermal characteristics analysis of hybrid TiO2/SiO2 nanofluids passing through heavy-duty automotive radiators for intensive cooling system. J </w:t>
      </w:r>
      <w:proofErr w:type="spellStart"/>
      <w:r w:rsidRPr="00F56AE5">
        <w:rPr>
          <w:shd w:val="clear" w:color="auto" w:fill="FFFFFF"/>
        </w:rPr>
        <w:t>Therm</w:t>
      </w:r>
      <w:proofErr w:type="spellEnd"/>
      <w:r w:rsidRPr="00F56AE5">
        <w:rPr>
          <w:shd w:val="clear" w:color="auto" w:fill="FFFFFF"/>
        </w:rPr>
        <w:t xml:space="preserve"> Anal </w:t>
      </w:r>
      <w:proofErr w:type="spellStart"/>
      <w:r w:rsidRPr="00F56AE5">
        <w:rPr>
          <w:shd w:val="clear" w:color="auto" w:fill="FFFFFF"/>
        </w:rPr>
        <w:t>Calorim</w:t>
      </w:r>
      <w:proofErr w:type="spellEnd"/>
      <w:r w:rsidRPr="00F56AE5">
        <w:rPr>
          <w:shd w:val="clear" w:color="auto" w:fill="FFFFFF"/>
        </w:rPr>
        <w:t xml:space="preserve"> (2025). </w:t>
      </w:r>
      <w:hyperlink r:id="rId41" w:history="1">
        <w:r w:rsidRPr="00F56AE5">
          <w:rPr>
            <w:shd w:val="clear" w:color="auto" w:fill="FFFFFF"/>
          </w:rPr>
          <w:t>https://doi.org/10.1007/s10973-025-14305-6</w:t>
        </w:r>
      </w:hyperlink>
    </w:p>
    <w:p w14:paraId="34DFB7A6" w14:textId="77777777" w:rsidR="00F56AE5" w:rsidRPr="00F56AE5" w:rsidRDefault="00F56AE5" w:rsidP="00860F8F">
      <w:pPr>
        <w:pStyle w:val="Reference"/>
        <w:rPr>
          <w:shd w:val="clear" w:color="auto" w:fill="FFFFFF"/>
        </w:rPr>
      </w:pPr>
      <w:r w:rsidRPr="00F56AE5">
        <w:rPr>
          <w:shd w:val="clear" w:color="auto" w:fill="FFFFFF"/>
        </w:rPr>
        <w:t xml:space="preserve">A. Sharma et al. Featuring of Formamidinium lead halide and enrichment of optoelectronic behaviour of SnO2/FAPbI3/NiOx with PCBM layer. J Mater Sci: Mater Electron 36, 1124 (2025). </w:t>
      </w:r>
      <w:hyperlink r:id="rId42" w:history="1">
        <w:r w:rsidRPr="00F56AE5">
          <w:rPr>
            <w:shd w:val="clear" w:color="auto" w:fill="FFFFFF"/>
          </w:rPr>
          <w:t>https://doi.org/10.1007/s10854-025-15203-1</w:t>
        </w:r>
      </w:hyperlink>
    </w:p>
    <w:bookmarkEnd w:id="4"/>
    <w:p w14:paraId="789ACE8D" w14:textId="0D8FAA7C" w:rsidR="00F56AE5" w:rsidRPr="00F56AE5" w:rsidRDefault="00F56AE5" w:rsidP="00F56AE5">
      <w:pPr>
        <w:pStyle w:val="ListParagraph"/>
        <w:spacing w:line="360" w:lineRule="auto"/>
        <w:ind w:left="710"/>
        <w:jc w:val="both"/>
        <w:rPr>
          <w:szCs w:val="24"/>
          <w:shd w:val="clear" w:color="auto" w:fill="FFFFFF"/>
        </w:rPr>
      </w:pPr>
    </w:p>
    <w:sectPr w:rsidR="00F56AE5" w:rsidRPr="00F56AE5" w:rsidSect="00860F8F">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5FD2CD6"/>
    <w:multiLevelType w:val="hybridMultilevel"/>
    <w:tmpl w:val="77F67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E1A0FFA"/>
    <w:multiLevelType w:val="hybridMultilevel"/>
    <w:tmpl w:val="EA88E988"/>
    <w:lvl w:ilvl="0" w:tplc="F8EC340A">
      <w:start w:val="1"/>
      <w:numFmt w:val="decimal"/>
      <w:lvlText w:val="%1."/>
      <w:lvlJc w:val="left"/>
      <w:pPr>
        <w:ind w:left="710" w:hanging="360"/>
      </w:pPr>
      <w:rPr>
        <w:rFonts w:hint="default"/>
      </w:rPr>
    </w:lvl>
    <w:lvl w:ilvl="1" w:tplc="40090019" w:tentative="1">
      <w:start w:val="1"/>
      <w:numFmt w:val="lowerLetter"/>
      <w:lvlText w:val="%2."/>
      <w:lvlJc w:val="left"/>
      <w:pPr>
        <w:ind w:left="1430" w:hanging="360"/>
      </w:pPr>
    </w:lvl>
    <w:lvl w:ilvl="2" w:tplc="4009001B" w:tentative="1">
      <w:start w:val="1"/>
      <w:numFmt w:val="lowerRoman"/>
      <w:lvlText w:val="%3."/>
      <w:lvlJc w:val="right"/>
      <w:pPr>
        <w:ind w:left="2150" w:hanging="180"/>
      </w:pPr>
    </w:lvl>
    <w:lvl w:ilvl="3" w:tplc="4009000F" w:tentative="1">
      <w:start w:val="1"/>
      <w:numFmt w:val="decimal"/>
      <w:lvlText w:val="%4."/>
      <w:lvlJc w:val="left"/>
      <w:pPr>
        <w:ind w:left="2870" w:hanging="360"/>
      </w:pPr>
    </w:lvl>
    <w:lvl w:ilvl="4" w:tplc="40090019" w:tentative="1">
      <w:start w:val="1"/>
      <w:numFmt w:val="lowerLetter"/>
      <w:lvlText w:val="%5."/>
      <w:lvlJc w:val="left"/>
      <w:pPr>
        <w:ind w:left="3590" w:hanging="360"/>
      </w:pPr>
    </w:lvl>
    <w:lvl w:ilvl="5" w:tplc="4009001B" w:tentative="1">
      <w:start w:val="1"/>
      <w:numFmt w:val="lowerRoman"/>
      <w:lvlText w:val="%6."/>
      <w:lvlJc w:val="right"/>
      <w:pPr>
        <w:ind w:left="4310" w:hanging="180"/>
      </w:pPr>
    </w:lvl>
    <w:lvl w:ilvl="6" w:tplc="4009000F" w:tentative="1">
      <w:start w:val="1"/>
      <w:numFmt w:val="decimal"/>
      <w:lvlText w:val="%7."/>
      <w:lvlJc w:val="left"/>
      <w:pPr>
        <w:ind w:left="5030" w:hanging="360"/>
      </w:pPr>
    </w:lvl>
    <w:lvl w:ilvl="7" w:tplc="40090019" w:tentative="1">
      <w:start w:val="1"/>
      <w:numFmt w:val="lowerLetter"/>
      <w:lvlText w:val="%8."/>
      <w:lvlJc w:val="left"/>
      <w:pPr>
        <w:ind w:left="5750" w:hanging="360"/>
      </w:pPr>
    </w:lvl>
    <w:lvl w:ilvl="8" w:tplc="4009001B" w:tentative="1">
      <w:start w:val="1"/>
      <w:numFmt w:val="lowerRoman"/>
      <w:lvlText w:val="%9."/>
      <w:lvlJc w:val="right"/>
      <w:pPr>
        <w:ind w:left="6470" w:hanging="180"/>
      </w:pPr>
    </w:lvl>
  </w:abstractNum>
  <w:abstractNum w:abstractNumId="12" w15:restartNumberingAfterBreak="0">
    <w:nsid w:val="509820DF"/>
    <w:multiLevelType w:val="hybridMultilevel"/>
    <w:tmpl w:val="73842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932084200">
    <w:abstractNumId w:val="11"/>
  </w:num>
  <w:num w:numId="2" w16cid:durableId="968974031">
    <w:abstractNumId w:val="12"/>
  </w:num>
  <w:num w:numId="3" w16cid:durableId="14664621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25844975">
    <w:abstractNumId w:val="18"/>
  </w:num>
  <w:num w:numId="5" w16cid:durableId="1623537524">
    <w:abstractNumId w:val="4"/>
  </w:num>
  <w:num w:numId="6" w16cid:durableId="333149680">
    <w:abstractNumId w:val="15"/>
  </w:num>
  <w:num w:numId="7" w16cid:durableId="1958750756">
    <w:abstractNumId w:val="8"/>
  </w:num>
  <w:num w:numId="8" w16cid:durableId="1466237890">
    <w:abstractNumId w:val="14"/>
  </w:num>
  <w:num w:numId="9" w16cid:durableId="846751398">
    <w:abstractNumId w:val="5"/>
  </w:num>
  <w:num w:numId="10" w16cid:durableId="982584711">
    <w:abstractNumId w:val="7"/>
  </w:num>
  <w:num w:numId="11" w16cid:durableId="247734440">
    <w:abstractNumId w:val="1"/>
  </w:num>
  <w:num w:numId="12" w16cid:durableId="1514879319">
    <w:abstractNumId w:val="17"/>
  </w:num>
  <w:num w:numId="13" w16cid:durableId="1383210328">
    <w:abstractNumId w:val="10"/>
  </w:num>
  <w:num w:numId="14" w16cid:durableId="1513061117">
    <w:abstractNumId w:val="16"/>
  </w:num>
  <w:num w:numId="15" w16cid:durableId="958226418">
    <w:abstractNumId w:val="13"/>
  </w:num>
  <w:num w:numId="16" w16cid:durableId="771170886">
    <w:abstractNumId w:val="6"/>
  </w:num>
  <w:num w:numId="17" w16cid:durableId="1726029251">
    <w:abstractNumId w:val="9"/>
  </w:num>
  <w:num w:numId="18" w16cid:durableId="1939214429">
    <w:abstractNumId w:val="14"/>
    <w:lvlOverride w:ilvl="0">
      <w:startOverride w:val="1"/>
    </w:lvlOverride>
  </w:num>
  <w:num w:numId="19" w16cid:durableId="957906086">
    <w:abstractNumId w:val="14"/>
    <w:lvlOverride w:ilvl="0">
      <w:startOverride w:val="1"/>
    </w:lvlOverride>
  </w:num>
  <w:num w:numId="20" w16cid:durableId="1087652185">
    <w:abstractNumId w:val="14"/>
    <w:lvlOverride w:ilvl="0">
      <w:startOverride w:val="1"/>
    </w:lvlOverride>
  </w:num>
  <w:num w:numId="21" w16cid:durableId="1054889863">
    <w:abstractNumId w:val="15"/>
    <w:lvlOverride w:ilvl="0">
      <w:startOverride w:val="1"/>
    </w:lvlOverride>
  </w:num>
  <w:num w:numId="22" w16cid:durableId="1903178079">
    <w:abstractNumId w:val="15"/>
    <w:lvlOverride w:ilvl="0">
      <w:startOverride w:val="1"/>
    </w:lvlOverride>
  </w:num>
  <w:num w:numId="23" w16cid:durableId="874267395">
    <w:abstractNumId w:val="15"/>
    <w:lvlOverride w:ilvl="0">
      <w:startOverride w:val="1"/>
    </w:lvlOverride>
  </w:num>
  <w:num w:numId="24" w16cid:durableId="1368025285">
    <w:abstractNumId w:val="15"/>
    <w:lvlOverride w:ilvl="0">
      <w:startOverride w:val="1"/>
    </w:lvlOverride>
  </w:num>
  <w:num w:numId="25" w16cid:durableId="944078796">
    <w:abstractNumId w:val="15"/>
    <w:lvlOverride w:ilvl="0">
      <w:startOverride w:val="1"/>
    </w:lvlOverride>
  </w:num>
  <w:num w:numId="26" w16cid:durableId="1653829719">
    <w:abstractNumId w:val="2"/>
  </w:num>
  <w:num w:numId="27"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4C9B"/>
    <w:rsid w:val="00020985"/>
    <w:rsid w:val="00036BB3"/>
    <w:rsid w:val="000541D5"/>
    <w:rsid w:val="000B4DBB"/>
    <w:rsid w:val="00195C26"/>
    <w:rsid w:val="002019EF"/>
    <w:rsid w:val="0023649D"/>
    <w:rsid w:val="002A7AF7"/>
    <w:rsid w:val="002C0B2C"/>
    <w:rsid w:val="0032396B"/>
    <w:rsid w:val="003F0126"/>
    <w:rsid w:val="0040271B"/>
    <w:rsid w:val="004A0256"/>
    <w:rsid w:val="00535463"/>
    <w:rsid w:val="00554C9B"/>
    <w:rsid w:val="005847BB"/>
    <w:rsid w:val="005C6462"/>
    <w:rsid w:val="005D490C"/>
    <w:rsid w:val="005D5FB0"/>
    <w:rsid w:val="005E6427"/>
    <w:rsid w:val="0060490A"/>
    <w:rsid w:val="00632DCC"/>
    <w:rsid w:val="006911FC"/>
    <w:rsid w:val="006B21BB"/>
    <w:rsid w:val="006F34FD"/>
    <w:rsid w:val="00724DB2"/>
    <w:rsid w:val="007250B1"/>
    <w:rsid w:val="00761052"/>
    <w:rsid w:val="008234D5"/>
    <w:rsid w:val="0083760B"/>
    <w:rsid w:val="00860F8F"/>
    <w:rsid w:val="00861474"/>
    <w:rsid w:val="00887589"/>
    <w:rsid w:val="008D12E4"/>
    <w:rsid w:val="008E4E4C"/>
    <w:rsid w:val="00965DFB"/>
    <w:rsid w:val="00A419EF"/>
    <w:rsid w:val="00B10903"/>
    <w:rsid w:val="00B63BC6"/>
    <w:rsid w:val="00C1677C"/>
    <w:rsid w:val="00CF6307"/>
    <w:rsid w:val="00DB0A9A"/>
    <w:rsid w:val="00DC435E"/>
    <w:rsid w:val="00E51A34"/>
    <w:rsid w:val="00F237E0"/>
    <w:rsid w:val="00F56AE5"/>
    <w:rsid w:val="00F61A8E"/>
    <w:rsid w:val="00FA2D73"/>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CF24B"/>
  <w15:docId w15:val="{BB20C497-91B4-1346-82D2-206D17F56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60F8F"/>
    <w:pPr>
      <w:spacing w:after="0" w:line="240" w:lineRule="auto"/>
    </w:pPr>
    <w:rPr>
      <w:rFonts w:ascii="Times New Roman" w:eastAsia="Times New Roman" w:hAnsi="Times New Roman" w:cs="Times New Roman"/>
      <w:kern w:val="0"/>
      <w:sz w:val="24"/>
      <w:szCs w:val="20"/>
      <w:lang w:val="en-US"/>
      <w14:ligatures w14:val="none"/>
    </w:rPr>
  </w:style>
  <w:style w:type="paragraph" w:styleId="Heading1">
    <w:name w:val="heading 1"/>
    <w:basedOn w:val="Normal"/>
    <w:next w:val="Paragraph"/>
    <w:link w:val="Heading1Char"/>
    <w:qFormat/>
    <w:rsid w:val="00860F8F"/>
    <w:pPr>
      <w:keepNext/>
      <w:spacing w:before="240" w:after="240"/>
      <w:jc w:val="center"/>
      <w:outlineLvl w:val="0"/>
    </w:pPr>
    <w:rPr>
      <w:b/>
      <w:caps/>
    </w:rPr>
  </w:style>
  <w:style w:type="paragraph" w:styleId="Heading2">
    <w:name w:val="heading 2"/>
    <w:basedOn w:val="Normal"/>
    <w:next w:val="Paragraph"/>
    <w:link w:val="Heading2Char"/>
    <w:qFormat/>
    <w:rsid w:val="00860F8F"/>
    <w:pPr>
      <w:keepNext/>
      <w:spacing w:before="240" w:after="240"/>
      <w:jc w:val="center"/>
      <w:outlineLvl w:val="1"/>
    </w:pPr>
    <w:rPr>
      <w:b/>
    </w:rPr>
  </w:style>
  <w:style w:type="paragraph" w:styleId="Heading3">
    <w:name w:val="heading 3"/>
    <w:basedOn w:val="Normal"/>
    <w:next w:val="Normal"/>
    <w:link w:val="Heading3Char"/>
    <w:qFormat/>
    <w:rsid w:val="00860F8F"/>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rsid w:val="00860F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0F8F"/>
  </w:style>
  <w:style w:type="paragraph" w:styleId="ListParagraph">
    <w:name w:val="List Paragraph"/>
    <w:basedOn w:val="Normal"/>
    <w:uiPriority w:val="34"/>
    <w:rsid w:val="00860F8F"/>
    <w:pPr>
      <w:ind w:left="720"/>
      <w:contextualSpacing/>
    </w:pPr>
  </w:style>
  <w:style w:type="character" w:customStyle="1" w:styleId="apple-converted-space">
    <w:name w:val="apple-converted-space"/>
    <w:basedOn w:val="DefaultParagraphFont"/>
    <w:rsid w:val="0040271B"/>
  </w:style>
  <w:style w:type="character" w:styleId="Hyperlink">
    <w:name w:val="Hyperlink"/>
    <w:rsid w:val="00860F8F"/>
    <w:rPr>
      <w:color w:val="0000FF"/>
      <w:u w:val="single"/>
    </w:rPr>
  </w:style>
  <w:style w:type="character" w:styleId="Strong">
    <w:name w:val="Strong"/>
    <w:basedOn w:val="DefaultParagraphFont"/>
    <w:uiPriority w:val="22"/>
    <w:qFormat/>
    <w:rsid w:val="00860F8F"/>
    <w:rPr>
      <w:b/>
      <w:bCs/>
    </w:rPr>
  </w:style>
  <w:style w:type="paragraph" w:customStyle="1" w:styleId="dx-doi">
    <w:name w:val="dx-doi"/>
    <w:basedOn w:val="Normal"/>
    <w:rsid w:val="0040271B"/>
    <w:pPr>
      <w:spacing w:before="100" w:beforeAutospacing="1" w:after="100" w:afterAutospacing="1"/>
    </w:pPr>
    <w:rPr>
      <w:szCs w:val="24"/>
      <w:lang w:eastAsia="en-GB"/>
    </w:rPr>
  </w:style>
  <w:style w:type="paragraph" w:customStyle="1" w:styleId="2Authors">
    <w:name w:val="2 Authors"/>
    <w:rsid w:val="00A419EF"/>
    <w:pPr>
      <w:spacing w:after="60" w:line="240" w:lineRule="auto"/>
    </w:pPr>
    <w:rPr>
      <w:rFonts w:ascii="Times New Roman" w:eastAsia="Times New Roman" w:hAnsi="Times New Roman" w:cs="Times New Roman"/>
      <w:b/>
      <w:kern w:val="0"/>
      <w:szCs w:val="20"/>
      <w:lang w:val="en-GB"/>
      <w14:ligatures w14:val="none"/>
    </w:rPr>
  </w:style>
  <w:style w:type="character" w:styleId="UnresolvedMention">
    <w:name w:val="Unresolved Mention"/>
    <w:basedOn w:val="DefaultParagraphFont"/>
    <w:uiPriority w:val="99"/>
    <w:semiHidden/>
    <w:unhideWhenUsed/>
    <w:rsid w:val="00860F8F"/>
    <w:rPr>
      <w:color w:val="808080"/>
      <w:shd w:val="clear" w:color="auto" w:fill="E6E6E6"/>
    </w:rPr>
  </w:style>
  <w:style w:type="character" w:customStyle="1" w:styleId="Heading1Char">
    <w:name w:val="Heading 1 Char"/>
    <w:basedOn w:val="DefaultParagraphFont"/>
    <w:link w:val="Heading1"/>
    <w:rsid w:val="0023649D"/>
    <w:rPr>
      <w:rFonts w:ascii="Times New Roman" w:eastAsia="Times New Roman" w:hAnsi="Times New Roman" w:cs="Times New Roman"/>
      <w:b/>
      <w:caps/>
      <w:kern w:val="0"/>
      <w:sz w:val="24"/>
      <w:szCs w:val="20"/>
      <w:lang w:val="en-US"/>
      <w14:ligatures w14:val="none"/>
    </w:rPr>
  </w:style>
  <w:style w:type="character" w:customStyle="1" w:styleId="Heading2Char">
    <w:name w:val="Heading 2 Char"/>
    <w:basedOn w:val="DefaultParagraphFont"/>
    <w:link w:val="Heading2"/>
    <w:rsid w:val="0023649D"/>
    <w:rPr>
      <w:rFonts w:ascii="Times New Roman" w:eastAsia="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23649D"/>
    <w:rPr>
      <w:rFonts w:ascii="Times New Roman" w:eastAsia="Times New Roman" w:hAnsi="Times New Roman" w:cs="Times New Roman"/>
      <w:i/>
      <w:iCs/>
      <w:kern w:val="0"/>
      <w:sz w:val="20"/>
      <w:szCs w:val="20"/>
      <w:lang w:val="en-GB" w:eastAsia="en-GB"/>
      <w14:ligatures w14:val="none"/>
    </w:rPr>
  </w:style>
  <w:style w:type="paragraph" w:styleId="FootnoteText">
    <w:name w:val="footnote text"/>
    <w:basedOn w:val="Normal"/>
    <w:link w:val="FootnoteTextChar"/>
    <w:semiHidden/>
    <w:rsid w:val="00860F8F"/>
    <w:rPr>
      <w:sz w:val="16"/>
    </w:rPr>
  </w:style>
  <w:style w:type="character" w:customStyle="1" w:styleId="FootnoteTextChar">
    <w:name w:val="Footnote Text Char"/>
    <w:basedOn w:val="DefaultParagraphFont"/>
    <w:link w:val="FootnoteText"/>
    <w:semiHidden/>
    <w:rsid w:val="0023649D"/>
    <w:rPr>
      <w:rFonts w:ascii="Times New Roman" w:eastAsia="Times New Roman" w:hAnsi="Times New Roman" w:cs="Times New Roman"/>
      <w:kern w:val="0"/>
      <w:sz w:val="16"/>
      <w:szCs w:val="20"/>
      <w:lang w:val="en-US"/>
      <w14:ligatures w14:val="none"/>
    </w:rPr>
  </w:style>
  <w:style w:type="paragraph" w:customStyle="1" w:styleId="PaperTitle">
    <w:name w:val="Paper Title"/>
    <w:basedOn w:val="Normal"/>
    <w:next w:val="AuthorName"/>
    <w:rsid w:val="00860F8F"/>
    <w:pPr>
      <w:spacing w:before="1200"/>
      <w:jc w:val="center"/>
    </w:pPr>
    <w:rPr>
      <w:b/>
      <w:sz w:val="36"/>
    </w:rPr>
  </w:style>
  <w:style w:type="paragraph" w:customStyle="1" w:styleId="AuthorName">
    <w:name w:val="Author Name"/>
    <w:basedOn w:val="Normal"/>
    <w:next w:val="AuthorAffiliation"/>
    <w:rsid w:val="00860F8F"/>
    <w:pPr>
      <w:spacing w:before="360" w:after="360"/>
      <w:jc w:val="center"/>
    </w:pPr>
    <w:rPr>
      <w:sz w:val="28"/>
    </w:rPr>
  </w:style>
  <w:style w:type="paragraph" w:customStyle="1" w:styleId="AuthorAffiliation">
    <w:name w:val="Author Affiliation"/>
    <w:basedOn w:val="Normal"/>
    <w:rsid w:val="00860F8F"/>
    <w:pPr>
      <w:jc w:val="center"/>
    </w:pPr>
    <w:rPr>
      <w:i/>
      <w:sz w:val="20"/>
    </w:rPr>
  </w:style>
  <w:style w:type="paragraph" w:customStyle="1" w:styleId="Abstract">
    <w:name w:val="Abstract"/>
    <w:basedOn w:val="Normal"/>
    <w:next w:val="Heading1"/>
    <w:rsid w:val="00860F8F"/>
    <w:pPr>
      <w:spacing w:before="360" w:after="360"/>
      <w:ind w:left="289" w:right="289"/>
      <w:jc w:val="both"/>
    </w:pPr>
    <w:rPr>
      <w:sz w:val="18"/>
    </w:rPr>
  </w:style>
  <w:style w:type="paragraph" w:customStyle="1" w:styleId="Paragraph">
    <w:name w:val="Paragraph"/>
    <w:basedOn w:val="Normal"/>
    <w:rsid w:val="00860F8F"/>
    <w:pPr>
      <w:ind w:firstLine="284"/>
      <w:jc w:val="both"/>
    </w:pPr>
    <w:rPr>
      <w:sz w:val="20"/>
    </w:rPr>
  </w:style>
  <w:style w:type="character" w:styleId="FootnoteReference">
    <w:name w:val="footnote reference"/>
    <w:semiHidden/>
    <w:rsid w:val="00860F8F"/>
    <w:rPr>
      <w:vertAlign w:val="superscript"/>
    </w:rPr>
  </w:style>
  <w:style w:type="paragraph" w:customStyle="1" w:styleId="Reference">
    <w:name w:val="Reference"/>
    <w:basedOn w:val="Paragraph"/>
    <w:rsid w:val="00860F8F"/>
    <w:pPr>
      <w:numPr>
        <w:numId w:val="17"/>
      </w:numPr>
      <w:ind w:left="426" w:hanging="426"/>
    </w:pPr>
  </w:style>
  <w:style w:type="paragraph" w:customStyle="1" w:styleId="FigureCaption">
    <w:name w:val="Figure Caption"/>
    <w:next w:val="Paragraph"/>
    <w:rsid w:val="00860F8F"/>
    <w:pPr>
      <w:spacing w:before="120" w:after="0" w:line="240" w:lineRule="auto"/>
      <w:jc w:val="center"/>
    </w:pPr>
    <w:rPr>
      <w:rFonts w:ascii="Times New Roman" w:eastAsia="Times New Roman" w:hAnsi="Times New Roman" w:cs="Times New Roman"/>
      <w:kern w:val="0"/>
      <w:sz w:val="18"/>
      <w:szCs w:val="20"/>
      <w:lang w:val="en-US"/>
      <w14:ligatures w14:val="none"/>
    </w:rPr>
  </w:style>
  <w:style w:type="paragraph" w:customStyle="1" w:styleId="Figure">
    <w:name w:val="Figure"/>
    <w:basedOn w:val="Paragraph"/>
    <w:rsid w:val="00860F8F"/>
    <w:pPr>
      <w:keepNext/>
      <w:ind w:firstLine="0"/>
      <w:jc w:val="center"/>
    </w:pPr>
  </w:style>
  <w:style w:type="paragraph" w:customStyle="1" w:styleId="Equation">
    <w:name w:val="Equation"/>
    <w:basedOn w:val="Paragraph"/>
    <w:rsid w:val="00860F8F"/>
    <w:pPr>
      <w:tabs>
        <w:tab w:val="center" w:pos="4320"/>
        <w:tab w:val="right" w:pos="9242"/>
      </w:tabs>
      <w:ind w:firstLine="0"/>
      <w:jc w:val="center"/>
    </w:pPr>
  </w:style>
  <w:style w:type="paragraph" w:styleId="BalloonText">
    <w:name w:val="Balloon Text"/>
    <w:basedOn w:val="Normal"/>
    <w:link w:val="BalloonTextChar"/>
    <w:rsid w:val="00860F8F"/>
    <w:rPr>
      <w:rFonts w:ascii="Tahoma" w:hAnsi="Tahoma" w:cs="Tahoma"/>
      <w:sz w:val="16"/>
      <w:szCs w:val="16"/>
    </w:rPr>
  </w:style>
  <w:style w:type="character" w:customStyle="1" w:styleId="BalloonTextChar">
    <w:name w:val="Balloon Text Char"/>
    <w:basedOn w:val="DefaultParagraphFont"/>
    <w:link w:val="BalloonText"/>
    <w:rsid w:val="00860F8F"/>
    <w:rPr>
      <w:rFonts w:ascii="Tahoma" w:eastAsia="Times New Roman" w:hAnsi="Tahoma" w:cs="Tahoma"/>
      <w:kern w:val="0"/>
      <w:sz w:val="16"/>
      <w:szCs w:val="16"/>
      <w:lang w:val="en-US"/>
      <w14:ligatures w14:val="none"/>
    </w:rPr>
  </w:style>
  <w:style w:type="table" w:styleId="TableGrid">
    <w:name w:val="Table Grid"/>
    <w:basedOn w:val="TableNormal"/>
    <w:rsid w:val="00860F8F"/>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860F8F"/>
    <w:pPr>
      <w:numPr>
        <w:numId w:val="16"/>
      </w:numPr>
      <w:ind w:left="641" w:hanging="357"/>
    </w:pPr>
  </w:style>
  <w:style w:type="paragraph" w:customStyle="1" w:styleId="AuthorEmail">
    <w:name w:val="Author Email"/>
    <w:basedOn w:val="Normal"/>
    <w:qFormat/>
    <w:rsid w:val="00860F8F"/>
    <w:pPr>
      <w:jc w:val="center"/>
    </w:pPr>
    <w:rPr>
      <w:sz w:val="20"/>
    </w:rPr>
  </w:style>
  <w:style w:type="paragraph" w:styleId="NormalWeb">
    <w:name w:val="Normal (Web)"/>
    <w:basedOn w:val="Normal"/>
    <w:uiPriority w:val="99"/>
    <w:unhideWhenUsed/>
    <w:rsid w:val="00860F8F"/>
    <w:pPr>
      <w:spacing w:before="100" w:beforeAutospacing="1" w:after="100" w:afterAutospacing="1"/>
    </w:pPr>
    <w:rPr>
      <w:szCs w:val="24"/>
      <w:lang w:val="en-GB" w:eastAsia="en-GB"/>
    </w:rPr>
  </w:style>
  <w:style w:type="character" w:styleId="Emphasis">
    <w:name w:val="Emphasis"/>
    <w:basedOn w:val="DefaultParagraphFont"/>
    <w:uiPriority w:val="20"/>
    <w:qFormat/>
    <w:rsid w:val="00860F8F"/>
    <w:rPr>
      <w:i/>
      <w:iCs/>
    </w:rPr>
  </w:style>
  <w:style w:type="paragraph" w:customStyle="1" w:styleId="TableCaption">
    <w:name w:val="Table Caption"/>
    <w:basedOn w:val="FigureCaption"/>
    <w:qFormat/>
    <w:rsid w:val="00860F8F"/>
    <w:rPr>
      <w:szCs w:val="18"/>
    </w:rPr>
  </w:style>
  <w:style w:type="paragraph" w:customStyle="1" w:styleId="Paragraphnumbered">
    <w:name w:val="Paragraph (numbered)"/>
    <w:rsid w:val="00860F8F"/>
    <w:pPr>
      <w:numPr>
        <w:numId w:val="6"/>
      </w:numPr>
      <w:spacing w:after="0" w:line="240" w:lineRule="auto"/>
      <w:jc w:val="both"/>
    </w:pPr>
    <w:rPr>
      <w:rFonts w:ascii="Times New Roman" w:eastAsia="Times New Roman" w:hAnsi="Times New Roman" w:cs="Times New Roman"/>
      <w:kern w:val="0"/>
      <w:sz w:val="20"/>
      <w:szCs w:val="20"/>
      <w:lang w:val="en-US"/>
      <w14:ligatures w14:val="none"/>
    </w:rPr>
  </w:style>
  <w:style w:type="character" w:styleId="CommentReference">
    <w:name w:val="annotation reference"/>
    <w:basedOn w:val="DefaultParagraphFont"/>
    <w:semiHidden/>
    <w:unhideWhenUsed/>
    <w:rsid w:val="00860F8F"/>
    <w:rPr>
      <w:sz w:val="16"/>
      <w:szCs w:val="16"/>
    </w:rPr>
  </w:style>
  <w:style w:type="paragraph" w:styleId="CommentText">
    <w:name w:val="annotation text"/>
    <w:basedOn w:val="Normal"/>
    <w:link w:val="CommentTextChar"/>
    <w:semiHidden/>
    <w:unhideWhenUsed/>
    <w:rsid w:val="00860F8F"/>
    <w:rPr>
      <w:sz w:val="20"/>
    </w:rPr>
  </w:style>
  <w:style w:type="character" w:customStyle="1" w:styleId="CommentTextChar">
    <w:name w:val="Comment Text Char"/>
    <w:basedOn w:val="DefaultParagraphFont"/>
    <w:link w:val="CommentText"/>
    <w:semiHidden/>
    <w:rsid w:val="00860F8F"/>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semiHidden/>
    <w:unhideWhenUsed/>
    <w:rsid w:val="00860F8F"/>
    <w:rPr>
      <w:b/>
      <w:bCs/>
    </w:rPr>
  </w:style>
  <w:style w:type="character" w:customStyle="1" w:styleId="CommentSubjectChar">
    <w:name w:val="Comment Subject Char"/>
    <w:basedOn w:val="CommentTextChar"/>
    <w:link w:val="CommentSubject"/>
    <w:semiHidden/>
    <w:rsid w:val="00860F8F"/>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293227">
      <w:bodyDiv w:val="1"/>
      <w:marLeft w:val="0"/>
      <w:marRight w:val="0"/>
      <w:marTop w:val="0"/>
      <w:marBottom w:val="0"/>
      <w:divBdr>
        <w:top w:val="none" w:sz="0" w:space="0" w:color="auto"/>
        <w:left w:val="none" w:sz="0" w:space="0" w:color="auto"/>
        <w:bottom w:val="none" w:sz="0" w:space="0" w:color="auto"/>
        <w:right w:val="none" w:sz="0" w:space="0" w:color="auto"/>
      </w:divBdr>
    </w:div>
    <w:div w:id="550002043">
      <w:bodyDiv w:val="1"/>
      <w:marLeft w:val="0"/>
      <w:marRight w:val="0"/>
      <w:marTop w:val="0"/>
      <w:marBottom w:val="0"/>
      <w:divBdr>
        <w:top w:val="none" w:sz="0" w:space="0" w:color="auto"/>
        <w:left w:val="none" w:sz="0" w:space="0" w:color="auto"/>
        <w:bottom w:val="none" w:sz="0" w:space="0" w:color="auto"/>
        <w:right w:val="none" w:sz="0" w:space="0" w:color="auto"/>
      </w:divBdr>
    </w:div>
    <w:div w:id="875236180">
      <w:bodyDiv w:val="1"/>
      <w:marLeft w:val="0"/>
      <w:marRight w:val="0"/>
      <w:marTop w:val="0"/>
      <w:marBottom w:val="0"/>
      <w:divBdr>
        <w:top w:val="none" w:sz="0" w:space="0" w:color="auto"/>
        <w:left w:val="none" w:sz="0" w:space="0" w:color="auto"/>
        <w:bottom w:val="none" w:sz="0" w:space="0" w:color="auto"/>
        <w:right w:val="none" w:sz="0" w:space="0" w:color="auto"/>
      </w:divBdr>
    </w:div>
    <w:div w:id="990597994">
      <w:bodyDiv w:val="1"/>
      <w:marLeft w:val="0"/>
      <w:marRight w:val="0"/>
      <w:marTop w:val="0"/>
      <w:marBottom w:val="0"/>
      <w:divBdr>
        <w:top w:val="none" w:sz="0" w:space="0" w:color="auto"/>
        <w:left w:val="none" w:sz="0" w:space="0" w:color="auto"/>
        <w:bottom w:val="none" w:sz="0" w:space="0" w:color="auto"/>
        <w:right w:val="none" w:sz="0" w:space="0" w:color="auto"/>
      </w:divBdr>
    </w:div>
    <w:div w:id="1105156138">
      <w:bodyDiv w:val="1"/>
      <w:marLeft w:val="0"/>
      <w:marRight w:val="0"/>
      <w:marTop w:val="0"/>
      <w:marBottom w:val="0"/>
      <w:divBdr>
        <w:top w:val="none" w:sz="0" w:space="0" w:color="auto"/>
        <w:left w:val="none" w:sz="0" w:space="0" w:color="auto"/>
        <w:bottom w:val="none" w:sz="0" w:space="0" w:color="auto"/>
        <w:right w:val="none" w:sz="0" w:space="0" w:color="auto"/>
      </w:divBdr>
    </w:div>
    <w:div w:id="1280455910">
      <w:bodyDiv w:val="1"/>
      <w:marLeft w:val="0"/>
      <w:marRight w:val="0"/>
      <w:marTop w:val="0"/>
      <w:marBottom w:val="0"/>
      <w:divBdr>
        <w:top w:val="none" w:sz="0" w:space="0" w:color="auto"/>
        <w:left w:val="none" w:sz="0" w:space="0" w:color="auto"/>
        <w:bottom w:val="none" w:sz="0" w:space="0" w:color="auto"/>
        <w:right w:val="none" w:sz="0" w:space="0" w:color="auto"/>
      </w:divBdr>
    </w:div>
    <w:div w:id="1281037577">
      <w:bodyDiv w:val="1"/>
      <w:marLeft w:val="0"/>
      <w:marRight w:val="0"/>
      <w:marTop w:val="0"/>
      <w:marBottom w:val="0"/>
      <w:divBdr>
        <w:top w:val="none" w:sz="0" w:space="0" w:color="auto"/>
        <w:left w:val="none" w:sz="0" w:space="0" w:color="auto"/>
        <w:bottom w:val="none" w:sz="0" w:space="0" w:color="auto"/>
        <w:right w:val="none" w:sz="0" w:space="0" w:color="auto"/>
      </w:divBdr>
    </w:div>
    <w:div w:id="1434402030">
      <w:bodyDiv w:val="1"/>
      <w:marLeft w:val="0"/>
      <w:marRight w:val="0"/>
      <w:marTop w:val="0"/>
      <w:marBottom w:val="0"/>
      <w:divBdr>
        <w:top w:val="none" w:sz="0" w:space="0" w:color="auto"/>
        <w:left w:val="none" w:sz="0" w:space="0" w:color="auto"/>
        <w:bottom w:val="none" w:sz="0" w:space="0" w:color="auto"/>
        <w:right w:val="none" w:sz="0" w:space="0" w:color="auto"/>
      </w:divBdr>
    </w:div>
    <w:div w:id="1606691058">
      <w:bodyDiv w:val="1"/>
      <w:marLeft w:val="0"/>
      <w:marRight w:val="0"/>
      <w:marTop w:val="0"/>
      <w:marBottom w:val="0"/>
      <w:divBdr>
        <w:top w:val="none" w:sz="0" w:space="0" w:color="auto"/>
        <w:left w:val="none" w:sz="0" w:space="0" w:color="auto"/>
        <w:bottom w:val="none" w:sz="0" w:space="0" w:color="auto"/>
        <w:right w:val="none" w:sz="0" w:space="0" w:color="auto"/>
      </w:divBdr>
    </w:div>
    <w:div w:id="1637830189">
      <w:bodyDiv w:val="1"/>
      <w:marLeft w:val="0"/>
      <w:marRight w:val="0"/>
      <w:marTop w:val="0"/>
      <w:marBottom w:val="0"/>
      <w:divBdr>
        <w:top w:val="none" w:sz="0" w:space="0" w:color="auto"/>
        <w:left w:val="none" w:sz="0" w:space="0" w:color="auto"/>
        <w:bottom w:val="none" w:sz="0" w:space="0" w:color="auto"/>
        <w:right w:val="none" w:sz="0" w:space="0" w:color="auto"/>
      </w:divBdr>
    </w:div>
    <w:div w:id="1887141446">
      <w:bodyDiv w:val="1"/>
      <w:marLeft w:val="0"/>
      <w:marRight w:val="0"/>
      <w:marTop w:val="0"/>
      <w:marBottom w:val="0"/>
      <w:divBdr>
        <w:top w:val="none" w:sz="0" w:space="0" w:color="auto"/>
        <w:left w:val="none" w:sz="0" w:space="0" w:color="auto"/>
        <w:bottom w:val="none" w:sz="0" w:space="0" w:color="auto"/>
        <w:right w:val="none" w:sz="0" w:space="0" w:color="auto"/>
      </w:divBdr>
    </w:div>
    <w:div w:id="2051103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07/s10854-024-14135-6" TargetMode="External"/><Relationship Id="rId18" Type="http://schemas.openxmlformats.org/officeDocument/2006/relationships/hyperlink" Target="https://doi.org/10.1007/s11029-025-10305-7" TargetMode="External"/><Relationship Id="rId26" Type="http://schemas.openxmlformats.org/officeDocument/2006/relationships/hyperlink" Target="https://doi.org/10.1080/15325008.2023.2300329" TargetMode="External"/><Relationship Id="rId39" Type="http://schemas.openxmlformats.org/officeDocument/2006/relationships/hyperlink" Target="https://doi.org/10.1007/s12206-025-0620-8" TargetMode="External"/><Relationship Id="rId21" Type="http://schemas.openxmlformats.org/officeDocument/2006/relationships/hyperlink" Target="https://doi.org/10.3390/engproc2024061009" TargetMode="External"/><Relationship Id="rId34" Type="http://schemas.openxmlformats.org/officeDocument/2006/relationships/hyperlink" Target="https://doi.org/10.1080/15325008.2024.2337217" TargetMode="External"/><Relationship Id="rId42" Type="http://schemas.openxmlformats.org/officeDocument/2006/relationships/hyperlink" Target="https://doi.org/10.1007/s10854-025-15203-1" TargetMode="External"/><Relationship Id="rId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hyperlink" Target="https://doi.org/10.1007/s12206-025-0622-6" TargetMode="External"/><Relationship Id="rId20" Type="http://schemas.openxmlformats.org/officeDocument/2006/relationships/hyperlink" Target="https://doi.org/10.1016/j.prp.2024.155097" TargetMode="External"/><Relationship Id="rId29" Type="http://schemas.openxmlformats.org/officeDocument/2006/relationships/hyperlink" Target="https://doi.org/10.1007/s11664-024-11669-7" TargetMode="External"/><Relationship Id="rId41" Type="http://schemas.openxmlformats.org/officeDocument/2006/relationships/hyperlink" Target="https://doi.org/10.1007/s10973-025-14305-6" TargetMode="Externa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hyperlink" Target="https://doi.org/10.1080/15325008.2023.2300329" TargetMode="External"/><Relationship Id="rId24" Type="http://schemas.openxmlformats.org/officeDocument/2006/relationships/hyperlink" Target="https://doi.org/10.1109/ICICT60155.2024.10544835" TargetMode="External"/><Relationship Id="rId32" Type="http://schemas.openxmlformats.org/officeDocument/2006/relationships/hyperlink" Target="https://doi.org/10.1109/ICOECA62351.2024.00111" TargetMode="External"/><Relationship Id="rId37" Type="http://schemas.openxmlformats.org/officeDocument/2006/relationships/hyperlink" Target="https://doi.org/10.1007/s12206-025-0513-x" TargetMode="External"/><Relationship Id="rId40" Type="http://schemas.openxmlformats.org/officeDocument/2006/relationships/hyperlink" Target="https://doi.org/10.1515/ipp-2024-0152" TargetMode="External"/><Relationship Id="rId5" Type="http://schemas.openxmlformats.org/officeDocument/2006/relationships/hyperlink" Target="mailto:ramyalpu@yahoo.com" TargetMode="External"/><Relationship Id="rId15" Type="http://schemas.openxmlformats.org/officeDocument/2006/relationships/hyperlink" Target="https://doi.org/10.1007/s11664-025-12174-1" TargetMode="External"/><Relationship Id="rId23" Type="http://schemas.openxmlformats.org/officeDocument/2006/relationships/hyperlink" Target="https://doi.org/10.3390/engproc2024061015" TargetMode="External"/><Relationship Id="rId28" Type="http://schemas.openxmlformats.org/officeDocument/2006/relationships/hyperlink" Target="https://doi.org/10.1080/15325008.2024.2337218" TargetMode="External"/><Relationship Id="rId36" Type="http://schemas.openxmlformats.org/officeDocument/2006/relationships/hyperlink" Target="https://doi.org/10.1007/s12206-024-1219-1" TargetMode="External"/><Relationship Id="rId10" Type="http://schemas.openxmlformats.org/officeDocument/2006/relationships/hyperlink" Target="https://doi.org/10.4271/2024-01-5008" TargetMode="External"/><Relationship Id="rId19" Type="http://schemas.openxmlformats.org/officeDocument/2006/relationships/hyperlink" Target="https://doi.org/10.4271/2024-01-5031" TargetMode="External"/><Relationship Id="rId31" Type="http://schemas.openxmlformats.org/officeDocument/2006/relationships/hyperlink" Target="https://doi.org/10.4271/05-18-02-0015"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hyperlink" Target="https://doi.org/10.1007/s12206-025-0723-2" TargetMode="External"/><Relationship Id="rId22" Type="http://schemas.openxmlformats.org/officeDocument/2006/relationships/hyperlink" Target="https://doi.org/10.4271/2023-01-5115" TargetMode="External"/><Relationship Id="rId27" Type="http://schemas.openxmlformats.org/officeDocument/2006/relationships/hyperlink" Target="https://doi.org/10.1016/j.csite.2024.104780" TargetMode="External"/><Relationship Id="rId30" Type="http://schemas.openxmlformats.org/officeDocument/2006/relationships/hyperlink" Target="http://dx.doi.org/10.29228/ijastech..1528281" TargetMode="External"/><Relationship Id="rId35" Type="http://schemas.openxmlformats.org/officeDocument/2006/relationships/hyperlink" Target="https://doi.org/10.1080/13640461.2024.2447101" TargetMode="External"/><Relationship Id="rId43" Type="http://schemas.openxmlformats.org/officeDocument/2006/relationships/fontTable" Target="fontTable.xml"/><Relationship Id="rId8" Type="http://schemas.openxmlformats.org/officeDocument/2006/relationships/image" Target="media/image2.emf"/><Relationship Id="rId3" Type="http://schemas.openxmlformats.org/officeDocument/2006/relationships/settings" Target="settings.xml"/><Relationship Id="rId12" Type="http://schemas.openxmlformats.org/officeDocument/2006/relationships/hyperlink" Target="https://doi.org/10.1007/s12206-024-1216-4" TargetMode="External"/><Relationship Id="rId17" Type="http://schemas.openxmlformats.org/officeDocument/2006/relationships/hyperlink" Target="https://doi.org/10.1007/s10973-025-14427-x" TargetMode="External"/><Relationship Id="rId25" Type="http://schemas.openxmlformats.org/officeDocument/2006/relationships/hyperlink" Target="https://doi.org/10.1109/IC2PCT60090.2024.10486802" TargetMode="External"/><Relationship Id="rId33" Type="http://schemas.openxmlformats.org/officeDocument/2006/relationships/hyperlink" Target="https://doi.org/10.1109/ASSIC60049.2024.10507990" TargetMode="External"/><Relationship Id="rId38" Type="http://schemas.openxmlformats.org/officeDocument/2006/relationships/hyperlink" Target="https://doi.org/10.1007/s11665-025-11873-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AIPCP Article Template_Sept1_2023</Template>
  <TotalTime>9</TotalTime>
  <Pages>7</Pages>
  <Words>4313</Words>
  <Characters>24588</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Velmurugan G</dc:creator>
  <cp:lastModifiedBy>Shankara Narayanan V R</cp:lastModifiedBy>
  <cp:revision>22</cp:revision>
  <dcterms:created xsi:type="dcterms:W3CDTF">2025-07-22T05:34:00Z</dcterms:created>
  <dcterms:modified xsi:type="dcterms:W3CDTF">2025-09-14T11:11:00Z</dcterms:modified>
</cp:coreProperties>
</file>