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139F4" w14:textId="2E1173ED" w:rsidR="0087587D" w:rsidRDefault="0087587D" w:rsidP="008B18D5">
      <w:pPr>
        <w:pStyle w:val="PaperTitle"/>
      </w:pPr>
      <w:bookmarkStart w:id="0" w:name="_Hlk165105258"/>
      <w:r w:rsidRPr="0087587D">
        <w:t xml:space="preserve">Innovative </w:t>
      </w:r>
      <w:r w:rsidR="00056816" w:rsidRPr="0087587D">
        <w:t xml:space="preserve">Multi-Energy Resources Combine </w:t>
      </w:r>
      <w:r w:rsidR="00056816">
        <w:t>a</w:t>
      </w:r>
      <w:r w:rsidR="00056816" w:rsidRPr="0087587D">
        <w:t xml:space="preserve"> Multipurpose Relay Power Plant </w:t>
      </w:r>
      <w:proofErr w:type="gramStart"/>
      <w:r w:rsidR="00056816" w:rsidRPr="0087587D">
        <w:t>With</w:t>
      </w:r>
      <w:proofErr w:type="gramEnd"/>
      <w:r w:rsidR="00056816" w:rsidRPr="0087587D">
        <w:t xml:space="preserve"> </w:t>
      </w:r>
      <w:r w:rsidR="00056816">
        <w:t>a</w:t>
      </w:r>
      <w:r w:rsidR="00056816" w:rsidRPr="0087587D">
        <w:t xml:space="preserve"> Low Temperatures Sustainability Heating </w:t>
      </w:r>
      <w:r w:rsidR="00056816">
        <w:t>a</w:t>
      </w:r>
      <w:r w:rsidR="00056816" w:rsidRPr="0087587D">
        <w:t>nd Cooling System</w:t>
      </w:r>
      <w:bookmarkEnd w:id="0"/>
    </w:p>
    <w:p w14:paraId="53417376" w14:textId="5EB16AE4" w:rsidR="00136833" w:rsidRPr="00A86302" w:rsidRDefault="00136833" w:rsidP="008B18D5">
      <w:pPr>
        <w:pStyle w:val="AuthorName"/>
      </w:pPr>
      <w:r w:rsidRPr="00A86302">
        <w:t>Sudhakar Reddy Kota</w:t>
      </w:r>
      <w:r w:rsidRPr="00A86302">
        <w:rPr>
          <w:vertAlign w:val="superscript"/>
        </w:rPr>
        <w:t>1</w:t>
      </w:r>
      <w:r w:rsidRPr="00A86302">
        <w:t>,</w:t>
      </w:r>
      <w:r w:rsidR="00B67901" w:rsidRPr="00A86302">
        <w:t xml:space="preserve"> Prem Kumar Reddy</w:t>
      </w:r>
      <w:r w:rsidR="00B67901" w:rsidRPr="00A86302">
        <w:rPr>
          <w:vertAlign w:val="superscript"/>
        </w:rPr>
        <w:t>2</w:t>
      </w:r>
      <w:r w:rsidR="00B67901" w:rsidRPr="00A86302">
        <w:t>,</w:t>
      </w:r>
      <w:r w:rsidRPr="00A86302">
        <w:t xml:space="preserve"> T. </w:t>
      </w:r>
      <w:r w:rsidR="00A86302" w:rsidRPr="00A86302">
        <w:t>Roseline Velankanni</w:t>
      </w:r>
      <w:r w:rsidR="00B67901" w:rsidRPr="00A86302">
        <w:rPr>
          <w:vertAlign w:val="superscript"/>
        </w:rPr>
        <w:t>3</w:t>
      </w:r>
      <w:r w:rsidRPr="00A86302">
        <w:t>,</w:t>
      </w:r>
      <w:r w:rsidR="00056816">
        <w:t xml:space="preserve"> M</w:t>
      </w:r>
      <w:r w:rsidRPr="00A86302">
        <w:t xml:space="preserve"> Ramya</w:t>
      </w:r>
      <w:r w:rsidRPr="00A86302">
        <w:rPr>
          <w:vertAlign w:val="superscript"/>
        </w:rPr>
        <w:t>4</w:t>
      </w:r>
      <w:r w:rsidR="008B18D5">
        <w:rPr>
          <w:vertAlign w:val="superscript"/>
        </w:rPr>
        <w:t>a)</w:t>
      </w:r>
      <w:r w:rsidRPr="00A86302">
        <w:t>, N Viswa Sai Ram</w:t>
      </w:r>
      <w:r w:rsidRPr="00A86302">
        <w:rPr>
          <w:vertAlign w:val="superscript"/>
        </w:rPr>
        <w:t>5</w:t>
      </w:r>
      <w:r w:rsidRPr="00A86302">
        <w:t xml:space="preserve">, </w:t>
      </w:r>
      <w:proofErr w:type="spellStart"/>
      <w:r w:rsidRPr="00A86302">
        <w:t>Vijayanandh</w:t>
      </w:r>
      <w:proofErr w:type="spellEnd"/>
      <w:r w:rsidRPr="00A86302">
        <w:t xml:space="preserve"> Raja</w:t>
      </w:r>
      <w:r w:rsidRPr="00A86302">
        <w:rPr>
          <w:vertAlign w:val="superscript"/>
        </w:rPr>
        <w:t>6</w:t>
      </w:r>
    </w:p>
    <w:p w14:paraId="0232387A" w14:textId="38393A89" w:rsidR="00136833" w:rsidRPr="00A86302" w:rsidRDefault="00136833" w:rsidP="008B18D5">
      <w:pPr>
        <w:pStyle w:val="AuthorAffiliation"/>
      </w:pPr>
      <w:r w:rsidRPr="00A86302">
        <w:rPr>
          <w:vertAlign w:val="superscript"/>
        </w:rPr>
        <w:t>1</w:t>
      </w:r>
      <w:r w:rsidRPr="00A86302">
        <w:t xml:space="preserve"> Department of Civil Engineering, G. Pulla Reddy Engineering College, Kurnool, India</w:t>
      </w:r>
    </w:p>
    <w:p w14:paraId="71376CE7" w14:textId="6C2C35CF" w:rsidR="00B67901" w:rsidRPr="00A86302" w:rsidRDefault="00B67901" w:rsidP="008B18D5">
      <w:pPr>
        <w:pStyle w:val="AuthorAffiliation"/>
      </w:pPr>
      <w:r w:rsidRPr="00A86302">
        <w:rPr>
          <w:vertAlign w:val="superscript"/>
        </w:rPr>
        <w:t>2</w:t>
      </w:r>
      <w:r w:rsidRPr="00A86302">
        <w:t xml:space="preserve"> Department of Mathematics, KCG College of Technology, </w:t>
      </w:r>
      <w:proofErr w:type="spellStart"/>
      <w:r w:rsidRPr="00A86302">
        <w:t>Karapakkam</w:t>
      </w:r>
      <w:proofErr w:type="spellEnd"/>
      <w:r w:rsidRPr="00A86302">
        <w:t xml:space="preserve">, Chennai 600 097, India. </w:t>
      </w:r>
    </w:p>
    <w:p w14:paraId="596B9230" w14:textId="1B75DFCB" w:rsidR="00136833" w:rsidRPr="00A86302" w:rsidRDefault="00B67901" w:rsidP="008B18D5">
      <w:pPr>
        <w:pStyle w:val="AuthorAffiliation"/>
      </w:pPr>
      <w:r w:rsidRPr="00A86302">
        <w:rPr>
          <w:vertAlign w:val="superscript"/>
        </w:rPr>
        <w:t>3</w:t>
      </w:r>
      <w:r w:rsidR="00136833" w:rsidRPr="00A86302">
        <w:t xml:space="preserve"> Department of Mechanical Engineering, Aditya University, Surampalem, India</w:t>
      </w:r>
    </w:p>
    <w:p w14:paraId="52EE7548" w14:textId="57943AF6" w:rsidR="00136833" w:rsidRPr="00A86302" w:rsidRDefault="00136833" w:rsidP="008B18D5">
      <w:pPr>
        <w:pStyle w:val="AuthorAffiliation"/>
      </w:pPr>
      <w:r w:rsidRPr="00A86302">
        <w:rPr>
          <w:vertAlign w:val="superscript"/>
        </w:rPr>
        <w:t xml:space="preserve">4 </w:t>
      </w:r>
      <w:r w:rsidRPr="00A86302">
        <w:t>Division of Research and Development, Lovely Professional University, Jalandhar - Delhi G.T.</w:t>
      </w:r>
      <w:r w:rsidR="0040649B">
        <w:t xml:space="preserve"> </w:t>
      </w:r>
      <w:r w:rsidRPr="00A86302">
        <w:t>Road, Phagwara, Punjab– 144411, India.</w:t>
      </w:r>
    </w:p>
    <w:p w14:paraId="6B9F5F84" w14:textId="54256313" w:rsidR="00136833" w:rsidRPr="00A86302" w:rsidRDefault="00136833" w:rsidP="008B18D5">
      <w:pPr>
        <w:pStyle w:val="AuthorAffiliation"/>
      </w:pPr>
      <w:r w:rsidRPr="00A86302">
        <w:rPr>
          <w:vertAlign w:val="superscript"/>
        </w:rPr>
        <w:t xml:space="preserve">           5</w:t>
      </w:r>
      <w:r w:rsidRPr="00A86302">
        <w:t xml:space="preserve"> Department of Mechanical Engineering,</w:t>
      </w:r>
      <w:r w:rsidR="0098066F">
        <w:t xml:space="preserve"> </w:t>
      </w:r>
      <w:r w:rsidR="002735C5" w:rsidRPr="00A86302">
        <w:t>Guru Nanak University</w:t>
      </w:r>
      <w:r w:rsidRPr="00A86302">
        <w:t>,</w:t>
      </w:r>
      <w:r w:rsidR="002735C5">
        <w:t xml:space="preserve"> </w:t>
      </w:r>
      <w:proofErr w:type="spellStart"/>
      <w:r w:rsidRPr="00A86302">
        <w:t>Ibrahimpatnam</w:t>
      </w:r>
      <w:proofErr w:type="spellEnd"/>
      <w:r w:rsidRPr="00A86302">
        <w:t xml:space="preserve"> - 501506, Hyderabad, Telangana, </w:t>
      </w:r>
    </w:p>
    <w:p w14:paraId="5E023158" w14:textId="08A495E8" w:rsidR="00136833" w:rsidRPr="00A86302" w:rsidRDefault="00136833" w:rsidP="008B18D5">
      <w:pPr>
        <w:pStyle w:val="AuthorAffiliation"/>
      </w:pPr>
      <w:r w:rsidRPr="00A86302">
        <w:rPr>
          <w:vertAlign w:val="superscript"/>
        </w:rPr>
        <w:t>6</w:t>
      </w:r>
      <w:r w:rsidRPr="00A86302">
        <w:t xml:space="preserve"> Department of Aeronautical Engineering, Kumaraguru College of Technology, Coimbatore-641049, Tamil Nadu, India.</w:t>
      </w:r>
    </w:p>
    <w:p w14:paraId="06E271ED" w14:textId="6AEA5950" w:rsidR="00136833" w:rsidRPr="00A86302" w:rsidRDefault="00136833" w:rsidP="008B18D5">
      <w:pPr>
        <w:pStyle w:val="AuthorEmail"/>
        <w:rPr>
          <w:bCs/>
          <w:szCs w:val="24"/>
        </w:rPr>
      </w:pPr>
      <w:r w:rsidRPr="00A86302">
        <w:rPr>
          <w:bCs/>
          <w:szCs w:val="24"/>
        </w:rPr>
        <w:t>Corresponding Author:</w:t>
      </w:r>
      <w:r w:rsidR="008B18D5">
        <w:rPr>
          <w:bCs/>
          <w:szCs w:val="24"/>
        </w:rPr>
        <w:t xml:space="preserve"> </w:t>
      </w:r>
      <w:r w:rsidR="008B18D5">
        <w:rPr>
          <w:bCs/>
          <w:szCs w:val="24"/>
          <w:vertAlign w:val="superscript"/>
        </w:rPr>
        <w:t>a)</w:t>
      </w:r>
      <w:hyperlink r:id="rId5" w:history="1"/>
      <w:r w:rsidR="003B5DC9" w:rsidRPr="003B5DC9">
        <w:rPr>
          <w:rStyle w:val="Hyperlink"/>
          <w:bCs/>
          <w:szCs w:val="24"/>
        </w:rPr>
        <w:t>ramyalpu@yahoo.com</w:t>
      </w:r>
    </w:p>
    <w:p w14:paraId="140D8D92" w14:textId="77777777" w:rsidR="008B18D5" w:rsidRDefault="00A94F48" w:rsidP="008B18D5">
      <w:pPr>
        <w:pStyle w:val="Abstract"/>
      </w:pPr>
      <w:r>
        <w:rPr>
          <w:b/>
          <w:bCs/>
        </w:rPr>
        <w:t>Abstract</w:t>
      </w:r>
      <w:r w:rsidR="008B18D5">
        <w:rPr>
          <w:b/>
          <w:bCs/>
        </w:rPr>
        <w:t xml:space="preserve">: </w:t>
      </w:r>
      <w:r w:rsidR="0087587D" w:rsidRPr="0087587D">
        <w:t>Shallow volcanic-type geothermal resources that are located far from metropolitan areas are unable to be developed using current geothermal energy technology due to the limited, affordable heat delivery length. A novel multi-energy source that combines a multipurpose relay power source with a low-temperature, sustainable centralised heater is proposed as a solution to the issue. Regarding the suggested heating system, the main network's exchange humidity is gradually lowered through gas-fired water/lithium bromine single-effect intake heat pumps in the versatile transmit power location and a compressor warmth move incorporated in a heat exchanger in the cooling substations. Thermal and financial evaluations of the planned centralised heating arrangement are conducted, and match causalities between the main transmission length for the primary network and the intended temperature for return waters are explored. The analysis's findings show that, in this instance of the suggested heating and cooling structure, the primary network's ideal designed returning temperature is 24 degrees Celsius, and the main network's primary lengths may be as low as 33.9 km at a reasonable cost. Furthermore, the suggested heating systems have an annual effectiveness factor and a yearly energy savings of around 3.02 and 43.7%, respectively.</w:t>
      </w:r>
      <w:r w:rsidR="008B18D5">
        <w:t xml:space="preserve"> </w:t>
      </w:r>
    </w:p>
    <w:p w14:paraId="4F4CE393" w14:textId="570FCBE2" w:rsidR="00A94F48" w:rsidRDefault="00A94F48" w:rsidP="008B18D5">
      <w:pPr>
        <w:pStyle w:val="Abstract"/>
        <w:rPr>
          <w:b/>
          <w:bCs/>
        </w:rPr>
      </w:pPr>
      <w:r w:rsidRPr="00A94F48">
        <w:rPr>
          <w:b/>
          <w:bCs/>
        </w:rPr>
        <w:t xml:space="preserve">Keywords: </w:t>
      </w:r>
      <w:r w:rsidRPr="00A94F48">
        <w:t>Multi energy; Low-temperature; Sustainable; Relay energy station; Heating system; Optimal design</w:t>
      </w:r>
      <w:r>
        <w:rPr>
          <w:b/>
          <w:bCs/>
        </w:rPr>
        <w:t>.</w:t>
      </w:r>
    </w:p>
    <w:p w14:paraId="13543AAF" w14:textId="0F16C814" w:rsidR="00A94F48" w:rsidRDefault="00A94F48" w:rsidP="008B18D5">
      <w:pPr>
        <w:pStyle w:val="Heading1"/>
      </w:pPr>
      <w:r>
        <w:t>Introduction</w:t>
      </w:r>
    </w:p>
    <w:p w14:paraId="4E130598" w14:textId="309F11FC" w:rsidR="00A94F48" w:rsidRDefault="001F19E8" w:rsidP="008B18D5">
      <w:pPr>
        <w:pStyle w:val="Paragraph"/>
      </w:pPr>
      <w:r w:rsidRPr="001F19E8">
        <w:t xml:space="preserve">The development of cold-temperature heating and cooling from deep thermal-type geothermal energy sources helps reach peak carbon dioxide and zero carbon emissions. The geothermal power of the deeper thermal kind in the north of China has an annual yield of 1.79 × 109 GJ, making it suitable for heating spaces. Shallow thermal-type geothermal power has discontinuous spatial dispersion because of complex long-term </w:t>
      </w:r>
      <w:proofErr w:type="spellStart"/>
      <w:r w:rsidRPr="001F19E8">
        <w:t>neotectonic</w:t>
      </w:r>
      <w:proofErr w:type="spellEnd"/>
      <w:r w:rsidRPr="001F19E8">
        <w:t xml:space="preserve"> motion. The extensive volcanic-type thermal field and the heat loading centre are often located at extremely distant locations that exceed the standard volcanic heat pump, the system's top limit of economically viable geothermal power transportation range</w:t>
      </w:r>
      <w:r w:rsidR="00260B70">
        <w:t xml:space="preserve"> [1]</w:t>
      </w:r>
      <w:r w:rsidRPr="001F19E8">
        <w:t xml:space="preserve">. Thus, the creation of deeper caustic-type thermal fields—which are situated distant from the centre of heat load—requires extending the economically viable geothermal power transmission length. Cold-condition geothermal power may be effectively used via cold-condition sustainability heating systems as opposed to elevated-temperature heating and cooling. Regarding the low temperatures experienced by the geothermal power heating system, a greater temperature differential among the main network's supplies and return waters will decrease </w:t>
      </w:r>
      <w:r w:rsidRPr="001F19E8">
        <w:lastRenderedPageBreak/>
        <w:t>the total velocity of moving fluid. This could also reduce the elementary network's building expenses and the amount of power used by the water that circulates the pump. Therefore, a greater temperature differential among the main network's supply and return channels helps to raise CEGETD. Increasing the main network's return quality in cold-condition sustainability heating systems may raise the humidity differential between supply and return waters and aid in the effective use of cold-condition energy</w:t>
      </w:r>
      <w:r w:rsidR="00260B70">
        <w:t xml:space="preserve"> [2]</w:t>
      </w:r>
      <w:r w:rsidRPr="001F19E8">
        <w:t>.</w:t>
      </w:r>
      <w:r w:rsidR="00A94F48" w:rsidRPr="00A94F48">
        <w:t xml:space="preserve"> </w:t>
      </w:r>
    </w:p>
    <w:p w14:paraId="59F06515" w14:textId="58553B5B" w:rsidR="00A94F48" w:rsidRPr="00A94F48" w:rsidRDefault="001F19E8" w:rsidP="008B18D5">
      <w:pPr>
        <w:pStyle w:val="Paragraph"/>
      </w:pPr>
      <w:r w:rsidRPr="001F19E8">
        <w:t>Consequently, lowering the main network's returning warmth is a workable way to increase the degree differential between the source and destination waters. Both the ejectors and absorbent exchangers of heat are provided as ways to decrease the returning temperatures in the primary network, and both are effectively used in the warming substations of elevated temperature heating networks powered with waste from industry energy. Because the principal network's feed level for the extractor and absorber radiators has to be greater than 125 °C, these exchangers are not appropriate for low-temperature sustainability in central heating systems</w:t>
      </w:r>
      <w:r w:rsidR="00260B70">
        <w:t xml:space="preserve"> [3]</w:t>
      </w:r>
      <w:r w:rsidRPr="001F19E8">
        <w:t>. An interconnected compressive heat pump and heat exchanger are suggested for waste from industry heat heaters in order to lower the final temperatures within the main network. In the case of a compressed heat pump combined with an oil exchanger, the low return temperatures in the primary wiring would trigger its coefficients of efficiency (COP) to decrease and the proportion of exit pressures to intake pressures to increase</w:t>
      </w:r>
      <w:r w:rsidR="00460F58">
        <w:t xml:space="preserve"> [4]</w:t>
      </w:r>
      <w:r w:rsidRPr="001F19E8">
        <w:t>. On the other hand, lower return temperatures in the primary wiring could assist with effectively using medium-temperature heat and reduce the energy used by circulation water circulation pumps in the main network. Consequently, it is important to optimise the main network's designed return temperatures, considering the perspective of the system as a whole. Research on this subject hasn't been done up to this point</w:t>
      </w:r>
      <w:r w:rsidR="00260B70">
        <w:t xml:space="preserve"> [5]</w:t>
      </w:r>
      <w:r w:rsidRPr="001F19E8">
        <w:t>.</w:t>
      </w:r>
    </w:p>
    <w:p w14:paraId="54EA81DC" w14:textId="34337C19" w:rsidR="00A94F48" w:rsidRDefault="001F19E8" w:rsidP="008B18D5">
      <w:pPr>
        <w:pStyle w:val="Paragraph"/>
      </w:pPr>
      <w:r w:rsidRPr="001F19E8">
        <w:t>Conversely, gas-fired boilers are often employed to handle peak demand in low-temperature thermal heaters, while deep-thermal geothermal power is typically utilised to operate on fundamental demand in order to increase the utilisation rate of expensive, deeper bore wells. Therefore, in cold-climate terrestrial boilers, gas-fired water/lithium bromine-absorbing heat pumps are a superior option to handle peak demand. Further research is required to determine how to reconfigure the electrical system for the new relaying power plant that uses a gas-fired water/lithium chloride-absorbing thermal exchanger. Taking into account the aforementioned issues, a novel multi-energy source that combines a low-temperature sustainability centralised cooling system coupled with a multipurpose relay gas station is proposed and examined in terms of thermal performance and financial gain.</w:t>
      </w:r>
    </w:p>
    <w:p w14:paraId="3A50B8F1" w14:textId="29469DAD" w:rsidR="00A94F48" w:rsidRPr="00A94F48" w:rsidRDefault="00A94F48" w:rsidP="008B18D5">
      <w:pPr>
        <w:pStyle w:val="Heading1"/>
      </w:pPr>
      <w:r w:rsidRPr="00A94F48">
        <w:t>Experimentations</w:t>
      </w:r>
    </w:p>
    <w:p w14:paraId="3923FBBE" w14:textId="57C74C54" w:rsidR="00A94F48" w:rsidRPr="00A94F48" w:rsidRDefault="00A94F48" w:rsidP="008B18D5">
      <w:pPr>
        <w:pStyle w:val="Heading2"/>
      </w:pPr>
      <w:r w:rsidRPr="00A94F48">
        <w:t xml:space="preserve">Running principle of the heating station </w:t>
      </w:r>
    </w:p>
    <w:p w14:paraId="727670E9" w14:textId="111A8520" w:rsidR="00A94F48" w:rsidRPr="00A94F48" w:rsidRDefault="00EA577F" w:rsidP="008B18D5">
      <w:pPr>
        <w:pStyle w:val="Paragraph"/>
      </w:pPr>
      <w:r w:rsidRPr="00EA577F">
        <w:t>The primary components of the warming plant are two rotating water circulation pumps, an exchanger for heat, producing boreholes, and reintroduction holes. The heat exchanger located at the cooling stations uses thermal water collected from the extraction water sources to warm the main network's returning waters before sending it back to the reintroduction holes. In a heat exchange system, returning water from the main system cools the geothermal water inside simultaneously</w:t>
      </w:r>
      <w:r w:rsidR="00B84D60">
        <w:t xml:space="preserve"> [13-17]</w:t>
      </w:r>
      <w:r w:rsidRPr="00EA577F">
        <w:t>. The returned temperature of the main networks to the multifunction relaying power plant Report Word is the fundamental determinant of the reintroduction level of geothermal waters. Generally speaking, the main network's low-temperature returning fluid helps to effectively use low-temperature natural gas and lower the operating temperature of infused geothermal waters</w:t>
      </w:r>
      <w:r w:rsidR="00BF6D66">
        <w:t xml:space="preserve"> [48-52]</w:t>
      </w:r>
      <w:r w:rsidRPr="00EA577F">
        <w:t>.</w:t>
      </w:r>
    </w:p>
    <w:p w14:paraId="66B4B64E" w14:textId="5AB79B37" w:rsidR="00A94F48" w:rsidRPr="00A94F48" w:rsidRDefault="00A94F48" w:rsidP="008B18D5">
      <w:pPr>
        <w:pStyle w:val="Heading2"/>
      </w:pPr>
      <w:r w:rsidRPr="00A94F48">
        <w:t xml:space="preserve">Running principle of the multifunctional relay energy station </w:t>
      </w:r>
    </w:p>
    <w:p w14:paraId="593B487D" w14:textId="3ECF4D1A" w:rsidR="00A94F48" w:rsidRPr="00A94F48" w:rsidRDefault="00EA577F" w:rsidP="008B18D5">
      <w:pPr>
        <w:pStyle w:val="Paragraph"/>
      </w:pPr>
      <w:r w:rsidRPr="00EA577F">
        <w:t>Situated close to urban centres, the multipurpose relay power source consists mostly of gas-fired boilers and a gas-fired water/lithium chloride single-effect absorbing thermal pump. Initially, low-temperature water that circulates emanating from the heat circuit enters the gas-fired freshwater/lithium bromine single-effect absorbing thermal pump's evaporation in the multimodal relay power source. There, it is subsequently chilled by a low-pressure gas. chiller. Secondly, the hot water that circulates generated by the warming facilities in the primary distribution system enters the gas-fired boilers and its liquid/lithium chloride single-effect absorbing warm pumps, both of which heat the liquid even further. It is important to note that the multimodal relaying power plant uses gas-fired water/lithium chloride single-effect absorber heat pumps, which serve two purposes. In order to meet increased requests, one function of the primary distribution system is to raise its supply temperatures</w:t>
      </w:r>
      <w:r w:rsidR="00B84D60">
        <w:t xml:space="preserve"> [18-20]</w:t>
      </w:r>
      <w:r w:rsidRPr="00EA577F">
        <w:t xml:space="preserve">. Additionally, the main network's elevated supply temperatures help the cooling electrical substations' compressed pumps operate better. The second function is to further reduce the main network's returning temperatures, thereby helping to decrease the degree to which thermal water can be reinjected. It is evident that the multipurpose relay power </w:t>
      </w:r>
      <w:r w:rsidRPr="00EA577F">
        <w:lastRenderedPageBreak/>
        <w:t>station's gas-fired boilers and water/lithium chloride single-effect absorber air conditioner have different functions</w:t>
      </w:r>
      <w:r w:rsidR="00260B70">
        <w:t xml:space="preserve"> [6]</w:t>
      </w:r>
      <w:r w:rsidRPr="00EA577F">
        <w:t>.</w:t>
      </w:r>
    </w:p>
    <w:p w14:paraId="3F670153" w14:textId="563B0B52" w:rsidR="00A94F48" w:rsidRPr="00A94F48" w:rsidRDefault="00A94F48" w:rsidP="008B18D5">
      <w:pPr>
        <w:pStyle w:val="Heading2"/>
      </w:pPr>
      <w:r w:rsidRPr="00A94F48">
        <w:t xml:space="preserve">Running principle of the heating substation </w:t>
      </w:r>
    </w:p>
    <w:p w14:paraId="39668CCB" w14:textId="58B91920" w:rsidR="00A94F48" w:rsidRDefault="00EA577F" w:rsidP="008B18D5">
      <w:pPr>
        <w:pStyle w:val="Paragraph"/>
      </w:pPr>
      <w:r w:rsidRPr="00EA577F">
        <w:t>A heat exchanger made of plates and compressive heat pumps is connected in a heating circuit to decrease the main network's returning temperatures. The second network's water that circulates is initially separated into two parts, which are then heated in the compression phase of the water pump's compressor and heat plate exchange device accordingly. At last, the two warmed sections come together and feed the additional system with liquid. The main network's feed liquid simultaneously enters the compressor water pump's evaporation and plate-type heat exchange device, where it is gradually chilled. In this manner, there are large temperature differences among the input and output water, and the main network's returned temperatures are gradually lowered</w:t>
      </w:r>
      <w:r w:rsidR="00C511EC">
        <w:t xml:space="preserve"> [21-23]</w:t>
      </w:r>
      <w:r w:rsidRPr="00EA577F">
        <w:t>.</w:t>
      </w:r>
    </w:p>
    <w:p w14:paraId="6927B947" w14:textId="38EE9DB1" w:rsidR="00A94F48" w:rsidRDefault="00A94F48" w:rsidP="008B18D5">
      <w:pPr>
        <w:pStyle w:val="Heading1"/>
      </w:pPr>
      <w:r w:rsidRPr="00A94F48">
        <w:t>Result and discussions</w:t>
      </w:r>
    </w:p>
    <w:p w14:paraId="2C8B7C17" w14:textId="645352AC" w:rsidR="00A94F48" w:rsidRDefault="00A94F48" w:rsidP="008B18D5">
      <w:pPr>
        <w:pStyle w:val="Heading2"/>
      </w:pPr>
      <w:r>
        <w:t>Thermodynamic performance</w:t>
      </w:r>
    </w:p>
    <w:p w14:paraId="6DBE90F3" w14:textId="097D603B" w:rsidR="00BC33A0" w:rsidRDefault="00701198" w:rsidP="008B18D5">
      <w:pPr>
        <w:pStyle w:val="Paragraph"/>
      </w:pPr>
      <w:r w:rsidRPr="00701198">
        <w:t xml:space="preserve">Length mains in main networks frequently result in greater usage of electricity from rotating pumping of water, which affects the yearly energy use of natural gas and the annual output energy productivity for contemporary cold-temperature sustainability warmth equipment. Figure </w:t>
      </w:r>
      <w:r w:rsidR="00660C64">
        <w:t>1</w:t>
      </w:r>
      <w:r w:rsidRPr="00701198">
        <w:t xml:space="preserve"> shows the associations for each of those four concepts based on the yearly consumption of fossil fuels and the predominant line length of its main networks. Figure </w:t>
      </w:r>
      <w:r w:rsidR="00660C64">
        <w:t xml:space="preserve">1 </w:t>
      </w:r>
      <w:r w:rsidRPr="00701198">
        <w:t>shows that the overall AEEFF across the six designs decreases as the original network's main wire length increases</w:t>
      </w:r>
      <w:r w:rsidR="00C511EC">
        <w:t xml:space="preserve"> [24-28]</w:t>
      </w:r>
      <w:r w:rsidRPr="00701198">
        <w:t>. Among the six frauds, system A has the least amount of influence from the principal network's principal line duration on AEEFF. This is due to the simple reason that, particularly for small overall lengths of the main networks, as the anticipated return temperatures in the entire system get lower, the energy usage of compressed air heaters that operate the bringing substations increases more than the influence usage of the water-circulation moves in the main connection decreases. Scheme D &gt; Strategy C &gt; Strategy B &gt; Scheme A constitutes the AEEFF rating of the four systems, provided the principal line that constitutes the primary connection is less than 2.8 km</w:t>
      </w:r>
      <w:r w:rsidR="00260B70">
        <w:t xml:space="preserve"> [7</w:t>
      </w:r>
      <w:r w:rsidR="00BF6D66">
        <w:t>, 29-33</w:t>
      </w:r>
      <w:r w:rsidR="00260B70">
        <w:t>]</w:t>
      </w:r>
      <w:r w:rsidRPr="00701198">
        <w:t>. Scheme C has the highest yearly reduction in the use of fossil fuels of all of the systems when the core network's principal height falls between 2.9 and 35.0 km. In the case when the major network's principal length exceeds 34.0 km but falls below 45.0 km, plan B's AEEFF is the largest of the four. In the new low-temperature unsustainable heat pump system as a whole, the fundamentals that constitute the main wiring and the layout's back temperature have an ideal matching connection, according to AEEFF. Regarding the initial network, as the main line length increases, the ideal operational temperature for exchange water decreases</w:t>
      </w:r>
      <w:r w:rsidR="00460F58">
        <w:t xml:space="preserve"> [8</w:t>
      </w:r>
      <w:r w:rsidR="00BF6D66">
        <w:t>, 34-39</w:t>
      </w:r>
      <w:r w:rsidR="00460F58">
        <w:t>]</w:t>
      </w:r>
      <w:r w:rsidRPr="00701198">
        <w:t xml:space="preserve">. Figure </w:t>
      </w:r>
      <w:r w:rsidR="00660C64">
        <w:t>1</w:t>
      </w:r>
      <w:r w:rsidRPr="00701198">
        <w:t xml:space="preserve"> shows the correlations for each of the four strategies relating to the yearly product effectiveness of exercise on the principal line measurement for the most important network. Figure </w:t>
      </w:r>
      <w:r w:rsidR="00660C64">
        <w:t>1</w:t>
      </w:r>
      <w:r w:rsidRPr="00701198">
        <w:t xml:space="preserve"> shows that for all four systems, APEE decreases as the initial network's main connection lengthens</w:t>
      </w:r>
      <w:r w:rsidR="00460F58">
        <w:t xml:space="preserve"> [9]</w:t>
      </w:r>
      <w:r w:rsidRPr="00701198">
        <w:t>. Additionally, APEE's response to the most recent cold conditions sustainability essential air conditioning system is improved by reducing the major network's planned return point. The rationale is that a main link with low planned return heat may more effectively use thermal power at low temperatures, which lowers fossil fuel usage</w:t>
      </w:r>
      <w:r w:rsidR="00460F58">
        <w:t xml:space="preserve"> [</w:t>
      </w:r>
      <w:r w:rsidR="00BF6D66">
        <w:t>40-45</w:t>
      </w:r>
      <w:r w:rsidR="00460F58">
        <w:t>]</w:t>
      </w:r>
      <w:r w:rsidRPr="00701198">
        <w:t>. Furthermore, in terms of energy type matchmaking, extremely cold volcanic water is a better option for heating rooms than natural gas. According to APEE, plan A is ranked higher than scheme B, and plan C is ranked higher than plan D for a novel cold-climate-friendly heating infrastructure</w:t>
      </w:r>
      <w:r w:rsidR="00260B70">
        <w:t xml:space="preserve"> [</w:t>
      </w:r>
      <w:r w:rsidR="00460F58">
        <w:t>11</w:t>
      </w:r>
      <w:r w:rsidR="00260B70">
        <w:t>]</w:t>
      </w:r>
      <w:r w:rsidRPr="00701198">
        <w:t>.</w:t>
      </w:r>
    </w:p>
    <w:p w14:paraId="76A28A6F" w14:textId="2E401A8D" w:rsidR="00BC33A0" w:rsidRDefault="008B18D5" w:rsidP="00BC33A0">
      <w:pPr>
        <w:spacing w:line="360" w:lineRule="auto"/>
        <w:jc w:val="center"/>
      </w:pPr>
      <w:r>
        <w:rPr>
          <w:noProof/>
        </w:rPr>
        <w:object w:dxaOrig="7957" w:dyaOrig="5612" w14:anchorId="5010F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6.8pt;height:181.2pt;mso-width-percent:0;mso-height-percent:0;mso-width-percent:0;mso-height-percent:0" o:ole="">
            <v:imagedata r:id="rId6" o:title=""/>
          </v:shape>
          <o:OLEObject Type="Embed" ProgID="Origin50.Graph" ShapeID="_x0000_i1025" DrawAspect="Content" ObjectID="_1819373466" r:id="rId7"/>
        </w:object>
      </w:r>
    </w:p>
    <w:p w14:paraId="3AB13877" w14:textId="4941593F" w:rsidR="00594470" w:rsidRPr="00594470" w:rsidRDefault="00594470" w:rsidP="008B18D5">
      <w:pPr>
        <w:pStyle w:val="FigureCaption"/>
        <w:rPr>
          <w:lang w:eastAsia="en-IN"/>
        </w:rPr>
      </w:pPr>
      <w:r w:rsidRPr="00594470">
        <w:rPr>
          <w:b/>
          <w:bCs/>
        </w:rPr>
        <w:t xml:space="preserve">Figure </w:t>
      </w:r>
      <w:r>
        <w:rPr>
          <w:b/>
          <w:bCs/>
        </w:rPr>
        <w:t>1</w:t>
      </w:r>
      <w:r w:rsidRPr="00594470">
        <w:t xml:space="preserve">. </w:t>
      </w:r>
      <w:r w:rsidRPr="00594470">
        <w:rPr>
          <w:lang w:eastAsia="en-IN"/>
        </w:rPr>
        <w:t>Expenditure phase of recovery variance charts for the four plans</w:t>
      </w:r>
    </w:p>
    <w:p w14:paraId="5C50BEA7" w14:textId="20CD1C5E" w:rsidR="00A94F48" w:rsidRPr="00A94F48" w:rsidRDefault="00A94F48" w:rsidP="008B18D5">
      <w:pPr>
        <w:pStyle w:val="Heading2"/>
      </w:pPr>
      <w:r w:rsidRPr="00A94F48">
        <w:t xml:space="preserve">Economic benefit </w:t>
      </w:r>
    </w:p>
    <w:p w14:paraId="70BB949B" w14:textId="296219FB" w:rsidR="00BC33A0" w:rsidRDefault="00701198" w:rsidP="008B18D5">
      <w:pPr>
        <w:pStyle w:val="Paragraph"/>
      </w:pPr>
      <w:r w:rsidRPr="00701198">
        <w:t>Equipment costs, building costs, instalment costs, and other costs are often divided into the initial outlay of the investment</w:t>
      </w:r>
      <w:r w:rsidR="00460F58">
        <w:t xml:space="preserve"> [12]</w:t>
      </w:r>
      <w:r w:rsidRPr="00701198">
        <w:t>. The purchase price of the supplies is calculated using the going rate for that particular piece of machinery on the Chinese market, and the remaining costs are calculated in accordance with the present investment estimating guidelines for infrastructure projects in Russia</w:t>
      </w:r>
      <w:r w:rsidR="00460F58">
        <w:t xml:space="preserve"> [13</w:t>
      </w:r>
      <w:r w:rsidR="00BF6D66">
        <w:t>, 46</w:t>
      </w:r>
      <w:r w:rsidR="00460F58">
        <w:t>]</w:t>
      </w:r>
      <w:r w:rsidRPr="00701198">
        <w:t>. The authorities would give subsidies for green boilers based on 50% of the original capital expenditure for each of all four programmes. In addition, the price of building the new chilly ecological central warmth system rises as the main network's designed return becomes higher. In most cases, heating systems' financial effect is evaluated using the investment's payback time. Cooling costs for the latest low-temperature, ecologically centralised boiler may be separated into non-energy and energy expenses</w:t>
      </w:r>
      <w:r w:rsidR="00460F58">
        <w:t xml:space="preserve"> [14]</w:t>
      </w:r>
      <w:r w:rsidRPr="00701198">
        <w:t xml:space="preserve">. The expense for power includes the cost of propane, power, and the tax associated with geothermal assets. Figure </w:t>
      </w:r>
      <w:r w:rsidR="00660C64">
        <w:t>2</w:t>
      </w:r>
      <w:r w:rsidRPr="00701198">
        <w:t xml:space="preserve"> shows that plan C has the lowest expenditure time for recovery out of the four plans since the principal line length that constitutes its primary system falls between 1.0 km and 35.3 km</w:t>
      </w:r>
      <w:r w:rsidR="00260B70">
        <w:t xml:space="preserve"> [</w:t>
      </w:r>
      <w:r w:rsidR="00460F58">
        <w:t>15</w:t>
      </w:r>
      <w:r w:rsidR="00BF6D66">
        <w:t>, 47</w:t>
      </w:r>
      <w:r w:rsidR="00260B70">
        <w:t>]</w:t>
      </w:r>
      <w:r w:rsidRPr="00701198">
        <w:t>.</w:t>
      </w:r>
      <w:r w:rsidR="00A94F48" w:rsidRPr="00A94F48">
        <w:t xml:space="preserve"> </w:t>
      </w:r>
    </w:p>
    <w:p w14:paraId="397F2737" w14:textId="6867003A" w:rsidR="00BC33A0" w:rsidRDefault="008B18D5" w:rsidP="008B18D5">
      <w:pPr>
        <w:pStyle w:val="Figure"/>
      </w:pPr>
      <w:r>
        <w:rPr>
          <w:noProof/>
        </w:rPr>
        <w:object w:dxaOrig="7957" w:dyaOrig="5612" w14:anchorId="56972E76">
          <v:shape id="_x0000_i1026" type="#_x0000_t75" alt="" style="width:264.6pt;height:186.6pt;mso-width-percent:0;mso-height-percent:0;mso-width-percent:0;mso-height-percent:0" o:ole="">
            <v:imagedata r:id="rId8" o:title=""/>
          </v:shape>
          <o:OLEObject Type="Embed" ProgID="Origin50.Graph" ShapeID="_x0000_i1026" DrawAspect="Content" ObjectID="_1819373467" r:id="rId9"/>
        </w:object>
      </w:r>
    </w:p>
    <w:p w14:paraId="7570BF83" w14:textId="31F1577D" w:rsidR="00BC33A0" w:rsidRPr="00594470" w:rsidRDefault="00BC33A0" w:rsidP="008B18D5">
      <w:pPr>
        <w:pStyle w:val="FigureCaption"/>
        <w:rPr>
          <w:lang w:eastAsia="en-IN"/>
        </w:rPr>
      </w:pPr>
      <w:r w:rsidRPr="00594470">
        <w:rPr>
          <w:b/>
          <w:bCs/>
        </w:rPr>
        <w:t>Figure 2</w:t>
      </w:r>
      <w:r w:rsidRPr="00594470">
        <w:t xml:space="preserve">. </w:t>
      </w:r>
      <w:r w:rsidR="00594470" w:rsidRPr="00594470">
        <w:rPr>
          <w:lang w:eastAsia="en-IN"/>
        </w:rPr>
        <w:t>Utilisation of energy patterns for each of the four systems</w:t>
      </w:r>
    </w:p>
    <w:p w14:paraId="64A7253D" w14:textId="6806CC48" w:rsidR="00A94F48" w:rsidRPr="00A94F48" w:rsidRDefault="00A94F48" w:rsidP="008B18D5">
      <w:pPr>
        <w:pStyle w:val="Heading1"/>
      </w:pPr>
      <w:r w:rsidRPr="00A94F48">
        <w:t>Conclusion</w:t>
      </w:r>
    </w:p>
    <w:p w14:paraId="7BC42276" w14:textId="0DCD7517" w:rsidR="00A94F48" w:rsidRDefault="00701198" w:rsidP="008B18D5">
      <w:pPr>
        <w:pStyle w:val="Paragraph"/>
      </w:pPr>
      <w:r w:rsidRPr="00701198">
        <w:t xml:space="preserve">The system's optimal return cost as well as the core network's affordable primary line lengths are compared, and a novel temperature-sustainability centralised heat pump is examined from the viewpoints of economy and physics. Significant results are outlined below. By utilising enlargement air conditioners in the power electrical intake </w:t>
      </w:r>
      <w:r w:rsidRPr="00701198">
        <w:lastRenderedPageBreak/>
        <w:t xml:space="preserve">warmth pump in the most recent versatile relay power location, the new environmentally viable central heat pump is capable of reaching the intended exchange temperature of the elementary network at 14 °C. The gas-fired water/lithium chloride single-effect absorbing heat pumps in the most recent multipurpose relay power location, which is close to an urban core, may reduce the reclaimed temperatures for the main system by approximately </w:t>
      </w:r>
      <w:r w:rsidR="00830116">
        <w:t>7</w:t>
      </w:r>
      <w:r w:rsidRPr="00701198">
        <w:t xml:space="preserve"> °C while simultaneously handling a peak load of around 14%. With the most recent cold-climate ecological heating structure</w:t>
      </w:r>
      <w:r w:rsidR="00BC33A0">
        <w:t>.</w:t>
      </w:r>
    </w:p>
    <w:p w14:paraId="4A431F6F" w14:textId="44F9DA77" w:rsidR="00BC33A0" w:rsidRPr="00BC33A0" w:rsidRDefault="00BC33A0" w:rsidP="008B18D5">
      <w:pPr>
        <w:pStyle w:val="Heading1"/>
      </w:pPr>
      <w:r w:rsidRPr="00BC33A0">
        <w:t>References</w:t>
      </w:r>
    </w:p>
    <w:p w14:paraId="0CA85EA3" w14:textId="77777777" w:rsidR="00260B70" w:rsidRPr="00460F58" w:rsidRDefault="00260B70" w:rsidP="008B18D5">
      <w:pPr>
        <w:pStyle w:val="Reference"/>
        <w:rPr>
          <w:shd w:val="clear" w:color="auto" w:fill="FFFFFF"/>
        </w:rPr>
      </w:pPr>
      <w:r w:rsidRPr="00460F58">
        <w:rPr>
          <w:shd w:val="clear" w:color="auto" w:fill="FFFFFF"/>
        </w:rPr>
        <w:t>Di Somma, Marialaura, and Giorgio Graditi. "Challenges and opportunities of the energy transition and the added value of energy systems integration." </w:t>
      </w:r>
      <w:r w:rsidRPr="00460F58">
        <w:rPr>
          <w:i/>
          <w:iCs/>
          <w:shd w:val="clear" w:color="auto" w:fill="FFFFFF"/>
        </w:rPr>
        <w:t>Technologies for integrated energy systems and networks</w:t>
      </w:r>
      <w:r w:rsidRPr="00460F58">
        <w:rPr>
          <w:shd w:val="clear" w:color="auto" w:fill="FFFFFF"/>
        </w:rPr>
        <w:t> (2022): 1-14.</w:t>
      </w:r>
    </w:p>
    <w:p w14:paraId="32435A2C" w14:textId="77777777" w:rsidR="00260B70" w:rsidRPr="00460F58" w:rsidRDefault="00260B70" w:rsidP="008B18D5">
      <w:pPr>
        <w:pStyle w:val="Reference"/>
        <w:rPr>
          <w:shd w:val="clear" w:color="auto" w:fill="FFFFFF"/>
        </w:rPr>
      </w:pPr>
      <w:r w:rsidRPr="00460F58">
        <w:rPr>
          <w:shd w:val="clear" w:color="auto" w:fill="FFFFFF"/>
        </w:rPr>
        <w:t>Zheng, Zhuang, Muhammad Shafique, Xiaowei Luo, and Shengwei Wang. "A systematic review towards integrative energy management of smart grids and urban energy systems." </w:t>
      </w:r>
      <w:r w:rsidRPr="00460F58">
        <w:rPr>
          <w:i/>
          <w:iCs/>
          <w:shd w:val="clear" w:color="auto" w:fill="FFFFFF"/>
        </w:rPr>
        <w:t>Renewable and Sustainable Energy Reviews</w:t>
      </w:r>
      <w:r w:rsidRPr="00460F58">
        <w:rPr>
          <w:shd w:val="clear" w:color="auto" w:fill="FFFFFF"/>
        </w:rPr>
        <w:t> 189 (2024): 114023.</w:t>
      </w:r>
    </w:p>
    <w:p w14:paraId="4291CBF8" w14:textId="77777777" w:rsidR="00460F58" w:rsidRPr="00460F58" w:rsidRDefault="00460F58" w:rsidP="008B18D5">
      <w:pPr>
        <w:pStyle w:val="Reference"/>
      </w:pPr>
      <w:bookmarkStart w:id="1" w:name="_Hlk199498393"/>
      <w:r w:rsidRPr="00460F58">
        <w:t xml:space="preserve">Meshram </w:t>
      </w:r>
      <w:r w:rsidRPr="00460F58">
        <w:rPr>
          <w:shd w:val="clear" w:color="auto" w:fill="FFFFFF"/>
        </w:rPr>
        <w:t xml:space="preserve">et al., </w:t>
      </w:r>
      <w:r w:rsidRPr="00460F58">
        <w:t xml:space="preserve">(2024). Investigation of Mechanical and Thermal Properties of Bamboo Fiber Reinforced with Epoxidized Soybean Oil for Automotive Seat Bases (No. 2024-01-5009). SAE Technical Paper. </w:t>
      </w:r>
      <w:hyperlink r:id="rId10" w:history="1">
        <w:r w:rsidRPr="00460F58">
          <w:rPr>
            <w:rStyle w:val="Hyperlink"/>
            <w:color w:val="auto"/>
            <w:szCs w:val="24"/>
            <w:u w:val="none"/>
          </w:rPr>
          <w:t>https://doi.org/10.4271/2024-01-5009</w:t>
        </w:r>
      </w:hyperlink>
    </w:p>
    <w:bookmarkEnd w:id="1"/>
    <w:p w14:paraId="5CE72459" w14:textId="77777777" w:rsidR="00260B70" w:rsidRPr="00460F58" w:rsidRDefault="00260B70" w:rsidP="008B18D5">
      <w:pPr>
        <w:pStyle w:val="Reference"/>
        <w:rPr>
          <w:shd w:val="clear" w:color="auto" w:fill="FFFFFF"/>
        </w:rPr>
      </w:pPr>
      <w:r w:rsidRPr="00460F58">
        <w:rPr>
          <w:shd w:val="clear" w:color="auto" w:fill="FFFFFF"/>
        </w:rPr>
        <w:t>Aziz, Saddam, Ijaz Ahmed, Khalid Khan, and Muhammad Khalid. "Emerging trends and approaches for designing net-zero low-carbon integrated energy networks: A review of current practices." </w:t>
      </w:r>
      <w:r w:rsidRPr="00460F58">
        <w:rPr>
          <w:i/>
          <w:iCs/>
          <w:shd w:val="clear" w:color="auto" w:fill="FFFFFF"/>
        </w:rPr>
        <w:t>Arabian Journal for Science and Engineering</w:t>
      </w:r>
      <w:r w:rsidRPr="00460F58">
        <w:rPr>
          <w:shd w:val="clear" w:color="auto" w:fill="FFFFFF"/>
        </w:rPr>
        <w:t> (2023): 1-23.</w:t>
      </w:r>
    </w:p>
    <w:p w14:paraId="2A6A466C" w14:textId="77777777" w:rsidR="00260B70" w:rsidRPr="00460F58" w:rsidRDefault="00260B70" w:rsidP="008B18D5">
      <w:pPr>
        <w:pStyle w:val="Reference"/>
        <w:rPr>
          <w:shd w:val="clear" w:color="auto" w:fill="FFFFFF"/>
        </w:rPr>
      </w:pPr>
      <w:r w:rsidRPr="00460F58">
        <w:rPr>
          <w:shd w:val="clear" w:color="auto" w:fill="FFFFFF"/>
        </w:rPr>
        <w:t>Alabugina, R. A., P. Lyu, and W. Zhen. "Modeling of the Processes of Objects in the Conditions of a Multi-Purpose Energy Technology Complex." In </w:t>
      </w:r>
      <w:r w:rsidRPr="00460F58">
        <w:rPr>
          <w:i/>
          <w:iCs/>
          <w:shd w:val="clear" w:color="auto" w:fill="FFFFFF"/>
        </w:rPr>
        <w:t>2020 International Multi-Conference on Industrial Engineering and Modern Technologies (FarEastCon)</w:t>
      </w:r>
      <w:r w:rsidRPr="00460F58">
        <w:rPr>
          <w:shd w:val="clear" w:color="auto" w:fill="FFFFFF"/>
        </w:rPr>
        <w:t>, pp. 1-4. IEEE, 2020.</w:t>
      </w:r>
    </w:p>
    <w:p w14:paraId="36DF25E0" w14:textId="77777777" w:rsidR="00460F58" w:rsidRPr="00460F58" w:rsidRDefault="00460F58" w:rsidP="008B18D5">
      <w:pPr>
        <w:pStyle w:val="Reference"/>
      </w:pPr>
      <w:bookmarkStart w:id="2" w:name="_Hlk199498406"/>
      <w:r w:rsidRPr="00460F58">
        <w:rPr>
          <w:shd w:val="clear" w:color="auto" w:fill="FFFFFF"/>
        </w:rPr>
        <w:t>Kaushal et al., (2024). Fault prediction and awareness for power distribution in grid connected res using hybrid machine learning.</w:t>
      </w:r>
      <w:r w:rsidRPr="00460F58">
        <w:rPr>
          <w:rStyle w:val="apple-converted-space"/>
          <w:shd w:val="clear" w:color="auto" w:fill="FFFFFF"/>
        </w:rPr>
        <w:t> </w:t>
      </w:r>
      <w:r w:rsidRPr="00460F58">
        <w:rPr>
          <w:i/>
          <w:iCs/>
        </w:rPr>
        <w:t>Electric Power Components and Systems</w:t>
      </w:r>
      <w:r w:rsidRPr="00460F58">
        <w:rPr>
          <w:shd w:val="clear" w:color="auto" w:fill="FFFFFF"/>
        </w:rPr>
        <w:t xml:space="preserve">, 1-22. </w:t>
      </w:r>
      <w:hyperlink r:id="rId11" w:history="1">
        <w:r w:rsidRPr="00460F58">
          <w:rPr>
            <w:rStyle w:val="Hyperlink"/>
            <w:color w:val="auto"/>
            <w:u w:val="none"/>
          </w:rPr>
          <w:t>https://doi.org/10.1080/15325008.2024.2337217</w:t>
        </w:r>
      </w:hyperlink>
    </w:p>
    <w:bookmarkEnd w:id="2"/>
    <w:p w14:paraId="4A1C59C7" w14:textId="77777777" w:rsidR="00260B70" w:rsidRPr="00460F58" w:rsidRDefault="00260B70" w:rsidP="008B18D5">
      <w:pPr>
        <w:pStyle w:val="Reference"/>
        <w:rPr>
          <w:shd w:val="clear" w:color="auto" w:fill="FFFFFF"/>
        </w:rPr>
      </w:pPr>
      <w:r w:rsidRPr="00460F58">
        <w:rPr>
          <w:shd w:val="clear" w:color="auto" w:fill="FFFFFF"/>
        </w:rPr>
        <w:t>Mohanty, Satyajit, Ankit Bhanja, Shivam Prakash Gautam, Dhanamjayulu Chittathuru, Santanu Kumar Dash, Mrutyunjaya Mangaraj, Ravikumar Chinthaginjala, and Abdullah M. Alamri. "Review of a Comprehensive Analysis of Planning, Functionality, Control, and Protection for Direct Current Microgrids." </w:t>
      </w:r>
      <w:r w:rsidRPr="00460F58">
        <w:rPr>
          <w:i/>
          <w:iCs/>
          <w:shd w:val="clear" w:color="auto" w:fill="FFFFFF"/>
        </w:rPr>
        <w:t>Sustainability</w:t>
      </w:r>
      <w:r w:rsidRPr="00460F58">
        <w:rPr>
          <w:shd w:val="clear" w:color="auto" w:fill="FFFFFF"/>
        </w:rPr>
        <w:t> 15, no. 21 (2023): 15405.</w:t>
      </w:r>
    </w:p>
    <w:p w14:paraId="3CACF824" w14:textId="77777777" w:rsidR="00260B70" w:rsidRPr="00460F58" w:rsidRDefault="00260B70" w:rsidP="008B18D5">
      <w:pPr>
        <w:pStyle w:val="Reference"/>
        <w:rPr>
          <w:shd w:val="clear" w:color="auto" w:fill="FFFFFF"/>
        </w:rPr>
      </w:pPr>
      <w:r w:rsidRPr="00460F58">
        <w:rPr>
          <w:shd w:val="clear" w:color="auto" w:fill="FFFFFF"/>
        </w:rPr>
        <w:t>Salam, Izhar Us, Muhammad Yousif, Muhammad Numan, and Moatasim Billah. "Addressing the Challenge of Climate Change: The Role of Microgrids in Fostering a Sustainable Future-A Comprehensive Review." </w:t>
      </w:r>
      <w:r w:rsidRPr="00460F58">
        <w:rPr>
          <w:i/>
          <w:iCs/>
          <w:shd w:val="clear" w:color="auto" w:fill="FFFFFF"/>
        </w:rPr>
        <w:t>Renewable Energy Focus</w:t>
      </w:r>
      <w:r w:rsidRPr="00460F58">
        <w:rPr>
          <w:shd w:val="clear" w:color="auto" w:fill="FFFFFF"/>
        </w:rPr>
        <w:t> (2024): 100538.</w:t>
      </w:r>
    </w:p>
    <w:p w14:paraId="286FFC35" w14:textId="77777777" w:rsidR="00460F58" w:rsidRPr="00460F58" w:rsidRDefault="00460F58" w:rsidP="008B18D5">
      <w:pPr>
        <w:pStyle w:val="Reference"/>
        <w:rPr>
          <w:lang w:eastAsia="en-GB"/>
        </w:rPr>
      </w:pPr>
      <w:bookmarkStart w:id="3" w:name="_Hlk199498426"/>
      <w:r w:rsidRPr="00460F58">
        <w:rPr>
          <w:shd w:val="clear" w:color="auto" w:fill="FFFFFF"/>
        </w:rPr>
        <w:t>Anita et al., (2024). Energy Trading and Optimum Scheduling for Microgrids Using Multiple Agents Based DL Approach.</w:t>
      </w:r>
      <w:r w:rsidRPr="00460F58">
        <w:rPr>
          <w:rStyle w:val="apple-converted-space"/>
          <w:szCs w:val="24"/>
          <w:shd w:val="clear" w:color="auto" w:fill="FFFFFF"/>
        </w:rPr>
        <w:t> </w:t>
      </w:r>
      <w:r w:rsidRPr="00460F58">
        <w:rPr>
          <w:i/>
          <w:iCs/>
        </w:rPr>
        <w:t>Electric Power Components and Systems</w:t>
      </w:r>
      <w:r w:rsidRPr="00460F58">
        <w:rPr>
          <w:shd w:val="clear" w:color="auto" w:fill="FFFFFF"/>
        </w:rPr>
        <w:t>, 1-19.</w:t>
      </w:r>
      <w:r w:rsidRPr="00460F58">
        <w:rPr>
          <w:rStyle w:val="apple-converted-space"/>
          <w:szCs w:val="24"/>
        </w:rPr>
        <w:t xml:space="preserve"> </w:t>
      </w:r>
      <w:r w:rsidRPr="00460F58">
        <w:rPr>
          <w:lang w:eastAsia="en-GB"/>
        </w:rPr>
        <w:t> </w:t>
      </w:r>
      <w:hyperlink r:id="rId12" w:history="1">
        <w:r w:rsidRPr="00460F58">
          <w:rPr>
            <w:lang w:eastAsia="en-GB"/>
          </w:rPr>
          <w:t>https://doi.org/10.1080/15325008.2023.2300329</w:t>
        </w:r>
      </w:hyperlink>
    </w:p>
    <w:bookmarkEnd w:id="3"/>
    <w:p w14:paraId="52B8568B" w14:textId="77777777" w:rsidR="00260B70" w:rsidRPr="00460F58" w:rsidRDefault="00260B70" w:rsidP="008B18D5">
      <w:pPr>
        <w:pStyle w:val="Reference"/>
        <w:rPr>
          <w:shd w:val="clear" w:color="auto" w:fill="FFFFFF"/>
        </w:rPr>
      </w:pPr>
      <w:r w:rsidRPr="00460F58">
        <w:rPr>
          <w:shd w:val="clear" w:color="auto" w:fill="FFFFFF"/>
        </w:rPr>
        <w:t xml:space="preserve">Baruah, Arpita Nath, </w:t>
      </w:r>
      <w:proofErr w:type="spellStart"/>
      <w:r w:rsidRPr="00460F58">
        <w:rPr>
          <w:shd w:val="clear" w:color="auto" w:fill="FFFFFF"/>
        </w:rPr>
        <w:t>Malatesh</w:t>
      </w:r>
      <w:proofErr w:type="spellEnd"/>
      <w:r w:rsidRPr="00460F58">
        <w:rPr>
          <w:shd w:val="clear" w:color="auto" w:fill="FFFFFF"/>
        </w:rPr>
        <w:t xml:space="preserve"> S. Akkur, Jyoti Seth, and Jaymeel Shah. "Integrating Sensor Networks to Facilitate Efficient Energy Management for Smart Grids." (2024).</w:t>
      </w:r>
    </w:p>
    <w:p w14:paraId="04DCE7B2" w14:textId="77777777" w:rsidR="00260B70" w:rsidRPr="00460F58" w:rsidRDefault="00260B70" w:rsidP="008B18D5">
      <w:pPr>
        <w:pStyle w:val="Reference"/>
        <w:rPr>
          <w:shd w:val="clear" w:color="auto" w:fill="FFFFFF"/>
        </w:rPr>
      </w:pPr>
      <w:r w:rsidRPr="00460F58">
        <w:rPr>
          <w:shd w:val="clear" w:color="auto" w:fill="FFFFFF"/>
        </w:rPr>
        <w:t>Ahmad, Tanveer, Hongyu Zhu, Dongdong Zhang, Rasikh Tariq, A. Bassam, Fasee Ullah, Ahmed S. AlGhamdi, and Sultan S. Alshamrani. "Energetics Systems and artificial intelligence: Applications of industry 4.0." </w:t>
      </w:r>
      <w:r w:rsidRPr="00460F58">
        <w:rPr>
          <w:i/>
          <w:iCs/>
          <w:shd w:val="clear" w:color="auto" w:fill="FFFFFF"/>
        </w:rPr>
        <w:t>Energy Reports</w:t>
      </w:r>
      <w:r w:rsidRPr="00460F58">
        <w:rPr>
          <w:shd w:val="clear" w:color="auto" w:fill="FFFFFF"/>
        </w:rPr>
        <w:t> 8 (2022): 334-361.</w:t>
      </w:r>
    </w:p>
    <w:p w14:paraId="7D8CE1FE" w14:textId="58C0E4AA" w:rsidR="00460F58" w:rsidRPr="00360F9D" w:rsidRDefault="00460F58" w:rsidP="008B18D5">
      <w:pPr>
        <w:pStyle w:val="Reference"/>
        <w:rPr>
          <w:shd w:val="clear" w:color="auto" w:fill="FFFFFF"/>
        </w:rPr>
      </w:pPr>
      <w:bookmarkStart w:id="4" w:name="_Hlk199498442"/>
      <w:bookmarkStart w:id="5" w:name="_Hlk199498472"/>
      <w:r w:rsidRPr="00460F58">
        <w:rPr>
          <w:shd w:val="clear" w:color="auto" w:fill="FFFFFF"/>
        </w:rPr>
        <w:t>Muda et al., (2024). Innovative Blockchain Protocol for Enhancing Transaction Security and Integrity in Decentralized Financial Ecosystems. In</w:t>
      </w:r>
      <w:r w:rsidRPr="00360F9D">
        <w:t> </w:t>
      </w:r>
      <w:r w:rsidRPr="00360F9D">
        <w:rPr>
          <w:shd w:val="clear" w:color="auto" w:fill="FFFFFF"/>
        </w:rPr>
        <w:t>2024 International Conference on Data Science and Network Security (ICDSNS</w:t>
      </w:r>
      <w:proofErr w:type="gramStart"/>
      <w:r w:rsidRPr="00360F9D">
        <w:rPr>
          <w:shd w:val="clear" w:color="auto" w:fill="FFFFFF"/>
        </w:rPr>
        <w:t>)</w:t>
      </w:r>
      <w:r w:rsidRPr="00460F58">
        <w:rPr>
          <w:shd w:val="clear" w:color="auto" w:fill="FFFFFF"/>
        </w:rPr>
        <w:t>(</w:t>
      </w:r>
      <w:proofErr w:type="gramEnd"/>
      <w:r w:rsidRPr="00460F58">
        <w:rPr>
          <w:shd w:val="clear" w:color="auto" w:fill="FFFFFF"/>
        </w:rPr>
        <w:t xml:space="preserve">pp. 1-6). IEEE. </w:t>
      </w:r>
      <w:bookmarkEnd w:id="4"/>
      <w:r w:rsidR="005F1834" w:rsidRPr="00360F9D">
        <w:rPr>
          <w:b/>
          <w:bCs/>
          <w:shd w:val="clear" w:color="auto" w:fill="FFFFFF"/>
        </w:rPr>
        <w:t xml:space="preserve"> </w:t>
      </w:r>
    </w:p>
    <w:bookmarkEnd w:id="5"/>
    <w:p w14:paraId="4109A7DB" w14:textId="77777777" w:rsidR="00360F9D" w:rsidRPr="00360F9D" w:rsidRDefault="00360F9D" w:rsidP="008B18D5">
      <w:pPr>
        <w:pStyle w:val="Reference"/>
        <w:rPr>
          <w:shd w:val="clear" w:color="auto" w:fill="FFFFFF"/>
        </w:rPr>
      </w:pPr>
      <w:r w:rsidRPr="00360F9D">
        <w:rPr>
          <w:shd w:val="clear" w:color="auto" w:fill="FFFFFF"/>
        </w:rPr>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2A794DA2" w14:textId="77777777" w:rsidR="00360F9D" w:rsidRPr="00360F9D" w:rsidRDefault="00360F9D" w:rsidP="008B18D5">
      <w:pPr>
        <w:pStyle w:val="Reference"/>
        <w:rPr>
          <w:shd w:val="clear" w:color="auto" w:fill="FFFFFF"/>
        </w:rPr>
      </w:pPr>
      <w:r w:rsidRPr="00360F9D">
        <w:rPr>
          <w:shd w:val="clear" w:color="auto" w:fill="FFFFFF"/>
        </w:rPr>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59099D4B" w14:textId="77777777" w:rsidR="00360F9D" w:rsidRPr="00360F9D" w:rsidRDefault="00360F9D" w:rsidP="008B18D5">
      <w:pPr>
        <w:pStyle w:val="Reference"/>
        <w:rPr>
          <w:shd w:val="clear" w:color="auto" w:fill="FFFFFF"/>
        </w:rPr>
      </w:pPr>
      <w:proofErr w:type="spellStart"/>
      <w:r w:rsidRPr="00360F9D">
        <w:rPr>
          <w:shd w:val="clear" w:color="auto" w:fill="FFFFFF"/>
        </w:rPr>
        <w:t>Raskar</w:t>
      </w:r>
      <w:proofErr w:type="spellEnd"/>
      <w:r w:rsidRPr="00360F9D">
        <w:rPr>
          <w:shd w:val="clear" w:color="auto" w:fill="FFFFFF"/>
        </w:rPr>
        <w:t>, Sandeep, Gulshan Dhasmana, M. Lakshminarayana, and Harshal Patil. Enhancing Energy Efficiency in Wireless Sensor Networks using Deep Learning. In 2025 International Conference on Multi-Agent Systems for Collaborative Intelligence (ICMSCI), pp. 1515-1520. IEEE, 2025.</w:t>
      </w:r>
    </w:p>
    <w:p w14:paraId="60E41CF0" w14:textId="77777777" w:rsidR="00360F9D" w:rsidRPr="00360F9D" w:rsidRDefault="00360F9D" w:rsidP="008B18D5">
      <w:pPr>
        <w:pStyle w:val="Reference"/>
        <w:rPr>
          <w:shd w:val="clear" w:color="auto" w:fill="FFFFFF"/>
        </w:rPr>
      </w:pPr>
      <w:r w:rsidRPr="00360F9D">
        <w:rPr>
          <w:shd w:val="clear" w:color="auto" w:fill="FFFFFF"/>
        </w:rPr>
        <w:lastRenderedPageBreak/>
        <w:t xml:space="preserve">Natarajan, Gobu, et al. Influence of heat treated Manihot Esculenta </w:t>
      </w:r>
      <w:proofErr w:type="spellStart"/>
      <w:r w:rsidRPr="00360F9D">
        <w:rPr>
          <w:shd w:val="clear" w:color="auto" w:fill="FFFFFF"/>
        </w:rPr>
        <w:t>Biosilica</w:t>
      </w:r>
      <w:proofErr w:type="spellEnd"/>
      <w:r w:rsidRPr="00360F9D">
        <w:rPr>
          <w:shd w:val="clear" w:color="auto" w:fill="FFFFFF"/>
        </w:rPr>
        <w:t xml:space="preserve"> on friction stir welded AA 6065-Al2O3 metal matrix composite and microstructural, mechanical, and fatigue analysis. Materials Research 28 (2025): e20240473.</w:t>
      </w:r>
    </w:p>
    <w:p w14:paraId="2AFDCEC1" w14:textId="77777777" w:rsidR="00360F9D" w:rsidRPr="00360F9D" w:rsidRDefault="00360F9D" w:rsidP="008B18D5">
      <w:pPr>
        <w:pStyle w:val="Reference"/>
        <w:rPr>
          <w:shd w:val="clear" w:color="auto" w:fill="FFFFFF"/>
        </w:rPr>
      </w:pPr>
      <w:r w:rsidRPr="00360F9D">
        <w:rPr>
          <w:shd w:val="clear" w:color="auto" w:fill="FFFFFF"/>
        </w:rPr>
        <w:t xml:space="preserve">R. Venkatesh Fabrication and Functional Behavior Studies of Polypropylene Composite Containing Hybrid Reinforcements, SAE Int. J. Mater. Manf. 18(2), 2025, </w:t>
      </w:r>
      <w:hyperlink r:id="rId13" w:history="1">
        <w:r w:rsidRPr="00360F9D">
          <w:rPr>
            <w:shd w:val="clear" w:color="auto" w:fill="FFFFFF"/>
          </w:rPr>
          <w:t>https://doi.org/10.4271/05-18-02-0015</w:t>
        </w:r>
      </w:hyperlink>
      <w:r w:rsidRPr="00360F9D">
        <w:rPr>
          <w:shd w:val="clear" w:color="auto" w:fill="FFFFFF"/>
        </w:rPr>
        <w:t>.</w:t>
      </w:r>
    </w:p>
    <w:p w14:paraId="1A0B8AD1" w14:textId="77777777" w:rsidR="00360F9D" w:rsidRPr="00360F9D" w:rsidRDefault="00360F9D" w:rsidP="008B18D5">
      <w:pPr>
        <w:pStyle w:val="Reference"/>
        <w:rPr>
          <w:shd w:val="clear" w:color="auto" w:fill="FFFFFF"/>
        </w:rPr>
      </w:pPr>
      <w:r w:rsidRPr="00360F9D">
        <w:rPr>
          <w:shd w:val="clear" w:color="auto" w:fill="FFFFFF"/>
        </w:rPr>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64D3C9CF" w14:textId="77777777" w:rsidR="00360F9D" w:rsidRPr="00360F9D" w:rsidRDefault="00360F9D" w:rsidP="008B18D5">
      <w:pPr>
        <w:pStyle w:val="Reference"/>
        <w:rPr>
          <w:shd w:val="clear" w:color="auto" w:fill="FFFFFF"/>
        </w:rPr>
      </w:pPr>
      <w:r w:rsidRPr="00360F9D">
        <w:rPr>
          <w:shd w:val="clear" w:color="auto" w:fill="FFFFFF"/>
        </w:rPr>
        <w:t xml:space="preserve">Kaushal et </w:t>
      </w:r>
      <w:proofErr w:type="gramStart"/>
      <w:r w:rsidRPr="00360F9D">
        <w:rPr>
          <w:shd w:val="clear" w:color="auto" w:fill="FFFFFF"/>
        </w:rPr>
        <w:t>al,.</w:t>
      </w:r>
      <w:proofErr w:type="gramEnd"/>
      <w:r w:rsidRPr="00360F9D">
        <w:rPr>
          <w:shd w:val="clear" w:color="auto" w:fill="FFFFFF"/>
        </w:rPr>
        <w:t xml:space="preserve"> (2024). Navigating Independence: The Smart Walking Stick for the Visually Impaired. In 2024 5th International Conference on Mobile Computing and Sustainable Informatics (ICMCSI) (pp. 103-108). IEEE. https://doi.org/10.1109/ICMCSI61536.2024.00022 </w:t>
      </w:r>
    </w:p>
    <w:p w14:paraId="35FE36DB" w14:textId="77777777" w:rsidR="00360F9D" w:rsidRPr="00360F9D" w:rsidRDefault="00360F9D" w:rsidP="008B18D5">
      <w:pPr>
        <w:pStyle w:val="Reference"/>
        <w:rPr>
          <w:shd w:val="clear" w:color="auto" w:fill="FFFFFF"/>
        </w:rPr>
      </w:pPr>
      <w:r w:rsidRPr="00360F9D">
        <w:rPr>
          <w:shd w:val="clear" w:color="auto" w:fill="FFFFFF"/>
        </w:rPr>
        <w:t xml:space="preserve">Rajendran et al., (2024). Development of Intelligent Power Quality Management in Renewable Energy System in Smart Grid using Deep Learning. In 2024 International Conference on Inventive Computation Technologies (ICICT) (pp. 1178-1182). IEEE.  </w:t>
      </w:r>
      <w:hyperlink r:id="rId14" w:history="1">
        <w:r w:rsidRPr="00360F9D">
          <w:rPr>
            <w:shd w:val="clear" w:color="auto" w:fill="FFFFFF"/>
          </w:rPr>
          <w:t>https://doi.org/10.1109/ICICT60155.2024.10544835</w:t>
        </w:r>
      </w:hyperlink>
      <w:r w:rsidRPr="00360F9D">
        <w:rPr>
          <w:shd w:val="clear" w:color="auto" w:fill="FFFFFF"/>
        </w:rPr>
        <w:t xml:space="preserve"> </w:t>
      </w:r>
    </w:p>
    <w:p w14:paraId="748B4978" w14:textId="77777777" w:rsidR="00360F9D" w:rsidRPr="00360F9D" w:rsidRDefault="00360F9D" w:rsidP="008B18D5">
      <w:pPr>
        <w:pStyle w:val="Reference"/>
        <w:rPr>
          <w:shd w:val="clear" w:color="auto" w:fill="FFFFFF"/>
        </w:rPr>
      </w:pPr>
      <w:r w:rsidRPr="00360F9D">
        <w:rPr>
          <w:shd w:val="clear" w:color="auto" w:fill="FFFFFF"/>
        </w:rPr>
        <w:t xml:space="preserve">Parashar et al., (2024). Time series analysis and random forest techniques for prediction of sales for retail grocery. In 2024 IEEE International Conference on Computing, Power and Communication Technologies (IC2PCT) (Vol. 5, pp. 531-535). IEEE. </w:t>
      </w:r>
      <w:hyperlink r:id="rId15" w:history="1">
        <w:r w:rsidRPr="00360F9D">
          <w:rPr>
            <w:shd w:val="clear" w:color="auto" w:fill="FFFFFF"/>
          </w:rPr>
          <w:t>https://doi.org/10.1109/IC2PCT60090.2024.10486802</w:t>
        </w:r>
      </w:hyperlink>
      <w:r w:rsidRPr="00360F9D">
        <w:rPr>
          <w:shd w:val="clear" w:color="auto" w:fill="FFFFFF"/>
        </w:rPr>
        <w:t xml:space="preserve"> </w:t>
      </w:r>
    </w:p>
    <w:p w14:paraId="05AD010D" w14:textId="77777777" w:rsidR="00360F9D" w:rsidRPr="00360F9D" w:rsidRDefault="00360F9D" w:rsidP="008B18D5">
      <w:pPr>
        <w:pStyle w:val="Reference"/>
        <w:rPr>
          <w:shd w:val="clear" w:color="auto" w:fill="FFFFFF"/>
        </w:rPr>
      </w:pPr>
      <w:r w:rsidRPr="00360F9D">
        <w:rPr>
          <w:shd w:val="clear" w:color="auto" w:fill="FFFFFF"/>
        </w:rPr>
        <w:t>Kaliappan S et al.</w:t>
      </w:r>
      <w:proofErr w:type="gramStart"/>
      <w:r w:rsidRPr="00360F9D">
        <w:rPr>
          <w:shd w:val="clear" w:color="auto" w:fill="FFFFFF"/>
        </w:rPr>
        <w:t>,  (</w:t>
      </w:r>
      <w:proofErr w:type="gramEnd"/>
      <w:r w:rsidRPr="00360F9D">
        <w:rPr>
          <w:shd w:val="clear" w:color="auto" w:fill="FFFFFF"/>
        </w:rPr>
        <w:t>2024). Impact of Kenaf Fiber and Inorganic Nanofillers on Mechanical Properties of Epoxy-Based Nanocomposites for Sustainable Automotive Applications (No. 2023-01-5115). SAE Technical Paper.</w:t>
      </w:r>
      <w:hyperlink r:id="rId16" w:history="1">
        <w:r w:rsidRPr="00360F9D">
          <w:rPr>
            <w:shd w:val="clear" w:color="auto" w:fill="FFFFFF"/>
          </w:rPr>
          <w:t> https://doi.org/10.4271/2023-01-5115</w:t>
        </w:r>
      </w:hyperlink>
    </w:p>
    <w:p w14:paraId="590E1422" w14:textId="77777777" w:rsidR="00360F9D" w:rsidRPr="00360F9D" w:rsidRDefault="00360F9D" w:rsidP="008B18D5">
      <w:pPr>
        <w:pStyle w:val="Reference"/>
        <w:rPr>
          <w:shd w:val="clear" w:color="auto" w:fill="FFFFFF"/>
        </w:rPr>
      </w:pPr>
      <w:r w:rsidRPr="00360F9D">
        <w:rPr>
          <w:shd w:val="clear" w:color="auto" w:fill="FFFFFF"/>
        </w:rPr>
        <w:t>Anita et al., (2024). Energy Trading and Optimum Scheduling for Microgrids Using Multiple Agents Based DL Approach. Electric Power Components and Systems, 1-19.  </w:t>
      </w:r>
      <w:hyperlink r:id="rId17" w:history="1">
        <w:r w:rsidRPr="00360F9D">
          <w:rPr>
            <w:shd w:val="clear" w:color="auto" w:fill="FFFFFF"/>
          </w:rPr>
          <w:t>https://doi.org/10.1080/15325008.2023.2300329</w:t>
        </w:r>
      </w:hyperlink>
    </w:p>
    <w:p w14:paraId="0AAFEC95" w14:textId="77777777" w:rsidR="00360F9D" w:rsidRPr="00360F9D" w:rsidRDefault="00360F9D" w:rsidP="008B18D5">
      <w:pPr>
        <w:pStyle w:val="Reference"/>
        <w:rPr>
          <w:shd w:val="clear" w:color="auto" w:fill="FFFFFF"/>
        </w:rPr>
      </w:pPr>
      <w:r w:rsidRPr="00360F9D">
        <w:rPr>
          <w:shd w:val="clear" w:color="auto" w:fill="FFFFFF"/>
        </w:rPr>
        <w:t xml:space="preserve">Niveditha, V. R., </w:t>
      </w:r>
      <w:proofErr w:type="spellStart"/>
      <w:r w:rsidRPr="00360F9D">
        <w:rPr>
          <w:shd w:val="clear" w:color="auto" w:fill="FFFFFF"/>
        </w:rPr>
        <w:t>Nadh</w:t>
      </w:r>
      <w:proofErr w:type="spellEnd"/>
      <w:r w:rsidRPr="00360F9D">
        <w:rPr>
          <w:shd w:val="clear" w:color="auto" w:fill="FFFFFF"/>
        </w:rPr>
        <w:t xml:space="preserve">,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18" w:tgtFrame="_blank" w:tooltip="Persistent link using digital object identifier" w:history="1">
        <w:r w:rsidRPr="00360F9D">
          <w:rPr>
            <w:shd w:val="clear" w:color="auto" w:fill="FFFFFF"/>
          </w:rPr>
          <w:t>https://doi.org/10.1016/j.jwpe.2024.104778</w:t>
        </w:r>
      </w:hyperlink>
    </w:p>
    <w:p w14:paraId="1A13CB1A" w14:textId="77777777" w:rsidR="00360F9D" w:rsidRPr="00360F9D" w:rsidRDefault="00360F9D" w:rsidP="008B18D5">
      <w:pPr>
        <w:pStyle w:val="Reference"/>
        <w:rPr>
          <w:shd w:val="clear" w:color="auto" w:fill="FFFFFF"/>
        </w:rPr>
      </w:pPr>
      <w:r w:rsidRPr="00360F9D">
        <w:rPr>
          <w:shd w:val="clear" w:color="auto" w:fill="FFFFFF"/>
        </w:rPr>
        <w:t xml:space="preserve">Yuvaraj, K. P., Reddy, V. K., &amp; Ali, H. M. (2024). Evaluating the Wear and Mechanical Properties of Cotton Fabrics for Women’s Summer Clothing. Engineering Proceedings, 61(1), 15. </w:t>
      </w:r>
      <w:hyperlink r:id="rId19" w:history="1">
        <w:r w:rsidRPr="00360F9D">
          <w:rPr>
            <w:shd w:val="clear" w:color="auto" w:fill="FFFFFF"/>
          </w:rPr>
          <w:t>https://doi.org/10.3390/engproc2024061015</w:t>
        </w:r>
      </w:hyperlink>
    </w:p>
    <w:p w14:paraId="64531B87" w14:textId="77777777" w:rsidR="00360F9D" w:rsidRPr="00360F9D" w:rsidRDefault="00360F9D" w:rsidP="008B18D5">
      <w:pPr>
        <w:pStyle w:val="Reference"/>
        <w:rPr>
          <w:shd w:val="clear" w:color="auto" w:fill="FFFFFF"/>
        </w:rPr>
      </w:pPr>
      <w:r w:rsidRPr="00360F9D">
        <w:rPr>
          <w:shd w:val="clear" w:color="auto" w:fill="FFFFFF"/>
        </w:rPr>
        <w:t xml:space="preserve">R.P. Singh et al. Influence of a Copper Layer on the Functional Behaviour of a Cadmium Telluride Solar Cell Processed via Thermal Evaporation. J. Electron. Mater. (2024). </w:t>
      </w:r>
      <w:hyperlink r:id="rId20" w:history="1">
        <w:r w:rsidRPr="00360F9D">
          <w:rPr>
            <w:shd w:val="clear" w:color="auto" w:fill="FFFFFF"/>
          </w:rPr>
          <w:t>https://doi.org/10.1007/s11664-024-11669-7</w:t>
        </w:r>
      </w:hyperlink>
    </w:p>
    <w:p w14:paraId="6353EDB2" w14:textId="77777777" w:rsidR="00360F9D" w:rsidRPr="00360F9D" w:rsidRDefault="00360F9D" w:rsidP="008B18D5">
      <w:pPr>
        <w:pStyle w:val="Reference"/>
        <w:rPr>
          <w:shd w:val="clear" w:color="auto" w:fill="FFFFFF"/>
        </w:rPr>
      </w:pPr>
      <w:r w:rsidRPr="00360F9D">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1" w:history="1">
        <w:r w:rsidRPr="00360F9D">
          <w:rPr>
            <w:shd w:val="clear" w:color="auto" w:fill="FFFFFF"/>
          </w:rPr>
          <w:t>http://dx.doi.org/10.29228/ijastech..1528281</w:t>
        </w:r>
      </w:hyperlink>
    </w:p>
    <w:p w14:paraId="605ECAD2" w14:textId="77777777" w:rsidR="00360F9D" w:rsidRPr="00360F9D" w:rsidRDefault="00360F9D" w:rsidP="008B18D5">
      <w:pPr>
        <w:pStyle w:val="Reference"/>
        <w:rPr>
          <w:shd w:val="clear" w:color="auto" w:fill="FFFFFF"/>
        </w:rPr>
      </w:pPr>
      <w:r w:rsidRPr="00360F9D">
        <w:rPr>
          <w:shd w:val="clear" w:color="auto" w:fill="FFFFFF"/>
        </w:rPr>
        <w:t xml:space="preserve">Kaushal et al., (2024). Fault prediction and awareness for power distribution in grid connected res using hybrid machine learning. Electric Power Components and Systems, 1-22. </w:t>
      </w:r>
      <w:hyperlink r:id="rId22" w:history="1">
        <w:r w:rsidRPr="00360F9D">
          <w:rPr>
            <w:shd w:val="clear" w:color="auto" w:fill="FFFFFF"/>
          </w:rPr>
          <w:t>https://doi.org/10.1080/15325008.2024.2337217</w:t>
        </w:r>
      </w:hyperlink>
    </w:p>
    <w:p w14:paraId="668607F5" w14:textId="77777777" w:rsidR="00360F9D" w:rsidRPr="00360F9D" w:rsidRDefault="00360F9D" w:rsidP="008B18D5">
      <w:pPr>
        <w:pStyle w:val="Reference"/>
        <w:rPr>
          <w:shd w:val="clear" w:color="auto" w:fill="FFFFFF"/>
        </w:rPr>
      </w:pPr>
      <w:r w:rsidRPr="00360F9D">
        <w:rPr>
          <w:shd w:val="clear" w:color="auto" w:fill="FFFFFF"/>
        </w:rPr>
        <w:t xml:space="preserve">V. </w:t>
      </w:r>
      <w:proofErr w:type="spellStart"/>
      <w:r w:rsidRPr="00360F9D">
        <w:rPr>
          <w:shd w:val="clear" w:color="auto" w:fill="FFFFFF"/>
        </w:rPr>
        <w:t>Rathinavelu</w:t>
      </w:r>
      <w:proofErr w:type="spellEnd"/>
      <w:r w:rsidRPr="00360F9D">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w:t>
      </w:r>
      <w:hyperlink r:id="rId23" w:history="1">
        <w:r w:rsidRPr="00360F9D">
          <w:rPr>
            <w:shd w:val="clear" w:color="auto" w:fill="FFFFFF"/>
          </w:rPr>
          <w:t>https://doi.org/10.1515/ipp-2024-0152</w:t>
        </w:r>
      </w:hyperlink>
    </w:p>
    <w:p w14:paraId="3EEC2D27" w14:textId="77777777" w:rsidR="00360F9D" w:rsidRPr="00360F9D" w:rsidRDefault="00360F9D" w:rsidP="008B18D5">
      <w:pPr>
        <w:pStyle w:val="Reference"/>
        <w:rPr>
          <w:shd w:val="clear" w:color="auto" w:fill="FFFFFF"/>
        </w:rPr>
      </w:pPr>
      <w:r w:rsidRPr="00360F9D">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360F9D">
        <w:rPr>
          <w:shd w:val="clear" w:color="auto" w:fill="FFFFFF"/>
        </w:rPr>
        <w:t>Therm</w:t>
      </w:r>
      <w:proofErr w:type="spellEnd"/>
      <w:r w:rsidRPr="00360F9D">
        <w:rPr>
          <w:shd w:val="clear" w:color="auto" w:fill="FFFFFF"/>
        </w:rPr>
        <w:t xml:space="preserve"> Anal </w:t>
      </w:r>
      <w:proofErr w:type="spellStart"/>
      <w:r w:rsidRPr="00360F9D">
        <w:rPr>
          <w:shd w:val="clear" w:color="auto" w:fill="FFFFFF"/>
        </w:rPr>
        <w:t>Calorim</w:t>
      </w:r>
      <w:proofErr w:type="spellEnd"/>
      <w:r w:rsidRPr="00360F9D">
        <w:rPr>
          <w:shd w:val="clear" w:color="auto" w:fill="FFFFFF"/>
        </w:rPr>
        <w:t xml:space="preserve"> (2025). </w:t>
      </w:r>
      <w:hyperlink r:id="rId24" w:history="1">
        <w:r w:rsidRPr="00360F9D">
          <w:rPr>
            <w:shd w:val="clear" w:color="auto" w:fill="FFFFFF"/>
          </w:rPr>
          <w:t>https://doi.org/10.1007/s10973-025-14305-6</w:t>
        </w:r>
      </w:hyperlink>
    </w:p>
    <w:p w14:paraId="140C81DD" w14:textId="77777777" w:rsidR="00360F9D" w:rsidRPr="00360F9D" w:rsidRDefault="00360F9D" w:rsidP="008B18D5">
      <w:pPr>
        <w:pStyle w:val="Reference"/>
        <w:rPr>
          <w:shd w:val="clear" w:color="auto" w:fill="FFFFFF"/>
        </w:rPr>
      </w:pPr>
      <w:r w:rsidRPr="00360F9D">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25" w:history="1">
        <w:r w:rsidRPr="00360F9D">
          <w:rPr>
            <w:shd w:val="clear" w:color="auto" w:fill="FFFFFF"/>
          </w:rPr>
          <w:t>https://doi.org/10.1007/s10854-024-14135-6</w:t>
        </w:r>
      </w:hyperlink>
    </w:p>
    <w:p w14:paraId="3EDEA565" w14:textId="77777777" w:rsidR="00360F9D" w:rsidRPr="00360F9D" w:rsidRDefault="00360F9D" w:rsidP="008B18D5">
      <w:pPr>
        <w:pStyle w:val="Reference"/>
        <w:rPr>
          <w:shd w:val="clear" w:color="auto" w:fill="FFFFFF"/>
        </w:rPr>
      </w:pPr>
      <w:r w:rsidRPr="00360F9D">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26" w:history="1">
        <w:r w:rsidRPr="00360F9D">
          <w:rPr>
            <w:shd w:val="clear" w:color="auto" w:fill="FFFFFF"/>
          </w:rPr>
          <w:t>https://doi.org/10.1007/s11665-025-11873-4</w:t>
        </w:r>
      </w:hyperlink>
    </w:p>
    <w:p w14:paraId="68737D21" w14:textId="77777777" w:rsidR="00360F9D" w:rsidRPr="00360F9D" w:rsidRDefault="00360F9D" w:rsidP="008B18D5">
      <w:pPr>
        <w:pStyle w:val="Reference"/>
        <w:rPr>
          <w:shd w:val="clear" w:color="auto" w:fill="FFFFFF"/>
        </w:rPr>
      </w:pPr>
      <w:r w:rsidRPr="00360F9D">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27" w:history="1">
        <w:r w:rsidRPr="00360F9D">
          <w:rPr>
            <w:shd w:val="clear" w:color="auto" w:fill="FFFFFF"/>
          </w:rPr>
          <w:t>https://doi.org/10.1080/13640461.2024.2447101</w:t>
        </w:r>
      </w:hyperlink>
    </w:p>
    <w:p w14:paraId="31943FD8" w14:textId="77777777" w:rsidR="00360F9D" w:rsidRPr="00360F9D" w:rsidRDefault="00360F9D" w:rsidP="008B18D5">
      <w:pPr>
        <w:pStyle w:val="Reference"/>
        <w:rPr>
          <w:shd w:val="clear" w:color="auto" w:fill="FFFFFF"/>
        </w:rPr>
      </w:pPr>
      <w:r w:rsidRPr="00360F9D">
        <w:rPr>
          <w:shd w:val="clear" w:color="auto" w:fill="FFFFFF"/>
        </w:rPr>
        <w:t xml:space="preserve">K.  Logesh et al. Injection mould processing and characteristics measures of hybrid epoxy composites with jute fiber/boron nitride. J Mech Sci Technol. 39(1), 2025. </w:t>
      </w:r>
      <w:hyperlink r:id="rId28" w:history="1">
        <w:r w:rsidRPr="00360F9D">
          <w:rPr>
            <w:shd w:val="clear" w:color="auto" w:fill="FFFFFF"/>
          </w:rPr>
          <w:t>https://doi.org/10.1007/s12206-024-1219-1</w:t>
        </w:r>
      </w:hyperlink>
    </w:p>
    <w:p w14:paraId="1F6207AE" w14:textId="77777777" w:rsidR="00360F9D" w:rsidRPr="00360F9D" w:rsidRDefault="00360F9D" w:rsidP="008B18D5">
      <w:pPr>
        <w:pStyle w:val="Reference"/>
        <w:rPr>
          <w:shd w:val="clear" w:color="auto" w:fill="FFFFFF"/>
        </w:rPr>
      </w:pPr>
      <w:r w:rsidRPr="00360F9D">
        <w:rPr>
          <w:shd w:val="clear" w:color="auto" w:fill="FFFFFF"/>
        </w:rPr>
        <w:lastRenderedPageBreak/>
        <w:t xml:space="preserve">Singh et al. Natural fiber-ceramic filler configured polypropylene hybrid composite made via hot compression technique: Characteristics evaluation. J Mech Sci Technol. 39(1), 2025. </w:t>
      </w:r>
      <w:hyperlink r:id="rId29" w:history="1">
        <w:r w:rsidRPr="00360F9D">
          <w:rPr>
            <w:shd w:val="clear" w:color="auto" w:fill="FFFFFF"/>
          </w:rPr>
          <w:t>https://doi.org/10.1007/s12206-024-1216-4</w:t>
        </w:r>
      </w:hyperlink>
    </w:p>
    <w:p w14:paraId="6CA32539" w14:textId="77777777" w:rsidR="00360F9D" w:rsidRPr="00360F9D" w:rsidRDefault="00360F9D" w:rsidP="008B18D5">
      <w:pPr>
        <w:pStyle w:val="Reference"/>
        <w:rPr>
          <w:shd w:val="clear" w:color="auto" w:fill="FFFFFF"/>
        </w:rPr>
      </w:pPr>
      <w:r w:rsidRPr="00360F9D">
        <w:rPr>
          <w:shd w:val="clear" w:color="auto" w:fill="FFFFFF"/>
        </w:rPr>
        <w:t xml:space="preserve">. </w:t>
      </w:r>
      <w:proofErr w:type="spellStart"/>
      <w:r w:rsidRPr="00360F9D">
        <w:rPr>
          <w:shd w:val="clear" w:color="auto" w:fill="FFFFFF"/>
        </w:rPr>
        <w:t>Mohanavel</w:t>
      </w:r>
      <w:proofErr w:type="spellEnd"/>
      <w:r w:rsidRPr="00360F9D">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71270BBE" w14:textId="77777777" w:rsidR="00360F9D" w:rsidRPr="00360F9D" w:rsidRDefault="00360F9D" w:rsidP="008B18D5">
      <w:pPr>
        <w:pStyle w:val="Reference"/>
        <w:rPr>
          <w:shd w:val="clear" w:color="auto" w:fill="FFFFFF"/>
        </w:rPr>
      </w:pPr>
      <w:r w:rsidRPr="00360F9D">
        <w:rPr>
          <w:shd w:val="clear" w:color="auto" w:fill="FFFFFF"/>
        </w:rPr>
        <w:t xml:space="preserve">S. Ravi et al. Processing and SiC content on functional behaviour of aluminium alloy composite. J Mech Sci Technol (2025). </w:t>
      </w:r>
      <w:hyperlink r:id="rId30" w:history="1">
        <w:r w:rsidRPr="00360F9D">
          <w:rPr>
            <w:shd w:val="clear" w:color="auto" w:fill="FFFFFF"/>
          </w:rPr>
          <w:t>https://doi.org/10.1007/s12206-025-0723-2</w:t>
        </w:r>
      </w:hyperlink>
    </w:p>
    <w:p w14:paraId="01FA5B75" w14:textId="77777777" w:rsidR="00360F9D" w:rsidRPr="00360F9D" w:rsidRDefault="00360F9D" w:rsidP="008B18D5">
      <w:pPr>
        <w:pStyle w:val="Reference"/>
        <w:rPr>
          <w:shd w:val="clear" w:color="auto" w:fill="FFFFFF"/>
        </w:rPr>
      </w:pPr>
      <w:r w:rsidRPr="00360F9D">
        <w:rPr>
          <w:shd w:val="clear" w:color="auto" w:fill="FFFFFF"/>
        </w:rPr>
        <w:t xml:space="preserve">N. </w:t>
      </w:r>
      <w:proofErr w:type="spellStart"/>
      <w:r w:rsidRPr="00360F9D">
        <w:rPr>
          <w:shd w:val="clear" w:color="auto" w:fill="FFFFFF"/>
        </w:rPr>
        <w:t>Basavegowda</w:t>
      </w:r>
      <w:proofErr w:type="spellEnd"/>
      <w:r w:rsidRPr="00360F9D">
        <w:rPr>
          <w:shd w:val="clear" w:color="auto" w:fill="FFFFFF"/>
        </w:rPr>
        <w:t xml:space="preserve"> et al. Influence of Silver Nanowire Concentration on Electrical and Optical Properties of Polyaniline for Transparent Conductive Sensors. J. Electron. Mater. (2025). </w:t>
      </w:r>
      <w:hyperlink r:id="rId31" w:history="1">
        <w:r w:rsidRPr="00360F9D">
          <w:rPr>
            <w:shd w:val="clear" w:color="auto" w:fill="FFFFFF"/>
          </w:rPr>
          <w:t>https://doi.org/10.1007/s11664-025-12174-1</w:t>
        </w:r>
      </w:hyperlink>
    </w:p>
    <w:p w14:paraId="7D355E72" w14:textId="77777777" w:rsidR="00360F9D" w:rsidRPr="00360F9D" w:rsidRDefault="00360F9D" w:rsidP="008B18D5">
      <w:pPr>
        <w:pStyle w:val="Reference"/>
        <w:rPr>
          <w:shd w:val="clear" w:color="auto" w:fill="FFFFFF"/>
        </w:rPr>
      </w:pPr>
      <w:r w:rsidRPr="00360F9D">
        <w:rPr>
          <w:shd w:val="clear" w:color="auto" w:fill="FFFFFF"/>
        </w:rPr>
        <w:t xml:space="preserve">A. Sharma et al. Featuring of Formamidinium lead halide and enrichment of optoelectronic behaviour of SnO2/FAPbI3/NiOx with PCBM layer. J Mater Sci: Mater Electron 36, 1124 (2025). </w:t>
      </w:r>
      <w:hyperlink r:id="rId32" w:history="1">
        <w:r w:rsidRPr="00360F9D">
          <w:rPr>
            <w:shd w:val="clear" w:color="auto" w:fill="FFFFFF"/>
          </w:rPr>
          <w:t>https://doi.org/10.1007/s10854-025-15203-1</w:t>
        </w:r>
      </w:hyperlink>
    </w:p>
    <w:p w14:paraId="0375395F" w14:textId="77777777" w:rsidR="00360F9D" w:rsidRPr="00360F9D" w:rsidRDefault="00360F9D" w:rsidP="008B18D5">
      <w:pPr>
        <w:pStyle w:val="Reference"/>
        <w:rPr>
          <w:shd w:val="clear" w:color="auto" w:fill="FFFFFF"/>
        </w:rPr>
      </w:pPr>
      <w:r w:rsidRPr="00360F9D">
        <w:rPr>
          <w:shd w:val="clear" w:color="auto" w:fill="FFFFFF"/>
        </w:rPr>
        <w:t xml:space="preserve">V. V. Upadhyay et al. Hexachloroethane fluxing mechanism and actions of hybrid fillers on functional behaviour of AZ31B alloy composites. J Mech Sci Technol (2025). </w:t>
      </w:r>
      <w:hyperlink r:id="rId33" w:history="1">
        <w:r w:rsidRPr="00360F9D">
          <w:rPr>
            <w:shd w:val="clear" w:color="auto" w:fill="FFFFFF"/>
          </w:rPr>
          <w:t>https://doi.org/10.1007/s12206-025-0622-6</w:t>
        </w:r>
      </w:hyperlink>
    </w:p>
    <w:p w14:paraId="4326B206" w14:textId="77777777" w:rsidR="00360F9D" w:rsidRPr="00360F9D" w:rsidRDefault="00360F9D" w:rsidP="008B18D5">
      <w:pPr>
        <w:pStyle w:val="Reference"/>
        <w:rPr>
          <w:shd w:val="clear" w:color="auto" w:fill="FFFFFF"/>
        </w:rPr>
      </w:pPr>
      <w:r w:rsidRPr="00360F9D">
        <w:rPr>
          <w:shd w:val="clear" w:color="auto" w:fill="FFFFFF"/>
        </w:rPr>
        <w:t xml:space="preserve">V. </w:t>
      </w:r>
      <w:proofErr w:type="spellStart"/>
      <w:r w:rsidRPr="00360F9D">
        <w:rPr>
          <w:shd w:val="clear" w:color="auto" w:fill="FFFFFF"/>
        </w:rPr>
        <w:t>Mohanavel</w:t>
      </w:r>
      <w:proofErr w:type="spellEnd"/>
      <w:r w:rsidRPr="00360F9D">
        <w:rPr>
          <w:shd w:val="clear" w:color="auto" w:fill="FFFFFF"/>
        </w:rPr>
        <w:t xml:space="preserve"> et al. Exploration of photovoltaic thermal collector performance enhancement by the accumulations of hybrid nanofluid and phase change material. J </w:t>
      </w:r>
      <w:proofErr w:type="spellStart"/>
      <w:r w:rsidRPr="00360F9D">
        <w:rPr>
          <w:shd w:val="clear" w:color="auto" w:fill="FFFFFF"/>
        </w:rPr>
        <w:t>Therm</w:t>
      </w:r>
      <w:proofErr w:type="spellEnd"/>
      <w:r w:rsidRPr="00360F9D">
        <w:rPr>
          <w:shd w:val="clear" w:color="auto" w:fill="FFFFFF"/>
        </w:rPr>
        <w:t xml:space="preserve"> Anal </w:t>
      </w:r>
      <w:proofErr w:type="spellStart"/>
      <w:r w:rsidRPr="00360F9D">
        <w:rPr>
          <w:shd w:val="clear" w:color="auto" w:fill="FFFFFF"/>
        </w:rPr>
        <w:t>Calorim</w:t>
      </w:r>
      <w:proofErr w:type="spellEnd"/>
      <w:r w:rsidRPr="00360F9D">
        <w:rPr>
          <w:shd w:val="clear" w:color="auto" w:fill="FFFFFF"/>
        </w:rPr>
        <w:t xml:space="preserve"> (2025). </w:t>
      </w:r>
      <w:hyperlink r:id="rId34" w:history="1">
        <w:r w:rsidRPr="00360F9D">
          <w:rPr>
            <w:shd w:val="clear" w:color="auto" w:fill="FFFFFF"/>
          </w:rPr>
          <w:t>https://doi.org/10.1007/s10973-025-14427-x</w:t>
        </w:r>
      </w:hyperlink>
    </w:p>
    <w:p w14:paraId="3E887914" w14:textId="77777777" w:rsidR="00360F9D" w:rsidRPr="00360F9D" w:rsidRDefault="00360F9D" w:rsidP="008B18D5">
      <w:pPr>
        <w:pStyle w:val="Reference"/>
        <w:rPr>
          <w:shd w:val="clear" w:color="auto" w:fill="FFFFFF"/>
        </w:rPr>
      </w:pPr>
      <w:r w:rsidRPr="00360F9D">
        <w:rPr>
          <w:shd w:val="clear" w:color="auto" w:fill="FFFFFF"/>
        </w:rPr>
        <w:t xml:space="preserve">K. K. Ilavenil et al. Enrichment of monolithic aluminium alloy characteristics by nano ceramic: Solid state process. J Mech Sci Technol (2025). </w:t>
      </w:r>
      <w:hyperlink r:id="rId35" w:history="1">
        <w:r w:rsidRPr="00360F9D">
          <w:rPr>
            <w:shd w:val="clear" w:color="auto" w:fill="FFFFFF"/>
          </w:rPr>
          <w:t>https://doi.org/10.1007/s12206-025-0513-x</w:t>
        </w:r>
      </w:hyperlink>
    </w:p>
    <w:p w14:paraId="1E841974" w14:textId="77777777" w:rsidR="00360F9D" w:rsidRPr="00360F9D" w:rsidRDefault="00360F9D" w:rsidP="008B18D5">
      <w:pPr>
        <w:pStyle w:val="Reference"/>
        <w:rPr>
          <w:shd w:val="clear" w:color="auto" w:fill="FFFFFF"/>
        </w:rPr>
      </w:pPr>
      <w:r w:rsidRPr="00360F9D">
        <w:rPr>
          <w:shd w:val="clear" w:color="auto" w:fill="FFFFFF"/>
        </w:rPr>
        <w:t xml:space="preserve">A. Sharma et al. Semisolid stir casting and effect of hybrid fillers on functional properties of aluminium alloy composites. J Mech Sci Technol (2025). </w:t>
      </w:r>
      <w:hyperlink r:id="rId36" w:history="1">
        <w:r w:rsidRPr="00360F9D">
          <w:rPr>
            <w:shd w:val="clear" w:color="auto" w:fill="FFFFFF"/>
          </w:rPr>
          <w:t>https://doi.org/10.1007/s12206-025-0620-8</w:t>
        </w:r>
      </w:hyperlink>
    </w:p>
    <w:p w14:paraId="0E863AC4" w14:textId="77777777" w:rsidR="00360F9D" w:rsidRPr="00360F9D" w:rsidRDefault="00360F9D" w:rsidP="008B18D5">
      <w:pPr>
        <w:pStyle w:val="Reference"/>
        <w:rPr>
          <w:shd w:val="clear" w:color="auto" w:fill="FFFFFF"/>
        </w:rPr>
      </w:pPr>
      <w:proofErr w:type="spellStart"/>
      <w:r w:rsidRPr="00360F9D">
        <w:rPr>
          <w:shd w:val="clear" w:color="auto" w:fill="FFFFFF"/>
        </w:rPr>
        <w:t>Sreethar</w:t>
      </w:r>
      <w:proofErr w:type="spellEnd"/>
      <w:r w:rsidRPr="00360F9D">
        <w:rPr>
          <w:shd w:val="clear" w:color="auto" w:fill="FFFFFF"/>
        </w:rPr>
        <w:t xml:space="preserve"> et al., (2024). Implementation of cross layer design with localization techniques in wireless sensor networks using deep learning. In 2024 International Conference on Expert Clouds and Applications (ICOECA) (pp. 607-613). IEEE. </w:t>
      </w:r>
      <w:hyperlink r:id="rId37" w:history="1">
        <w:r w:rsidRPr="00360F9D">
          <w:rPr>
            <w:shd w:val="clear" w:color="auto" w:fill="FFFFFF"/>
          </w:rPr>
          <w:t>https://doi.org/10.1109/ICOECA62351.2024.00111</w:t>
        </w:r>
      </w:hyperlink>
      <w:r w:rsidRPr="00360F9D">
        <w:rPr>
          <w:shd w:val="clear" w:color="auto" w:fill="FFFFFF"/>
        </w:rPr>
        <w:t xml:space="preserve"> </w:t>
      </w:r>
    </w:p>
    <w:p w14:paraId="4E891BE9" w14:textId="77777777" w:rsidR="00360F9D" w:rsidRPr="00360F9D" w:rsidRDefault="00360F9D" w:rsidP="008B18D5">
      <w:pPr>
        <w:pStyle w:val="Reference"/>
        <w:rPr>
          <w:shd w:val="clear" w:color="auto" w:fill="FFFFFF"/>
        </w:rPr>
      </w:pPr>
      <w:r w:rsidRPr="00360F9D">
        <w:rPr>
          <w:shd w:val="clear" w:color="auto" w:fill="FFFFFF"/>
        </w:rPr>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38" w:history="1">
        <w:r w:rsidRPr="00360F9D">
          <w:rPr>
            <w:shd w:val="clear" w:color="auto" w:fill="FFFFFF"/>
          </w:rPr>
          <w:t>https://doi.org/10.1109/ASSIC60049.2024.10507990</w:t>
        </w:r>
      </w:hyperlink>
    </w:p>
    <w:p w14:paraId="6BA82147" w14:textId="77777777" w:rsidR="00360F9D" w:rsidRPr="00360F9D" w:rsidRDefault="00360F9D" w:rsidP="008B18D5">
      <w:pPr>
        <w:pStyle w:val="Reference"/>
        <w:rPr>
          <w:shd w:val="clear" w:color="auto" w:fill="FFFFFF"/>
        </w:rPr>
      </w:pPr>
      <w:r w:rsidRPr="00360F9D">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2C118B0B" w14:textId="77777777" w:rsidR="00360F9D" w:rsidRPr="00360F9D" w:rsidRDefault="00360F9D" w:rsidP="008B18D5">
      <w:pPr>
        <w:pStyle w:val="Reference"/>
        <w:rPr>
          <w:shd w:val="clear" w:color="auto" w:fill="FFFFFF"/>
        </w:rPr>
      </w:pPr>
      <w:r w:rsidRPr="00360F9D">
        <w:rPr>
          <w:shd w:val="clear" w:color="auto" w:fill="FFFFFF"/>
        </w:rPr>
        <w:t xml:space="preserve">Venkatesh, R., Chaturvedi, R., </w:t>
      </w:r>
      <w:proofErr w:type="spellStart"/>
      <w:r w:rsidRPr="00360F9D">
        <w:rPr>
          <w:shd w:val="clear" w:color="auto" w:fill="FFFFFF"/>
        </w:rPr>
        <w:t>Umamaheswari</w:t>
      </w:r>
      <w:proofErr w:type="spellEnd"/>
      <w:r w:rsidRPr="00360F9D">
        <w:rPr>
          <w:shd w:val="clear" w:color="auto" w:fill="FFFFFF"/>
        </w:rPr>
        <w:t xml:space="preserve">, D. et al. Featuring of Fiber-Ceramic Combination on Behavior Studies of </w:t>
      </w:r>
      <w:proofErr w:type="gramStart"/>
      <w:r w:rsidRPr="00360F9D">
        <w:rPr>
          <w:shd w:val="clear" w:color="auto" w:fill="FFFFFF"/>
        </w:rPr>
        <w:t>High Density</w:t>
      </w:r>
      <w:proofErr w:type="gramEnd"/>
      <w:r w:rsidRPr="00360F9D">
        <w:rPr>
          <w:shd w:val="clear" w:color="auto" w:fill="FFFFFF"/>
        </w:rPr>
        <w:t xml:space="preserve"> Polyethylene Composite: Hot Compression Mould. Mech Compos Mater (2025). </w:t>
      </w:r>
      <w:hyperlink r:id="rId39" w:history="1">
        <w:r w:rsidRPr="00360F9D">
          <w:rPr>
            <w:shd w:val="clear" w:color="auto" w:fill="FFFFFF"/>
          </w:rPr>
          <w:t>https://doi.org/10.1007/s11029-025-10305-7</w:t>
        </w:r>
      </w:hyperlink>
    </w:p>
    <w:p w14:paraId="2E5381B4" w14:textId="77777777" w:rsidR="00360F9D" w:rsidRPr="00360F9D" w:rsidRDefault="00360F9D" w:rsidP="008B18D5">
      <w:pPr>
        <w:pStyle w:val="Reference"/>
        <w:rPr>
          <w:shd w:val="clear" w:color="auto" w:fill="FFFFFF"/>
        </w:rPr>
      </w:pPr>
      <w:r w:rsidRPr="00360F9D">
        <w:rPr>
          <w:shd w:val="clear" w:color="auto" w:fill="FFFFFF"/>
        </w:rPr>
        <w:t>Kaliappan et al., (2024). Thermal and Mechanical Properties of Abutilon indicum Fiber-Based Polyester Composites under Alkali Treatment for Automotive Sector (No. 2024-01-5031). SAE Technical Paper.</w:t>
      </w:r>
      <w:hyperlink r:id="rId40" w:history="1">
        <w:r w:rsidRPr="00360F9D">
          <w:rPr>
            <w:shd w:val="clear" w:color="auto" w:fill="FFFFFF"/>
          </w:rPr>
          <w:t> https://doi.org/10.4271/2024-01-5031</w:t>
        </w:r>
      </w:hyperlink>
    </w:p>
    <w:p w14:paraId="54A3A31E" w14:textId="77777777" w:rsidR="00360F9D" w:rsidRPr="00360F9D" w:rsidRDefault="00360F9D" w:rsidP="008B18D5">
      <w:pPr>
        <w:pStyle w:val="Reference"/>
        <w:rPr>
          <w:shd w:val="clear" w:color="auto" w:fill="FFFFFF"/>
        </w:rPr>
      </w:pPr>
      <w:proofErr w:type="spellStart"/>
      <w:r w:rsidRPr="00360F9D">
        <w:rPr>
          <w:shd w:val="clear" w:color="auto" w:fill="FFFFFF"/>
        </w:rPr>
        <w:t>Tuluwengjiang</w:t>
      </w:r>
      <w:proofErr w:type="spellEnd"/>
      <w:r w:rsidRPr="00360F9D">
        <w:rPr>
          <w:shd w:val="clear" w:color="auto" w:fill="FFFFFF"/>
        </w:rPr>
        <w:t xml:space="preserve"> et al., (2024). Dendritic cell-derived exosomes (Dex): Underlying the role of exosomes derived from diverse DC subtypes in cancer pathogenesis. Pathology-Research and Practice, 254, 155097. </w:t>
      </w:r>
      <w:hyperlink r:id="rId41" w:tgtFrame="_blank" w:tooltip="Persistent link using digital object identifier" w:history="1">
        <w:r w:rsidRPr="00360F9D">
          <w:rPr>
            <w:shd w:val="clear" w:color="auto" w:fill="FFFFFF"/>
          </w:rPr>
          <w:t>https://doi.org/10.1016/j.prp.2024.155097</w:t>
        </w:r>
      </w:hyperlink>
    </w:p>
    <w:p w14:paraId="77FCBBF5" w14:textId="77777777" w:rsidR="00360F9D" w:rsidRPr="00360F9D" w:rsidRDefault="00360F9D" w:rsidP="008B18D5">
      <w:pPr>
        <w:pStyle w:val="Reference"/>
        <w:rPr>
          <w:shd w:val="clear" w:color="auto" w:fill="FFFFFF"/>
        </w:rPr>
      </w:pPr>
      <w:r w:rsidRPr="00360F9D">
        <w:rPr>
          <w:shd w:val="clear" w:color="auto" w:fill="FFFFFF"/>
        </w:rPr>
        <w:t xml:space="preserve">Kumar et al., (2024). Optimized forecasting approach for scheduling wind generation plants and maximizing renewable energy utilization. Electric Power Components and Systems, 1-17. </w:t>
      </w:r>
      <w:hyperlink r:id="rId42" w:history="1">
        <w:r w:rsidRPr="00360F9D">
          <w:rPr>
            <w:shd w:val="clear" w:color="auto" w:fill="FFFFFF"/>
          </w:rPr>
          <w:t>https://doi.org/10.1080/15325008.2024.2337218</w:t>
        </w:r>
      </w:hyperlink>
    </w:p>
    <w:p w14:paraId="2DD1D0BE" w14:textId="77777777" w:rsidR="00360F9D" w:rsidRPr="00360F9D" w:rsidRDefault="00360F9D" w:rsidP="008B18D5">
      <w:pPr>
        <w:pStyle w:val="Reference"/>
        <w:rPr>
          <w:shd w:val="clear" w:color="auto" w:fill="FFFFFF"/>
        </w:rPr>
      </w:pPr>
      <w:proofErr w:type="spellStart"/>
      <w:r w:rsidRPr="00360F9D">
        <w:rPr>
          <w:shd w:val="clear" w:color="auto" w:fill="FFFFFF"/>
        </w:rPr>
        <w:t>Chhaparwal</w:t>
      </w:r>
      <w:proofErr w:type="spellEnd"/>
      <w:r w:rsidRPr="00360F9D">
        <w:rPr>
          <w:shd w:val="clear" w:color="auto" w:fill="FFFFFF"/>
        </w:rPr>
        <w:t xml:space="preserve"> et al., (2024). Numerical and experimental investigation of a solar air heater duct with circular detached ribs to improve its efficiency. Case Studies in Thermal Engineering, 60, 104780. </w:t>
      </w:r>
      <w:hyperlink r:id="rId43" w:tgtFrame="_blank" w:tooltip="Persistent link using digital object identifier" w:history="1">
        <w:r w:rsidRPr="00360F9D">
          <w:rPr>
            <w:shd w:val="clear" w:color="auto" w:fill="FFFFFF"/>
          </w:rPr>
          <w:t>https://doi.org/10.1016/j.csite.2024.104780</w:t>
        </w:r>
      </w:hyperlink>
    </w:p>
    <w:p w14:paraId="1F7CFF28" w14:textId="77777777" w:rsidR="00360F9D" w:rsidRPr="00360F9D" w:rsidRDefault="00360F9D" w:rsidP="008B18D5">
      <w:pPr>
        <w:pStyle w:val="Reference"/>
        <w:rPr>
          <w:shd w:val="clear" w:color="auto" w:fill="FFFFFF"/>
        </w:rPr>
      </w:pPr>
      <w:proofErr w:type="spellStart"/>
      <w:r w:rsidRPr="00360F9D">
        <w:rPr>
          <w:shd w:val="clear" w:color="auto" w:fill="FFFFFF"/>
        </w:rPr>
        <w:t>Masannan</w:t>
      </w:r>
      <w:proofErr w:type="spellEnd"/>
      <w:r w:rsidRPr="00360F9D">
        <w:rPr>
          <w:shd w:val="clear" w:color="auto" w:fill="FFFFFF"/>
        </w:rPr>
        <w:t xml:space="preserve"> et al., (2024). Experimental investigation on the drilling characteristics of kenaf/PLA-based laminates. Engineering Proceedings, 61(1), 9. </w:t>
      </w:r>
      <w:hyperlink r:id="rId44" w:history="1">
        <w:r w:rsidRPr="00360F9D">
          <w:rPr>
            <w:shd w:val="clear" w:color="auto" w:fill="FFFFFF"/>
          </w:rPr>
          <w:t>https://doi.org/10.3390/engproc2024061009</w:t>
        </w:r>
      </w:hyperlink>
    </w:p>
    <w:p w14:paraId="6BCEAF86" w14:textId="7C8CA630" w:rsidR="00A94F48" w:rsidRPr="00360F9D" w:rsidRDefault="00A94F48" w:rsidP="00360F9D">
      <w:pPr>
        <w:pStyle w:val="ListParagraph"/>
        <w:spacing w:line="360" w:lineRule="auto"/>
        <w:ind w:left="710"/>
        <w:jc w:val="both"/>
        <w:rPr>
          <w:szCs w:val="24"/>
          <w:shd w:val="clear" w:color="auto" w:fill="FFFFFF"/>
        </w:rPr>
      </w:pPr>
    </w:p>
    <w:sectPr w:rsidR="00A94F48" w:rsidRPr="00360F9D" w:rsidSect="008B18D5">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EB7DAE"/>
    <w:multiLevelType w:val="hybridMultilevel"/>
    <w:tmpl w:val="53AC8920"/>
    <w:lvl w:ilvl="0" w:tplc="57C202D0">
      <w:start w:val="1"/>
      <w:numFmt w:val="decimal"/>
      <w:lvlText w:val="%1."/>
      <w:lvlJc w:val="left"/>
      <w:pPr>
        <w:ind w:left="710" w:hanging="360"/>
      </w:pPr>
      <w:rPr>
        <w:rFonts w:hint="default"/>
      </w:rPr>
    </w:lvl>
    <w:lvl w:ilvl="1" w:tplc="40090019" w:tentative="1">
      <w:start w:val="1"/>
      <w:numFmt w:val="lowerLetter"/>
      <w:lvlText w:val="%2."/>
      <w:lvlJc w:val="left"/>
      <w:pPr>
        <w:ind w:left="1430" w:hanging="360"/>
      </w:pPr>
    </w:lvl>
    <w:lvl w:ilvl="2" w:tplc="4009001B" w:tentative="1">
      <w:start w:val="1"/>
      <w:numFmt w:val="lowerRoman"/>
      <w:lvlText w:val="%3."/>
      <w:lvlJc w:val="right"/>
      <w:pPr>
        <w:ind w:left="2150" w:hanging="180"/>
      </w:pPr>
    </w:lvl>
    <w:lvl w:ilvl="3" w:tplc="4009000F" w:tentative="1">
      <w:start w:val="1"/>
      <w:numFmt w:val="decimal"/>
      <w:lvlText w:val="%4."/>
      <w:lvlJc w:val="left"/>
      <w:pPr>
        <w:ind w:left="2870" w:hanging="360"/>
      </w:pPr>
    </w:lvl>
    <w:lvl w:ilvl="4" w:tplc="40090019" w:tentative="1">
      <w:start w:val="1"/>
      <w:numFmt w:val="lowerLetter"/>
      <w:lvlText w:val="%5."/>
      <w:lvlJc w:val="left"/>
      <w:pPr>
        <w:ind w:left="3590" w:hanging="360"/>
      </w:pPr>
    </w:lvl>
    <w:lvl w:ilvl="5" w:tplc="4009001B" w:tentative="1">
      <w:start w:val="1"/>
      <w:numFmt w:val="lowerRoman"/>
      <w:lvlText w:val="%6."/>
      <w:lvlJc w:val="right"/>
      <w:pPr>
        <w:ind w:left="4310" w:hanging="180"/>
      </w:pPr>
    </w:lvl>
    <w:lvl w:ilvl="6" w:tplc="4009000F" w:tentative="1">
      <w:start w:val="1"/>
      <w:numFmt w:val="decimal"/>
      <w:lvlText w:val="%7."/>
      <w:lvlJc w:val="left"/>
      <w:pPr>
        <w:ind w:left="5030" w:hanging="360"/>
      </w:pPr>
    </w:lvl>
    <w:lvl w:ilvl="7" w:tplc="40090019" w:tentative="1">
      <w:start w:val="1"/>
      <w:numFmt w:val="lowerLetter"/>
      <w:lvlText w:val="%8."/>
      <w:lvlJc w:val="left"/>
      <w:pPr>
        <w:ind w:left="5750" w:hanging="360"/>
      </w:pPr>
    </w:lvl>
    <w:lvl w:ilvl="8" w:tplc="4009001B" w:tentative="1">
      <w:start w:val="1"/>
      <w:numFmt w:val="lowerRoman"/>
      <w:lvlText w:val="%9."/>
      <w:lvlJc w:val="right"/>
      <w:pPr>
        <w:ind w:left="647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9820DF"/>
    <w:multiLevelType w:val="hybridMultilevel"/>
    <w:tmpl w:val="73842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95424993">
    <w:abstractNumId w:val="10"/>
  </w:num>
  <w:num w:numId="2" w16cid:durableId="1858763124">
    <w:abstractNumId w:val="12"/>
  </w:num>
  <w:num w:numId="3" w16cid:durableId="10758630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5844975">
    <w:abstractNumId w:val="18"/>
  </w:num>
  <w:num w:numId="5" w16cid:durableId="1623537524">
    <w:abstractNumId w:val="4"/>
  </w:num>
  <w:num w:numId="6" w16cid:durableId="333149680">
    <w:abstractNumId w:val="15"/>
  </w:num>
  <w:num w:numId="7" w16cid:durableId="1958750756">
    <w:abstractNumId w:val="8"/>
  </w:num>
  <w:num w:numId="8" w16cid:durableId="1466237890">
    <w:abstractNumId w:val="14"/>
  </w:num>
  <w:num w:numId="9" w16cid:durableId="846751398">
    <w:abstractNumId w:val="5"/>
  </w:num>
  <w:num w:numId="10" w16cid:durableId="982584711">
    <w:abstractNumId w:val="7"/>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3"/>
  </w:num>
  <w:num w:numId="16" w16cid:durableId="771170886">
    <w:abstractNumId w:val="6"/>
  </w:num>
  <w:num w:numId="17" w16cid:durableId="1726029251">
    <w:abstractNumId w:val="9"/>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E06"/>
    <w:rsid w:val="0000495B"/>
    <w:rsid w:val="00010CD4"/>
    <w:rsid w:val="00056816"/>
    <w:rsid w:val="00061296"/>
    <w:rsid w:val="00136833"/>
    <w:rsid w:val="001F19E8"/>
    <w:rsid w:val="00260B70"/>
    <w:rsid w:val="002735C5"/>
    <w:rsid w:val="002A7AF7"/>
    <w:rsid w:val="00360F9D"/>
    <w:rsid w:val="003B5DC9"/>
    <w:rsid w:val="003F2514"/>
    <w:rsid w:val="0040649B"/>
    <w:rsid w:val="00415BA0"/>
    <w:rsid w:val="00460F58"/>
    <w:rsid w:val="00594470"/>
    <w:rsid w:val="005D490C"/>
    <w:rsid w:val="005E6427"/>
    <w:rsid w:val="005F1834"/>
    <w:rsid w:val="0060490A"/>
    <w:rsid w:val="00660C64"/>
    <w:rsid w:val="006B4C14"/>
    <w:rsid w:val="00701198"/>
    <w:rsid w:val="007103C2"/>
    <w:rsid w:val="00724DB2"/>
    <w:rsid w:val="00830116"/>
    <w:rsid w:val="0083760B"/>
    <w:rsid w:val="0087587D"/>
    <w:rsid w:val="00887589"/>
    <w:rsid w:val="008B18D5"/>
    <w:rsid w:val="008D12E4"/>
    <w:rsid w:val="00913E06"/>
    <w:rsid w:val="0098066F"/>
    <w:rsid w:val="00A86302"/>
    <w:rsid w:val="00A94F48"/>
    <w:rsid w:val="00AC5653"/>
    <w:rsid w:val="00B63BC6"/>
    <w:rsid w:val="00B67901"/>
    <w:rsid w:val="00B84D60"/>
    <w:rsid w:val="00BC33A0"/>
    <w:rsid w:val="00BF6D66"/>
    <w:rsid w:val="00C11476"/>
    <w:rsid w:val="00C511EC"/>
    <w:rsid w:val="00DB650F"/>
    <w:rsid w:val="00DC78D4"/>
    <w:rsid w:val="00EA577F"/>
    <w:rsid w:val="00FA2D73"/>
    <w:rsid w:val="00FE737A"/>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F313"/>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B18D5"/>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8B18D5"/>
    <w:pPr>
      <w:keepNext/>
      <w:spacing w:before="240" w:after="240"/>
      <w:jc w:val="center"/>
      <w:outlineLvl w:val="0"/>
    </w:pPr>
    <w:rPr>
      <w:b/>
      <w:caps/>
    </w:rPr>
  </w:style>
  <w:style w:type="paragraph" w:styleId="Heading2">
    <w:name w:val="heading 2"/>
    <w:basedOn w:val="Normal"/>
    <w:next w:val="Paragraph"/>
    <w:link w:val="Heading2Char"/>
    <w:qFormat/>
    <w:rsid w:val="008B18D5"/>
    <w:pPr>
      <w:keepNext/>
      <w:spacing w:before="240" w:after="240"/>
      <w:jc w:val="center"/>
      <w:outlineLvl w:val="1"/>
    </w:pPr>
    <w:rPr>
      <w:b/>
    </w:rPr>
  </w:style>
  <w:style w:type="paragraph" w:styleId="Heading3">
    <w:name w:val="heading 3"/>
    <w:basedOn w:val="Normal"/>
    <w:next w:val="Normal"/>
    <w:link w:val="Heading3Char"/>
    <w:qFormat/>
    <w:rsid w:val="008B18D5"/>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8B18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8D5"/>
  </w:style>
  <w:style w:type="paragraph" w:styleId="ListParagraph">
    <w:name w:val="List Paragraph"/>
    <w:basedOn w:val="Normal"/>
    <w:uiPriority w:val="34"/>
    <w:rsid w:val="008B18D5"/>
    <w:pPr>
      <w:ind w:left="720"/>
      <w:contextualSpacing/>
    </w:pPr>
  </w:style>
  <w:style w:type="character" w:styleId="Hyperlink">
    <w:name w:val="Hyperlink"/>
    <w:rsid w:val="008B18D5"/>
    <w:rPr>
      <w:color w:val="0000FF"/>
      <w:u w:val="single"/>
    </w:rPr>
  </w:style>
  <w:style w:type="character" w:customStyle="1" w:styleId="apple-converted-space">
    <w:name w:val="apple-converted-space"/>
    <w:basedOn w:val="DefaultParagraphFont"/>
    <w:rsid w:val="00460F58"/>
  </w:style>
  <w:style w:type="paragraph" w:customStyle="1" w:styleId="dx-doi">
    <w:name w:val="dx-doi"/>
    <w:basedOn w:val="Normal"/>
    <w:rsid w:val="00460F58"/>
    <w:pPr>
      <w:spacing w:before="100" w:beforeAutospacing="1" w:after="100" w:afterAutospacing="1"/>
    </w:pPr>
    <w:rPr>
      <w:szCs w:val="24"/>
      <w:lang w:eastAsia="en-GB"/>
    </w:rPr>
  </w:style>
  <w:style w:type="character" w:styleId="Strong">
    <w:name w:val="Strong"/>
    <w:basedOn w:val="DefaultParagraphFont"/>
    <w:uiPriority w:val="22"/>
    <w:qFormat/>
    <w:rsid w:val="008B18D5"/>
    <w:rPr>
      <w:b/>
      <w:bCs/>
    </w:rPr>
  </w:style>
  <w:style w:type="paragraph" w:customStyle="1" w:styleId="2Authors">
    <w:name w:val="2 Authors"/>
    <w:rsid w:val="00136833"/>
    <w:pPr>
      <w:spacing w:after="60" w:line="240" w:lineRule="auto"/>
    </w:pPr>
    <w:rPr>
      <w:rFonts w:ascii="Times New Roman" w:eastAsia="Times New Roman" w:hAnsi="Times New Roman" w:cs="Times New Roman"/>
      <w:b/>
      <w:kern w:val="0"/>
      <w:szCs w:val="20"/>
      <w:lang w:val="en-GB"/>
      <w14:ligatures w14:val="none"/>
    </w:rPr>
  </w:style>
  <w:style w:type="character" w:customStyle="1" w:styleId="Heading1Char">
    <w:name w:val="Heading 1 Char"/>
    <w:basedOn w:val="DefaultParagraphFont"/>
    <w:link w:val="Heading1"/>
    <w:rsid w:val="006B4C14"/>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6B4C14"/>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6B4C14"/>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8B18D5"/>
    <w:rPr>
      <w:sz w:val="16"/>
    </w:rPr>
  </w:style>
  <w:style w:type="character" w:customStyle="1" w:styleId="FootnoteTextChar">
    <w:name w:val="Footnote Text Char"/>
    <w:basedOn w:val="DefaultParagraphFont"/>
    <w:link w:val="FootnoteText"/>
    <w:semiHidden/>
    <w:rsid w:val="006B4C14"/>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8B18D5"/>
    <w:pPr>
      <w:spacing w:before="1200"/>
      <w:jc w:val="center"/>
    </w:pPr>
    <w:rPr>
      <w:b/>
      <w:sz w:val="36"/>
    </w:rPr>
  </w:style>
  <w:style w:type="paragraph" w:customStyle="1" w:styleId="AuthorName">
    <w:name w:val="Author Name"/>
    <w:basedOn w:val="Normal"/>
    <w:next w:val="AuthorAffiliation"/>
    <w:rsid w:val="008B18D5"/>
    <w:pPr>
      <w:spacing w:before="360" w:after="360"/>
      <w:jc w:val="center"/>
    </w:pPr>
    <w:rPr>
      <w:sz w:val="28"/>
    </w:rPr>
  </w:style>
  <w:style w:type="paragraph" w:customStyle="1" w:styleId="AuthorAffiliation">
    <w:name w:val="Author Affiliation"/>
    <w:basedOn w:val="Normal"/>
    <w:rsid w:val="008B18D5"/>
    <w:pPr>
      <w:jc w:val="center"/>
    </w:pPr>
    <w:rPr>
      <w:i/>
      <w:sz w:val="20"/>
    </w:rPr>
  </w:style>
  <w:style w:type="paragraph" w:customStyle="1" w:styleId="Abstract">
    <w:name w:val="Abstract"/>
    <w:basedOn w:val="Normal"/>
    <w:next w:val="Heading1"/>
    <w:rsid w:val="008B18D5"/>
    <w:pPr>
      <w:spacing w:before="360" w:after="360"/>
      <w:ind w:left="289" w:right="289"/>
      <w:jc w:val="both"/>
    </w:pPr>
    <w:rPr>
      <w:sz w:val="18"/>
    </w:rPr>
  </w:style>
  <w:style w:type="paragraph" w:customStyle="1" w:styleId="Paragraph">
    <w:name w:val="Paragraph"/>
    <w:basedOn w:val="Normal"/>
    <w:rsid w:val="008B18D5"/>
    <w:pPr>
      <w:ind w:firstLine="284"/>
      <w:jc w:val="both"/>
    </w:pPr>
    <w:rPr>
      <w:sz w:val="20"/>
    </w:rPr>
  </w:style>
  <w:style w:type="character" w:styleId="FootnoteReference">
    <w:name w:val="footnote reference"/>
    <w:semiHidden/>
    <w:rsid w:val="008B18D5"/>
    <w:rPr>
      <w:vertAlign w:val="superscript"/>
    </w:rPr>
  </w:style>
  <w:style w:type="paragraph" w:customStyle="1" w:styleId="Reference">
    <w:name w:val="Reference"/>
    <w:basedOn w:val="Paragraph"/>
    <w:rsid w:val="008B18D5"/>
    <w:pPr>
      <w:numPr>
        <w:numId w:val="17"/>
      </w:numPr>
      <w:ind w:left="426" w:hanging="426"/>
    </w:pPr>
  </w:style>
  <w:style w:type="paragraph" w:customStyle="1" w:styleId="FigureCaption">
    <w:name w:val="Figure Caption"/>
    <w:next w:val="Paragraph"/>
    <w:rsid w:val="008B18D5"/>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8B18D5"/>
    <w:pPr>
      <w:keepNext/>
      <w:ind w:firstLine="0"/>
      <w:jc w:val="center"/>
    </w:pPr>
  </w:style>
  <w:style w:type="paragraph" w:customStyle="1" w:styleId="Equation">
    <w:name w:val="Equation"/>
    <w:basedOn w:val="Paragraph"/>
    <w:rsid w:val="008B18D5"/>
    <w:pPr>
      <w:tabs>
        <w:tab w:val="center" w:pos="4320"/>
        <w:tab w:val="right" w:pos="9242"/>
      </w:tabs>
      <w:ind w:firstLine="0"/>
      <w:jc w:val="center"/>
    </w:pPr>
  </w:style>
  <w:style w:type="paragraph" w:styleId="BalloonText">
    <w:name w:val="Balloon Text"/>
    <w:basedOn w:val="Normal"/>
    <w:link w:val="BalloonTextChar"/>
    <w:rsid w:val="008B18D5"/>
    <w:rPr>
      <w:rFonts w:ascii="Tahoma" w:hAnsi="Tahoma" w:cs="Tahoma"/>
      <w:sz w:val="16"/>
      <w:szCs w:val="16"/>
    </w:rPr>
  </w:style>
  <w:style w:type="character" w:customStyle="1" w:styleId="BalloonTextChar">
    <w:name w:val="Balloon Text Char"/>
    <w:basedOn w:val="DefaultParagraphFont"/>
    <w:link w:val="BalloonText"/>
    <w:rsid w:val="008B18D5"/>
    <w:rPr>
      <w:rFonts w:ascii="Tahoma" w:eastAsia="Times New Roman" w:hAnsi="Tahoma" w:cs="Tahoma"/>
      <w:kern w:val="0"/>
      <w:sz w:val="16"/>
      <w:szCs w:val="16"/>
      <w:lang w:val="en-US"/>
      <w14:ligatures w14:val="none"/>
    </w:rPr>
  </w:style>
  <w:style w:type="table" w:styleId="TableGrid">
    <w:name w:val="Table Grid"/>
    <w:basedOn w:val="TableNormal"/>
    <w:rsid w:val="008B18D5"/>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B18D5"/>
    <w:pPr>
      <w:numPr>
        <w:numId w:val="16"/>
      </w:numPr>
      <w:ind w:left="641" w:hanging="357"/>
    </w:pPr>
  </w:style>
  <w:style w:type="paragraph" w:customStyle="1" w:styleId="AuthorEmail">
    <w:name w:val="Author Email"/>
    <w:basedOn w:val="Normal"/>
    <w:qFormat/>
    <w:rsid w:val="008B18D5"/>
    <w:pPr>
      <w:jc w:val="center"/>
    </w:pPr>
    <w:rPr>
      <w:sz w:val="20"/>
    </w:rPr>
  </w:style>
  <w:style w:type="paragraph" w:styleId="NormalWeb">
    <w:name w:val="Normal (Web)"/>
    <w:basedOn w:val="Normal"/>
    <w:uiPriority w:val="99"/>
    <w:unhideWhenUsed/>
    <w:rsid w:val="008B18D5"/>
    <w:pPr>
      <w:spacing w:before="100" w:beforeAutospacing="1" w:after="100" w:afterAutospacing="1"/>
    </w:pPr>
    <w:rPr>
      <w:szCs w:val="24"/>
      <w:lang w:val="en-GB" w:eastAsia="en-GB"/>
    </w:rPr>
  </w:style>
  <w:style w:type="character" w:styleId="Emphasis">
    <w:name w:val="Emphasis"/>
    <w:basedOn w:val="DefaultParagraphFont"/>
    <w:uiPriority w:val="20"/>
    <w:qFormat/>
    <w:rsid w:val="008B18D5"/>
    <w:rPr>
      <w:i/>
      <w:iCs/>
    </w:rPr>
  </w:style>
  <w:style w:type="paragraph" w:customStyle="1" w:styleId="TableCaption">
    <w:name w:val="Table Caption"/>
    <w:basedOn w:val="FigureCaption"/>
    <w:qFormat/>
    <w:rsid w:val="008B18D5"/>
    <w:rPr>
      <w:szCs w:val="18"/>
    </w:rPr>
  </w:style>
  <w:style w:type="paragraph" w:customStyle="1" w:styleId="Paragraphnumbered">
    <w:name w:val="Paragraph (numbered)"/>
    <w:rsid w:val="008B18D5"/>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8B18D5"/>
    <w:rPr>
      <w:color w:val="808080"/>
      <w:shd w:val="clear" w:color="auto" w:fill="E6E6E6"/>
    </w:rPr>
  </w:style>
  <w:style w:type="character" w:styleId="CommentReference">
    <w:name w:val="annotation reference"/>
    <w:basedOn w:val="DefaultParagraphFont"/>
    <w:semiHidden/>
    <w:unhideWhenUsed/>
    <w:rsid w:val="008B18D5"/>
    <w:rPr>
      <w:sz w:val="16"/>
      <w:szCs w:val="16"/>
    </w:rPr>
  </w:style>
  <w:style w:type="paragraph" w:styleId="CommentText">
    <w:name w:val="annotation text"/>
    <w:basedOn w:val="Normal"/>
    <w:link w:val="CommentTextChar"/>
    <w:semiHidden/>
    <w:unhideWhenUsed/>
    <w:rsid w:val="008B18D5"/>
    <w:rPr>
      <w:sz w:val="20"/>
    </w:rPr>
  </w:style>
  <w:style w:type="character" w:customStyle="1" w:styleId="CommentTextChar">
    <w:name w:val="Comment Text Char"/>
    <w:basedOn w:val="DefaultParagraphFont"/>
    <w:link w:val="CommentText"/>
    <w:semiHidden/>
    <w:rsid w:val="008B18D5"/>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8B18D5"/>
    <w:rPr>
      <w:b/>
      <w:bCs/>
    </w:rPr>
  </w:style>
  <w:style w:type="character" w:customStyle="1" w:styleId="CommentSubjectChar">
    <w:name w:val="Comment Subject Char"/>
    <w:basedOn w:val="CommentTextChar"/>
    <w:link w:val="CommentSubject"/>
    <w:semiHidden/>
    <w:rsid w:val="008B18D5"/>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9072">
      <w:bodyDiv w:val="1"/>
      <w:marLeft w:val="0"/>
      <w:marRight w:val="0"/>
      <w:marTop w:val="0"/>
      <w:marBottom w:val="0"/>
      <w:divBdr>
        <w:top w:val="none" w:sz="0" w:space="0" w:color="auto"/>
        <w:left w:val="none" w:sz="0" w:space="0" w:color="auto"/>
        <w:bottom w:val="none" w:sz="0" w:space="0" w:color="auto"/>
        <w:right w:val="none" w:sz="0" w:space="0" w:color="auto"/>
      </w:divBdr>
    </w:div>
    <w:div w:id="64960256">
      <w:bodyDiv w:val="1"/>
      <w:marLeft w:val="0"/>
      <w:marRight w:val="0"/>
      <w:marTop w:val="0"/>
      <w:marBottom w:val="0"/>
      <w:divBdr>
        <w:top w:val="none" w:sz="0" w:space="0" w:color="auto"/>
        <w:left w:val="none" w:sz="0" w:space="0" w:color="auto"/>
        <w:bottom w:val="none" w:sz="0" w:space="0" w:color="auto"/>
        <w:right w:val="none" w:sz="0" w:space="0" w:color="auto"/>
      </w:divBdr>
    </w:div>
    <w:div w:id="160587488">
      <w:bodyDiv w:val="1"/>
      <w:marLeft w:val="0"/>
      <w:marRight w:val="0"/>
      <w:marTop w:val="0"/>
      <w:marBottom w:val="0"/>
      <w:divBdr>
        <w:top w:val="none" w:sz="0" w:space="0" w:color="auto"/>
        <w:left w:val="none" w:sz="0" w:space="0" w:color="auto"/>
        <w:bottom w:val="none" w:sz="0" w:space="0" w:color="auto"/>
        <w:right w:val="none" w:sz="0" w:space="0" w:color="auto"/>
      </w:divBdr>
    </w:div>
    <w:div w:id="598492652">
      <w:bodyDiv w:val="1"/>
      <w:marLeft w:val="0"/>
      <w:marRight w:val="0"/>
      <w:marTop w:val="0"/>
      <w:marBottom w:val="0"/>
      <w:divBdr>
        <w:top w:val="none" w:sz="0" w:space="0" w:color="auto"/>
        <w:left w:val="none" w:sz="0" w:space="0" w:color="auto"/>
        <w:bottom w:val="none" w:sz="0" w:space="0" w:color="auto"/>
        <w:right w:val="none" w:sz="0" w:space="0" w:color="auto"/>
      </w:divBdr>
    </w:div>
    <w:div w:id="728066721">
      <w:bodyDiv w:val="1"/>
      <w:marLeft w:val="0"/>
      <w:marRight w:val="0"/>
      <w:marTop w:val="0"/>
      <w:marBottom w:val="0"/>
      <w:divBdr>
        <w:top w:val="none" w:sz="0" w:space="0" w:color="auto"/>
        <w:left w:val="none" w:sz="0" w:space="0" w:color="auto"/>
        <w:bottom w:val="none" w:sz="0" w:space="0" w:color="auto"/>
        <w:right w:val="none" w:sz="0" w:space="0" w:color="auto"/>
      </w:divBdr>
    </w:div>
    <w:div w:id="794179290">
      <w:bodyDiv w:val="1"/>
      <w:marLeft w:val="0"/>
      <w:marRight w:val="0"/>
      <w:marTop w:val="0"/>
      <w:marBottom w:val="0"/>
      <w:divBdr>
        <w:top w:val="none" w:sz="0" w:space="0" w:color="auto"/>
        <w:left w:val="none" w:sz="0" w:space="0" w:color="auto"/>
        <w:bottom w:val="none" w:sz="0" w:space="0" w:color="auto"/>
        <w:right w:val="none" w:sz="0" w:space="0" w:color="auto"/>
      </w:divBdr>
    </w:div>
    <w:div w:id="1133595319">
      <w:bodyDiv w:val="1"/>
      <w:marLeft w:val="0"/>
      <w:marRight w:val="0"/>
      <w:marTop w:val="0"/>
      <w:marBottom w:val="0"/>
      <w:divBdr>
        <w:top w:val="none" w:sz="0" w:space="0" w:color="auto"/>
        <w:left w:val="none" w:sz="0" w:space="0" w:color="auto"/>
        <w:bottom w:val="none" w:sz="0" w:space="0" w:color="auto"/>
        <w:right w:val="none" w:sz="0" w:space="0" w:color="auto"/>
      </w:divBdr>
    </w:div>
    <w:div w:id="1174874842">
      <w:bodyDiv w:val="1"/>
      <w:marLeft w:val="0"/>
      <w:marRight w:val="0"/>
      <w:marTop w:val="0"/>
      <w:marBottom w:val="0"/>
      <w:divBdr>
        <w:top w:val="none" w:sz="0" w:space="0" w:color="auto"/>
        <w:left w:val="none" w:sz="0" w:space="0" w:color="auto"/>
        <w:bottom w:val="none" w:sz="0" w:space="0" w:color="auto"/>
        <w:right w:val="none" w:sz="0" w:space="0" w:color="auto"/>
      </w:divBdr>
    </w:div>
    <w:div w:id="1228682972">
      <w:bodyDiv w:val="1"/>
      <w:marLeft w:val="0"/>
      <w:marRight w:val="0"/>
      <w:marTop w:val="0"/>
      <w:marBottom w:val="0"/>
      <w:divBdr>
        <w:top w:val="none" w:sz="0" w:space="0" w:color="auto"/>
        <w:left w:val="none" w:sz="0" w:space="0" w:color="auto"/>
        <w:bottom w:val="none" w:sz="0" w:space="0" w:color="auto"/>
        <w:right w:val="none" w:sz="0" w:space="0" w:color="auto"/>
      </w:divBdr>
    </w:div>
    <w:div w:id="1332104782">
      <w:bodyDiv w:val="1"/>
      <w:marLeft w:val="0"/>
      <w:marRight w:val="0"/>
      <w:marTop w:val="0"/>
      <w:marBottom w:val="0"/>
      <w:divBdr>
        <w:top w:val="none" w:sz="0" w:space="0" w:color="auto"/>
        <w:left w:val="none" w:sz="0" w:space="0" w:color="auto"/>
        <w:bottom w:val="none" w:sz="0" w:space="0" w:color="auto"/>
        <w:right w:val="none" w:sz="0" w:space="0" w:color="auto"/>
      </w:divBdr>
    </w:div>
    <w:div w:id="1604023726">
      <w:bodyDiv w:val="1"/>
      <w:marLeft w:val="0"/>
      <w:marRight w:val="0"/>
      <w:marTop w:val="0"/>
      <w:marBottom w:val="0"/>
      <w:divBdr>
        <w:top w:val="none" w:sz="0" w:space="0" w:color="auto"/>
        <w:left w:val="none" w:sz="0" w:space="0" w:color="auto"/>
        <w:bottom w:val="none" w:sz="0" w:space="0" w:color="auto"/>
        <w:right w:val="none" w:sz="0" w:space="0" w:color="auto"/>
      </w:divBdr>
    </w:div>
    <w:div w:id="1691445767">
      <w:bodyDiv w:val="1"/>
      <w:marLeft w:val="0"/>
      <w:marRight w:val="0"/>
      <w:marTop w:val="0"/>
      <w:marBottom w:val="0"/>
      <w:divBdr>
        <w:top w:val="none" w:sz="0" w:space="0" w:color="auto"/>
        <w:left w:val="none" w:sz="0" w:space="0" w:color="auto"/>
        <w:bottom w:val="none" w:sz="0" w:space="0" w:color="auto"/>
        <w:right w:val="none" w:sz="0" w:space="0" w:color="auto"/>
      </w:divBdr>
    </w:div>
    <w:div w:id="183313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4271/05-18-02-0015" TargetMode="External"/><Relationship Id="rId18" Type="http://schemas.openxmlformats.org/officeDocument/2006/relationships/hyperlink" Target="https://doi.org/10.1016/j.jwpe.2024.104778" TargetMode="External"/><Relationship Id="rId26" Type="http://schemas.openxmlformats.org/officeDocument/2006/relationships/hyperlink" Target="https://doi.org/10.1007/s11665-025-11873-4" TargetMode="External"/><Relationship Id="rId39" Type="http://schemas.openxmlformats.org/officeDocument/2006/relationships/hyperlink" Target="https://doi.org/10.1007/s11029-025-10305-7" TargetMode="External"/><Relationship Id="rId21" Type="http://schemas.openxmlformats.org/officeDocument/2006/relationships/hyperlink" Target="http://dx.doi.org/10.29228/ijastech..1528281" TargetMode="External"/><Relationship Id="rId34" Type="http://schemas.openxmlformats.org/officeDocument/2006/relationships/hyperlink" Target="https://doi.org/10.1007/s10973-025-14427-x" TargetMode="External"/><Relationship Id="rId42" Type="http://schemas.openxmlformats.org/officeDocument/2006/relationships/hyperlink" Target="https://doi.org/10.1080/15325008.2024.2337218" TargetMode="Externa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doi.org/10.4271/2023-01-5115" TargetMode="External"/><Relationship Id="rId29" Type="http://schemas.openxmlformats.org/officeDocument/2006/relationships/hyperlink" Target="https://doi.org/10.1007/s12206-024-1216-4"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80/15325008.2024.2337217" TargetMode="External"/><Relationship Id="rId24" Type="http://schemas.openxmlformats.org/officeDocument/2006/relationships/hyperlink" Target="https://doi.org/10.1007/s10973-025-14305-6" TargetMode="External"/><Relationship Id="rId32" Type="http://schemas.openxmlformats.org/officeDocument/2006/relationships/hyperlink" Target="https://doi.org/10.1007/s10854-025-15203-1" TargetMode="External"/><Relationship Id="rId37" Type="http://schemas.openxmlformats.org/officeDocument/2006/relationships/hyperlink" Target="https://doi.org/10.1109/ICOECA62351.2024.00111" TargetMode="External"/><Relationship Id="rId40" Type="http://schemas.openxmlformats.org/officeDocument/2006/relationships/hyperlink" Target="https://doi.org/10.4271/2024-01-5031" TargetMode="External"/><Relationship Id="rId45" Type="http://schemas.openxmlformats.org/officeDocument/2006/relationships/fontTable" Target="fontTable.xml"/><Relationship Id="rId5" Type="http://schemas.openxmlformats.org/officeDocument/2006/relationships/hyperlink" Target="mailto:vijayanandh.raja@gmail.com" TargetMode="External"/><Relationship Id="rId15" Type="http://schemas.openxmlformats.org/officeDocument/2006/relationships/hyperlink" Target="https://doi.org/10.1109/IC2PCT60090.2024.10486802" TargetMode="External"/><Relationship Id="rId23" Type="http://schemas.openxmlformats.org/officeDocument/2006/relationships/hyperlink" Target="https://doi.org/10.1515/ipp-2024-0152" TargetMode="External"/><Relationship Id="rId28" Type="http://schemas.openxmlformats.org/officeDocument/2006/relationships/hyperlink" Target="https://doi.org/10.1007/s12206-024-1219-1" TargetMode="External"/><Relationship Id="rId36" Type="http://schemas.openxmlformats.org/officeDocument/2006/relationships/hyperlink" Target="https://doi.org/10.1007/s12206-025-0620-8" TargetMode="External"/><Relationship Id="rId10" Type="http://schemas.openxmlformats.org/officeDocument/2006/relationships/hyperlink" Target="https://doi.org/10.4271/2024-01-5009" TargetMode="External"/><Relationship Id="rId19" Type="http://schemas.openxmlformats.org/officeDocument/2006/relationships/hyperlink" Target="https://doi.org/10.3390/engproc2024061015" TargetMode="External"/><Relationship Id="rId31" Type="http://schemas.openxmlformats.org/officeDocument/2006/relationships/hyperlink" Target="https://doi.org/10.1007/s11664-025-12174-1" TargetMode="External"/><Relationship Id="rId44" Type="http://schemas.openxmlformats.org/officeDocument/2006/relationships/hyperlink" Target="https://doi.org/10.3390/engproc2024061009"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109/ICICT60155.2024.10544835" TargetMode="External"/><Relationship Id="rId22" Type="http://schemas.openxmlformats.org/officeDocument/2006/relationships/hyperlink" Target="https://doi.org/10.1080/15325008.2024.2337217" TargetMode="External"/><Relationship Id="rId27" Type="http://schemas.openxmlformats.org/officeDocument/2006/relationships/hyperlink" Target="https://doi.org/10.1080/13640461.2024.2447101" TargetMode="External"/><Relationship Id="rId30" Type="http://schemas.openxmlformats.org/officeDocument/2006/relationships/hyperlink" Target="https://doi.org/10.1007/s12206-025-0723-2" TargetMode="External"/><Relationship Id="rId35" Type="http://schemas.openxmlformats.org/officeDocument/2006/relationships/hyperlink" Target="https://doi.org/10.1007/s12206-025-0513-x" TargetMode="External"/><Relationship Id="rId43" Type="http://schemas.openxmlformats.org/officeDocument/2006/relationships/hyperlink" Target="https://doi.org/10.1016/j.csite.2024.104780" TargetMode="Externa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hyperlink" Target="https://doi.org/10.1080/15325008.2023.2300329" TargetMode="External"/><Relationship Id="rId17" Type="http://schemas.openxmlformats.org/officeDocument/2006/relationships/hyperlink" Target="https://doi.org/10.1080/15325008.2023.2300329" TargetMode="External"/><Relationship Id="rId25" Type="http://schemas.openxmlformats.org/officeDocument/2006/relationships/hyperlink" Target="https://doi.org/10.1007/s10854-024-14135-6" TargetMode="External"/><Relationship Id="rId33" Type="http://schemas.openxmlformats.org/officeDocument/2006/relationships/hyperlink" Target="https://doi.org/10.1007/s12206-025-0622-6" TargetMode="External"/><Relationship Id="rId38" Type="http://schemas.openxmlformats.org/officeDocument/2006/relationships/hyperlink" Target="https://doi.org/10.1109/ASSIC60049.2024.10507990" TargetMode="External"/><Relationship Id="rId46" Type="http://schemas.openxmlformats.org/officeDocument/2006/relationships/theme" Target="theme/theme1.xml"/><Relationship Id="rId20" Type="http://schemas.openxmlformats.org/officeDocument/2006/relationships/hyperlink" Target="https://doi.org/10.1007/s11664-024-11669-7" TargetMode="External"/><Relationship Id="rId41" Type="http://schemas.openxmlformats.org/officeDocument/2006/relationships/hyperlink" Target="https://doi.org/10.1016/j.prp.2024.155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19</TotalTime>
  <Pages>7</Pages>
  <Words>4501</Words>
  <Characters>25660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35</cp:revision>
  <dcterms:created xsi:type="dcterms:W3CDTF">2025-07-21T09:01:00Z</dcterms:created>
  <dcterms:modified xsi:type="dcterms:W3CDTF">2025-09-14T11:15:00Z</dcterms:modified>
</cp:coreProperties>
</file>