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BB984" w14:textId="08C77BCA" w:rsidR="00991FEA" w:rsidRDefault="00991FEA" w:rsidP="00E80726">
      <w:pPr>
        <w:pStyle w:val="PaperTitle"/>
      </w:pPr>
      <w:r>
        <w:t xml:space="preserve">Experimental </w:t>
      </w:r>
      <w:r w:rsidR="00E45537">
        <w:t xml:space="preserve">Investigations of </w:t>
      </w:r>
      <w:r w:rsidRPr="00991FEA">
        <w:t xml:space="preserve">Fuel's </w:t>
      </w:r>
      <w:r w:rsidR="00E45537" w:rsidRPr="00991FEA">
        <w:t xml:space="preserve">Implications </w:t>
      </w:r>
      <w:r w:rsidR="00E45537">
        <w:t>f</w:t>
      </w:r>
      <w:r w:rsidR="00E45537" w:rsidRPr="00991FEA">
        <w:t xml:space="preserve">or </w:t>
      </w:r>
      <w:r w:rsidR="00E45537">
        <w:t>a</w:t>
      </w:r>
      <w:r w:rsidR="00E45537" w:rsidRPr="00991FEA">
        <w:t xml:space="preserve"> Micro Swirl Combustible Generating Mechanism's Performances</w:t>
      </w:r>
    </w:p>
    <w:p w14:paraId="41B70E86" w14:textId="025F99AD" w:rsidR="0060203F" w:rsidRPr="0060203F" w:rsidRDefault="0060203F" w:rsidP="00E80726">
      <w:pPr>
        <w:pStyle w:val="AuthorName"/>
      </w:pPr>
      <w:r w:rsidRPr="0060203F">
        <w:t>B Harichandana</w:t>
      </w:r>
      <w:r w:rsidRPr="0060203F">
        <w:rPr>
          <w:vertAlign w:val="superscript"/>
        </w:rPr>
        <w:t>1</w:t>
      </w:r>
      <w:r w:rsidRPr="0060203F">
        <w:t>, S Kaliappan</w:t>
      </w:r>
      <w:proofErr w:type="gramStart"/>
      <w:r w:rsidRPr="0060203F">
        <w:rPr>
          <w:vertAlign w:val="superscript"/>
        </w:rPr>
        <w:t>2</w:t>
      </w:r>
      <w:r w:rsidR="00E80726">
        <w:rPr>
          <w:vertAlign w:val="superscript"/>
        </w:rPr>
        <w:t>,a</w:t>
      </w:r>
      <w:proofErr w:type="gramEnd"/>
      <w:r w:rsidR="00E80726">
        <w:rPr>
          <w:vertAlign w:val="superscript"/>
        </w:rPr>
        <w:t>)</w:t>
      </w:r>
    </w:p>
    <w:p w14:paraId="446D87E0" w14:textId="0E6E1835" w:rsidR="0060203F" w:rsidRPr="0060203F" w:rsidRDefault="0060203F" w:rsidP="00E80726">
      <w:pPr>
        <w:pStyle w:val="AuthorAffiliation"/>
      </w:pPr>
      <w:r w:rsidRPr="0060203F">
        <w:rPr>
          <w:vertAlign w:val="superscript"/>
        </w:rPr>
        <w:t xml:space="preserve">1 </w:t>
      </w:r>
      <w:r w:rsidR="00803127" w:rsidRPr="0060203F">
        <w:t>Department</w:t>
      </w:r>
      <w:r w:rsidRPr="0060203F">
        <w:t xml:space="preserve"> of ECE, </w:t>
      </w:r>
      <w:r w:rsidR="009E4D35" w:rsidRPr="008A387E">
        <w:t>Mohan Babu University, Tirupati, Andhra Pradesh - 517102, India.</w:t>
      </w:r>
    </w:p>
    <w:p w14:paraId="398D276C" w14:textId="7BB84BA0" w:rsidR="0060203F" w:rsidRPr="0060203F" w:rsidRDefault="0060203F" w:rsidP="00E80726">
      <w:pPr>
        <w:pStyle w:val="AuthorAffiliation"/>
      </w:pPr>
      <w:r w:rsidRPr="0060203F">
        <w:rPr>
          <w:vertAlign w:val="superscript"/>
        </w:rPr>
        <w:t xml:space="preserve">2 </w:t>
      </w:r>
      <w:r w:rsidRPr="0060203F">
        <w:t>Division of Research and Development, Lovely Professional University, Jalandhar - Delhi G.</w:t>
      </w:r>
      <w:proofErr w:type="gramStart"/>
      <w:r w:rsidRPr="0060203F">
        <w:t>T.Road</w:t>
      </w:r>
      <w:proofErr w:type="gramEnd"/>
      <w:r w:rsidRPr="0060203F">
        <w:t>, Phagwara, Punjab (India) – 144411.</w:t>
      </w:r>
    </w:p>
    <w:p w14:paraId="2B889F6C" w14:textId="614446FC" w:rsidR="007F1DD0" w:rsidRPr="00E80726" w:rsidRDefault="007F1DD0" w:rsidP="00E80726">
      <w:pPr>
        <w:pStyle w:val="AuthorEmail"/>
      </w:pPr>
      <w:r w:rsidRPr="00E80726">
        <w:t xml:space="preserve">Corresponding author: </w:t>
      </w:r>
      <w:r w:rsidR="00E80726">
        <w:rPr>
          <w:vertAlign w:val="superscript"/>
        </w:rPr>
        <w:t>a)</w:t>
      </w:r>
      <w:hyperlink r:id="rId5" w:history="1">
        <w:r w:rsidR="00E80726" w:rsidRPr="0025010A">
          <w:rPr>
            <w:rStyle w:val="Hyperlink"/>
          </w:rPr>
          <w:t>srini.kal_lpu@yahoo.com</w:t>
        </w:r>
      </w:hyperlink>
    </w:p>
    <w:p w14:paraId="7481CFD7" w14:textId="77777777" w:rsidR="00E80726" w:rsidRDefault="00473B13" w:rsidP="00E80726">
      <w:pPr>
        <w:pStyle w:val="Abstract"/>
      </w:pPr>
      <w:r>
        <w:rPr>
          <w:b/>
          <w:bCs/>
        </w:rPr>
        <w:t>Abstract</w:t>
      </w:r>
      <w:r w:rsidR="00E80726">
        <w:rPr>
          <w:b/>
          <w:bCs/>
        </w:rPr>
        <w:t xml:space="preserve">: </w:t>
      </w:r>
      <w:r w:rsidR="00991FEA" w:rsidRPr="00991FEA">
        <w:t>In this research, methane, which includes gasoline, n-butane, and i-butane/air mixes, has been employed to examine the properties of the tiny swirling combust generator. Different equivalency ratio settings were investigated for the system's production and carbon dioxide emissions. According to the study results, methanol produced 20.0 W under balanced conditions using a 600 W heat intake. The power generated is clearly larger compared to that produced by other fuels, such as lpg (18.1 W), n-but (18.6 W), and i-butane (18.0 W). Additionally, when the equibalance proportion declined, the disparity in power output between the three fuels grew wider; that is, under resource-dry conditions, the resulting strength of gasoline, N-butane, and i-butane significantly reduced, especially 0.9. It was discovered that when output power decreased, output power rose because the temperatures of the waste gases grew monotonically. It was evident from the flame's look produced by the quartz commutator that, when using the two gases, the fire brightness close to the flame's core diminished under fuel-lean circumstances. Since chlorine did not exhibit this decreasing effect, it is thought that this molecular number effect may have a role in the strengthening of the flame bases of the two gases, which would result in a sharp reduction in the heat input under fuel-lean circumstances for these fuels.</w:t>
      </w:r>
      <w:r w:rsidR="00E80726">
        <w:t xml:space="preserve"> </w:t>
      </w:r>
    </w:p>
    <w:p w14:paraId="776F46E5" w14:textId="249B4A65" w:rsidR="00473B13" w:rsidRDefault="00473B13" w:rsidP="00E80726">
      <w:pPr>
        <w:pStyle w:val="Abstract"/>
      </w:pPr>
      <w:r w:rsidRPr="00473B13">
        <w:rPr>
          <w:b/>
          <w:bCs/>
        </w:rPr>
        <w:t xml:space="preserve">Keywords: </w:t>
      </w:r>
      <w:r w:rsidRPr="00473B13">
        <w:t>Miniature; Power system; Fuel flow; Heat transfer; N-butane; Air mixture.</w:t>
      </w:r>
    </w:p>
    <w:p w14:paraId="00F40E10" w14:textId="72A59B3B" w:rsidR="00473B13" w:rsidRDefault="00473B13" w:rsidP="00E80726">
      <w:pPr>
        <w:pStyle w:val="Heading1"/>
      </w:pPr>
      <w:r w:rsidRPr="00473B13">
        <w:t>Introduction</w:t>
      </w:r>
    </w:p>
    <w:p w14:paraId="775FAD70" w14:textId="523C87D1" w:rsidR="00473B13" w:rsidRDefault="00991FEA" w:rsidP="00E80726">
      <w:pPr>
        <w:pStyle w:val="Paragraph"/>
      </w:pPr>
      <w:r w:rsidRPr="00991FEA">
        <w:t>The need for compact sources of energy has drawn a lot of interest in meso- and micro-combustors. A range of tiny burners, including the mini-Swiss rolling combination, mini-catalysis of the combust, and tiny swirling burners, have been developed in the past ten years that are capable of converting the biological entropy of fuel derived from hydrocarbons into heat. Numerous renewable energy gadgets, or tiny combustion generators, have emerged as a result of the advancement of these tiny-scale engines</w:t>
      </w:r>
      <w:r w:rsidR="00F6144B">
        <w:t xml:space="preserve"> [1]</w:t>
      </w:r>
      <w:r w:rsidRPr="00991FEA">
        <w:t>. Using a thermo-electric gadget (TED) and catalyst combination, Watanabe created a novel small catalyst electrical system that achieved 210 mW of power with a 4.0% rate of conversion. Utilising a three-step combustor, the researchers Yadav et al. produced a high-effectiveness generator with a power rating of 2.35W and an efficiency of</w:t>
      </w:r>
      <w:r>
        <w:t xml:space="preserve"> </w:t>
      </w:r>
      <w:r w:rsidRPr="00991FEA">
        <w:t>4.6%. Merotto and colleagues devised a potent apparatus that used a catalytic combustor to generate 9.86 W of electric power while consuming 417 A of heat inputs. In earlier research, a vortex combination and TED were used to create a very potent "vortex combust power source." It was discovered that the tornado movement of the combination in the structure could stabilise an enormous surface fire in snug pipes. This led to an upsurge in the mix usage rate and, therefore, in the heat output of the micro cyclone combination. Consequently, the small-scale business swirling combination (60 × 60 × 20 mm) received a 600W heat output boost. In addition, it was discovered that the air's swirling movement greatly increased the convective movement of heat within the consumed air to the combination walls</w:t>
      </w:r>
      <w:r w:rsidR="00F6144B">
        <w:t xml:space="preserve"> [2,3]</w:t>
      </w:r>
      <w:r w:rsidRPr="00991FEA">
        <w:t>.</w:t>
      </w:r>
      <w:r w:rsidR="00473B13" w:rsidRPr="00473B13">
        <w:t xml:space="preserve"> </w:t>
      </w:r>
    </w:p>
    <w:p w14:paraId="18A2483E" w14:textId="5757C9DA" w:rsidR="00473B13" w:rsidRDefault="00991FEA" w:rsidP="00E80726">
      <w:pPr>
        <w:pStyle w:val="Paragraph"/>
      </w:pPr>
      <w:r w:rsidRPr="00991FEA">
        <w:t xml:space="preserve">As a result, in the short canal, more than 85% of the heat input went to the combustion area. As a result, with 600 W of inputs, the system's production reached 18.1 W. It could be the initial small-scale combustible generator that has a 3.0% overall conversion ratio and produces significantly more than 10 W. In earlier research involving the vortex burning generator, propane was used as fuel since it is easily liquefied when pressurised and doesn't require the assistance of distinctive evaporated water methods like electro-tiny apply or film burning as it is in a gaseous form in normal conditions. Butane (C4H10) must also be investigated in light of its practical </w:t>
      </w:r>
      <w:r w:rsidRPr="00991FEA">
        <w:lastRenderedPageBreak/>
        <w:t>use since n- and i-butane are included in "fuel cartridges" for transportable sources of electricity, in addition to LPG. The differing shear speed of flame and igniting delay period between n-butane and i-butane are two of their chemical attributes; therefore, the discrepancies in their burning characteristics are additionally of significant importance from a basic standpoint. Moreover, the flame is greatly extended in the tiny vortex both, which raises a further issue of attraction: the impacts of the mixture's Lewis numbers. In a previous fundamental study, the mixture's Lewis's amount had been deliberately manipulated by varying the inertia of the power and oxidizers. It emerged that Lewis the amount operation, not the combinations' adiabatic flame temperatures or consuming speed, ruled the spread of flame limits in tiny vortex-like circulation</w:t>
      </w:r>
      <w:r w:rsidR="00F6144B">
        <w:t xml:space="preserve"> [4]</w:t>
      </w:r>
      <w:r w:rsidRPr="00991FEA">
        <w:t>.</w:t>
      </w:r>
      <w:r w:rsidR="00473B13" w:rsidRPr="00473B13">
        <w:t xml:space="preserve"> </w:t>
      </w:r>
    </w:p>
    <w:p w14:paraId="45A7E929" w14:textId="1A100626" w:rsidR="00473B13" w:rsidRDefault="00835E78" w:rsidP="00E80726">
      <w:pPr>
        <w:pStyle w:val="Paragraph"/>
      </w:pPr>
      <w:r w:rsidRPr="00835E78">
        <w:t>This is recognised because altering the fuel may also significantly alter the mixture's Lewis number. Accordingly, hydrogen is additionally employed as energy in this investigation to look at how the Reynolds ratio affects the vortex's ignition power and the system's efficiency. Next, under different equivalency ratio settings, system efficiency and carbon dioxide emissions for gasoline, n-butane, i-butane, and gas were investigated in this research. Lastly, the combustion process was directly witnessed using an optically transparent swirling combiner.</w:t>
      </w:r>
    </w:p>
    <w:p w14:paraId="32F23F51" w14:textId="0798BDDB" w:rsidR="00473B13" w:rsidRDefault="00473B13" w:rsidP="00E80726">
      <w:pPr>
        <w:pStyle w:val="Heading1"/>
      </w:pPr>
      <w:r w:rsidRPr="00473B13">
        <w:t>Experimental works</w:t>
      </w:r>
    </w:p>
    <w:p w14:paraId="2ECDBACE" w14:textId="15497292" w:rsidR="00835E78" w:rsidRDefault="00835E78" w:rsidP="00E80726">
      <w:pPr>
        <w:pStyle w:val="Paragraph"/>
      </w:pPr>
      <w:r w:rsidRPr="00835E78">
        <w:t xml:space="preserve">The vortex of an ignition-generating method's look (A) and design (B) are </w:t>
      </w:r>
      <w:r w:rsidR="00F6144B">
        <w:t>previously demonstrated</w:t>
      </w:r>
      <w:r w:rsidRPr="00835E78">
        <w:t xml:space="preserve">. Its specifics are explained in the references. Chilling dishes, thermo-electric circuits (TEDs), and a heating medium make up the structure of the system. A 10.0-mm inside vortex flame chamber is constructed in the 52 × 52 × 13 mm thermal source. While their cold ends are in contact with the cooling with water brass dishes, a few TEDs are joined in line with and in proximity to the heating source on their hot surfaces. Table </w:t>
      </w:r>
      <w:r w:rsidR="00F6144B">
        <w:t>also</w:t>
      </w:r>
      <w:r w:rsidRPr="00835E78">
        <w:t xml:space="preserve"> displays the TEDs' specifics. n-butane, i-butane, propane, and gas were the four fuels employed in this research to examine their impacts. The atmosphere and hydrocarbons are blended in line after having their rate of flow measured independently. A flow line within the thermal substrate is </w:t>
      </w:r>
      <w:r w:rsidR="00F6144B">
        <w:t>provided</w:t>
      </w:r>
      <w:r w:rsidRPr="00835E78">
        <w:t>. The two separate "inlets"</w:t>
      </w:r>
      <w:r w:rsidR="00F6144B">
        <w:t xml:space="preserve"> </w:t>
      </w:r>
      <w:r w:rsidRPr="00835E78">
        <w:t xml:space="preserve">provide the fuel/air combination to the thermal source. As seen </w:t>
      </w:r>
      <w:r w:rsidR="00F6144B">
        <w:t>previous method</w:t>
      </w:r>
      <w:r w:rsidRPr="00835E78">
        <w:t>, the mixture of fuel and air is obliquely pumped into the firebox at the Z-Z' sections via two injector holes that have an inner diameter of 10 mm and a length of 42 mm. Following ignition through the igniting harbour, heated burnt gas moves as before exiting the burning room via its outlet channel</w:t>
      </w:r>
      <w:r w:rsidR="00F6144B">
        <w:t xml:space="preserve"> [5]</w:t>
      </w:r>
      <w:r w:rsidRPr="00835E78">
        <w:t xml:space="preserve">. </w:t>
      </w:r>
    </w:p>
    <w:p w14:paraId="5CC6A1E9" w14:textId="55BF4C14" w:rsidR="00473B13" w:rsidRDefault="00835E78" w:rsidP="00E80726">
      <w:pPr>
        <w:pStyle w:val="Paragraph"/>
      </w:pPr>
      <w:r w:rsidRPr="00835E78">
        <w:t xml:space="preserve">A vortex-like fire ensues in the </w:t>
      </w:r>
      <w:r w:rsidR="007F42FD" w:rsidRPr="00835E78">
        <w:t>hearth. An</w:t>
      </w:r>
      <w:r w:rsidRPr="00835E78">
        <w:t xml:space="preserve"> electrically powered sensor measures the voltage, the up-to-date system power (Pout) over a range of load resistance (1~30 ⁗). A CO metre (Shimazu, CGT-7000) was used to measure the amount of carbon monoxide at the swirling combustor's outflow in order to assess the extent of insufficient combustion</w:t>
      </w:r>
      <w:r w:rsidR="008B3B65">
        <w:t xml:space="preserve"> [16-20]</w:t>
      </w:r>
      <w:r w:rsidRPr="00835E78">
        <w:t>. A silicon sensor with a diameter of 1 mm was employed for collecting the burned gas at the point of exit. The measurement velocity of 1.0 L/min is significantly less than the total stream velocity that was given to the heating media (at least 8.0 L/min). It should be noticed that the temperatures of exhaust gases are not displayed in this study since, in the initial test, they behaved strangely with respect to the power produced. In other words, as the flame temperatures the flame temperatures declined, the outgoing air temperatures likewise decreased because of the lowered flame temperatures. Nevertheless, as we approached the extinction limit, the emission gas temperature did not react to the fluctuation because it was also influenced by the fire height. As it approaches the edge, the flame lengthens significantly and eventually lifts off. The circumference of the area that transfers heat, or the distance that extends from the flame's border to the exit of the port, subsequently grows smaller. As a consequence, even if the flame temperature drops, that of the exhaust gas will not</w:t>
      </w:r>
      <w:r w:rsidR="008B3B65">
        <w:t xml:space="preserve"> [21-25]</w:t>
      </w:r>
      <w:r w:rsidRPr="00835E78">
        <w:t>. However, CO content has a decent trend in relation to greenhouse gas heat. Therefore, the amount of unfinished combustion is discussed in this research using CO concentration. Pin = 600 W, which is determined by the movement velocity and all methane's greater heating value, was the steady heat output setting used for the studies. By modifying the air velocity within the preset fuel flow circumstances, the equivalent proportion was altered.</w:t>
      </w:r>
    </w:p>
    <w:p w14:paraId="2CECA1BD" w14:textId="560E11AE" w:rsidR="00473B13" w:rsidRDefault="00473B13" w:rsidP="00E80726">
      <w:pPr>
        <w:pStyle w:val="Heading1"/>
      </w:pPr>
      <w:r w:rsidRPr="00473B13">
        <w:t>Result and discussions</w:t>
      </w:r>
    </w:p>
    <w:p w14:paraId="09F45EFD" w14:textId="226E78DB" w:rsidR="00473B13" w:rsidRDefault="002A2A48" w:rsidP="00E80726">
      <w:pPr>
        <w:pStyle w:val="Paragraph"/>
      </w:pPr>
      <w:r w:rsidRPr="002A2A48">
        <w:t xml:space="preserve">The overall deviations in output for Pin = 600W of balanced propane/air combination are shown in Figure </w:t>
      </w:r>
      <w:r w:rsidR="00F6144B">
        <w:t>1</w:t>
      </w:r>
      <w:r w:rsidRPr="002A2A48">
        <w:t xml:space="preserve">, together with the amount of load impedance. As shown in the earlier study, the system's production achieves its highest temperature in five seconds because the warm side of a TED heats to its highest value in five seconds and the cold side stays below 38°C throughout the trials by chilling using ice. Once the result for every load impedance situation achieved an equilibrium level, ten minutes following the fire, the graphs displayed in Figure </w:t>
      </w:r>
      <w:r w:rsidR="00F6144B">
        <w:t>1</w:t>
      </w:r>
      <w:r w:rsidRPr="002A2A48">
        <w:t xml:space="preserve"> were all acquired. The power generated reaches an all-time high of 18.1W, increasing a 7⁗ resistor for the load in Fig. </w:t>
      </w:r>
      <w:r w:rsidR="00F6144B">
        <w:t>1</w:t>
      </w:r>
      <w:r w:rsidRPr="002A2A48">
        <w:t xml:space="preserve"> because the resultant voltage grows while the current falls inversely with the load's impedance</w:t>
      </w:r>
      <w:r w:rsidR="00F6144B">
        <w:t xml:space="preserve"> [6</w:t>
      </w:r>
      <w:r w:rsidR="008B3B65">
        <w:t>, 26-31</w:t>
      </w:r>
      <w:r w:rsidR="00F6144B">
        <w:t>]</w:t>
      </w:r>
      <w:r w:rsidRPr="002A2A48">
        <w:t xml:space="preserve">. The term "a system converting effectiveness is explained below.In the balanced scenario with Pin = 600W, the electrical production of n-butane/air, i-butane/air, and methane/air was also investigated. Figure </w:t>
      </w:r>
      <w:r w:rsidR="00F6144B">
        <w:t>1</w:t>
      </w:r>
      <w:r w:rsidRPr="002A2A48">
        <w:t xml:space="preserve"> illustrates how resistance to force affects the final voltage (A), flow (B), and energy (C). As a result, wattage for n- and i-</w:t>
      </w:r>
      <w:r w:rsidRPr="002A2A48">
        <w:lastRenderedPageBreak/>
        <w:t xml:space="preserve">butane is nearly equal. For the n-but the highest possible production and conversion factors are 19.63 W (10.5 V×2.01 A) and 4.20%, whereas for the i-butane, they are 19.0 W and 2.89%. Compared to gas or fuel instances, this methane instance had a maximum of 20.0 W, a difference of roughly ten percent more. These results show that the vortex's combust energy and the system's production are much higher when powered by gas and roughly comparable when powered by gasoline, n-butane, and i-butane. Consequently, with a fixed load resistance of 7, the fluctuations of power generated with equivalency ratios are thoroughly investigated. Findings are displayed in Fig. </w:t>
      </w:r>
      <w:r w:rsidR="00F6144B">
        <w:t>1</w:t>
      </w:r>
      <w:r w:rsidRPr="002A2A48">
        <w:t>. The electrical production for the propane/air combination is more than 17 W, but when the combination is reduced more, the discharge drastically drops to 18.6 W at 0.63. The n-, i-butane/air combination's output power exhibits the same pattern as that of the methane/air combination. However, methane has much more output than alternative fuels, both in its equilibrium state and in fuel-lean circumstances</w:t>
      </w:r>
      <w:r w:rsidR="00F6144B">
        <w:t xml:space="preserve"> [7</w:t>
      </w:r>
      <w:r w:rsidR="008B3B65">
        <w:t>, 32-35</w:t>
      </w:r>
      <w:r w:rsidR="00F6144B">
        <w:t>]</w:t>
      </w:r>
      <w:r w:rsidRPr="002A2A48">
        <w:t>.</w:t>
      </w:r>
    </w:p>
    <w:p w14:paraId="4D9DDCA0" w14:textId="00C00D05" w:rsidR="0049194B" w:rsidRDefault="00AD6BE2" w:rsidP="0049194B">
      <w:pPr>
        <w:spacing w:line="360" w:lineRule="auto"/>
        <w:jc w:val="center"/>
      </w:pPr>
      <w:r>
        <w:rPr>
          <w:noProof/>
        </w:rPr>
        <w:object w:dxaOrig="7957" w:dyaOrig="5612" w14:anchorId="449E1C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6.6pt;height:281.4pt;mso-width-percent:0;mso-height-percent:0;mso-width-percent:0;mso-height-percent:0" o:ole="">
            <v:imagedata r:id="rId6" o:title=""/>
          </v:shape>
          <o:OLEObject Type="Embed" ProgID="Origin50.Graph" ShapeID="_x0000_i1025" DrawAspect="Content" ObjectID="_1819378848" r:id="rId7"/>
        </w:object>
      </w:r>
    </w:p>
    <w:p w14:paraId="73C4E300" w14:textId="2F34AAA2" w:rsidR="0049194B" w:rsidRPr="0049194B" w:rsidRDefault="0049194B" w:rsidP="00E80726">
      <w:pPr>
        <w:pStyle w:val="FigureCaption"/>
        <w:rPr>
          <w:lang w:eastAsia="en-IN"/>
        </w:rPr>
      </w:pPr>
      <w:r w:rsidRPr="0049194B">
        <w:rPr>
          <w:b/>
          <w:bCs/>
        </w:rPr>
        <w:t xml:space="preserve">Figure </w:t>
      </w:r>
      <w:r>
        <w:rPr>
          <w:b/>
          <w:bCs/>
        </w:rPr>
        <w:t>1</w:t>
      </w:r>
      <w:r w:rsidRPr="0049194B">
        <w:rPr>
          <w:b/>
          <w:bCs/>
        </w:rPr>
        <w:t>.</w:t>
      </w:r>
      <w:r w:rsidRPr="0049194B">
        <w:t xml:space="preserve"> </w:t>
      </w:r>
      <w:r w:rsidRPr="0049194B">
        <w:rPr>
          <w:lang w:eastAsia="en-IN"/>
        </w:rPr>
        <w:t>Differences in the power output for C</w:t>
      </w:r>
      <w:r>
        <w:rPr>
          <w:lang w:eastAsia="en-IN"/>
        </w:rPr>
        <w:t>O</w:t>
      </w:r>
      <w:r w:rsidRPr="0049194B">
        <w:rPr>
          <w:vertAlign w:val="subscript"/>
          <w:lang w:eastAsia="en-IN"/>
        </w:rPr>
        <w:t>2</w:t>
      </w:r>
      <w:r w:rsidRPr="0049194B">
        <w:rPr>
          <w:lang w:eastAsia="en-IN"/>
        </w:rPr>
        <w:t xml:space="preserve"> emission</w:t>
      </w:r>
    </w:p>
    <w:p w14:paraId="1F637734" w14:textId="211EFB73" w:rsidR="00473B13" w:rsidRDefault="007F42FD" w:rsidP="00E80726">
      <w:pPr>
        <w:pStyle w:val="Paragraph"/>
      </w:pPr>
      <w:r w:rsidRPr="007F42FD">
        <w:t xml:space="preserve">Ammonia has the maximum power output close to equilibrium (as well as the dotted line (A) in Fig. </w:t>
      </w:r>
      <w:r w:rsidR="00F6144B">
        <w:t>2</w:t>
      </w:r>
      <w:r w:rsidRPr="007F42FD">
        <w:t>), followed by n-but, i-butane, and gasoline, which have the smallest power input. For 600W and = 1.0, this sequence corresponds to the overall combination flow velocity for each combination, i.e., Qmix = 10.5 L/min for methane/air, 8.8 litres per minute for propane/air, and 9.2 L/min for petrol. In the vortex-shaped combination, the radial injecting speed rises exponentially without a rise in the mixture's stream rate. As the conduction of heat caused by the ignited Report Word gas into the combination barrier has been shown to be improved under greater injection speed circumstances in earlier work, this could be one explanation for the greater methane/air output within the balanced scenario given the greater injected speed</w:t>
      </w:r>
      <w:r w:rsidR="008B3B65">
        <w:t xml:space="preserve"> [36-39]</w:t>
      </w:r>
      <w:r w:rsidRPr="007F42FD">
        <w:t>. Yet, as the amount produced differentially increases with fuel-lean circumstances, the clearly greater methane-oxygen mix production cannot be attributed to the disparity in heat transfer alone. Changes in temperature of exhaust gases for all fuels that have an equivalency ratio are displayed in Fig.</w:t>
      </w:r>
      <w:r w:rsidR="00F6144B">
        <w:t>2</w:t>
      </w:r>
      <w:r w:rsidRPr="007F42FD">
        <w:t xml:space="preserve"> to explain the sharp drop in power output for gasoline, the n-but, and the i-butane air combination in the fuel light situation</w:t>
      </w:r>
      <w:r w:rsidR="00FB35A3">
        <w:t xml:space="preserve"> [8</w:t>
      </w:r>
      <w:r w:rsidR="00F6144B">
        <w:t>]</w:t>
      </w:r>
      <w:r w:rsidRPr="007F42FD">
        <w:t>. At the burnt gas circulation channel's departure, the temperature. of the gases that exit is determined using a 300-m outside-size, silica-coated R-type thermometer. Adjustments are implemented to account for radiative heat loss. For the correction, estimates of the thermal and transport characteristics are provided</w:t>
      </w:r>
      <w:r w:rsidR="00FB35A3">
        <w:t xml:space="preserve"> [9</w:t>
      </w:r>
      <w:r w:rsidR="008B3B65">
        <w:t>, 40-44</w:t>
      </w:r>
      <w:r w:rsidR="00FB35A3">
        <w:t>]</w:t>
      </w:r>
      <w:r w:rsidRPr="007F42FD">
        <w:t xml:space="preserve">. As demonstrated in Fig. </w:t>
      </w:r>
      <w:r w:rsidR="00F6144B">
        <w:t>2</w:t>
      </w:r>
      <w:r w:rsidRPr="007F42FD">
        <w:t>, methane has the lowest temperature of the exhaust gases near the concept of s at 534°C (= 0.95), followed by gasoline, the compound n-, and i-butane. After that, Texas rises regardless of fuel prices. For n- and i-butane, the rise is greatest in magnitude. The decrease in power generated has a direct connection with this rise in the exhaust gas climate, which may be caused by a rise in flame duration that reduces the heat transfer area. The study in this case focuses on how the equivalency ratio affects the variance of the fire duration and what results in the heat transference area</w:t>
      </w:r>
      <w:r w:rsidR="00FB35A3">
        <w:t xml:space="preserve"> [10]</w:t>
      </w:r>
      <w:r w:rsidRPr="007F42FD">
        <w:t>. The hot, burned gas is surrounded by the unaltered mix as it moves inwardly towards the flame tip on the embers created in the revolving circulation field</w:t>
      </w:r>
      <w:r w:rsidR="00FB35A3">
        <w:t xml:space="preserve"> [11</w:t>
      </w:r>
      <w:r w:rsidR="008B3B65">
        <w:t>, 45-50</w:t>
      </w:r>
      <w:r w:rsidR="00FB35A3">
        <w:t>]</w:t>
      </w:r>
      <w:r w:rsidRPr="007F42FD">
        <w:t xml:space="preserve">. Following the complete consumption of the mixture, hot burnt gas comes into direct contact with the compressor surface and </w:t>
      </w:r>
      <w:r w:rsidRPr="007F42FD">
        <w:lastRenderedPageBreak/>
        <w:t>rapidly transfers heat due to its revolving motion</w:t>
      </w:r>
      <w:r w:rsidR="00FB35A3">
        <w:t xml:space="preserve"> [12]</w:t>
      </w:r>
      <w:r w:rsidRPr="007F42FD">
        <w:t>. As a result, the combustion chamber wall upstream of the flaming zone receives the majority of the heat from the burned gas</w:t>
      </w:r>
      <w:r w:rsidR="00FB35A3">
        <w:t xml:space="preserve"> [13]</w:t>
      </w:r>
      <w:r w:rsidRPr="007F42FD">
        <w:t>. Fuel lean conditions cause the blaze to lengthen as a result of a drop in laminar flame speed; this lowers the area of heat exchange and raises the ambient temperature of the exhaust gases</w:t>
      </w:r>
      <w:r w:rsidR="00FB35A3">
        <w:t xml:space="preserve"> [14]</w:t>
      </w:r>
      <w:r w:rsidRPr="007F42FD">
        <w:t>. Since the centrifuge's rotation linearizes the embers created in the swirling circulation field, it is possible to quantify the length of them</w:t>
      </w:r>
      <w:r w:rsidR="00F6144B">
        <w:t xml:space="preserve"> [1</w:t>
      </w:r>
      <w:r w:rsidR="00FB35A3">
        <w:t>5</w:t>
      </w:r>
      <w:r w:rsidR="008D34F5">
        <w:t>, 51-53</w:t>
      </w:r>
      <w:r w:rsidR="00F6144B">
        <w:t>]</w:t>
      </w:r>
      <w:r w:rsidRPr="007F42FD">
        <w:t>.</w:t>
      </w:r>
    </w:p>
    <w:p w14:paraId="02A39D16" w14:textId="67A9D27B" w:rsidR="0049194B" w:rsidRDefault="00AD6BE2" w:rsidP="0049194B">
      <w:pPr>
        <w:spacing w:line="360" w:lineRule="auto"/>
        <w:jc w:val="center"/>
      </w:pPr>
      <w:r>
        <w:rPr>
          <w:noProof/>
        </w:rPr>
        <w:object w:dxaOrig="7957" w:dyaOrig="5612" w14:anchorId="491938EE">
          <v:shape id="_x0000_i1026" type="#_x0000_t75" alt="" style="width:396.6pt;height:281.4pt;mso-width-percent:0;mso-height-percent:0;mso-width-percent:0;mso-height-percent:0" o:ole="">
            <v:imagedata r:id="rId8" o:title=""/>
          </v:shape>
          <o:OLEObject Type="Embed" ProgID="Origin50.Graph" ShapeID="_x0000_i1026" DrawAspect="Content" ObjectID="_1819378849" r:id="rId9"/>
        </w:object>
      </w:r>
    </w:p>
    <w:p w14:paraId="6076B54B" w14:textId="2735D872" w:rsidR="0049194B" w:rsidRPr="0049194B" w:rsidRDefault="0049194B" w:rsidP="00E80726">
      <w:pPr>
        <w:pStyle w:val="FigureCaption"/>
        <w:rPr>
          <w:lang w:eastAsia="en-IN"/>
        </w:rPr>
      </w:pPr>
      <w:r w:rsidRPr="0049194B">
        <w:rPr>
          <w:b/>
          <w:bCs/>
        </w:rPr>
        <w:t>Figure 2.</w:t>
      </w:r>
      <w:r w:rsidRPr="0049194B">
        <w:t xml:space="preserve"> </w:t>
      </w:r>
      <w:r w:rsidRPr="0049194B">
        <w:rPr>
          <w:lang w:eastAsia="en-IN"/>
        </w:rPr>
        <w:t>Differences in the power output for CH</w:t>
      </w:r>
      <w:r w:rsidRPr="0049194B">
        <w:rPr>
          <w:vertAlign w:val="subscript"/>
          <w:lang w:eastAsia="en-IN"/>
        </w:rPr>
        <w:t>4</w:t>
      </w:r>
      <w:r w:rsidRPr="0049194B">
        <w:rPr>
          <w:lang w:eastAsia="en-IN"/>
        </w:rPr>
        <w:t xml:space="preserve"> emission</w:t>
      </w:r>
    </w:p>
    <w:p w14:paraId="53E3FFB1" w14:textId="7C1E32FC" w:rsidR="00473B13" w:rsidRPr="00473B13" w:rsidRDefault="00473B13" w:rsidP="00E80726">
      <w:pPr>
        <w:pStyle w:val="Heading1"/>
      </w:pPr>
      <w:r w:rsidRPr="00473B13">
        <w:t>Conclusion</w:t>
      </w:r>
    </w:p>
    <w:p w14:paraId="1600264C" w14:textId="3086125D" w:rsidR="00473B13" w:rsidRDefault="007F42FD" w:rsidP="00E80726">
      <w:pPr>
        <w:pStyle w:val="Paragraph"/>
      </w:pPr>
      <w:r w:rsidRPr="007F42FD">
        <w:t>This research used gasoline, the compound n-, i-butane, and methane/air mixes to examine the properties of the tiny swirling ignition generator. The highest power generated by balanced mixes of gasoline, n-but, and i-butane plus oxygen is 18.1 W for each, according to the findings, when the heat intake is 600 W. The resulting power reached 20.0 W in the balanced methane/air combination scenario. That is, if the heat input is equal, nearly identical production in these fuel/air combinations may be achieved in the swirling combustion engine. The methane-based scenario has the greatest overall mix rate, leading to the greatest mix infusion speed amongst the fuel types. This might potentially improve the heat transmission of the burned gas onto the combination walls. This might result from a reduction in the horizontal burn speed, which would boost the flame duration and reduce the temperature transmission area. In addition, failure to ignite in a narrower combination with a tiny diameter might be caused by a flame lowering caused by Lewis numbers influences. The results imply that the fuel and methane gas combinations may both provide noticeably substantial strengths; yet, in the context of micro-vortex ignition generators, caution must be used to prevent excessive carbon dioxide emissions.</w:t>
      </w:r>
    </w:p>
    <w:p w14:paraId="640D216D" w14:textId="3C95F732" w:rsidR="00574CD5" w:rsidRDefault="00574CD5" w:rsidP="00E80726">
      <w:pPr>
        <w:pStyle w:val="Heading1"/>
      </w:pPr>
      <w:r w:rsidRPr="00574CD5">
        <w:t>References</w:t>
      </w:r>
    </w:p>
    <w:p w14:paraId="42A289F3" w14:textId="223BA454" w:rsidR="00574CD5" w:rsidRPr="00E80726" w:rsidRDefault="00574CD5" w:rsidP="00E80726">
      <w:pPr>
        <w:pStyle w:val="Reference"/>
      </w:pPr>
      <w:r w:rsidRPr="00E80726">
        <w:t>Zhang, Zhiguo, Dan Zhao, Siliang Ni, Yuze Sun, Bing Wang, Yong Chen, Guoneng Li, and S. Li. "Experimental characterizing combustion emissions and thermodynamic properties of a thermoacoustic swirl combustor." Applied energy 235 (2019): 463-472.</w:t>
      </w:r>
    </w:p>
    <w:p w14:paraId="723ADA30" w14:textId="6602443B" w:rsidR="00FB35A3" w:rsidRPr="00E80726" w:rsidRDefault="00FB35A3" w:rsidP="00E80726">
      <w:pPr>
        <w:pStyle w:val="Reference"/>
      </w:pPr>
      <w:r w:rsidRPr="00E80726">
        <w:t>Chennai Viswanathan, Prasshanth, et al. "Deep learning for enhanced fault diagnosis of monoblock centrifugal pumps: Spectrogram-based analysis." Machines 11.9 (2023): 874.</w:t>
      </w:r>
    </w:p>
    <w:p w14:paraId="65CEDEC3" w14:textId="4192A3E6" w:rsidR="00574CD5" w:rsidRPr="00E80726" w:rsidRDefault="00574CD5" w:rsidP="00E80726">
      <w:pPr>
        <w:pStyle w:val="Reference"/>
      </w:pPr>
      <w:r w:rsidRPr="00E80726">
        <w:t>Agwu, Ogbonnaya. "Multiphase fuel combustion in a swirl diffusion burner: an operational and performance study." PhD diss., Cardiff University, 2020.</w:t>
      </w:r>
    </w:p>
    <w:p w14:paraId="76E23719" w14:textId="77777777" w:rsidR="00FB35A3" w:rsidRPr="00FB35A3" w:rsidRDefault="00FB35A3" w:rsidP="00E80726">
      <w:pPr>
        <w:pStyle w:val="Reference"/>
      </w:pPr>
      <w:r w:rsidRPr="00FB35A3">
        <w:lastRenderedPageBreak/>
        <w:t>Josphineleela, R., Kaliappan, S., &amp; Bhatt, U. M. (2023, February). Intelligent Virtual Laboratory Development and Implementation using the RASA Framework. In 2023 7th International Conference on Computing Methodologies and Communication (ICCMC) (pp. 1172-1176). IEEE.</w:t>
      </w:r>
    </w:p>
    <w:p w14:paraId="650C4950" w14:textId="65B5B794" w:rsidR="00574CD5" w:rsidRPr="00E80726" w:rsidRDefault="00574CD5" w:rsidP="00E80726">
      <w:pPr>
        <w:pStyle w:val="Reference"/>
      </w:pPr>
      <w:r w:rsidRPr="00E80726">
        <w:t>Moloodi, Sina. Experimental investigation of the effects of fuel properties on combustion performance and emissions of biomass fast pyrolysis liquid-ethanol blends in a swirl burner. University of Toronto, 2011.</w:t>
      </w:r>
    </w:p>
    <w:p w14:paraId="0AAC9741" w14:textId="77777777" w:rsidR="00FB35A3" w:rsidRPr="00E80726" w:rsidRDefault="00FB35A3" w:rsidP="00E80726">
      <w:pPr>
        <w:pStyle w:val="Reference"/>
      </w:pPr>
      <w:r w:rsidRPr="00E80726">
        <w:t>Kaliappan, S., &amp; Rajput, A. (2023, September). Sentiment Analysis of News Headlines Based on Sentiment Lexicon and Deep Learning. In 2023 4th International Conference on Smart Electronics and Communication (ICOSEC) (pp. 1044-1047). IEEE.</w:t>
      </w:r>
    </w:p>
    <w:p w14:paraId="4715525C" w14:textId="69F9365B" w:rsidR="00574CD5" w:rsidRPr="00E80726" w:rsidRDefault="00574CD5" w:rsidP="00E80726">
      <w:pPr>
        <w:pStyle w:val="Reference"/>
      </w:pPr>
      <w:r w:rsidRPr="00E80726">
        <w:t>Fokaides, Paris A., Plamen Kasabov, and Nikolaos Zarzalis. "Experimental investigation of the stability mechanism and emissions of a lifted swirl nonpremixed flame." (2008): 011508.</w:t>
      </w:r>
    </w:p>
    <w:p w14:paraId="3CC7F6CC" w14:textId="77777777" w:rsidR="00FB35A3" w:rsidRPr="00E80726" w:rsidRDefault="00FB35A3" w:rsidP="00E80726">
      <w:pPr>
        <w:pStyle w:val="Reference"/>
      </w:pPr>
      <w:r w:rsidRPr="00E80726">
        <w:t>Suman, T., Kaliappan, S., &amp; Dobhal, D. C. (2023, March). IoT based Social Device Network with Cloud Computing Architecture. In 2023 Second International Conference on Electronics and Renewable Systems (ICEARS) (pp. 502-505). IEEE.</w:t>
      </w:r>
    </w:p>
    <w:p w14:paraId="4511A80F" w14:textId="67296CD4" w:rsidR="00574CD5" w:rsidRPr="00E80726" w:rsidRDefault="00574CD5" w:rsidP="00E80726">
      <w:pPr>
        <w:pStyle w:val="Reference"/>
      </w:pPr>
      <w:r w:rsidRPr="00E80726">
        <w:t>Yilmaz, Harun, Omer Cam, and Ilker Yilmaz. "Experimental investigation of flame instability in a premixed combustor." Fuel 262 (2020): 116594.</w:t>
      </w:r>
    </w:p>
    <w:p w14:paraId="5D8B438C" w14:textId="14E874DA" w:rsidR="00574CD5" w:rsidRPr="00E80726" w:rsidRDefault="00574CD5" w:rsidP="00E80726">
      <w:pPr>
        <w:pStyle w:val="Reference"/>
      </w:pPr>
      <w:r w:rsidRPr="00E80726">
        <w:t>Bastani, Milad, Sadegh Tabejamaat, and Hossein Ashini. "Numerical and experimental study of combustion and emission characteristics of ammonia/methane fuel mixture in micro gas turbine combustor." International Journal of Hydrogen Energy 49 (2024): 1399-1415.</w:t>
      </w:r>
    </w:p>
    <w:p w14:paraId="4AB8B986" w14:textId="77777777" w:rsidR="00FB35A3" w:rsidRPr="00E80726" w:rsidRDefault="00FB35A3" w:rsidP="00E80726">
      <w:pPr>
        <w:pStyle w:val="Reference"/>
      </w:pPr>
      <w:r w:rsidRPr="00E80726">
        <w:t>Kaliappan, S., et al. "Mechanical, DMA, and fatigue behavior of Vitis vinifera stalk cellulose Bambusa vulgaris fiber epoxy composites." Polymer Composites 44.4 (2023): 2115-2121.</w:t>
      </w:r>
    </w:p>
    <w:p w14:paraId="096430E8" w14:textId="166AE0BF" w:rsidR="00574CD5" w:rsidRPr="00E80726" w:rsidRDefault="00574CD5" w:rsidP="00E80726">
      <w:pPr>
        <w:pStyle w:val="Reference"/>
      </w:pPr>
      <w:r w:rsidRPr="00E80726">
        <w:t>Li, Wei, Yibo Wang, Yunpeng Liu, and Yingwen Yan. "Experimental investigation of ignition mode and performance of the annular combustor." Fuel 328 (2022): 125295.</w:t>
      </w:r>
    </w:p>
    <w:p w14:paraId="3AE8E954" w14:textId="4F0CEC4D" w:rsidR="00574CD5" w:rsidRPr="00E80726" w:rsidRDefault="00574CD5" w:rsidP="00E80726">
      <w:pPr>
        <w:pStyle w:val="Reference"/>
      </w:pPr>
      <w:r w:rsidRPr="00E80726">
        <w:t>Hayakawa, Akihiro, Yoshiyuki Arakawa, Rentaro Mimoto, KD Kunkuma A. Somarathne, Taku Kudo, and Hideaki Kobayashi. "Experimental investigation of stabilization and emission characteristics of ammonia/air premixed flames in a swirl combustor." International Journal of Hydrogen Energy 42, no. 19 (2017): 14010-14018.</w:t>
      </w:r>
    </w:p>
    <w:p w14:paraId="125664C5" w14:textId="77777777" w:rsidR="008B3B65" w:rsidRPr="00E80726" w:rsidRDefault="008B3B65" w:rsidP="00E80726">
      <w:pPr>
        <w:pStyle w:val="Reference"/>
        <w:rPr>
          <w:rFonts w:eastAsiaTheme="minorHAnsi"/>
        </w:rPr>
      </w:pPr>
      <w:r w:rsidRPr="00E80726">
        <w:rPr>
          <w:rFonts w:eastAsiaTheme="minorHAnsi"/>
        </w:rPr>
        <w:t>Vinodh et al., (2025). Integration of ceramic reinforcements in AA5083 composites for enhanced mechanical and thermal properties in friction stir welding. Engineering Research Express, 7(3), 035519.</w:t>
      </w:r>
    </w:p>
    <w:p w14:paraId="7531D302" w14:textId="77777777" w:rsidR="008B3B65" w:rsidRPr="00E80726" w:rsidRDefault="008B3B65" w:rsidP="00E80726">
      <w:pPr>
        <w:pStyle w:val="Reference"/>
        <w:rPr>
          <w:rFonts w:eastAsiaTheme="minorHAnsi"/>
        </w:rPr>
      </w:pPr>
      <w:r w:rsidRPr="00E80726">
        <w:rPr>
          <w:rFonts w:eastAsiaTheme="minorHAnsi"/>
        </w:rPr>
        <w:t xml:space="preserve">N. Basavegowda et al. Influence of Silver Nanowire Concentration on Electrical and Optical Properties of Polyaniline for Transparent Conductive Sensors. J. Electron. Mater. (2025). </w:t>
      </w:r>
      <w:hyperlink r:id="rId10" w:history="1">
        <w:r w:rsidRPr="00E80726">
          <w:rPr>
            <w:rFonts w:eastAsiaTheme="minorHAnsi"/>
          </w:rPr>
          <w:t>https://doi.org/10.1007/s11664-025-12174-1</w:t>
        </w:r>
      </w:hyperlink>
    </w:p>
    <w:p w14:paraId="2184D5FD" w14:textId="77777777" w:rsidR="008B3B65" w:rsidRPr="00E80726" w:rsidRDefault="008B3B65" w:rsidP="00E80726">
      <w:pPr>
        <w:pStyle w:val="Reference"/>
        <w:rPr>
          <w:rFonts w:eastAsiaTheme="minorHAnsi"/>
        </w:rPr>
      </w:pPr>
      <w:r w:rsidRPr="00E80726">
        <w:rPr>
          <w:rFonts w:eastAsiaTheme="minorHAnsi"/>
        </w:rPr>
        <w:t>V. Mohanavel et al. Exploration of photovoltaic thermal collector performance enhancement by the accumulations of hybrid nanofluid and phase change material. J Therm Anal Calorim (2025). https://doi.org/10.1007/s10973-025-14427-x</w:t>
      </w:r>
    </w:p>
    <w:p w14:paraId="79CD37C5" w14:textId="77777777" w:rsidR="008B3B65" w:rsidRPr="00E80726" w:rsidRDefault="008B3B65" w:rsidP="00E80726">
      <w:pPr>
        <w:pStyle w:val="Reference"/>
        <w:rPr>
          <w:rFonts w:eastAsiaTheme="minorHAnsi"/>
        </w:rPr>
      </w:pPr>
      <w:r w:rsidRPr="00E80726">
        <w:rPr>
          <w:rFonts w:eastAsiaTheme="minorHAnsi"/>
        </w:rPr>
        <w:t>Raja et al., (2025). Sustainable High-Strength Composites: Hybrid Bamboo and Cellulose Reinforced Polyester for Automotive Engineering. Journal of Bio-and Tribo-Corrosion, 11(3), 85.</w:t>
      </w:r>
    </w:p>
    <w:p w14:paraId="50E167F7" w14:textId="77777777" w:rsidR="008B3B65" w:rsidRPr="00E80726" w:rsidRDefault="008B3B65" w:rsidP="00E80726">
      <w:pPr>
        <w:pStyle w:val="Reference"/>
        <w:rPr>
          <w:rFonts w:eastAsiaTheme="minorHAnsi"/>
        </w:rPr>
      </w:pPr>
      <w:r w:rsidRPr="00E80726">
        <w:rPr>
          <w:rFonts w:eastAsiaTheme="minorHAnsi"/>
        </w:rPr>
        <w:t>K. Vijetha, Arockia Selvakumar Arockia Doss, KJN Sai Nitesh, Nimel Sworna Ross, Dual-Scale Evaluation of Hybrid Al-SiC/Graphene Composites: Mechanical Properties and Deep Learning-Driven Machinability Insights. Results in Engineering (2025): 105742.</w:t>
      </w:r>
    </w:p>
    <w:p w14:paraId="2FE2D93D" w14:textId="77777777" w:rsidR="008B3B65" w:rsidRPr="00E80726" w:rsidRDefault="008B3B65" w:rsidP="00E80726">
      <w:pPr>
        <w:pStyle w:val="Reference"/>
        <w:rPr>
          <w:rFonts w:eastAsiaTheme="minorHAnsi"/>
        </w:rPr>
      </w:pPr>
      <w:r w:rsidRPr="00E80726">
        <w:rPr>
          <w:rFonts w:eastAsiaTheme="minorHAnsi"/>
        </w:rPr>
        <w:t>A. Sharma et al. Featuring of Formamidinium lead halide and enrichment of optoelectronic behaviour of SnO2/FAPbI3/NiOx with PCBM layer. J Mater Sci: Mater Electron 36, 1124 (2025). https://doi.org/10.1007/s10854-025-15203-1</w:t>
      </w:r>
    </w:p>
    <w:p w14:paraId="2CB4CB82" w14:textId="77777777" w:rsidR="008B3B65" w:rsidRPr="00E80726" w:rsidRDefault="008B3B65" w:rsidP="00E80726">
      <w:pPr>
        <w:pStyle w:val="Reference"/>
        <w:rPr>
          <w:rFonts w:eastAsiaTheme="minorHAnsi"/>
        </w:rPr>
      </w:pPr>
      <w:r w:rsidRPr="00E80726">
        <w:rPr>
          <w:rFonts w:eastAsiaTheme="minorHAnsi"/>
        </w:rPr>
        <w:t>V. Rathinavelu et al. Optimal performance of poly-hybrid nanocomposites promoted with carbon fibers and nano silicon carbide particles via compression associated with hot pressing: characterization study. International Polymer Processing, 2025. https://doi.org/10.1515/ipp-2024-0152</w:t>
      </w:r>
    </w:p>
    <w:p w14:paraId="2ED57C36" w14:textId="77777777" w:rsidR="008B3B65" w:rsidRPr="00E80726" w:rsidRDefault="008B3B65" w:rsidP="00E80726">
      <w:pPr>
        <w:pStyle w:val="Reference"/>
        <w:rPr>
          <w:rFonts w:eastAsiaTheme="minorHAnsi"/>
        </w:rPr>
      </w:pPr>
      <w:r w:rsidRPr="00E80726">
        <w:rPr>
          <w:rFonts w:eastAsiaTheme="minorHAnsi"/>
        </w:rPr>
        <w:t>Chinta, N. D., Gogulamudi, B., Swamy Nadh,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4F0AF12B" w14:textId="77777777" w:rsidR="008B3B65" w:rsidRPr="00E80726" w:rsidRDefault="008B3B65" w:rsidP="00E80726">
      <w:pPr>
        <w:pStyle w:val="Reference"/>
        <w:rPr>
          <w:rFonts w:eastAsiaTheme="minorHAnsi"/>
        </w:rPr>
      </w:pPr>
      <w:r w:rsidRPr="00E80726">
        <w:rPr>
          <w:rFonts w:eastAsiaTheme="minorHAnsi"/>
        </w:rPr>
        <w:t xml:space="preserve">Neelashetty, K., et al. Energy Management for PV-Powered EV Charging </w:t>
      </w:r>
      <w:proofErr w:type="gramStart"/>
      <w:r w:rsidRPr="00E80726">
        <w:rPr>
          <w:rFonts w:eastAsiaTheme="minorHAnsi"/>
        </w:rPr>
        <w:t>With</w:t>
      </w:r>
      <w:proofErr w:type="gramEnd"/>
      <w:r w:rsidRPr="00E80726">
        <w:rPr>
          <w:rFonts w:eastAsiaTheme="minorHAnsi"/>
        </w:rPr>
        <w:t xml:space="preserve"> Grid Integration and Battery Energy Storage System using Dung Beetle Optimizer. 2025 5th International Conference on Trends in Material Science and Inventive Materials (ICTMIM). IEEE, 2025.</w:t>
      </w:r>
    </w:p>
    <w:p w14:paraId="055DF6BF" w14:textId="77777777" w:rsidR="008B3B65" w:rsidRPr="00E80726" w:rsidRDefault="008B3B65" w:rsidP="00E80726">
      <w:pPr>
        <w:pStyle w:val="Reference"/>
        <w:rPr>
          <w:rFonts w:eastAsiaTheme="minorHAnsi"/>
        </w:rPr>
      </w:pPr>
      <w:r w:rsidRPr="00E80726">
        <w:rPr>
          <w:rFonts w:eastAsiaTheme="minorHAnsi"/>
        </w:rPr>
        <w:t>Shah, Ronit, Arockia Selvakumar Arockia Doss. Advancements in AI-Enhanced Collaborative Robotics: Towards Safer, Smarter, and Human-Centric Industrial Automation. Results in Engineering (2025): 105704.</w:t>
      </w:r>
    </w:p>
    <w:p w14:paraId="00CFA208" w14:textId="77777777" w:rsidR="008B3B65" w:rsidRPr="00E80726" w:rsidRDefault="008B3B65" w:rsidP="00E80726">
      <w:pPr>
        <w:pStyle w:val="Reference"/>
        <w:rPr>
          <w:rFonts w:eastAsiaTheme="minorHAnsi"/>
        </w:rPr>
      </w:pPr>
      <w:r w:rsidRPr="00E80726">
        <w:rPr>
          <w:rFonts w:eastAsiaTheme="minorHAnsi"/>
        </w:rPr>
        <w:t>Ameen, F., Chinta, N. D., Teja, N. B., Muthu, G., Kaliappan, S., ... &amp; Vadiveloo, A. (2024). Antibacterial and dynamical behaviour of silicon nanoparticles influenced sustainable waste flax fibre-reinforced epoxy composite for biomedical application. Green processing and synthesis, 13(1), 20230214.   https://doi.org/10.1515/gps-2023-0214</w:t>
      </w:r>
    </w:p>
    <w:p w14:paraId="6634F5DE" w14:textId="77777777" w:rsidR="008B3B65" w:rsidRPr="00E80726" w:rsidRDefault="008B3B65" w:rsidP="00E80726">
      <w:pPr>
        <w:pStyle w:val="Reference"/>
        <w:rPr>
          <w:rFonts w:eastAsiaTheme="minorHAnsi"/>
        </w:rPr>
      </w:pPr>
      <w:r w:rsidRPr="00E80726">
        <w:rPr>
          <w:rFonts w:eastAsiaTheme="minorHAnsi"/>
        </w:rPr>
        <w:lastRenderedPageBreak/>
        <w:t>A. Sharma et al. Structural Modification and Enhancement of Optoelectronic Behaviour of ZnO Nanofilms Featuring Cu and Ti Particles. J. Electron. Mater. (2025). https://doi.org/10.1007/s11664-025-11951-2</w:t>
      </w:r>
    </w:p>
    <w:p w14:paraId="18C92F73" w14:textId="77777777" w:rsidR="008B3B65" w:rsidRPr="00E80726" w:rsidRDefault="008B3B65" w:rsidP="00E80726">
      <w:pPr>
        <w:pStyle w:val="Reference"/>
        <w:rPr>
          <w:rFonts w:eastAsiaTheme="minorHAnsi"/>
        </w:rPr>
      </w:pPr>
      <w:r w:rsidRPr="00E80726">
        <w:rPr>
          <w:rFonts w:eastAsiaTheme="minorHAnsi"/>
        </w:rPr>
        <w:t>V. Mohanavel et al. Tribological characteristics and optimization of ZrB2 configured magnesium alloy composite via squeeze casting technique. J Mech Sci Technol. 39(5), 2025. https://doi.org/10.1007/s12206-025-0425-9</w:t>
      </w:r>
    </w:p>
    <w:p w14:paraId="792E1488" w14:textId="77777777" w:rsidR="008B3B65" w:rsidRPr="00E80726" w:rsidRDefault="008B3B65" w:rsidP="00E80726">
      <w:pPr>
        <w:pStyle w:val="Reference"/>
        <w:rPr>
          <w:rFonts w:eastAsiaTheme="minorHAnsi"/>
        </w:rPr>
      </w:pPr>
      <w:r w:rsidRPr="00E80726">
        <w:rPr>
          <w:rFonts w:eastAsiaTheme="minorHAnsi"/>
        </w:rPr>
        <w:t>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5F25593B" w14:textId="77777777" w:rsidR="008B3B65" w:rsidRPr="00E80726" w:rsidRDefault="008B3B65" w:rsidP="00E80726">
      <w:pPr>
        <w:pStyle w:val="Reference"/>
        <w:rPr>
          <w:rFonts w:eastAsiaTheme="minorHAnsi"/>
        </w:rPr>
      </w:pPr>
      <w:r w:rsidRPr="00E80726">
        <w:rPr>
          <w:rFonts w:eastAsiaTheme="minorHAnsi"/>
        </w:rPr>
        <w:t>P. P. Singh et al. Hybrid Thin Film Coating Performance and Functional Characteristics of Silicon Nitride (SiNx) Layer for Solar Cell Application. J. Electron. Mater. (2025). https://doi.org/10.1007/s11664-025-11888-6</w:t>
      </w:r>
    </w:p>
    <w:p w14:paraId="36DD25AB" w14:textId="77777777" w:rsidR="008B3B65" w:rsidRPr="00E80726" w:rsidRDefault="008B3B65" w:rsidP="00E80726">
      <w:pPr>
        <w:pStyle w:val="Reference"/>
        <w:rPr>
          <w:rFonts w:eastAsiaTheme="minorHAnsi"/>
        </w:rPr>
      </w:pPr>
      <w:r w:rsidRPr="00E80726">
        <w:rPr>
          <w:rFonts w:eastAsiaTheme="minorHAnsi"/>
        </w:rPr>
        <w:t>Seeniappan, K. (2024). Effectiveness of titanium dioxide nano fillers on sisal fiber for enhanced mechanical properties and occupant protection in hybrid nanocomposites (No. 2023-01-5114). SAE Technical Paper.  https://doi.org/10.4271/2023-01-5114</w:t>
      </w:r>
    </w:p>
    <w:p w14:paraId="5CFAE6EA" w14:textId="77777777" w:rsidR="008B3B65" w:rsidRPr="00E80726" w:rsidRDefault="008B3B65" w:rsidP="00E80726">
      <w:pPr>
        <w:pStyle w:val="Reference"/>
        <w:rPr>
          <w:rFonts w:eastAsiaTheme="minorHAnsi"/>
        </w:rPr>
      </w:pPr>
      <w:r w:rsidRPr="00E80726">
        <w:rPr>
          <w:rFonts w:eastAsiaTheme="minorHAnsi"/>
        </w:rPr>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0457CD8C" w14:textId="77777777" w:rsidR="008B3B65" w:rsidRPr="00E80726" w:rsidRDefault="008B3B65" w:rsidP="00E80726">
      <w:pPr>
        <w:pStyle w:val="Reference"/>
        <w:rPr>
          <w:rFonts w:eastAsiaTheme="minorHAnsi"/>
        </w:rPr>
      </w:pPr>
      <w:r w:rsidRPr="00E80726">
        <w:rPr>
          <w:rFonts w:eastAsiaTheme="minorHAnsi"/>
        </w:rPr>
        <w:t>Seeniappan, K., &amp; Sree, G. V. (2024). Enhancing the mechanical and thermal properties of Kevlar composites for advanced vehicle components using montmorillonite nano clay integration (No. 2023-01-5113). SAE Technical Paper.   https://doi.org/10.4271/2023-01-5113</w:t>
      </w:r>
    </w:p>
    <w:p w14:paraId="377522B1" w14:textId="77777777" w:rsidR="008B3B65" w:rsidRPr="00E80726" w:rsidRDefault="008B3B65" w:rsidP="00E80726">
      <w:pPr>
        <w:pStyle w:val="Reference"/>
        <w:rPr>
          <w:rFonts w:eastAsiaTheme="minorHAnsi"/>
        </w:rPr>
      </w:pPr>
      <w:r w:rsidRPr="00E80726">
        <w:rPr>
          <w:rFonts w:eastAsiaTheme="minorHAnsi"/>
        </w:rPr>
        <w:t>Seeniappan, K. (2024). Optimizing Carbon Monoxide Emission Reduction Using Rice Husk Activated Carbon in Automobile Exhaust Systems (No. 2024-01-5054). SAE Technical Paper. https://doi.org/10.4271/2024-01-5054</w:t>
      </w:r>
    </w:p>
    <w:p w14:paraId="23C0A7EF" w14:textId="77777777" w:rsidR="008B3B65" w:rsidRPr="00E80726" w:rsidRDefault="008B3B65" w:rsidP="00E80726">
      <w:pPr>
        <w:pStyle w:val="Reference"/>
        <w:rPr>
          <w:rFonts w:eastAsiaTheme="minorHAnsi"/>
        </w:rPr>
      </w:pPr>
      <w:r w:rsidRPr="00E80726">
        <w:rPr>
          <w:rFonts w:eastAsiaTheme="minorHAnsi"/>
        </w:rPr>
        <w:t>Chukka, N. D. K. R.</w:t>
      </w:r>
      <w:proofErr w:type="gramStart"/>
      <w:r w:rsidRPr="00E80726">
        <w:rPr>
          <w:rFonts w:eastAsiaTheme="minorHAnsi"/>
        </w:rPr>
        <w:t>,  S.</w:t>
      </w:r>
      <w:proofErr w:type="gramEnd"/>
      <w:r w:rsidRPr="00E80726">
        <w:rPr>
          <w:rFonts w:eastAsiaTheme="minorHAnsi"/>
        </w:rPr>
        <w:t>, Balaji, V., Ross, N. S.</w:t>
      </w:r>
      <w:proofErr w:type="gramStart"/>
      <w:r w:rsidRPr="00E80726">
        <w:rPr>
          <w:rFonts w:eastAsiaTheme="minorHAnsi"/>
        </w:rPr>
        <w:t>,  (</w:t>
      </w:r>
      <w:proofErr w:type="gramEnd"/>
      <w:r w:rsidRPr="00E80726">
        <w:rPr>
          <w:rFonts w:eastAsiaTheme="minorHAnsi"/>
        </w:rPr>
        <w:t>2025). An integrated Artificial neural network technique to optimize the various parameters of Pineapple/SiO2/epoxy-based nanocomposites under NaOH treatment. Results in Engineering, 26, 104737.</w:t>
      </w:r>
    </w:p>
    <w:p w14:paraId="4E293F65" w14:textId="77777777" w:rsidR="008B3B65" w:rsidRPr="00E80726" w:rsidRDefault="008B3B65" w:rsidP="00E80726">
      <w:pPr>
        <w:pStyle w:val="Reference"/>
        <w:rPr>
          <w:rFonts w:eastAsiaTheme="minorHAnsi"/>
        </w:rPr>
      </w:pPr>
      <w:r w:rsidRPr="00E80726">
        <w:rPr>
          <w:rFonts w:eastAsiaTheme="minorHAnsi"/>
        </w:rPr>
        <w:t>K. K. Ilavenil et al. Enrichment of monolithic aluminium alloy characteristics by nano ceramic: Solid state process. J Mech Sci Technol (2025). https://doi.org/10.1007/s12206-025-0513-x</w:t>
      </w:r>
    </w:p>
    <w:p w14:paraId="1F71EFA4" w14:textId="77777777" w:rsidR="008B3B65" w:rsidRPr="00E80726" w:rsidRDefault="008B3B65" w:rsidP="00E80726">
      <w:pPr>
        <w:pStyle w:val="Reference"/>
        <w:rPr>
          <w:rFonts w:eastAsiaTheme="minorHAnsi"/>
        </w:rPr>
      </w:pPr>
      <w:r w:rsidRPr="00E80726">
        <w:rPr>
          <w:rFonts w:eastAsiaTheme="minorHAnsi"/>
        </w:rPr>
        <w:t>M.E.M. Soudagar et al. Exploration and thermal characteristics analysis of hybrid TiO2/SiO2 nanofluids passing through heavy-duty automotive radiators for intensive cooling system. J Therm Anal Calorim (2025). https://doi.org/10.1007/s10973-025-14305-6</w:t>
      </w:r>
    </w:p>
    <w:p w14:paraId="71033A45" w14:textId="77777777" w:rsidR="008B3B65" w:rsidRPr="00E80726" w:rsidRDefault="008B3B65" w:rsidP="00E80726">
      <w:pPr>
        <w:pStyle w:val="Reference"/>
        <w:rPr>
          <w:rFonts w:eastAsiaTheme="minorHAnsi"/>
        </w:rPr>
      </w:pPr>
      <w:r w:rsidRPr="00E80726">
        <w:rPr>
          <w:rFonts w:eastAsiaTheme="minorHAnsi"/>
        </w:rPr>
        <w:t xml:space="preserve">P. K. Singh et al. Integration of phase change material for enriching the solar collector featured with dryer configuration enhanced via alumina/titanium dioxide nanoparticle: performance study. J Therm Anal Calorim (2025). </w:t>
      </w:r>
      <w:hyperlink r:id="rId11" w:history="1">
        <w:r w:rsidRPr="00E80726">
          <w:rPr>
            <w:rFonts w:eastAsiaTheme="minorHAnsi"/>
          </w:rPr>
          <w:t>https://doi.org/10.1007/s10973-025-14302-9</w:t>
        </w:r>
      </w:hyperlink>
    </w:p>
    <w:p w14:paraId="26679382" w14:textId="77777777" w:rsidR="008B3B65" w:rsidRPr="00E80726" w:rsidRDefault="008B3B65" w:rsidP="00E80726">
      <w:pPr>
        <w:pStyle w:val="Reference"/>
        <w:rPr>
          <w:rFonts w:eastAsiaTheme="minorHAnsi"/>
        </w:rPr>
      </w:pPr>
      <w:r w:rsidRPr="00E80726">
        <w:rPr>
          <w:rFonts w:eastAsiaTheme="minorHAnsi"/>
        </w:rPr>
        <w:t>P.R. Sekaran, and H. Ramakrishnan, "Mechanical and physical characterization studies of nano ceramic reinforced Al–Mg hybrid nanocomposites", Silicon, vol. 15, No. 10, pp. 1-13, Apr 2023.</w:t>
      </w:r>
    </w:p>
    <w:p w14:paraId="6E9296C0" w14:textId="77777777" w:rsidR="008B3B65" w:rsidRPr="00E80726" w:rsidRDefault="008B3B65" w:rsidP="00E80726">
      <w:pPr>
        <w:pStyle w:val="Reference"/>
        <w:rPr>
          <w:rFonts w:eastAsiaTheme="minorHAnsi"/>
        </w:rPr>
      </w:pPr>
      <w:r w:rsidRPr="00E80726">
        <w:rPr>
          <w:rFonts w:eastAsiaTheme="minorHAnsi"/>
        </w:rPr>
        <w:t>M. A. Babu et al. Effect of Surfactants and Hybrid Filler on Microstructural and Mechanical Properties of Al7075/TiC/Graphene Alloy Composite via Additive Manufacturing. J. of Materi Eng and Perform (2025). https://doi.org/10.1007/s11665-025-11873-4</w:t>
      </w:r>
    </w:p>
    <w:p w14:paraId="08AE2A41" w14:textId="77777777" w:rsidR="008B3B65" w:rsidRPr="00E80726" w:rsidRDefault="008B3B65" w:rsidP="00E80726">
      <w:pPr>
        <w:pStyle w:val="Reference"/>
        <w:rPr>
          <w:rFonts w:eastAsiaTheme="minorHAnsi"/>
        </w:rPr>
      </w:pPr>
      <w:r w:rsidRPr="00E80726">
        <w:rPr>
          <w:rFonts w:eastAsiaTheme="minorHAnsi"/>
        </w:rPr>
        <w:t>S. Ravi et al. Processing and SiC content on functional behaviour of aluminium alloy composite. J Mech Sci Technol (2025). https://doi.org/10.1007/s12206-025-0723-2</w:t>
      </w:r>
    </w:p>
    <w:p w14:paraId="15C498BB" w14:textId="77777777" w:rsidR="008B3B65" w:rsidRPr="00E80726" w:rsidRDefault="008B3B65" w:rsidP="00E80726">
      <w:pPr>
        <w:pStyle w:val="Reference"/>
        <w:rPr>
          <w:rFonts w:eastAsiaTheme="minorHAnsi"/>
        </w:rPr>
      </w:pPr>
      <w:r w:rsidRPr="00E80726">
        <w:rPr>
          <w:rFonts w:eastAsiaTheme="minorHAnsi"/>
        </w:rPr>
        <w:t>Jain, Akshay, et al. Conversion of water hyacinth biomass to biofuel with TiO2 nanoparticle blending: Exergy and statistical analysis. Case Studies in Thermal Engineering 67 (2025): 105771.</w:t>
      </w:r>
    </w:p>
    <w:p w14:paraId="3223F049" w14:textId="77777777" w:rsidR="008B3B65" w:rsidRPr="00E80726" w:rsidRDefault="008B3B65" w:rsidP="00E80726">
      <w:pPr>
        <w:pStyle w:val="Reference"/>
        <w:rPr>
          <w:rFonts w:eastAsiaTheme="minorHAnsi"/>
        </w:rPr>
      </w:pPr>
      <w:r w:rsidRPr="00E80726">
        <w:rPr>
          <w:rFonts w:eastAsiaTheme="minorHAnsi"/>
        </w:rPr>
        <w:t>Udhayakumar et al.</w:t>
      </w:r>
      <w:proofErr w:type="gramStart"/>
      <w:r w:rsidRPr="00E80726">
        <w:rPr>
          <w:rFonts w:eastAsiaTheme="minorHAnsi"/>
        </w:rPr>
        <w:t>,  (</w:t>
      </w:r>
      <w:proofErr w:type="gramEnd"/>
      <w:r w:rsidRPr="00E80726">
        <w:rPr>
          <w:rFonts w:eastAsiaTheme="minorHAnsi"/>
        </w:rPr>
        <w:t>2025). Multi-functional natural fiber composites using flaxseed and cotton: tailoring acoustic, mechanical, and thermal properties for eco-friendly applications. Discover Applied Sciences, 7(8), 906.</w:t>
      </w:r>
    </w:p>
    <w:p w14:paraId="08068FDD" w14:textId="77777777" w:rsidR="008B3B65" w:rsidRPr="00E80726" w:rsidRDefault="008B3B65" w:rsidP="00E80726">
      <w:pPr>
        <w:pStyle w:val="Reference"/>
        <w:rPr>
          <w:rFonts w:eastAsiaTheme="minorHAnsi"/>
        </w:rPr>
      </w:pPr>
      <w:r w:rsidRPr="00E80726">
        <w:rPr>
          <w:rFonts w:eastAsiaTheme="minorHAnsi"/>
        </w:rPr>
        <w:t>Karthick et al., (2025). Experimental investigation of photocatalytic degradation and antioxidant activities of biosynthesized gold nanoparticles from royal poinciana tree leaves. Discover Applied Sciences, 7(8), 838.</w:t>
      </w:r>
    </w:p>
    <w:p w14:paraId="6A924CCE" w14:textId="77777777" w:rsidR="008B3B65" w:rsidRPr="00E80726" w:rsidRDefault="008B3B65" w:rsidP="00E80726">
      <w:pPr>
        <w:pStyle w:val="Reference"/>
        <w:rPr>
          <w:rFonts w:eastAsiaTheme="minorHAnsi"/>
        </w:rPr>
      </w:pPr>
      <w:r w:rsidRPr="00E80726">
        <w:rPr>
          <w:rFonts w:eastAsiaTheme="minorHAnsi"/>
        </w:rPr>
        <w:t>Kaliappan, S., Balaji, V., &amp; Mahesh, V. (2024). Effects of Injection Molding on Linum usitatissimum Fiber Polyvinyl Chloride Composites for Automotive Underbody Shields and Floor Trays (No. 2024-01-5053). SAE Technical Paper. https://doi.org/10.4271/2024-01-5053</w:t>
      </w:r>
    </w:p>
    <w:p w14:paraId="09997310" w14:textId="77777777" w:rsidR="008B3B65" w:rsidRPr="00E80726" w:rsidRDefault="008B3B65" w:rsidP="00E80726">
      <w:pPr>
        <w:pStyle w:val="Reference"/>
        <w:rPr>
          <w:rFonts w:eastAsiaTheme="minorHAnsi"/>
        </w:rPr>
      </w:pPr>
      <w:r w:rsidRPr="00E80726">
        <w:rPr>
          <w:rFonts w:eastAsiaTheme="minorHAnsi"/>
        </w:rPr>
        <w:t>A. Sharma et al. Semisolid stir casting and effect of hybrid fillers on functional properties of aluminium alloy composites. J Mech Sci Technol (2025). https://doi.org/10.1007/s12206-025-0620-8</w:t>
      </w:r>
    </w:p>
    <w:p w14:paraId="5EDFDE1D" w14:textId="77777777" w:rsidR="008B3B65" w:rsidRPr="00E80726" w:rsidRDefault="008B3B65" w:rsidP="00E80726">
      <w:pPr>
        <w:pStyle w:val="Reference"/>
        <w:rPr>
          <w:rFonts w:eastAsiaTheme="minorHAnsi"/>
        </w:rPr>
      </w:pPr>
      <w:r w:rsidRPr="00E80726">
        <w:rPr>
          <w:rFonts w:eastAsiaTheme="minorHAnsi"/>
        </w:rPr>
        <w:t>V. V. Upadhyay et al. Hexachloroethane fluxing mechanism and actions of hybrid fillers on functional behaviour of AZ31B alloy composites. J Mech Sci Technol (2025). https://doi.org/10.1007/s12206-025-0622-6</w:t>
      </w:r>
    </w:p>
    <w:p w14:paraId="306694AC" w14:textId="77777777" w:rsidR="008B3B65" w:rsidRPr="00E80726" w:rsidRDefault="008B3B65" w:rsidP="00E80726">
      <w:pPr>
        <w:pStyle w:val="Reference"/>
        <w:rPr>
          <w:rFonts w:eastAsiaTheme="minorHAnsi"/>
        </w:rPr>
      </w:pPr>
      <w:r w:rsidRPr="00E80726">
        <w:rPr>
          <w:rFonts w:eastAsiaTheme="minorHAnsi"/>
        </w:rPr>
        <w:lastRenderedPageBreak/>
        <w:t>Janardhan, G., Nadh, V. S., Srinivas, C., &amp; Velmurugan, G. (2024). Eco-friendly zinc oxide nanoparticles from Moringa oleifera leaf extract for photocatalytic and antibacterial applications. Clean Technologies and Environmental Policy, 1-13.  https://doi.org/10.1007/s10098-024-02814-1</w:t>
      </w:r>
    </w:p>
    <w:p w14:paraId="6A625004" w14:textId="77777777" w:rsidR="008B3B65" w:rsidRPr="00E80726" w:rsidRDefault="008B3B65" w:rsidP="00E80726">
      <w:pPr>
        <w:pStyle w:val="Reference"/>
        <w:rPr>
          <w:rFonts w:eastAsiaTheme="minorHAnsi"/>
        </w:rPr>
      </w:pPr>
      <w:r w:rsidRPr="00E80726">
        <w:rPr>
          <w:rFonts w:eastAsiaTheme="minorHAnsi"/>
        </w:rPr>
        <w:t>Naga Dheeraj Kumar Reddy Chukka, M. Karthick, Nimel Sworna Ross. Optimization of thermal efficiency in double pass solar air heating systems with emphasis on collector design parameters and operating conditions. Results in Engineering 26 (2025): 104948.</w:t>
      </w:r>
    </w:p>
    <w:p w14:paraId="58A498DF" w14:textId="77777777" w:rsidR="008B3B65" w:rsidRPr="00E80726" w:rsidRDefault="008B3B65" w:rsidP="00E80726">
      <w:pPr>
        <w:pStyle w:val="Reference"/>
        <w:rPr>
          <w:rFonts w:eastAsiaTheme="minorHAnsi"/>
        </w:rPr>
      </w:pPr>
      <w:r w:rsidRPr="00E80726">
        <w:rPr>
          <w:rFonts w:eastAsiaTheme="minorHAnsi"/>
        </w:rPr>
        <w:t>Chinta, N. D., Teja, N. B., Muthu, G.., Kirubanandan, S., &amp; Paramasivam, P. (2024). Evaluating mechanical, thermal, and water absorption properties of biocomposites with Opuntia cladode fiber and palm flower biochar for industrial applications. Discover Applied Sciences, 6(2), 30.</w:t>
      </w:r>
    </w:p>
    <w:p w14:paraId="3D8980AC" w14:textId="77777777" w:rsidR="008B3B65" w:rsidRPr="00E80726" w:rsidRDefault="008B3B65" w:rsidP="00E80726">
      <w:pPr>
        <w:pStyle w:val="Reference"/>
        <w:rPr>
          <w:rFonts w:eastAsiaTheme="minorHAnsi"/>
        </w:rPr>
      </w:pPr>
      <w:r w:rsidRPr="00E80726">
        <w:rPr>
          <w:rFonts w:eastAsiaTheme="minorHAnsi"/>
        </w:rPr>
        <w:t>N. Nagarajan et al. Hybrid Stir Cast Featured with Wettability Agent and Ultrasonic Action of Magnesium Alloy Composite Composed with Nanofiller: Study Characteristics. Inter Metalcast (2025). https://doi.org/10.1007/s40962-025-01603-w</w:t>
      </w:r>
    </w:p>
    <w:p w14:paraId="4300A798" w14:textId="77777777" w:rsidR="008B3B65" w:rsidRPr="00E80726" w:rsidRDefault="008B3B65" w:rsidP="00E80726">
      <w:pPr>
        <w:pStyle w:val="Reference"/>
        <w:rPr>
          <w:rFonts w:eastAsiaTheme="minorHAnsi"/>
        </w:rPr>
      </w:pPr>
      <w:r w:rsidRPr="00E80726">
        <w:rPr>
          <w:rFonts w:eastAsiaTheme="minorHAnsi"/>
        </w:rPr>
        <w:t>M. Aruna et al. Integration of Magnesium Fluoride and Nano Alumina–Silicon Carbide Actions on Properties of AZ91 Alloy Hybrid Nanocomposites. Inter Metalcast (2025). https://doi.org/10.1007/s40962-025-01617-4</w:t>
      </w:r>
    </w:p>
    <w:p w14:paraId="0B2A440B" w14:textId="77777777" w:rsidR="008B3B65" w:rsidRPr="00E80726" w:rsidRDefault="008B3B65" w:rsidP="00E80726">
      <w:pPr>
        <w:pStyle w:val="Reference"/>
        <w:rPr>
          <w:rFonts w:eastAsiaTheme="minorHAnsi"/>
        </w:rPr>
      </w:pPr>
      <w:r w:rsidRPr="00E80726">
        <w:rPr>
          <w:rFonts w:eastAsiaTheme="minorHAnsi"/>
        </w:rPr>
        <w:t>P. Sharma et al. Effect of paraffin with salt hydrates PCM and hybrid Al2O3/Tio2 nanofluid on thermal and energy storage characteristics of solar thermal heat exchanger. J Therm Anal Calorim (2025). https://doi.org/10.1007/s10973-025-14224-6</w:t>
      </w:r>
    </w:p>
    <w:p w14:paraId="6F811AF5" w14:textId="77777777" w:rsidR="008B3B65" w:rsidRPr="00E80726" w:rsidRDefault="008B3B65" w:rsidP="00E80726">
      <w:pPr>
        <w:pStyle w:val="Reference"/>
        <w:rPr>
          <w:rFonts w:eastAsiaTheme="minorHAnsi"/>
        </w:rPr>
      </w:pPr>
      <w:r w:rsidRPr="00E80726">
        <w:rPr>
          <w:rFonts w:eastAsiaTheme="minorHAnsi"/>
        </w:rPr>
        <w:t>Jothi Arunachalam et al. Integration of nanographene and action of fiber sequences on functional behaviour of composite laminates" International Polymer Processing, 2025. https://doi.org/10.1515/ipp-2024-0149</w:t>
      </w:r>
    </w:p>
    <w:p w14:paraId="46F4155A" w14:textId="77777777" w:rsidR="008B3B65" w:rsidRPr="00E80726" w:rsidRDefault="008B3B65" w:rsidP="00E80726">
      <w:pPr>
        <w:pStyle w:val="Reference"/>
        <w:rPr>
          <w:rFonts w:eastAsiaTheme="minorHAnsi"/>
        </w:rPr>
      </w:pPr>
      <w:r w:rsidRPr="00E80726">
        <w:rPr>
          <w:rFonts w:eastAsiaTheme="minorHAnsi"/>
        </w:rPr>
        <w:t>Manzoore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236F9448" w14:textId="77777777" w:rsidR="008B3B65" w:rsidRPr="008B3B65" w:rsidRDefault="008B3B65" w:rsidP="008B3B65">
      <w:pPr>
        <w:pStyle w:val="ListParagraph"/>
        <w:spacing w:line="360" w:lineRule="auto"/>
        <w:jc w:val="both"/>
        <w:rPr>
          <w:color w:val="222222"/>
          <w:szCs w:val="24"/>
          <w:shd w:val="clear" w:color="auto" w:fill="FFFFFF"/>
        </w:rPr>
      </w:pPr>
    </w:p>
    <w:p w14:paraId="10126C48" w14:textId="77777777" w:rsidR="00574CD5" w:rsidRPr="008B3B65" w:rsidRDefault="00574CD5" w:rsidP="00574CD5">
      <w:pPr>
        <w:spacing w:line="360" w:lineRule="auto"/>
        <w:jc w:val="both"/>
        <w:rPr>
          <w:color w:val="222222"/>
          <w:szCs w:val="24"/>
          <w:shd w:val="clear" w:color="auto" w:fill="FFFFFF"/>
        </w:rPr>
      </w:pPr>
    </w:p>
    <w:p w14:paraId="059881B3" w14:textId="77777777" w:rsidR="00574CD5" w:rsidRPr="008B3B65" w:rsidRDefault="00574CD5" w:rsidP="00574CD5">
      <w:pPr>
        <w:spacing w:line="360" w:lineRule="auto"/>
        <w:jc w:val="both"/>
        <w:rPr>
          <w:color w:val="222222"/>
          <w:szCs w:val="24"/>
          <w:shd w:val="clear" w:color="auto" w:fill="FFFFFF"/>
        </w:rPr>
      </w:pPr>
    </w:p>
    <w:sectPr w:rsidR="00574CD5" w:rsidRPr="008B3B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6626461"/>
    <w:multiLevelType w:val="hybridMultilevel"/>
    <w:tmpl w:val="84A08F56"/>
    <w:lvl w:ilvl="0" w:tplc="4AECBD82">
      <w:start w:val="1"/>
      <w:numFmt w:val="decimal"/>
      <w:lvlText w:val="%1."/>
      <w:lvlJc w:val="left"/>
      <w:pPr>
        <w:ind w:left="720" w:hanging="360"/>
      </w:pPr>
      <w:rPr>
        <w:rFonts w:hint="default"/>
        <w:b w:val="0"/>
        <w:bCs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8186457">
    <w:abstractNumId w:val="3"/>
  </w:num>
  <w:num w:numId="2" w16cid:durableId="635187517">
    <w:abstractNumId w:val="7"/>
  </w:num>
  <w:num w:numId="3" w16cid:durableId="1925844975">
    <w:abstractNumId w:val="17"/>
  </w:num>
  <w:num w:numId="4" w16cid:durableId="1623537524">
    <w:abstractNumId w:val="4"/>
  </w:num>
  <w:num w:numId="5" w16cid:durableId="333149680">
    <w:abstractNumId w:val="14"/>
  </w:num>
  <w:num w:numId="6" w16cid:durableId="1958750756">
    <w:abstractNumId w:val="9"/>
  </w:num>
  <w:num w:numId="7" w16cid:durableId="1466237890">
    <w:abstractNumId w:val="13"/>
  </w:num>
  <w:num w:numId="8" w16cid:durableId="846751398">
    <w:abstractNumId w:val="5"/>
  </w:num>
  <w:num w:numId="9" w16cid:durableId="982584711">
    <w:abstractNumId w:val="8"/>
  </w:num>
  <w:num w:numId="10" w16cid:durableId="247734440">
    <w:abstractNumId w:val="1"/>
  </w:num>
  <w:num w:numId="11" w16cid:durableId="1514879319">
    <w:abstractNumId w:val="16"/>
  </w:num>
  <w:num w:numId="12" w16cid:durableId="1383210328">
    <w:abstractNumId w:val="11"/>
  </w:num>
  <w:num w:numId="13" w16cid:durableId="1513061117">
    <w:abstractNumId w:val="15"/>
  </w:num>
  <w:num w:numId="14" w16cid:durableId="958226418">
    <w:abstractNumId w:val="12"/>
  </w:num>
  <w:num w:numId="15" w16cid:durableId="771170886">
    <w:abstractNumId w:val="6"/>
  </w:num>
  <w:num w:numId="16" w16cid:durableId="1726029251">
    <w:abstractNumId w:val="10"/>
  </w:num>
  <w:num w:numId="17" w16cid:durableId="1939214429">
    <w:abstractNumId w:val="13"/>
    <w:lvlOverride w:ilvl="0">
      <w:startOverride w:val="1"/>
    </w:lvlOverride>
  </w:num>
  <w:num w:numId="18" w16cid:durableId="957906086">
    <w:abstractNumId w:val="13"/>
    <w:lvlOverride w:ilvl="0">
      <w:startOverride w:val="1"/>
    </w:lvlOverride>
  </w:num>
  <w:num w:numId="19" w16cid:durableId="1087652185">
    <w:abstractNumId w:val="13"/>
    <w:lvlOverride w:ilvl="0">
      <w:startOverride w:val="1"/>
    </w:lvlOverride>
  </w:num>
  <w:num w:numId="20" w16cid:durableId="1054889863">
    <w:abstractNumId w:val="14"/>
    <w:lvlOverride w:ilvl="0">
      <w:startOverride w:val="1"/>
    </w:lvlOverride>
  </w:num>
  <w:num w:numId="21" w16cid:durableId="1903178079">
    <w:abstractNumId w:val="14"/>
    <w:lvlOverride w:ilvl="0">
      <w:startOverride w:val="1"/>
    </w:lvlOverride>
  </w:num>
  <w:num w:numId="22" w16cid:durableId="874267395">
    <w:abstractNumId w:val="14"/>
    <w:lvlOverride w:ilvl="0">
      <w:startOverride w:val="1"/>
    </w:lvlOverride>
  </w:num>
  <w:num w:numId="23" w16cid:durableId="1368025285">
    <w:abstractNumId w:val="14"/>
    <w:lvlOverride w:ilvl="0">
      <w:startOverride w:val="1"/>
    </w:lvlOverride>
  </w:num>
  <w:num w:numId="24" w16cid:durableId="944078796">
    <w:abstractNumId w:val="14"/>
    <w:lvlOverride w:ilvl="0">
      <w:startOverride w:val="1"/>
    </w:lvlOverride>
  </w:num>
  <w:num w:numId="25" w16cid:durableId="1653829719">
    <w:abstractNumId w:val="2"/>
  </w:num>
  <w:num w:numId="26"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1CE"/>
    <w:rsid w:val="00184F18"/>
    <w:rsid w:val="002A2A48"/>
    <w:rsid w:val="002A7AF7"/>
    <w:rsid w:val="003A1A7F"/>
    <w:rsid w:val="00473B13"/>
    <w:rsid w:val="0049194B"/>
    <w:rsid w:val="00574CD5"/>
    <w:rsid w:val="005D490C"/>
    <w:rsid w:val="005E6427"/>
    <w:rsid w:val="0060203F"/>
    <w:rsid w:val="0060490A"/>
    <w:rsid w:val="006874DC"/>
    <w:rsid w:val="00724DB2"/>
    <w:rsid w:val="007E3186"/>
    <w:rsid w:val="007F1DD0"/>
    <w:rsid w:val="007F42FD"/>
    <w:rsid w:val="00803127"/>
    <w:rsid w:val="00835E78"/>
    <w:rsid w:val="0083760B"/>
    <w:rsid w:val="00887589"/>
    <w:rsid w:val="008B3B65"/>
    <w:rsid w:val="008D12E4"/>
    <w:rsid w:val="008D34F5"/>
    <w:rsid w:val="00991FEA"/>
    <w:rsid w:val="009E4D35"/>
    <w:rsid w:val="00AD6BE2"/>
    <w:rsid w:val="00B63BC6"/>
    <w:rsid w:val="00C561CC"/>
    <w:rsid w:val="00C57DFF"/>
    <w:rsid w:val="00C72F4C"/>
    <w:rsid w:val="00C85716"/>
    <w:rsid w:val="00DF51CE"/>
    <w:rsid w:val="00E45537"/>
    <w:rsid w:val="00E71DC9"/>
    <w:rsid w:val="00E80726"/>
    <w:rsid w:val="00F6144B"/>
    <w:rsid w:val="00FA2D73"/>
    <w:rsid w:val="00FB35A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DC28"/>
  <w15:docId w15:val="{C694D07A-A39F-4B0C-A6D2-E0193438F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0726"/>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E80726"/>
    <w:pPr>
      <w:keepNext/>
      <w:spacing w:before="240" w:after="240"/>
      <w:jc w:val="center"/>
      <w:outlineLvl w:val="0"/>
    </w:pPr>
    <w:rPr>
      <w:b/>
      <w:caps/>
    </w:rPr>
  </w:style>
  <w:style w:type="paragraph" w:styleId="Heading2">
    <w:name w:val="heading 2"/>
    <w:basedOn w:val="Normal"/>
    <w:next w:val="Paragraph"/>
    <w:link w:val="Heading2Char"/>
    <w:qFormat/>
    <w:rsid w:val="00E80726"/>
    <w:pPr>
      <w:keepNext/>
      <w:spacing w:before="240" w:after="240"/>
      <w:jc w:val="center"/>
      <w:outlineLvl w:val="1"/>
    </w:pPr>
    <w:rPr>
      <w:b/>
    </w:rPr>
  </w:style>
  <w:style w:type="paragraph" w:styleId="Heading3">
    <w:name w:val="heading 3"/>
    <w:basedOn w:val="Normal"/>
    <w:next w:val="Normal"/>
    <w:link w:val="Heading3Char"/>
    <w:qFormat/>
    <w:rsid w:val="00E80726"/>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E807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726"/>
  </w:style>
  <w:style w:type="paragraph" w:styleId="ListParagraph">
    <w:name w:val="List Paragraph"/>
    <w:basedOn w:val="Normal"/>
    <w:uiPriority w:val="34"/>
    <w:rsid w:val="00E80726"/>
    <w:pPr>
      <w:ind w:left="720"/>
      <w:contextualSpacing/>
    </w:pPr>
  </w:style>
  <w:style w:type="character" w:styleId="Hyperlink">
    <w:name w:val="Hyperlink"/>
    <w:rsid w:val="00E80726"/>
    <w:rPr>
      <w:color w:val="0000FF"/>
      <w:u w:val="single"/>
    </w:rPr>
  </w:style>
  <w:style w:type="paragraph" w:styleId="BalloonText">
    <w:name w:val="Balloon Text"/>
    <w:basedOn w:val="Normal"/>
    <w:link w:val="BalloonTextChar"/>
    <w:rsid w:val="00E80726"/>
    <w:rPr>
      <w:rFonts w:ascii="Tahoma" w:hAnsi="Tahoma" w:cs="Tahoma"/>
      <w:sz w:val="16"/>
      <w:szCs w:val="16"/>
    </w:rPr>
  </w:style>
  <w:style w:type="character" w:customStyle="1" w:styleId="BalloonTextChar">
    <w:name w:val="Balloon Text Char"/>
    <w:basedOn w:val="DefaultParagraphFont"/>
    <w:link w:val="BalloonText"/>
    <w:rsid w:val="00E80726"/>
    <w:rPr>
      <w:rFonts w:ascii="Tahoma" w:eastAsia="Times New Roman" w:hAnsi="Tahoma" w:cs="Tahoma"/>
      <w:kern w:val="0"/>
      <w:sz w:val="16"/>
      <w:szCs w:val="16"/>
      <w:lang w:val="en-US"/>
      <w14:ligatures w14:val="none"/>
    </w:rPr>
  </w:style>
  <w:style w:type="paragraph" w:customStyle="1" w:styleId="2Authors">
    <w:name w:val="2 Authors"/>
    <w:rsid w:val="007F1DD0"/>
    <w:pPr>
      <w:spacing w:after="60" w:line="240" w:lineRule="auto"/>
    </w:pPr>
    <w:rPr>
      <w:rFonts w:ascii="Times New Roman" w:eastAsia="Times New Roman" w:hAnsi="Times New Roman" w:cs="Times New Roman"/>
      <w:b/>
      <w:kern w:val="0"/>
      <w:szCs w:val="20"/>
      <w:lang w:val="en-GB"/>
      <w14:ligatures w14:val="none"/>
    </w:rPr>
  </w:style>
  <w:style w:type="paragraph" w:customStyle="1" w:styleId="Paragraph">
    <w:name w:val="Paragraph"/>
    <w:basedOn w:val="Normal"/>
    <w:rsid w:val="00E80726"/>
    <w:pPr>
      <w:ind w:firstLine="284"/>
      <w:jc w:val="both"/>
    </w:pPr>
    <w:rPr>
      <w:sz w:val="20"/>
    </w:rPr>
  </w:style>
  <w:style w:type="character" w:customStyle="1" w:styleId="Heading1Char">
    <w:name w:val="Heading 1 Char"/>
    <w:basedOn w:val="DefaultParagraphFont"/>
    <w:link w:val="Heading1"/>
    <w:rsid w:val="007E3186"/>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7E3186"/>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7E3186"/>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E80726"/>
    <w:rPr>
      <w:sz w:val="16"/>
    </w:rPr>
  </w:style>
  <w:style w:type="character" w:customStyle="1" w:styleId="FootnoteTextChar">
    <w:name w:val="Footnote Text Char"/>
    <w:basedOn w:val="DefaultParagraphFont"/>
    <w:link w:val="FootnoteText"/>
    <w:semiHidden/>
    <w:rsid w:val="007E3186"/>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E80726"/>
    <w:pPr>
      <w:spacing w:before="1200"/>
      <w:jc w:val="center"/>
    </w:pPr>
    <w:rPr>
      <w:b/>
      <w:sz w:val="36"/>
    </w:rPr>
  </w:style>
  <w:style w:type="paragraph" w:customStyle="1" w:styleId="AuthorName">
    <w:name w:val="Author Name"/>
    <w:basedOn w:val="Normal"/>
    <w:next w:val="AuthorAffiliation"/>
    <w:rsid w:val="00E80726"/>
    <w:pPr>
      <w:spacing w:before="360" w:after="360"/>
      <w:jc w:val="center"/>
    </w:pPr>
    <w:rPr>
      <w:sz w:val="28"/>
    </w:rPr>
  </w:style>
  <w:style w:type="paragraph" w:customStyle="1" w:styleId="AuthorAffiliation">
    <w:name w:val="Author Affiliation"/>
    <w:basedOn w:val="Normal"/>
    <w:rsid w:val="00E80726"/>
    <w:pPr>
      <w:jc w:val="center"/>
    </w:pPr>
    <w:rPr>
      <w:i/>
      <w:sz w:val="20"/>
    </w:rPr>
  </w:style>
  <w:style w:type="paragraph" w:customStyle="1" w:styleId="Abstract">
    <w:name w:val="Abstract"/>
    <w:basedOn w:val="Normal"/>
    <w:next w:val="Heading1"/>
    <w:rsid w:val="00E80726"/>
    <w:pPr>
      <w:spacing w:before="360" w:after="360"/>
      <w:ind w:left="289" w:right="289"/>
      <w:jc w:val="both"/>
    </w:pPr>
    <w:rPr>
      <w:sz w:val="18"/>
    </w:rPr>
  </w:style>
  <w:style w:type="character" w:styleId="FootnoteReference">
    <w:name w:val="footnote reference"/>
    <w:semiHidden/>
    <w:rsid w:val="00E80726"/>
    <w:rPr>
      <w:vertAlign w:val="superscript"/>
    </w:rPr>
  </w:style>
  <w:style w:type="paragraph" w:customStyle="1" w:styleId="Reference">
    <w:name w:val="Reference"/>
    <w:basedOn w:val="Paragraph"/>
    <w:rsid w:val="00E80726"/>
    <w:pPr>
      <w:numPr>
        <w:numId w:val="16"/>
      </w:numPr>
      <w:ind w:left="426" w:hanging="426"/>
    </w:pPr>
  </w:style>
  <w:style w:type="paragraph" w:customStyle="1" w:styleId="FigureCaption">
    <w:name w:val="Figure Caption"/>
    <w:next w:val="Paragraph"/>
    <w:rsid w:val="00E80726"/>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E80726"/>
    <w:pPr>
      <w:keepNext/>
      <w:ind w:firstLine="0"/>
      <w:jc w:val="center"/>
    </w:pPr>
  </w:style>
  <w:style w:type="paragraph" w:customStyle="1" w:styleId="Equation">
    <w:name w:val="Equation"/>
    <w:basedOn w:val="Paragraph"/>
    <w:rsid w:val="00E80726"/>
    <w:pPr>
      <w:tabs>
        <w:tab w:val="center" w:pos="4320"/>
        <w:tab w:val="right" w:pos="9242"/>
      </w:tabs>
      <w:ind w:firstLine="0"/>
      <w:jc w:val="center"/>
    </w:pPr>
  </w:style>
  <w:style w:type="table" w:styleId="TableGrid">
    <w:name w:val="Table Grid"/>
    <w:basedOn w:val="TableNormal"/>
    <w:rsid w:val="00E80726"/>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E80726"/>
    <w:pPr>
      <w:numPr>
        <w:numId w:val="15"/>
      </w:numPr>
      <w:ind w:left="641" w:hanging="357"/>
    </w:pPr>
  </w:style>
  <w:style w:type="paragraph" w:customStyle="1" w:styleId="AuthorEmail">
    <w:name w:val="Author Email"/>
    <w:basedOn w:val="Normal"/>
    <w:qFormat/>
    <w:rsid w:val="00E80726"/>
    <w:pPr>
      <w:jc w:val="center"/>
    </w:pPr>
    <w:rPr>
      <w:sz w:val="20"/>
    </w:rPr>
  </w:style>
  <w:style w:type="paragraph" w:styleId="NormalWeb">
    <w:name w:val="Normal (Web)"/>
    <w:basedOn w:val="Normal"/>
    <w:uiPriority w:val="99"/>
    <w:unhideWhenUsed/>
    <w:rsid w:val="00E80726"/>
    <w:pPr>
      <w:spacing w:before="100" w:beforeAutospacing="1" w:after="100" w:afterAutospacing="1"/>
    </w:pPr>
    <w:rPr>
      <w:szCs w:val="24"/>
      <w:lang w:val="en-GB" w:eastAsia="en-GB"/>
    </w:rPr>
  </w:style>
  <w:style w:type="character" w:styleId="Strong">
    <w:name w:val="Strong"/>
    <w:basedOn w:val="DefaultParagraphFont"/>
    <w:uiPriority w:val="22"/>
    <w:qFormat/>
    <w:rsid w:val="00E80726"/>
    <w:rPr>
      <w:b/>
      <w:bCs/>
    </w:rPr>
  </w:style>
  <w:style w:type="character" w:styleId="Emphasis">
    <w:name w:val="Emphasis"/>
    <w:basedOn w:val="DefaultParagraphFont"/>
    <w:uiPriority w:val="20"/>
    <w:qFormat/>
    <w:rsid w:val="00E80726"/>
    <w:rPr>
      <w:i/>
      <w:iCs/>
    </w:rPr>
  </w:style>
  <w:style w:type="paragraph" w:customStyle="1" w:styleId="TableCaption">
    <w:name w:val="Table Caption"/>
    <w:basedOn w:val="FigureCaption"/>
    <w:qFormat/>
    <w:rsid w:val="00E80726"/>
    <w:rPr>
      <w:szCs w:val="18"/>
    </w:rPr>
  </w:style>
  <w:style w:type="paragraph" w:customStyle="1" w:styleId="Paragraphnumbered">
    <w:name w:val="Paragraph (numbered)"/>
    <w:rsid w:val="00E80726"/>
    <w:pPr>
      <w:numPr>
        <w:numId w:val="5"/>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E80726"/>
    <w:rPr>
      <w:color w:val="808080"/>
      <w:shd w:val="clear" w:color="auto" w:fill="E6E6E6"/>
    </w:rPr>
  </w:style>
  <w:style w:type="character" w:styleId="CommentReference">
    <w:name w:val="annotation reference"/>
    <w:basedOn w:val="DefaultParagraphFont"/>
    <w:semiHidden/>
    <w:unhideWhenUsed/>
    <w:rsid w:val="00E80726"/>
    <w:rPr>
      <w:sz w:val="16"/>
      <w:szCs w:val="16"/>
    </w:rPr>
  </w:style>
  <w:style w:type="paragraph" w:styleId="CommentText">
    <w:name w:val="annotation text"/>
    <w:basedOn w:val="Normal"/>
    <w:link w:val="CommentTextChar"/>
    <w:semiHidden/>
    <w:unhideWhenUsed/>
    <w:rsid w:val="00E80726"/>
    <w:rPr>
      <w:sz w:val="20"/>
    </w:rPr>
  </w:style>
  <w:style w:type="character" w:customStyle="1" w:styleId="CommentTextChar">
    <w:name w:val="Comment Text Char"/>
    <w:basedOn w:val="DefaultParagraphFont"/>
    <w:link w:val="CommentText"/>
    <w:semiHidden/>
    <w:rsid w:val="00E80726"/>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E80726"/>
    <w:rPr>
      <w:b/>
      <w:bCs/>
    </w:rPr>
  </w:style>
  <w:style w:type="character" w:customStyle="1" w:styleId="CommentSubjectChar">
    <w:name w:val="Comment Subject Char"/>
    <w:basedOn w:val="CommentTextChar"/>
    <w:link w:val="CommentSubject"/>
    <w:semiHidden/>
    <w:rsid w:val="00E80726"/>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004025">
      <w:bodyDiv w:val="1"/>
      <w:marLeft w:val="0"/>
      <w:marRight w:val="0"/>
      <w:marTop w:val="0"/>
      <w:marBottom w:val="0"/>
      <w:divBdr>
        <w:top w:val="none" w:sz="0" w:space="0" w:color="auto"/>
        <w:left w:val="none" w:sz="0" w:space="0" w:color="auto"/>
        <w:bottom w:val="none" w:sz="0" w:space="0" w:color="auto"/>
        <w:right w:val="none" w:sz="0" w:space="0" w:color="auto"/>
      </w:divBdr>
      <w:divsChild>
        <w:div w:id="1999379610">
          <w:marLeft w:val="0"/>
          <w:marRight w:val="0"/>
          <w:marTop w:val="0"/>
          <w:marBottom w:val="0"/>
          <w:divBdr>
            <w:top w:val="none" w:sz="0" w:space="0" w:color="auto"/>
            <w:left w:val="none" w:sz="0" w:space="0" w:color="auto"/>
            <w:bottom w:val="none" w:sz="0" w:space="0" w:color="auto"/>
            <w:right w:val="none" w:sz="0" w:space="0" w:color="auto"/>
          </w:divBdr>
          <w:divsChild>
            <w:div w:id="1998416086">
              <w:marLeft w:val="0"/>
              <w:marRight w:val="0"/>
              <w:marTop w:val="0"/>
              <w:marBottom w:val="0"/>
              <w:divBdr>
                <w:top w:val="none" w:sz="0" w:space="0" w:color="auto"/>
                <w:left w:val="none" w:sz="0" w:space="0" w:color="auto"/>
                <w:bottom w:val="none" w:sz="0" w:space="0" w:color="auto"/>
                <w:right w:val="none" w:sz="0" w:space="0" w:color="auto"/>
              </w:divBdr>
              <w:divsChild>
                <w:div w:id="292709997">
                  <w:marLeft w:val="0"/>
                  <w:marRight w:val="0"/>
                  <w:marTop w:val="0"/>
                  <w:marBottom w:val="0"/>
                  <w:divBdr>
                    <w:top w:val="none" w:sz="0" w:space="0" w:color="auto"/>
                    <w:left w:val="none" w:sz="0" w:space="0" w:color="auto"/>
                    <w:bottom w:val="none" w:sz="0" w:space="0" w:color="auto"/>
                    <w:right w:val="none" w:sz="0" w:space="0" w:color="auto"/>
                  </w:divBdr>
                  <w:divsChild>
                    <w:div w:id="1117136882">
                      <w:marLeft w:val="0"/>
                      <w:marRight w:val="0"/>
                      <w:marTop w:val="120"/>
                      <w:marBottom w:val="0"/>
                      <w:divBdr>
                        <w:top w:val="none" w:sz="0" w:space="0" w:color="auto"/>
                        <w:left w:val="none" w:sz="0" w:space="0" w:color="auto"/>
                        <w:bottom w:val="none" w:sz="0" w:space="0" w:color="auto"/>
                        <w:right w:val="none" w:sz="0" w:space="0" w:color="auto"/>
                      </w:divBdr>
                      <w:divsChild>
                        <w:div w:id="1334720067">
                          <w:marLeft w:val="0"/>
                          <w:marRight w:val="0"/>
                          <w:marTop w:val="0"/>
                          <w:marBottom w:val="0"/>
                          <w:divBdr>
                            <w:top w:val="none" w:sz="0" w:space="0" w:color="auto"/>
                            <w:left w:val="none" w:sz="0" w:space="0" w:color="auto"/>
                            <w:bottom w:val="none" w:sz="0" w:space="0" w:color="auto"/>
                            <w:right w:val="none" w:sz="0" w:space="0" w:color="auto"/>
                          </w:divBdr>
                          <w:divsChild>
                            <w:div w:id="1494184049">
                              <w:marLeft w:val="0"/>
                              <w:marRight w:val="0"/>
                              <w:marTop w:val="0"/>
                              <w:marBottom w:val="0"/>
                              <w:divBdr>
                                <w:top w:val="none" w:sz="0" w:space="0" w:color="auto"/>
                                <w:left w:val="none" w:sz="0" w:space="0" w:color="auto"/>
                                <w:bottom w:val="none" w:sz="0" w:space="0" w:color="auto"/>
                                <w:right w:val="none" w:sz="0" w:space="0" w:color="auto"/>
                              </w:divBdr>
                              <w:divsChild>
                                <w:div w:id="2129884582">
                                  <w:marLeft w:val="0"/>
                                  <w:marRight w:val="0"/>
                                  <w:marTop w:val="0"/>
                                  <w:marBottom w:val="0"/>
                                  <w:divBdr>
                                    <w:top w:val="none" w:sz="0" w:space="0" w:color="auto"/>
                                    <w:left w:val="none" w:sz="0" w:space="0" w:color="auto"/>
                                    <w:bottom w:val="none" w:sz="0" w:space="0" w:color="auto"/>
                                    <w:right w:val="none" w:sz="0" w:space="0" w:color="auto"/>
                                  </w:divBdr>
                                </w:div>
                                <w:div w:id="199250196">
                                  <w:marLeft w:val="0"/>
                                  <w:marRight w:val="0"/>
                                  <w:marTop w:val="0"/>
                                  <w:marBottom w:val="0"/>
                                  <w:divBdr>
                                    <w:top w:val="none" w:sz="0" w:space="0" w:color="auto"/>
                                    <w:left w:val="none" w:sz="0" w:space="0" w:color="auto"/>
                                    <w:bottom w:val="none" w:sz="0" w:space="0" w:color="auto"/>
                                    <w:right w:val="none" w:sz="0" w:space="0" w:color="auto"/>
                                  </w:divBdr>
                                </w:div>
                                <w:div w:id="470094556">
                                  <w:marLeft w:val="0"/>
                                  <w:marRight w:val="0"/>
                                  <w:marTop w:val="0"/>
                                  <w:marBottom w:val="0"/>
                                  <w:divBdr>
                                    <w:top w:val="none" w:sz="0" w:space="0" w:color="auto"/>
                                    <w:left w:val="none" w:sz="0" w:space="0" w:color="auto"/>
                                    <w:bottom w:val="none" w:sz="0" w:space="0" w:color="auto"/>
                                    <w:right w:val="none" w:sz="0" w:space="0" w:color="auto"/>
                                  </w:divBdr>
                                </w:div>
                                <w:div w:id="114839527">
                                  <w:marLeft w:val="0"/>
                                  <w:marRight w:val="0"/>
                                  <w:marTop w:val="0"/>
                                  <w:marBottom w:val="0"/>
                                  <w:divBdr>
                                    <w:top w:val="none" w:sz="0" w:space="0" w:color="auto"/>
                                    <w:left w:val="none" w:sz="0" w:space="0" w:color="auto"/>
                                    <w:bottom w:val="none" w:sz="0" w:space="0" w:color="auto"/>
                                    <w:right w:val="none" w:sz="0" w:space="0" w:color="auto"/>
                                  </w:divBdr>
                                </w:div>
                                <w:div w:id="2090926589">
                                  <w:marLeft w:val="0"/>
                                  <w:marRight w:val="0"/>
                                  <w:marTop w:val="0"/>
                                  <w:marBottom w:val="0"/>
                                  <w:divBdr>
                                    <w:top w:val="none" w:sz="0" w:space="0" w:color="auto"/>
                                    <w:left w:val="none" w:sz="0" w:space="0" w:color="auto"/>
                                    <w:bottom w:val="none" w:sz="0" w:space="0" w:color="auto"/>
                                    <w:right w:val="none" w:sz="0" w:space="0" w:color="auto"/>
                                  </w:divBdr>
                                </w:div>
                                <w:div w:id="1153251612">
                                  <w:marLeft w:val="0"/>
                                  <w:marRight w:val="0"/>
                                  <w:marTop w:val="0"/>
                                  <w:marBottom w:val="0"/>
                                  <w:divBdr>
                                    <w:top w:val="none" w:sz="0" w:space="0" w:color="auto"/>
                                    <w:left w:val="none" w:sz="0" w:space="0" w:color="auto"/>
                                    <w:bottom w:val="none" w:sz="0" w:space="0" w:color="auto"/>
                                    <w:right w:val="none" w:sz="0" w:space="0" w:color="auto"/>
                                  </w:divBdr>
                                </w:div>
                                <w:div w:id="25109159">
                                  <w:marLeft w:val="0"/>
                                  <w:marRight w:val="0"/>
                                  <w:marTop w:val="0"/>
                                  <w:marBottom w:val="0"/>
                                  <w:divBdr>
                                    <w:top w:val="none" w:sz="0" w:space="0" w:color="auto"/>
                                    <w:left w:val="none" w:sz="0" w:space="0" w:color="auto"/>
                                    <w:bottom w:val="none" w:sz="0" w:space="0" w:color="auto"/>
                                    <w:right w:val="none" w:sz="0" w:space="0" w:color="auto"/>
                                  </w:divBdr>
                                </w:div>
                                <w:div w:id="1896966494">
                                  <w:marLeft w:val="0"/>
                                  <w:marRight w:val="0"/>
                                  <w:marTop w:val="0"/>
                                  <w:marBottom w:val="0"/>
                                  <w:divBdr>
                                    <w:top w:val="none" w:sz="0" w:space="0" w:color="auto"/>
                                    <w:left w:val="none" w:sz="0" w:space="0" w:color="auto"/>
                                    <w:bottom w:val="none" w:sz="0" w:space="0" w:color="auto"/>
                                    <w:right w:val="none" w:sz="0" w:space="0" w:color="auto"/>
                                  </w:divBdr>
                                </w:div>
                                <w:div w:id="172359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552891">
          <w:marLeft w:val="0"/>
          <w:marRight w:val="0"/>
          <w:marTop w:val="0"/>
          <w:marBottom w:val="0"/>
          <w:divBdr>
            <w:top w:val="none" w:sz="0" w:space="0" w:color="auto"/>
            <w:left w:val="none" w:sz="0" w:space="0" w:color="auto"/>
            <w:bottom w:val="none" w:sz="0" w:space="0" w:color="auto"/>
            <w:right w:val="none" w:sz="0" w:space="0" w:color="auto"/>
          </w:divBdr>
          <w:divsChild>
            <w:div w:id="1657105634">
              <w:marLeft w:val="0"/>
              <w:marRight w:val="0"/>
              <w:marTop w:val="0"/>
              <w:marBottom w:val="0"/>
              <w:divBdr>
                <w:top w:val="none" w:sz="0" w:space="0" w:color="auto"/>
                <w:left w:val="none" w:sz="0" w:space="0" w:color="auto"/>
                <w:bottom w:val="none" w:sz="0" w:space="0" w:color="auto"/>
                <w:right w:val="none" w:sz="0" w:space="0" w:color="auto"/>
              </w:divBdr>
              <w:divsChild>
                <w:div w:id="1626161192">
                  <w:marLeft w:val="0"/>
                  <w:marRight w:val="0"/>
                  <w:marTop w:val="0"/>
                  <w:marBottom w:val="0"/>
                  <w:divBdr>
                    <w:top w:val="none" w:sz="0" w:space="0" w:color="auto"/>
                    <w:left w:val="none" w:sz="0" w:space="0" w:color="auto"/>
                    <w:bottom w:val="none" w:sz="0" w:space="0" w:color="auto"/>
                    <w:right w:val="none" w:sz="0" w:space="0" w:color="auto"/>
                  </w:divBdr>
                  <w:divsChild>
                    <w:div w:id="68421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344000">
      <w:bodyDiv w:val="1"/>
      <w:marLeft w:val="0"/>
      <w:marRight w:val="0"/>
      <w:marTop w:val="0"/>
      <w:marBottom w:val="0"/>
      <w:divBdr>
        <w:top w:val="none" w:sz="0" w:space="0" w:color="auto"/>
        <w:left w:val="none" w:sz="0" w:space="0" w:color="auto"/>
        <w:bottom w:val="none" w:sz="0" w:space="0" w:color="auto"/>
        <w:right w:val="none" w:sz="0" w:space="0" w:color="auto"/>
      </w:divBdr>
    </w:div>
    <w:div w:id="502745417">
      <w:bodyDiv w:val="1"/>
      <w:marLeft w:val="0"/>
      <w:marRight w:val="0"/>
      <w:marTop w:val="0"/>
      <w:marBottom w:val="0"/>
      <w:divBdr>
        <w:top w:val="none" w:sz="0" w:space="0" w:color="auto"/>
        <w:left w:val="none" w:sz="0" w:space="0" w:color="auto"/>
        <w:bottom w:val="none" w:sz="0" w:space="0" w:color="auto"/>
        <w:right w:val="none" w:sz="0" w:space="0" w:color="auto"/>
      </w:divBdr>
    </w:div>
    <w:div w:id="772475009">
      <w:bodyDiv w:val="1"/>
      <w:marLeft w:val="0"/>
      <w:marRight w:val="0"/>
      <w:marTop w:val="0"/>
      <w:marBottom w:val="0"/>
      <w:divBdr>
        <w:top w:val="none" w:sz="0" w:space="0" w:color="auto"/>
        <w:left w:val="none" w:sz="0" w:space="0" w:color="auto"/>
        <w:bottom w:val="none" w:sz="0" w:space="0" w:color="auto"/>
        <w:right w:val="none" w:sz="0" w:space="0" w:color="auto"/>
      </w:divBdr>
    </w:div>
    <w:div w:id="838889743">
      <w:bodyDiv w:val="1"/>
      <w:marLeft w:val="0"/>
      <w:marRight w:val="0"/>
      <w:marTop w:val="0"/>
      <w:marBottom w:val="0"/>
      <w:divBdr>
        <w:top w:val="none" w:sz="0" w:space="0" w:color="auto"/>
        <w:left w:val="none" w:sz="0" w:space="0" w:color="auto"/>
        <w:bottom w:val="none" w:sz="0" w:space="0" w:color="auto"/>
        <w:right w:val="none" w:sz="0" w:space="0" w:color="auto"/>
      </w:divBdr>
    </w:div>
    <w:div w:id="1133249815">
      <w:bodyDiv w:val="1"/>
      <w:marLeft w:val="0"/>
      <w:marRight w:val="0"/>
      <w:marTop w:val="0"/>
      <w:marBottom w:val="0"/>
      <w:divBdr>
        <w:top w:val="none" w:sz="0" w:space="0" w:color="auto"/>
        <w:left w:val="none" w:sz="0" w:space="0" w:color="auto"/>
        <w:bottom w:val="none" w:sz="0" w:space="0" w:color="auto"/>
        <w:right w:val="none" w:sz="0" w:space="0" w:color="auto"/>
      </w:divBdr>
    </w:div>
    <w:div w:id="1272468580">
      <w:bodyDiv w:val="1"/>
      <w:marLeft w:val="0"/>
      <w:marRight w:val="0"/>
      <w:marTop w:val="0"/>
      <w:marBottom w:val="0"/>
      <w:divBdr>
        <w:top w:val="none" w:sz="0" w:space="0" w:color="auto"/>
        <w:left w:val="none" w:sz="0" w:space="0" w:color="auto"/>
        <w:bottom w:val="none" w:sz="0" w:space="0" w:color="auto"/>
        <w:right w:val="none" w:sz="0" w:space="0" w:color="auto"/>
      </w:divBdr>
    </w:div>
    <w:div w:id="1348798177">
      <w:bodyDiv w:val="1"/>
      <w:marLeft w:val="0"/>
      <w:marRight w:val="0"/>
      <w:marTop w:val="0"/>
      <w:marBottom w:val="0"/>
      <w:divBdr>
        <w:top w:val="none" w:sz="0" w:space="0" w:color="auto"/>
        <w:left w:val="none" w:sz="0" w:space="0" w:color="auto"/>
        <w:bottom w:val="none" w:sz="0" w:space="0" w:color="auto"/>
        <w:right w:val="none" w:sz="0" w:space="0" w:color="auto"/>
      </w:divBdr>
    </w:div>
    <w:div w:id="1453210029">
      <w:bodyDiv w:val="1"/>
      <w:marLeft w:val="0"/>
      <w:marRight w:val="0"/>
      <w:marTop w:val="0"/>
      <w:marBottom w:val="0"/>
      <w:divBdr>
        <w:top w:val="none" w:sz="0" w:space="0" w:color="auto"/>
        <w:left w:val="none" w:sz="0" w:space="0" w:color="auto"/>
        <w:bottom w:val="none" w:sz="0" w:space="0" w:color="auto"/>
        <w:right w:val="none" w:sz="0" w:space="0" w:color="auto"/>
      </w:divBdr>
    </w:div>
    <w:div w:id="1727679172">
      <w:bodyDiv w:val="1"/>
      <w:marLeft w:val="0"/>
      <w:marRight w:val="0"/>
      <w:marTop w:val="0"/>
      <w:marBottom w:val="0"/>
      <w:divBdr>
        <w:top w:val="none" w:sz="0" w:space="0" w:color="auto"/>
        <w:left w:val="none" w:sz="0" w:space="0" w:color="auto"/>
        <w:bottom w:val="none" w:sz="0" w:space="0" w:color="auto"/>
        <w:right w:val="none" w:sz="0" w:space="0" w:color="auto"/>
      </w:divBdr>
    </w:div>
    <w:div w:id="201727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07/s10973-025-14302-9" TargetMode="External"/><Relationship Id="rId5" Type="http://schemas.openxmlformats.org/officeDocument/2006/relationships/hyperlink" Target="mailto:srini.kal_lpu@yahoo.com" TargetMode="External"/><Relationship Id="rId10" Type="http://schemas.openxmlformats.org/officeDocument/2006/relationships/hyperlink" Target="https://doi.org/10.1007/s11664-025-12174-1" TargetMode="External"/><Relationship Id="rId4" Type="http://schemas.openxmlformats.org/officeDocument/2006/relationships/webSettings" Target="webSettings.xml"/><Relationship Id="rId9" Type="http://schemas.openxmlformats.org/officeDocument/2006/relationships/oleObject" Target="embeddings/oleObject2.bin"/></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7</Pages>
  <Words>4207</Words>
  <Characters>23984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16</cp:revision>
  <dcterms:created xsi:type="dcterms:W3CDTF">2025-07-25T08:49:00Z</dcterms:created>
  <dcterms:modified xsi:type="dcterms:W3CDTF">2025-09-14T12:44:00Z</dcterms:modified>
</cp:coreProperties>
</file>