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80" w:rsidRDefault="000E0894" w:rsidP="00966940">
      <w:pPr>
        <w:pStyle w:val="PaperTitle"/>
        <w:rPr>
          <w:b w:val="0"/>
        </w:rPr>
      </w:pPr>
      <w:r>
        <w:t>Research on Maximizing Solar Spectral Transmittance Based on Particle Swarm Optimization Algorithm</w:t>
      </w:r>
    </w:p>
    <w:p w:rsidR="00A93C80" w:rsidRPr="00966940" w:rsidRDefault="000E0894">
      <w:pPr>
        <w:pStyle w:val="AuthorName"/>
      </w:pPr>
      <w:r>
        <w:t>Zimiao Lin</w:t>
      </w:r>
    </w:p>
    <w:p w:rsidR="00A93C80" w:rsidRDefault="000E0894">
      <w:pPr>
        <w:pStyle w:val="AuthorAffiliation"/>
        <w:rPr>
          <w:lang w:eastAsia="zh-CN"/>
        </w:rPr>
      </w:pPr>
      <w:r>
        <w:t>Maynooth International Engineering</w:t>
      </w:r>
      <w:r>
        <w:rPr>
          <w:rFonts w:hint="eastAsia"/>
        </w:rPr>
        <w:t xml:space="preserve"> College</w:t>
      </w:r>
      <w:r>
        <w:t>, Fuzhou University</w:t>
      </w:r>
      <w:r>
        <w:rPr>
          <w:rFonts w:hint="eastAsia"/>
        </w:rPr>
        <w:t xml:space="preserve">, </w:t>
      </w:r>
      <w:r>
        <w:t>Fuzhou, Fujian, 350108, China</w:t>
      </w:r>
    </w:p>
    <w:p w:rsidR="00A93C80" w:rsidRDefault="000E0894">
      <w:pPr>
        <w:pStyle w:val="AuthorEmail"/>
      </w:pPr>
      <w:r>
        <w:br/>
        <w:t>832201116@fzu.edu.cn</w:t>
      </w:r>
    </w:p>
    <w:p w:rsidR="00A93C80" w:rsidRDefault="000E0894">
      <w:pPr>
        <w:pStyle w:val="Abstract"/>
      </w:pPr>
      <w:r>
        <w:rPr>
          <w:b/>
          <w:bCs/>
        </w:rPr>
        <w:t>Abstract.</w:t>
      </w:r>
      <w:r>
        <w:t xml:space="preserve"> Winter heating demands in cold regions are substantial, and solar radiation can be used as an important supplementary energy source. Improving the light transmittance of glazing systems is a key approach to increasing energy efficiency. This study aims to</w:t>
      </w:r>
      <w:r>
        <w:t xml:space="preserve"> optimize the thickness of the three-layer glass structures and enhance sunlight transmittance in the 300–2000 nm wavelength range to maximize transmitted energy. Based on the actual solar spectral data, the thickness combinations were optimized through a </w:t>
      </w:r>
      <w:r>
        <w:t>global search conducted by the particle swarm optimization (PSO) algorithm. The findings show that the optimized transmittance is up to 99.83%, the average transmittance is increased by 54.74%, the visible light transmittance is increased by 32.02%, and th</w:t>
      </w:r>
      <w:r>
        <w:t>e integrated value of multi-angle transmittance is more than 500 W/m². The results indicate that the light transmittance performance is significantly enhanced, and the stability is robust, which verifies that the PSO algorithm is suitable for the optimizat</w:t>
      </w:r>
      <w:r>
        <w:t>ion of complex nonlinear optical film structures. This study provides theoretical support for the energy-saving design of buildings and provides an optimization idea for the engineering application of multi-layer optical films.</w:t>
      </w:r>
    </w:p>
    <w:p w:rsidR="00A93C80" w:rsidRDefault="000E0894">
      <w:pPr>
        <w:pStyle w:val="1"/>
        <w:rPr>
          <w:b w:val="0"/>
          <w:caps w:val="0"/>
          <w:sz w:val="20"/>
        </w:rPr>
      </w:pPr>
      <w:r>
        <w:t>Introduction</w:t>
      </w:r>
    </w:p>
    <w:p w:rsidR="00A93C80" w:rsidRDefault="000E0894">
      <w:pPr>
        <w:pStyle w:val="Paragraph"/>
      </w:pPr>
      <w:bookmarkStart w:id="0" w:name="OLE_LINK1"/>
      <w:r>
        <w:t>In northern reg</w:t>
      </w:r>
      <w:r>
        <w:t>ions, the climate is cold in winter, making heating an essential requirement for daily life and resulting in significant energy consumption. In recent years, growing environmental awareness has led to the widespread acceptance of energy-saving and emission</w:t>
      </w:r>
      <w:r>
        <w:t>-reducing practices. People not only pay attention to various traditional heating equipment but also hope to make better use of new energy. Among these, solar radiation is a major source of energy in nature. Therefore, designing windows to maximize the tra</w:t>
      </w:r>
      <w:r>
        <w:t xml:space="preserve">nsmission of solar energy into indoor spaces has become a critical focus. However, the light transmission and reflectivity of ordinary single-layer glass are fixed, making it difficult to transmit energy efficiently. </w:t>
      </w:r>
      <w:r>
        <w:rPr>
          <w:rFonts w:hint="eastAsia"/>
          <w:lang w:eastAsia="zh-CN"/>
        </w:rPr>
        <w:t>I</w:t>
      </w:r>
      <w:r>
        <w:t xml:space="preserve">n contrast, multi-layer glass is more </w:t>
      </w:r>
      <w:r>
        <w:t>effective in controlling solar transmission [1].</w:t>
      </w:r>
    </w:p>
    <w:p w:rsidR="00A93C80" w:rsidRDefault="000E0894">
      <w:pPr>
        <w:pStyle w:val="Paragraph"/>
      </w:pPr>
      <w:r>
        <w:t>This multi-layer glass structure can be expanded into a typical multi-layer film system and has been widely used in optical designs. Lei Wang used genetic algorithm and transfer matrix method (TMM) to design</w:t>
      </w:r>
      <w:r>
        <w:t xml:space="preserve"> multi-layer film structure composed of high-temperature resistant materials, while Alexander Luce and Anqing Jiang further applied the TMM to reinforcement learning, combining automatic differentiation and material generation algorithm, respectively [2</w:t>
      </w:r>
      <w:r>
        <w:rPr>
          <w:rFonts w:hint="eastAsia"/>
          <w:lang w:eastAsia="zh-CN"/>
        </w:rPr>
        <w:t>-</w:t>
      </w:r>
      <w:r>
        <w:t>4]</w:t>
      </w:r>
      <w:r>
        <w:t>. Xiang Li and Younis A. Yiunis both used Macleod optical design software to simulate and optimize multilayer film structures [5</w:t>
      </w:r>
      <w:r>
        <w:rPr>
          <w:rFonts w:hint="eastAsia"/>
          <w:lang w:eastAsia="zh-CN"/>
        </w:rPr>
        <w:t xml:space="preserve">, </w:t>
      </w:r>
      <w:r>
        <w:t>6]. The former achieved a transmittance of up to 95.3%, while the latter also achieved a high transmittance of 98% for near-in</w:t>
      </w:r>
      <w:r>
        <w:t>frared filter structures. Haozhu Wang proposed an optical multi-layer proximal policy optimization (OML-PPO) method based on deep reinforcement learning [7]. The results showed that the average absorption rate was as high as 99.24%, and the visible light e</w:t>
      </w:r>
      <w:r>
        <w:t xml:space="preserve">nhancement factor was increased by 8.5%. Preetam Kumar and others used the Tandem neural network architecture (TNN) to achieve the reverse design of multilayer thin films based on TiO₂-SiO₂ materials [8]. In the test, the transmittance error was less than </w:t>
      </w:r>
      <w:r>
        <w:t>20%. Ze Dong Saw and others used large language models (LLMs) to develop an optical thin film design framework based on natural language input [9]. Taigao Ma further proposed the neural network-driven OptoGPT model [10]. The results showed that each design</w:t>
      </w:r>
      <w:r>
        <w:t xml:space="preserve"> took only about 0.1 seconds. The GLSIM program (glazing simulator) was employed by Wycliffe M. Isoe and others for optical simulation, which led to a notable increase in </w:t>
      </w:r>
      <w:r>
        <w:lastRenderedPageBreak/>
        <w:t>energy conversion efficiency to 28.72% [11]. The above studies show that multilayer f</w:t>
      </w:r>
      <w:r>
        <w:t>ilm systems have excellent spectral control capabilities and can achieve high transmittance through structural optimization, which has significant advantages in improving energy efficiency.</w:t>
      </w:r>
    </w:p>
    <w:p w:rsidR="00A93C80" w:rsidRDefault="000E0894">
      <w:pPr>
        <w:pStyle w:val="Paragraph"/>
        <w:rPr>
          <w:lang w:eastAsia="zh-CN"/>
        </w:rPr>
      </w:pPr>
      <w:r>
        <w:t>In summary, most of the existing research focuses on the design of</w:t>
      </w:r>
      <w:r>
        <w:t xml:space="preserve"> specific optical components such as filters, ultra-wideband absorbers, or laser reflectors, and there are relatively few studies on their application in the field of building energy conservation. In addition, the methods used in existing studies are usual</w:t>
      </w:r>
      <w:r>
        <w:t>ly computationally intensive and complex in structure, which is not conducive to practical implementation. In order to fill these gaps, this study uses particle swarm optimization, an efficient and simple heuristic optimization algorithm, to improve the tr</w:t>
      </w:r>
      <w:r>
        <w:t>ansmittance of sunlight in the wavelength range of 300nm to 2000nm, thereby reducing winter heating energy consumption, which is in line with the concept of low-carbon development and opens up a new direction for the integration of optical design and build</w:t>
      </w:r>
      <w:r>
        <w:t>ing energy conservation</w:t>
      </w:r>
      <w:r>
        <w:rPr>
          <w:rFonts w:hint="eastAsia"/>
          <w:lang w:eastAsia="zh-CN"/>
        </w:rPr>
        <w:t>.</w:t>
      </w:r>
    </w:p>
    <w:bookmarkEnd w:id="0"/>
    <w:p w:rsidR="00A93C80" w:rsidRDefault="000E0894">
      <w:pPr>
        <w:pStyle w:val="1"/>
        <w:rPr>
          <w:lang w:eastAsia="zh-CN"/>
        </w:rPr>
      </w:pPr>
      <w:r>
        <w:rPr>
          <w:lang w:eastAsia="zh-CN"/>
        </w:rPr>
        <w:t>Methodology</w:t>
      </w:r>
    </w:p>
    <w:p w:rsidR="00A93C80" w:rsidRDefault="000E0894">
      <w:pPr>
        <w:pStyle w:val="2"/>
        <w:rPr>
          <w:lang w:eastAsia="zh-CN"/>
        </w:rPr>
      </w:pPr>
      <w:r>
        <w:t>Particle Swarm Optimization algorithm</w:t>
      </w:r>
      <w:bookmarkStart w:id="1" w:name="OLE_LINK3"/>
      <w:bookmarkStart w:id="2" w:name="OLE_LINK2"/>
    </w:p>
    <w:p w:rsidR="00A93C80" w:rsidRDefault="000E0894">
      <w:pPr>
        <w:pStyle w:val="Paragraph"/>
      </w:pPr>
      <w:r>
        <w:t>Particle Swarm Optimization (PSO) is a heuristic algorithm inspired by the collective behavior of biological groups [12]. Unlike traditional methods, it can effectively solve comple</w:t>
      </w:r>
      <w:r>
        <w:t>x, nonlinear problems without requiring the objective function to be continuous or differentiable [13]. PSO is also known for its simple structure, few parameters, and fast convergence.</w:t>
      </w:r>
    </w:p>
    <w:p w:rsidR="00A93C80" w:rsidRDefault="000E0894">
      <w:pPr>
        <w:pStyle w:val="Paragraph"/>
      </w:pPr>
      <w:r>
        <w:t>The algorithm mimics how birds cooperatively search for food, abstract</w:t>
      </w:r>
      <w:r>
        <w:t>ing this into a computational model that explores the solution space [14]. Each particle represents a potential solution and adjusts its velocity and position based on its personal best (pbest) and the global best (gbest), as defined by the update rules:</w:t>
      </w:r>
    </w:p>
    <w:p w:rsidR="00A93C80" w:rsidRDefault="00A93C80">
      <w:pPr>
        <w:pStyle w:val="Paragraph"/>
        <w:rPr>
          <w:lang w:eastAsia="zh-CN"/>
        </w:rPr>
      </w:pPr>
    </w:p>
    <w:p w:rsidR="00A93C80" w:rsidRDefault="000E0894">
      <w:pPr>
        <w:pStyle w:val="Equation"/>
      </w:pPr>
      <w:r>
        <w:rPr>
          <w:lang w:eastAsia="zh-CN"/>
        </w:rPr>
        <w:tab/>
      </w:r>
      <m:oMath>
        <m:sSubSup>
          <m:sSubSupPr>
            <m:ctrlPr>
              <w:rPr>
                <w:rFonts w:ascii="Cambria Math" w:hAnsi="Cambria Math"/>
              </w:rPr>
            </m:ctrlPr>
          </m:sSubSupPr>
          <m:e>
            <m:r>
              <m:rPr>
                <m:sty m:val="p"/>
              </m:rPr>
              <w:rPr>
                <w:rFonts w:ascii="Cambria Math" w:hAnsi="Cambria Math"/>
              </w:rPr>
              <m:t>v</m:t>
            </m:r>
            <m:ctrlPr>
              <w:rPr>
                <w:rFonts w:ascii="Cambria Math" w:hAnsi="Cambria Math" w:hint="eastAsia"/>
              </w:rPr>
            </m:ctrlPr>
          </m:e>
          <m:sub>
            <m:r>
              <m:rPr>
                <m:sty m:val="p"/>
              </m:rPr>
              <w:rPr>
                <w:rFonts w:ascii="Cambria Math" w:hAnsi="Cambria Math"/>
              </w:rPr>
              <m:t>i,d</m:t>
            </m:r>
            <m:ctrlPr>
              <w:rPr>
                <w:rFonts w:ascii="Cambria Math" w:hAnsi="Cambria Math" w:hint="eastAsia"/>
              </w:rPr>
            </m:ctrlPr>
          </m:sub>
          <m:sup>
            <m:r>
              <m:rPr>
                <m:sty m:val="p"/>
              </m:rPr>
              <w:rPr>
                <w:rFonts w:ascii="Cambria Math" w:hAnsi="Cambria Math"/>
              </w:rPr>
              <m:t>k+1</m:t>
            </m:r>
            <m:ctrlPr>
              <w:rPr>
                <w:rFonts w:ascii="Cambria Math" w:hAnsi="Cambria Math" w:hint="eastAsia"/>
              </w:rPr>
            </m:ctrlPr>
          </m:sup>
        </m:sSubSup>
        <m:r>
          <m:rPr>
            <m:sty m:val="p"/>
          </m:rPr>
          <w:rPr>
            <w:rFonts w:ascii="Cambria Math" w:hAnsi="Cambria Math"/>
          </w:rPr>
          <m:t>=</m:t>
        </m:r>
        <w:bookmarkStart w:id="3" w:name="_Hlk197636780"/>
        <m:r>
          <m:rPr>
            <m:sty m:val="p"/>
          </m:rPr>
          <w:rPr>
            <w:rFonts w:ascii="Cambria Math" w:hAnsi="Cambria Math"/>
          </w:rPr>
          <m:t>ω</m:t>
        </m:r>
        <w:bookmarkEnd w:id="3"/>
        <m:sSubSup>
          <m:sSubSupPr>
            <m:ctrlPr>
              <w:rPr>
                <w:rFonts w:ascii="Cambria Math" w:hAnsi="Cambria Math"/>
              </w:rPr>
            </m:ctrlPr>
          </m:sSubSupPr>
          <m:e>
            <m:r>
              <m:rPr>
                <m:sty m:val="p"/>
              </m:rPr>
              <w:rPr>
                <w:rFonts w:ascii="Cambria Math" w:hAnsi="Cambria Math"/>
              </w:rPr>
              <m:t>v</m:t>
            </m:r>
            <m:ctrlPr>
              <w:rPr>
                <w:rFonts w:ascii="Cambria Math" w:hAnsi="Cambria Math" w:hint="eastAsia"/>
              </w:rPr>
            </m:ctrlPr>
          </m:e>
          <m:sub>
            <m:r>
              <m:rPr>
                <m:sty m:val="p"/>
              </m:rPr>
              <w:rPr>
                <w:rFonts w:ascii="Cambria Math" w:hAnsi="Cambria Math"/>
              </w:rPr>
              <m:t>i,d</m:t>
            </m:r>
            <m:ctrlPr>
              <w:rPr>
                <w:rFonts w:ascii="Cambria Math" w:hAnsi="Cambria Math" w:hint="eastAsia"/>
              </w:rPr>
            </m:ctrlPr>
          </m:sub>
          <m:sup>
            <m:r>
              <m:rPr>
                <m:sty m:val="p"/>
              </m:rPr>
              <w:rPr>
                <w:rFonts w:ascii="Cambria Math" w:hAnsi="Cambria Math"/>
              </w:rPr>
              <m:t>k</m:t>
            </m:r>
            <m:ctrlPr>
              <w:rPr>
                <w:rFonts w:ascii="Cambria Math" w:hAnsi="Cambria Math" w:hint="eastAsia"/>
              </w:rPr>
            </m:ctrlP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c</m:t>
            </m:r>
            <m:ctrlPr>
              <w:rPr>
                <w:rFonts w:ascii="Cambria Math" w:hAnsi="Cambria Math" w:hint="eastAsia"/>
              </w:rPr>
            </m:ctrlPr>
          </m:e>
          <m:sub>
            <m:r>
              <m:rPr>
                <m:sty m:val="p"/>
              </m:rPr>
              <w:rPr>
                <w:rFonts w:ascii="Cambria Math" w:hAnsi="Cambria Math"/>
              </w:rPr>
              <m:t>1</m:t>
            </m:r>
            <m:ctrlPr>
              <w:rPr>
                <w:rFonts w:ascii="Cambria Math" w:hAnsi="Cambria Math" w:hint="eastAsia"/>
              </w:rPr>
            </m:ctrlPr>
          </m:sub>
        </m:sSub>
        <m:sSub>
          <m:sSubPr>
            <m:ctrlPr>
              <w:rPr>
                <w:rFonts w:ascii="Cambria Math" w:hAnsi="Cambria Math"/>
              </w:rPr>
            </m:ctrlPr>
          </m:sSubPr>
          <m:e>
            <m:r>
              <m:rPr>
                <m:sty m:val="p"/>
              </m:rPr>
              <w:rPr>
                <w:rFonts w:ascii="Cambria Math" w:hAnsi="Cambria Math"/>
              </w:rPr>
              <m:t>r</m:t>
            </m:r>
            <m:ctrlPr>
              <w:rPr>
                <w:rFonts w:ascii="Cambria Math" w:hAnsi="Cambria Math" w:hint="eastAsia"/>
              </w:rPr>
            </m:ctrlPr>
          </m:e>
          <m:sub>
            <m:r>
              <m:rPr>
                <m:sty m:val="p"/>
              </m:rPr>
              <w:rPr>
                <w:rFonts w:ascii="Cambria Math" w:hAnsi="Cambria Math"/>
              </w:rPr>
              <m:t>1</m:t>
            </m:r>
            <m:ctrlPr>
              <w:rPr>
                <w:rFonts w:ascii="Cambria Math" w:hAnsi="Cambria Math" w:hint="eastAsia"/>
              </w:rPr>
            </m:ctrlPr>
          </m:sub>
        </m:sSub>
        <m:d>
          <m:dPr>
            <m:ctrlPr>
              <w:rPr>
                <w:rFonts w:ascii="Cambria Math" w:hAnsi="Cambria Math"/>
              </w:rPr>
            </m:ctrlPr>
          </m:dPr>
          <m:e>
            <m:r>
              <m:rPr>
                <m:sty m:val="p"/>
              </m:rPr>
              <w:rPr>
                <w:rFonts w:ascii="Cambria Math" w:hAnsi="Cambria Math"/>
              </w:rPr>
              <m:t>pbes</m:t>
            </m:r>
            <m:sSub>
              <m:sSubPr>
                <m:ctrlPr>
                  <w:rPr>
                    <w:rFonts w:ascii="Cambria Math" w:hAnsi="Cambria Math"/>
                  </w:rPr>
                </m:ctrlPr>
              </m:sSubPr>
              <m:e>
                <m:r>
                  <m:rPr>
                    <m:sty m:val="p"/>
                  </m:rPr>
                  <w:rPr>
                    <w:rFonts w:ascii="Cambria Math" w:hAnsi="Cambria Math"/>
                  </w:rPr>
                  <m:t>t</m:t>
                </m:r>
                <m:ctrlPr>
                  <w:rPr>
                    <w:rFonts w:ascii="Cambria Math" w:hAnsi="Cambria Math" w:hint="eastAsia"/>
                  </w:rPr>
                </m:ctrlPr>
              </m:e>
              <m:sub>
                <m:r>
                  <m:rPr>
                    <m:sty m:val="p"/>
                  </m:rPr>
                  <w:rPr>
                    <w:rFonts w:ascii="Cambria Math" w:hAnsi="Cambria Math"/>
                  </w:rPr>
                  <m:t>i,d</m:t>
                </m:r>
                <m:ctrlPr>
                  <w:rPr>
                    <w:rFonts w:ascii="Cambria Math" w:hAnsi="Cambria Math" w:hint="eastAsia"/>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ctrlPr>
                  <w:rPr>
                    <w:rFonts w:ascii="Cambria Math" w:hAnsi="Cambria Math" w:hint="eastAsia"/>
                  </w:rPr>
                </m:ctrlPr>
              </m:e>
              <m:sub>
                <m:r>
                  <m:rPr>
                    <m:sty m:val="p"/>
                  </m:rPr>
                  <w:rPr>
                    <w:rFonts w:ascii="Cambria Math" w:hAnsi="Cambria Math"/>
                  </w:rPr>
                  <m:t>i,d</m:t>
                </m:r>
                <m:ctrlPr>
                  <w:rPr>
                    <w:rFonts w:ascii="Cambria Math" w:hAnsi="Cambria Math" w:hint="eastAsia"/>
                  </w:rPr>
                </m:ctrlPr>
              </m:sub>
              <m:sup>
                <m:r>
                  <m:rPr>
                    <m:sty m:val="p"/>
                  </m:rPr>
                  <w:rPr>
                    <w:rFonts w:ascii="Cambria Math" w:hAnsi="Cambria Math"/>
                  </w:rPr>
                  <m:t>k</m:t>
                </m:r>
                <m:ctrlPr>
                  <w:rPr>
                    <w:rFonts w:ascii="Cambria Math" w:hAnsi="Cambria Math" w:hint="eastAsia"/>
                  </w:rPr>
                </m:ctrlPr>
              </m:sup>
            </m:sSubSup>
          </m:e>
        </m:d>
        <m:r>
          <m:rPr>
            <m:sty m:val="p"/>
          </m:rPr>
          <w:rPr>
            <w:rFonts w:ascii="Cambria Math" w:hAnsi="Cambria Math"/>
          </w:rPr>
          <m:t>+</m:t>
        </m:r>
        <m:sSub>
          <m:sSubPr>
            <m:ctrlPr>
              <w:rPr>
                <w:rFonts w:ascii="Cambria Math" w:hAnsi="Cambria Math"/>
              </w:rPr>
            </m:ctrlPr>
          </m:sSubPr>
          <m:e>
            <m:r>
              <m:rPr>
                <m:sty m:val="p"/>
              </m:rPr>
              <w:rPr>
                <w:rFonts w:ascii="Cambria Math" w:hAnsi="Cambria Math"/>
              </w:rPr>
              <m:t>c</m:t>
            </m:r>
            <m:ctrlPr>
              <w:rPr>
                <w:rFonts w:ascii="Cambria Math" w:hAnsi="Cambria Math" w:hint="eastAsia"/>
              </w:rPr>
            </m:ctrlPr>
          </m:e>
          <m:sub>
            <m:r>
              <m:rPr>
                <m:sty m:val="p"/>
              </m:rPr>
              <w:rPr>
                <w:rFonts w:ascii="Cambria Math" w:hAnsi="Cambria Math"/>
              </w:rPr>
              <m:t>2</m:t>
            </m:r>
            <m:ctrlPr>
              <w:rPr>
                <w:rFonts w:ascii="Cambria Math" w:hAnsi="Cambria Math" w:hint="eastAsia"/>
              </w:rPr>
            </m:ctrlPr>
          </m:sub>
        </m:sSub>
        <m:sSub>
          <m:sSubPr>
            <m:ctrlPr>
              <w:rPr>
                <w:rFonts w:ascii="Cambria Math" w:hAnsi="Cambria Math"/>
              </w:rPr>
            </m:ctrlPr>
          </m:sSubPr>
          <m:e>
            <m:r>
              <m:rPr>
                <m:sty m:val="p"/>
              </m:rPr>
              <w:rPr>
                <w:rFonts w:ascii="Cambria Math" w:hAnsi="Cambria Math"/>
              </w:rPr>
              <m:t>r</m:t>
            </m:r>
            <m:ctrlPr>
              <w:rPr>
                <w:rFonts w:ascii="Cambria Math" w:hAnsi="Cambria Math" w:hint="eastAsia"/>
              </w:rPr>
            </m:ctrlPr>
          </m:e>
          <m:sub>
            <m:r>
              <m:rPr>
                <m:sty m:val="p"/>
              </m:rPr>
              <w:rPr>
                <w:rFonts w:ascii="Cambria Math" w:hAnsi="Cambria Math"/>
              </w:rPr>
              <m:t>2</m:t>
            </m:r>
            <m:ctrlPr>
              <w:rPr>
                <w:rFonts w:ascii="Cambria Math" w:hAnsi="Cambria Math" w:hint="eastAsia"/>
              </w:rPr>
            </m:ctrlPr>
          </m:sub>
        </m:sSub>
        <m:d>
          <m:dPr>
            <m:ctrlPr>
              <w:rPr>
                <w:rFonts w:ascii="Cambria Math" w:hAnsi="Cambria Math"/>
              </w:rPr>
            </m:ctrlPr>
          </m:dPr>
          <m:e>
            <m:r>
              <m:rPr>
                <m:sty m:val="p"/>
              </m:rPr>
              <w:rPr>
                <w:rFonts w:ascii="Cambria Math" w:hAnsi="Cambria Math"/>
              </w:rPr>
              <m:t>gbes</m:t>
            </m:r>
            <m:sSub>
              <m:sSubPr>
                <m:ctrlPr>
                  <w:rPr>
                    <w:rFonts w:ascii="Cambria Math" w:hAnsi="Cambria Math"/>
                  </w:rPr>
                </m:ctrlPr>
              </m:sSubPr>
              <m:e>
                <m:r>
                  <m:rPr>
                    <m:sty m:val="p"/>
                  </m:rPr>
                  <w:rPr>
                    <w:rFonts w:ascii="Cambria Math" w:hAnsi="Cambria Math"/>
                  </w:rPr>
                  <m:t>t</m:t>
                </m:r>
                <m:ctrlPr>
                  <w:rPr>
                    <w:rFonts w:ascii="Cambria Math" w:hAnsi="Cambria Math" w:hint="eastAsia"/>
                  </w:rPr>
                </m:ctrlPr>
              </m:e>
              <m:sub>
                <m:r>
                  <m:rPr>
                    <m:sty m:val="p"/>
                  </m:rPr>
                  <w:rPr>
                    <w:rFonts w:ascii="Cambria Math" w:hAnsi="Cambria Math"/>
                  </w:rPr>
                  <m:t>d</m:t>
                </m:r>
                <m:ctrlPr>
                  <w:rPr>
                    <w:rFonts w:ascii="Cambria Math" w:hAnsi="Cambria Math" w:hint="eastAsia"/>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ctrlPr>
                  <w:rPr>
                    <w:rFonts w:ascii="Cambria Math" w:hAnsi="Cambria Math" w:hint="eastAsia"/>
                  </w:rPr>
                </m:ctrlPr>
              </m:e>
              <m:sub>
                <m:r>
                  <m:rPr>
                    <m:sty m:val="p"/>
                  </m:rPr>
                  <w:rPr>
                    <w:rFonts w:ascii="Cambria Math" w:hAnsi="Cambria Math"/>
                  </w:rPr>
                  <m:t>i,d</m:t>
                </m:r>
                <m:ctrlPr>
                  <w:rPr>
                    <w:rFonts w:ascii="Cambria Math" w:hAnsi="Cambria Math" w:hint="eastAsia"/>
                  </w:rPr>
                </m:ctrlPr>
              </m:sub>
              <m:sup>
                <m:r>
                  <m:rPr>
                    <m:sty m:val="p"/>
                  </m:rPr>
                  <w:rPr>
                    <w:rFonts w:ascii="Cambria Math" w:hAnsi="Cambria Math"/>
                  </w:rPr>
                  <m:t>k</m:t>
                </m:r>
                <m:ctrlPr>
                  <w:rPr>
                    <w:rFonts w:ascii="Cambria Math" w:hAnsi="Cambria Math" w:hint="eastAsia"/>
                  </w:rPr>
                </m:ctrlPr>
              </m:sup>
            </m:sSubSup>
          </m:e>
        </m:d>
      </m:oMath>
      <w:r>
        <w:rPr>
          <w:rFonts w:hint="eastAsia"/>
        </w:rPr>
        <w:t xml:space="preserve"> </w:t>
      </w:r>
      <w:r>
        <w:tab/>
      </w:r>
      <w:r>
        <w:rPr>
          <w:rFonts w:hint="eastAsia"/>
        </w:rPr>
        <w:t>(1)</w:t>
      </w:r>
    </w:p>
    <w:p w:rsidR="00966940" w:rsidRDefault="00966940">
      <w:pPr>
        <w:pStyle w:val="Equation"/>
      </w:pPr>
    </w:p>
    <w:p w:rsidR="00A93C80" w:rsidRDefault="000E0894">
      <w:pPr>
        <w:pStyle w:val="Equation"/>
        <w:rPr>
          <w:lang w:eastAsia="zh-CN"/>
        </w:rPr>
      </w:pPr>
      <w:r>
        <w:rPr>
          <w:lang w:eastAsia="zh-CN"/>
        </w:rPr>
        <w:tab/>
      </w:r>
      <m:oMath>
        <m:sSubSup>
          <m:sSubSupPr>
            <m:ctrlPr>
              <w:rPr>
                <w:rFonts w:ascii="Cambria Math" w:hAnsi="Cambria Math"/>
                <w:lang w:eastAsia="zh-CN"/>
              </w:rPr>
            </m:ctrlPr>
          </m:sSubSupPr>
          <m:e>
            <m:r>
              <m:rPr>
                <m:sty m:val="p"/>
              </m:rPr>
              <w:rPr>
                <w:rFonts w:ascii="Cambria Math" w:hAnsi="Cambria Math"/>
                <w:lang w:eastAsia="zh-CN"/>
              </w:rPr>
              <m:t>x</m:t>
            </m:r>
          </m:e>
          <m:sub>
            <m:r>
              <m:rPr>
                <m:sty m:val="p"/>
              </m:rPr>
              <w:rPr>
                <w:rFonts w:ascii="Cambria Math" w:hAnsi="Cambria Math"/>
                <w:lang w:eastAsia="zh-CN"/>
              </w:rPr>
              <m:t>i,d</m:t>
            </m:r>
          </m:sub>
          <m:sup>
            <m:r>
              <m:rPr>
                <m:sty m:val="p"/>
              </m:rPr>
              <w:rPr>
                <w:rFonts w:ascii="Cambria Math" w:hAnsi="Cambria Math"/>
                <w:lang w:eastAsia="zh-CN"/>
              </w:rPr>
              <m:t>k+1</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x</m:t>
            </m:r>
          </m:e>
          <m:sub>
            <m:r>
              <m:rPr>
                <m:sty m:val="p"/>
              </m:rPr>
              <w:rPr>
                <w:rFonts w:ascii="Cambria Math" w:hAnsi="Cambria Math"/>
                <w:lang w:eastAsia="zh-CN"/>
              </w:rPr>
              <m:t>i,d</m:t>
            </m:r>
          </m:sub>
          <m:sup>
            <m:r>
              <m:rPr>
                <m:sty m:val="p"/>
              </m:rPr>
              <w:rPr>
                <w:rFonts w:ascii="Cambria Math" w:hAnsi="Cambria Math"/>
                <w:lang w:eastAsia="zh-CN"/>
              </w:rPr>
              <m:t>k</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v</m:t>
            </m:r>
          </m:e>
          <m:sub>
            <m:r>
              <m:rPr>
                <m:sty m:val="p"/>
              </m:rPr>
              <w:rPr>
                <w:rFonts w:ascii="Cambria Math" w:hAnsi="Cambria Math"/>
                <w:lang w:eastAsia="zh-CN"/>
              </w:rPr>
              <m:t>i,d</m:t>
            </m:r>
          </m:sub>
          <m:sup>
            <m:r>
              <m:rPr>
                <m:sty m:val="p"/>
              </m:rPr>
              <w:rPr>
                <w:rFonts w:ascii="Cambria Math" w:hAnsi="Cambria Math"/>
                <w:lang w:eastAsia="zh-CN"/>
              </w:rPr>
              <m:t>k+1</m:t>
            </m:r>
          </m:sup>
        </m:sSubSup>
      </m:oMath>
      <w:r>
        <w:rPr>
          <w:lang w:eastAsia="zh-CN"/>
        </w:rPr>
        <w:tab/>
      </w:r>
      <w:r>
        <w:rPr>
          <w:rFonts w:hint="eastAsia"/>
          <w:lang w:eastAsia="zh-CN"/>
        </w:rPr>
        <w:t>(2)</w:t>
      </w:r>
    </w:p>
    <w:p w:rsidR="00A93C80" w:rsidRDefault="00A93C80">
      <w:pPr>
        <w:pStyle w:val="Equation"/>
        <w:jc w:val="left"/>
        <w:rPr>
          <w:lang w:eastAsia="zh-CN"/>
        </w:rPr>
      </w:pPr>
    </w:p>
    <w:p w:rsidR="00A93C80" w:rsidRDefault="000E0894">
      <w:pPr>
        <w:pStyle w:val="Paragraph"/>
        <w:ind w:firstLine="0"/>
        <w:rPr>
          <w:lang w:eastAsia="zh-CN"/>
        </w:rPr>
      </w:pPr>
      <w:r>
        <w:t xml:space="preserve">Here, </w:t>
      </w:r>
      <m:oMath>
        <m:sSubSup>
          <m:sSubSupPr>
            <m:ctrlPr>
              <w:rPr>
                <w:rFonts w:ascii="Cambria Math" w:hAnsi="Cambria Math"/>
                <w:szCs w:val="21"/>
              </w:rPr>
            </m:ctrlPr>
          </m:sSubSupPr>
          <m:e>
            <m:r>
              <m:rPr>
                <m:sty m:val="p"/>
              </m:rPr>
              <w:rPr>
                <w:rFonts w:ascii="Cambria Math" w:hAnsi="Cambria Math"/>
                <w:szCs w:val="21"/>
              </w:rPr>
              <m:t>v</m:t>
            </m:r>
            <m:ctrlPr>
              <w:rPr>
                <w:rFonts w:ascii="Cambria Math" w:hAnsi="Cambria Math" w:hint="eastAsia"/>
                <w:szCs w:val="21"/>
              </w:rPr>
            </m:ctrlPr>
          </m:e>
          <m:sub>
            <m:r>
              <m:rPr>
                <m:sty m:val="p"/>
              </m:rPr>
              <w:rPr>
                <w:rFonts w:ascii="Cambria Math" w:hAnsi="Cambria Math"/>
                <w:szCs w:val="21"/>
              </w:rPr>
              <m:t>i,d</m:t>
            </m:r>
            <m:ctrlPr>
              <w:rPr>
                <w:rFonts w:ascii="Cambria Math" w:hAnsi="Cambria Math" w:hint="eastAsia"/>
                <w:szCs w:val="21"/>
              </w:rPr>
            </m:ctrlPr>
          </m:sub>
          <m:sup>
            <m:r>
              <m:rPr>
                <m:sty m:val="p"/>
              </m:rPr>
              <w:rPr>
                <w:rFonts w:ascii="Cambria Math" w:hAnsi="Cambria Math"/>
                <w:szCs w:val="21"/>
              </w:rPr>
              <m:t>k+1</m:t>
            </m:r>
            <m:ctrlPr>
              <w:rPr>
                <w:rFonts w:ascii="Cambria Math" w:hAnsi="Cambria Math" w:hint="eastAsia"/>
                <w:szCs w:val="21"/>
              </w:rPr>
            </m:ctrlPr>
          </m:sup>
        </m:sSubSup>
      </m:oMath>
      <w:r>
        <w:t xml:space="preserve"> and </w:t>
      </w:r>
      <m:oMath>
        <m:sSubSup>
          <m:sSubSupPr>
            <m:ctrlPr>
              <w:rPr>
                <w:rFonts w:ascii="Cambria Math" w:hAnsi="Cambria Math"/>
                <w:szCs w:val="21"/>
              </w:rPr>
            </m:ctrlPr>
          </m:sSubSupPr>
          <m:e>
            <m:r>
              <m:rPr>
                <m:sty m:val="p"/>
              </m:rPr>
              <w:rPr>
                <w:rFonts w:ascii="Cambria Math" w:hAnsi="Cambria Math"/>
                <w:szCs w:val="21"/>
              </w:rPr>
              <m:t>x</m:t>
            </m:r>
            <m:ctrlPr>
              <w:rPr>
                <w:rFonts w:ascii="Cambria Math" w:hAnsi="Cambria Math" w:hint="eastAsia"/>
                <w:szCs w:val="21"/>
              </w:rPr>
            </m:ctrlPr>
          </m:e>
          <m:sub>
            <m:r>
              <m:rPr>
                <m:sty m:val="p"/>
              </m:rPr>
              <w:rPr>
                <w:rFonts w:ascii="Cambria Math" w:hAnsi="Cambria Math"/>
                <w:szCs w:val="21"/>
              </w:rPr>
              <m:t>i,d</m:t>
            </m:r>
            <m:ctrlPr>
              <w:rPr>
                <w:rFonts w:ascii="Cambria Math" w:hAnsi="Cambria Math" w:hint="eastAsia"/>
                <w:szCs w:val="21"/>
              </w:rPr>
            </m:ctrlPr>
          </m:sub>
          <m:sup>
            <m:r>
              <m:rPr>
                <m:sty m:val="p"/>
              </m:rPr>
              <w:rPr>
                <w:rFonts w:ascii="Cambria Math" w:hAnsi="Cambria Math"/>
                <w:szCs w:val="21"/>
              </w:rPr>
              <m:t>k+1</m:t>
            </m:r>
            <m:ctrlPr>
              <w:rPr>
                <w:rFonts w:ascii="Cambria Math" w:hAnsi="Cambria Math" w:hint="eastAsia"/>
                <w:szCs w:val="21"/>
              </w:rPr>
            </m:ctrlPr>
          </m:sup>
        </m:sSubSup>
      </m:oMath>
      <w:r>
        <w:t xml:space="preserve"> are the updated velocity and position of particle </w:t>
      </w:r>
      <m:oMath>
        <m:r>
          <w:rPr>
            <w:rFonts w:ascii="Cambria Math" w:hAnsi="Cambria Math" w:hint="eastAsia"/>
            <w:lang w:eastAsia="zh-CN"/>
          </w:rPr>
          <m:t>i</m:t>
        </m:r>
      </m:oMath>
      <w:r>
        <w:t xml:space="preserve"> in dimension </w:t>
      </w:r>
      <m:oMath>
        <m:r>
          <w:rPr>
            <w:rFonts w:ascii="Cambria Math" w:hAnsi="Cambria Math" w:hint="eastAsia"/>
            <w:lang w:eastAsia="zh-CN"/>
          </w:rPr>
          <m:t>d</m:t>
        </m:r>
      </m:oMath>
      <w:r>
        <w:t xml:space="preserve"> at iteration </w:t>
      </w:r>
      <m:oMath>
        <m:r>
          <w:rPr>
            <w:rFonts w:ascii="Cambria Math" w:hAnsi="Cambria Math" w:hint="eastAsia"/>
            <w:lang w:eastAsia="zh-CN"/>
          </w:rPr>
          <m:t>k</m:t>
        </m:r>
        <m:r>
          <w:rPr>
            <w:rFonts w:ascii="Cambria Math" w:hAnsi="Cambria Math"/>
          </w:rPr>
          <m:t>+1</m:t>
        </m:r>
      </m:oMath>
      <w:r>
        <w:rPr>
          <w:rFonts w:hint="eastAsia"/>
          <w:lang w:eastAsia="zh-CN"/>
        </w:rPr>
        <w:t xml:space="preserve">. </w:t>
      </w:r>
      <w:r>
        <w:t>The inertia weight</w:t>
      </w:r>
      <w:r>
        <w:rPr>
          <w:rFonts w:hint="eastAsia"/>
          <w:lang w:eastAsia="zh-CN"/>
        </w:rPr>
        <w:t xml:space="preserve"> </w:t>
      </w:r>
      <m:oMath>
        <m:r>
          <m:rPr>
            <m:sty m:val="p"/>
          </m:rPr>
          <w:rPr>
            <w:rFonts w:ascii="Cambria Math" w:hAnsi="Cambria Math"/>
            <w:szCs w:val="21"/>
          </w:rPr>
          <m:t>ω</m:t>
        </m:r>
      </m:oMath>
      <w:r>
        <w:t xml:space="preserve"> maintains momentum, while </w:t>
      </w:r>
      <m:oMath>
        <m:sSub>
          <m:sSubPr>
            <m:ctrlPr>
              <w:rPr>
                <w:rFonts w:ascii="Cambria Math" w:hAnsi="Cambria Math"/>
                <w:i/>
                <w:szCs w:val="21"/>
                <w:vertAlign w:val="subscript"/>
              </w:rPr>
            </m:ctrlPr>
          </m:sSubPr>
          <m:e>
            <m:r>
              <w:rPr>
                <w:rFonts w:ascii="Cambria Math" w:hAnsi="Cambria Math"/>
                <w:szCs w:val="21"/>
                <w:vertAlign w:val="subscript"/>
              </w:rPr>
              <m:t>c</m:t>
            </m:r>
          </m:e>
          <m:sub>
            <m:r>
              <w:rPr>
                <w:rFonts w:ascii="Cambria Math" w:hAnsi="Cambria Math"/>
                <w:szCs w:val="21"/>
                <w:vertAlign w:val="subscript"/>
              </w:rPr>
              <m:t>1</m:t>
            </m:r>
          </m:sub>
        </m:sSub>
      </m:oMath>
      <w:r>
        <w:t xml:space="preserve"> and </w:t>
      </w:r>
      <m:oMath>
        <m:sSub>
          <m:sSubPr>
            <m:ctrlPr>
              <w:rPr>
                <w:rFonts w:ascii="Cambria Math" w:hAnsi="Cambria Math"/>
                <w:i/>
                <w:szCs w:val="21"/>
              </w:rPr>
            </m:ctrlPr>
          </m:sSubPr>
          <m:e>
            <m:r>
              <w:rPr>
                <w:rFonts w:ascii="Cambria Math" w:hAnsi="Cambria Math"/>
                <w:szCs w:val="21"/>
              </w:rPr>
              <m:t>c</m:t>
            </m:r>
          </m:e>
          <m:sub>
            <m:r>
              <w:rPr>
                <w:rFonts w:ascii="Cambria Math" w:hAnsi="Cambria Math"/>
                <w:szCs w:val="21"/>
              </w:rPr>
              <m:t>2</m:t>
            </m:r>
          </m:sub>
        </m:sSub>
      </m:oMath>
      <w:r>
        <w:t xml:space="preserve"> control individual and social learning. Random factors </w:t>
      </w:r>
      <m:oMath>
        <m:sSub>
          <m:sSubPr>
            <m:ctrlPr>
              <w:rPr>
                <w:rFonts w:ascii="Cambria Math" w:hAnsi="Cambria Math"/>
                <w:i/>
                <w:szCs w:val="21"/>
              </w:rPr>
            </m:ctrlPr>
          </m:sSubPr>
          <m:e>
            <m:r>
              <w:rPr>
                <w:rFonts w:ascii="Cambria Math" w:hAnsi="Cambria Math" w:hint="eastAsia"/>
                <w:szCs w:val="21"/>
              </w:rPr>
              <m:t>r</m:t>
            </m:r>
          </m:e>
          <m:sub>
            <m:r>
              <w:rPr>
                <w:rFonts w:ascii="Cambria Math" w:hAnsi="Cambria Math"/>
                <w:szCs w:val="21"/>
              </w:rPr>
              <m:t>1</m:t>
            </m:r>
          </m:sub>
        </m:sSub>
      </m:oMath>
      <w:r>
        <w:rPr>
          <w:rFonts w:hint="eastAsia"/>
          <w:lang w:eastAsia="zh-CN"/>
        </w:rPr>
        <w:t xml:space="preserve"> </w:t>
      </w:r>
      <w:r>
        <w:t xml:space="preserve">and </w:t>
      </w:r>
      <m:oMath>
        <m:sSub>
          <m:sSubPr>
            <m:ctrlPr>
              <w:rPr>
                <w:rFonts w:ascii="Cambria Math" w:hAnsi="Cambria Math"/>
                <w:i/>
                <w:szCs w:val="21"/>
              </w:rPr>
            </m:ctrlPr>
          </m:sSubPr>
          <m:e>
            <m:r>
              <w:rPr>
                <w:rFonts w:ascii="Cambria Math" w:hAnsi="Cambria Math"/>
                <w:szCs w:val="21"/>
              </w:rPr>
              <m:t>r</m:t>
            </m:r>
          </m:e>
          <m:sub>
            <m:r>
              <w:rPr>
                <w:rFonts w:ascii="Cambria Math" w:hAnsi="Cambria Math"/>
                <w:szCs w:val="21"/>
              </w:rPr>
              <m:t>2</m:t>
            </m:r>
          </m:sub>
        </m:sSub>
      </m:oMath>
      <w:r>
        <w:t xml:space="preserve"> (in [0, 1]) add diversity to avoid premature convergence.</w:t>
      </w:r>
    </w:p>
    <w:bookmarkEnd w:id="1"/>
    <w:bookmarkEnd w:id="2"/>
    <w:p w:rsidR="00A93C80" w:rsidRDefault="000E0894">
      <w:pPr>
        <w:pStyle w:val="Paragraph"/>
        <w:rPr>
          <w:lang w:eastAsia="zh-CN"/>
        </w:rPr>
      </w:pPr>
      <w:r>
        <w:rPr>
          <w:lang w:eastAsia="zh-CN"/>
        </w:rPr>
        <w:t>In practical applications, PSO is also affected by the following parameters. The number of particles, that is, the population siz</w:t>
      </w:r>
      <w:r>
        <w:rPr>
          <w:lang w:eastAsia="zh-CN"/>
        </w:rPr>
        <w:t xml:space="preserve">e, determines the coverage of the search space. This study selected 20 particles, which can ensure the search capability while taking into account the computational efficiency [15]. The iteration limit affects the depth of the search. Setting it too small </w:t>
      </w:r>
      <w:r>
        <w:rPr>
          <w:lang w:eastAsia="zh-CN"/>
        </w:rPr>
        <w:t>may lead to early convergence, while setting it too large will increase the computational cost. This study sets the number of iterations to 300, which is a value adapted to the complexity of the problem. In addition, the boundary of the speed update is als</w:t>
      </w:r>
      <w:r>
        <w:rPr>
          <w:lang w:eastAsia="zh-CN"/>
        </w:rPr>
        <w:t>o an important control factor. A larger speed boundary is conducive to global search, but it is easy to cross the optimal area. A smaller speed boundary is conducive to fine search, but increases the risk of getting trapped in suboptimal solutions [16</w:t>
      </w:r>
      <w:r>
        <w:rPr>
          <w:rFonts w:hint="eastAsia"/>
          <w:lang w:eastAsia="zh-CN"/>
        </w:rPr>
        <w:t xml:space="preserve">, </w:t>
      </w:r>
      <w:r>
        <w:rPr>
          <w:lang w:eastAsia="zh-CN"/>
        </w:rPr>
        <w:t>17]</w:t>
      </w:r>
      <w:r>
        <w:rPr>
          <w:lang w:eastAsia="zh-CN"/>
        </w:rPr>
        <w:t>. This study sets the maximum speed to 0.5, which can achieve a good balance between global exploration and local development.</w:t>
      </w:r>
    </w:p>
    <w:p w:rsidR="00A93C80" w:rsidRDefault="000E0894">
      <w:pPr>
        <w:pStyle w:val="2"/>
      </w:pPr>
      <w:r>
        <w:t>Transmittance Calculation</w:t>
      </w:r>
    </w:p>
    <w:p w:rsidR="00A93C80" w:rsidRDefault="000E0894">
      <w:pPr>
        <w:pStyle w:val="Paragraph"/>
      </w:pPr>
      <w:r>
        <w:t xml:space="preserve">When a beam of light enters a single-layer glass film with a refractive index of </w:t>
      </w:r>
      <m:oMath>
        <m:r>
          <w:rPr>
            <w:rFonts w:ascii="Cambria Math" w:hAnsi="Cambria Math"/>
            <w:szCs w:val="21"/>
          </w:rPr>
          <m:t>n</m:t>
        </m:r>
      </m:oMath>
      <w:r>
        <w:t>, the light is refle</w:t>
      </w:r>
      <w:r>
        <w:t>cted and transmitted multiple times at the interfaces on both sides of the glass film. The incident light is refracted when it first enters the glass layer, forming the first beam of transmitted light; the rest of the light propagates back and forth betwee</w:t>
      </w:r>
      <w:r>
        <w:t xml:space="preserve">n the upper and lower interfaces at an angle </w:t>
      </w:r>
      <m:oMath>
        <m:r>
          <w:rPr>
            <w:rFonts w:ascii="Cambria Math" w:hAnsi="Cambria Math"/>
            <w:szCs w:val="21"/>
          </w:rPr>
          <m:t>θ</m:t>
        </m:r>
      </m:oMath>
      <w:r>
        <w:t xml:space="preserve"> in the glass. Each time reflection and transmission occur at the interface, this process is repeated continuously, resulting in a series of coherent multiple reflected light waves and transmitted light waves </w:t>
      </w:r>
      <w:r>
        <w:t xml:space="preserve">in the glass layer [18]. Each beam of transmitted light is accompanied by a certain phase delay relative to the previous beam. The first beam of transmitted light is </w:t>
      </w:r>
      <w:bookmarkStart w:id="4" w:name="_Hlk200285201"/>
      <m:oMath>
        <m:r>
          <m:rPr>
            <m:sty m:val="p"/>
          </m:rPr>
          <w:rPr>
            <w:rFonts w:ascii="Cambria Math" w:hAnsi="Cambria Math"/>
            <w:szCs w:val="21"/>
          </w:rPr>
          <m:t>tt'</m:t>
        </m:r>
        <m:sSub>
          <m:sSubPr>
            <m:ctrlPr>
              <w:rPr>
                <w:rFonts w:ascii="Cambria Math" w:hAnsi="Cambria Math"/>
                <w:szCs w:val="21"/>
              </w:rPr>
            </m:ctrlPr>
          </m:sSubPr>
          <m:e>
            <m:r>
              <m:rPr>
                <m:sty m:val="p"/>
              </m:rPr>
              <w:rPr>
                <w:rFonts w:ascii="Cambria Math" w:hAnsi="Cambria Math"/>
                <w:szCs w:val="21"/>
              </w:rPr>
              <m:t>A</m:t>
            </m:r>
          </m:e>
          <m:sub>
            <m:r>
              <m:rPr>
                <m:sty m:val="p"/>
              </m:rPr>
              <w:rPr>
                <w:rFonts w:ascii="Cambria Math" w:hAnsi="Cambria Math"/>
                <w:szCs w:val="21"/>
              </w:rPr>
              <m:t>i</m:t>
            </m:r>
          </m:sub>
        </m:sSub>
      </m:oMath>
      <w:bookmarkEnd w:id="4"/>
      <w:r>
        <w:t xml:space="preserve">, and the amplitude of each subsequent round-trip reflection is </w:t>
      </w:r>
      <m:oMath>
        <m:r>
          <m:rPr>
            <m:sty m:val="p"/>
          </m:rPr>
          <w:rPr>
            <w:rFonts w:ascii="Cambria Math" w:hAnsi="Cambria Math"/>
            <w:szCs w:val="21"/>
          </w:rPr>
          <m:t>tt'</m:t>
        </m:r>
        <m:sSup>
          <m:sSupPr>
            <m:ctrlPr>
              <w:rPr>
                <w:rFonts w:ascii="Cambria Math" w:hAnsi="Cambria Math"/>
                <w:szCs w:val="21"/>
              </w:rPr>
            </m:ctrlPr>
          </m:sSupPr>
          <m:e>
            <m:r>
              <m:rPr>
                <m:sty m:val="p"/>
              </m:rPr>
              <w:rPr>
                <w:rFonts w:ascii="Cambria Math" w:hAnsi="Cambria Math"/>
                <w:szCs w:val="21"/>
              </w:rPr>
              <m:t>r</m:t>
            </m:r>
          </m:e>
          <m:sup>
            <m:r>
              <m:rPr>
                <m:sty m:val="p"/>
              </m:rPr>
              <w:rPr>
                <w:rFonts w:ascii="Cambria Math" w:hAnsi="Cambria Math"/>
                <w:szCs w:val="21"/>
              </w:rPr>
              <m:t>2</m:t>
            </m:r>
          </m:sup>
        </m:sSup>
        <m:sSub>
          <m:sSubPr>
            <m:ctrlPr>
              <w:rPr>
                <w:rFonts w:ascii="Cambria Math" w:hAnsi="Cambria Math"/>
                <w:szCs w:val="21"/>
              </w:rPr>
            </m:ctrlPr>
          </m:sSubPr>
          <m:e>
            <m:r>
              <m:rPr>
                <m:sty m:val="p"/>
              </m:rPr>
              <w:rPr>
                <w:rFonts w:ascii="Cambria Math" w:hAnsi="Cambria Math"/>
                <w:szCs w:val="21"/>
              </w:rPr>
              <m:t>A</m:t>
            </m:r>
          </m:e>
          <m:sub>
            <m:r>
              <m:rPr>
                <m:sty m:val="p"/>
              </m:rPr>
              <w:rPr>
                <w:rFonts w:ascii="Cambria Math" w:hAnsi="Cambria Math"/>
                <w:szCs w:val="21"/>
              </w:rPr>
              <m:t>i</m:t>
            </m:r>
          </m:sub>
        </m:sSub>
        <m:sSup>
          <m:sSupPr>
            <m:ctrlPr>
              <w:rPr>
                <w:rFonts w:ascii="Cambria Math" w:hAnsi="Cambria Math"/>
                <w:szCs w:val="21"/>
              </w:rPr>
            </m:ctrlPr>
          </m:sSupPr>
          <m:e>
            <m:r>
              <m:rPr>
                <m:sty m:val="p"/>
              </m:rPr>
              <w:rPr>
                <w:rFonts w:ascii="Cambria Math" w:hAnsi="Cambria Math"/>
                <w:szCs w:val="21"/>
              </w:rPr>
              <m:t>e</m:t>
            </m:r>
          </m:e>
          <m:sup>
            <m:r>
              <m:rPr>
                <m:sty m:val="p"/>
              </m:rPr>
              <w:rPr>
                <w:rFonts w:ascii="Cambria Math" w:hAnsi="Cambria Math"/>
                <w:szCs w:val="21"/>
              </w:rPr>
              <m:t>-</m:t>
            </m:r>
            <m:r>
              <m:rPr>
                <m:sty m:val="p"/>
              </m:rPr>
              <w:rPr>
                <w:rFonts w:ascii="Cambria Math" w:hAnsi="Cambria Math"/>
                <w:szCs w:val="21"/>
              </w:rPr>
              <m:t>iδ</m:t>
            </m:r>
          </m:sup>
        </m:sSup>
      </m:oMath>
      <w:r>
        <w:t xml:space="preserve">, </w:t>
      </w:r>
      <m:oMath>
        <m:r>
          <m:rPr>
            <m:sty m:val="p"/>
          </m:rPr>
          <w:rPr>
            <w:rFonts w:ascii="Cambria Math" w:hAnsi="Cambria Math"/>
            <w:szCs w:val="21"/>
          </w:rPr>
          <m:t>tt'</m:t>
        </m:r>
        <m:sSup>
          <m:sSupPr>
            <m:ctrlPr>
              <w:rPr>
                <w:rFonts w:ascii="Cambria Math" w:hAnsi="Cambria Math"/>
                <w:szCs w:val="21"/>
              </w:rPr>
            </m:ctrlPr>
          </m:sSupPr>
          <m:e>
            <m:r>
              <m:rPr>
                <m:sty m:val="p"/>
              </m:rPr>
              <w:rPr>
                <w:rFonts w:ascii="Cambria Math" w:hAnsi="Cambria Math"/>
                <w:szCs w:val="21"/>
              </w:rPr>
              <m:t>r</m:t>
            </m:r>
          </m:e>
          <m:sup>
            <m:r>
              <m:rPr>
                <m:sty m:val="p"/>
              </m:rPr>
              <w:rPr>
                <w:rFonts w:ascii="Cambria Math" w:hAnsi="Cambria Math"/>
                <w:szCs w:val="21"/>
              </w:rPr>
              <m:t>4</m:t>
            </m:r>
          </m:sup>
        </m:sSup>
        <m:sSub>
          <m:sSubPr>
            <m:ctrlPr>
              <w:rPr>
                <w:rFonts w:ascii="Cambria Math" w:hAnsi="Cambria Math"/>
                <w:szCs w:val="21"/>
              </w:rPr>
            </m:ctrlPr>
          </m:sSubPr>
          <m:e>
            <m:r>
              <m:rPr>
                <m:sty m:val="p"/>
              </m:rPr>
              <w:rPr>
                <w:rFonts w:ascii="Cambria Math" w:hAnsi="Cambria Math"/>
                <w:szCs w:val="21"/>
              </w:rPr>
              <m:t>A</m:t>
            </m:r>
          </m:e>
          <m:sub>
            <m:r>
              <m:rPr>
                <m:sty m:val="p"/>
              </m:rPr>
              <w:rPr>
                <w:rFonts w:ascii="Cambria Math" w:hAnsi="Cambria Math"/>
                <w:szCs w:val="21"/>
              </w:rPr>
              <m:t>i</m:t>
            </m:r>
          </m:sub>
        </m:sSub>
        <m:sSup>
          <m:sSupPr>
            <m:ctrlPr>
              <w:rPr>
                <w:rFonts w:ascii="Cambria Math" w:hAnsi="Cambria Math"/>
                <w:szCs w:val="21"/>
              </w:rPr>
            </m:ctrlPr>
          </m:sSupPr>
          <m:e>
            <m:r>
              <m:rPr>
                <m:sty m:val="p"/>
              </m:rPr>
              <w:rPr>
                <w:rFonts w:ascii="Cambria Math" w:hAnsi="Cambria Math"/>
                <w:szCs w:val="21"/>
              </w:rPr>
              <m:t>e</m:t>
            </m:r>
          </m:e>
          <m:sup>
            <m:r>
              <m:rPr>
                <m:sty m:val="p"/>
              </m:rPr>
              <w:rPr>
                <w:rFonts w:ascii="Cambria Math" w:hAnsi="Cambria Math"/>
                <w:szCs w:val="21"/>
              </w:rPr>
              <m:t>-</m:t>
            </m:r>
            <m:r>
              <m:rPr>
                <m:sty m:val="p"/>
              </m:rPr>
              <w:rPr>
                <w:rFonts w:ascii="Cambria Math" w:hAnsi="Cambria Math"/>
                <w:szCs w:val="21"/>
              </w:rPr>
              <m:t>2iδ</m:t>
            </m:r>
          </m:sup>
        </m:sSup>
      </m:oMath>
      <w:r>
        <w:t xml:space="preserve">, etc. By adding the transmission amplitudes of each order, the total transmission complex amplitude </w:t>
      </w:r>
      <m:oMath>
        <m:sSub>
          <m:sSubPr>
            <m:ctrlPr>
              <w:rPr>
                <w:rFonts w:ascii="Cambria Math" w:hAnsi="Cambria Math"/>
                <w:szCs w:val="21"/>
              </w:rPr>
            </m:ctrlPr>
          </m:sSubPr>
          <m:e>
            <m:r>
              <m:rPr>
                <m:sty m:val="p"/>
              </m:rPr>
              <w:rPr>
                <w:rFonts w:ascii="Cambria Math" w:hAnsi="Cambria Math" w:hint="eastAsia"/>
                <w:szCs w:val="21"/>
              </w:rPr>
              <m:t>A</m:t>
            </m:r>
          </m:e>
          <m:sub>
            <m:r>
              <m:rPr>
                <m:sty m:val="p"/>
              </m:rPr>
              <w:rPr>
                <w:rFonts w:ascii="Cambria Math" w:hAnsi="Cambria Math" w:hint="eastAsia"/>
                <w:szCs w:val="21"/>
              </w:rPr>
              <m:t>t</m:t>
            </m:r>
          </m:sub>
        </m:sSub>
      </m:oMath>
      <w:r>
        <w:t xml:space="preserve"> can be expressed as:</w:t>
      </w:r>
    </w:p>
    <w:p w:rsidR="00A93C80" w:rsidRDefault="00A93C80">
      <w:pPr>
        <w:pStyle w:val="Paragraph"/>
      </w:pPr>
    </w:p>
    <w:p w:rsidR="00A93C80" w:rsidRDefault="000E0894">
      <w:pPr>
        <w:pStyle w:val="Equation"/>
      </w:pPr>
      <w:r>
        <w:lastRenderedPageBreak/>
        <w:tab/>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t</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tt</m:t>
            </m:r>
          </m:e>
          <m:sup>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i</m:t>
                </m:r>
              </m:sub>
            </m:sSub>
          </m:sup>
        </m:sSup>
        <m:r>
          <m:rPr>
            <m:sty m:val="p"/>
          </m:rPr>
          <w:rPr>
            <w:rFonts w:ascii="Cambria Math" w:hAnsi="Cambria Math"/>
          </w:rPr>
          <m:t>+</m:t>
        </m:r>
        <m:sSup>
          <m:sSupPr>
            <m:ctrlPr>
              <w:rPr>
                <w:rFonts w:ascii="Cambria Math" w:hAnsi="Cambria Math"/>
              </w:rPr>
            </m:ctrlPr>
          </m:sSupPr>
          <m:e>
            <m:r>
              <m:rPr>
                <m:sty m:val="p"/>
              </m:rPr>
              <w:rPr>
                <w:rFonts w:ascii="Cambria Math" w:hAnsi="Cambria Math"/>
              </w:rPr>
              <m:t>tt</m:t>
            </m:r>
          </m:e>
          <m:sup>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A</m:t>
                </m:r>
              </m:e>
              <m:sub>
                <m:r>
                  <m:rPr>
                    <m:sty m:val="p"/>
                  </m:rPr>
                  <w:rPr>
                    <w:rFonts w:ascii="Cambria Math" w:hAnsi="Cambria Math"/>
                  </w:rPr>
                  <m:t>i</m:t>
                </m:r>
              </m:sub>
            </m:s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r>
                  <m:rPr>
                    <m:sty m:val="p"/>
                  </m:rPr>
                  <w:rPr>
                    <w:rFonts w:ascii="Cambria Math" w:hAnsi="Cambria Math"/>
                  </w:rPr>
                  <m:t>iδ</m:t>
                </m:r>
              </m:sup>
            </m:sSup>
          </m:sup>
        </m:sSup>
        <m:r>
          <m:rPr>
            <m:sty m:val="p"/>
          </m:rPr>
          <w:rPr>
            <w:rFonts w:ascii="Cambria Math" w:hAnsi="Cambria Math"/>
          </w:rPr>
          <m:t>+</m:t>
        </m:r>
        <m:sSup>
          <m:sSupPr>
            <m:ctrlPr>
              <w:rPr>
                <w:rFonts w:ascii="Cambria Math" w:hAnsi="Cambria Math"/>
              </w:rPr>
            </m:ctrlPr>
          </m:sSupPr>
          <m:e>
            <m:r>
              <m:rPr>
                <m:sty m:val="p"/>
              </m:rPr>
              <w:rPr>
                <w:rFonts w:ascii="Cambria Math" w:hAnsi="Cambria Math"/>
              </w:rPr>
              <m:t>tt</m:t>
            </m:r>
          </m:e>
          <m:sup>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4</m:t>
                </m:r>
              </m:sup>
            </m:sSup>
            <m:sSub>
              <m:sSubPr>
                <m:ctrlPr>
                  <w:rPr>
                    <w:rFonts w:ascii="Cambria Math" w:hAnsi="Cambria Math"/>
                  </w:rPr>
                </m:ctrlPr>
              </m:sSubPr>
              <m:e>
                <m:r>
                  <m:rPr>
                    <m:sty m:val="p"/>
                  </m:rPr>
                  <w:rPr>
                    <w:rFonts w:ascii="Cambria Math" w:hAnsi="Cambria Math"/>
                  </w:rPr>
                  <m:t>A</m:t>
                </m:r>
              </m:e>
              <m:sub>
                <m:r>
                  <m:rPr>
                    <m:sty m:val="p"/>
                  </m:rPr>
                  <w:rPr>
                    <w:rFonts w:ascii="Cambria Math" w:hAnsi="Cambria Math"/>
                  </w:rPr>
                  <m:t>i</m:t>
                </m:r>
              </m:sub>
            </m:s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r>
                  <m:rPr>
                    <m:sty m:val="p"/>
                  </m:rPr>
                  <w:rPr>
                    <w:rFonts w:ascii="Cambria Math" w:hAnsi="Cambria Math"/>
                  </w:rPr>
                  <m:t>2iδ</m:t>
                </m:r>
              </m:sup>
            </m:sSup>
          </m:sup>
        </m:sSup>
        <m:r>
          <m:rPr>
            <m:sty m:val="p"/>
          </m:rPr>
          <w:rPr>
            <w:rFonts w:ascii="Cambria Math" w:hAnsi="Cambria Math"/>
          </w:rPr>
          <m:t>+⋯</m:t>
        </m:r>
      </m:oMath>
      <w:r>
        <w:tab/>
      </w:r>
      <w:r>
        <w:rPr>
          <w:rFonts w:hint="eastAsia"/>
        </w:rPr>
        <w:t>(3)</w:t>
      </w:r>
    </w:p>
    <w:p w:rsidR="00A93C80" w:rsidRDefault="00A93C80">
      <w:pPr>
        <w:pStyle w:val="Equation"/>
        <w:jc w:val="left"/>
        <w:rPr>
          <w:lang w:eastAsia="zh-CN"/>
        </w:rPr>
      </w:pPr>
    </w:p>
    <w:p w:rsidR="00A93C80" w:rsidRDefault="000E0894">
      <w:pPr>
        <w:pStyle w:val="Paragraph"/>
      </w:pPr>
      <w:r>
        <w:t xml:space="preserve">Where </w:t>
      </w:r>
      <m:oMath>
        <m:r>
          <w:rPr>
            <w:rFonts w:ascii="Cambria Math" w:hAnsi="Cambria Math"/>
            <w:szCs w:val="21"/>
          </w:rPr>
          <m:t>t</m:t>
        </m:r>
      </m:oMath>
      <w:r>
        <w:t xml:space="preserve"> and </w:t>
      </w:r>
      <m:oMath>
        <m:r>
          <w:rPr>
            <w:rFonts w:ascii="Cambria Math" w:hAnsi="Cambria Math"/>
            <w:szCs w:val="21"/>
          </w:rPr>
          <m:t>t</m:t>
        </m:r>
        <m:r>
          <w:rPr>
            <w:rFonts w:ascii="Cambria Math" w:hAnsi="Cambria Math"/>
            <w:szCs w:val="21"/>
          </w:rPr>
          <m:t>'</m:t>
        </m:r>
      </m:oMath>
      <w:r>
        <w:t xml:space="preserve"> are complex transmission coefficients, </w:t>
      </w:r>
      <m:oMath>
        <m:r>
          <w:rPr>
            <w:rFonts w:ascii="Cambria Math" w:hAnsi="Cambria Math"/>
            <w:szCs w:val="21"/>
          </w:rPr>
          <m:t>r</m:t>
        </m:r>
      </m:oMath>
      <w:r>
        <w:t xml:space="preserve"> is the reflection coeffic</w:t>
      </w:r>
      <w:r>
        <w:t xml:space="preserve">ient, </w:t>
      </w:r>
      <m:oMath>
        <m:r>
          <m:rPr>
            <m:sty m:val="p"/>
          </m:rPr>
          <w:rPr>
            <w:rFonts w:ascii="Cambria Math" w:hAnsi="Cambria Math"/>
          </w:rPr>
          <m:t>δ</m:t>
        </m:r>
      </m:oMath>
      <w:r>
        <w:t xml:space="preserve"> is the optical path difference of a single round trip, defined as:</w:t>
      </w:r>
    </w:p>
    <w:p w:rsidR="00A93C80" w:rsidRDefault="000E0894">
      <w:pPr>
        <w:pStyle w:val="Equation"/>
      </w:pPr>
      <w:r>
        <w:tab/>
      </w:r>
      <m:oMath>
        <m:r>
          <m:rPr>
            <m:sty m:val="p"/>
          </m:rPr>
          <w:rPr>
            <w:rFonts w:ascii="Cambria Math" w:hAnsi="Cambria Math"/>
          </w:rPr>
          <m:t>δ=</m:t>
        </m:r>
        <m:f>
          <m:fPr>
            <m:ctrlPr>
              <w:rPr>
                <w:rFonts w:ascii="Cambria Math" w:hAnsi="Cambria Math"/>
              </w:rPr>
            </m:ctrlPr>
          </m:fPr>
          <m:num>
            <m:r>
              <m:rPr>
                <m:sty m:val="p"/>
              </m:rPr>
              <w:rPr>
                <w:rFonts w:ascii="Cambria Math" w:hAnsi="Cambria Math"/>
              </w:rPr>
              <m:t>4πnl</m:t>
            </m:r>
            <m:func>
              <m:funcPr>
                <m:ctrlPr>
                  <w:rPr>
                    <w:rFonts w:ascii="Cambria Math" w:hAnsi="Cambria Math"/>
                  </w:rPr>
                </m:ctrlPr>
              </m:funcPr>
              <m:fName>
                <m:r>
                  <m:rPr>
                    <m:sty m:val="p"/>
                  </m:rPr>
                  <w:rPr>
                    <w:rFonts w:ascii="Cambria Math" w:hAnsi="Cambria Math"/>
                  </w:rPr>
                  <m:t>cos</m:t>
                </m:r>
              </m:fName>
              <m:e>
                <m:r>
                  <m:rPr>
                    <m:sty m:val="p"/>
                  </m:rPr>
                  <w:rPr>
                    <w:rFonts w:ascii="Cambria Math" w:hAnsi="Cambria Math"/>
                  </w:rPr>
                  <m:t>θ</m:t>
                </m:r>
              </m:e>
            </m:func>
          </m:num>
          <m:den>
            <m:r>
              <m:rPr>
                <m:sty m:val="p"/>
              </m:rPr>
              <w:rPr>
                <w:rFonts w:ascii="Cambria Math" w:hAnsi="Cambria Math"/>
              </w:rPr>
              <m:t>λ</m:t>
            </m:r>
          </m:den>
        </m:f>
      </m:oMath>
      <w:r>
        <w:tab/>
      </w:r>
      <w:r>
        <w:rPr>
          <w:rFonts w:hint="eastAsia"/>
        </w:rPr>
        <w:t>(4)</w:t>
      </w:r>
    </w:p>
    <w:p w:rsidR="00A93C80" w:rsidRDefault="00A93C80">
      <w:pPr>
        <w:pStyle w:val="Equation"/>
        <w:jc w:val="left"/>
        <w:rPr>
          <w:lang w:eastAsia="zh-CN"/>
        </w:rPr>
      </w:pPr>
    </w:p>
    <w:p w:rsidR="00A93C80" w:rsidRDefault="000E0894">
      <w:pPr>
        <w:pStyle w:val="Paragraph"/>
      </w:pPr>
      <w:r>
        <w:t xml:space="preserve">Assume that the incident light is incident from a medium with a refractive index of </w:t>
      </w:r>
      <m:oMath>
        <m:sSub>
          <m:sSubPr>
            <m:ctrlPr>
              <w:rPr>
                <w:rFonts w:ascii="Cambria Math" w:hAnsi="Cambria Math"/>
                <w:szCs w:val="21"/>
              </w:rPr>
            </m:ctrlPr>
          </m:sSubPr>
          <m:e>
            <m:r>
              <m:rPr>
                <m:sty m:val="p"/>
              </m:rPr>
              <w:rPr>
                <w:rFonts w:ascii="Cambria Math" w:hAnsi="Cambria Math"/>
                <w:szCs w:val="21"/>
              </w:rPr>
              <m:t>n</m:t>
            </m:r>
          </m:e>
          <m:sub>
            <m:r>
              <m:rPr>
                <m:sty m:val="p"/>
              </m:rPr>
              <w:rPr>
                <w:rFonts w:ascii="Cambria Math" w:hAnsi="Cambria Math"/>
                <w:szCs w:val="21"/>
              </w:rPr>
              <m:t>0</m:t>
            </m:r>
          </m:sub>
        </m:sSub>
      </m:oMath>
      <w:r>
        <w:t xml:space="preserve"> (such as air) into a single layer of glass with a refractive index of </w:t>
      </w:r>
      <m:oMath>
        <m:r>
          <m:rPr>
            <m:sty m:val="p"/>
          </m:rPr>
          <w:rPr>
            <w:rFonts w:ascii="Cambria Math" w:hAnsi="Cambria Math"/>
            <w:szCs w:val="21"/>
          </w:rPr>
          <m:t>n</m:t>
        </m:r>
      </m:oMath>
      <w:r>
        <w:t xml:space="preserve">, whose thickness is </w:t>
      </w:r>
      <m:oMath>
        <m:r>
          <m:rPr>
            <m:sty m:val="p"/>
          </m:rPr>
          <w:rPr>
            <w:rFonts w:ascii="Cambria Math" w:hAnsi="Cambria Math"/>
            <w:szCs w:val="21"/>
          </w:rPr>
          <m:t>l</m:t>
        </m:r>
      </m:oMath>
      <w:r>
        <w:t xml:space="preserve">, the incident angle is </w:t>
      </w:r>
      <m:oMath>
        <m:r>
          <m:rPr>
            <m:sty m:val="p"/>
          </m:rPr>
          <w:rPr>
            <w:rFonts w:ascii="Cambria Math" w:hAnsi="Cambria Math"/>
            <w:szCs w:val="21"/>
          </w:rPr>
          <m:t>θ</m:t>
        </m:r>
      </m:oMath>
      <w:r>
        <w:t xml:space="preserve">, and the wavelength is </w:t>
      </w:r>
      <m:oMath>
        <m:r>
          <m:rPr>
            <m:sty m:val="p"/>
          </m:rPr>
          <w:rPr>
            <w:rFonts w:ascii="Cambria Math" w:hAnsi="Cambria Math"/>
            <w:szCs w:val="21"/>
          </w:rPr>
          <m:t>λ</m:t>
        </m:r>
      </m:oMath>
      <w:r>
        <w:t xml:space="preserve">. Define </w:t>
      </w:r>
      <m:oMath>
        <m:r>
          <m:rPr>
            <m:sty m:val="p"/>
          </m:rPr>
          <w:rPr>
            <w:rFonts w:ascii="Cambria Math" w:hAnsi="Cambria Math"/>
            <w:szCs w:val="21"/>
          </w:rPr>
          <m:t>tt'=T</m:t>
        </m:r>
      </m:oMath>
      <w:r>
        <w:t xml:space="preserve">, </w:t>
      </w:r>
      <m:oMath>
        <m:sSup>
          <m:sSupPr>
            <m:ctrlPr>
              <w:rPr>
                <w:rFonts w:ascii="Cambria Math" w:hAnsi="Cambria Math"/>
                <w:szCs w:val="21"/>
              </w:rPr>
            </m:ctrlPr>
          </m:sSupPr>
          <m:e>
            <m:r>
              <m:rPr>
                <m:sty m:val="p"/>
              </m:rPr>
              <w:rPr>
                <w:rFonts w:ascii="Cambria Math" w:hAnsi="Cambria Math"/>
                <w:szCs w:val="21"/>
              </w:rPr>
              <m:t>r</m:t>
            </m:r>
          </m:e>
          <m:sup>
            <m:r>
              <m:rPr>
                <m:sty m:val="p"/>
              </m:rPr>
              <w:rPr>
                <w:rFonts w:ascii="Cambria Math" w:hAnsi="Cambria Math"/>
                <w:szCs w:val="21"/>
              </w:rPr>
              <m:t>2</m:t>
            </m:r>
          </m:sup>
        </m:sSup>
        <m:r>
          <m:rPr>
            <m:sty m:val="p"/>
          </m:rPr>
          <w:rPr>
            <w:rFonts w:ascii="Cambria Math" w:hAnsi="Cambria Math"/>
            <w:szCs w:val="21"/>
          </w:rPr>
          <m:t>=R</m:t>
        </m:r>
      </m:oMath>
      <w:r>
        <w:t>, and the transmittance expression is:</w:t>
      </w:r>
    </w:p>
    <w:p w:rsidR="00A93C80" w:rsidRDefault="00A93C80">
      <w:pPr>
        <w:pStyle w:val="Paragraph"/>
      </w:pPr>
    </w:p>
    <w:p w:rsidR="00A93C80" w:rsidRDefault="000E0894">
      <w:pPr>
        <w:pStyle w:val="Equation"/>
        <w:rPr>
          <w:lang w:eastAsia="zh-CN"/>
        </w:rPr>
      </w:pPr>
      <w:r>
        <w:tab/>
      </w:r>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I</m:t>
                </m:r>
              </m:e>
              <m:sub>
                <m:r>
                  <m:rPr>
                    <m:sty m:val="p"/>
                  </m:rPr>
                  <w:rPr>
                    <w:rFonts w:ascii="Cambria Math" w:hAnsi="Cambria Math"/>
                  </w:rPr>
                  <m:t>t</m:t>
                </m:r>
              </m:sub>
            </m:sSub>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R</m:t>
                    </m:r>
                  </m:e>
                </m:d>
              </m:e>
              <m:sup>
                <m:r>
                  <m:rPr>
                    <m:sty m:val="p"/>
                  </m:rPr>
                  <w:rPr>
                    <w:rFonts w:ascii="Cambria Math" w:hAnsi="Cambria Math"/>
                  </w:rPr>
                  <m:t>2</m:t>
                </m:r>
              </m:sup>
            </m:sSup>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R</m:t>
                    </m:r>
                  </m:e>
                </m:d>
              </m:e>
              <m:sup>
                <m:r>
                  <m:rPr>
                    <m:sty m:val="p"/>
                  </m:rPr>
                  <w:rPr>
                    <w:rFonts w:ascii="Cambria Math" w:hAnsi="Cambria Math"/>
                  </w:rPr>
                  <m:t>2</m:t>
                </m:r>
              </m:sup>
            </m:sSup>
            <m:r>
              <m:rPr>
                <m:sty m:val="p"/>
              </m:rPr>
              <w:rPr>
                <w:rFonts w:ascii="Cambria Math" w:hAnsi="Cambria Math"/>
              </w:rPr>
              <m:t>+4</m:t>
            </m:r>
            <m:r>
              <w:rPr>
                <w:rFonts w:ascii="Cambria Math" w:hAnsi="Cambria Math"/>
              </w:rPr>
              <m:t>R</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d>
                  <m:dPr>
                    <m:ctrlPr>
                      <w:rPr>
                        <w:rFonts w:ascii="Cambria Math" w:hAnsi="Cambria Math"/>
                      </w:rPr>
                    </m:ctrlPr>
                  </m:dPr>
                  <m:e>
                    <m:f>
                      <m:fPr>
                        <m:ctrlPr>
                          <w:rPr>
                            <w:rFonts w:ascii="Cambria Math" w:hAnsi="Cambria Math"/>
                          </w:rPr>
                        </m:ctrlPr>
                      </m:fPr>
                      <m:num>
                        <m:r>
                          <w:rPr>
                            <w:rFonts w:ascii="Cambria Math" w:hAnsi="Cambria Math"/>
                          </w:rPr>
                          <m:t>δ</m:t>
                        </m:r>
                      </m:num>
                      <m:den>
                        <m:r>
                          <m:rPr>
                            <m:sty m:val="p"/>
                          </m:rPr>
                          <w:rPr>
                            <w:rFonts w:ascii="Cambria Math" w:hAnsi="Cambria Math"/>
                          </w:rPr>
                          <m:t>2</m:t>
                        </m:r>
                      </m:den>
                    </m:f>
                  </m:e>
                </m:d>
              </m:e>
            </m:func>
          </m:den>
        </m:f>
      </m:oMath>
      <w:r>
        <w:tab/>
      </w:r>
      <w:r>
        <w:rPr>
          <w:rFonts w:hint="eastAsia"/>
        </w:rPr>
        <w:t>(5)</w:t>
      </w:r>
    </w:p>
    <w:p w:rsidR="00A93C80" w:rsidRDefault="00A93C80">
      <w:pPr>
        <w:pStyle w:val="Equation"/>
        <w:jc w:val="left"/>
        <w:rPr>
          <w:lang w:eastAsia="zh-CN"/>
        </w:rPr>
      </w:pPr>
    </w:p>
    <w:p w:rsidR="00A93C80" w:rsidRDefault="000E0894">
      <w:pPr>
        <w:pStyle w:val="Paragraph"/>
      </w:pPr>
      <w:r>
        <w:rPr>
          <w:rFonts w:hint="eastAsia"/>
        </w:rPr>
        <w:t xml:space="preserve">Wherein, </w:t>
      </w:r>
      <m:oMath>
        <m:r>
          <m:rPr>
            <m:sty m:val="p"/>
          </m:rPr>
          <w:rPr>
            <w:rFonts w:ascii="Cambria Math" w:hAnsi="Cambria Math"/>
            <w:szCs w:val="21"/>
          </w:rPr>
          <m:t>R=</m:t>
        </m:r>
        <m:sSup>
          <m:sSupPr>
            <m:ctrlPr>
              <w:rPr>
                <w:rFonts w:ascii="Cambria Math" w:hAnsi="Cambria Math"/>
                <w:szCs w:val="21"/>
              </w:rPr>
            </m:ctrlPr>
          </m:sSupPr>
          <m:e>
            <m:d>
              <m:dPr>
                <m:ctrlPr>
                  <w:rPr>
                    <w:rFonts w:ascii="Cambria Math" w:hAnsi="Cambria Math"/>
                    <w:szCs w:val="21"/>
                  </w:rPr>
                </m:ctrlPr>
              </m:dPr>
              <m:e>
                <m:f>
                  <m:fPr>
                    <m:ctrlPr>
                      <w:rPr>
                        <w:rFonts w:ascii="Cambria Math" w:hAnsi="Cambria Math"/>
                        <w:szCs w:val="21"/>
                      </w:rPr>
                    </m:ctrlPr>
                  </m:fPr>
                  <m:num>
                    <m:r>
                      <m:rPr>
                        <m:sty m:val="p"/>
                      </m:rPr>
                      <w:rPr>
                        <w:rFonts w:ascii="Cambria Math" w:hAnsi="Cambria Math"/>
                        <w:szCs w:val="21"/>
                      </w:rPr>
                      <m:t>n-</m:t>
                    </m:r>
                    <m:sSub>
                      <m:sSubPr>
                        <m:ctrlPr>
                          <w:rPr>
                            <w:rFonts w:ascii="Cambria Math" w:hAnsi="Cambria Math"/>
                            <w:szCs w:val="21"/>
                          </w:rPr>
                        </m:ctrlPr>
                      </m:sSubPr>
                      <m:e>
                        <m:r>
                          <m:rPr>
                            <m:sty m:val="p"/>
                          </m:rPr>
                          <w:rPr>
                            <w:rFonts w:ascii="Cambria Math" w:hAnsi="Cambria Math"/>
                            <w:szCs w:val="21"/>
                          </w:rPr>
                          <m:t>n</m:t>
                        </m:r>
                      </m:e>
                      <m:sub>
                        <m:r>
                          <m:rPr>
                            <m:sty m:val="p"/>
                          </m:rPr>
                          <w:rPr>
                            <w:rFonts w:ascii="Cambria Math" w:hAnsi="Cambria Math"/>
                            <w:szCs w:val="21"/>
                          </w:rPr>
                          <m:t>0</m:t>
                        </m:r>
                      </m:sub>
                    </m:sSub>
                  </m:num>
                  <m:den>
                    <m:r>
                      <m:rPr>
                        <m:sty m:val="p"/>
                      </m:rPr>
                      <w:rPr>
                        <w:rFonts w:ascii="Cambria Math" w:hAnsi="Cambria Math"/>
                        <w:szCs w:val="21"/>
                      </w:rPr>
                      <m:t>n+</m:t>
                    </m:r>
                    <m:sSub>
                      <m:sSubPr>
                        <m:ctrlPr>
                          <w:rPr>
                            <w:rFonts w:ascii="Cambria Math" w:hAnsi="Cambria Math"/>
                            <w:szCs w:val="21"/>
                          </w:rPr>
                        </m:ctrlPr>
                      </m:sSubPr>
                      <m:e>
                        <m:r>
                          <m:rPr>
                            <m:sty m:val="p"/>
                          </m:rPr>
                          <w:rPr>
                            <w:rFonts w:ascii="Cambria Math" w:hAnsi="Cambria Math"/>
                            <w:szCs w:val="21"/>
                          </w:rPr>
                          <m:t>n</m:t>
                        </m:r>
                      </m:e>
                      <m:sub>
                        <m:r>
                          <m:rPr>
                            <m:sty m:val="p"/>
                          </m:rPr>
                          <w:rPr>
                            <w:rFonts w:ascii="Cambria Math" w:hAnsi="Cambria Math"/>
                            <w:szCs w:val="21"/>
                          </w:rPr>
                          <m:t>0</m:t>
                        </m:r>
                      </m:sub>
                    </m:sSub>
                  </m:den>
                </m:f>
              </m:e>
            </m:d>
          </m:e>
          <m:sup>
            <m:r>
              <m:rPr>
                <m:sty m:val="p"/>
              </m:rPr>
              <w:rPr>
                <w:rFonts w:ascii="Cambria Math" w:hAnsi="Cambria Math"/>
                <w:szCs w:val="21"/>
              </w:rPr>
              <m:t>2</m:t>
            </m:r>
          </m:sup>
        </m:sSup>
      </m:oMath>
      <w:r>
        <w:rPr>
          <w:rFonts w:hint="eastAsia"/>
        </w:rPr>
        <w:t xml:space="preserve"> is the reflectivity, and </w:t>
      </w:r>
      <m:oMath>
        <m:sSub>
          <m:sSubPr>
            <m:ctrlPr>
              <w:rPr>
                <w:rFonts w:ascii="Cambria Math" w:hAnsi="Cambria Math"/>
                <w:szCs w:val="21"/>
              </w:rPr>
            </m:ctrlPr>
          </m:sSubPr>
          <m:e>
            <m:r>
              <m:rPr>
                <m:sty m:val="p"/>
              </m:rPr>
              <w:rPr>
                <w:rFonts w:ascii="Cambria Math" w:hAnsi="Cambria Math"/>
                <w:szCs w:val="21"/>
              </w:rPr>
              <m:t>I</m:t>
            </m:r>
          </m:e>
          <m:sub>
            <m:r>
              <m:rPr>
                <m:sty m:val="p"/>
              </m:rPr>
              <w:rPr>
                <w:rFonts w:ascii="Cambria Math" w:hAnsi="Cambria Math"/>
                <w:szCs w:val="21"/>
              </w:rPr>
              <m:t>i</m:t>
            </m:r>
          </m:sub>
        </m:sSub>
      </m:oMath>
      <w:r>
        <w:rPr>
          <w:rFonts w:hint="eastAsia"/>
        </w:rPr>
        <w:t>、</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t</m:t>
            </m:r>
          </m:sub>
        </m:sSub>
      </m:oMath>
      <w:r>
        <w:rPr>
          <w:rFonts w:hint="eastAsia"/>
        </w:rPr>
        <w:t xml:space="preserve"> are the intensities of incident light and transmitted light, respectively.</w:t>
      </w:r>
    </w:p>
    <w:p w:rsidR="00A93C80" w:rsidRDefault="000E0894">
      <w:pPr>
        <w:pStyle w:val="Paragraph"/>
      </w:pPr>
      <w:r>
        <w:t>After obtaining the calculation formula for the transmittance of a single layer of glass, it can be further extended to the three-layer glass model of this study. Each layer of gla</w:t>
      </w:r>
      <w:r>
        <w:t xml:space="preserve">ss has the same refractive index n, and the thicknesses are </w:t>
      </w:r>
      <m:oMath>
        <m:sSub>
          <m:sSubPr>
            <m:ctrlPr>
              <w:rPr>
                <w:rFonts w:ascii="Cambria Math" w:hAnsi="Cambria Math"/>
                <w:szCs w:val="21"/>
              </w:rPr>
            </m:ctrlPr>
          </m:sSubPr>
          <m:e>
            <m:r>
              <m:rPr>
                <m:sty m:val="p"/>
              </m:rPr>
              <w:rPr>
                <w:rFonts w:ascii="Cambria Math" w:hAnsi="Cambria Math"/>
                <w:szCs w:val="21"/>
              </w:rPr>
              <m:t>l</m:t>
            </m:r>
          </m:e>
          <m:sub>
            <m:r>
              <m:rPr>
                <m:sty m:val="p"/>
              </m:rPr>
              <w:rPr>
                <w:rFonts w:ascii="Cambria Math" w:hAnsi="Cambria Math"/>
                <w:szCs w:val="21"/>
              </w:rPr>
              <m:t>1</m:t>
            </m:r>
          </m:sub>
        </m:sSub>
      </m:oMath>
      <w:r>
        <w:t xml:space="preserve">, </w:t>
      </w:r>
      <m:oMath>
        <m:sSub>
          <m:sSubPr>
            <m:ctrlPr>
              <w:rPr>
                <w:rFonts w:ascii="Cambria Math" w:hAnsi="Cambria Math"/>
                <w:szCs w:val="21"/>
              </w:rPr>
            </m:ctrlPr>
          </m:sSubPr>
          <m:e>
            <m:r>
              <m:rPr>
                <m:sty m:val="p"/>
              </m:rPr>
              <w:rPr>
                <w:rFonts w:ascii="Cambria Math" w:hAnsi="Cambria Math"/>
                <w:szCs w:val="21"/>
              </w:rPr>
              <m:t>l</m:t>
            </m:r>
          </m:e>
          <m:sub>
            <m:r>
              <m:rPr>
                <m:sty m:val="p"/>
              </m:rPr>
              <w:rPr>
                <w:rFonts w:ascii="Cambria Math" w:hAnsi="Cambria Math"/>
                <w:szCs w:val="21"/>
              </w:rPr>
              <m:t>2</m:t>
            </m:r>
          </m:sub>
        </m:sSub>
      </m:oMath>
      <w:r>
        <w:t xml:space="preserve">, and </w:t>
      </w:r>
      <m:oMath>
        <m:sSub>
          <m:sSubPr>
            <m:ctrlPr>
              <w:rPr>
                <w:rFonts w:ascii="Cambria Math" w:hAnsi="Cambria Math"/>
                <w:szCs w:val="21"/>
              </w:rPr>
            </m:ctrlPr>
          </m:sSubPr>
          <m:e>
            <m:r>
              <m:rPr>
                <m:sty m:val="p"/>
              </m:rPr>
              <w:rPr>
                <w:rFonts w:ascii="Cambria Math" w:hAnsi="Cambria Math"/>
                <w:szCs w:val="21"/>
              </w:rPr>
              <m:t>l</m:t>
            </m:r>
          </m:e>
          <m:sub>
            <m:r>
              <m:rPr>
                <m:sty m:val="p"/>
              </m:rPr>
              <w:rPr>
                <w:rFonts w:ascii="Cambria Math" w:hAnsi="Cambria Math"/>
                <w:szCs w:val="21"/>
              </w:rPr>
              <m:t>3</m:t>
            </m:r>
          </m:sub>
        </m:sSub>
      </m:oMath>
      <w:r>
        <w:t xml:space="preserve"> respectively. The optical path difference of each layer is recorded as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1</m:t>
            </m:r>
          </m:sub>
        </m:sSub>
      </m:oMath>
      <w:r>
        <w:t xml:space="preserv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2</m:t>
            </m:r>
          </m:sub>
        </m:sSub>
      </m:oMath>
      <w: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3</m:t>
            </m:r>
          </m:sub>
        </m:sSub>
      </m:oMath>
      <w:r>
        <w:t xml:space="preserve"> respectively, which can be calculated according to formula (4). For each layer, the transmittan</w:t>
      </w:r>
      <w:r>
        <w:t xml:space="preserve">ce </w:t>
      </w:r>
      <m:oMath>
        <m:sSub>
          <m:sSubPr>
            <m:ctrlPr>
              <w:rPr>
                <w:rFonts w:ascii="Cambria Math" w:hAnsi="Cambria Math"/>
                <w:szCs w:val="21"/>
              </w:rPr>
            </m:ctrlPr>
          </m:sSubPr>
          <m:e>
            <m:r>
              <m:rPr>
                <m:sty m:val="p"/>
              </m:rPr>
              <w:rPr>
                <w:rFonts w:ascii="Cambria Math" w:hAnsi="Cambria Math"/>
                <w:szCs w:val="21"/>
              </w:rPr>
              <m:t>T</m:t>
            </m:r>
          </m:e>
          <m:sub>
            <m:r>
              <m:rPr>
                <m:sty m:val="p"/>
              </m:rPr>
              <w:rPr>
                <w:rFonts w:ascii="Cambria Math" w:hAnsi="Cambria Math"/>
                <w:szCs w:val="21"/>
              </w:rPr>
              <m:t>1</m:t>
            </m:r>
          </m:sub>
        </m:sSub>
      </m:oMath>
      <w:r>
        <w:t xml:space="preserve">, </w:t>
      </w:r>
      <m:oMath>
        <m:sSub>
          <m:sSubPr>
            <m:ctrlPr>
              <w:rPr>
                <w:rFonts w:ascii="Cambria Math" w:hAnsi="Cambria Math"/>
                <w:szCs w:val="21"/>
              </w:rPr>
            </m:ctrlPr>
          </m:sSubPr>
          <m:e>
            <m:r>
              <m:rPr>
                <m:sty m:val="p"/>
              </m:rPr>
              <w:rPr>
                <w:rFonts w:ascii="Cambria Math" w:hAnsi="Cambria Math"/>
                <w:szCs w:val="21"/>
              </w:rPr>
              <m:t>T</m:t>
            </m:r>
          </m:e>
          <m:sub>
            <m:r>
              <m:rPr>
                <m:sty m:val="p"/>
              </m:rPr>
              <w:rPr>
                <w:rFonts w:ascii="Cambria Math" w:hAnsi="Cambria Math"/>
                <w:szCs w:val="21"/>
              </w:rPr>
              <m:t>2</m:t>
            </m:r>
          </m:sub>
        </m:sSub>
      </m:oMath>
      <w:r>
        <w:t xml:space="preserve">, and </w:t>
      </w:r>
      <m:oMath>
        <m:sSub>
          <m:sSubPr>
            <m:ctrlPr>
              <w:rPr>
                <w:rFonts w:ascii="Cambria Math" w:hAnsi="Cambria Math"/>
                <w:szCs w:val="21"/>
              </w:rPr>
            </m:ctrlPr>
          </m:sSubPr>
          <m:e>
            <m:r>
              <m:rPr>
                <m:sty m:val="p"/>
              </m:rPr>
              <w:rPr>
                <w:rFonts w:ascii="Cambria Math" w:hAnsi="Cambria Math"/>
                <w:szCs w:val="21"/>
              </w:rPr>
              <m:t>T</m:t>
            </m:r>
          </m:e>
          <m:sub>
            <m:r>
              <m:rPr>
                <m:sty m:val="p"/>
              </m:rPr>
              <w:rPr>
                <w:rFonts w:ascii="Cambria Math" w:hAnsi="Cambria Math"/>
                <w:szCs w:val="21"/>
              </w:rPr>
              <m:t>3</m:t>
            </m:r>
          </m:sub>
        </m:sSub>
      </m:oMath>
      <w:r>
        <w:t xml:space="preserve"> are calculated based on formula (5), and then the total transmittance of the overall structure is obtained as the product of the transmittances of the three layers. The final total transmitted light intensity </w:t>
      </w:r>
      <m:oMath>
        <m:sSub>
          <m:sSubPr>
            <m:ctrlPr>
              <w:rPr>
                <w:rFonts w:ascii="Cambria Math" w:hAnsi="Cambria Math"/>
                <w:szCs w:val="21"/>
              </w:rPr>
            </m:ctrlPr>
          </m:sSubPr>
          <m:e>
            <m:r>
              <m:rPr>
                <m:sty m:val="p"/>
              </m:rPr>
              <w:rPr>
                <w:rFonts w:ascii="Cambria Math" w:hAnsi="Cambria Math"/>
                <w:szCs w:val="21"/>
              </w:rPr>
              <m:t>I</m:t>
            </m:r>
          </m:e>
          <m:sub>
            <m:r>
              <m:rPr>
                <m:sty m:val="p"/>
              </m:rPr>
              <w:rPr>
                <w:rFonts w:ascii="Cambria Math" w:hAnsi="Cambria Math"/>
                <w:szCs w:val="21"/>
              </w:rPr>
              <m:t>trans</m:t>
            </m:r>
          </m:sub>
        </m:sSub>
      </m:oMath>
      <w:r>
        <w:t xml:space="preserve"> is obtained by multipl</w:t>
      </w:r>
      <w:r>
        <w:t xml:space="preserve">ying the original irradiance intensity </w:t>
      </w:r>
      <m:oMath>
        <m:sSub>
          <m:sSubPr>
            <m:ctrlPr>
              <w:rPr>
                <w:rFonts w:ascii="Cambria Math" w:hAnsi="Cambria Math"/>
                <w:szCs w:val="21"/>
              </w:rPr>
            </m:ctrlPr>
          </m:sSubPr>
          <m:e>
            <m:r>
              <m:rPr>
                <m:sty m:val="p"/>
              </m:rPr>
              <w:rPr>
                <w:rFonts w:ascii="Cambria Math" w:hAnsi="Cambria Math"/>
                <w:szCs w:val="21"/>
              </w:rPr>
              <m:t>I</m:t>
            </m:r>
          </m:e>
          <m:sub>
            <m:r>
              <m:rPr>
                <m:sty m:val="p"/>
              </m:rPr>
              <w:rPr>
                <w:rFonts w:ascii="Cambria Math" w:hAnsi="Cambria Math"/>
                <w:szCs w:val="21"/>
              </w:rPr>
              <m:t>in</m:t>
            </m:r>
          </m:sub>
        </m:sSub>
      </m:oMath>
      <w:r>
        <w:t xml:space="preserve"> of the solar spectrum by the total transmittance of the structure:</w:t>
      </w:r>
    </w:p>
    <w:p w:rsidR="00A93C80" w:rsidRDefault="00A93C80">
      <w:pPr>
        <w:pStyle w:val="Paragraph"/>
      </w:pPr>
    </w:p>
    <w:p w:rsidR="00A93C80" w:rsidRDefault="000E0894">
      <w:pPr>
        <w:pStyle w:val="Equation"/>
      </w:pPr>
      <w:r>
        <w:tab/>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trans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in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3</m:t>
            </m:r>
          </m:sub>
        </m:sSub>
      </m:oMath>
      <w:r>
        <w:tab/>
      </w:r>
      <w:r>
        <w:rPr>
          <w:rFonts w:hint="eastAsia"/>
        </w:rPr>
        <w:t>(6)</w:t>
      </w:r>
    </w:p>
    <w:p w:rsidR="00A93C80" w:rsidRDefault="000E0894">
      <w:pPr>
        <w:pStyle w:val="2"/>
      </w:pPr>
      <w:r>
        <w:t>Optical Modeling Process</w:t>
      </w:r>
    </w:p>
    <w:p w:rsidR="00A93C80" w:rsidRDefault="000E0894">
      <w:pPr>
        <w:pStyle w:val="Paragraph"/>
      </w:pPr>
      <w:r>
        <w:t>This study built a transmittance optimization model for a three-layer glass structure on MATLAB</w:t>
      </w:r>
      <w:r>
        <w:t xml:space="preserve"> software. The refractive index of each layer of glass was set to the same value, and the thickness of each layer was set to 3 mm to 10 mm. To simulate more realistic lighting conditions, this study selected the international standard solar spectrum data, </w:t>
      </w:r>
      <w:r>
        <w:t>namely the full spectrum irradiance data in ASTM G173-03, which can fully reflect the transmittance characteristics of solar energy at different wavelengths [19]. Considering that the incident angle changes continuously in real application scenarios, the s</w:t>
      </w:r>
      <w:r>
        <w:t>tudy introduced multiple incident angles, calculated the total transmittance at each angle, and comprehensively evaluated the optical performance of the three-layer structure.</w:t>
      </w:r>
    </w:p>
    <w:p w:rsidR="00A93C80" w:rsidRDefault="000E0894">
      <w:pPr>
        <w:pStyle w:val="1"/>
      </w:pPr>
      <w:bookmarkStart w:id="5" w:name="OLE_LINK4"/>
      <w:r>
        <w:t>Results and Discussion</w:t>
      </w:r>
    </w:p>
    <w:p w:rsidR="00A93C80" w:rsidRDefault="000E0894">
      <w:pPr>
        <w:pStyle w:val="2"/>
      </w:pPr>
      <w:r>
        <w:t>Results Analysis</w:t>
      </w:r>
    </w:p>
    <w:p w:rsidR="00A93C80" w:rsidRDefault="000E0894">
      <w:pPr>
        <w:pStyle w:val="Paragraph"/>
        <w:rPr>
          <w:lang w:eastAsia="zh-CN"/>
        </w:rPr>
      </w:pPr>
      <w:r>
        <w:rPr>
          <w:lang w:eastAsia="zh-CN"/>
        </w:rPr>
        <w:t>After 300 iterations of the PSO algorith</w:t>
      </w:r>
      <w:r>
        <w:rPr>
          <w:lang w:eastAsia="zh-CN"/>
        </w:rPr>
        <w:t xml:space="preserve">m, the optimal thickness values for the inner, middle, and outer layers were found to be 5.09 mm, 4.31 mm, and 4.97 mm, in that order. To assess the optical behavior of the multilayer design under varying angles of incidence, spectral transmittance curves </w:t>
      </w:r>
      <w:r>
        <w:rPr>
          <w:lang w:eastAsia="zh-CN"/>
        </w:rPr>
        <w:t>were generated for angles ranging from 0° to 75° in 15° increments, as illustrated in Figure 1. Subfigures (a) to (f) correspond to different angles. The x-axis denotes the wavelength range (300–2000 nm), and the y-axis indicates solar transmission.</w:t>
      </w:r>
    </w:p>
    <w:bookmarkEnd w:id="5"/>
    <w:p w:rsidR="00A93C80" w:rsidRDefault="000E0894">
      <w:pPr>
        <w:pStyle w:val="Figure"/>
        <w:rPr>
          <w:lang w:eastAsia="zh-CN"/>
        </w:rPr>
      </w:pPr>
      <w:r>
        <w:rPr>
          <w:noProof/>
          <w:lang w:eastAsia="zh-CN"/>
        </w:rPr>
        <w:lastRenderedPageBreak/>
        <w:drawing>
          <wp:inline distT="0" distB="0" distL="0" distR="0">
            <wp:extent cx="4084320" cy="3030855"/>
            <wp:effectExtent l="0" t="0" r="0" b="0"/>
            <wp:docPr id="5493023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02322"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2453" cy="3036984"/>
                    </a:xfrm>
                    <a:prstGeom prst="rect">
                      <a:avLst/>
                    </a:prstGeom>
                  </pic:spPr>
                </pic:pic>
              </a:graphicData>
            </a:graphic>
          </wp:inline>
        </w:drawing>
      </w:r>
    </w:p>
    <w:p w:rsidR="00A93C80" w:rsidRDefault="000E0894">
      <w:pPr>
        <w:pStyle w:val="FigureCaption"/>
        <w:rPr>
          <w:lang w:val="en" w:eastAsia="zh-CN"/>
        </w:rPr>
      </w:pPr>
      <w:r>
        <w:rPr>
          <w:b/>
          <w:caps/>
        </w:rPr>
        <w:t>Figu</w:t>
      </w:r>
      <w:r>
        <w:rPr>
          <w:b/>
          <w:caps/>
        </w:rPr>
        <w:t>re 1.</w:t>
      </w:r>
      <w:r>
        <w:rPr>
          <w:rFonts w:hint="eastAsia"/>
          <w:b/>
          <w:caps/>
          <w:lang w:eastAsia="zh-CN"/>
        </w:rPr>
        <w:t xml:space="preserve"> </w:t>
      </w:r>
      <w:r>
        <w:rPr>
          <w:lang w:val="en" w:eastAsia="zh-CN"/>
        </w:rPr>
        <w:t>Spectral transmittance curves under varying incident angles (Original)</w:t>
      </w:r>
    </w:p>
    <w:p w:rsidR="00A93C80" w:rsidRDefault="00A93C80">
      <w:pPr>
        <w:pStyle w:val="Paragraph"/>
        <w:rPr>
          <w:lang w:val="en" w:eastAsia="zh-CN"/>
        </w:rPr>
      </w:pPr>
    </w:p>
    <w:p w:rsidR="00A93C80" w:rsidRDefault="000E0894">
      <w:pPr>
        <w:pStyle w:val="Paragraph"/>
        <w:rPr>
          <w:lang w:val="en" w:eastAsia="zh-CN"/>
        </w:rPr>
      </w:pPr>
      <w:r>
        <w:rPr>
          <w:lang w:val="en" w:eastAsia="zh-CN"/>
        </w:rPr>
        <w:t xml:space="preserve">To more intuitively present the transmission performance indicators at various incident angles, Table 1 lists the maximum transmittance, average transmittance, 400-800nm </w:t>
      </w:r>
      <w:r>
        <w:rPr>
          <w:lang w:val="en" w:eastAsia="zh-CN"/>
        </w:rPr>
        <w:t>transmittance, and total integrated value of transmitted light intensity at the corresponding angles.</w:t>
      </w:r>
    </w:p>
    <w:p w:rsidR="00A93C80" w:rsidRDefault="000E0894">
      <w:pPr>
        <w:pStyle w:val="TableCaption"/>
      </w:pPr>
      <w:r>
        <w:rPr>
          <w:b/>
        </w:rPr>
        <w:t>TABLE 1.</w:t>
      </w:r>
      <w:r>
        <w:rPr>
          <w:rFonts w:hint="eastAsia"/>
          <w:b/>
          <w:lang w:eastAsia="zh-CN"/>
        </w:rPr>
        <w:t xml:space="preserve"> </w:t>
      </w:r>
      <w:r>
        <w:rPr>
          <w:rFonts w:hint="eastAsia"/>
        </w:rPr>
        <w:t>Transmission performance under varying incident angles (Original)</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1352"/>
        <w:gridCol w:w="2191"/>
        <w:gridCol w:w="2031"/>
        <w:gridCol w:w="1346"/>
        <w:gridCol w:w="2162"/>
      </w:tblGrid>
      <w:tr w:rsidR="00A93C80" w:rsidTr="00966940">
        <w:trPr>
          <w:jc w:val="center"/>
        </w:trPr>
        <w:tc>
          <w:tcPr>
            <w:tcW w:w="0" w:type="auto"/>
            <w:tcBorders>
              <w:top w:val="single" w:sz="4" w:space="0" w:color="auto"/>
              <w:left w:val="nil"/>
              <w:bottom w:val="single" w:sz="6" w:space="0" w:color="000000"/>
              <w:right w:val="nil"/>
            </w:tcBorders>
            <w:vAlign w:val="center"/>
          </w:tcPr>
          <w:p w:rsidR="00A93C80" w:rsidRDefault="000E0894" w:rsidP="00966940">
            <w:pPr>
              <w:jc w:val="center"/>
              <w:rPr>
                <w:b/>
                <w:sz w:val="18"/>
                <w:szCs w:val="18"/>
                <w:lang w:eastAsia="zh-CN"/>
              </w:rPr>
            </w:pPr>
            <w:r>
              <w:rPr>
                <w:b/>
                <w:sz w:val="18"/>
                <w:szCs w:val="18"/>
              </w:rPr>
              <w:t>Incident Angle</w:t>
            </w:r>
          </w:p>
        </w:tc>
        <w:tc>
          <w:tcPr>
            <w:tcW w:w="0" w:type="auto"/>
            <w:tcBorders>
              <w:top w:val="single" w:sz="4" w:space="0" w:color="auto"/>
              <w:left w:val="nil"/>
              <w:bottom w:val="single" w:sz="6" w:space="0" w:color="000000"/>
              <w:right w:val="nil"/>
            </w:tcBorders>
            <w:vAlign w:val="center"/>
          </w:tcPr>
          <w:p w:rsidR="00A93C80" w:rsidRDefault="000E0894">
            <w:pPr>
              <w:jc w:val="center"/>
              <w:rPr>
                <w:b/>
                <w:sz w:val="18"/>
                <w:szCs w:val="18"/>
              </w:rPr>
            </w:pPr>
            <w:r>
              <w:rPr>
                <w:b/>
                <w:sz w:val="18"/>
                <w:szCs w:val="18"/>
              </w:rPr>
              <w:t>Maximum Transmittance</w:t>
            </w:r>
          </w:p>
        </w:tc>
        <w:tc>
          <w:tcPr>
            <w:tcW w:w="0" w:type="auto"/>
            <w:tcBorders>
              <w:top w:val="single" w:sz="4" w:space="0" w:color="auto"/>
              <w:left w:val="nil"/>
              <w:bottom w:val="single" w:sz="6" w:space="0" w:color="000000"/>
              <w:right w:val="nil"/>
            </w:tcBorders>
            <w:vAlign w:val="center"/>
          </w:tcPr>
          <w:p w:rsidR="00A93C80" w:rsidRDefault="000E0894">
            <w:pPr>
              <w:jc w:val="center"/>
              <w:rPr>
                <w:b/>
                <w:sz w:val="18"/>
                <w:szCs w:val="18"/>
              </w:rPr>
            </w:pPr>
            <w:r>
              <w:rPr>
                <w:rFonts w:hint="eastAsia"/>
                <w:b/>
                <w:sz w:val="18"/>
                <w:szCs w:val="18"/>
              </w:rPr>
              <w:t>Average Transmittance</w:t>
            </w:r>
          </w:p>
        </w:tc>
        <w:tc>
          <w:tcPr>
            <w:tcW w:w="0" w:type="auto"/>
            <w:tcBorders>
              <w:top w:val="single" w:sz="4" w:space="0" w:color="auto"/>
              <w:left w:val="nil"/>
              <w:bottom w:val="single" w:sz="6" w:space="0" w:color="000000"/>
              <w:right w:val="nil"/>
            </w:tcBorders>
            <w:vAlign w:val="center"/>
          </w:tcPr>
          <w:p w:rsidR="00A93C80" w:rsidRDefault="000E0894">
            <w:pPr>
              <w:jc w:val="center"/>
              <w:rPr>
                <w:b/>
                <w:sz w:val="18"/>
                <w:szCs w:val="18"/>
              </w:rPr>
            </w:pPr>
            <w:r>
              <w:rPr>
                <w:b/>
                <w:sz w:val="18"/>
                <w:szCs w:val="18"/>
              </w:rPr>
              <w:t>400-800nm</w:t>
            </w:r>
          </w:p>
          <w:p w:rsidR="00A93C80" w:rsidRDefault="000E0894">
            <w:pPr>
              <w:jc w:val="center"/>
              <w:rPr>
                <w:b/>
                <w:sz w:val="18"/>
                <w:szCs w:val="18"/>
              </w:rPr>
            </w:pPr>
            <w:r>
              <w:rPr>
                <w:rFonts w:hint="eastAsia"/>
                <w:b/>
                <w:sz w:val="18"/>
                <w:szCs w:val="18"/>
              </w:rPr>
              <w:t>Transmitta</w:t>
            </w:r>
            <w:r>
              <w:rPr>
                <w:rFonts w:hint="eastAsia"/>
                <w:b/>
                <w:sz w:val="18"/>
                <w:szCs w:val="18"/>
              </w:rPr>
              <w:t>nce</w:t>
            </w:r>
          </w:p>
        </w:tc>
        <w:tc>
          <w:tcPr>
            <w:tcW w:w="2162" w:type="dxa"/>
            <w:tcBorders>
              <w:top w:val="single" w:sz="4" w:space="0" w:color="auto"/>
              <w:left w:val="nil"/>
              <w:bottom w:val="single" w:sz="6" w:space="0" w:color="000000"/>
              <w:right w:val="nil"/>
            </w:tcBorders>
            <w:vAlign w:val="center"/>
          </w:tcPr>
          <w:p w:rsidR="00A93C80" w:rsidRDefault="000E0894">
            <w:pPr>
              <w:jc w:val="center"/>
              <w:rPr>
                <w:b/>
                <w:sz w:val="18"/>
                <w:szCs w:val="18"/>
              </w:rPr>
            </w:pPr>
            <w:r>
              <w:rPr>
                <w:b/>
                <w:sz w:val="18"/>
                <w:szCs w:val="18"/>
              </w:rPr>
              <w:t>Total Transmitted</w:t>
            </w:r>
            <w:r>
              <w:rPr>
                <w:rFonts w:hint="eastAsia"/>
                <w:b/>
                <w:sz w:val="18"/>
                <w:szCs w:val="18"/>
              </w:rPr>
              <w:t xml:space="preserve"> </w:t>
            </w:r>
            <w:r>
              <w:rPr>
                <w:b/>
                <w:sz w:val="18"/>
                <w:szCs w:val="18"/>
              </w:rPr>
              <w:t>Intensity</w:t>
            </w:r>
            <w:r>
              <w:rPr>
                <w:rFonts w:hint="eastAsia"/>
                <w:b/>
                <w:sz w:val="18"/>
                <w:szCs w:val="18"/>
              </w:rPr>
              <w:t xml:space="preserve"> </w:t>
            </w:r>
            <w:r>
              <w:rPr>
                <w:b/>
                <w:sz w:val="18"/>
                <w:szCs w:val="18"/>
              </w:rPr>
              <w:t>(W/m^2)</w:t>
            </w:r>
          </w:p>
        </w:tc>
      </w:tr>
      <w:tr w:rsidR="00A93C80" w:rsidTr="00966940">
        <w:trPr>
          <w:jc w:val="center"/>
        </w:trPr>
        <w:tc>
          <w:tcPr>
            <w:tcW w:w="0" w:type="auto"/>
            <w:tcBorders>
              <w:top w:val="single" w:sz="6" w:space="0" w:color="000000"/>
              <w:left w:val="nil"/>
              <w:bottom w:val="nil"/>
              <w:right w:val="nil"/>
            </w:tcBorders>
            <w:vAlign w:val="center"/>
          </w:tcPr>
          <w:p w:rsidR="00A93C80" w:rsidRDefault="000E0894">
            <w:pPr>
              <w:jc w:val="center"/>
              <w:rPr>
                <w:bCs/>
                <w:sz w:val="18"/>
                <w:szCs w:val="18"/>
              </w:rPr>
            </w:pPr>
            <w:r>
              <w:rPr>
                <w:bCs/>
                <w:sz w:val="18"/>
                <w:szCs w:val="18"/>
              </w:rPr>
              <w:t>0°</w:t>
            </w:r>
          </w:p>
        </w:tc>
        <w:tc>
          <w:tcPr>
            <w:tcW w:w="0" w:type="auto"/>
            <w:tcBorders>
              <w:top w:val="single" w:sz="6" w:space="0" w:color="000000"/>
              <w:left w:val="nil"/>
              <w:bottom w:val="nil"/>
              <w:right w:val="nil"/>
            </w:tcBorders>
            <w:vAlign w:val="center"/>
          </w:tcPr>
          <w:p w:rsidR="00A93C80" w:rsidRDefault="000E0894">
            <w:pPr>
              <w:jc w:val="center"/>
              <w:rPr>
                <w:bCs/>
                <w:sz w:val="18"/>
                <w:szCs w:val="18"/>
              </w:rPr>
            </w:pPr>
            <w:r>
              <w:rPr>
                <w:bCs/>
                <w:sz w:val="18"/>
                <w:szCs w:val="18"/>
              </w:rPr>
              <w:t>99</w:t>
            </w:r>
            <w:r>
              <w:rPr>
                <w:rFonts w:hint="eastAsia"/>
                <w:bCs/>
                <w:sz w:val="18"/>
                <w:szCs w:val="18"/>
              </w:rPr>
              <w:t>.</w:t>
            </w:r>
            <w:r>
              <w:rPr>
                <w:bCs/>
                <w:sz w:val="18"/>
                <w:szCs w:val="18"/>
              </w:rPr>
              <w:t>83</w:t>
            </w:r>
            <w:r>
              <w:rPr>
                <w:rFonts w:hint="eastAsia"/>
                <w:bCs/>
                <w:sz w:val="18"/>
                <w:szCs w:val="18"/>
              </w:rPr>
              <w:t>%</w:t>
            </w:r>
          </w:p>
        </w:tc>
        <w:tc>
          <w:tcPr>
            <w:tcW w:w="0" w:type="auto"/>
            <w:tcBorders>
              <w:top w:val="single" w:sz="6" w:space="0" w:color="000000"/>
              <w:left w:val="nil"/>
              <w:bottom w:val="nil"/>
              <w:right w:val="nil"/>
            </w:tcBorders>
            <w:vAlign w:val="center"/>
          </w:tcPr>
          <w:p w:rsidR="00A93C80" w:rsidRDefault="000E0894">
            <w:pPr>
              <w:jc w:val="center"/>
              <w:rPr>
                <w:bCs/>
                <w:sz w:val="18"/>
                <w:szCs w:val="18"/>
              </w:rPr>
            </w:pPr>
            <w:r>
              <w:rPr>
                <w:bCs/>
                <w:sz w:val="18"/>
                <w:szCs w:val="18"/>
              </w:rPr>
              <w:t>54</w:t>
            </w:r>
            <w:r>
              <w:rPr>
                <w:rFonts w:hint="eastAsia"/>
                <w:bCs/>
                <w:sz w:val="18"/>
                <w:szCs w:val="18"/>
              </w:rPr>
              <w:t>.</w:t>
            </w:r>
            <w:r>
              <w:rPr>
                <w:bCs/>
                <w:sz w:val="18"/>
                <w:szCs w:val="18"/>
              </w:rPr>
              <w:t>08</w:t>
            </w:r>
            <w:r>
              <w:rPr>
                <w:rFonts w:hint="eastAsia"/>
                <w:bCs/>
                <w:sz w:val="18"/>
                <w:szCs w:val="18"/>
              </w:rPr>
              <w:t>%</w:t>
            </w:r>
          </w:p>
        </w:tc>
        <w:tc>
          <w:tcPr>
            <w:tcW w:w="0" w:type="auto"/>
            <w:tcBorders>
              <w:top w:val="single" w:sz="6" w:space="0" w:color="000000"/>
              <w:left w:val="nil"/>
              <w:bottom w:val="nil"/>
              <w:right w:val="nil"/>
            </w:tcBorders>
            <w:vAlign w:val="center"/>
          </w:tcPr>
          <w:p w:rsidR="00A93C80" w:rsidRDefault="000E0894">
            <w:pPr>
              <w:jc w:val="center"/>
              <w:rPr>
                <w:bCs/>
                <w:sz w:val="18"/>
                <w:szCs w:val="18"/>
              </w:rPr>
            </w:pPr>
            <w:r>
              <w:rPr>
                <w:bCs/>
                <w:sz w:val="18"/>
                <w:szCs w:val="18"/>
              </w:rPr>
              <w:t>53</w:t>
            </w:r>
            <w:r>
              <w:rPr>
                <w:rFonts w:hint="eastAsia"/>
                <w:bCs/>
                <w:sz w:val="18"/>
                <w:szCs w:val="18"/>
              </w:rPr>
              <w:t>.</w:t>
            </w:r>
            <w:r>
              <w:rPr>
                <w:bCs/>
                <w:sz w:val="18"/>
                <w:szCs w:val="18"/>
              </w:rPr>
              <w:t>77</w:t>
            </w:r>
            <w:r>
              <w:rPr>
                <w:rFonts w:hint="eastAsia"/>
                <w:bCs/>
                <w:sz w:val="18"/>
                <w:szCs w:val="18"/>
              </w:rPr>
              <w:t>%</w:t>
            </w:r>
          </w:p>
        </w:tc>
        <w:tc>
          <w:tcPr>
            <w:tcW w:w="2162" w:type="dxa"/>
            <w:tcBorders>
              <w:top w:val="single" w:sz="6" w:space="0" w:color="000000"/>
              <w:left w:val="nil"/>
              <w:bottom w:val="nil"/>
              <w:right w:val="nil"/>
            </w:tcBorders>
            <w:vAlign w:val="center"/>
          </w:tcPr>
          <w:p w:rsidR="00A93C80" w:rsidRDefault="000E0894">
            <w:pPr>
              <w:jc w:val="center"/>
              <w:rPr>
                <w:bCs/>
                <w:sz w:val="18"/>
                <w:szCs w:val="18"/>
              </w:rPr>
            </w:pPr>
            <w:r>
              <w:rPr>
                <w:bCs/>
                <w:sz w:val="18"/>
                <w:szCs w:val="18"/>
              </w:rPr>
              <w:t>524.19</w:t>
            </w:r>
          </w:p>
        </w:tc>
      </w:tr>
      <w:tr w:rsidR="00A93C80" w:rsidTr="00966940">
        <w:trPr>
          <w:jc w:val="center"/>
        </w:trPr>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15°</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97</w:t>
            </w:r>
            <w:r>
              <w:rPr>
                <w:rFonts w:hint="eastAsia"/>
                <w:bCs/>
                <w:sz w:val="18"/>
                <w:szCs w:val="18"/>
              </w:rPr>
              <w:t>.</w:t>
            </w:r>
            <w:r>
              <w:rPr>
                <w:bCs/>
                <w:sz w:val="18"/>
                <w:szCs w:val="18"/>
              </w:rPr>
              <w:t>15</w:t>
            </w:r>
            <w:r>
              <w:rPr>
                <w:rFonts w:hint="eastAsia"/>
                <w:bCs/>
                <w:sz w:val="18"/>
                <w:szCs w:val="18"/>
              </w:rPr>
              <w:t>%</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51</w:t>
            </w:r>
            <w:r>
              <w:rPr>
                <w:rFonts w:hint="eastAsia"/>
                <w:bCs/>
                <w:sz w:val="18"/>
                <w:szCs w:val="18"/>
              </w:rPr>
              <w:t>.</w:t>
            </w:r>
            <w:r>
              <w:rPr>
                <w:bCs/>
                <w:sz w:val="18"/>
                <w:szCs w:val="18"/>
              </w:rPr>
              <w:t>96</w:t>
            </w:r>
            <w:r>
              <w:rPr>
                <w:rFonts w:hint="eastAsia"/>
                <w:bCs/>
                <w:sz w:val="18"/>
                <w:szCs w:val="18"/>
              </w:rPr>
              <w:t>%</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51</w:t>
            </w:r>
            <w:r>
              <w:rPr>
                <w:rFonts w:hint="eastAsia"/>
                <w:bCs/>
                <w:sz w:val="18"/>
                <w:szCs w:val="18"/>
              </w:rPr>
              <w:t>.</w:t>
            </w:r>
            <w:r>
              <w:rPr>
                <w:bCs/>
                <w:sz w:val="18"/>
                <w:szCs w:val="18"/>
              </w:rPr>
              <w:t>51</w:t>
            </w:r>
            <w:r>
              <w:rPr>
                <w:rFonts w:hint="eastAsia"/>
                <w:bCs/>
                <w:sz w:val="18"/>
                <w:szCs w:val="18"/>
              </w:rPr>
              <w:t>%</w:t>
            </w:r>
          </w:p>
        </w:tc>
        <w:tc>
          <w:tcPr>
            <w:tcW w:w="2162" w:type="dxa"/>
            <w:tcBorders>
              <w:top w:val="nil"/>
              <w:left w:val="nil"/>
              <w:bottom w:val="nil"/>
              <w:right w:val="nil"/>
            </w:tcBorders>
            <w:vAlign w:val="center"/>
          </w:tcPr>
          <w:p w:rsidR="00A93C80" w:rsidRDefault="000E0894">
            <w:pPr>
              <w:jc w:val="center"/>
              <w:rPr>
                <w:bCs/>
                <w:sz w:val="18"/>
                <w:szCs w:val="18"/>
              </w:rPr>
            </w:pPr>
            <w:r>
              <w:rPr>
                <w:bCs/>
                <w:sz w:val="18"/>
                <w:szCs w:val="18"/>
              </w:rPr>
              <w:t>502.03</w:t>
            </w:r>
          </w:p>
        </w:tc>
      </w:tr>
      <w:tr w:rsidR="00A93C80" w:rsidTr="00966940">
        <w:trPr>
          <w:jc w:val="center"/>
        </w:trPr>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30°</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97</w:t>
            </w:r>
            <w:r>
              <w:rPr>
                <w:rFonts w:hint="eastAsia"/>
                <w:bCs/>
                <w:sz w:val="18"/>
                <w:szCs w:val="18"/>
              </w:rPr>
              <w:t>.</w:t>
            </w:r>
            <w:r>
              <w:rPr>
                <w:bCs/>
                <w:sz w:val="18"/>
                <w:szCs w:val="18"/>
              </w:rPr>
              <w:t>37</w:t>
            </w:r>
            <w:r>
              <w:rPr>
                <w:rFonts w:hint="eastAsia"/>
                <w:bCs/>
                <w:sz w:val="18"/>
                <w:szCs w:val="18"/>
              </w:rPr>
              <w:t>%</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52</w:t>
            </w:r>
            <w:r>
              <w:rPr>
                <w:rFonts w:hint="eastAsia"/>
                <w:bCs/>
                <w:sz w:val="18"/>
                <w:szCs w:val="18"/>
              </w:rPr>
              <w:t>.</w:t>
            </w:r>
            <w:r>
              <w:rPr>
                <w:bCs/>
                <w:sz w:val="18"/>
                <w:szCs w:val="18"/>
              </w:rPr>
              <w:t>9</w:t>
            </w:r>
            <w:r>
              <w:rPr>
                <w:rFonts w:hint="eastAsia"/>
                <w:bCs/>
                <w:sz w:val="18"/>
                <w:szCs w:val="18"/>
              </w:rPr>
              <w:t>0%</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53</w:t>
            </w:r>
            <w:r>
              <w:rPr>
                <w:rFonts w:hint="eastAsia"/>
                <w:bCs/>
                <w:sz w:val="18"/>
                <w:szCs w:val="18"/>
              </w:rPr>
              <w:t>.</w:t>
            </w:r>
            <w:r>
              <w:rPr>
                <w:bCs/>
                <w:sz w:val="18"/>
                <w:szCs w:val="18"/>
              </w:rPr>
              <w:t>22</w:t>
            </w:r>
            <w:r>
              <w:rPr>
                <w:rFonts w:hint="eastAsia"/>
                <w:bCs/>
                <w:sz w:val="18"/>
                <w:szCs w:val="18"/>
              </w:rPr>
              <w:t>%</w:t>
            </w:r>
          </w:p>
        </w:tc>
        <w:tc>
          <w:tcPr>
            <w:tcW w:w="2162" w:type="dxa"/>
            <w:tcBorders>
              <w:top w:val="nil"/>
              <w:left w:val="nil"/>
              <w:bottom w:val="nil"/>
              <w:right w:val="nil"/>
            </w:tcBorders>
            <w:vAlign w:val="center"/>
          </w:tcPr>
          <w:p w:rsidR="00A93C80" w:rsidRDefault="000E0894">
            <w:pPr>
              <w:jc w:val="center"/>
              <w:rPr>
                <w:bCs/>
                <w:sz w:val="18"/>
                <w:szCs w:val="18"/>
              </w:rPr>
            </w:pPr>
            <w:r>
              <w:rPr>
                <w:bCs/>
                <w:sz w:val="18"/>
                <w:szCs w:val="18"/>
              </w:rPr>
              <w:t>511.3</w:t>
            </w:r>
            <w:r>
              <w:rPr>
                <w:rFonts w:hint="eastAsia"/>
                <w:bCs/>
                <w:sz w:val="18"/>
                <w:szCs w:val="18"/>
              </w:rPr>
              <w:t>1</w:t>
            </w:r>
          </w:p>
        </w:tc>
      </w:tr>
      <w:tr w:rsidR="00A93C80" w:rsidTr="00966940">
        <w:trPr>
          <w:jc w:val="center"/>
        </w:trPr>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45°</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98</w:t>
            </w:r>
            <w:r>
              <w:rPr>
                <w:rFonts w:hint="eastAsia"/>
                <w:bCs/>
                <w:sz w:val="18"/>
                <w:szCs w:val="18"/>
              </w:rPr>
              <w:t>.</w:t>
            </w:r>
            <w:r>
              <w:rPr>
                <w:bCs/>
                <w:sz w:val="18"/>
                <w:szCs w:val="18"/>
              </w:rPr>
              <w:t>82</w:t>
            </w:r>
            <w:r>
              <w:rPr>
                <w:rFonts w:hint="eastAsia"/>
                <w:bCs/>
                <w:sz w:val="18"/>
                <w:szCs w:val="18"/>
              </w:rPr>
              <w:t>%</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52</w:t>
            </w:r>
            <w:r>
              <w:rPr>
                <w:rFonts w:hint="eastAsia"/>
                <w:bCs/>
                <w:sz w:val="18"/>
                <w:szCs w:val="18"/>
              </w:rPr>
              <w:t>.</w:t>
            </w:r>
            <w:r>
              <w:rPr>
                <w:bCs/>
                <w:sz w:val="18"/>
                <w:szCs w:val="18"/>
              </w:rPr>
              <w:t>47</w:t>
            </w:r>
            <w:r>
              <w:rPr>
                <w:rFonts w:hint="eastAsia"/>
                <w:bCs/>
                <w:sz w:val="18"/>
                <w:szCs w:val="18"/>
              </w:rPr>
              <w:t>%</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52</w:t>
            </w:r>
            <w:r>
              <w:rPr>
                <w:rFonts w:hint="eastAsia"/>
                <w:bCs/>
                <w:sz w:val="18"/>
                <w:szCs w:val="18"/>
              </w:rPr>
              <w:t>.</w:t>
            </w:r>
            <w:r>
              <w:rPr>
                <w:bCs/>
                <w:sz w:val="18"/>
                <w:szCs w:val="18"/>
              </w:rPr>
              <w:t>51</w:t>
            </w:r>
            <w:r>
              <w:rPr>
                <w:rFonts w:hint="eastAsia"/>
                <w:bCs/>
                <w:sz w:val="18"/>
                <w:szCs w:val="18"/>
              </w:rPr>
              <w:t>%</w:t>
            </w:r>
          </w:p>
        </w:tc>
        <w:tc>
          <w:tcPr>
            <w:tcW w:w="2162" w:type="dxa"/>
            <w:tcBorders>
              <w:top w:val="nil"/>
              <w:left w:val="nil"/>
              <w:bottom w:val="nil"/>
              <w:right w:val="nil"/>
            </w:tcBorders>
            <w:vAlign w:val="center"/>
          </w:tcPr>
          <w:p w:rsidR="00A93C80" w:rsidRDefault="000E0894">
            <w:pPr>
              <w:jc w:val="center"/>
              <w:rPr>
                <w:bCs/>
                <w:sz w:val="18"/>
                <w:szCs w:val="18"/>
              </w:rPr>
            </w:pPr>
            <w:r>
              <w:rPr>
                <w:bCs/>
                <w:sz w:val="18"/>
                <w:szCs w:val="18"/>
              </w:rPr>
              <w:t>506.49</w:t>
            </w:r>
          </w:p>
        </w:tc>
      </w:tr>
      <w:tr w:rsidR="00A93C80" w:rsidTr="00966940">
        <w:trPr>
          <w:jc w:val="center"/>
        </w:trPr>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60°</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98</w:t>
            </w:r>
            <w:r>
              <w:rPr>
                <w:rFonts w:hint="eastAsia"/>
                <w:bCs/>
                <w:sz w:val="18"/>
                <w:szCs w:val="18"/>
              </w:rPr>
              <w:t>.</w:t>
            </w:r>
            <w:r>
              <w:rPr>
                <w:bCs/>
                <w:sz w:val="18"/>
                <w:szCs w:val="18"/>
              </w:rPr>
              <w:t>55</w:t>
            </w:r>
            <w:r>
              <w:rPr>
                <w:rFonts w:hint="eastAsia"/>
                <w:bCs/>
                <w:sz w:val="18"/>
                <w:szCs w:val="18"/>
              </w:rPr>
              <w:t>%</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53</w:t>
            </w:r>
            <w:r>
              <w:rPr>
                <w:rFonts w:hint="eastAsia"/>
                <w:bCs/>
                <w:sz w:val="18"/>
                <w:szCs w:val="18"/>
              </w:rPr>
              <w:t>.</w:t>
            </w:r>
            <w:r>
              <w:rPr>
                <w:bCs/>
                <w:sz w:val="18"/>
                <w:szCs w:val="18"/>
              </w:rPr>
              <w:t>75</w:t>
            </w:r>
            <w:r>
              <w:rPr>
                <w:rFonts w:hint="eastAsia"/>
                <w:bCs/>
                <w:sz w:val="18"/>
                <w:szCs w:val="18"/>
              </w:rPr>
              <w:t>%</w:t>
            </w:r>
          </w:p>
        </w:tc>
        <w:tc>
          <w:tcPr>
            <w:tcW w:w="0" w:type="auto"/>
            <w:tcBorders>
              <w:top w:val="nil"/>
              <w:left w:val="nil"/>
              <w:bottom w:val="nil"/>
              <w:right w:val="nil"/>
            </w:tcBorders>
            <w:vAlign w:val="center"/>
          </w:tcPr>
          <w:p w:rsidR="00A93C80" w:rsidRDefault="000E0894">
            <w:pPr>
              <w:jc w:val="center"/>
              <w:rPr>
                <w:bCs/>
                <w:sz w:val="18"/>
                <w:szCs w:val="18"/>
              </w:rPr>
            </w:pPr>
            <w:r>
              <w:rPr>
                <w:bCs/>
                <w:sz w:val="18"/>
                <w:szCs w:val="18"/>
              </w:rPr>
              <w:t>53</w:t>
            </w:r>
            <w:r>
              <w:rPr>
                <w:rFonts w:hint="eastAsia"/>
                <w:bCs/>
                <w:sz w:val="18"/>
                <w:szCs w:val="18"/>
              </w:rPr>
              <w:t>.</w:t>
            </w:r>
            <w:r>
              <w:rPr>
                <w:bCs/>
                <w:sz w:val="18"/>
                <w:szCs w:val="18"/>
              </w:rPr>
              <w:t>84</w:t>
            </w:r>
            <w:r>
              <w:rPr>
                <w:rFonts w:hint="eastAsia"/>
                <w:bCs/>
                <w:sz w:val="18"/>
                <w:szCs w:val="18"/>
              </w:rPr>
              <w:t>%</w:t>
            </w:r>
          </w:p>
        </w:tc>
        <w:tc>
          <w:tcPr>
            <w:tcW w:w="2162" w:type="dxa"/>
            <w:tcBorders>
              <w:top w:val="nil"/>
              <w:left w:val="nil"/>
              <w:bottom w:val="nil"/>
              <w:right w:val="nil"/>
            </w:tcBorders>
            <w:vAlign w:val="center"/>
          </w:tcPr>
          <w:p w:rsidR="00A93C80" w:rsidRDefault="000E0894">
            <w:pPr>
              <w:jc w:val="center"/>
              <w:rPr>
                <w:bCs/>
                <w:sz w:val="18"/>
                <w:szCs w:val="18"/>
              </w:rPr>
            </w:pPr>
            <w:r>
              <w:rPr>
                <w:bCs/>
                <w:sz w:val="18"/>
                <w:szCs w:val="18"/>
              </w:rPr>
              <w:t>519.00</w:t>
            </w:r>
          </w:p>
        </w:tc>
      </w:tr>
      <w:tr w:rsidR="00A93C80" w:rsidTr="00966940">
        <w:trPr>
          <w:jc w:val="center"/>
        </w:trPr>
        <w:tc>
          <w:tcPr>
            <w:tcW w:w="0" w:type="auto"/>
            <w:tcBorders>
              <w:top w:val="nil"/>
              <w:left w:val="nil"/>
              <w:bottom w:val="single" w:sz="4" w:space="0" w:color="auto"/>
              <w:right w:val="nil"/>
            </w:tcBorders>
            <w:vAlign w:val="center"/>
          </w:tcPr>
          <w:p w:rsidR="00A93C80" w:rsidRDefault="000E0894">
            <w:pPr>
              <w:jc w:val="center"/>
              <w:rPr>
                <w:bCs/>
                <w:sz w:val="18"/>
                <w:szCs w:val="18"/>
              </w:rPr>
            </w:pPr>
            <w:r>
              <w:rPr>
                <w:bCs/>
                <w:sz w:val="18"/>
                <w:szCs w:val="18"/>
              </w:rPr>
              <w:t>75°</w:t>
            </w:r>
          </w:p>
        </w:tc>
        <w:tc>
          <w:tcPr>
            <w:tcW w:w="0" w:type="auto"/>
            <w:tcBorders>
              <w:top w:val="nil"/>
              <w:left w:val="nil"/>
              <w:bottom w:val="single" w:sz="4" w:space="0" w:color="auto"/>
              <w:right w:val="nil"/>
            </w:tcBorders>
            <w:vAlign w:val="center"/>
          </w:tcPr>
          <w:p w:rsidR="00A93C80" w:rsidRDefault="000E0894">
            <w:pPr>
              <w:jc w:val="center"/>
              <w:rPr>
                <w:bCs/>
                <w:sz w:val="18"/>
                <w:szCs w:val="18"/>
              </w:rPr>
            </w:pPr>
            <w:r>
              <w:rPr>
                <w:bCs/>
                <w:sz w:val="18"/>
                <w:szCs w:val="18"/>
              </w:rPr>
              <w:t>97</w:t>
            </w:r>
            <w:r>
              <w:rPr>
                <w:rFonts w:hint="eastAsia"/>
                <w:bCs/>
                <w:sz w:val="18"/>
                <w:szCs w:val="18"/>
              </w:rPr>
              <w:t>.</w:t>
            </w:r>
            <w:r>
              <w:rPr>
                <w:bCs/>
                <w:sz w:val="18"/>
                <w:szCs w:val="18"/>
              </w:rPr>
              <w:t>54</w:t>
            </w:r>
            <w:r>
              <w:rPr>
                <w:rFonts w:hint="eastAsia"/>
                <w:bCs/>
                <w:sz w:val="18"/>
                <w:szCs w:val="18"/>
              </w:rPr>
              <w:t>%</w:t>
            </w:r>
          </w:p>
        </w:tc>
        <w:tc>
          <w:tcPr>
            <w:tcW w:w="0" w:type="auto"/>
            <w:tcBorders>
              <w:top w:val="nil"/>
              <w:left w:val="nil"/>
              <w:bottom w:val="single" w:sz="4" w:space="0" w:color="auto"/>
              <w:right w:val="nil"/>
            </w:tcBorders>
            <w:vAlign w:val="center"/>
          </w:tcPr>
          <w:p w:rsidR="00A93C80" w:rsidRDefault="000E0894">
            <w:pPr>
              <w:jc w:val="center"/>
              <w:rPr>
                <w:bCs/>
                <w:sz w:val="18"/>
                <w:szCs w:val="18"/>
              </w:rPr>
            </w:pPr>
            <w:r>
              <w:rPr>
                <w:bCs/>
                <w:sz w:val="18"/>
                <w:szCs w:val="18"/>
              </w:rPr>
              <w:t>52</w:t>
            </w:r>
            <w:r>
              <w:rPr>
                <w:rFonts w:hint="eastAsia"/>
                <w:bCs/>
                <w:sz w:val="18"/>
                <w:szCs w:val="18"/>
              </w:rPr>
              <w:t>.</w:t>
            </w:r>
            <w:r>
              <w:rPr>
                <w:bCs/>
                <w:sz w:val="18"/>
                <w:szCs w:val="18"/>
              </w:rPr>
              <w:t>56</w:t>
            </w:r>
            <w:r>
              <w:rPr>
                <w:rFonts w:hint="eastAsia"/>
                <w:bCs/>
                <w:sz w:val="18"/>
                <w:szCs w:val="18"/>
              </w:rPr>
              <w:t>%</w:t>
            </w:r>
          </w:p>
        </w:tc>
        <w:tc>
          <w:tcPr>
            <w:tcW w:w="0" w:type="auto"/>
            <w:tcBorders>
              <w:top w:val="nil"/>
              <w:left w:val="nil"/>
              <w:bottom w:val="single" w:sz="4" w:space="0" w:color="auto"/>
              <w:right w:val="nil"/>
            </w:tcBorders>
            <w:vAlign w:val="center"/>
          </w:tcPr>
          <w:p w:rsidR="00A93C80" w:rsidRDefault="000E0894">
            <w:pPr>
              <w:jc w:val="center"/>
              <w:rPr>
                <w:bCs/>
                <w:sz w:val="18"/>
                <w:szCs w:val="18"/>
              </w:rPr>
            </w:pPr>
            <w:r>
              <w:rPr>
                <w:bCs/>
                <w:sz w:val="18"/>
                <w:szCs w:val="18"/>
              </w:rPr>
              <w:t>52</w:t>
            </w:r>
            <w:r>
              <w:rPr>
                <w:rFonts w:hint="eastAsia"/>
                <w:bCs/>
                <w:sz w:val="18"/>
                <w:szCs w:val="18"/>
              </w:rPr>
              <w:t>.</w:t>
            </w:r>
            <w:r>
              <w:rPr>
                <w:bCs/>
                <w:sz w:val="18"/>
                <w:szCs w:val="18"/>
              </w:rPr>
              <w:t>2</w:t>
            </w:r>
            <w:r>
              <w:rPr>
                <w:rFonts w:hint="eastAsia"/>
                <w:bCs/>
                <w:sz w:val="18"/>
                <w:szCs w:val="18"/>
              </w:rPr>
              <w:t>0%</w:t>
            </w:r>
          </w:p>
        </w:tc>
        <w:tc>
          <w:tcPr>
            <w:tcW w:w="2162" w:type="dxa"/>
            <w:tcBorders>
              <w:top w:val="nil"/>
              <w:left w:val="nil"/>
              <w:bottom w:val="single" w:sz="4" w:space="0" w:color="auto"/>
              <w:right w:val="nil"/>
            </w:tcBorders>
            <w:vAlign w:val="center"/>
          </w:tcPr>
          <w:p w:rsidR="00A93C80" w:rsidRDefault="000E0894">
            <w:pPr>
              <w:jc w:val="center"/>
              <w:rPr>
                <w:bCs/>
                <w:sz w:val="18"/>
                <w:szCs w:val="18"/>
              </w:rPr>
            </w:pPr>
            <w:r>
              <w:rPr>
                <w:bCs/>
                <w:sz w:val="18"/>
                <w:szCs w:val="18"/>
              </w:rPr>
              <w:t>508.25</w:t>
            </w:r>
          </w:p>
        </w:tc>
      </w:tr>
    </w:tbl>
    <w:p w:rsidR="00A93C80" w:rsidRDefault="00A93C80">
      <w:pPr>
        <w:pStyle w:val="Paragraph"/>
        <w:rPr>
          <w:lang w:eastAsia="zh-CN"/>
        </w:rPr>
      </w:pPr>
    </w:p>
    <w:p w:rsidR="00A93C80" w:rsidRDefault="000E0894">
      <w:pPr>
        <w:pStyle w:val="Paragraph"/>
        <w:rPr>
          <w:lang w:eastAsia="zh-CN"/>
        </w:rPr>
      </w:pPr>
      <w:r>
        <w:rPr>
          <w:lang w:eastAsia="zh-CN"/>
        </w:rPr>
        <w:t xml:space="preserve">Combining Figure </w:t>
      </w:r>
      <w:r>
        <w:rPr>
          <w:lang w:eastAsia="zh-CN"/>
        </w:rPr>
        <w:t>1 with Table 1, it can be seen that under vertical incidence (0°), the transmittance is maintained at a medium-high level in the entire band, with the highest transmittance reaching 99.83% at 483nm, close to the theoretical limit. As the angle increases, t</w:t>
      </w:r>
      <w:r>
        <w:rPr>
          <w:lang w:eastAsia="zh-CN"/>
        </w:rPr>
        <w:t>he overall level of transmittance decreases slightly, and the fluctuation increases, especially in the short-wave band (300-800 nm), indicating that the system's transmission efficiency for oblique incident light is weakened. Although the transmittance cur</w:t>
      </w:r>
      <w:r>
        <w:rPr>
          <w:lang w:eastAsia="zh-CN"/>
        </w:rPr>
        <w:t>ves at different angles fluctuate in detail, the overall trend is consistent, and the maximum transmittance is always maintained above 97.00%. The weighted average transmittance and the transmittance in the visible light band change little, and have good s</w:t>
      </w:r>
      <w:r>
        <w:rPr>
          <w:lang w:eastAsia="zh-CN"/>
        </w:rPr>
        <w:t>tability to changes in the incident angle.</w:t>
      </w:r>
    </w:p>
    <w:p w:rsidR="00A93C80" w:rsidRDefault="000E0894">
      <w:pPr>
        <w:pStyle w:val="Paragraph"/>
        <w:ind w:firstLineChars="200" w:firstLine="400"/>
        <w:rPr>
          <w:lang w:eastAsia="zh-CN"/>
        </w:rPr>
      </w:pPr>
      <w:r>
        <w:rPr>
          <w:lang w:eastAsia="zh-CN"/>
        </w:rPr>
        <w:t>Figure 2 below shows the transmitted light intensity curves at different incident angles under the optimal thickness combination:</w:t>
      </w:r>
    </w:p>
    <w:p w:rsidR="00A93C80" w:rsidRDefault="000E0894">
      <w:pPr>
        <w:pStyle w:val="Figure"/>
        <w:rPr>
          <w:lang w:eastAsia="zh-CN"/>
        </w:rPr>
      </w:pPr>
      <w:r>
        <w:rPr>
          <w:rFonts w:hint="eastAsia"/>
          <w:noProof/>
          <w:lang w:eastAsia="zh-CN"/>
        </w:rPr>
        <w:lastRenderedPageBreak/>
        <w:drawing>
          <wp:inline distT="0" distB="0" distL="0" distR="0">
            <wp:extent cx="4399280" cy="3116580"/>
            <wp:effectExtent l="0" t="0" r="1270" b="7620"/>
            <wp:docPr id="14970379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37931" name="图片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09618" cy="3124422"/>
                    </a:xfrm>
                    <a:prstGeom prst="rect">
                      <a:avLst/>
                    </a:prstGeom>
                  </pic:spPr>
                </pic:pic>
              </a:graphicData>
            </a:graphic>
          </wp:inline>
        </w:drawing>
      </w:r>
    </w:p>
    <w:p w:rsidR="00A93C80" w:rsidRDefault="000E0894">
      <w:pPr>
        <w:pStyle w:val="FigureCaption"/>
        <w:rPr>
          <w:lang w:eastAsia="zh-CN"/>
        </w:rPr>
      </w:pPr>
      <w:r>
        <w:rPr>
          <w:b/>
          <w:caps/>
        </w:rPr>
        <w:t xml:space="preserve">Figure </w:t>
      </w:r>
      <w:r>
        <w:rPr>
          <w:rFonts w:hint="eastAsia"/>
          <w:b/>
          <w:caps/>
          <w:lang w:eastAsia="zh-CN"/>
        </w:rPr>
        <w:t>2</w:t>
      </w:r>
      <w:r>
        <w:rPr>
          <w:b/>
          <w:caps/>
        </w:rPr>
        <w:t>.</w:t>
      </w:r>
      <w:r>
        <w:rPr>
          <w:rFonts w:hint="eastAsia"/>
          <w:b/>
          <w:caps/>
          <w:lang w:eastAsia="zh-CN"/>
        </w:rPr>
        <w:t xml:space="preserve"> </w:t>
      </w:r>
      <w:r>
        <w:rPr>
          <w:lang w:eastAsia="zh-CN"/>
        </w:rPr>
        <w:t xml:space="preserve">Transmitted light intensity curves under varying incident angles </w:t>
      </w:r>
      <w:r>
        <w:rPr>
          <w:lang w:eastAsia="zh-CN"/>
        </w:rPr>
        <w:t>(Original)</w:t>
      </w:r>
    </w:p>
    <w:p w:rsidR="00A93C80" w:rsidRDefault="00A93C80">
      <w:pPr>
        <w:pStyle w:val="Paragraph"/>
        <w:rPr>
          <w:lang w:eastAsia="zh-CN"/>
        </w:rPr>
      </w:pPr>
    </w:p>
    <w:p w:rsidR="00A93C80" w:rsidRDefault="000E0894">
      <w:pPr>
        <w:pStyle w:val="Paragraph"/>
        <w:rPr>
          <w:lang w:eastAsia="zh-CN"/>
        </w:rPr>
      </w:pPr>
      <w:r>
        <w:rPr>
          <w:lang w:eastAsia="zh-CN"/>
        </w:rPr>
        <w:t xml:space="preserve">As can be seen from Figure 2, the transmittance is optimal at vertical incidence. With the gradual increase in the incident angle, the overall transmitted light intensity shows a downward trend, but the spectral distribution shape of the curve </w:t>
      </w:r>
      <w:r>
        <w:rPr>
          <w:lang w:eastAsia="zh-CN"/>
        </w:rPr>
        <w:t>is roughly the same at different angles, and the main peak is still concentrated in the visible light band, indicating that the optimized three-layer structure has stable spectral selectivity and can consistently filter out solar energy in a specific wavel</w:t>
      </w:r>
      <w:r>
        <w:rPr>
          <w:lang w:eastAsia="zh-CN"/>
        </w:rPr>
        <w:t>ength band. As the incident angle increases, the total integral of the transmitted light intensity decreases from 524.19 W/m² to 508.25 W/m², showing a trend of first decreasing and then slowing down, and an overall downward trend. The integral values at a</w:t>
      </w:r>
      <w:r>
        <w:rPr>
          <w:lang w:eastAsia="zh-CN"/>
        </w:rPr>
        <w:t>ll angles are all above 500.00 W/m², accounting for more than half of the total incident light intensity of the full band of ASTM G173, and a high energy transmission efficiency has been achieved.</w:t>
      </w:r>
    </w:p>
    <w:p w:rsidR="00A93C80" w:rsidRDefault="000E0894">
      <w:pPr>
        <w:pStyle w:val="Paragraph"/>
        <w:rPr>
          <w:lang w:eastAsia="zh-CN"/>
        </w:rPr>
      </w:pPr>
      <w:bookmarkStart w:id="6" w:name="OLE_LINK6"/>
      <w:r>
        <w:rPr>
          <w:lang w:eastAsia="zh-CN"/>
        </w:rPr>
        <w:t xml:space="preserve">Figure 3 shows the performance comparison before and after </w:t>
      </w:r>
      <w:r>
        <w:rPr>
          <w:lang w:eastAsia="zh-CN"/>
        </w:rPr>
        <w:t>optimization in terms of maximum transmittance, average transmittance, and visible light transmittance. Each group of bar charts in the figure contains two types of data, representing the initial and optimized light transmittance performance, respectively.</w:t>
      </w:r>
      <w:r>
        <w:rPr>
          <w:lang w:eastAsia="zh-CN"/>
        </w:rPr>
        <w:t xml:space="preserve"> The x-axis represents the performance metric type, while the y-axis shows the corresponding transmittance percentage.</w:t>
      </w:r>
    </w:p>
    <w:p w:rsidR="00A93C80" w:rsidRDefault="00A93C80">
      <w:pPr>
        <w:pStyle w:val="Paragraph"/>
        <w:rPr>
          <w:lang w:eastAsia="zh-CN"/>
        </w:rPr>
      </w:pPr>
    </w:p>
    <w:bookmarkEnd w:id="6"/>
    <w:p w:rsidR="00A93C80" w:rsidRDefault="000E0894">
      <w:pPr>
        <w:pStyle w:val="Figure"/>
        <w:rPr>
          <w:lang w:eastAsia="zh-CN"/>
        </w:rPr>
      </w:pPr>
      <w:r>
        <w:rPr>
          <w:rFonts w:hint="eastAsia"/>
          <w:noProof/>
          <w:lang w:eastAsia="zh-CN"/>
        </w:rPr>
        <w:drawing>
          <wp:inline distT="0" distB="0" distL="0" distR="0">
            <wp:extent cx="3479800" cy="1852930"/>
            <wp:effectExtent l="0" t="0" r="6350" b="0"/>
            <wp:docPr id="12907666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66616" name="图片 6"/>
                    <pic:cNvPicPr>
                      <a:picLocks noChangeAspect="1"/>
                    </pic:cNvPicPr>
                  </pic:nvPicPr>
                  <pic:blipFill>
                    <a:blip r:embed="rId11" cstate="print">
                      <a:extLst>
                        <a:ext uri="{28A0092B-C50C-407E-A947-70E740481C1C}">
                          <a14:useLocalDpi xmlns:a14="http://schemas.microsoft.com/office/drawing/2010/main" val="0"/>
                        </a:ext>
                      </a:extLst>
                    </a:blip>
                    <a:srcRect l="980" t="959" r="687" b="11148"/>
                    <a:stretch>
                      <a:fillRect/>
                    </a:stretch>
                  </pic:blipFill>
                  <pic:spPr>
                    <a:xfrm>
                      <a:off x="0" y="0"/>
                      <a:ext cx="3490195" cy="1858543"/>
                    </a:xfrm>
                    <a:prstGeom prst="rect">
                      <a:avLst/>
                    </a:prstGeom>
                    <a:ln>
                      <a:noFill/>
                    </a:ln>
                  </pic:spPr>
                </pic:pic>
              </a:graphicData>
            </a:graphic>
          </wp:inline>
        </w:drawing>
      </w:r>
    </w:p>
    <w:p w:rsidR="00A93C80" w:rsidRDefault="000E0894">
      <w:pPr>
        <w:pStyle w:val="FigureCaption"/>
        <w:rPr>
          <w:lang w:eastAsia="zh-CN"/>
        </w:rPr>
      </w:pPr>
      <w:r>
        <w:rPr>
          <w:b/>
          <w:caps/>
        </w:rPr>
        <w:t xml:space="preserve">Figure </w:t>
      </w:r>
      <w:r>
        <w:rPr>
          <w:rFonts w:hint="eastAsia"/>
          <w:b/>
          <w:caps/>
          <w:lang w:eastAsia="zh-CN"/>
        </w:rPr>
        <w:t>3</w:t>
      </w:r>
      <w:r>
        <w:rPr>
          <w:b/>
          <w:caps/>
        </w:rPr>
        <w:t>.</w:t>
      </w:r>
      <w:r>
        <w:rPr>
          <w:rFonts w:hint="eastAsia"/>
          <w:b/>
          <w:caps/>
          <w:lang w:eastAsia="zh-CN"/>
        </w:rPr>
        <w:t xml:space="preserve"> </w:t>
      </w:r>
      <w:r>
        <w:rPr>
          <w:lang w:eastAsia="zh-CN"/>
        </w:rPr>
        <w:t>Comparison of transmittance before and after optimization under normal incidence</w:t>
      </w:r>
      <w:r>
        <w:rPr>
          <w:rFonts w:hint="eastAsia"/>
          <w:lang w:eastAsia="zh-CN"/>
        </w:rPr>
        <w:t xml:space="preserve"> (Original)</w:t>
      </w:r>
    </w:p>
    <w:p w:rsidR="00A93C80" w:rsidRDefault="00A93C80">
      <w:pPr>
        <w:pStyle w:val="Paragraph"/>
        <w:rPr>
          <w:lang w:eastAsia="zh-CN"/>
        </w:rPr>
      </w:pPr>
    </w:p>
    <w:p w:rsidR="00A93C80" w:rsidRDefault="000E0894">
      <w:pPr>
        <w:pStyle w:val="Paragraph"/>
        <w:rPr>
          <w:lang w:eastAsia="zh-CN"/>
        </w:rPr>
      </w:pPr>
      <w:r>
        <w:rPr>
          <w:lang w:eastAsia="zh-CN"/>
        </w:rPr>
        <w:t>As illustrated in Figure 3, the</w:t>
      </w:r>
      <w:r>
        <w:rPr>
          <w:lang w:eastAsia="zh-CN"/>
        </w:rPr>
        <w:t xml:space="preserve"> average transmittance increased from 34.95% to 54.08%, representing a 54.74% improvement; the visible light transmittance increased from 40.73% to 53.77%, an increase of 32.02%. Although the </w:t>
      </w:r>
      <w:r>
        <w:rPr>
          <w:lang w:eastAsia="zh-CN"/>
        </w:rPr>
        <w:lastRenderedPageBreak/>
        <w:t xml:space="preserve">increase in the maximum transmittance is relatively small, from </w:t>
      </w:r>
      <w:r>
        <w:rPr>
          <w:lang w:eastAsia="zh-CN"/>
        </w:rPr>
        <w:t xml:space="preserve">98.44% to 99.83% (an increase of 1.41%), its value itself is close to the theoretical upper limit. The above results fully demonstrate that the optimized light transmittance performance is significantly improved, verifying that the method proposed in this </w:t>
      </w:r>
      <w:r>
        <w:rPr>
          <w:lang w:eastAsia="zh-CN"/>
        </w:rPr>
        <w:t>study is effective in improving the efficiency of light energy utilization.</w:t>
      </w:r>
    </w:p>
    <w:p w:rsidR="00A93C80" w:rsidRDefault="000E0894">
      <w:pPr>
        <w:pStyle w:val="2"/>
      </w:pPr>
      <w:r>
        <w:t>Discussion</w:t>
      </w:r>
    </w:p>
    <w:p w:rsidR="00A93C80" w:rsidRDefault="000E0894">
      <w:pPr>
        <w:pStyle w:val="Paragraph"/>
      </w:pPr>
      <w:r>
        <w:t>To maximize solar transmittance, the thicknesses of the three-layer glass were optimized with the PSO algorithm in this study. From the final thickness combination (L₁ =</w:t>
      </w:r>
      <w:r>
        <w:t xml:space="preserve"> 5.09 mm, L₂ = 4.31 mm, L₃ = 4.97 mm), the three-layer thicknesses showed a certain degree of symmetry and similarity, which may help to form a multiple interference enhancement effect within a certain band range, thereby improving the overall transmittanc</w:t>
      </w:r>
      <w:r>
        <w:t>e performance. However, despite the very high peak transmittance, the overall weighted average transmittance did not exceed 60%. Compared with existing studies, this phenomenon may be because there are still a lot of dramatic fluctuations in the transmitta</w:t>
      </w:r>
      <w:r>
        <w:t>nce curve. These fluctuations result from the interference enhancement and weakening of different wavelengths between multi-layer films, which leads to a significant decrease in the transmittance of certain bands and the formation of strong interference fr</w:t>
      </w:r>
      <w:r>
        <w:t>inges [20]. It may also be that the current algorithm is more inclined to enhance the transmission peak in a few bands to obtain the optimal solution in the integral sense, without suppressing the fluctuations caused by interference.</w:t>
      </w:r>
    </w:p>
    <w:p w:rsidR="00A93C80" w:rsidRDefault="000E0894">
      <w:pPr>
        <w:pStyle w:val="Paragraph"/>
      </w:pPr>
      <w:r>
        <w:t>The limitation of this</w:t>
      </w:r>
      <w:r>
        <w:t xml:space="preserve"> study is that it assumes that the refractive index of the material is constant and does not consider complex optical effects such as the dispersion effect and factors such as scattering and surface roughness of actual glass, which may deviate from the rea</w:t>
      </w:r>
      <w:r>
        <w:t>l environment [21]. Secondly, the current goal is to maximize the intensity of transmitted light in the entire band, without comprehensively considering that poor glass insulation performance may lead to indoor heating loss in winter, and excessive ultravi</w:t>
      </w:r>
      <w:r>
        <w:t>olet radiation may harm human health. Although this study traverses multiple incident angles, it is not calculated based on the real environment, and the actual lighting environment is more complex.</w:t>
      </w:r>
    </w:p>
    <w:p w:rsidR="00A93C80" w:rsidRDefault="000E0894">
      <w:pPr>
        <w:pStyle w:val="Paragraph"/>
      </w:pPr>
      <w:r>
        <w:t>Given the above limitations, future research can be expan</w:t>
      </w:r>
      <w:r>
        <w:t>ded and improved in the following directions: first, the dispersion model and interface scattering effect can be introduced; second, the transmittance and thermal insulation can be comprehensively optimized by combining multi-objective optimization algorit</w:t>
      </w:r>
      <w:r>
        <w:t>hms to achieve high visible light transmittance, infrared blocking, and ultraviolet suppression, to ensure comfort while saving energy [22]. It is also possible to consider using parallel computing or proxy models such as neural networks to improve operati</w:t>
      </w:r>
      <w:r>
        <w:t>ng efficiency [23]. In the future, the changes in solar altitude angle throughout the day/year can be simulated, and combined with building environment simulation software, the actual energy-saving benefits of the optimized structure in different geographi</w:t>
      </w:r>
      <w:r>
        <w:t>cal locations and seasons can be evaluated.</w:t>
      </w:r>
    </w:p>
    <w:p w:rsidR="00A93C80" w:rsidRDefault="000E0894">
      <w:pPr>
        <w:pStyle w:val="1"/>
        <w:rPr>
          <w:b w:val="0"/>
          <w:caps w:val="0"/>
          <w:sz w:val="20"/>
        </w:rPr>
      </w:pPr>
      <w:r>
        <w:rPr>
          <w:rFonts w:asciiTheme="majorBidi" w:hAnsiTheme="majorBidi" w:cstheme="majorBidi"/>
        </w:rPr>
        <w:t>CONCLUSION</w:t>
      </w:r>
    </w:p>
    <w:p w:rsidR="00A93C80" w:rsidRDefault="000E0894">
      <w:pPr>
        <w:pStyle w:val="Paragraph"/>
        <w:rPr>
          <w:lang w:val="en-GB" w:eastAsia="zh-CN"/>
        </w:rPr>
      </w:pPr>
      <w:r>
        <w:t>This study successfully achieved the thickness optimization design of the three-layer glass structure through the particle swarm optimization algorithm. The optimized structure showed excellent optical</w:t>
      </w:r>
      <w:r>
        <w:t xml:space="preserve"> performance, with an average transmittance increase of up to 54.74%, and a significant increase of 32.02% in the visible light region. The evaluation indicators of multiple dimensions, such as maximum transmittance, average transmittance, visible light tr</w:t>
      </w:r>
      <w:r>
        <w:t>ansmittance, and total transmitted light intensity, were used to comprehensively analyze the performance, which effectively verified the effectiveness of the PSO algorithm in solving high-dimensional nonlinear optical optimization problems. In addition, th</w:t>
      </w:r>
      <w:r>
        <w:t>is study has good material versatility. The entire research framework does not rely on specific materials. The impact of different materials can be evaluated by modifying the corresponding parameters, providing a reliable theoretical reference for the inte</w:t>
      </w:r>
      <w:r>
        <w:t xml:space="preserve">lligent design of multi-layer optical structures. </w:t>
      </w:r>
      <w:bookmarkStart w:id="7" w:name="OLE_LINK7"/>
      <w:r>
        <w:rPr>
          <w:lang w:eastAsia="zh-CN"/>
        </w:rPr>
        <w:t>The research results have a wide range of application values in photovoltaic building integration, greenhouses, energy-saving curtain walls, and so on, and hold significant theoretical and practical value i</w:t>
      </w:r>
      <w:r>
        <w:rPr>
          <w:lang w:eastAsia="zh-CN"/>
        </w:rPr>
        <w:t>n improving the efficiency of sunlight utilization and advancing the development of green buildings.</w:t>
      </w:r>
    </w:p>
    <w:bookmarkEnd w:id="7"/>
    <w:p w:rsidR="00A93C80" w:rsidRDefault="000E0894">
      <w:pPr>
        <w:pStyle w:val="Paragraph"/>
      </w:pPr>
      <w:r>
        <w:t xml:space="preserve">Future research can seek a better balance between multiple indicators such as light transmittance, thermal insulation, and structural strength to meet the </w:t>
      </w:r>
      <w:r>
        <w:t>comprehensive needs of different scenarios. Meanwhile, advanced methods such as machine learning can be incorporated to enhance optimization efficiency and solution adaptability, enabling the intelligent design of more complex structures. Further studies s</w:t>
      </w:r>
      <w:r>
        <w:t xml:space="preserve">hould investigate the response characteristics of multi-layer optical glass structures under varying incident angles and environmental conditions. </w:t>
      </w:r>
      <w:r>
        <w:lastRenderedPageBreak/>
        <w:t>These efforts can promote their application in practical engineering, lay a solid foundation for the industri</w:t>
      </w:r>
      <w:r>
        <w:t>alization of green energy-saving materials, and contribute to achieving building energy efficiency and carbon neutrality goals.</w:t>
      </w:r>
    </w:p>
    <w:p w:rsidR="00A93C80" w:rsidRDefault="000E0894">
      <w:pPr>
        <w:pStyle w:val="1"/>
        <w:rPr>
          <w:b w:val="0"/>
          <w:caps w:val="0"/>
          <w:sz w:val="20"/>
        </w:rPr>
      </w:pPr>
      <w:r>
        <w:rPr>
          <w:rFonts w:asciiTheme="majorBidi" w:hAnsiTheme="majorBidi" w:cstheme="majorBidi"/>
        </w:rPr>
        <w:t>References</w:t>
      </w:r>
      <w:bookmarkStart w:id="8" w:name="OLE_LINK5"/>
    </w:p>
    <w:p w:rsidR="00A93C80" w:rsidRDefault="000E0894">
      <w:pPr>
        <w:pStyle w:val="Reference"/>
      </w:pPr>
      <w:bookmarkStart w:id="9" w:name="_Ref198836531"/>
      <w:r>
        <w:t>Y. Liu, W. Weng, C. Wang, L. Fu</w:t>
      </w:r>
      <w:r>
        <w:rPr>
          <w:rFonts w:hint="eastAsia"/>
        </w:rPr>
        <w:t xml:space="preserve"> </w:t>
      </w:r>
      <w:r>
        <w:rPr>
          <w:rFonts w:hint="eastAsia"/>
          <w:lang w:eastAsia="zh-CN"/>
        </w:rPr>
        <w:t>and</w:t>
      </w:r>
      <w:r>
        <w:t xml:space="preserve"> Y. Tang, China Water Transport (Second Half of the Month), </w:t>
      </w:r>
      <w:r>
        <w:rPr>
          <w:b/>
          <w:bCs/>
        </w:rPr>
        <w:t>3</w:t>
      </w:r>
      <w:r>
        <w:t>, 232–235 (2020).</w:t>
      </w:r>
    </w:p>
    <w:p w:rsidR="00A93C80" w:rsidRDefault="000E0894">
      <w:pPr>
        <w:pStyle w:val="Reference"/>
      </w:pPr>
      <w:bookmarkStart w:id="10" w:name="_Ref198836555"/>
      <w:bookmarkEnd w:id="9"/>
      <w:r>
        <w:t xml:space="preserve">L. </w:t>
      </w:r>
      <w:r>
        <w:t xml:space="preserve">Wang, Y. Yang, X. Tang, B. Li, Y. Hu, Y. Zhu, H. Yang, Optics Letters, </w:t>
      </w:r>
      <w:r>
        <w:rPr>
          <w:b/>
          <w:bCs/>
        </w:rPr>
        <w:t>46</w:t>
      </w:r>
      <w:r>
        <w:t>, 5224–5227 (2021).</w:t>
      </w:r>
    </w:p>
    <w:p w:rsidR="00A93C80" w:rsidRDefault="000E0894">
      <w:pPr>
        <w:pStyle w:val="Reference"/>
      </w:pPr>
      <w:bookmarkStart w:id="11" w:name="_Ref198836565"/>
      <w:bookmarkEnd w:id="10"/>
      <w:r>
        <w:t xml:space="preserve">A. Luce, A. Mahdavi, F. Marquardt, H. Wankerl, Journal of the Optical Society of America A, </w:t>
      </w:r>
      <w:r>
        <w:rPr>
          <w:b/>
          <w:bCs/>
        </w:rPr>
        <w:t>39</w:t>
      </w:r>
      <w:r>
        <w:t>, (2022).</w:t>
      </w:r>
    </w:p>
    <w:bookmarkEnd w:id="11"/>
    <w:p w:rsidR="00A93C80" w:rsidRDefault="000E0894">
      <w:pPr>
        <w:pStyle w:val="Reference"/>
      </w:pPr>
      <w:r>
        <w:t>A. Jiang, L. Chen, O. Yoshie, "OTF Gym: A Set of Reinforcem</w:t>
      </w:r>
      <w:r>
        <w:t xml:space="preserve">ent Learning Environment of Layered Optical Thin Film Inverse Design," in </w:t>
      </w:r>
      <w:r>
        <w:rPr>
          <w:i/>
          <w:iCs/>
        </w:rPr>
        <w:t>2021 Conference on Lasers and Electro-Optics</w:t>
      </w:r>
      <w:r>
        <w:t>, pp. 1–2.</w:t>
      </w:r>
    </w:p>
    <w:p w:rsidR="00A93C80" w:rsidRDefault="000E0894">
      <w:pPr>
        <w:pStyle w:val="Reference"/>
      </w:pPr>
      <w:r>
        <w:t xml:space="preserve">X. Li, L. Shen, J. Song, J. Chen, "Preparation of MgF₂, SiO₂ and TiO₂ optical films," in </w:t>
      </w:r>
      <w:r>
        <w:rPr>
          <w:i/>
          <w:iCs/>
        </w:rPr>
        <w:t>2022 2nd International Conference on C</w:t>
      </w:r>
      <w:r>
        <w:rPr>
          <w:i/>
          <w:iCs/>
        </w:rPr>
        <w:t>onsumer Electronics and Computer Engineering</w:t>
      </w:r>
      <w:r>
        <w:rPr>
          <w:rFonts w:hint="eastAsia"/>
        </w:rPr>
        <w:t>,</w:t>
      </w:r>
      <w:r>
        <w:t xml:space="preserve"> pp. 690–693</w:t>
      </w:r>
      <w:r>
        <w:rPr>
          <w:rFonts w:hint="eastAsia"/>
        </w:rPr>
        <w:t>.</w:t>
      </w:r>
    </w:p>
    <w:p w:rsidR="00A93C80" w:rsidRDefault="000E0894">
      <w:pPr>
        <w:pStyle w:val="Reference"/>
      </w:pPr>
      <w:r>
        <w:t xml:space="preserve">Y. Yiunis, M. Yaseen, K. Mohamed, "Design of near infrared band pass multilayer thin film filter," in </w:t>
      </w:r>
      <w:r>
        <w:rPr>
          <w:i/>
          <w:iCs/>
        </w:rPr>
        <w:t xml:space="preserve">2022 International Congress on Human-Computer Interaction, Optimization and Robotic </w:t>
      </w:r>
      <w:r>
        <w:rPr>
          <w:i/>
          <w:iCs/>
        </w:rPr>
        <w:t>Applications</w:t>
      </w:r>
      <w:r>
        <w:t>, pp. 1–8</w:t>
      </w:r>
      <w:r>
        <w:rPr>
          <w:rFonts w:hint="eastAsia"/>
        </w:rPr>
        <w:t>.</w:t>
      </w:r>
    </w:p>
    <w:bookmarkEnd w:id="8"/>
    <w:p w:rsidR="00A93C80" w:rsidRDefault="000E0894">
      <w:pPr>
        <w:pStyle w:val="Reference"/>
      </w:pPr>
      <w:r>
        <w:t>H. Wang, Z. Zheng, C. Ji</w:t>
      </w:r>
      <w:r>
        <w:rPr>
          <w:rFonts w:hint="eastAsia"/>
        </w:rPr>
        <w:t xml:space="preserve"> and</w:t>
      </w:r>
      <w:r>
        <w:t xml:space="preserve"> L. Guo, Machine Learning: Science and Technology, </w:t>
      </w:r>
      <w:r>
        <w:rPr>
          <w:b/>
          <w:bCs/>
        </w:rPr>
        <w:t>2</w:t>
      </w:r>
      <w:r>
        <w:t>, 025013 (2021).</w:t>
      </w:r>
    </w:p>
    <w:p w:rsidR="00A93C80" w:rsidRDefault="000E0894">
      <w:pPr>
        <w:pStyle w:val="Reference"/>
      </w:pPr>
      <w:bookmarkStart w:id="12" w:name="_Ref198836646"/>
      <w:r>
        <w:t xml:space="preserve">P. Kumar, F. Mihret, A. Mishra, E. Shivaleela, T. Srinivas, "Inverse design of multilayer thin film by deep neural network," in </w:t>
      </w:r>
      <w:r>
        <w:rPr>
          <w:i/>
          <w:iCs/>
        </w:rPr>
        <w:t>2022 Int</w:t>
      </w:r>
      <w:r>
        <w:rPr>
          <w:i/>
          <w:iCs/>
        </w:rPr>
        <w:t>ernational Conference on Numerical Simulation of Optoelectronic Devices</w:t>
      </w:r>
      <w:r>
        <w:t>, pp. 129–130</w:t>
      </w:r>
      <w:r>
        <w:rPr>
          <w:rFonts w:hint="eastAsia"/>
        </w:rPr>
        <w:t>.</w:t>
      </w:r>
    </w:p>
    <w:bookmarkEnd w:id="12"/>
    <w:p w:rsidR="00A93C80" w:rsidRDefault="000E0894">
      <w:pPr>
        <w:pStyle w:val="Reference"/>
      </w:pPr>
      <w:r>
        <w:rPr>
          <w:rFonts w:hint="eastAsia"/>
        </w:rPr>
        <w:t>Z. D. Saw, E. J. Q. Wang, Z. Yang, V. P. Bui, C. E. Png</w:t>
      </w:r>
      <w:r>
        <w:t xml:space="preserve">, "Knowledge-based extraction for inverse design of optical thin-films," in </w:t>
      </w:r>
      <w:r>
        <w:rPr>
          <w:i/>
          <w:iCs/>
        </w:rPr>
        <w:t>TENCON 2024</w:t>
      </w:r>
      <w:r>
        <w:rPr>
          <w:rFonts w:hint="eastAsia"/>
          <w:i/>
          <w:iCs/>
        </w:rPr>
        <w:t xml:space="preserve"> </w:t>
      </w:r>
      <w:r>
        <w:t>–</w:t>
      </w:r>
      <w:r>
        <w:rPr>
          <w:i/>
          <w:iCs/>
        </w:rPr>
        <w:t xml:space="preserve"> 2024 IEEE Region 10 Confe</w:t>
      </w:r>
      <w:r>
        <w:rPr>
          <w:i/>
          <w:iCs/>
        </w:rPr>
        <w:t>rence</w:t>
      </w:r>
      <w:r>
        <w:rPr>
          <w:rFonts w:hint="eastAsia"/>
        </w:rPr>
        <w:t xml:space="preserve">, </w:t>
      </w:r>
      <w:r>
        <w:t>pp. 285</w:t>
      </w:r>
      <w:bookmarkStart w:id="13" w:name="OLE_LINK8"/>
      <w:r>
        <w:t>–</w:t>
      </w:r>
      <w:bookmarkEnd w:id="13"/>
      <w:r>
        <w:t>288</w:t>
      </w:r>
      <w:r>
        <w:rPr>
          <w:rFonts w:hint="eastAsia"/>
        </w:rPr>
        <w:t>.</w:t>
      </w:r>
    </w:p>
    <w:p w:rsidR="00A93C80" w:rsidRDefault="000E0894">
      <w:pPr>
        <w:pStyle w:val="Reference"/>
        <w:rPr>
          <w:lang w:val="de-DE"/>
        </w:rPr>
      </w:pPr>
      <w:r>
        <w:rPr>
          <w:lang w:val="de-DE"/>
        </w:rPr>
        <w:t xml:space="preserve">T. Ma, M. Ma, L. Guo, iScience, </w:t>
      </w:r>
      <w:r>
        <w:rPr>
          <w:b/>
          <w:bCs/>
          <w:lang w:val="de-DE"/>
        </w:rPr>
        <w:t>28</w:t>
      </w:r>
      <w:r>
        <w:rPr>
          <w:lang w:val="de-DE"/>
        </w:rPr>
        <w:t>, 112222 (2025).</w:t>
      </w:r>
    </w:p>
    <w:p w:rsidR="00A93C80" w:rsidRDefault="000E0894">
      <w:pPr>
        <w:pStyle w:val="Reference"/>
      </w:pPr>
      <w:bookmarkStart w:id="14" w:name="_Ref198836705"/>
      <w:r>
        <w:t xml:space="preserve">W. Isoe, M. Mageto, C. Maghanga, M. Mwamburi, B. Odari, Scientific African, </w:t>
      </w:r>
      <w:r>
        <w:rPr>
          <w:b/>
          <w:bCs/>
        </w:rPr>
        <w:t>20</w:t>
      </w:r>
      <w:r>
        <w:t>, e01678 (2023).</w:t>
      </w:r>
    </w:p>
    <w:bookmarkEnd w:id="14"/>
    <w:p w:rsidR="00A93C80" w:rsidRDefault="000E0894">
      <w:pPr>
        <w:pStyle w:val="Reference"/>
        <w:rPr>
          <w:rFonts w:eastAsia="宋体"/>
          <w:szCs w:val="21"/>
        </w:rPr>
      </w:pPr>
      <w:r>
        <w:t xml:space="preserve">J. Kennedy, R. Eberhart, "Particle swarm optimization," in </w:t>
      </w:r>
      <w:r>
        <w:rPr>
          <w:i/>
          <w:iCs/>
        </w:rPr>
        <w:t>Proceedings of ICNN'95</w:t>
      </w:r>
      <w:r>
        <w:t>–</w:t>
      </w:r>
      <w:r>
        <w:rPr>
          <w:i/>
          <w:iCs/>
        </w:rPr>
        <w:t>Internat</w:t>
      </w:r>
      <w:r>
        <w:rPr>
          <w:i/>
          <w:iCs/>
        </w:rPr>
        <w:t>ional Conference on Neural Networks</w:t>
      </w:r>
      <w:r>
        <w:t>, pp. 1942</w:t>
      </w:r>
      <w:bookmarkStart w:id="15" w:name="OLE_LINK11"/>
      <w:r>
        <w:t>–</w:t>
      </w:r>
      <w:bookmarkEnd w:id="15"/>
      <w:r>
        <w:t>1948</w:t>
      </w:r>
      <w:r>
        <w:rPr>
          <w:rFonts w:hint="eastAsia"/>
        </w:rPr>
        <w:t>.</w:t>
      </w:r>
    </w:p>
    <w:p w:rsidR="00A93C80" w:rsidRDefault="000E0894">
      <w:pPr>
        <w:pStyle w:val="Reference"/>
        <w:rPr>
          <w:rFonts w:eastAsia="宋体"/>
          <w:szCs w:val="21"/>
        </w:rPr>
      </w:pPr>
      <w:r>
        <w:t xml:space="preserve">J. Nan, "PSO-BP Neural Network Based Prediction Study for Nonlinear Problems," in </w:t>
      </w:r>
      <w:r>
        <w:rPr>
          <w:i/>
          <w:iCs/>
        </w:rPr>
        <w:t>2023 IEEE International Conference on Electrical, Automation and Computer Engineering</w:t>
      </w:r>
      <w:r>
        <w:t>, pp. 1507–1512</w:t>
      </w:r>
      <w:r>
        <w:rPr>
          <w:rFonts w:hint="eastAsia"/>
        </w:rPr>
        <w:t>.</w:t>
      </w:r>
    </w:p>
    <w:p w:rsidR="00A93C80" w:rsidRDefault="000E0894">
      <w:pPr>
        <w:pStyle w:val="Reference"/>
      </w:pPr>
      <w:r>
        <w:t>J. Wei, Y. Gu, K. La</w:t>
      </w:r>
      <w:r>
        <w:t xml:space="preserve">w, N. Cheong, "Adaptive Position Updating Particle Swarm Optimization for UAV Path Planning," in </w:t>
      </w:r>
      <w:r>
        <w:rPr>
          <w:i/>
          <w:iCs/>
        </w:rPr>
        <w:t>2024 22nd International Symposium on Modeling and Optimization in Mobile, Ad Hoc, and Wireless Networks</w:t>
      </w:r>
      <w:r>
        <w:t>, pp. 124–131</w:t>
      </w:r>
      <w:r>
        <w:rPr>
          <w:rFonts w:hint="eastAsia"/>
        </w:rPr>
        <w:t>.</w:t>
      </w:r>
    </w:p>
    <w:p w:rsidR="00A93C80" w:rsidRDefault="000E0894">
      <w:pPr>
        <w:pStyle w:val="Reference"/>
      </w:pPr>
      <w:r>
        <w:t>G. R. Cai, S. L. Chen, S. Z. Li, W. Z. Gu</w:t>
      </w:r>
      <w:r>
        <w:t xml:space="preserve">o, "Study on the Nonlinear Strategy of Inertia Weight in Particle Swarm Optimization," in </w:t>
      </w:r>
      <w:r>
        <w:rPr>
          <w:i/>
          <w:iCs/>
        </w:rPr>
        <w:t>2008 Fourth International Conference on Natural Computation</w:t>
      </w:r>
      <w:r>
        <w:t>, pp. 683–687.</w:t>
      </w:r>
    </w:p>
    <w:p w:rsidR="00A93C80" w:rsidRDefault="000E0894">
      <w:pPr>
        <w:pStyle w:val="Reference"/>
      </w:pPr>
      <w:r>
        <w:t xml:space="preserve">M. Jain, V. Saihjpal, N. Singh, S. Singh, Applied Sciences, </w:t>
      </w:r>
      <w:r>
        <w:rPr>
          <w:b/>
          <w:bCs/>
        </w:rPr>
        <w:t>12</w:t>
      </w:r>
      <w:r>
        <w:t>, 8392 (2022).</w:t>
      </w:r>
    </w:p>
    <w:p w:rsidR="00A93C80" w:rsidRDefault="000E0894">
      <w:pPr>
        <w:pStyle w:val="Reference"/>
      </w:pPr>
      <w:r>
        <w:t>X. Li, D. Wu, J</w:t>
      </w:r>
      <w:r>
        <w:t xml:space="preserve">. He, M. Bashir, L. Ma, Journal of Control Science and Engineering, </w:t>
      </w:r>
      <w:r>
        <w:rPr>
          <w:b/>
          <w:bCs/>
        </w:rPr>
        <w:t>2020</w:t>
      </w:r>
      <w:r>
        <w:t>, 3857894 (2020).</w:t>
      </w:r>
    </w:p>
    <w:p w:rsidR="00A93C80" w:rsidRDefault="000E0894">
      <w:pPr>
        <w:pStyle w:val="Reference"/>
      </w:pPr>
      <w:r>
        <w:t xml:space="preserve">Q. Liang, </w:t>
      </w:r>
      <w:r>
        <w:rPr>
          <w:i/>
          <w:iCs/>
        </w:rPr>
        <w:t>Physical Optics</w:t>
      </w:r>
      <w:r>
        <w:t xml:space="preserve"> (Publishing House of Electronics Industry, Beijing, 2008), Chapter 4</w:t>
      </w:r>
      <w:r>
        <w:rPr>
          <w:rFonts w:hint="eastAsia"/>
          <w:lang w:eastAsia="zh-CN"/>
        </w:rPr>
        <w:t>.</w:t>
      </w:r>
    </w:p>
    <w:p w:rsidR="00A93C80" w:rsidRDefault="000E0894">
      <w:pPr>
        <w:pStyle w:val="Reference"/>
      </w:pPr>
      <w:bookmarkStart w:id="16" w:name="OLE_LINK12"/>
      <w:r>
        <w:t>National Renewable Energy Laboratory</w:t>
      </w:r>
      <w:r>
        <w:rPr>
          <w:rFonts w:hint="eastAsia"/>
        </w:rPr>
        <w:t xml:space="preserve">- </w:t>
      </w:r>
      <w:r>
        <w:t>NREL Solar Spectra</w:t>
      </w:r>
      <w:r>
        <w:rPr>
          <w:rFonts w:hint="eastAsia"/>
        </w:rPr>
        <w:t>, 2025,</w:t>
      </w:r>
      <w:r>
        <w:t xml:space="preserve"> Available at</w:t>
      </w:r>
      <w:r>
        <w:rPr>
          <w:rFonts w:hint="eastAsia"/>
        </w:rPr>
        <w:t xml:space="preserve"> </w:t>
      </w:r>
      <w:r w:rsidRPr="00966940">
        <w:t>https://www2.nrel.gov/grid/solar-resource/spectra</w:t>
      </w:r>
    </w:p>
    <w:p w:rsidR="00A93C80" w:rsidRDefault="000E0894">
      <w:pPr>
        <w:pStyle w:val="Reference"/>
        <w:rPr>
          <w:lang w:val="de-DE"/>
        </w:rPr>
      </w:pPr>
      <w:bookmarkStart w:id="17" w:name="_Ref198838256"/>
      <w:bookmarkEnd w:id="16"/>
      <w:r>
        <w:rPr>
          <w:lang w:val="de-DE"/>
        </w:rPr>
        <w:t xml:space="preserve">Z. Fu, Z. Cheng, F. Wang, et al., </w:t>
      </w:r>
      <w:r>
        <w:rPr>
          <w:i/>
          <w:iCs/>
          <w:lang w:val="de-DE"/>
        </w:rPr>
        <w:t>Optik</w:t>
      </w:r>
      <w:r>
        <w:rPr>
          <w:lang w:val="de-DE"/>
        </w:rPr>
        <w:t xml:space="preserve">, </w:t>
      </w:r>
      <w:r>
        <w:rPr>
          <w:b/>
          <w:bCs/>
          <w:lang w:val="de-DE"/>
        </w:rPr>
        <w:t>289</w:t>
      </w:r>
      <w:r>
        <w:rPr>
          <w:lang w:val="de-DE"/>
        </w:rPr>
        <w:t>, (2023).</w:t>
      </w:r>
      <w:bookmarkEnd w:id="17"/>
    </w:p>
    <w:p w:rsidR="00A93C80" w:rsidRDefault="000E0894">
      <w:pPr>
        <w:pStyle w:val="Reference"/>
      </w:pPr>
      <w:r>
        <w:t xml:space="preserve">I. Malitson, Journal of the Optical Society of America, </w:t>
      </w:r>
      <w:r>
        <w:rPr>
          <w:b/>
          <w:bCs/>
        </w:rPr>
        <w:t>55</w:t>
      </w:r>
      <w:r>
        <w:t xml:space="preserve">, 1205–1208 </w:t>
      </w:r>
      <w:r>
        <w:t>(1965).</w:t>
      </w:r>
    </w:p>
    <w:p w:rsidR="00A93C80" w:rsidRDefault="000E0894">
      <w:pPr>
        <w:pStyle w:val="Reference"/>
      </w:pPr>
      <w:r>
        <w:t xml:space="preserve">K. Deb, A. Pratap, S. Agarwal, T. Meyarivan, </w:t>
      </w:r>
      <w:r>
        <w:rPr>
          <w:i/>
          <w:iCs/>
        </w:rPr>
        <w:t>IEEE Transactions on Evolutionary Computation</w:t>
      </w:r>
      <w:r>
        <w:t xml:space="preserve">, </w:t>
      </w:r>
      <w:r>
        <w:rPr>
          <w:b/>
          <w:bCs/>
        </w:rPr>
        <w:t>6</w:t>
      </w:r>
      <w:r>
        <w:t xml:space="preserve">, 182–197 (2002). </w:t>
      </w:r>
    </w:p>
    <w:p w:rsidR="00A93C80" w:rsidRDefault="000E0894">
      <w:pPr>
        <w:pStyle w:val="Reference"/>
      </w:pPr>
      <w:r>
        <w:t xml:space="preserve">J. Tian, Y. Li, L. Zhang, Z. Liu, Industrial and Mining Automation, </w:t>
      </w:r>
      <w:r>
        <w:rPr>
          <w:b/>
          <w:bCs/>
        </w:rPr>
        <w:t>49</w:t>
      </w:r>
      <w:r>
        <w:t>, 67–74 (2023).</w:t>
      </w:r>
      <w:bookmarkStart w:id="18" w:name="_GoBack"/>
      <w:bookmarkEnd w:id="18"/>
    </w:p>
    <w:sectPr w:rsidR="00A93C80" w:rsidSect="000E0894">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4188" w:hanging="360"/>
      </w:p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36130"/>
    <w:rsid w:val="00066FED"/>
    <w:rsid w:val="00075EA6"/>
    <w:rsid w:val="0007709F"/>
    <w:rsid w:val="00086F62"/>
    <w:rsid w:val="00090674"/>
    <w:rsid w:val="0009320B"/>
    <w:rsid w:val="00096AE0"/>
    <w:rsid w:val="000A4EA5"/>
    <w:rsid w:val="000B01C4"/>
    <w:rsid w:val="000B1B74"/>
    <w:rsid w:val="000B3A2D"/>
    <w:rsid w:val="000B49C0"/>
    <w:rsid w:val="000C336C"/>
    <w:rsid w:val="000E0894"/>
    <w:rsid w:val="000E382F"/>
    <w:rsid w:val="000E75CD"/>
    <w:rsid w:val="001036BA"/>
    <w:rsid w:val="001146DC"/>
    <w:rsid w:val="00114AB1"/>
    <w:rsid w:val="001230FF"/>
    <w:rsid w:val="00130BD7"/>
    <w:rsid w:val="0013117E"/>
    <w:rsid w:val="00155B67"/>
    <w:rsid w:val="001562AF"/>
    <w:rsid w:val="00161A5B"/>
    <w:rsid w:val="0016385D"/>
    <w:rsid w:val="0016782F"/>
    <w:rsid w:val="001937E9"/>
    <w:rsid w:val="001964E5"/>
    <w:rsid w:val="001B263B"/>
    <w:rsid w:val="001B476A"/>
    <w:rsid w:val="001C764F"/>
    <w:rsid w:val="001C7BB3"/>
    <w:rsid w:val="001D469C"/>
    <w:rsid w:val="001D5862"/>
    <w:rsid w:val="0021619E"/>
    <w:rsid w:val="0023171B"/>
    <w:rsid w:val="00236BFC"/>
    <w:rsid w:val="00237437"/>
    <w:rsid w:val="002502FD"/>
    <w:rsid w:val="00274622"/>
    <w:rsid w:val="00285D24"/>
    <w:rsid w:val="00290390"/>
    <w:rsid w:val="002915D3"/>
    <w:rsid w:val="002924DB"/>
    <w:rsid w:val="002941DA"/>
    <w:rsid w:val="002B5648"/>
    <w:rsid w:val="002C4828"/>
    <w:rsid w:val="002E3C35"/>
    <w:rsid w:val="002F5298"/>
    <w:rsid w:val="00326AE0"/>
    <w:rsid w:val="00337E4F"/>
    <w:rsid w:val="00340C36"/>
    <w:rsid w:val="00346A9D"/>
    <w:rsid w:val="0039376F"/>
    <w:rsid w:val="00396ACD"/>
    <w:rsid w:val="003A287B"/>
    <w:rsid w:val="003A2B18"/>
    <w:rsid w:val="003A5C85"/>
    <w:rsid w:val="003A61B1"/>
    <w:rsid w:val="003B0050"/>
    <w:rsid w:val="003D6312"/>
    <w:rsid w:val="003E7C74"/>
    <w:rsid w:val="003F31C6"/>
    <w:rsid w:val="003F4558"/>
    <w:rsid w:val="0040225B"/>
    <w:rsid w:val="00402DA2"/>
    <w:rsid w:val="00425AC2"/>
    <w:rsid w:val="0044771F"/>
    <w:rsid w:val="004B151D"/>
    <w:rsid w:val="004C7243"/>
    <w:rsid w:val="004E21DE"/>
    <w:rsid w:val="004E3C57"/>
    <w:rsid w:val="004E3CB2"/>
    <w:rsid w:val="00525813"/>
    <w:rsid w:val="0053513F"/>
    <w:rsid w:val="00574405"/>
    <w:rsid w:val="005854B0"/>
    <w:rsid w:val="005910C9"/>
    <w:rsid w:val="005A0E21"/>
    <w:rsid w:val="005B3A34"/>
    <w:rsid w:val="005C12C5"/>
    <w:rsid w:val="005D49AF"/>
    <w:rsid w:val="005E415C"/>
    <w:rsid w:val="005E71ED"/>
    <w:rsid w:val="005E7946"/>
    <w:rsid w:val="005F7475"/>
    <w:rsid w:val="00611299"/>
    <w:rsid w:val="00613B4D"/>
    <w:rsid w:val="00616365"/>
    <w:rsid w:val="00616F3B"/>
    <w:rsid w:val="0062441B"/>
    <w:rsid w:val="006249A7"/>
    <w:rsid w:val="0064225B"/>
    <w:rsid w:val="006763F9"/>
    <w:rsid w:val="006949BC"/>
    <w:rsid w:val="006D1229"/>
    <w:rsid w:val="006D372F"/>
    <w:rsid w:val="006D7A18"/>
    <w:rsid w:val="006E4474"/>
    <w:rsid w:val="006E7EF5"/>
    <w:rsid w:val="0070095E"/>
    <w:rsid w:val="00701388"/>
    <w:rsid w:val="00723B7F"/>
    <w:rsid w:val="00725861"/>
    <w:rsid w:val="0073393A"/>
    <w:rsid w:val="0073539D"/>
    <w:rsid w:val="00764FDF"/>
    <w:rsid w:val="00767B8A"/>
    <w:rsid w:val="007732AA"/>
    <w:rsid w:val="00775481"/>
    <w:rsid w:val="0078535A"/>
    <w:rsid w:val="00790A68"/>
    <w:rsid w:val="007A233B"/>
    <w:rsid w:val="007B4863"/>
    <w:rsid w:val="007C65E6"/>
    <w:rsid w:val="007D406B"/>
    <w:rsid w:val="007D4407"/>
    <w:rsid w:val="007E1CA3"/>
    <w:rsid w:val="00812D62"/>
    <w:rsid w:val="00812F29"/>
    <w:rsid w:val="00821713"/>
    <w:rsid w:val="00827050"/>
    <w:rsid w:val="0083278B"/>
    <w:rsid w:val="00834538"/>
    <w:rsid w:val="00850E89"/>
    <w:rsid w:val="00880AF3"/>
    <w:rsid w:val="00887A37"/>
    <w:rsid w:val="008930E4"/>
    <w:rsid w:val="00893821"/>
    <w:rsid w:val="008A7B9C"/>
    <w:rsid w:val="008B39FA"/>
    <w:rsid w:val="008B4754"/>
    <w:rsid w:val="008B53AE"/>
    <w:rsid w:val="008E6A7A"/>
    <w:rsid w:val="008F1038"/>
    <w:rsid w:val="008F7046"/>
    <w:rsid w:val="009005FC"/>
    <w:rsid w:val="00922E5A"/>
    <w:rsid w:val="00943315"/>
    <w:rsid w:val="00946C27"/>
    <w:rsid w:val="00966940"/>
    <w:rsid w:val="00982413"/>
    <w:rsid w:val="00992CBA"/>
    <w:rsid w:val="009A4F3D"/>
    <w:rsid w:val="009B696B"/>
    <w:rsid w:val="009B7671"/>
    <w:rsid w:val="009D2EB6"/>
    <w:rsid w:val="009E5BA1"/>
    <w:rsid w:val="009F056E"/>
    <w:rsid w:val="00A24F3D"/>
    <w:rsid w:val="00A26DCD"/>
    <w:rsid w:val="00A314BB"/>
    <w:rsid w:val="00A32B7D"/>
    <w:rsid w:val="00A5596B"/>
    <w:rsid w:val="00A646B3"/>
    <w:rsid w:val="00A6739B"/>
    <w:rsid w:val="00A90413"/>
    <w:rsid w:val="00A93C80"/>
    <w:rsid w:val="00AA728C"/>
    <w:rsid w:val="00AB0A9C"/>
    <w:rsid w:val="00AB7119"/>
    <w:rsid w:val="00AD5855"/>
    <w:rsid w:val="00AE7500"/>
    <w:rsid w:val="00AE7F87"/>
    <w:rsid w:val="00AF0135"/>
    <w:rsid w:val="00AF3542"/>
    <w:rsid w:val="00AF5ABE"/>
    <w:rsid w:val="00B00415"/>
    <w:rsid w:val="00B03C2A"/>
    <w:rsid w:val="00B1000D"/>
    <w:rsid w:val="00B10134"/>
    <w:rsid w:val="00B16BFE"/>
    <w:rsid w:val="00B500E5"/>
    <w:rsid w:val="00B85498"/>
    <w:rsid w:val="00BA39BB"/>
    <w:rsid w:val="00BA3B3D"/>
    <w:rsid w:val="00BB7EEA"/>
    <w:rsid w:val="00BD1909"/>
    <w:rsid w:val="00BE5E16"/>
    <w:rsid w:val="00BE5FD1"/>
    <w:rsid w:val="00C03301"/>
    <w:rsid w:val="00C06E05"/>
    <w:rsid w:val="00C14B14"/>
    <w:rsid w:val="00C17370"/>
    <w:rsid w:val="00C2054D"/>
    <w:rsid w:val="00C252EB"/>
    <w:rsid w:val="00C26EC0"/>
    <w:rsid w:val="00C35996"/>
    <w:rsid w:val="00C56C77"/>
    <w:rsid w:val="00C84923"/>
    <w:rsid w:val="00C94C9B"/>
    <w:rsid w:val="00CB7B3E"/>
    <w:rsid w:val="00CC739D"/>
    <w:rsid w:val="00D04468"/>
    <w:rsid w:val="00D30D84"/>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17D64F6F"/>
    <w:rsid w:val="22257E58"/>
    <w:rsid w:val="2F3E1621"/>
    <w:rsid w:val="2F830975"/>
    <w:rsid w:val="38545611"/>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D1AF0"/>
  <w15:docId w15:val="{9834D99F-BD9B-4513-839A-CE1AAFD5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caption"/>
    <w:basedOn w:val="a"/>
    <w:next w:val="a"/>
    <w:unhideWhenUsed/>
    <w:qFormat/>
    <w:pPr>
      <w:widowControl w:val="0"/>
      <w:jc w:val="both"/>
    </w:pPr>
    <w:rPr>
      <w:rFonts w:asciiTheme="majorHAnsi" w:eastAsia="黑体" w:hAnsiTheme="majorHAnsi" w:cstheme="majorBidi"/>
      <w:kern w:val="2"/>
      <w:sz w:val="20"/>
      <w:lang w:eastAsia="zh-CN"/>
    </w:rPr>
  </w:style>
  <w:style w:type="paragraph" w:styleId="a4">
    <w:name w:val="annotation text"/>
    <w:basedOn w:val="a"/>
    <w:link w:val="a5"/>
    <w:semiHidden/>
    <w:unhideWhenUsed/>
    <w:qFormat/>
    <w:rPr>
      <w:sz w:val="20"/>
    </w:rPr>
  </w:style>
  <w:style w:type="paragraph" w:styleId="a6">
    <w:name w:val="Balloon Text"/>
    <w:basedOn w:val="a"/>
    <w:link w:val="a7"/>
    <w:qFormat/>
    <w:rPr>
      <w:rFonts w:ascii="Tahoma" w:hAnsi="Tahoma" w:cs="Tahoma"/>
      <w:sz w:val="16"/>
      <w:szCs w:val="16"/>
    </w:rPr>
  </w:style>
  <w:style w:type="paragraph" w:styleId="a8">
    <w:name w:val="footer"/>
    <w:basedOn w:val="a"/>
    <w:link w:val="a9"/>
    <w:unhideWhenUsed/>
    <w:qFormat/>
    <w:pPr>
      <w:tabs>
        <w:tab w:val="center" w:pos="4153"/>
        <w:tab w:val="right" w:pos="8306"/>
      </w:tabs>
      <w:snapToGrid w:val="0"/>
    </w:pPr>
    <w:rPr>
      <w:sz w:val="18"/>
      <w:szCs w:val="18"/>
    </w:rPr>
  </w:style>
  <w:style w:type="paragraph" w:styleId="aa">
    <w:name w:val="header"/>
    <w:basedOn w:val="a"/>
    <w:link w:val="ab"/>
    <w:unhideWhenUsed/>
    <w:qFormat/>
    <w:pPr>
      <w:tabs>
        <w:tab w:val="center" w:pos="4153"/>
        <w:tab w:val="right" w:pos="8306"/>
      </w:tabs>
      <w:snapToGrid w:val="0"/>
      <w:jc w:val="center"/>
    </w:pPr>
    <w:rPr>
      <w:sz w:val="18"/>
      <w:szCs w:val="18"/>
    </w:rPr>
  </w:style>
  <w:style w:type="paragraph" w:styleId="ac">
    <w:name w:val="footnote text"/>
    <w:basedOn w:val="a"/>
    <w:semiHidden/>
    <w:qFormat/>
    <w:rPr>
      <w:sz w:val="16"/>
    </w:rPr>
  </w:style>
  <w:style w:type="paragraph" w:styleId="ad">
    <w:name w:val="Normal (Web)"/>
    <w:basedOn w:val="a"/>
    <w:uiPriority w:val="99"/>
    <w:unhideWhenUsed/>
    <w:qFormat/>
    <w:pPr>
      <w:spacing w:before="100" w:beforeAutospacing="1" w:after="100" w:afterAutospacing="1"/>
    </w:pPr>
    <w:rPr>
      <w:szCs w:val="24"/>
      <w:lang w:val="en-GB" w:eastAsia="en-GB"/>
    </w:rPr>
  </w:style>
  <w:style w:type="paragraph" w:styleId="ae">
    <w:name w:val="annotation subject"/>
    <w:basedOn w:val="a4"/>
    <w:next w:val="a4"/>
    <w:link w:val="af"/>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basedOn w:val="a0"/>
    <w:semiHidden/>
    <w:unhideWhenUsed/>
    <w:qFormat/>
    <w:rPr>
      <w:sz w:val="16"/>
      <w:szCs w:val="16"/>
    </w:rPr>
  </w:style>
  <w:style w:type="character" w:styleId="af5">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7">
    <w:name w:val="批注框文本 字符"/>
    <w:basedOn w:val="a0"/>
    <w:link w:val="a6"/>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lang w:eastAsia="en-US"/>
    </w:rPr>
  </w:style>
  <w:style w:type="character" w:customStyle="1" w:styleId="11">
    <w:name w:val="未处理的提及1"/>
    <w:basedOn w:val="a0"/>
    <w:uiPriority w:val="99"/>
    <w:semiHidden/>
    <w:unhideWhenUsed/>
    <w:qFormat/>
    <w:rPr>
      <w:color w:val="808080"/>
      <w:shd w:val="clear" w:color="auto" w:fill="E6E6E6"/>
    </w:rPr>
  </w:style>
  <w:style w:type="paragraph" w:styleId="af6">
    <w:name w:val="List Paragraph"/>
    <w:basedOn w:val="a"/>
    <w:uiPriority w:val="34"/>
    <w:qFormat/>
    <w:pPr>
      <w:ind w:left="720"/>
      <w:contextualSpacing/>
    </w:pPr>
  </w:style>
  <w:style w:type="character" w:customStyle="1" w:styleId="a5">
    <w:name w:val="批注文字 字符"/>
    <w:basedOn w:val="a0"/>
    <w:link w:val="a4"/>
    <w:semiHidden/>
    <w:qFormat/>
    <w:rPr>
      <w:lang w:val="en-US" w:eastAsia="en-US"/>
    </w:rPr>
  </w:style>
  <w:style w:type="character" w:customStyle="1" w:styleId="af">
    <w:name w:val="批注主题 字符"/>
    <w:basedOn w:val="a5"/>
    <w:link w:val="ae"/>
    <w:semiHidden/>
    <w:qFormat/>
    <w:rPr>
      <w:b/>
      <w:bCs/>
      <w:lang w:val="en-US" w:eastAsia="en-US"/>
    </w:rPr>
  </w:style>
  <w:style w:type="character" w:customStyle="1" w:styleId="10">
    <w:name w:val="标题 1 字符"/>
    <w:basedOn w:val="a0"/>
    <w:link w:val="1"/>
    <w:qFormat/>
    <w:rPr>
      <w:b/>
      <w:caps/>
      <w:sz w:val="24"/>
      <w:lang w:val="en-US" w:eastAsia="en-US"/>
    </w:rPr>
  </w:style>
  <w:style w:type="character" w:customStyle="1" w:styleId="ab">
    <w:name w:val="页眉 字符"/>
    <w:basedOn w:val="a0"/>
    <w:link w:val="aa"/>
    <w:qFormat/>
    <w:rPr>
      <w:sz w:val="18"/>
      <w:szCs w:val="18"/>
      <w:lang w:eastAsia="en-US"/>
    </w:rPr>
  </w:style>
  <w:style w:type="character" w:customStyle="1" w:styleId="a9">
    <w:name w:val="页脚 字符"/>
    <w:basedOn w:val="a0"/>
    <w:link w:val="a8"/>
    <w:qFormat/>
    <w:rPr>
      <w:sz w:val="18"/>
      <w:szCs w:val="18"/>
      <w:lang w:eastAsia="en-US"/>
    </w:rPr>
  </w:style>
  <w:style w:type="character" w:styleId="af7">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D8BE16-C06E-4364-8346-CCA9E475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127</TotalTime>
  <Pages>7</Pages>
  <Words>3480</Words>
  <Characters>19842</Characters>
  <Application>Microsoft Office Word</Application>
  <DocSecurity>0</DocSecurity>
  <Lines>165</Lines>
  <Paragraphs>46</Paragraphs>
  <ScaleCrop>false</ScaleCrop>
  <Company>PPI</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7</cp:revision>
  <cp:lastPrinted>2011-03-03T08:29:00Z</cp:lastPrinted>
  <dcterms:created xsi:type="dcterms:W3CDTF">2025-06-08T09:53:00Z</dcterms:created>
  <dcterms:modified xsi:type="dcterms:W3CDTF">2025-09-29T07:35:00Z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104b8626-37bf-4e53-a7b7-96d82c476a6e</vt:lpwstr>
  </property>
  <property fmtid="{D5CDD505-2E9C-101B-9397-08002B2CF9AE}" pid="4" name="KSOProductBuildVer">
    <vt:lpwstr>2052-12.1.0.21541</vt:lpwstr>
  </property>
  <property fmtid="{D5CDD505-2E9C-101B-9397-08002B2CF9AE}" pid="5" name="ICV">
    <vt:lpwstr>28866F43E4E44DCD8394BC38F0562DD8_13</vt:lpwstr>
  </property>
  <property fmtid="{D5CDD505-2E9C-101B-9397-08002B2CF9AE}" pid="6" name="KSOTemplateDocerSaveRecord">
    <vt:lpwstr>eyJoZGlkIjoiYmZhMDZiOWI0YTg5ZWJkMmYzMGZlMzk0OTA3NDZmMGYiLCJ1c2VySWQiOiI4MTM5MzEwODkifQ==</vt:lpwstr>
  </property>
</Properties>
</file>