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11DB889F" w:rsidR="0016385D" w:rsidRPr="00075EA6" w:rsidRDefault="00946291" w:rsidP="00090674">
      <w:pPr>
        <w:pStyle w:val="PaperTitle"/>
        <w:rPr>
          <w:b w:val="0"/>
          <w:bCs/>
          <w:sz w:val="24"/>
          <w:szCs w:val="24"/>
        </w:rPr>
      </w:pPr>
      <w:r w:rsidRPr="00946291">
        <w:t>Common-Source Amplifier Circuits: Foundations, Optimizations, and Emerging Applications</w:t>
      </w:r>
    </w:p>
    <w:p w14:paraId="548D96A3" w14:textId="4BB3AAFD" w:rsidR="00C14B14" w:rsidRDefault="004E400E" w:rsidP="2F830975">
      <w:pPr>
        <w:pStyle w:val="AuthorName"/>
        <w:rPr>
          <w:sz w:val="20"/>
          <w:lang w:val="en-GB" w:eastAsia="en-GB"/>
        </w:rPr>
      </w:pPr>
      <w:r>
        <w:rPr>
          <w:rFonts w:hint="eastAsia"/>
          <w:lang w:eastAsia="zh-CN"/>
        </w:rPr>
        <w:t>Zhuohan Wang</w:t>
      </w:r>
    </w:p>
    <w:p w14:paraId="5CFA9C09" w14:textId="766570D2" w:rsidR="00C14B14" w:rsidRDefault="00B40B65" w:rsidP="00C14B14">
      <w:pPr>
        <w:pStyle w:val="AuthorAffiliation"/>
      </w:pPr>
      <w:r w:rsidRPr="00B40B65">
        <w:rPr>
          <w:lang w:eastAsia="zh-CN"/>
        </w:rPr>
        <w:t>School of Electrical and Electronic Engineering</w:t>
      </w:r>
      <w:r>
        <w:rPr>
          <w:rFonts w:hint="eastAsia"/>
          <w:lang w:eastAsia="zh-CN"/>
        </w:rPr>
        <w:t>,</w:t>
      </w:r>
      <w:r w:rsidR="0016385D" w:rsidRPr="00075EA6">
        <w:t xml:space="preserve"> </w:t>
      </w:r>
      <w:r w:rsidRPr="00B40B65">
        <w:t>Hubei University of Technology</w:t>
      </w:r>
      <w:r>
        <w:rPr>
          <w:rFonts w:hint="eastAsia"/>
          <w:lang w:eastAsia="zh-CN"/>
        </w:rPr>
        <w:t>,</w:t>
      </w:r>
      <w:r w:rsidR="004E400E">
        <w:rPr>
          <w:rFonts w:hint="eastAsia"/>
          <w:lang w:eastAsia="zh-CN"/>
        </w:rPr>
        <w:t xml:space="preserve"> </w:t>
      </w:r>
      <w:r>
        <w:rPr>
          <w:rFonts w:hint="eastAsia"/>
          <w:lang w:eastAsia="zh-CN"/>
        </w:rPr>
        <w:t>Wuhan,</w:t>
      </w:r>
      <w:r w:rsidR="004E400E">
        <w:rPr>
          <w:rFonts w:hint="eastAsia"/>
          <w:lang w:eastAsia="zh-CN"/>
        </w:rPr>
        <w:t xml:space="preserve"> </w:t>
      </w:r>
      <w:r>
        <w:rPr>
          <w:rFonts w:hint="eastAsia"/>
          <w:lang w:eastAsia="zh-CN"/>
        </w:rPr>
        <w:t>430068,</w:t>
      </w:r>
      <w:r w:rsidR="004E400E">
        <w:rPr>
          <w:rFonts w:hint="eastAsia"/>
          <w:lang w:eastAsia="zh-CN"/>
        </w:rPr>
        <w:t xml:space="preserve"> </w:t>
      </w:r>
      <w:r>
        <w:rPr>
          <w:rFonts w:hint="eastAsia"/>
          <w:lang w:eastAsia="zh-CN"/>
        </w:rPr>
        <w:t>China</w:t>
      </w:r>
    </w:p>
    <w:p w14:paraId="5E05E235" w14:textId="534508B3" w:rsidR="003A5C85" w:rsidRPr="00191EC5" w:rsidRDefault="00C14B14" w:rsidP="00191EC5">
      <w:pPr>
        <w:pStyle w:val="AuthorAffiliation"/>
        <w:rPr>
          <w:i w:val="0"/>
        </w:rPr>
      </w:pPr>
      <w:r w:rsidRPr="00075EA6">
        <w:br/>
      </w:r>
      <w:r w:rsidR="004E400E" w:rsidRPr="00191EC5">
        <w:rPr>
          <w:i w:val="0"/>
          <w:iCs/>
          <w:lang w:eastAsia="zh-CN"/>
        </w:rPr>
        <w:t>WZHhan@outlook.com</w:t>
      </w:r>
    </w:p>
    <w:p w14:paraId="22C3F2A8" w14:textId="62EAFCB1" w:rsidR="0016385D" w:rsidRPr="00075EA6" w:rsidRDefault="0016385D" w:rsidP="00C14B14">
      <w:pPr>
        <w:pStyle w:val="Abstract"/>
        <w:rPr>
          <w:lang w:eastAsia="zh-CN"/>
        </w:rPr>
      </w:pPr>
      <w:r w:rsidRPr="00075EA6">
        <w:rPr>
          <w:b/>
          <w:bCs/>
        </w:rPr>
        <w:t>Abstract.</w:t>
      </w:r>
      <w:r w:rsidRPr="00075EA6">
        <w:t xml:space="preserve"> </w:t>
      </w:r>
      <w:r w:rsidR="00946291" w:rsidRPr="00946291">
        <w:t>The common-source (CS) amplifier, a cornerstone of analog integrated circuit design, leverages the voltage-controlled current characteristics of MOSFETs to achieve signal amplification. This comprehensive review systematically explores the fundamental principles, performance optimizations, and evolving applications of CS amplifiers, addressing their critical role in modern electronic systems. By integrating theoretical analysis, advanced circuit topologies, and industrial case studies, the paper dissects basic configurations, biasing strategies, and small-signal models while elaborating on gain, noise, and linearity optimization techniques enabled by active loads, cascode structures, and feedback networks. It also examines extensions to differential architectures, power amplification, and emerging millimeter-wave and low-power systems, and outlines future directions in AI-driven design automation, new material integration, and sustainable electronics. This review highlights the enduring relevance of CS amplifiers in the post-Moore era electronics, emphasizing the synergy between device physics, circuit innovation, and system-level requirements</w:t>
      </w:r>
      <w:r w:rsidR="00B10134" w:rsidRPr="00075EA6">
        <w:t>.</w:t>
      </w:r>
      <w:r w:rsidR="00AA0801">
        <w:rPr>
          <w:rFonts w:hint="eastAsia"/>
          <w:lang w:eastAsia="zh-CN"/>
        </w:rPr>
        <w:t xml:space="preserve"> </w:t>
      </w:r>
      <w:r w:rsidR="00AA0801" w:rsidRPr="00AA0801">
        <w:rPr>
          <w:lang w:eastAsia="zh-CN"/>
        </w:rPr>
        <w:t>By bridging theoretical insights with practical design paradigms, the analysis provides a framework for future innovations that align with the demands of heterogeneous integration and environmentally conscious electronics.</w:t>
      </w:r>
    </w:p>
    <w:p w14:paraId="5240E3FB" w14:textId="178A0CD3" w:rsidR="003A287B" w:rsidRPr="00075EA6" w:rsidRDefault="004E400E" w:rsidP="00003D7C">
      <w:pPr>
        <w:pStyle w:val="1"/>
        <w:rPr>
          <w:b w:val="0"/>
          <w:caps w:val="0"/>
          <w:sz w:val="20"/>
        </w:rPr>
      </w:pPr>
      <w:r>
        <w:rPr>
          <w:rFonts w:hint="eastAsia"/>
          <w:lang w:eastAsia="zh-CN"/>
        </w:rPr>
        <w:t>introduction</w:t>
      </w:r>
    </w:p>
    <w:p w14:paraId="046A1FF2" w14:textId="49D6993F" w:rsidR="00946291" w:rsidRPr="00946291" w:rsidRDefault="00946291" w:rsidP="00946291">
      <w:pPr>
        <w:pStyle w:val="Paragraph"/>
        <w:rPr>
          <w:lang w:eastAsia="zh-CN"/>
        </w:rPr>
      </w:pPr>
      <w:r w:rsidRPr="00946291">
        <w:rPr>
          <w:lang w:eastAsia="zh-CN"/>
        </w:rPr>
        <w:t>The metal-oxide-semiconductor field-effect transistor (MOSFET), invented in 1960, revolutionized analog circuit design. The common-source (CS) amplifier is a vital building block in this field. Its voltage-controlled current amplification principle revolutionized signal processing architectures, enabling both discrete and integrated circuit implementations with unprecedented versatility. Early versions with resistive loads established basic amplification frameworks, but had limitations in voltage gain, power efficiency, and bandwidth. By the 1980s, active-load and cascode topologies were introduced to address these issues, marking a pivotal transition toward high-performance analog systems.</w:t>
      </w:r>
    </w:p>
    <w:p w14:paraId="342EE432" w14:textId="528B6CB7" w:rsidR="00946291" w:rsidRPr="00946291" w:rsidRDefault="00946291" w:rsidP="00946291">
      <w:pPr>
        <w:pStyle w:val="Paragraph"/>
        <w:rPr>
          <w:lang w:eastAsia="zh-CN"/>
        </w:rPr>
      </w:pPr>
      <w:r w:rsidRPr="00946291">
        <w:rPr>
          <w:lang w:eastAsia="zh-CN"/>
        </w:rPr>
        <w:t>As complementary metal-oxide-semiconductor (CMOS) technology scaled into sub-100 nm regimes, CS amplifiers faced new challenges from short-channel effects, noise degradation, and power constraints. These hurdles necessitated innovative design methodologies to balance performance metrics, ensuring the continued relevance of CS amplifiers across diverse applications—from low-power IoT sensors to high-frequency 5G transceivers. This evolutionary trajectory highlights the amplifier's adaptability, solidifying its role as a cornerstone in modern microelectronics.</w:t>
      </w:r>
    </w:p>
    <w:p w14:paraId="1BB58091" w14:textId="355EECDA" w:rsidR="00946291" w:rsidRPr="00946291" w:rsidRDefault="00946291" w:rsidP="00946291">
      <w:pPr>
        <w:pStyle w:val="Paragraph"/>
        <w:rPr>
          <w:lang w:eastAsia="zh-CN"/>
        </w:rPr>
      </w:pPr>
      <w:r w:rsidRPr="00946291">
        <w:rPr>
          <w:lang w:eastAsia="zh-CN"/>
        </w:rPr>
        <w:t>This review aims to provide a technical exposition of CS amplifier fundamentals, including transistor-circuit interaction, biasing strategies across operating regions (subthreshold, moderate inversion, strong inversion), and small-signal modeling with parasitic effects. We analyze performance optimization research over decades, focusing on voltage gain, noise figure, and linearity tradeoffs across process technologies (bulk CMOS, silicon-on-insulator, FinFET) and supply voltage regimes. Emphasis is on physics-based design insights applicable beyond specific fabrication nodes. We also showcase state-of-the-art implementations in complex systems, comparing industrial standards with academic innovations. Examples include mm-wave transceivers for 6G, energy harvesting front-ends, and low-noise amplifiers for biomedical devices.</w:t>
      </w:r>
    </w:p>
    <w:p w14:paraId="1D11F4AC" w14:textId="77777777" w:rsidR="00946291" w:rsidRPr="00946291" w:rsidRDefault="00946291" w:rsidP="00946291">
      <w:pPr>
        <w:pStyle w:val="Paragraph"/>
        <w:rPr>
          <w:lang w:eastAsia="zh-CN"/>
        </w:rPr>
      </w:pPr>
      <w:r w:rsidRPr="00946291">
        <w:rPr>
          <w:lang w:eastAsia="zh-CN"/>
        </w:rPr>
        <w:lastRenderedPageBreak/>
        <w:t>Following the seminal invention of the metal-oxide-semiconductor field-effect transistor (MOSFET) in 1960, the common-source (CS) amplifier emerged as a foundational building block in analog circuit design. Its voltage-controlled current amplification principle revolutionized signal processing architectures, enabling both discrete and integrated circuit implementations with unprecedented versatility. Early incarnations employing resistive loads established the basic amplification framework, yet inherent limitations in voltage gain, power efficiency, and bandwidth spurred the exploration of advanced configurations. By the 1980s, the introduction of active-load and cascode topologies addressed these constraints, marking a pivotal transition toward high-performance analog systems.</w:t>
      </w:r>
    </w:p>
    <w:p w14:paraId="54E43496" w14:textId="77777777" w:rsidR="00946291" w:rsidRPr="00946291" w:rsidRDefault="00946291" w:rsidP="00946291">
      <w:pPr>
        <w:pStyle w:val="Paragraph"/>
        <w:rPr>
          <w:lang w:eastAsia="zh-CN"/>
        </w:rPr>
      </w:pPr>
      <w:r w:rsidRPr="00946291">
        <w:rPr>
          <w:lang w:eastAsia="zh-CN"/>
        </w:rPr>
        <w:t>As complementary metal-oxide-semiconductor (CMOS) technology scaled into sub-100 nm regimes, the CS amplifier faced new challenges posed by short-channel effects, noise degradation, and stringent power budgets. These technical hurdles necessitated innovative design methodologies that balanced conflicting performance metrics, ensuring the continued relevance of CS amplifiers across diverse applications—from low-power Internet-of-Things (IoT) sensors demanding sub-microampere biasing to high-frequency 5G transceivers requiring multi-gigahertz operation. This evolutionary trajectory highlights the amplifier's adaptability, solidifying its role as a cornerstone in modern microelectronics.</w:t>
      </w:r>
    </w:p>
    <w:p w14:paraId="26A99C01" w14:textId="393CB4EB" w:rsidR="00946291" w:rsidRPr="00946291" w:rsidRDefault="00946291" w:rsidP="00946291">
      <w:pPr>
        <w:pStyle w:val="1"/>
        <w:rPr>
          <w:lang w:eastAsia="zh-CN"/>
        </w:rPr>
      </w:pPr>
      <w:r w:rsidRPr="00946291">
        <w:rPr>
          <w:lang w:eastAsia="zh-CN"/>
        </w:rPr>
        <w:t>Fundamental Architecture and Operational Principles</w:t>
      </w:r>
    </w:p>
    <w:p w14:paraId="53D29EA4" w14:textId="175899FC" w:rsidR="00946291" w:rsidRPr="00946291" w:rsidRDefault="00946291" w:rsidP="00946291">
      <w:pPr>
        <w:pStyle w:val="2"/>
        <w:rPr>
          <w:szCs w:val="24"/>
          <w:lang w:eastAsia="zh-CN"/>
        </w:rPr>
      </w:pPr>
      <w:r w:rsidRPr="00946291">
        <w:rPr>
          <w:lang w:eastAsia="zh-CN"/>
        </w:rPr>
        <w:t>Basic Circuit Configuration</w:t>
      </w:r>
    </w:p>
    <w:p w14:paraId="521CCFF8" w14:textId="79ED0FFF" w:rsidR="00946291" w:rsidRPr="00946291" w:rsidRDefault="00946291" w:rsidP="00946291">
      <w:pPr>
        <w:pStyle w:val="3"/>
      </w:pPr>
      <w:r w:rsidRPr="00946291">
        <w:t>Device-Level Structure</w:t>
      </w:r>
    </w:p>
    <w:p w14:paraId="23638B5D" w14:textId="35DCA749" w:rsidR="00946291" w:rsidRPr="00946291" w:rsidRDefault="00946291" w:rsidP="00946291">
      <w:pPr>
        <w:pStyle w:val="Paragraph"/>
        <w:rPr>
          <w:lang w:eastAsia="zh-CN"/>
        </w:rPr>
      </w:pPr>
      <w:r w:rsidRPr="00946291">
        <w:rPr>
          <w:lang w:eastAsia="zh-CN"/>
        </w:rPr>
        <w:t>The common-source (CS) amplifier employs a metal-oxide-semiconductor field-effect transistor (MOSFET) with three essential terminals. The gate (G) serves as the input port where voltage-controlled signal modulation occurs. It is electrostatically coupled to the channel through a thin gate dielectric, typically 1–10 nm SiO₂ or high-κ materials like HfO₂, which helps reduce gate leakage in scaled technologies. The source (S) functions as the reference terminal. For NMOS devices, it is grounded, while for PMOS devices, it is connected to the supply voltage V</w:t>
      </w:r>
      <w:r w:rsidRPr="00946291">
        <w:rPr>
          <w:vertAlign w:val="subscript"/>
          <w:lang w:eastAsia="zh-CN"/>
        </w:rPr>
        <w:t>DD</w:t>
      </w:r>
      <w:r w:rsidRPr="00946291">
        <w:rPr>
          <w:lang w:eastAsia="zh-CN"/>
        </w:rPr>
        <w:t>, thus defining the common-source configuration topology. The drain (D) acts as the output port. The modulated drain current is converted to an output voltage via a load network, thereby facilitating signal amplification.</w:t>
      </w:r>
    </w:p>
    <w:p w14:paraId="3CE64314" w14:textId="77777777" w:rsidR="00946291" w:rsidRPr="00946291" w:rsidRDefault="00946291" w:rsidP="00946291">
      <w:pPr>
        <w:pStyle w:val="Paragraph"/>
        <w:rPr>
          <w:lang w:eastAsia="zh-CN"/>
        </w:rPr>
      </w:pPr>
      <w:r w:rsidRPr="00946291">
        <w:rPr>
          <w:lang w:eastAsia="zh-CN"/>
        </w:rPr>
        <w:t>A typical PMOS CS amplifier comprises several key components. The bias network plays a crucial role in establishing the quiescent operating point (Q-point) in the saturation region. This is achieved through a resistive voltage-divider configuration, which ensures stable DC biasing. Additionally, the load network is responsible for converting the drain current to an output voltage. In this particular example, a resistive load is employed for simplicity, such as the resistor R</w:t>
      </w:r>
      <w:r w:rsidRPr="00946291">
        <w:rPr>
          <w:vertAlign w:val="subscript"/>
          <w:lang w:eastAsia="zh-CN"/>
        </w:rPr>
        <w:t>D</w:t>
      </w:r>
      <w:r w:rsidRPr="00946291">
        <w:rPr>
          <w:lang w:eastAsia="zh-CN"/>
        </w:rPr>
        <w:t xml:space="preserve"> shown in the diagram.</w:t>
      </w:r>
    </w:p>
    <w:p w14:paraId="68A83D5D" w14:textId="1A6B96BE" w:rsidR="00946291" w:rsidRPr="00946291" w:rsidRDefault="00946291" w:rsidP="00946291">
      <w:pPr>
        <w:pStyle w:val="3"/>
      </w:pPr>
      <w:r w:rsidRPr="00946291">
        <w:t>Current-Voltage Characteristics</w:t>
      </w:r>
    </w:p>
    <w:p w14:paraId="19471698" w14:textId="77777777" w:rsidR="00946291" w:rsidRPr="00946291" w:rsidRDefault="00946291" w:rsidP="00946291">
      <w:pPr>
        <w:pStyle w:val="Paragraph"/>
        <w:rPr>
          <w:lang w:eastAsia="zh-CN"/>
        </w:rPr>
      </w:pPr>
      <w:r w:rsidRPr="00946291">
        <w:rPr>
          <w:lang w:eastAsia="zh-CN"/>
        </w:rPr>
        <w:t>In the saturation region, the drain current ID is described by the quadratic model, which is expressed as  I</w:t>
      </w:r>
      <w:r w:rsidRPr="00946291">
        <w:rPr>
          <w:vertAlign w:val="subscript"/>
          <w:lang w:eastAsia="zh-CN"/>
        </w:rPr>
        <w:t>D</w:t>
      </w:r>
      <w:r w:rsidRPr="00946291">
        <w:rPr>
          <w:lang w:eastAsia="zh-CN"/>
        </w:rPr>
        <w:t xml:space="preserve"> =</w:t>
      </w:r>
      <w:r w:rsidRPr="00946291">
        <w:rPr>
          <w:rFonts w:hint="eastAsia"/>
          <w:lang w:eastAsia="zh-CN"/>
        </w:rPr>
        <w:t>1/2</w:t>
      </w:r>
      <w:r w:rsidRPr="00946291">
        <w:rPr>
          <w:rFonts w:hint="eastAsia"/>
          <w:lang w:eastAsia="zh-CN"/>
        </w:rPr>
        <w:t>μ</w:t>
      </w:r>
      <w:r w:rsidRPr="00946291">
        <w:rPr>
          <w:vertAlign w:val="subscript"/>
          <w:lang w:eastAsia="zh-CN"/>
        </w:rPr>
        <w:t>n</w:t>
      </w:r>
      <w:r w:rsidRPr="00946291">
        <w:rPr>
          <w:lang w:eastAsia="zh-CN"/>
        </w:rPr>
        <w:t xml:space="preserve"> C</w:t>
      </w:r>
      <w:r w:rsidRPr="00946291">
        <w:rPr>
          <w:vertAlign w:val="subscript"/>
          <w:lang w:eastAsia="zh-CN"/>
        </w:rPr>
        <w:t>ox</w:t>
      </w:r>
      <w:r w:rsidRPr="00946291">
        <w:rPr>
          <w:rFonts w:hint="eastAsia"/>
          <w:lang w:eastAsia="zh-CN"/>
        </w:rPr>
        <w:t>·</w:t>
      </w:r>
      <w:r w:rsidRPr="00946291">
        <w:rPr>
          <w:lang w:eastAsia="zh-CN"/>
        </w:rPr>
        <w:t>W</w:t>
      </w:r>
      <w:r w:rsidRPr="00946291">
        <w:rPr>
          <w:rFonts w:hint="eastAsia"/>
          <w:lang w:eastAsia="zh-CN"/>
        </w:rPr>
        <w:t>/</w:t>
      </w:r>
      <w:r w:rsidRPr="00946291">
        <w:rPr>
          <w:lang w:eastAsia="zh-CN"/>
        </w:rPr>
        <w:t>L</w:t>
      </w:r>
      <w:r w:rsidRPr="00946291">
        <w:rPr>
          <w:rFonts w:hint="eastAsia"/>
          <w:lang w:eastAsia="zh-CN"/>
        </w:rPr>
        <w:t>·</w:t>
      </w:r>
      <w:r w:rsidRPr="00946291">
        <w:rPr>
          <w:lang w:eastAsia="zh-CN"/>
        </w:rPr>
        <w:t>(V</w:t>
      </w:r>
      <w:r w:rsidRPr="00946291">
        <w:rPr>
          <w:vertAlign w:val="subscript"/>
          <w:lang w:eastAsia="zh-CN"/>
        </w:rPr>
        <w:t>GS</w:t>
      </w:r>
      <w:r w:rsidRPr="00946291">
        <w:rPr>
          <w:rFonts w:hint="eastAsia"/>
          <w:lang w:eastAsia="zh-CN"/>
        </w:rPr>
        <w:t>-</w:t>
      </w:r>
      <w:r w:rsidRPr="00946291">
        <w:rPr>
          <w:lang w:eastAsia="zh-CN"/>
        </w:rPr>
        <w:t xml:space="preserve"> V</w:t>
      </w:r>
      <w:r w:rsidRPr="00946291">
        <w:rPr>
          <w:vertAlign w:val="subscript"/>
          <w:lang w:eastAsia="zh-CN"/>
        </w:rPr>
        <w:t>th</w:t>
      </w:r>
      <w:r w:rsidRPr="00946291">
        <w:rPr>
          <w:rFonts w:hint="eastAsia"/>
          <w:lang w:eastAsia="zh-CN"/>
        </w:rPr>
        <w:t>)</w:t>
      </w:r>
      <w:r w:rsidRPr="00946291">
        <w:rPr>
          <w:lang w:eastAsia="zh-CN"/>
        </w:rPr>
        <w:t xml:space="preserve">2(1 +  </w:t>
      </w:r>
      <w:r w:rsidRPr="00946291">
        <w:rPr>
          <w:rFonts w:hint="eastAsia"/>
          <w:lang w:eastAsia="zh-CN"/>
        </w:rPr>
        <w:t>λ</w:t>
      </w:r>
      <w:r w:rsidRPr="00946291">
        <w:rPr>
          <w:lang w:eastAsia="zh-CN"/>
        </w:rPr>
        <w:t>V</w:t>
      </w:r>
      <w:r w:rsidRPr="00946291">
        <w:rPr>
          <w:vertAlign w:val="subscript"/>
          <w:lang w:eastAsia="zh-CN"/>
        </w:rPr>
        <w:t>DS</w:t>
      </w:r>
      <w:r w:rsidRPr="00946291">
        <w:rPr>
          <w:lang w:eastAsia="zh-CN"/>
        </w:rPr>
        <w:t>)</w:t>
      </w:r>
      <w:r w:rsidRPr="00946291">
        <w:rPr>
          <w:rFonts w:hint="eastAsia"/>
          <w:lang w:eastAsia="zh-CN"/>
        </w:rPr>
        <w:t>.</w:t>
      </w:r>
      <w:r w:rsidRPr="00946291">
        <w:rPr>
          <w:lang w:eastAsia="zh-CN"/>
        </w:rPr>
        <w:t xml:space="preserve"> Among the key device parameters, the overdrive voltage (V</w:t>
      </w:r>
      <w:r w:rsidRPr="00946291">
        <w:rPr>
          <w:vertAlign w:val="subscript"/>
          <w:lang w:eastAsia="zh-CN"/>
        </w:rPr>
        <w:t>ov</w:t>
      </w:r>
      <w:r w:rsidRPr="00946291">
        <w:rPr>
          <w:lang w:eastAsia="zh-CN"/>
        </w:rPr>
        <w:t xml:space="preserve"> = V</w:t>
      </w:r>
      <w:r w:rsidRPr="00946291">
        <w:rPr>
          <w:vertAlign w:val="subscript"/>
          <w:lang w:eastAsia="zh-CN"/>
        </w:rPr>
        <w:t>GS</w:t>
      </w:r>
      <w:r w:rsidRPr="00946291">
        <w:rPr>
          <w:lang w:eastAsia="zh-CN"/>
        </w:rPr>
        <w:t xml:space="preserve"> - V</w:t>
      </w:r>
      <w:r w:rsidRPr="00946291">
        <w:rPr>
          <w:vertAlign w:val="subscript"/>
          <w:lang w:eastAsia="zh-CN"/>
        </w:rPr>
        <w:t>th</w:t>
      </w:r>
      <w:r w:rsidRPr="00946291">
        <w:rPr>
          <w:lang w:eastAsia="zh-CN"/>
        </w:rPr>
        <w:t>) plays a crucial role. It determines the channel conductivity and transconductance g</w:t>
      </w:r>
      <w:r w:rsidRPr="00946291">
        <w:rPr>
          <w:vertAlign w:val="subscript"/>
          <w:lang w:eastAsia="zh-CN"/>
        </w:rPr>
        <w:t>m</w:t>
      </w:r>
      <w:r w:rsidRPr="00946291">
        <w:rPr>
          <w:lang w:eastAsia="zh-CN"/>
        </w:rPr>
        <w:t xml:space="preserve"> = μ</w:t>
      </w:r>
      <w:r w:rsidRPr="00946291">
        <w:rPr>
          <w:vertAlign w:val="subscript"/>
          <w:lang w:eastAsia="zh-CN"/>
        </w:rPr>
        <w:t>n</w:t>
      </w:r>
      <w:r w:rsidRPr="00946291">
        <w:rPr>
          <w:lang w:eastAsia="zh-CN"/>
        </w:rPr>
        <w:t xml:space="preserve"> C</w:t>
      </w:r>
      <w:r w:rsidRPr="00946291">
        <w:rPr>
          <w:vertAlign w:val="subscript"/>
          <w:lang w:eastAsia="zh-CN"/>
        </w:rPr>
        <w:t>ox</w:t>
      </w:r>
      <w:r w:rsidRPr="00946291">
        <w:rPr>
          <w:lang w:eastAsia="zh-CN"/>
        </w:rPr>
        <w:t>·(W/L)·V</w:t>
      </w:r>
      <w:r w:rsidRPr="00946291">
        <w:rPr>
          <w:vertAlign w:val="subscript"/>
          <w:lang w:eastAsia="zh-CN"/>
        </w:rPr>
        <w:t>ov</w:t>
      </w:r>
      <w:r w:rsidRPr="00946291">
        <w:rPr>
          <w:lang w:eastAsia="zh-CN"/>
        </w:rPr>
        <w:t>, which is critical for the signal amplification capability of the MOSFET. Another important parameter is the channel length modulation (λ). This parameter, related to short-channel effects, causes the drain current to depend on VDS. It is modeled by the output resistance r</w:t>
      </w:r>
      <w:r w:rsidRPr="00946291">
        <w:rPr>
          <w:vertAlign w:val="subscript"/>
          <w:lang w:eastAsia="zh-CN"/>
        </w:rPr>
        <w:t>o</w:t>
      </w:r>
      <w:r w:rsidRPr="00946291">
        <w:rPr>
          <w:lang w:eastAsia="zh-CN"/>
        </w:rPr>
        <w:t xml:space="preserve"> = 1/(λ I</w:t>
      </w:r>
      <w:r w:rsidRPr="00946291">
        <w:rPr>
          <w:vertAlign w:val="subscript"/>
          <w:lang w:eastAsia="zh-CN"/>
        </w:rPr>
        <w:t>D</w:t>
      </w:r>
      <w:r w:rsidRPr="00946291">
        <w:rPr>
          <w:lang w:eastAsia="zh-CN"/>
        </w:rPr>
        <w:t>), which has a direct impact on voltage gain calculations.</w:t>
      </w:r>
    </w:p>
    <w:p w14:paraId="573A77B8" w14:textId="4A81A05A" w:rsidR="00946291" w:rsidRPr="00946291" w:rsidRDefault="00946291" w:rsidP="00946291">
      <w:pPr>
        <w:pStyle w:val="2"/>
        <w:rPr>
          <w:lang w:eastAsia="zh-CN"/>
        </w:rPr>
      </w:pPr>
      <w:r w:rsidRPr="00946291">
        <w:rPr>
          <w:lang w:eastAsia="zh-CN"/>
        </w:rPr>
        <w:t>Small-Signal Modeling and Key Metrics</w:t>
      </w:r>
    </w:p>
    <w:p w14:paraId="790FB804" w14:textId="6B0BF4FC" w:rsidR="00946291" w:rsidRPr="00946291" w:rsidRDefault="00946291" w:rsidP="00946291">
      <w:pPr>
        <w:pStyle w:val="3"/>
      </w:pPr>
      <w:r w:rsidRPr="00946291">
        <w:t>Linearized Circuit Representation</w:t>
      </w:r>
    </w:p>
    <w:p w14:paraId="60729470" w14:textId="266606A4" w:rsidR="00946291" w:rsidRPr="00946291" w:rsidRDefault="00946291" w:rsidP="00946291">
      <w:pPr>
        <w:pStyle w:val="Paragraph"/>
        <w:rPr>
          <w:lang w:eastAsia="zh-CN"/>
        </w:rPr>
      </w:pPr>
      <w:r w:rsidRPr="00946291">
        <w:rPr>
          <w:lang w:eastAsia="zh-CN"/>
        </w:rPr>
        <w:t>The small-signal model of a common-source amplifier serves to linearize the MOSFET’s nonlinear characteristics. This model comprises three essential components that collectively define the amplifier’s frequency-dependent behavior. The transconductance (g</w:t>
      </w:r>
      <w:r w:rsidRPr="00946291">
        <w:rPr>
          <w:vertAlign w:val="subscript"/>
          <w:lang w:eastAsia="zh-CN"/>
        </w:rPr>
        <w:t>m</w:t>
      </w:r>
      <w:r w:rsidRPr="00946291">
        <w:rPr>
          <w:lang w:eastAsia="zh-CN"/>
        </w:rPr>
        <w:t>) is a vital parameter that couples the input voltage v</w:t>
      </w:r>
      <w:r w:rsidRPr="00946291">
        <w:rPr>
          <w:vertAlign w:val="subscript"/>
          <w:lang w:eastAsia="zh-CN"/>
        </w:rPr>
        <w:t>gs</w:t>
      </w:r>
      <w:r w:rsidRPr="00946291">
        <w:rPr>
          <w:lang w:eastAsia="zh-CN"/>
        </w:rPr>
        <w:t xml:space="preserve"> to the drain current, represented as i</w:t>
      </w:r>
      <w:r w:rsidRPr="00946291">
        <w:rPr>
          <w:vertAlign w:val="subscript"/>
          <w:lang w:eastAsia="zh-CN"/>
        </w:rPr>
        <w:t>d</w:t>
      </w:r>
      <w:r w:rsidRPr="00946291">
        <w:rPr>
          <w:lang w:eastAsia="zh-CN"/>
        </w:rPr>
        <w:t xml:space="preserve"> = g</w:t>
      </w:r>
      <w:r w:rsidRPr="00946291">
        <w:rPr>
          <w:vertAlign w:val="subscript"/>
          <w:lang w:eastAsia="zh-CN"/>
        </w:rPr>
        <w:t>m</w:t>
      </w:r>
      <w:r w:rsidRPr="00946291">
        <w:rPr>
          <w:lang w:eastAsia="zh-CN"/>
        </w:rPr>
        <w:t xml:space="preserve"> v</w:t>
      </w:r>
      <w:r w:rsidRPr="00946291">
        <w:rPr>
          <w:vertAlign w:val="subscript"/>
          <w:lang w:eastAsia="zh-CN"/>
        </w:rPr>
        <w:t>gs</w:t>
      </w:r>
      <w:r w:rsidRPr="00946291">
        <w:rPr>
          <w:lang w:eastAsia="zh-CN"/>
        </w:rPr>
        <w:t xml:space="preserve">. This mechanism forms the core of the amplification process. The value of gm is </w:t>
      </w:r>
      <w:r w:rsidRPr="00946291">
        <w:rPr>
          <w:lang w:eastAsia="zh-CN"/>
        </w:rPr>
        <w:lastRenderedPageBreak/>
        <w:t>proportional to the transistor’s overdrive voltage and can be expressed as g</w:t>
      </w:r>
      <w:r w:rsidRPr="00946291">
        <w:rPr>
          <w:vertAlign w:val="subscript"/>
          <w:lang w:eastAsia="zh-CN"/>
        </w:rPr>
        <w:t>m</w:t>
      </w:r>
      <w:r w:rsidRPr="00946291">
        <w:rPr>
          <w:lang w:eastAsia="zh-CN"/>
        </w:rPr>
        <w:t xml:space="preserve"> = μ</w:t>
      </w:r>
      <w:r w:rsidRPr="00946291">
        <w:rPr>
          <w:vertAlign w:val="subscript"/>
          <w:lang w:eastAsia="zh-CN"/>
        </w:rPr>
        <w:t>n</w:t>
      </w:r>
      <w:r w:rsidRPr="00946291">
        <w:rPr>
          <w:lang w:eastAsia="zh-CN"/>
        </w:rPr>
        <w:t xml:space="preserve"> C</w:t>
      </w:r>
      <w:r w:rsidRPr="00946291">
        <w:rPr>
          <w:vertAlign w:val="subscript"/>
          <w:lang w:eastAsia="zh-CN"/>
        </w:rPr>
        <w:t>ox</w:t>
      </w:r>
      <w:r w:rsidRPr="00946291">
        <w:rPr>
          <w:lang w:eastAsia="zh-CN"/>
        </w:rPr>
        <w:t xml:space="preserve"> (W/L) V</w:t>
      </w:r>
      <w:r w:rsidRPr="00946291">
        <w:rPr>
          <w:vertAlign w:val="subscript"/>
          <w:lang w:eastAsia="zh-CN"/>
        </w:rPr>
        <w:t>OV</w:t>
      </w:r>
      <w:r w:rsidRPr="00946291">
        <w:rPr>
          <w:lang w:eastAsia="zh-CN"/>
        </w:rPr>
        <w:t>, where V</w:t>
      </w:r>
      <w:r w:rsidRPr="00946291">
        <w:rPr>
          <w:vertAlign w:val="subscript"/>
          <w:lang w:eastAsia="zh-CN"/>
        </w:rPr>
        <w:t>OV</w:t>
      </w:r>
      <w:r w:rsidRPr="00946291">
        <w:rPr>
          <w:lang w:eastAsia="zh-CN"/>
        </w:rPr>
        <w:t xml:space="preserve"> is equal to V</w:t>
      </w:r>
      <w:r w:rsidRPr="00946291">
        <w:rPr>
          <w:vertAlign w:val="subscript"/>
          <w:lang w:eastAsia="zh-CN"/>
        </w:rPr>
        <w:t>GS</w:t>
      </w:r>
      <w:r w:rsidRPr="00946291">
        <w:rPr>
          <w:lang w:eastAsia="zh-CN"/>
        </w:rPr>
        <w:t xml:space="preserve"> minus V</w:t>
      </w:r>
      <w:r w:rsidRPr="00946291">
        <w:rPr>
          <w:vertAlign w:val="subscript"/>
          <w:lang w:eastAsia="zh-CN"/>
        </w:rPr>
        <w:t>th</w:t>
      </w:r>
      <w:r w:rsidRPr="00946291">
        <w:rPr>
          <w:lang w:eastAsia="zh-CN"/>
        </w:rPr>
        <w:t>.</w:t>
      </w:r>
    </w:p>
    <w:p w14:paraId="1CEDE3E2" w14:textId="2070E370" w:rsidR="00946291" w:rsidRPr="00946291" w:rsidRDefault="00946291" w:rsidP="00946291">
      <w:pPr>
        <w:pStyle w:val="Paragraph"/>
        <w:rPr>
          <w:lang w:eastAsia="zh-CN"/>
        </w:rPr>
      </w:pPr>
      <w:r w:rsidRPr="00946291">
        <w:rPr>
          <w:lang w:eastAsia="zh-CN"/>
        </w:rPr>
        <w:t>In addition to transconductance, the model includes a parasitic capacitance network that significantly affects the amplifier’s performance. The gate-source capacitance (C</w:t>
      </w:r>
      <w:r w:rsidRPr="00946291">
        <w:rPr>
          <w:vertAlign w:val="subscript"/>
          <w:lang w:eastAsia="zh-CN"/>
        </w:rPr>
        <w:t>gs</w:t>
      </w:r>
      <w:r w:rsidRPr="00946291">
        <w:rPr>
          <w:lang w:eastAsia="zh-CN"/>
        </w:rPr>
        <w:t>) predominantly influences the input impedance at low frequencies. It contributes to the formation of an input pole, which is defined as f</w:t>
      </w:r>
      <w:r w:rsidRPr="00946291">
        <w:rPr>
          <w:vertAlign w:val="subscript"/>
          <w:lang w:eastAsia="zh-CN"/>
        </w:rPr>
        <w:t>in</w:t>
      </w:r>
      <w:r w:rsidRPr="00946291">
        <w:rPr>
          <w:lang w:eastAsia="zh-CN"/>
        </w:rPr>
        <w:t xml:space="preserve"> = 1/(2π R</w:t>
      </w:r>
      <w:r w:rsidRPr="00946291">
        <w:rPr>
          <w:vertAlign w:val="subscript"/>
          <w:lang w:eastAsia="zh-CN"/>
        </w:rPr>
        <w:t>in</w:t>
      </w:r>
      <w:r w:rsidRPr="00946291">
        <w:rPr>
          <w:lang w:eastAsia="zh-CN"/>
        </w:rPr>
        <w:t xml:space="preserve"> C</w:t>
      </w:r>
      <w:r w:rsidRPr="00946291">
        <w:rPr>
          <w:vertAlign w:val="subscript"/>
          <w:lang w:eastAsia="zh-CN"/>
        </w:rPr>
        <w:t>gs</w:t>
      </w:r>
      <w:r w:rsidRPr="00946291">
        <w:rPr>
          <w:lang w:eastAsia="zh-CN"/>
        </w:rPr>
        <w:t>). Another important capacitance is the gate-drain capacitance (C</w:t>
      </w:r>
      <w:r w:rsidRPr="00946291">
        <w:rPr>
          <w:vertAlign w:val="subscript"/>
          <w:lang w:eastAsia="zh-CN"/>
        </w:rPr>
        <w:t>gd</w:t>
      </w:r>
      <w:r w:rsidRPr="00946291">
        <w:rPr>
          <w:lang w:eastAsia="zh-CN"/>
        </w:rPr>
        <w:t>), which is subject to the Miller effect. This effect amplifies the impact of C</w:t>
      </w:r>
      <w:r w:rsidRPr="00946291">
        <w:rPr>
          <w:vertAlign w:val="subscript"/>
          <w:lang w:eastAsia="zh-CN"/>
        </w:rPr>
        <w:t>gd</w:t>
      </w:r>
      <w:r w:rsidRPr="00946291">
        <w:rPr>
          <w:lang w:eastAsia="zh-CN"/>
        </w:rPr>
        <w:t xml:space="preserve"> at high frequencies, effectively increasing the input capacitance. As a result, the upper 3-dB frequency is reduced. The Miller capacitance can be represented as C</w:t>
      </w:r>
      <w:r w:rsidRPr="00946291">
        <w:rPr>
          <w:vertAlign w:val="subscript"/>
          <w:lang w:eastAsia="zh-CN"/>
        </w:rPr>
        <w:t>Miler</w:t>
      </w:r>
      <w:r w:rsidRPr="00946291">
        <w:rPr>
          <w:lang w:eastAsia="zh-CN"/>
        </w:rPr>
        <w:t xml:space="preserve"> = C</w:t>
      </w:r>
      <w:r w:rsidRPr="00946291">
        <w:rPr>
          <w:vertAlign w:val="subscript"/>
          <w:lang w:eastAsia="zh-CN"/>
        </w:rPr>
        <w:t>gd</w:t>
      </w:r>
      <w:r w:rsidRPr="00946291">
        <w:rPr>
          <w:lang w:eastAsia="zh-CN"/>
        </w:rPr>
        <w:t xml:space="preserve"> (1 + |A</w:t>
      </w:r>
      <w:r w:rsidRPr="00946291">
        <w:rPr>
          <w:vertAlign w:val="subscript"/>
          <w:lang w:eastAsia="zh-CN"/>
        </w:rPr>
        <w:t>v</w:t>
      </w:r>
      <w:r w:rsidRPr="00946291">
        <w:rPr>
          <w:lang w:eastAsia="zh-CN"/>
        </w:rPr>
        <w:t>|). Furthermore, the drain-bulk capacitance (C</w:t>
      </w:r>
      <w:r w:rsidRPr="00946291">
        <w:rPr>
          <w:vertAlign w:val="subscript"/>
          <w:lang w:eastAsia="zh-CN"/>
        </w:rPr>
        <w:t>db</w:t>
      </w:r>
      <w:r w:rsidRPr="00946291">
        <w:rPr>
          <w:lang w:eastAsia="zh-CN"/>
        </w:rPr>
        <w:t>) combines with the load capacitance (C</w:t>
      </w:r>
      <w:r w:rsidRPr="00946291">
        <w:rPr>
          <w:vertAlign w:val="subscript"/>
          <w:lang w:eastAsia="zh-CN"/>
        </w:rPr>
        <w:t>load</w:t>
      </w:r>
      <w:r w:rsidRPr="00946291">
        <w:rPr>
          <w:lang w:eastAsia="zh-CN"/>
        </w:rPr>
        <w:t>) to form an output pole. This output pole is defined by the equation f</w:t>
      </w:r>
      <w:r w:rsidRPr="00946291">
        <w:rPr>
          <w:vertAlign w:val="subscript"/>
          <w:lang w:eastAsia="zh-CN"/>
        </w:rPr>
        <w:t>out</w:t>
      </w:r>
      <w:r w:rsidRPr="00946291">
        <w:rPr>
          <w:lang w:eastAsia="zh-CN"/>
        </w:rPr>
        <w:t xml:space="preserve"> = 1/(2π (r</w:t>
      </w:r>
      <w:r w:rsidRPr="00946291">
        <w:rPr>
          <w:vertAlign w:val="subscript"/>
          <w:lang w:eastAsia="zh-CN"/>
        </w:rPr>
        <w:t>o</w:t>
      </w:r>
      <w:r w:rsidRPr="00946291">
        <w:rPr>
          <w:lang w:eastAsia="zh-CN"/>
        </w:rPr>
        <w:t xml:space="preserve"> || R</w:t>
      </w:r>
      <w:r w:rsidRPr="00946291">
        <w:rPr>
          <w:vertAlign w:val="subscript"/>
          <w:lang w:eastAsia="zh-CN"/>
        </w:rPr>
        <w:t>D</w:t>
      </w:r>
      <w:r w:rsidRPr="00946291">
        <w:rPr>
          <w:lang w:eastAsia="zh-CN"/>
        </w:rPr>
        <w:t>) (C</w:t>
      </w:r>
      <w:r w:rsidRPr="00946291">
        <w:rPr>
          <w:vertAlign w:val="subscript"/>
          <w:lang w:eastAsia="zh-CN"/>
        </w:rPr>
        <w:t>db</w:t>
      </w:r>
      <w:r w:rsidRPr="00946291">
        <w:rPr>
          <w:lang w:eastAsia="zh-CN"/>
        </w:rPr>
        <w:t xml:space="preserve"> + C</w:t>
      </w:r>
      <w:r w:rsidRPr="00946291">
        <w:rPr>
          <w:vertAlign w:val="subscript"/>
          <w:lang w:eastAsia="zh-CN"/>
        </w:rPr>
        <w:t>load</w:t>
      </w:r>
      <w:r w:rsidRPr="00946291">
        <w:rPr>
          <w:lang w:eastAsia="zh-CN"/>
        </w:rPr>
        <w:t>)).</w:t>
      </w:r>
    </w:p>
    <w:p w14:paraId="1B7B8A36" w14:textId="7A1E7BE9" w:rsidR="00946291" w:rsidRPr="00946291" w:rsidRDefault="00946291" w:rsidP="00946291">
      <w:pPr>
        <w:pStyle w:val="Paragraph"/>
        <w:rPr>
          <w:lang w:eastAsia="zh-CN"/>
        </w:rPr>
      </w:pPr>
      <w:r w:rsidRPr="00946291">
        <w:rPr>
          <w:lang w:eastAsia="zh-CN"/>
        </w:rPr>
        <w:t>The output resistance (r</w:t>
      </w:r>
      <w:r w:rsidRPr="00946291">
        <w:rPr>
          <w:vertAlign w:val="subscript"/>
          <w:lang w:eastAsia="zh-CN"/>
        </w:rPr>
        <w:t>o</w:t>
      </w:r>
      <w:r w:rsidRPr="00946291">
        <w:rPr>
          <w:lang w:eastAsia="zh-CN"/>
        </w:rPr>
        <w:t>) is also a key component of the small-signal model. It is modeled as r</w:t>
      </w:r>
      <w:r w:rsidRPr="00946291">
        <w:rPr>
          <w:vertAlign w:val="subscript"/>
          <w:lang w:eastAsia="zh-CN"/>
        </w:rPr>
        <w:t>o</w:t>
      </w:r>
      <w:r w:rsidRPr="00946291">
        <w:rPr>
          <w:lang w:eastAsia="zh-CN"/>
        </w:rPr>
        <w:t xml:space="preserve"> = 1/(λ I</w:t>
      </w:r>
      <w:r w:rsidRPr="00946291">
        <w:rPr>
          <w:vertAlign w:val="subscript"/>
          <w:lang w:eastAsia="zh-CN"/>
        </w:rPr>
        <w:t>D</w:t>
      </w:r>
      <w:r w:rsidRPr="00946291">
        <w:rPr>
          <w:lang w:eastAsia="zh-CN"/>
        </w:rPr>
        <w:t>) due to channel-length modulation. When combined with the load resistance R</w:t>
      </w:r>
      <w:r w:rsidRPr="00946291">
        <w:rPr>
          <w:vertAlign w:val="subscript"/>
          <w:lang w:eastAsia="zh-CN"/>
        </w:rPr>
        <w:t>D</w:t>
      </w:r>
      <w:r w:rsidRPr="00946291">
        <w:rPr>
          <w:lang w:eastAsia="zh-CN"/>
        </w:rPr>
        <w:t>, it determines the voltage gain of the amplifier, which can be expressed as A</w:t>
      </w:r>
      <w:r w:rsidRPr="00946291">
        <w:rPr>
          <w:vertAlign w:val="subscript"/>
          <w:lang w:eastAsia="zh-CN"/>
        </w:rPr>
        <w:t>v</w:t>
      </w:r>
      <w:r w:rsidRPr="00946291">
        <w:rPr>
          <w:lang w:eastAsia="zh-CN"/>
        </w:rPr>
        <w:t xml:space="preserve"> = -g</w:t>
      </w:r>
      <w:r w:rsidRPr="00946291">
        <w:rPr>
          <w:vertAlign w:val="subscript"/>
          <w:lang w:eastAsia="zh-CN"/>
        </w:rPr>
        <w:t>m</w:t>
      </w:r>
      <w:r w:rsidRPr="00946291">
        <w:rPr>
          <w:lang w:eastAsia="zh-CN"/>
        </w:rPr>
        <w:t xml:space="preserve"> (R</w:t>
      </w:r>
      <w:r w:rsidRPr="00946291">
        <w:rPr>
          <w:vertAlign w:val="subscript"/>
          <w:lang w:eastAsia="zh-CN"/>
        </w:rPr>
        <w:t>D</w:t>
      </w:r>
      <w:r w:rsidRPr="00946291">
        <w:rPr>
          <w:lang w:eastAsia="zh-CN"/>
        </w:rPr>
        <w:t xml:space="preserve"> || r</w:t>
      </w:r>
      <w:r w:rsidRPr="00946291">
        <w:rPr>
          <w:vertAlign w:val="subscript"/>
          <w:lang w:eastAsia="zh-CN"/>
        </w:rPr>
        <w:t>o</w:t>
      </w:r>
      <w:r w:rsidRPr="00946291">
        <w:rPr>
          <w:lang w:eastAsia="zh-CN"/>
        </w:rPr>
        <w:t>). The negative sign in this equation indicates that there is a 180° phase inversion between the input and output signals.</w:t>
      </w:r>
    </w:p>
    <w:p w14:paraId="35F1669E" w14:textId="68BB62BF" w:rsidR="00946291" w:rsidRPr="00946291" w:rsidRDefault="00946291" w:rsidP="00946291">
      <w:pPr>
        <w:pStyle w:val="Paragraph"/>
        <w:rPr>
          <w:lang w:eastAsia="zh-CN"/>
        </w:rPr>
      </w:pPr>
      <w:r w:rsidRPr="00946291">
        <w:rPr>
          <w:lang w:eastAsia="zh-CN"/>
        </w:rPr>
        <w:t>Regarding high-frequency limitations, the Miller effect is particularly detrimental. For instance, when the gain |A</w:t>
      </w:r>
      <w:r w:rsidRPr="00946291">
        <w:rPr>
          <w:vertAlign w:val="subscript"/>
          <w:lang w:eastAsia="zh-CN"/>
        </w:rPr>
        <w:t>v</w:t>
      </w:r>
      <w:r w:rsidRPr="00946291">
        <w:rPr>
          <w:lang w:eastAsia="zh-CN"/>
        </w:rPr>
        <w:t>| is 50, the C</w:t>
      </w:r>
      <w:r w:rsidRPr="00946291">
        <w:rPr>
          <w:vertAlign w:val="subscript"/>
          <w:lang w:eastAsia="zh-CN"/>
        </w:rPr>
        <w:t>gd</w:t>
      </w:r>
      <w:r w:rsidRPr="00946291">
        <w:rPr>
          <w:lang w:eastAsia="zh-CN"/>
        </w:rPr>
        <w:t xml:space="preserve"> effectively introduces a 50× larger capacitance at the input. This significantly narrows the bandwidth by an order of magnitude compared to the ideal case without C</w:t>
      </w:r>
      <w:r w:rsidRPr="00946291">
        <w:rPr>
          <w:vertAlign w:val="subscript"/>
          <w:lang w:eastAsia="zh-CN"/>
        </w:rPr>
        <w:t>gd</w:t>
      </w:r>
      <w:r w:rsidRPr="00946291">
        <w:rPr>
          <w:lang w:eastAsia="zh-CN"/>
        </w:rPr>
        <w:t>.</w:t>
      </w:r>
    </w:p>
    <w:p w14:paraId="7221B7BD" w14:textId="0D4B2C8B" w:rsidR="00946291" w:rsidRDefault="00946291" w:rsidP="00946291">
      <w:pPr>
        <w:pStyle w:val="3"/>
        <w:rPr>
          <w:rFonts w:ascii="宋体" w:eastAsia="宋体" w:hAnsi="宋体" w:cs="宋体"/>
        </w:rPr>
      </w:pPr>
      <w:r w:rsidRPr="00946291">
        <w:t>Operating Region Tradeoffs</w:t>
      </w:r>
    </w:p>
    <w:p w14:paraId="08FA9564" w14:textId="301B1715" w:rsidR="00946291" w:rsidRPr="00946291" w:rsidRDefault="00946291" w:rsidP="00946291">
      <w:pPr>
        <w:pStyle w:val="Paragraph"/>
        <w:rPr>
          <w:lang w:eastAsia="zh-CN"/>
        </w:rPr>
      </w:pPr>
      <w:r w:rsidRPr="00946291">
        <w:rPr>
          <w:lang w:eastAsia="zh-CN"/>
        </w:rPr>
        <w:t>Table 1 demonstrates the performance trade - offs among distinct MOSFET operating regions, offering critical insights for the design of common - source (CS) amplifiers. It systematically contrasts parameters such as Voltage Gain (A</w:t>
      </w:r>
      <w:r w:rsidRPr="00946291">
        <w:rPr>
          <w:vertAlign w:val="subscript"/>
          <w:lang w:eastAsia="zh-CN"/>
        </w:rPr>
        <w:t>V</w:t>
      </w:r>
      <w:r w:rsidRPr="00946291">
        <w:rPr>
          <w:lang w:eastAsia="zh-CN"/>
        </w:rPr>
        <w:t>), Power Dissipation, Linearity (IP3), and Typical Applications across different regions. In the Saturation region, a high voltage gain (20–40 dB) is achieved, accompanied by moderate power dissipation (1–100 μW) and good linearity (10–20 dBm). These characteristics make it well - suited for general - purpose amplifiers and analog front - ends, where a balance between gain and power consumption is required. The Triode (Linear) region, on the other hand, exhibits low voltage gain (&lt;10 dB) and low power dissipation (&lt;1 μW), but stands out with excellent linearity (&gt;30 dBm). This makes it ideal for applications such as voltage - controlled resistors and analog signal processing, where linearity is a priority over high gain. The Subthreshold region features very low voltage gain (&lt;5 dB) and ultra - low power dissipation (&lt;100 nW), though at the cost of poor linearity (&lt;0 dBm). Such trade - offs render it appropriate for ultra - low - power IoT sensors and energy - harvesting circuits, where minimizing power consumption is of utmost importance even with limited gain and linearity. Overall, table</w:t>
      </w:r>
      <w:r w:rsidR="00450FB5">
        <w:rPr>
          <w:rFonts w:hint="eastAsia"/>
          <w:lang w:eastAsia="zh-CN"/>
        </w:rPr>
        <w:t xml:space="preserve"> 1</w:t>
      </w:r>
      <w:r w:rsidRPr="00946291">
        <w:rPr>
          <w:lang w:eastAsia="zh-CN"/>
        </w:rPr>
        <w:t xml:space="preserve"> serves as a vital reference for engineers to make informed decisions when selecting the appropriate operating region, aligning with the specific performance requirements of their designs.</w:t>
      </w:r>
    </w:p>
    <w:p w14:paraId="1041D694" w14:textId="19685620" w:rsidR="00946291" w:rsidRPr="00946291" w:rsidRDefault="00372740" w:rsidP="00946291">
      <w:pPr>
        <w:pStyle w:val="TableCaption"/>
        <w:rPr>
          <w:lang w:eastAsia="zh-CN"/>
        </w:rPr>
      </w:pPr>
      <w:r w:rsidRPr="00372740">
        <w:rPr>
          <w:b/>
          <w:bCs/>
          <w:lang w:eastAsia="zh-CN"/>
        </w:rPr>
        <w:t>TABLE 1</w:t>
      </w:r>
      <w:r>
        <w:rPr>
          <w:rFonts w:hint="eastAsia"/>
          <w:b/>
          <w:bCs/>
          <w:lang w:eastAsia="zh-CN"/>
        </w:rPr>
        <w:t>.</w:t>
      </w:r>
      <w:r w:rsidRPr="00946291">
        <w:rPr>
          <w:lang w:eastAsia="zh-CN"/>
        </w:rPr>
        <w:t xml:space="preserve"> </w:t>
      </w:r>
      <w:r w:rsidR="00946291" w:rsidRPr="00946291">
        <w:rPr>
          <w:lang w:eastAsia="zh-CN"/>
        </w:rPr>
        <w:t>MOSFET Operating Regions: Performance Tradeoffs</w:t>
      </w:r>
    </w:p>
    <w:tbl>
      <w:tblPr>
        <w:tblW w:w="0" w:type="auto"/>
        <w:tblInd w:w="404" w:type="dxa"/>
        <w:tblCellMar>
          <w:left w:w="10" w:type="dxa"/>
          <w:right w:w="10" w:type="dxa"/>
        </w:tblCellMar>
        <w:tblLook w:val="04A0" w:firstRow="1" w:lastRow="0" w:firstColumn="1" w:lastColumn="0" w:noHBand="0" w:noVBand="1"/>
      </w:tblPr>
      <w:tblGrid>
        <w:gridCol w:w="1417"/>
        <w:gridCol w:w="1843"/>
        <w:gridCol w:w="1843"/>
        <w:gridCol w:w="1559"/>
        <w:gridCol w:w="2268"/>
      </w:tblGrid>
      <w:tr w:rsidR="00946291" w:rsidRPr="00191EC5" w14:paraId="642B9841" w14:textId="77777777" w:rsidTr="00191EC5">
        <w:trPr>
          <w:trHeight w:val="20"/>
        </w:trPr>
        <w:tc>
          <w:tcPr>
            <w:tcW w:w="1417" w:type="dxa"/>
            <w:tcBorders>
              <w:top w:val="single" w:sz="4" w:space="0" w:color="auto"/>
              <w:bottom w:val="single" w:sz="4" w:space="0" w:color="auto"/>
            </w:tcBorders>
            <w:tcMar>
              <w:top w:w="60" w:type="dxa"/>
              <w:left w:w="120" w:type="dxa"/>
              <w:bottom w:w="30" w:type="dxa"/>
              <w:right w:w="120" w:type="dxa"/>
            </w:tcMar>
          </w:tcPr>
          <w:p w14:paraId="48D1968D" w14:textId="77777777" w:rsidR="00946291" w:rsidRPr="00191EC5" w:rsidRDefault="00946291" w:rsidP="00191EC5">
            <w:pPr>
              <w:rPr>
                <w:rFonts w:eastAsia="等线"/>
                <w:b/>
                <w:bCs/>
                <w:sz w:val="18"/>
                <w:lang w:eastAsia="zh-CN"/>
              </w:rPr>
            </w:pPr>
            <w:r w:rsidRPr="00191EC5">
              <w:rPr>
                <w:rFonts w:eastAsia="等线"/>
                <w:b/>
                <w:bCs/>
                <w:sz w:val="18"/>
                <w:lang w:eastAsia="zh-CN"/>
              </w:rPr>
              <w:t>Operating Region</w:t>
            </w:r>
          </w:p>
        </w:tc>
        <w:tc>
          <w:tcPr>
            <w:tcW w:w="1843" w:type="dxa"/>
            <w:tcBorders>
              <w:top w:val="single" w:sz="4" w:space="0" w:color="auto"/>
              <w:bottom w:val="single" w:sz="4" w:space="0" w:color="auto"/>
            </w:tcBorders>
            <w:tcMar>
              <w:top w:w="60" w:type="dxa"/>
              <w:left w:w="120" w:type="dxa"/>
              <w:bottom w:w="30" w:type="dxa"/>
              <w:right w:w="120" w:type="dxa"/>
            </w:tcMar>
          </w:tcPr>
          <w:p w14:paraId="2B896E33" w14:textId="77777777" w:rsidR="00946291" w:rsidRPr="00191EC5" w:rsidRDefault="00946291" w:rsidP="00191EC5">
            <w:pPr>
              <w:rPr>
                <w:rFonts w:eastAsia="等线"/>
                <w:b/>
                <w:bCs/>
                <w:sz w:val="18"/>
                <w:lang w:eastAsia="zh-CN"/>
              </w:rPr>
            </w:pPr>
            <w:r w:rsidRPr="00191EC5">
              <w:rPr>
                <w:rFonts w:eastAsia="等线"/>
                <w:b/>
                <w:bCs/>
                <w:sz w:val="18"/>
                <w:lang w:eastAsia="zh-CN"/>
              </w:rPr>
              <w:t>Voltage Gain ( A</w:t>
            </w:r>
            <w:r w:rsidRPr="00191EC5">
              <w:rPr>
                <w:rFonts w:eastAsia="等线"/>
                <w:b/>
                <w:bCs/>
                <w:sz w:val="18"/>
                <w:vertAlign w:val="subscript"/>
                <w:lang w:eastAsia="zh-CN"/>
              </w:rPr>
              <w:t>v</w:t>
            </w:r>
            <w:r w:rsidRPr="00191EC5">
              <w:rPr>
                <w:rFonts w:eastAsia="等线"/>
                <w:b/>
                <w:bCs/>
                <w:sz w:val="18"/>
                <w:lang w:eastAsia="zh-CN"/>
              </w:rPr>
              <w:t xml:space="preserve"> )</w:t>
            </w:r>
          </w:p>
        </w:tc>
        <w:tc>
          <w:tcPr>
            <w:tcW w:w="1843" w:type="dxa"/>
            <w:tcBorders>
              <w:top w:val="single" w:sz="4" w:space="0" w:color="auto"/>
              <w:bottom w:val="single" w:sz="4" w:space="0" w:color="auto"/>
            </w:tcBorders>
            <w:tcMar>
              <w:top w:w="60" w:type="dxa"/>
              <w:left w:w="120" w:type="dxa"/>
              <w:bottom w:w="30" w:type="dxa"/>
              <w:right w:w="120" w:type="dxa"/>
            </w:tcMar>
          </w:tcPr>
          <w:p w14:paraId="52555F3C" w14:textId="77777777" w:rsidR="00946291" w:rsidRPr="00191EC5" w:rsidRDefault="00946291" w:rsidP="00191EC5">
            <w:pPr>
              <w:rPr>
                <w:rFonts w:eastAsia="等线"/>
                <w:b/>
                <w:bCs/>
                <w:sz w:val="18"/>
                <w:lang w:eastAsia="zh-CN"/>
              </w:rPr>
            </w:pPr>
            <w:r w:rsidRPr="00191EC5">
              <w:rPr>
                <w:rFonts w:eastAsia="等线"/>
                <w:b/>
                <w:bCs/>
                <w:sz w:val="18"/>
                <w:lang w:eastAsia="zh-CN"/>
              </w:rPr>
              <w:t>Power Dissipation</w:t>
            </w:r>
          </w:p>
        </w:tc>
        <w:tc>
          <w:tcPr>
            <w:tcW w:w="1559" w:type="dxa"/>
            <w:tcBorders>
              <w:top w:val="single" w:sz="4" w:space="0" w:color="auto"/>
              <w:bottom w:val="single" w:sz="4" w:space="0" w:color="auto"/>
            </w:tcBorders>
            <w:tcMar>
              <w:top w:w="60" w:type="dxa"/>
              <w:left w:w="120" w:type="dxa"/>
              <w:bottom w:w="30" w:type="dxa"/>
              <w:right w:w="120" w:type="dxa"/>
            </w:tcMar>
          </w:tcPr>
          <w:p w14:paraId="3033704B" w14:textId="77777777" w:rsidR="00946291" w:rsidRPr="00191EC5" w:rsidRDefault="00946291" w:rsidP="00191EC5">
            <w:pPr>
              <w:rPr>
                <w:rFonts w:eastAsia="等线"/>
                <w:b/>
                <w:bCs/>
                <w:sz w:val="18"/>
                <w:lang w:eastAsia="zh-CN"/>
              </w:rPr>
            </w:pPr>
            <w:r w:rsidRPr="00191EC5">
              <w:rPr>
                <w:rFonts w:eastAsia="等线"/>
                <w:b/>
                <w:bCs/>
                <w:sz w:val="18"/>
                <w:lang w:eastAsia="zh-CN"/>
              </w:rPr>
              <w:t>Linearity (IP3)</w:t>
            </w:r>
          </w:p>
        </w:tc>
        <w:tc>
          <w:tcPr>
            <w:tcW w:w="2268" w:type="dxa"/>
            <w:tcBorders>
              <w:top w:val="single" w:sz="4" w:space="0" w:color="auto"/>
              <w:bottom w:val="single" w:sz="4" w:space="0" w:color="auto"/>
            </w:tcBorders>
            <w:tcMar>
              <w:top w:w="60" w:type="dxa"/>
              <w:left w:w="120" w:type="dxa"/>
              <w:bottom w:w="30" w:type="dxa"/>
              <w:right w:w="120" w:type="dxa"/>
            </w:tcMar>
          </w:tcPr>
          <w:p w14:paraId="4067AB83" w14:textId="77777777" w:rsidR="00946291" w:rsidRPr="00191EC5" w:rsidRDefault="00946291" w:rsidP="00191EC5">
            <w:pPr>
              <w:rPr>
                <w:rFonts w:eastAsia="等线"/>
                <w:b/>
                <w:bCs/>
                <w:sz w:val="18"/>
                <w:lang w:eastAsia="zh-CN"/>
              </w:rPr>
            </w:pPr>
            <w:r w:rsidRPr="00191EC5">
              <w:rPr>
                <w:rFonts w:eastAsia="等线"/>
                <w:b/>
                <w:bCs/>
                <w:sz w:val="18"/>
                <w:lang w:eastAsia="zh-CN"/>
              </w:rPr>
              <w:t>Typical Applications</w:t>
            </w:r>
          </w:p>
        </w:tc>
      </w:tr>
      <w:tr w:rsidR="00946291" w:rsidRPr="00191EC5" w14:paraId="53607840" w14:textId="77777777" w:rsidTr="00191EC5">
        <w:trPr>
          <w:trHeight w:val="20"/>
        </w:trPr>
        <w:tc>
          <w:tcPr>
            <w:tcW w:w="1417" w:type="dxa"/>
            <w:tcBorders>
              <w:top w:val="single" w:sz="4" w:space="0" w:color="auto"/>
            </w:tcBorders>
            <w:tcMar>
              <w:top w:w="60" w:type="dxa"/>
              <w:left w:w="120" w:type="dxa"/>
              <w:bottom w:w="30" w:type="dxa"/>
              <w:right w:w="120" w:type="dxa"/>
            </w:tcMar>
          </w:tcPr>
          <w:p w14:paraId="777CE361" w14:textId="77777777" w:rsidR="00946291" w:rsidRPr="00191EC5" w:rsidRDefault="00946291" w:rsidP="00191EC5">
            <w:pPr>
              <w:rPr>
                <w:rFonts w:eastAsia="等线"/>
                <w:sz w:val="18"/>
                <w:lang w:eastAsia="zh-CN"/>
              </w:rPr>
            </w:pPr>
            <w:r w:rsidRPr="00191EC5">
              <w:rPr>
                <w:rFonts w:eastAsia="等线"/>
                <w:sz w:val="18"/>
                <w:lang w:eastAsia="zh-CN"/>
              </w:rPr>
              <w:t>Saturation</w:t>
            </w:r>
          </w:p>
        </w:tc>
        <w:tc>
          <w:tcPr>
            <w:tcW w:w="1843" w:type="dxa"/>
            <w:tcBorders>
              <w:top w:val="single" w:sz="4" w:space="0" w:color="auto"/>
            </w:tcBorders>
            <w:tcMar>
              <w:top w:w="60" w:type="dxa"/>
              <w:left w:w="120" w:type="dxa"/>
              <w:bottom w:w="30" w:type="dxa"/>
              <w:right w:w="120" w:type="dxa"/>
            </w:tcMar>
          </w:tcPr>
          <w:p w14:paraId="0D2C046A" w14:textId="77777777" w:rsidR="00946291" w:rsidRPr="00191EC5" w:rsidRDefault="00946291" w:rsidP="00191EC5">
            <w:pPr>
              <w:rPr>
                <w:rFonts w:eastAsia="等线"/>
                <w:sz w:val="18"/>
                <w:lang w:eastAsia="zh-CN"/>
              </w:rPr>
            </w:pPr>
            <w:r w:rsidRPr="00191EC5">
              <w:rPr>
                <w:rFonts w:eastAsia="等线"/>
                <w:sz w:val="18"/>
                <w:lang w:eastAsia="zh-CN"/>
              </w:rPr>
              <w:t>High (20–40 dB)</w:t>
            </w:r>
          </w:p>
        </w:tc>
        <w:tc>
          <w:tcPr>
            <w:tcW w:w="1843" w:type="dxa"/>
            <w:tcBorders>
              <w:top w:val="single" w:sz="4" w:space="0" w:color="auto"/>
            </w:tcBorders>
            <w:tcMar>
              <w:top w:w="60" w:type="dxa"/>
              <w:left w:w="120" w:type="dxa"/>
              <w:bottom w:w="30" w:type="dxa"/>
              <w:right w:w="120" w:type="dxa"/>
            </w:tcMar>
          </w:tcPr>
          <w:p w14:paraId="6CB219DE" w14:textId="77777777" w:rsidR="00946291" w:rsidRPr="00191EC5" w:rsidRDefault="00946291" w:rsidP="00191EC5">
            <w:pPr>
              <w:rPr>
                <w:rFonts w:eastAsia="等线"/>
                <w:sz w:val="18"/>
                <w:lang w:eastAsia="zh-CN"/>
              </w:rPr>
            </w:pPr>
            <w:r w:rsidRPr="00191EC5">
              <w:rPr>
                <w:rFonts w:eastAsia="等线"/>
                <w:sz w:val="18"/>
                <w:lang w:eastAsia="zh-CN"/>
              </w:rPr>
              <w:t>Moderate (1–100 μW)</w:t>
            </w:r>
          </w:p>
        </w:tc>
        <w:tc>
          <w:tcPr>
            <w:tcW w:w="1559" w:type="dxa"/>
            <w:tcBorders>
              <w:top w:val="single" w:sz="4" w:space="0" w:color="auto"/>
            </w:tcBorders>
            <w:tcMar>
              <w:top w:w="60" w:type="dxa"/>
              <w:left w:w="120" w:type="dxa"/>
              <w:bottom w:w="30" w:type="dxa"/>
              <w:right w:w="120" w:type="dxa"/>
            </w:tcMar>
          </w:tcPr>
          <w:p w14:paraId="07973ECE" w14:textId="77777777" w:rsidR="00946291" w:rsidRPr="00191EC5" w:rsidRDefault="00946291" w:rsidP="00191EC5">
            <w:pPr>
              <w:rPr>
                <w:rFonts w:eastAsia="等线"/>
                <w:sz w:val="18"/>
                <w:lang w:eastAsia="zh-CN"/>
              </w:rPr>
            </w:pPr>
            <w:r w:rsidRPr="00191EC5">
              <w:rPr>
                <w:rFonts w:eastAsia="等线"/>
                <w:sz w:val="18"/>
                <w:lang w:eastAsia="zh-CN"/>
              </w:rPr>
              <w:t>Good (10–20 dBm)</w:t>
            </w:r>
          </w:p>
        </w:tc>
        <w:tc>
          <w:tcPr>
            <w:tcW w:w="2268" w:type="dxa"/>
            <w:tcBorders>
              <w:top w:val="single" w:sz="4" w:space="0" w:color="auto"/>
            </w:tcBorders>
            <w:tcMar>
              <w:top w:w="60" w:type="dxa"/>
              <w:left w:w="120" w:type="dxa"/>
              <w:bottom w:w="30" w:type="dxa"/>
              <w:right w:w="120" w:type="dxa"/>
            </w:tcMar>
          </w:tcPr>
          <w:p w14:paraId="505120B4" w14:textId="77777777" w:rsidR="00946291" w:rsidRPr="00191EC5" w:rsidRDefault="00946291" w:rsidP="00191EC5">
            <w:pPr>
              <w:rPr>
                <w:rFonts w:eastAsia="等线"/>
                <w:sz w:val="18"/>
                <w:lang w:eastAsia="zh-CN"/>
              </w:rPr>
            </w:pPr>
            <w:r w:rsidRPr="00191EC5">
              <w:rPr>
                <w:rFonts w:eastAsia="等线"/>
                <w:sz w:val="18"/>
                <w:lang w:eastAsia="zh-CN"/>
              </w:rPr>
              <w:t>General-purpose amplifiers, analog front-ends</w:t>
            </w:r>
          </w:p>
        </w:tc>
      </w:tr>
      <w:tr w:rsidR="00946291" w:rsidRPr="00191EC5" w14:paraId="343CCD1E" w14:textId="77777777" w:rsidTr="00191EC5">
        <w:trPr>
          <w:trHeight w:val="20"/>
        </w:trPr>
        <w:tc>
          <w:tcPr>
            <w:tcW w:w="1417" w:type="dxa"/>
            <w:tcMar>
              <w:top w:w="60" w:type="dxa"/>
              <w:left w:w="120" w:type="dxa"/>
              <w:bottom w:w="30" w:type="dxa"/>
              <w:right w:w="120" w:type="dxa"/>
            </w:tcMar>
          </w:tcPr>
          <w:p w14:paraId="36F20771" w14:textId="77777777" w:rsidR="00946291" w:rsidRPr="00191EC5" w:rsidRDefault="00946291" w:rsidP="00191EC5">
            <w:pPr>
              <w:rPr>
                <w:rFonts w:eastAsia="等线"/>
                <w:sz w:val="18"/>
                <w:lang w:eastAsia="zh-CN"/>
              </w:rPr>
            </w:pPr>
            <w:r w:rsidRPr="00191EC5">
              <w:rPr>
                <w:rFonts w:eastAsia="等线"/>
                <w:sz w:val="18"/>
                <w:lang w:eastAsia="zh-CN"/>
              </w:rPr>
              <w:t>Triode (Linear)</w:t>
            </w:r>
          </w:p>
        </w:tc>
        <w:tc>
          <w:tcPr>
            <w:tcW w:w="1843" w:type="dxa"/>
            <w:tcMar>
              <w:top w:w="60" w:type="dxa"/>
              <w:left w:w="120" w:type="dxa"/>
              <w:bottom w:w="30" w:type="dxa"/>
              <w:right w:w="120" w:type="dxa"/>
            </w:tcMar>
          </w:tcPr>
          <w:p w14:paraId="7E144BDE" w14:textId="77777777" w:rsidR="00946291" w:rsidRPr="00191EC5" w:rsidRDefault="00946291" w:rsidP="00191EC5">
            <w:pPr>
              <w:rPr>
                <w:rFonts w:eastAsia="等线"/>
                <w:sz w:val="18"/>
                <w:lang w:eastAsia="zh-CN"/>
              </w:rPr>
            </w:pPr>
            <w:r w:rsidRPr="00191EC5">
              <w:rPr>
                <w:rFonts w:eastAsia="等线"/>
                <w:sz w:val="18"/>
                <w:lang w:eastAsia="zh-CN"/>
              </w:rPr>
              <w:t>Low (&lt;10 dB)</w:t>
            </w:r>
          </w:p>
        </w:tc>
        <w:tc>
          <w:tcPr>
            <w:tcW w:w="1843" w:type="dxa"/>
            <w:tcMar>
              <w:top w:w="60" w:type="dxa"/>
              <w:left w:w="120" w:type="dxa"/>
              <w:bottom w:w="30" w:type="dxa"/>
              <w:right w:w="120" w:type="dxa"/>
            </w:tcMar>
          </w:tcPr>
          <w:p w14:paraId="6BAF9156" w14:textId="77777777" w:rsidR="00946291" w:rsidRPr="00191EC5" w:rsidRDefault="00946291" w:rsidP="00191EC5">
            <w:pPr>
              <w:rPr>
                <w:rFonts w:eastAsia="等线"/>
                <w:sz w:val="18"/>
                <w:lang w:eastAsia="zh-CN"/>
              </w:rPr>
            </w:pPr>
            <w:r w:rsidRPr="00191EC5">
              <w:rPr>
                <w:rFonts w:eastAsia="等线"/>
                <w:sz w:val="18"/>
                <w:lang w:eastAsia="zh-CN"/>
              </w:rPr>
              <w:t>Low (&lt;1 μW)</w:t>
            </w:r>
          </w:p>
        </w:tc>
        <w:tc>
          <w:tcPr>
            <w:tcW w:w="1559" w:type="dxa"/>
            <w:tcMar>
              <w:top w:w="60" w:type="dxa"/>
              <w:left w:w="120" w:type="dxa"/>
              <w:bottom w:w="30" w:type="dxa"/>
              <w:right w:w="120" w:type="dxa"/>
            </w:tcMar>
          </w:tcPr>
          <w:p w14:paraId="49677CAA" w14:textId="77777777" w:rsidR="00946291" w:rsidRPr="00191EC5" w:rsidRDefault="00946291" w:rsidP="00191EC5">
            <w:pPr>
              <w:rPr>
                <w:rFonts w:eastAsia="等线"/>
                <w:sz w:val="18"/>
                <w:lang w:eastAsia="zh-CN"/>
              </w:rPr>
            </w:pPr>
            <w:r w:rsidRPr="00191EC5">
              <w:rPr>
                <w:rFonts w:eastAsia="等线"/>
                <w:sz w:val="18"/>
                <w:lang w:eastAsia="zh-CN"/>
              </w:rPr>
              <w:t>Excellent (&gt;30 dBm)</w:t>
            </w:r>
          </w:p>
        </w:tc>
        <w:tc>
          <w:tcPr>
            <w:tcW w:w="2268" w:type="dxa"/>
            <w:tcMar>
              <w:top w:w="60" w:type="dxa"/>
              <w:left w:w="120" w:type="dxa"/>
              <w:bottom w:w="30" w:type="dxa"/>
              <w:right w:w="120" w:type="dxa"/>
            </w:tcMar>
          </w:tcPr>
          <w:p w14:paraId="2226594E" w14:textId="77777777" w:rsidR="00946291" w:rsidRPr="00191EC5" w:rsidRDefault="00946291" w:rsidP="00191EC5">
            <w:pPr>
              <w:rPr>
                <w:rFonts w:eastAsia="等线"/>
                <w:sz w:val="18"/>
                <w:lang w:eastAsia="zh-CN"/>
              </w:rPr>
            </w:pPr>
            <w:r w:rsidRPr="00191EC5">
              <w:rPr>
                <w:rFonts w:eastAsia="等线"/>
                <w:sz w:val="18"/>
                <w:lang w:eastAsia="zh-CN"/>
              </w:rPr>
              <w:t>Voltage-controlled resistors, analog signal processing</w:t>
            </w:r>
          </w:p>
        </w:tc>
      </w:tr>
      <w:tr w:rsidR="00946291" w:rsidRPr="00191EC5" w14:paraId="2AF17E6B" w14:textId="77777777" w:rsidTr="00191EC5">
        <w:trPr>
          <w:trHeight w:val="20"/>
        </w:trPr>
        <w:tc>
          <w:tcPr>
            <w:tcW w:w="1417" w:type="dxa"/>
            <w:tcBorders>
              <w:bottom w:val="single" w:sz="4" w:space="0" w:color="auto"/>
            </w:tcBorders>
            <w:tcMar>
              <w:top w:w="60" w:type="dxa"/>
              <w:left w:w="120" w:type="dxa"/>
              <w:bottom w:w="30" w:type="dxa"/>
              <w:right w:w="120" w:type="dxa"/>
            </w:tcMar>
          </w:tcPr>
          <w:p w14:paraId="1B95D231" w14:textId="77777777" w:rsidR="00946291" w:rsidRPr="00191EC5" w:rsidRDefault="00946291" w:rsidP="00191EC5">
            <w:pPr>
              <w:rPr>
                <w:rFonts w:eastAsia="等线"/>
                <w:sz w:val="18"/>
                <w:lang w:eastAsia="zh-CN"/>
              </w:rPr>
            </w:pPr>
            <w:r w:rsidRPr="00191EC5">
              <w:rPr>
                <w:rFonts w:eastAsia="等线"/>
                <w:sz w:val="18"/>
                <w:lang w:eastAsia="zh-CN"/>
              </w:rPr>
              <w:t>Subthreshold</w:t>
            </w:r>
          </w:p>
        </w:tc>
        <w:tc>
          <w:tcPr>
            <w:tcW w:w="1843" w:type="dxa"/>
            <w:tcBorders>
              <w:bottom w:val="single" w:sz="4" w:space="0" w:color="auto"/>
            </w:tcBorders>
            <w:tcMar>
              <w:top w:w="60" w:type="dxa"/>
              <w:left w:w="120" w:type="dxa"/>
              <w:bottom w:w="30" w:type="dxa"/>
              <w:right w:w="120" w:type="dxa"/>
            </w:tcMar>
          </w:tcPr>
          <w:p w14:paraId="5DAD508E" w14:textId="77777777" w:rsidR="00946291" w:rsidRPr="00191EC5" w:rsidRDefault="00946291" w:rsidP="00191EC5">
            <w:pPr>
              <w:rPr>
                <w:rFonts w:eastAsia="等线"/>
                <w:sz w:val="18"/>
                <w:lang w:eastAsia="zh-CN"/>
              </w:rPr>
            </w:pPr>
            <w:r w:rsidRPr="00191EC5">
              <w:rPr>
                <w:rFonts w:eastAsia="等线"/>
                <w:sz w:val="18"/>
                <w:lang w:eastAsia="zh-CN"/>
              </w:rPr>
              <w:t>Very Low (&lt;5 dB)</w:t>
            </w:r>
          </w:p>
        </w:tc>
        <w:tc>
          <w:tcPr>
            <w:tcW w:w="1843" w:type="dxa"/>
            <w:tcBorders>
              <w:bottom w:val="single" w:sz="4" w:space="0" w:color="auto"/>
            </w:tcBorders>
            <w:tcMar>
              <w:top w:w="60" w:type="dxa"/>
              <w:left w:w="120" w:type="dxa"/>
              <w:bottom w:w="30" w:type="dxa"/>
              <w:right w:w="120" w:type="dxa"/>
            </w:tcMar>
          </w:tcPr>
          <w:p w14:paraId="5CF83E9C" w14:textId="77777777" w:rsidR="00946291" w:rsidRPr="00191EC5" w:rsidRDefault="00946291" w:rsidP="00191EC5">
            <w:pPr>
              <w:rPr>
                <w:rFonts w:eastAsia="等线"/>
                <w:sz w:val="18"/>
                <w:lang w:eastAsia="zh-CN"/>
              </w:rPr>
            </w:pPr>
            <w:r w:rsidRPr="00191EC5">
              <w:rPr>
                <w:rFonts w:eastAsia="等线"/>
                <w:sz w:val="18"/>
                <w:lang w:eastAsia="zh-CN"/>
              </w:rPr>
              <w:t>Ultra-low (&lt;100 nW)</w:t>
            </w:r>
          </w:p>
        </w:tc>
        <w:tc>
          <w:tcPr>
            <w:tcW w:w="1559" w:type="dxa"/>
            <w:tcBorders>
              <w:bottom w:val="single" w:sz="4" w:space="0" w:color="auto"/>
            </w:tcBorders>
            <w:tcMar>
              <w:top w:w="60" w:type="dxa"/>
              <w:left w:w="120" w:type="dxa"/>
              <w:bottom w:w="30" w:type="dxa"/>
              <w:right w:w="120" w:type="dxa"/>
            </w:tcMar>
          </w:tcPr>
          <w:p w14:paraId="3A86DD82" w14:textId="77777777" w:rsidR="00946291" w:rsidRPr="00191EC5" w:rsidRDefault="00946291" w:rsidP="00191EC5">
            <w:pPr>
              <w:rPr>
                <w:rFonts w:eastAsia="等线"/>
                <w:sz w:val="18"/>
                <w:lang w:eastAsia="zh-CN"/>
              </w:rPr>
            </w:pPr>
            <w:r w:rsidRPr="00191EC5">
              <w:rPr>
                <w:rFonts w:eastAsia="等线"/>
                <w:sz w:val="18"/>
                <w:lang w:eastAsia="zh-CN"/>
              </w:rPr>
              <w:t>Poor (&lt;0 dBm)</w:t>
            </w:r>
          </w:p>
        </w:tc>
        <w:tc>
          <w:tcPr>
            <w:tcW w:w="2268" w:type="dxa"/>
            <w:tcBorders>
              <w:bottom w:val="single" w:sz="4" w:space="0" w:color="auto"/>
            </w:tcBorders>
            <w:tcMar>
              <w:top w:w="60" w:type="dxa"/>
              <w:left w:w="120" w:type="dxa"/>
              <w:bottom w:w="30" w:type="dxa"/>
              <w:right w:w="120" w:type="dxa"/>
            </w:tcMar>
          </w:tcPr>
          <w:p w14:paraId="62ECA136" w14:textId="77777777" w:rsidR="00946291" w:rsidRPr="00191EC5" w:rsidRDefault="00946291" w:rsidP="00191EC5">
            <w:pPr>
              <w:rPr>
                <w:rFonts w:eastAsia="等线"/>
                <w:sz w:val="18"/>
                <w:lang w:eastAsia="zh-CN"/>
              </w:rPr>
            </w:pPr>
            <w:r w:rsidRPr="00191EC5">
              <w:rPr>
                <w:rFonts w:eastAsia="等线"/>
                <w:sz w:val="18"/>
                <w:lang w:eastAsia="zh-CN"/>
              </w:rPr>
              <w:t>Ultra-low-power IoT sensors, energy-harvesting circuits</w:t>
            </w:r>
          </w:p>
        </w:tc>
      </w:tr>
    </w:tbl>
    <w:p w14:paraId="0D8B94A2" w14:textId="6D678104" w:rsidR="00946291" w:rsidRPr="00946291" w:rsidRDefault="00946291" w:rsidP="00946291">
      <w:pPr>
        <w:pStyle w:val="2"/>
        <w:rPr>
          <w:lang w:eastAsia="zh-CN"/>
        </w:rPr>
      </w:pPr>
      <w:r w:rsidRPr="00946291">
        <w:rPr>
          <w:lang w:eastAsia="zh-CN"/>
        </w:rPr>
        <w:t xml:space="preserve">Biasing </w:t>
      </w:r>
      <w:bookmarkStart w:id="0" w:name="_GoBack"/>
      <w:bookmarkEnd w:id="0"/>
      <w:r w:rsidRPr="00946291">
        <w:rPr>
          <w:lang w:eastAsia="zh-CN"/>
        </w:rPr>
        <w:t>Strategies for Stable Operation</w:t>
      </w:r>
    </w:p>
    <w:p w14:paraId="3ED1C273" w14:textId="77777777" w:rsidR="00946291" w:rsidRPr="00946291" w:rsidRDefault="00946291" w:rsidP="00946291">
      <w:pPr>
        <w:pStyle w:val="Paragraph"/>
        <w:rPr>
          <w:b/>
          <w:bCs/>
          <w:lang w:eastAsia="zh-CN"/>
        </w:rPr>
      </w:pPr>
      <w:r w:rsidRPr="00946291">
        <w:rPr>
          <w:lang w:eastAsia="zh-CN"/>
        </w:rPr>
        <w:t>Biasing in common-source amplifiers is critical for establishing a stable quiescent operating point (Q-point), balancing gain, noise, linearity, and power supply robustness. Three primary strategies are employed, each leveraging distinct circuit topologies and device parameter optimization:</w:t>
      </w:r>
    </w:p>
    <w:p w14:paraId="101D8714" w14:textId="678C2D41" w:rsidR="00946291" w:rsidRPr="00946291" w:rsidRDefault="00946291" w:rsidP="00946291">
      <w:pPr>
        <w:pStyle w:val="3"/>
      </w:pPr>
      <w:r w:rsidRPr="00946291">
        <w:lastRenderedPageBreak/>
        <w:t xml:space="preserve"> Fixed-Gate Voltage Biasing</w:t>
      </w:r>
    </w:p>
    <w:p w14:paraId="0E32C293" w14:textId="10BB83BD" w:rsidR="00946291" w:rsidRPr="00372740" w:rsidRDefault="00946291" w:rsidP="00372740">
      <w:pPr>
        <w:pStyle w:val="Paragraph"/>
        <w:rPr>
          <w:lang w:eastAsia="zh-CN"/>
        </w:rPr>
      </w:pPr>
      <w:r w:rsidRPr="00946291">
        <w:rPr>
          <w:lang w:eastAsia="zh-CN"/>
        </w:rPr>
        <w:t>A resistive voltage divider (with  R</w:t>
      </w:r>
      <w:r w:rsidRPr="00946291">
        <w:rPr>
          <w:vertAlign w:val="subscript"/>
          <w:lang w:eastAsia="zh-CN"/>
        </w:rPr>
        <w:t>1</w:t>
      </w:r>
      <w:r w:rsidRPr="00946291">
        <w:rPr>
          <w:lang w:eastAsia="zh-CN"/>
        </w:rPr>
        <w:t xml:space="preserve">  and  R</w:t>
      </w:r>
      <w:r w:rsidRPr="00946291">
        <w:rPr>
          <w:vertAlign w:val="subscript"/>
          <w:lang w:eastAsia="zh-CN"/>
        </w:rPr>
        <w:t>2</w:t>
      </w:r>
      <w:r w:rsidRPr="00946291">
        <w:rPr>
          <w:lang w:eastAsia="zh-CN"/>
        </w:rPr>
        <w:t xml:space="preserve">  connecting  V</w:t>
      </w:r>
      <w:r w:rsidRPr="00946291">
        <w:rPr>
          <w:vertAlign w:val="subscript"/>
          <w:lang w:eastAsia="zh-CN"/>
        </w:rPr>
        <w:t>DD</w:t>
      </w:r>
      <w:r w:rsidRPr="00946291">
        <w:rPr>
          <w:lang w:eastAsia="zh-CN"/>
        </w:rPr>
        <w:t xml:space="preserve">  to ground) sets the gate bias voltage:</w:t>
      </w:r>
      <w:r w:rsidR="00372740">
        <w:rPr>
          <w:rFonts w:hint="eastAsia"/>
          <w:lang w:eastAsia="zh-CN"/>
        </w:rPr>
        <w:t xml:space="preserve"> </w:t>
      </w:r>
      <w:r w:rsidRPr="00946291">
        <w:rPr>
          <w:rFonts w:eastAsia="等线"/>
          <w:szCs w:val="24"/>
          <w:lang w:eastAsia="zh-CN"/>
        </w:rPr>
        <w:t>V</w:t>
      </w:r>
      <w:r w:rsidRPr="00946291">
        <w:rPr>
          <w:rFonts w:eastAsia="等线"/>
          <w:szCs w:val="24"/>
          <w:vertAlign w:val="subscript"/>
          <w:lang w:eastAsia="zh-CN"/>
        </w:rPr>
        <w:t>GS</w:t>
      </w:r>
      <w:r w:rsidRPr="00946291">
        <w:rPr>
          <w:rFonts w:eastAsia="等线"/>
          <w:szCs w:val="24"/>
          <w:lang w:eastAsia="zh-CN"/>
        </w:rPr>
        <w:t xml:space="preserve"> = V</w:t>
      </w:r>
      <w:r w:rsidRPr="00946291">
        <w:rPr>
          <w:rFonts w:eastAsia="等线"/>
          <w:szCs w:val="24"/>
          <w:vertAlign w:val="subscript"/>
          <w:lang w:eastAsia="zh-CN"/>
        </w:rPr>
        <w:t>DD</w:t>
      </w:r>
      <w:r w:rsidRPr="00946291">
        <w:rPr>
          <w:rFonts w:eastAsia="等线" w:hint="eastAsia"/>
          <w:szCs w:val="24"/>
          <w:lang w:eastAsia="zh-CN"/>
        </w:rPr>
        <w:t>·</w:t>
      </w:r>
      <w:r w:rsidRPr="00946291">
        <w:rPr>
          <w:rFonts w:eastAsia="等线"/>
          <w:szCs w:val="24"/>
          <w:lang w:eastAsia="zh-CN"/>
        </w:rPr>
        <w:t xml:space="preserve"> R</w:t>
      </w:r>
      <w:r w:rsidRPr="00946291">
        <w:rPr>
          <w:rFonts w:eastAsia="等线"/>
          <w:szCs w:val="24"/>
          <w:vertAlign w:val="subscript"/>
          <w:lang w:eastAsia="zh-CN"/>
        </w:rPr>
        <w:t>2</w:t>
      </w:r>
      <w:r w:rsidRPr="00946291">
        <w:rPr>
          <w:rFonts w:eastAsia="等线" w:hint="eastAsia"/>
          <w:szCs w:val="24"/>
          <w:lang w:eastAsia="zh-CN"/>
        </w:rPr>
        <w:t>/(</w:t>
      </w:r>
      <w:r w:rsidRPr="00946291">
        <w:rPr>
          <w:rFonts w:eastAsia="等线"/>
          <w:szCs w:val="24"/>
          <w:lang w:eastAsia="zh-CN"/>
        </w:rPr>
        <w:t>R</w:t>
      </w:r>
      <w:r w:rsidRPr="00946291">
        <w:rPr>
          <w:rFonts w:eastAsia="等线"/>
          <w:szCs w:val="24"/>
          <w:vertAlign w:val="subscript"/>
          <w:lang w:eastAsia="zh-CN"/>
        </w:rPr>
        <w:t>1</w:t>
      </w:r>
      <w:r w:rsidRPr="00946291">
        <w:rPr>
          <w:rFonts w:eastAsia="等线"/>
          <w:szCs w:val="24"/>
          <w:lang w:eastAsia="zh-CN"/>
        </w:rPr>
        <w:t xml:space="preserve"> + R</w:t>
      </w:r>
      <w:r w:rsidRPr="00946291">
        <w:rPr>
          <w:rFonts w:eastAsia="等线"/>
          <w:szCs w:val="24"/>
          <w:vertAlign w:val="subscript"/>
          <w:lang w:eastAsia="zh-CN"/>
        </w:rPr>
        <w:t>2</w:t>
      </w:r>
      <w:r w:rsidRPr="00946291">
        <w:rPr>
          <w:rFonts w:eastAsia="等线" w:hint="eastAsia"/>
          <w:szCs w:val="24"/>
          <w:lang w:eastAsia="zh-CN"/>
        </w:rPr>
        <w:t>)</w:t>
      </w:r>
      <w:r w:rsidR="00372740">
        <w:rPr>
          <w:rFonts w:eastAsia="等线" w:hint="eastAsia"/>
          <w:szCs w:val="24"/>
          <w:lang w:eastAsia="zh-CN"/>
        </w:rPr>
        <w:t xml:space="preserve">. </w:t>
      </w:r>
      <w:r w:rsidRPr="00946291">
        <w:rPr>
          <w:rFonts w:eastAsia="等线"/>
          <w:szCs w:val="24"/>
          <w:lang w:eastAsia="zh-CN"/>
        </w:rPr>
        <w:t>This simple configuration is ideal for low-complexity applications (e.g., low-frequency signal conditioners) but suffers from high sensitivity to process variations. In 65 nm CMOS, a ±10% mismatch in threshold voltage ( V</w:t>
      </w:r>
      <w:r w:rsidRPr="00946291">
        <w:rPr>
          <w:rFonts w:eastAsia="等线"/>
          <w:szCs w:val="24"/>
          <w:vertAlign w:val="subscript"/>
          <w:lang w:eastAsia="zh-CN"/>
        </w:rPr>
        <w:t>th</w:t>
      </w:r>
      <w:r w:rsidRPr="00946291">
        <w:rPr>
          <w:rFonts w:eastAsia="等线"/>
          <w:szCs w:val="24"/>
          <w:lang w:eastAsia="zh-CN"/>
        </w:rPr>
        <w:t xml:space="preserve">  ) can induce ±20% fluctuations in drain current ( I</w:t>
      </w:r>
      <w:r w:rsidRPr="00946291">
        <w:rPr>
          <w:rFonts w:eastAsia="等线"/>
          <w:szCs w:val="24"/>
          <w:vertAlign w:val="subscript"/>
          <w:lang w:eastAsia="zh-CN"/>
        </w:rPr>
        <w:t>D</w:t>
      </w:r>
      <w:r w:rsidRPr="00946291">
        <w:rPr>
          <w:rFonts w:eastAsia="等线"/>
          <w:szCs w:val="24"/>
          <w:lang w:eastAsia="zh-CN"/>
        </w:rPr>
        <w:t xml:space="preserve"> ), leading to 15% gain variations. Practical implementations often include on-chip trim resistors (±5% precision) or adaptive biasing loops to mitigate these effects.</w:t>
      </w:r>
    </w:p>
    <w:p w14:paraId="4C5F38C6" w14:textId="78C4FD5E" w:rsidR="00946291" w:rsidRPr="00946291" w:rsidRDefault="00946291" w:rsidP="00946291">
      <w:pPr>
        <w:pStyle w:val="3"/>
      </w:pPr>
      <w:r w:rsidRPr="00946291">
        <w:t>Source Degeneration</w:t>
      </w:r>
    </w:p>
    <w:p w14:paraId="45A3A073" w14:textId="1BC57A57" w:rsidR="00946291" w:rsidRPr="00946291" w:rsidRDefault="00946291" w:rsidP="00372740">
      <w:pPr>
        <w:pStyle w:val="Paragraph"/>
        <w:rPr>
          <w:lang w:eastAsia="zh-CN"/>
        </w:rPr>
      </w:pPr>
      <w:r w:rsidRPr="00946291">
        <w:rPr>
          <w:lang w:eastAsia="zh-CN"/>
        </w:rPr>
        <w:t>Introducing a source degeneration resistor R</w:t>
      </w:r>
      <w:r w:rsidRPr="00946291">
        <w:rPr>
          <w:vertAlign w:val="subscript"/>
          <w:lang w:eastAsia="zh-CN"/>
        </w:rPr>
        <w:t xml:space="preserve">S </w:t>
      </w:r>
      <w:r w:rsidRPr="00946291">
        <w:rPr>
          <w:lang w:eastAsia="zh-CN"/>
        </w:rPr>
        <w:t>introduces negative feedback, reducing the effective transconductance and stabilizing the Q-point: g</w:t>
      </w:r>
      <w:r w:rsidRPr="00946291">
        <w:rPr>
          <w:vertAlign w:val="subscript"/>
          <w:lang w:eastAsia="zh-CN"/>
        </w:rPr>
        <w:t>m</w:t>
      </w:r>
      <w:r w:rsidRPr="00946291">
        <w:rPr>
          <w:lang w:eastAsia="zh-CN"/>
        </w:rPr>
        <w:t xml:space="preserve">' = </w:t>
      </w:r>
      <m:oMath>
        <m:f>
          <m:fPr>
            <m:ctrlPr>
              <w:rPr>
                <w:rFonts w:ascii="Cambria Math" w:hAnsi="Cambria Math"/>
                <w:i/>
                <w:lang w:eastAsia="zh-CN"/>
              </w:rPr>
            </m:ctrlPr>
          </m:fPr>
          <m:num>
            <m:sSub>
              <m:sSubPr>
                <m:ctrlPr>
                  <w:rPr>
                    <w:rFonts w:ascii="Cambria Math" w:hAnsi="Cambria Math"/>
                    <w:i/>
                    <w:lang w:eastAsia="zh-CN"/>
                  </w:rPr>
                </m:ctrlPr>
              </m:sSubPr>
              <m:e>
                <m:r>
                  <m:rPr>
                    <m:sty m:val="p"/>
                  </m:rPr>
                  <w:rPr>
                    <w:rFonts w:ascii="Cambria Math" w:hAnsi="Cambria Math"/>
                    <w:lang w:eastAsia="zh-CN"/>
                  </w:rPr>
                  <m:t>g</m:t>
                </m:r>
              </m:e>
              <m:sub>
                <m:r>
                  <m:rPr>
                    <m:sty m:val="p"/>
                  </m:rPr>
                  <w:rPr>
                    <w:rFonts w:ascii="Cambria Math" w:hAnsi="Cambria Math"/>
                    <w:vertAlign w:val="subscript"/>
                    <w:lang w:eastAsia="zh-CN"/>
                  </w:rPr>
                  <m:t>m</m:t>
                </m:r>
              </m:sub>
            </m:sSub>
          </m:num>
          <m:den>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g</m:t>
                </m:r>
              </m:e>
              <m:sub>
                <m:r>
                  <w:rPr>
                    <w:rFonts w:ascii="Cambria Math" w:hAnsi="Cambria Math"/>
                    <w:lang w:eastAsia="zh-CN"/>
                  </w:rPr>
                  <m:t>m</m:t>
                </m:r>
              </m:sub>
            </m:sSub>
            <m:sSub>
              <m:sSubPr>
                <m:ctrlPr>
                  <w:rPr>
                    <w:rFonts w:ascii="Cambria Math" w:hAnsi="Cambria Math"/>
                    <w:i/>
                    <w:lang w:eastAsia="zh-CN"/>
                  </w:rPr>
                </m:ctrlPr>
              </m:sSubPr>
              <m:e>
                <m:r>
                  <w:rPr>
                    <w:rFonts w:ascii="Cambria Math" w:hAnsi="Cambria Math"/>
                    <w:lang w:eastAsia="zh-CN"/>
                  </w:rPr>
                  <m:t>R</m:t>
                </m:r>
              </m:e>
              <m:sub>
                <m:r>
                  <w:rPr>
                    <w:rFonts w:ascii="Cambria Math" w:hAnsi="Cambria Math"/>
                    <w:lang w:eastAsia="zh-CN"/>
                  </w:rPr>
                  <m:t>s</m:t>
                </m:r>
              </m:sub>
            </m:sSub>
          </m:den>
        </m:f>
      </m:oMath>
      <w:r w:rsidRPr="00946291">
        <w:rPr>
          <w:lang w:eastAsia="zh-CN"/>
        </w:rPr>
        <w:t>, A</w:t>
      </w:r>
      <w:r w:rsidRPr="00946291">
        <w:rPr>
          <w:vertAlign w:val="subscript"/>
          <w:lang w:eastAsia="zh-CN"/>
        </w:rPr>
        <w:t>v</w:t>
      </w:r>
      <w:r w:rsidRPr="00946291">
        <w:rPr>
          <w:lang w:eastAsia="zh-CN"/>
        </w:rPr>
        <w:t xml:space="preserve"> = -g</w:t>
      </w:r>
      <w:r w:rsidRPr="00946291">
        <w:rPr>
          <w:vertAlign w:val="subscript"/>
          <w:lang w:eastAsia="zh-CN"/>
        </w:rPr>
        <w:t>m</w:t>
      </w:r>
      <w:r w:rsidRPr="00946291">
        <w:rPr>
          <w:lang w:eastAsia="zh-CN"/>
        </w:rPr>
        <w:t>'(R</w:t>
      </w:r>
      <w:r w:rsidRPr="00946291">
        <w:rPr>
          <w:vertAlign w:val="subscript"/>
          <w:lang w:eastAsia="zh-CN"/>
        </w:rPr>
        <w:t>D</w:t>
      </w:r>
      <w:r w:rsidRPr="00946291">
        <w:rPr>
          <w:rFonts w:ascii="Arial" w:hAnsi="Arial" w:cs="Arial"/>
          <w:lang w:eastAsia="zh-CN"/>
        </w:rPr>
        <w:t>װ</w:t>
      </w:r>
      <w:r w:rsidRPr="00946291">
        <w:rPr>
          <w:lang w:eastAsia="zh-CN"/>
        </w:rPr>
        <w:t xml:space="preserve"> r</w:t>
      </w:r>
      <w:r w:rsidRPr="00946291">
        <w:rPr>
          <w:vertAlign w:val="subscript"/>
          <w:lang w:eastAsia="zh-CN"/>
        </w:rPr>
        <w:t>o</w:t>
      </w:r>
      <w:r w:rsidRPr="00946291">
        <w:rPr>
          <w:lang w:eastAsia="zh-CN"/>
        </w:rPr>
        <w:t>)</w:t>
      </w:r>
      <w:r w:rsidR="00372740">
        <w:rPr>
          <w:rFonts w:hint="eastAsia"/>
          <w:lang w:eastAsia="zh-CN"/>
        </w:rPr>
        <w:t xml:space="preserve">. </w:t>
      </w:r>
      <w:r w:rsidRPr="00946291">
        <w:rPr>
          <w:lang w:eastAsia="zh-CN"/>
        </w:rPr>
        <w:t>One of the key advantages is linearity enhancement. The negative feedback linearizes the i</w:t>
      </w:r>
      <w:r w:rsidRPr="00946291">
        <w:rPr>
          <w:vertAlign w:val="subscript"/>
          <w:lang w:eastAsia="zh-CN"/>
        </w:rPr>
        <w:t>d</w:t>
      </w:r>
      <w:r w:rsidRPr="00946291">
        <w:rPr>
          <w:lang w:eastAsia="zh-CN"/>
        </w:rPr>
        <w:t>-v</w:t>
      </w:r>
      <w:r w:rsidRPr="00946291">
        <w:rPr>
          <w:vertAlign w:val="subscript"/>
          <w:lang w:eastAsia="zh-CN"/>
        </w:rPr>
        <w:t>gs</w:t>
      </w:r>
      <w:r w:rsidRPr="00946291">
        <w:rPr>
          <w:lang w:eastAsia="zh-CN"/>
        </w:rPr>
        <w:t xml:space="preserve"> relationship, which improves the third-order input intercept point (IIP3) by 5–10 dB. For instance, in a 28 GHz RF low-noise amplifier (LNA), when R</w:t>
      </w:r>
      <w:r w:rsidRPr="00946291">
        <w:rPr>
          <w:rFonts w:hint="eastAsia"/>
          <w:lang w:eastAsia="zh-CN"/>
        </w:rPr>
        <w:t>S</w:t>
      </w:r>
      <w:r w:rsidRPr="00946291">
        <w:rPr>
          <w:lang w:eastAsia="zh-CN"/>
        </w:rPr>
        <w:t xml:space="preserve"> is set to 30Ω, it reduces intermodulation distortion (IMD3) from -45 dBc to -55 dBc. This significant improvement meets the strict linearity requirements of 5G applications.</w:t>
      </w:r>
    </w:p>
    <w:p w14:paraId="314F2656" w14:textId="77777777" w:rsidR="00946291" w:rsidRPr="00946291" w:rsidRDefault="00946291" w:rsidP="00946291">
      <w:pPr>
        <w:pStyle w:val="Paragraph"/>
        <w:rPr>
          <w:lang w:eastAsia="zh-CN"/>
        </w:rPr>
      </w:pPr>
      <w:r w:rsidRPr="00946291">
        <w:rPr>
          <w:lang w:eastAsia="zh-CN"/>
        </w:rPr>
        <w:t>Another important advantage is bias stability. R</w:t>
      </w:r>
      <w:r w:rsidRPr="00946291">
        <w:rPr>
          <w:vertAlign w:val="subscript"/>
          <w:lang w:eastAsia="zh-CN"/>
        </w:rPr>
        <w:t>S</w:t>
      </w:r>
      <w:r w:rsidRPr="00946291">
        <w:rPr>
          <w:lang w:eastAsia="zh-CN"/>
        </w:rPr>
        <w:t xml:space="preserve"> plays a crucial role in attenuating I</w:t>
      </w:r>
      <w:r w:rsidRPr="00946291">
        <w:rPr>
          <w:vertAlign w:val="subscript"/>
          <w:lang w:eastAsia="zh-CN"/>
        </w:rPr>
        <w:t>D</w:t>
      </w:r>
      <w:r w:rsidRPr="00946291">
        <w:rPr>
          <w:rFonts w:hint="eastAsia"/>
          <w:vertAlign w:val="subscript"/>
          <w:lang w:eastAsia="zh-CN"/>
        </w:rPr>
        <w:t xml:space="preserve"> </w:t>
      </w:r>
      <w:r w:rsidRPr="00946291">
        <w:rPr>
          <w:lang w:eastAsia="zh-CN"/>
        </w:rPr>
        <w:t>fluctuations induced by V</w:t>
      </w:r>
      <w:r w:rsidRPr="00946291">
        <w:rPr>
          <w:vertAlign w:val="subscript"/>
          <w:lang w:eastAsia="zh-CN"/>
        </w:rPr>
        <w:t>th</w:t>
      </w:r>
      <w:r w:rsidRPr="00946291">
        <w:rPr>
          <w:lang w:eastAsia="zh-CN"/>
        </w:rPr>
        <w:t xml:space="preserve"> variations. In 22 nm FD-SOI technology, circuits without degeneration show 30% I</w:t>
      </w:r>
      <w:r w:rsidRPr="00946291">
        <w:rPr>
          <w:vertAlign w:val="subscript"/>
          <w:lang w:eastAsia="zh-CN"/>
        </w:rPr>
        <w:t>D</w:t>
      </w:r>
      <w:r w:rsidRPr="00946291">
        <w:rPr>
          <w:lang w:eastAsia="zh-CN"/>
        </w:rPr>
        <w:t xml:space="preserve"> variations with ±50 mV V</w:t>
      </w:r>
      <w:r w:rsidRPr="00946291">
        <w:rPr>
          <w:vertAlign w:val="subscript"/>
          <w:lang w:eastAsia="zh-CN"/>
        </w:rPr>
        <w:t>th</w:t>
      </w:r>
      <w:r w:rsidRPr="00946291">
        <w:rPr>
          <w:lang w:eastAsia="zh-CN"/>
        </w:rPr>
        <w:t xml:space="preserve"> shifts. However, with R</w:t>
      </w:r>
      <w:r w:rsidRPr="00946291">
        <w:rPr>
          <w:vertAlign w:val="subscript"/>
          <w:lang w:eastAsia="zh-CN"/>
        </w:rPr>
        <w:t>S</w:t>
      </w:r>
      <w:r w:rsidRPr="00946291">
        <w:rPr>
          <w:lang w:eastAsia="zh-CN"/>
        </w:rPr>
        <w:t xml:space="preserve"> = 100 Ω, the variations are effectively limited to ±8%. This technique is widely used in high-frequency applications. In these scenarios, R</w:t>
      </w:r>
      <w:r w:rsidRPr="00946291">
        <w:rPr>
          <w:vertAlign w:val="subscript"/>
          <w:lang w:eastAsia="zh-CN"/>
        </w:rPr>
        <w:t>S</w:t>
      </w:r>
      <w:r w:rsidRPr="00946291">
        <w:rPr>
          <w:lang w:eastAsia="zh-CN"/>
        </w:rPr>
        <w:t xml:space="preserve"> works in collaboration with source inductance L</w:t>
      </w:r>
      <w:r w:rsidRPr="00946291">
        <w:rPr>
          <w:vertAlign w:val="subscript"/>
          <w:lang w:eastAsia="zh-CN"/>
        </w:rPr>
        <w:t>S</w:t>
      </w:r>
      <w:r w:rsidRPr="00946291">
        <w:rPr>
          <w:lang w:eastAsia="zh-CN"/>
        </w:rPr>
        <w:t xml:space="preserve"> (as detailed in Section 3.2.2) to achieve simultaneous input matching and noise optimization.</w:t>
      </w:r>
    </w:p>
    <w:p w14:paraId="447E7175" w14:textId="377224FE" w:rsidR="00946291" w:rsidRPr="00946291" w:rsidRDefault="00946291" w:rsidP="00946291">
      <w:pPr>
        <w:pStyle w:val="3"/>
      </w:pPr>
      <w:r w:rsidRPr="00946291">
        <w:t>Active Biasing with Current Mirrors</w:t>
      </w:r>
    </w:p>
    <w:p w14:paraId="7FD995A4" w14:textId="30DB4564" w:rsidR="00946291" w:rsidRPr="00372740" w:rsidRDefault="00946291" w:rsidP="00372740">
      <w:pPr>
        <w:pStyle w:val="Paragraph"/>
        <w:rPr>
          <w:lang w:eastAsia="zh-CN"/>
        </w:rPr>
      </w:pPr>
      <w:r w:rsidRPr="00946291">
        <w:rPr>
          <w:lang w:eastAsia="zh-CN"/>
        </w:rPr>
        <w:t>Current mirrors utilize MOSFET geometry matching to replicate reference currents accurately. The relationship between output and reference currents is</w:t>
      </w:r>
      <w:r w:rsidR="00372740">
        <w:rPr>
          <w:rFonts w:hint="eastAsia"/>
          <w:lang w:eastAsia="zh-CN"/>
        </w:rPr>
        <w:t xml:space="preserve"> </w:t>
      </w:r>
      <m:oMath>
        <m:f>
          <m:fPr>
            <m:ctrlPr>
              <w:rPr>
                <w:rFonts w:ascii="Cambria Math" w:hAnsi="Cambria Math"/>
                <w:i/>
                <w:lang w:eastAsia="zh-CN"/>
              </w:rPr>
            </m:ctrlPr>
          </m:fPr>
          <m:num>
            <m:sSub>
              <m:sSubPr>
                <m:ctrlPr>
                  <w:rPr>
                    <w:rFonts w:ascii="Cambria Math" w:hAnsi="Cambria Math"/>
                    <w:i/>
                    <w:lang w:eastAsia="zh-CN"/>
                  </w:rPr>
                </m:ctrlPr>
              </m:sSubPr>
              <m:e>
                <m:r>
                  <m:rPr>
                    <m:sty m:val="p"/>
                  </m:rPr>
                  <w:rPr>
                    <w:rFonts w:ascii="Cambria Math" w:hAnsi="Cambria Math"/>
                    <w:lang w:eastAsia="zh-CN"/>
                  </w:rPr>
                  <m:t xml:space="preserve"> I</m:t>
                </m:r>
              </m:e>
              <m:sub>
                <m:r>
                  <m:rPr>
                    <m:sty m:val="p"/>
                  </m:rPr>
                  <w:rPr>
                    <w:rFonts w:ascii="Cambria Math" w:hAnsi="Cambria Math"/>
                    <w:vertAlign w:val="subscript"/>
                    <w:lang w:eastAsia="zh-CN"/>
                  </w:rPr>
                  <m:t>OUT</m:t>
                </m:r>
              </m:sub>
            </m:sSub>
          </m:num>
          <m:den>
            <m:sSub>
              <m:sSubPr>
                <m:ctrlPr>
                  <w:rPr>
                    <w:rFonts w:ascii="Cambria Math" w:hAnsi="Cambria Math"/>
                    <w:i/>
                    <w:lang w:eastAsia="zh-CN"/>
                  </w:rPr>
                </m:ctrlPr>
              </m:sSubPr>
              <m:e>
                <m:r>
                  <m:rPr>
                    <m:sty m:val="p"/>
                  </m:rPr>
                  <w:rPr>
                    <w:rFonts w:ascii="Cambria Math" w:hAnsi="Cambria Math"/>
                    <w:lang w:eastAsia="zh-CN"/>
                  </w:rPr>
                  <m:t xml:space="preserve"> I</m:t>
                </m:r>
              </m:e>
              <m:sub>
                <m:r>
                  <m:rPr>
                    <m:sty m:val="p"/>
                  </m:rPr>
                  <w:rPr>
                    <w:rFonts w:ascii="Cambria Math" w:hAnsi="Cambria Math"/>
                    <w:vertAlign w:val="subscript"/>
                    <w:lang w:eastAsia="zh-CN"/>
                  </w:rPr>
                  <m:t>REF</m:t>
                </m:r>
              </m:sub>
            </m:sSub>
          </m:den>
        </m:f>
      </m:oMath>
      <w:r w:rsidRPr="00946291">
        <w:rPr>
          <w:rFonts w:ascii="Arial" w:hAnsi="Cambria Math" w:hint="eastAsia"/>
          <w:lang w:eastAsia="zh-CN"/>
        </w:rPr>
        <w:t xml:space="preserve"> </w:t>
      </w:r>
      <w:r w:rsidRPr="00946291">
        <w:rPr>
          <w:lang w:eastAsia="zh-CN"/>
        </w:rPr>
        <w:t xml:space="preserve">= </w:t>
      </w:r>
      <m:oMath>
        <m:f>
          <m:fPr>
            <m:ctrlPr>
              <w:rPr>
                <w:rFonts w:ascii="Cambria Math" w:hAnsi="Cambria Math"/>
                <w:i/>
                <w:vertAlign w:val="subscript"/>
                <w:lang w:eastAsia="zh-CN"/>
              </w:rPr>
            </m:ctrlPr>
          </m:fPr>
          <m:num>
            <m:sSub>
              <m:sSubPr>
                <m:ctrlPr>
                  <w:rPr>
                    <w:rFonts w:ascii="Cambria Math" w:hAnsi="Cambria Math"/>
                    <w:i/>
                    <w:vertAlign w:val="subscript"/>
                    <w:lang w:eastAsia="zh-CN"/>
                  </w:rPr>
                </m:ctrlPr>
              </m:sSubPr>
              <m:e>
                <m:r>
                  <m:rPr>
                    <m:sty m:val="p"/>
                  </m:rPr>
                  <w:rPr>
                    <w:rFonts w:ascii="Cambria Math" w:hAnsi="Cambria Math"/>
                    <w:lang w:eastAsia="zh-CN"/>
                  </w:rPr>
                  <m:t>(W/L)</m:t>
                </m:r>
              </m:e>
              <m:sub>
                <m:r>
                  <m:rPr>
                    <m:sty m:val="p"/>
                  </m:rPr>
                  <w:rPr>
                    <w:rFonts w:ascii="Cambria Math" w:hAnsi="Cambria Math"/>
                    <w:vertAlign w:val="subscript"/>
                    <w:lang w:eastAsia="zh-CN"/>
                  </w:rPr>
                  <m:t>2</m:t>
                </m:r>
              </m:sub>
            </m:sSub>
          </m:num>
          <m:den>
            <m:sSub>
              <m:sSubPr>
                <m:ctrlPr>
                  <w:rPr>
                    <w:rFonts w:ascii="Cambria Math" w:hAnsi="Cambria Math"/>
                    <w:i/>
                    <w:vertAlign w:val="subscript"/>
                    <w:lang w:eastAsia="zh-CN"/>
                  </w:rPr>
                </m:ctrlPr>
              </m:sSubPr>
              <m:e>
                <m:r>
                  <m:rPr>
                    <m:sty m:val="p"/>
                  </m:rPr>
                  <w:rPr>
                    <w:rFonts w:ascii="Cambria Math" w:hAnsi="Cambria Math"/>
                    <w:lang w:eastAsia="zh-CN"/>
                  </w:rPr>
                  <m:t>(W/L)</m:t>
                </m:r>
              </m:e>
              <m:sub>
                <m:r>
                  <w:rPr>
                    <w:rFonts w:ascii="Cambria Math" w:hAnsi="Cambria Math"/>
                    <w:vertAlign w:val="subscript"/>
                    <w:lang w:eastAsia="zh-CN"/>
                  </w:rPr>
                  <m:t>1</m:t>
                </m:r>
              </m:sub>
            </m:sSub>
          </m:den>
        </m:f>
        <m:r>
          <w:rPr>
            <w:rFonts w:ascii="Cambria Math" w:hAnsi="Cambria Math"/>
            <w:vertAlign w:val="subscript"/>
            <w:lang w:eastAsia="zh-CN"/>
          </w:rPr>
          <m:t>∙</m:t>
        </m:r>
        <m:f>
          <m:fPr>
            <m:ctrlPr>
              <w:rPr>
                <w:rFonts w:ascii="Cambria Math" w:hAnsi="Cambria Math"/>
                <w:i/>
                <w:vertAlign w:val="subscript"/>
                <w:lang w:eastAsia="zh-CN"/>
              </w:rPr>
            </m:ctrlPr>
          </m:fPr>
          <m:num>
            <m:r>
              <w:rPr>
                <w:rFonts w:ascii="Cambria Math" w:hAnsi="Cambria Math"/>
                <w:vertAlign w:val="subscript"/>
                <w:lang w:eastAsia="zh-CN"/>
              </w:rPr>
              <m:t>1+</m:t>
            </m:r>
            <m:sSub>
              <m:sSubPr>
                <m:ctrlPr>
                  <w:rPr>
                    <w:rFonts w:ascii="Cambria Math" w:hAnsi="Cambria Math"/>
                    <w:i/>
                    <w:vertAlign w:val="subscript"/>
                    <w:lang w:eastAsia="zh-CN"/>
                  </w:rPr>
                </m:ctrlPr>
              </m:sSubPr>
              <m:e>
                <m:r>
                  <w:rPr>
                    <w:rFonts w:ascii="Cambria Math" w:hAnsi="Cambria Math"/>
                    <w:vertAlign w:val="subscript"/>
                    <w:lang w:eastAsia="zh-CN"/>
                  </w:rPr>
                  <m:t>V</m:t>
                </m:r>
              </m:e>
              <m:sub>
                <m:r>
                  <w:rPr>
                    <w:rFonts w:ascii="Cambria Math" w:hAnsi="Cambria Math"/>
                    <w:vertAlign w:val="subscript"/>
                    <w:lang w:eastAsia="zh-CN"/>
                  </w:rPr>
                  <m:t>DS2</m:t>
                </m:r>
              </m:sub>
            </m:sSub>
            <m:sSub>
              <m:sSubPr>
                <m:ctrlPr>
                  <w:rPr>
                    <w:rFonts w:ascii="Cambria Math" w:hAnsi="Cambria Math"/>
                    <w:i/>
                    <w:vertAlign w:val="subscript"/>
                    <w:lang w:eastAsia="zh-CN"/>
                  </w:rPr>
                </m:ctrlPr>
              </m:sSubPr>
              <m:e>
                <m:r>
                  <w:rPr>
                    <w:rFonts w:ascii="Cambria Math" w:hAnsi="Cambria Math"/>
                    <w:vertAlign w:val="subscript"/>
                    <w:lang w:eastAsia="zh-CN"/>
                  </w:rPr>
                  <m:t>λ</m:t>
                </m:r>
              </m:e>
              <m:sub>
                <m:r>
                  <w:rPr>
                    <w:rFonts w:ascii="Cambria Math" w:hAnsi="Cambria Math"/>
                    <w:vertAlign w:val="subscript"/>
                    <w:lang w:eastAsia="zh-CN"/>
                  </w:rPr>
                  <m:t>2</m:t>
                </m:r>
              </m:sub>
            </m:sSub>
          </m:num>
          <m:den>
            <m:r>
              <w:rPr>
                <w:rFonts w:ascii="Cambria Math" w:hAnsi="Cambria Math"/>
                <w:vertAlign w:val="subscript"/>
                <w:lang w:eastAsia="zh-CN"/>
              </w:rPr>
              <m:t>1+</m:t>
            </m:r>
            <m:sSub>
              <m:sSubPr>
                <m:ctrlPr>
                  <w:rPr>
                    <w:rFonts w:ascii="Cambria Math" w:hAnsi="Cambria Math"/>
                    <w:i/>
                    <w:vertAlign w:val="subscript"/>
                    <w:lang w:eastAsia="zh-CN"/>
                  </w:rPr>
                </m:ctrlPr>
              </m:sSubPr>
              <m:e>
                <m:r>
                  <w:rPr>
                    <w:rFonts w:ascii="Cambria Math" w:hAnsi="Cambria Math"/>
                    <w:vertAlign w:val="subscript"/>
                    <w:lang w:eastAsia="zh-CN"/>
                  </w:rPr>
                  <m:t>V</m:t>
                </m:r>
              </m:e>
              <m:sub>
                <m:r>
                  <w:rPr>
                    <w:rFonts w:ascii="Cambria Math" w:hAnsi="Cambria Math"/>
                    <w:vertAlign w:val="subscript"/>
                    <w:lang w:eastAsia="zh-CN"/>
                  </w:rPr>
                  <m:t>DS1</m:t>
                </m:r>
              </m:sub>
            </m:sSub>
            <m:sSub>
              <m:sSubPr>
                <m:ctrlPr>
                  <w:rPr>
                    <w:rFonts w:ascii="Cambria Math" w:hAnsi="Cambria Math"/>
                    <w:i/>
                    <w:vertAlign w:val="subscript"/>
                    <w:lang w:eastAsia="zh-CN"/>
                  </w:rPr>
                </m:ctrlPr>
              </m:sSubPr>
              <m:e>
                <m:r>
                  <w:rPr>
                    <w:rFonts w:ascii="Cambria Math" w:hAnsi="Cambria Math"/>
                    <w:vertAlign w:val="subscript"/>
                    <w:lang w:eastAsia="zh-CN"/>
                  </w:rPr>
                  <m:t>λ</m:t>
                </m:r>
              </m:e>
              <m:sub>
                <m:r>
                  <w:rPr>
                    <w:rFonts w:ascii="Cambria Math" w:hAnsi="Cambria Math"/>
                    <w:vertAlign w:val="subscript"/>
                    <w:lang w:eastAsia="zh-CN"/>
                  </w:rPr>
                  <m:t>1</m:t>
                </m:r>
              </m:sub>
            </m:sSub>
          </m:den>
        </m:f>
      </m:oMath>
      <w:r w:rsidR="00372740">
        <w:rPr>
          <w:rFonts w:hint="eastAsia"/>
          <w:lang w:eastAsia="zh-CN"/>
        </w:rPr>
        <w:t xml:space="preserve">, </w:t>
      </w:r>
      <w:r w:rsidRPr="00946291">
        <w:rPr>
          <w:lang w:eastAsia="zh-CN"/>
        </w:rPr>
        <w:t>where</w:t>
      </w:r>
      <w:r w:rsidRPr="00946291">
        <w:rPr>
          <w:sz w:val="22"/>
          <w:szCs w:val="22"/>
          <w:lang w:eastAsia="zh-CN"/>
        </w:rPr>
        <w:t xml:space="preserve">  </w:t>
      </w:r>
      <w:r w:rsidRPr="00946291">
        <w:rPr>
          <w:rFonts w:ascii="仿宋" w:eastAsia="仿宋" w:hAnsi="仿宋" w:cs="仿宋" w:hint="eastAsia"/>
          <w:sz w:val="22"/>
          <w:szCs w:val="22"/>
          <w:lang w:eastAsia="zh-CN"/>
        </w:rPr>
        <w:t>λ</w:t>
      </w:r>
      <w:r w:rsidRPr="00946291">
        <w:rPr>
          <w:sz w:val="22"/>
          <w:szCs w:val="22"/>
          <w:lang w:eastAsia="zh-CN"/>
        </w:rPr>
        <w:t xml:space="preserve">  </w:t>
      </w:r>
      <w:r w:rsidRPr="00946291">
        <w:rPr>
          <w:lang w:eastAsia="zh-CN"/>
        </w:rPr>
        <w:t>is the channel-length modulation parameter and</w:t>
      </w:r>
      <w:r w:rsidRPr="00946291">
        <w:rPr>
          <w:sz w:val="22"/>
          <w:szCs w:val="22"/>
          <w:lang w:eastAsia="zh-CN"/>
        </w:rPr>
        <w:t xml:space="preserve">  V</w:t>
      </w:r>
      <w:r w:rsidRPr="00946291">
        <w:rPr>
          <w:vertAlign w:val="subscript"/>
          <w:lang w:eastAsia="zh-CN"/>
        </w:rPr>
        <w:t>DS</w:t>
      </w:r>
      <w:r w:rsidRPr="00946291">
        <w:rPr>
          <w:rFonts w:hint="eastAsia"/>
          <w:vertAlign w:val="subscript"/>
          <w:lang w:eastAsia="zh-CN"/>
        </w:rPr>
        <w:t xml:space="preserve"> </w:t>
      </w:r>
      <w:r w:rsidRPr="00946291">
        <w:rPr>
          <w:sz w:val="22"/>
          <w:szCs w:val="22"/>
          <w:lang w:eastAsia="zh-CN"/>
        </w:rPr>
        <w:t xml:space="preserve"> </w:t>
      </w:r>
      <w:r w:rsidRPr="00946291">
        <w:rPr>
          <w:lang w:eastAsia="zh-CN"/>
        </w:rPr>
        <w:t>is the drain-source voltage. Cascode current mirrors (stacking M2 over M1 to form a cascode structure) suppress</w:t>
      </w:r>
      <w:r w:rsidRPr="00946291">
        <w:rPr>
          <w:sz w:val="22"/>
          <w:szCs w:val="22"/>
          <w:lang w:eastAsia="zh-CN"/>
        </w:rPr>
        <w:t xml:space="preserve">  </w:t>
      </w:r>
      <w:r w:rsidRPr="00946291">
        <w:rPr>
          <w:rFonts w:ascii="仿宋" w:eastAsia="仿宋" w:hAnsi="仿宋" w:cs="仿宋" w:hint="eastAsia"/>
          <w:sz w:val="22"/>
          <w:szCs w:val="22"/>
          <w:lang w:eastAsia="zh-CN"/>
        </w:rPr>
        <w:t>λ</w:t>
      </w:r>
      <w:r w:rsidRPr="00946291">
        <w:rPr>
          <w:sz w:val="22"/>
          <w:szCs w:val="22"/>
          <w:lang w:eastAsia="zh-CN"/>
        </w:rPr>
        <w:t xml:space="preserve"> -</w:t>
      </w:r>
      <w:r w:rsidRPr="00946291">
        <w:rPr>
          <w:lang w:eastAsia="zh-CN"/>
        </w:rPr>
        <w:t>induced mismatch, achieving output resistance</w:t>
      </w:r>
      <w:r w:rsidRPr="00946291">
        <w:rPr>
          <w:sz w:val="22"/>
          <w:szCs w:val="22"/>
          <w:lang w:eastAsia="zh-CN"/>
        </w:rPr>
        <w:t xml:space="preserve"> r_</w:t>
      </w:r>
      <w:r w:rsidRPr="00946291">
        <w:rPr>
          <w:vertAlign w:val="subscript"/>
          <w:lang w:eastAsia="zh-CN"/>
        </w:rPr>
        <w:t>o</w:t>
      </w:r>
      <w:r w:rsidRPr="00946291">
        <w:rPr>
          <w:sz w:val="22"/>
          <w:szCs w:val="22"/>
          <w:lang w:eastAsia="zh-CN"/>
        </w:rPr>
        <w:t xml:space="preserve"> &gt; 50 MÎ© </w:t>
      </w:r>
      <w:r w:rsidRPr="00946291">
        <w:rPr>
          <w:lang w:eastAsia="zh-CN"/>
        </w:rPr>
        <w:t xml:space="preserve"> in TSMC</w:t>
      </w:r>
      <w:r w:rsidRPr="00946291">
        <w:rPr>
          <w:sz w:val="22"/>
          <w:szCs w:val="22"/>
          <w:lang w:eastAsia="zh-CN"/>
        </w:rPr>
        <w:t xml:space="preserve"> 16 </w:t>
      </w:r>
      <w:r w:rsidRPr="00946291">
        <w:rPr>
          <w:lang w:eastAsia="zh-CN"/>
        </w:rPr>
        <w:t xml:space="preserve">nm FinFET technology. </w:t>
      </w:r>
    </w:p>
    <w:p w14:paraId="594EC171" w14:textId="77777777" w:rsidR="00946291" w:rsidRPr="00946291" w:rsidRDefault="00946291" w:rsidP="00946291">
      <w:pPr>
        <w:pStyle w:val="Paragraph"/>
        <w:rPr>
          <w:lang w:eastAsia="zh-CN"/>
        </w:rPr>
      </w:pPr>
      <w:r w:rsidRPr="00946291">
        <w:rPr>
          <w:lang w:eastAsia="zh-CN"/>
        </w:rPr>
        <w:t>In low-voltage op-amps (e.g., 0.6 V-powered IoT sensor front-ends), this strategy stabilizes quiescent current within ±3%, ensuring gain consistency (&lt;2 dB variation).</w:t>
      </w:r>
    </w:p>
    <w:p w14:paraId="3D5FF879" w14:textId="77777777" w:rsidR="00946291" w:rsidRPr="00946291" w:rsidRDefault="00946291" w:rsidP="00946291">
      <w:pPr>
        <w:pStyle w:val="Paragraph"/>
        <w:rPr>
          <w:lang w:eastAsia="zh-CN"/>
        </w:rPr>
      </w:pPr>
      <w:r w:rsidRPr="00946291">
        <w:rPr>
          <w:lang w:eastAsia="zh-CN"/>
        </w:rPr>
        <w:t xml:space="preserve">For high-precision analog-to-digital converters (ADCs), nanometer-scale dimension matching ( W/L  error &lt;1%) </w:t>
      </w:r>
      <w:r w:rsidRPr="00946291">
        <w:t>achieves</w:t>
      </w:r>
      <w:r w:rsidRPr="00946291">
        <w:rPr>
          <w:lang w:eastAsia="zh-CN"/>
        </w:rPr>
        <w:t xml:space="preserve"> 99.5% current replication accuracy, critical for 20-bit resolution requirements.</w:t>
      </w:r>
    </w:p>
    <w:p w14:paraId="25CC0D6E" w14:textId="405CCED7" w:rsidR="00946291" w:rsidRDefault="00946291" w:rsidP="00946291">
      <w:pPr>
        <w:pStyle w:val="Paragraph"/>
        <w:rPr>
          <w:lang w:eastAsia="zh-CN"/>
        </w:rPr>
      </w:pPr>
      <w:r w:rsidRPr="00946291">
        <w:rPr>
          <w:lang w:eastAsia="zh-CN"/>
        </w:rPr>
        <w:t>Table 2 compares three common biasing techniques for CS amplifiers, highlighting tradeoffs in circuit complexity, process sensitivity, linearity improvement, and application scenarios</w:t>
      </w:r>
      <w:r w:rsidR="00372740">
        <w:rPr>
          <w:rFonts w:hint="eastAsia"/>
          <w:lang w:eastAsia="zh-CN"/>
        </w:rPr>
        <w:t>.</w:t>
      </w:r>
    </w:p>
    <w:p w14:paraId="202BF5C7" w14:textId="0B8F8F7E" w:rsidR="00946291" w:rsidRPr="00191EC5" w:rsidRDefault="00372740" w:rsidP="00946291">
      <w:pPr>
        <w:pStyle w:val="TableCaption"/>
        <w:rPr>
          <w:lang w:val="fr-FR" w:eastAsia="zh-CN"/>
        </w:rPr>
      </w:pPr>
      <w:r w:rsidRPr="00191EC5">
        <w:rPr>
          <w:b/>
          <w:bCs/>
          <w:lang w:val="fr-FR" w:eastAsia="zh-CN"/>
        </w:rPr>
        <w:t>TABLE 2.</w:t>
      </w:r>
      <w:r w:rsidRPr="00191EC5">
        <w:rPr>
          <w:lang w:val="fr-FR" w:eastAsia="zh-CN"/>
        </w:rPr>
        <w:t xml:space="preserve"> </w:t>
      </w:r>
      <w:r w:rsidR="00946291" w:rsidRPr="00191EC5">
        <w:rPr>
          <w:lang w:val="fr-FR" w:eastAsia="zh-CN"/>
        </w:rPr>
        <w:t>Gain Enhancement Technique Comparison</w:t>
      </w:r>
    </w:p>
    <w:tbl>
      <w:tblPr>
        <w:tblW w:w="0" w:type="auto"/>
        <w:tblInd w:w="546" w:type="dxa"/>
        <w:tblCellMar>
          <w:left w:w="10" w:type="dxa"/>
          <w:right w:w="10" w:type="dxa"/>
        </w:tblCellMar>
        <w:tblLook w:val="04A0" w:firstRow="1" w:lastRow="0" w:firstColumn="1" w:lastColumn="0" w:noHBand="0" w:noVBand="1"/>
      </w:tblPr>
      <w:tblGrid>
        <w:gridCol w:w="1395"/>
        <w:gridCol w:w="1891"/>
        <w:gridCol w:w="1834"/>
        <w:gridCol w:w="1825"/>
        <w:gridCol w:w="1560"/>
      </w:tblGrid>
      <w:tr w:rsidR="00946291" w:rsidRPr="00191EC5" w14:paraId="139556AE" w14:textId="77777777" w:rsidTr="00191EC5">
        <w:trPr>
          <w:trHeight w:val="454"/>
        </w:trPr>
        <w:tc>
          <w:tcPr>
            <w:tcW w:w="1395" w:type="dxa"/>
            <w:tcBorders>
              <w:top w:val="single" w:sz="4" w:space="0" w:color="auto"/>
              <w:bottom w:val="single" w:sz="4" w:space="0" w:color="auto"/>
            </w:tcBorders>
            <w:tcMar>
              <w:top w:w="60" w:type="dxa"/>
              <w:left w:w="120" w:type="dxa"/>
              <w:bottom w:w="30" w:type="dxa"/>
              <w:right w:w="120" w:type="dxa"/>
            </w:tcMar>
          </w:tcPr>
          <w:p w14:paraId="51808B57" w14:textId="77777777" w:rsidR="00946291" w:rsidRPr="00191EC5" w:rsidRDefault="00946291" w:rsidP="00191EC5">
            <w:pPr>
              <w:jc w:val="center"/>
              <w:rPr>
                <w:rFonts w:eastAsia="等线"/>
                <w:b/>
                <w:bCs/>
                <w:sz w:val="18"/>
                <w:lang w:eastAsia="zh-CN"/>
              </w:rPr>
            </w:pPr>
            <w:r w:rsidRPr="00191EC5">
              <w:rPr>
                <w:rFonts w:eastAsia="等线"/>
                <w:b/>
                <w:bCs/>
                <w:sz w:val="18"/>
                <w:lang w:eastAsia="zh-CN"/>
              </w:rPr>
              <w:t>Biasing Technique</w:t>
            </w:r>
          </w:p>
        </w:tc>
        <w:tc>
          <w:tcPr>
            <w:tcW w:w="1891" w:type="dxa"/>
            <w:tcBorders>
              <w:top w:val="single" w:sz="4" w:space="0" w:color="auto"/>
              <w:bottom w:val="single" w:sz="4" w:space="0" w:color="auto"/>
            </w:tcBorders>
            <w:tcMar>
              <w:top w:w="60" w:type="dxa"/>
              <w:left w:w="120" w:type="dxa"/>
              <w:bottom w:w="30" w:type="dxa"/>
              <w:right w:w="120" w:type="dxa"/>
            </w:tcMar>
          </w:tcPr>
          <w:p w14:paraId="4B6E5D59" w14:textId="77777777" w:rsidR="00946291" w:rsidRPr="00191EC5" w:rsidRDefault="00946291" w:rsidP="00191EC5">
            <w:pPr>
              <w:jc w:val="center"/>
              <w:rPr>
                <w:rFonts w:eastAsia="等线"/>
                <w:b/>
                <w:bCs/>
                <w:sz w:val="18"/>
                <w:lang w:eastAsia="zh-CN"/>
              </w:rPr>
            </w:pPr>
            <w:r w:rsidRPr="00191EC5">
              <w:rPr>
                <w:rFonts w:eastAsia="等线"/>
                <w:b/>
                <w:bCs/>
                <w:sz w:val="18"/>
                <w:lang w:eastAsia="zh-CN"/>
              </w:rPr>
              <w:t>Circuit Complexity</w:t>
            </w:r>
          </w:p>
        </w:tc>
        <w:tc>
          <w:tcPr>
            <w:tcW w:w="1834" w:type="dxa"/>
            <w:tcBorders>
              <w:top w:val="single" w:sz="4" w:space="0" w:color="auto"/>
              <w:bottom w:val="single" w:sz="4" w:space="0" w:color="auto"/>
            </w:tcBorders>
            <w:tcMar>
              <w:top w:w="60" w:type="dxa"/>
              <w:left w:w="120" w:type="dxa"/>
              <w:bottom w:w="30" w:type="dxa"/>
              <w:right w:w="120" w:type="dxa"/>
            </w:tcMar>
          </w:tcPr>
          <w:p w14:paraId="640009E1" w14:textId="77777777" w:rsidR="00946291" w:rsidRPr="00191EC5" w:rsidRDefault="00946291" w:rsidP="00191EC5">
            <w:pPr>
              <w:jc w:val="center"/>
              <w:rPr>
                <w:rFonts w:eastAsia="等线"/>
                <w:b/>
                <w:bCs/>
                <w:sz w:val="18"/>
                <w:lang w:eastAsia="zh-CN"/>
              </w:rPr>
            </w:pPr>
            <w:r w:rsidRPr="00191EC5">
              <w:rPr>
                <w:rFonts w:eastAsia="等线"/>
                <w:b/>
                <w:bCs/>
                <w:sz w:val="18"/>
                <w:lang w:eastAsia="zh-CN"/>
              </w:rPr>
              <w:t>Process Sensitivity</w:t>
            </w:r>
          </w:p>
        </w:tc>
        <w:tc>
          <w:tcPr>
            <w:tcW w:w="1825" w:type="dxa"/>
            <w:tcBorders>
              <w:top w:val="single" w:sz="4" w:space="0" w:color="auto"/>
              <w:bottom w:val="single" w:sz="4" w:space="0" w:color="auto"/>
            </w:tcBorders>
            <w:tcMar>
              <w:top w:w="60" w:type="dxa"/>
              <w:left w:w="120" w:type="dxa"/>
              <w:bottom w:w="30" w:type="dxa"/>
              <w:right w:w="120" w:type="dxa"/>
            </w:tcMar>
          </w:tcPr>
          <w:p w14:paraId="7087E1D0" w14:textId="77777777" w:rsidR="00946291" w:rsidRPr="00191EC5" w:rsidRDefault="00946291" w:rsidP="00191EC5">
            <w:pPr>
              <w:jc w:val="center"/>
              <w:rPr>
                <w:rFonts w:eastAsia="等线"/>
                <w:b/>
                <w:bCs/>
                <w:sz w:val="18"/>
                <w:lang w:eastAsia="zh-CN"/>
              </w:rPr>
            </w:pPr>
            <w:r w:rsidRPr="00191EC5">
              <w:rPr>
                <w:rFonts w:eastAsia="等线"/>
                <w:b/>
                <w:bCs/>
                <w:sz w:val="18"/>
                <w:lang w:eastAsia="zh-CN"/>
              </w:rPr>
              <w:t>Linearity Improvement</w:t>
            </w:r>
          </w:p>
        </w:tc>
        <w:tc>
          <w:tcPr>
            <w:tcW w:w="1560" w:type="dxa"/>
            <w:tcBorders>
              <w:top w:val="single" w:sz="4" w:space="0" w:color="auto"/>
              <w:bottom w:val="single" w:sz="4" w:space="0" w:color="auto"/>
            </w:tcBorders>
            <w:tcMar>
              <w:top w:w="60" w:type="dxa"/>
              <w:left w:w="120" w:type="dxa"/>
              <w:bottom w:w="30" w:type="dxa"/>
              <w:right w:w="120" w:type="dxa"/>
            </w:tcMar>
          </w:tcPr>
          <w:p w14:paraId="27EEEA0A" w14:textId="77777777" w:rsidR="00946291" w:rsidRPr="00191EC5" w:rsidRDefault="00946291" w:rsidP="00191EC5">
            <w:pPr>
              <w:jc w:val="center"/>
              <w:rPr>
                <w:rFonts w:eastAsia="等线"/>
                <w:b/>
                <w:bCs/>
                <w:sz w:val="18"/>
                <w:lang w:eastAsia="zh-CN"/>
              </w:rPr>
            </w:pPr>
            <w:r w:rsidRPr="00191EC5">
              <w:rPr>
                <w:rFonts w:eastAsia="等线"/>
                <w:b/>
                <w:bCs/>
                <w:sz w:val="18"/>
                <w:lang w:eastAsia="zh-CN"/>
              </w:rPr>
              <w:t>Typical Applications</w:t>
            </w:r>
          </w:p>
        </w:tc>
      </w:tr>
      <w:tr w:rsidR="00946291" w:rsidRPr="00191EC5" w14:paraId="1C683D2E" w14:textId="77777777" w:rsidTr="00191EC5">
        <w:trPr>
          <w:trHeight w:val="454"/>
        </w:trPr>
        <w:tc>
          <w:tcPr>
            <w:tcW w:w="1395" w:type="dxa"/>
            <w:tcBorders>
              <w:top w:val="single" w:sz="4" w:space="0" w:color="auto"/>
            </w:tcBorders>
            <w:tcMar>
              <w:top w:w="60" w:type="dxa"/>
              <w:left w:w="120" w:type="dxa"/>
              <w:bottom w:w="30" w:type="dxa"/>
              <w:right w:w="120" w:type="dxa"/>
            </w:tcMar>
          </w:tcPr>
          <w:p w14:paraId="632B0AE7" w14:textId="77777777" w:rsidR="00946291" w:rsidRPr="00191EC5" w:rsidRDefault="00946291" w:rsidP="00191EC5">
            <w:pPr>
              <w:jc w:val="center"/>
              <w:rPr>
                <w:rFonts w:eastAsia="等线"/>
                <w:sz w:val="18"/>
                <w:lang w:eastAsia="zh-CN"/>
              </w:rPr>
            </w:pPr>
            <w:r w:rsidRPr="00191EC5">
              <w:rPr>
                <w:rFonts w:eastAsia="等线"/>
                <w:sz w:val="18"/>
                <w:lang w:eastAsia="zh-CN"/>
              </w:rPr>
              <w:t>Fixed-Gate Voltage</w:t>
            </w:r>
          </w:p>
        </w:tc>
        <w:tc>
          <w:tcPr>
            <w:tcW w:w="1891" w:type="dxa"/>
            <w:tcBorders>
              <w:top w:val="single" w:sz="4" w:space="0" w:color="auto"/>
            </w:tcBorders>
            <w:tcMar>
              <w:top w:w="60" w:type="dxa"/>
              <w:left w:w="120" w:type="dxa"/>
              <w:bottom w:w="30" w:type="dxa"/>
              <w:right w:w="120" w:type="dxa"/>
            </w:tcMar>
          </w:tcPr>
          <w:p w14:paraId="054E3AE1" w14:textId="77777777" w:rsidR="00946291" w:rsidRPr="00191EC5" w:rsidRDefault="00946291" w:rsidP="00191EC5">
            <w:pPr>
              <w:jc w:val="center"/>
              <w:rPr>
                <w:rFonts w:eastAsia="等线"/>
                <w:sz w:val="18"/>
                <w:lang w:eastAsia="zh-CN"/>
              </w:rPr>
            </w:pPr>
            <w:r w:rsidRPr="00191EC5">
              <w:rPr>
                <w:rFonts w:eastAsia="等线"/>
                <w:sz w:val="18"/>
                <w:lang w:eastAsia="zh-CN"/>
              </w:rPr>
              <w:t>Low</w:t>
            </w:r>
          </w:p>
        </w:tc>
        <w:tc>
          <w:tcPr>
            <w:tcW w:w="1834" w:type="dxa"/>
            <w:tcBorders>
              <w:top w:val="single" w:sz="4" w:space="0" w:color="auto"/>
            </w:tcBorders>
            <w:tcMar>
              <w:top w:w="60" w:type="dxa"/>
              <w:left w:w="120" w:type="dxa"/>
              <w:bottom w:w="30" w:type="dxa"/>
              <w:right w:w="120" w:type="dxa"/>
            </w:tcMar>
          </w:tcPr>
          <w:p w14:paraId="25357FFD" w14:textId="77777777" w:rsidR="00946291" w:rsidRPr="00191EC5" w:rsidRDefault="00946291" w:rsidP="00191EC5">
            <w:pPr>
              <w:jc w:val="center"/>
              <w:rPr>
                <w:rFonts w:eastAsia="等线"/>
                <w:sz w:val="18"/>
                <w:lang w:eastAsia="zh-CN"/>
              </w:rPr>
            </w:pPr>
            <w:r w:rsidRPr="00191EC5">
              <w:rPr>
                <w:rFonts w:eastAsia="等线"/>
                <w:sz w:val="18"/>
                <w:lang w:eastAsia="zh-CN"/>
              </w:rPr>
              <w:t>High</w:t>
            </w:r>
          </w:p>
        </w:tc>
        <w:tc>
          <w:tcPr>
            <w:tcW w:w="1825" w:type="dxa"/>
            <w:tcBorders>
              <w:top w:val="single" w:sz="4" w:space="0" w:color="auto"/>
            </w:tcBorders>
            <w:tcMar>
              <w:top w:w="60" w:type="dxa"/>
              <w:left w:w="120" w:type="dxa"/>
              <w:bottom w:w="30" w:type="dxa"/>
              <w:right w:w="120" w:type="dxa"/>
            </w:tcMar>
          </w:tcPr>
          <w:p w14:paraId="107BD3DF" w14:textId="77777777" w:rsidR="00946291" w:rsidRPr="00191EC5" w:rsidRDefault="00946291" w:rsidP="00191EC5">
            <w:pPr>
              <w:jc w:val="center"/>
              <w:rPr>
                <w:rFonts w:eastAsia="等线"/>
                <w:sz w:val="18"/>
                <w:lang w:eastAsia="zh-CN"/>
              </w:rPr>
            </w:pPr>
            <w:r w:rsidRPr="00191EC5">
              <w:rPr>
                <w:rFonts w:eastAsia="等线"/>
                <w:sz w:val="18"/>
                <w:lang w:eastAsia="zh-CN"/>
              </w:rPr>
              <w:t>None</w:t>
            </w:r>
          </w:p>
        </w:tc>
        <w:tc>
          <w:tcPr>
            <w:tcW w:w="1560" w:type="dxa"/>
            <w:tcBorders>
              <w:top w:val="single" w:sz="4" w:space="0" w:color="auto"/>
            </w:tcBorders>
            <w:tcMar>
              <w:top w:w="60" w:type="dxa"/>
              <w:left w:w="120" w:type="dxa"/>
              <w:bottom w:w="30" w:type="dxa"/>
              <w:right w:w="120" w:type="dxa"/>
            </w:tcMar>
          </w:tcPr>
          <w:p w14:paraId="797BC602" w14:textId="77777777" w:rsidR="00946291" w:rsidRPr="00191EC5" w:rsidRDefault="00946291" w:rsidP="00191EC5">
            <w:pPr>
              <w:jc w:val="center"/>
              <w:rPr>
                <w:rFonts w:eastAsia="等线"/>
                <w:sz w:val="18"/>
                <w:lang w:eastAsia="zh-CN"/>
              </w:rPr>
            </w:pPr>
            <w:r w:rsidRPr="00191EC5">
              <w:rPr>
                <w:rFonts w:eastAsia="等线"/>
                <w:sz w:val="18"/>
                <w:lang w:eastAsia="zh-CN"/>
              </w:rPr>
              <w:t>Low-frequency, non-critical circuits</w:t>
            </w:r>
          </w:p>
        </w:tc>
      </w:tr>
      <w:tr w:rsidR="00946291" w:rsidRPr="00191EC5" w14:paraId="1C5CF108" w14:textId="77777777" w:rsidTr="00191EC5">
        <w:trPr>
          <w:trHeight w:val="454"/>
        </w:trPr>
        <w:tc>
          <w:tcPr>
            <w:tcW w:w="1395" w:type="dxa"/>
            <w:tcMar>
              <w:top w:w="60" w:type="dxa"/>
              <w:left w:w="120" w:type="dxa"/>
              <w:bottom w:w="30" w:type="dxa"/>
              <w:right w:w="120" w:type="dxa"/>
            </w:tcMar>
          </w:tcPr>
          <w:p w14:paraId="65FFCA53" w14:textId="77777777" w:rsidR="00946291" w:rsidRPr="00191EC5" w:rsidRDefault="00946291" w:rsidP="00191EC5">
            <w:pPr>
              <w:jc w:val="center"/>
              <w:rPr>
                <w:rFonts w:eastAsia="等线"/>
                <w:sz w:val="18"/>
                <w:lang w:eastAsia="zh-CN"/>
              </w:rPr>
            </w:pPr>
            <w:r w:rsidRPr="00191EC5">
              <w:rPr>
                <w:rFonts w:eastAsia="等线"/>
                <w:sz w:val="18"/>
                <w:lang w:eastAsia="zh-CN"/>
              </w:rPr>
              <w:t>Source Degeneration</w:t>
            </w:r>
          </w:p>
        </w:tc>
        <w:tc>
          <w:tcPr>
            <w:tcW w:w="1891" w:type="dxa"/>
            <w:tcMar>
              <w:top w:w="60" w:type="dxa"/>
              <w:left w:w="120" w:type="dxa"/>
              <w:bottom w:w="30" w:type="dxa"/>
              <w:right w:w="120" w:type="dxa"/>
            </w:tcMar>
          </w:tcPr>
          <w:p w14:paraId="2101D055" w14:textId="77777777" w:rsidR="00946291" w:rsidRPr="00191EC5" w:rsidRDefault="00946291" w:rsidP="00191EC5">
            <w:pPr>
              <w:jc w:val="center"/>
              <w:rPr>
                <w:rFonts w:eastAsia="等线"/>
                <w:sz w:val="18"/>
                <w:lang w:eastAsia="zh-CN"/>
              </w:rPr>
            </w:pPr>
            <w:r w:rsidRPr="00191EC5">
              <w:rPr>
                <w:rFonts w:eastAsia="等线"/>
                <w:sz w:val="18"/>
                <w:lang w:eastAsia="zh-CN"/>
              </w:rPr>
              <w:t>Medium</w:t>
            </w:r>
          </w:p>
        </w:tc>
        <w:tc>
          <w:tcPr>
            <w:tcW w:w="1834" w:type="dxa"/>
            <w:tcMar>
              <w:top w:w="60" w:type="dxa"/>
              <w:left w:w="120" w:type="dxa"/>
              <w:bottom w:w="30" w:type="dxa"/>
              <w:right w:w="120" w:type="dxa"/>
            </w:tcMar>
          </w:tcPr>
          <w:p w14:paraId="5DA22239" w14:textId="77777777" w:rsidR="00946291" w:rsidRPr="00191EC5" w:rsidRDefault="00946291" w:rsidP="00191EC5">
            <w:pPr>
              <w:jc w:val="center"/>
              <w:rPr>
                <w:rFonts w:eastAsia="等线"/>
                <w:sz w:val="18"/>
                <w:lang w:eastAsia="zh-CN"/>
              </w:rPr>
            </w:pPr>
            <w:r w:rsidRPr="00191EC5">
              <w:rPr>
                <w:rFonts w:eastAsia="等线"/>
                <w:sz w:val="18"/>
                <w:lang w:eastAsia="zh-CN"/>
              </w:rPr>
              <w:t>Medium</w:t>
            </w:r>
          </w:p>
        </w:tc>
        <w:tc>
          <w:tcPr>
            <w:tcW w:w="1825" w:type="dxa"/>
            <w:tcMar>
              <w:top w:w="60" w:type="dxa"/>
              <w:left w:w="120" w:type="dxa"/>
              <w:bottom w:w="30" w:type="dxa"/>
              <w:right w:w="120" w:type="dxa"/>
            </w:tcMar>
          </w:tcPr>
          <w:p w14:paraId="3007BA47" w14:textId="77777777" w:rsidR="00946291" w:rsidRPr="00191EC5" w:rsidRDefault="00946291" w:rsidP="00191EC5">
            <w:pPr>
              <w:jc w:val="center"/>
              <w:rPr>
                <w:rFonts w:eastAsia="等线"/>
                <w:sz w:val="18"/>
                <w:lang w:eastAsia="zh-CN"/>
              </w:rPr>
            </w:pPr>
            <w:r w:rsidRPr="00191EC5">
              <w:rPr>
                <w:rFonts w:eastAsia="等线"/>
                <w:sz w:val="18"/>
                <w:lang w:eastAsia="zh-CN"/>
              </w:rPr>
              <w:t>Significant</w:t>
            </w:r>
          </w:p>
        </w:tc>
        <w:tc>
          <w:tcPr>
            <w:tcW w:w="1560" w:type="dxa"/>
            <w:tcMar>
              <w:top w:w="60" w:type="dxa"/>
              <w:left w:w="120" w:type="dxa"/>
              <w:bottom w:w="30" w:type="dxa"/>
              <w:right w:w="120" w:type="dxa"/>
            </w:tcMar>
          </w:tcPr>
          <w:p w14:paraId="3381F9E7" w14:textId="77777777" w:rsidR="00946291" w:rsidRPr="00191EC5" w:rsidRDefault="00946291" w:rsidP="00191EC5">
            <w:pPr>
              <w:jc w:val="center"/>
              <w:rPr>
                <w:rFonts w:eastAsia="等线"/>
                <w:sz w:val="18"/>
                <w:lang w:eastAsia="zh-CN"/>
              </w:rPr>
            </w:pPr>
            <w:r w:rsidRPr="00191EC5">
              <w:rPr>
                <w:rFonts w:eastAsia="等线"/>
                <w:sz w:val="18"/>
                <w:lang w:eastAsia="zh-CN"/>
              </w:rPr>
              <w:t>RF LNAs, high-speed signal amplifiers</w:t>
            </w:r>
          </w:p>
        </w:tc>
      </w:tr>
      <w:tr w:rsidR="00946291" w:rsidRPr="00191EC5" w14:paraId="71AC8FFE" w14:textId="77777777" w:rsidTr="00191EC5">
        <w:trPr>
          <w:trHeight w:val="454"/>
        </w:trPr>
        <w:tc>
          <w:tcPr>
            <w:tcW w:w="1395" w:type="dxa"/>
            <w:tcBorders>
              <w:bottom w:val="single" w:sz="4" w:space="0" w:color="auto"/>
            </w:tcBorders>
            <w:tcMar>
              <w:top w:w="60" w:type="dxa"/>
              <w:left w:w="120" w:type="dxa"/>
              <w:bottom w:w="30" w:type="dxa"/>
              <w:right w:w="120" w:type="dxa"/>
            </w:tcMar>
          </w:tcPr>
          <w:p w14:paraId="349778C7" w14:textId="77777777" w:rsidR="00946291" w:rsidRPr="00191EC5" w:rsidRDefault="00946291" w:rsidP="00191EC5">
            <w:pPr>
              <w:jc w:val="center"/>
              <w:rPr>
                <w:rFonts w:eastAsia="等线"/>
                <w:sz w:val="18"/>
                <w:lang w:eastAsia="zh-CN"/>
              </w:rPr>
            </w:pPr>
            <w:r w:rsidRPr="00191EC5">
              <w:rPr>
                <w:rFonts w:eastAsia="等线"/>
                <w:sz w:val="18"/>
                <w:lang w:eastAsia="zh-CN"/>
              </w:rPr>
              <w:t>Active Current Mirrors</w:t>
            </w:r>
          </w:p>
        </w:tc>
        <w:tc>
          <w:tcPr>
            <w:tcW w:w="1891" w:type="dxa"/>
            <w:tcBorders>
              <w:bottom w:val="single" w:sz="4" w:space="0" w:color="auto"/>
            </w:tcBorders>
            <w:tcMar>
              <w:top w:w="60" w:type="dxa"/>
              <w:left w:w="120" w:type="dxa"/>
              <w:bottom w:w="30" w:type="dxa"/>
              <w:right w:w="120" w:type="dxa"/>
            </w:tcMar>
          </w:tcPr>
          <w:p w14:paraId="32013EF7" w14:textId="77777777" w:rsidR="00946291" w:rsidRPr="00191EC5" w:rsidRDefault="00946291" w:rsidP="00191EC5">
            <w:pPr>
              <w:jc w:val="center"/>
              <w:rPr>
                <w:rFonts w:eastAsia="等线"/>
                <w:sz w:val="18"/>
                <w:lang w:eastAsia="zh-CN"/>
              </w:rPr>
            </w:pPr>
            <w:r w:rsidRPr="00191EC5">
              <w:rPr>
                <w:rFonts w:eastAsia="等线"/>
                <w:sz w:val="18"/>
                <w:lang w:eastAsia="zh-CN"/>
              </w:rPr>
              <w:t>High</w:t>
            </w:r>
          </w:p>
        </w:tc>
        <w:tc>
          <w:tcPr>
            <w:tcW w:w="1834" w:type="dxa"/>
            <w:tcBorders>
              <w:bottom w:val="single" w:sz="4" w:space="0" w:color="auto"/>
            </w:tcBorders>
            <w:tcMar>
              <w:top w:w="60" w:type="dxa"/>
              <w:left w:w="120" w:type="dxa"/>
              <w:bottom w:w="30" w:type="dxa"/>
              <w:right w:w="120" w:type="dxa"/>
            </w:tcMar>
          </w:tcPr>
          <w:p w14:paraId="74D946F2" w14:textId="77777777" w:rsidR="00946291" w:rsidRPr="00191EC5" w:rsidRDefault="00946291" w:rsidP="00191EC5">
            <w:pPr>
              <w:jc w:val="center"/>
              <w:rPr>
                <w:rFonts w:eastAsia="等线"/>
                <w:sz w:val="18"/>
                <w:lang w:eastAsia="zh-CN"/>
              </w:rPr>
            </w:pPr>
            <w:r w:rsidRPr="00191EC5">
              <w:rPr>
                <w:rFonts w:eastAsia="等线"/>
                <w:sz w:val="18"/>
                <w:lang w:eastAsia="zh-CN"/>
              </w:rPr>
              <w:t>Low</w:t>
            </w:r>
          </w:p>
        </w:tc>
        <w:tc>
          <w:tcPr>
            <w:tcW w:w="1825" w:type="dxa"/>
            <w:tcBorders>
              <w:bottom w:val="single" w:sz="4" w:space="0" w:color="auto"/>
            </w:tcBorders>
            <w:tcMar>
              <w:top w:w="60" w:type="dxa"/>
              <w:left w:w="120" w:type="dxa"/>
              <w:bottom w:w="30" w:type="dxa"/>
              <w:right w:w="120" w:type="dxa"/>
            </w:tcMar>
          </w:tcPr>
          <w:p w14:paraId="4E839B1D" w14:textId="77777777" w:rsidR="00946291" w:rsidRPr="00191EC5" w:rsidRDefault="00946291" w:rsidP="00191EC5">
            <w:pPr>
              <w:jc w:val="center"/>
              <w:rPr>
                <w:rFonts w:eastAsia="等线"/>
                <w:sz w:val="18"/>
                <w:lang w:eastAsia="zh-CN"/>
              </w:rPr>
            </w:pPr>
            <w:r w:rsidRPr="00191EC5">
              <w:rPr>
                <w:rFonts w:eastAsia="等线"/>
                <w:sz w:val="18"/>
                <w:lang w:eastAsia="zh-CN"/>
              </w:rPr>
              <w:t>Moderate</w:t>
            </w:r>
          </w:p>
        </w:tc>
        <w:tc>
          <w:tcPr>
            <w:tcW w:w="1560" w:type="dxa"/>
            <w:tcBorders>
              <w:bottom w:val="single" w:sz="4" w:space="0" w:color="auto"/>
            </w:tcBorders>
            <w:tcMar>
              <w:top w:w="60" w:type="dxa"/>
              <w:left w:w="120" w:type="dxa"/>
              <w:bottom w:w="30" w:type="dxa"/>
              <w:right w:w="120" w:type="dxa"/>
            </w:tcMar>
          </w:tcPr>
          <w:p w14:paraId="29E28246" w14:textId="77777777" w:rsidR="00946291" w:rsidRPr="00191EC5" w:rsidRDefault="00946291" w:rsidP="00191EC5">
            <w:pPr>
              <w:jc w:val="center"/>
              <w:rPr>
                <w:rFonts w:eastAsia="等线"/>
                <w:sz w:val="18"/>
                <w:lang w:eastAsia="zh-CN"/>
              </w:rPr>
            </w:pPr>
            <w:r w:rsidRPr="00191EC5">
              <w:rPr>
                <w:rFonts w:eastAsia="等线"/>
                <w:sz w:val="18"/>
                <w:lang w:eastAsia="zh-CN"/>
              </w:rPr>
              <w:t>High-precision op-amps, low-voltage systems</w:t>
            </w:r>
          </w:p>
        </w:tc>
      </w:tr>
    </w:tbl>
    <w:p w14:paraId="1D61C7A6" w14:textId="12FD2C25" w:rsidR="00946291" w:rsidRPr="00946291" w:rsidRDefault="00946291" w:rsidP="00946291">
      <w:pPr>
        <w:pStyle w:val="1"/>
        <w:rPr>
          <w:lang w:eastAsia="zh-CN"/>
        </w:rPr>
      </w:pPr>
      <w:r w:rsidRPr="00946291">
        <w:rPr>
          <w:lang w:eastAsia="zh-CN"/>
        </w:rPr>
        <w:lastRenderedPageBreak/>
        <w:t>Performance Optimization: Techniques and Tradeoffs</w:t>
      </w:r>
    </w:p>
    <w:p w14:paraId="4B34FCAD" w14:textId="66D83F64" w:rsidR="00946291" w:rsidRPr="00946291" w:rsidRDefault="00946291" w:rsidP="00946291">
      <w:pPr>
        <w:pStyle w:val="2"/>
        <w:rPr>
          <w:lang w:eastAsia="zh-CN"/>
        </w:rPr>
      </w:pPr>
      <w:r w:rsidRPr="00946291">
        <w:rPr>
          <w:lang w:eastAsia="zh-CN"/>
        </w:rPr>
        <w:t xml:space="preserve">Gain </w:t>
      </w:r>
      <w:r w:rsidRPr="00946291">
        <w:t>Enhancement</w:t>
      </w:r>
      <w:r w:rsidRPr="00946291">
        <w:rPr>
          <w:lang w:eastAsia="zh-CN"/>
        </w:rPr>
        <w:t xml:space="preserve"> Strategies</w:t>
      </w:r>
    </w:p>
    <w:p w14:paraId="69C82A47" w14:textId="2B171EB2" w:rsidR="00946291" w:rsidRPr="00946291" w:rsidRDefault="00946291" w:rsidP="00946291">
      <w:pPr>
        <w:pStyle w:val="3"/>
      </w:pPr>
      <w:r w:rsidRPr="00946291">
        <w:t>Active Loads for High-Gain Design</w:t>
      </w:r>
    </w:p>
    <w:p w14:paraId="5C3B5BD4" w14:textId="1087AC96" w:rsidR="00946291" w:rsidRPr="00946291" w:rsidRDefault="00946291" w:rsidP="00372740">
      <w:pPr>
        <w:pStyle w:val="Paragraph"/>
        <w:rPr>
          <w:lang w:eastAsia="zh-CN"/>
        </w:rPr>
      </w:pPr>
      <w:r w:rsidRPr="00946291">
        <w:rPr>
          <w:lang w:eastAsia="zh-CN"/>
        </w:rPr>
        <w:t>Replacing resistive loads with active transistor loads (e.g., a PMOS current source biasing an NMOS input transistor) exploits the high output resistance of MOSFETs in saturation</w:t>
      </w:r>
      <w:r w:rsidR="00372740">
        <w:rPr>
          <w:rFonts w:hint="eastAsia"/>
          <w:lang w:eastAsia="zh-CN"/>
        </w:rPr>
        <w:t xml:space="preserve">: </w:t>
      </w:r>
      <w:r w:rsidRPr="00946291">
        <w:rPr>
          <w:lang w:eastAsia="zh-CN"/>
        </w:rPr>
        <w:t>A</w:t>
      </w:r>
      <w:r w:rsidRPr="00946291">
        <w:rPr>
          <w:vertAlign w:val="subscript"/>
          <w:lang w:eastAsia="zh-CN"/>
        </w:rPr>
        <w:t>v</w:t>
      </w:r>
      <w:r w:rsidRPr="00946291">
        <w:rPr>
          <w:lang w:eastAsia="zh-CN"/>
        </w:rPr>
        <w:t xml:space="preserve"> = -g</w:t>
      </w:r>
      <w:r w:rsidRPr="00946291">
        <w:rPr>
          <w:vertAlign w:val="subscript"/>
          <w:lang w:eastAsia="zh-CN"/>
        </w:rPr>
        <w:t>m,NMOS</w:t>
      </w:r>
      <w:r w:rsidRPr="00946291">
        <w:rPr>
          <w:lang w:eastAsia="zh-CN"/>
        </w:rPr>
        <w:t>(r</w:t>
      </w:r>
      <w:r w:rsidRPr="00946291">
        <w:rPr>
          <w:vertAlign w:val="subscript"/>
          <w:lang w:eastAsia="zh-CN"/>
        </w:rPr>
        <w:t>o,NMOS</w:t>
      </w:r>
      <w:r w:rsidRPr="00946291">
        <w:rPr>
          <w:lang w:eastAsia="zh-CN"/>
        </w:rPr>
        <w:t xml:space="preserve"> </w:t>
      </w:r>
      <w:r w:rsidRPr="00946291">
        <w:rPr>
          <w:rFonts w:ascii="Arial" w:hAnsi="Arial" w:cs="Arial"/>
          <w:lang w:eastAsia="zh-CN"/>
        </w:rPr>
        <w:t>װ</w:t>
      </w:r>
      <w:r w:rsidRPr="00946291">
        <w:rPr>
          <w:lang w:eastAsia="zh-CN"/>
        </w:rPr>
        <w:t>r</w:t>
      </w:r>
      <w:r w:rsidRPr="00946291">
        <w:rPr>
          <w:vertAlign w:val="subscript"/>
          <w:lang w:eastAsia="zh-CN"/>
        </w:rPr>
        <w:t>o,PMOS</w:t>
      </w:r>
      <w:r w:rsidRPr="00946291">
        <w:rPr>
          <w:lang w:eastAsia="zh-CN"/>
        </w:rPr>
        <w:t>)</w:t>
      </w:r>
      <w:r w:rsidR="00372740">
        <w:rPr>
          <w:rFonts w:hint="eastAsia"/>
          <w:lang w:eastAsia="zh-CN"/>
        </w:rPr>
        <w:t xml:space="preserve">. </w:t>
      </w:r>
      <w:r w:rsidRPr="00946291">
        <w:rPr>
          <w:lang w:eastAsia="zh-CN"/>
        </w:rPr>
        <w:t>In 0.18 μm CMOS, this configuration achieves a voltage gain of 32 dB—12 dB higher than resistive-loaded counterparts—critical for low-power operational amplifiers. However, it is sensitive to channel-length mismatch: a 5% L -mismatch between the input and load transistors causes 8% gain variation in sub-100 nm nodes [1].</w:t>
      </w:r>
    </w:p>
    <w:p w14:paraId="6C3EC767" w14:textId="099A95F3" w:rsidR="00946291" w:rsidRPr="00946291" w:rsidRDefault="00946291" w:rsidP="00946291">
      <w:pPr>
        <w:pStyle w:val="3"/>
      </w:pPr>
      <w:r w:rsidRPr="00946291">
        <w:t>Cascode Amplifiers for High Output Impedance</w:t>
      </w:r>
    </w:p>
    <w:p w14:paraId="5F646DE4" w14:textId="0BB72CAB" w:rsidR="00946291" w:rsidRPr="00946291" w:rsidRDefault="00946291" w:rsidP="00372740">
      <w:pPr>
        <w:pStyle w:val="Paragraph"/>
        <w:rPr>
          <w:lang w:eastAsia="zh-CN"/>
        </w:rPr>
      </w:pPr>
      <w:r w:rsidRPr="00946291">
        <w:rPr>
          <w:lang w:eastAsia="zh-CN"/>
        </w:rPr>
        <w:t>The cascode topology cascades a common-source transistor (M1) with a common-gate transistor (M2) to suppress channel-length modulation, increasing the effective output resistance to:</w:t>
      </w:r>
      <w:r w:rsidR="00372740">
        <w:rPr>
          <w:rFonts w:hint="eastAsia"/>
          <w:lang w:eastAsia="zh-CN"/>
        </w:rPr>
        <w:t xml:space="preserve"> </w:t>
      </w:r>
      <w:r w:rsidRPr="00946291">
        <w:rPr>
          <w:lang w:eastAsia="zh-CN"/>
        </w:rPr>
        <w:t>r</w:t>
      </w:r>
      <w:r w:rsidRPr="00946291">
        <w:rPr>
          <w:vertAlign w:val="subscript"/>
          <w:lang w:eastAsia="zh-CN"/>
        </w:rPr>
        <w:t>out</w:t>
      </w:r>
      <w:r w:rsidRPr="00946291">
        <w:rPr>
          <w:rFonts w:ascii="仿宋" w:eastAsia="仿宋" w:hAnsi="仿宋" w:cs="仿宋" w:hint="eastAsia"/>
          <w:lang w:eastAsia="zh-CN"/>
        </w:rPr>
        <w:t>≈</w:t>
      </w:r>
      <w:r w:rsidRPr="00946291">
        <w:rPr>
          <w:lang w:eastAsia="zh-CN"/>
        </w:rPr>
        <w:t>g</w:t>
      </w:r>
      <w:r w:rsidRPr="00946291">
        <w:rPr>
          <w:vertAlign w:val="subscript"/>
          <w:lang w:eastAsia="zh-CN"/>
        </w:rPr>
        <w:t>m2</w:t>
      </w:r>
      <w:r w:rsidRPr="00946291">
        <w:rPr>
          <w:lang w:eastAsia="zh-CN"/>
        </w:rPr>
        <w:t xml:space="preserve"> r</w:t>
      </w:r>
      <w:r w:rsidRPr="00946291">
        <w:rPr>
          <w:vertAlign w:val="subscript"/>
          <w:lang w:eastAsia="zh-CN"/>
        </w:rPr>
        <w:t>o2</w:t>
      </w:r>
      <w:r w:rsidRPr="00946291">
        <w:rPr>
          <w:lang w:eastAsia="zh-CN"/>
        </w:rPr>
        <w:t xml:space="preserve"> r</w:t>
      </w:r>
      <w:r w:rsidRPr="00946291">
        <w:rPr>
          <w:vertAlign w:val="subscript"/>
          <w:lang w:eastAsia="zh-CN"/>
        </w:rPr>
        <w:t>o4</w:t>
      </w:r>
      <w:r w:rsidR="00372740">
        <w:rPr>
          <w:rFonts w:hint="eastAsia"/>
          <w:lang w:eastAsia="zh-CN"/>
        </w:rPr>
        <w:t xml:space="preserve">, </w:t>
      </w:r>
      <w:r w:rsidRPr="00946291">
        <w:rPr>
          <w:lang w:eastAsia="zh-CN"/>
        </w:rPr>
        <w:t>where g</w:t>
      </w:r>
      <w:r w:rsidRPr="00946291">
        <w:rPr>
          <w:vertAlign w:val="subscript"/>
          <w:lang w:eastAsia="zh-CN"/>
        </w:rPr>
        <w:t>m2</w:t>
      </w:r>
      <w:r w:rsidRPr="00946291">
        <w:rPr>
          <w:lang w:eastAsia="zh-CN"/>
        </w:rPr>
        <w:t xml:space="preserve"> is the transconductance of the cascode device (M2), and r</w:t>
      </w:r>
      <w:r w:rsidRPr="00946291">
        <w:rPr>
          <w:vertAlign w:val="subscript"/>
          <w:lang w:eastAsia="zh-CN"/>
        </w:rPr>
        <w:t>o2</w:t>
      </w:r>
      <w:r w:rsidRPr="00946291">
        <w:rPr>
          <w:rFonts w:hint="eastAsia"/>
          <w:vertAlign w:val="subscript"/>
          <w:lang w:eastAsia="zh-CN"/>
        </w:rPr>
        <w:t xml:space="preserve"> </w:t>
      </w:r>
      <w:r w:rsidRPr="00946291">
        <w:rPr>
          <w:rFonts w:hint="eastAsia"/>
          <w:lang w:eastAsia="zh-CN"/>
        </w:rPr>
        <w:t>/</w:t>
      </w:r>
      <w:r w:rsidRPr="00946291">
        <w:rPr>
          <w:lang w:eastAsia="zh-CN"/>
        </w:rPr>
        <w:t xml:space="preserve"> r</w:t>
      </w:r>
      <w:r w:rsidRPr="00946291">
        <w:rPr>
          <w:vertAlign w:val="subscript"/>
          <w:lang w:eastAsia="zh-CN"/>
        </w:rPr>
        <w:t>o4</w:t>
      </w:r>
      <w:r w:rsidRPr="00946291">
        <w:rPr>
          <w:rFonts w:hint="eastAsia"/>
          <w:vertAlign w:val="subscript"/>
          <w:lang w:eastAsia="zh-CN"/>
        </w:rPr>
        <w:t xml:space="preserve"> </w:t>
      </w:r>
      <w:r w:rsidRPr="00946291">
        <w:rPr>
          <w:lang w:eastAsia="zh-CN"/>
        </w:rPr>
        <w:t xml:space="preserve"> are the output resistances of M2 and the load transistor (M4). A 14 nm FinFET implementation demonstrated 60 dB mid-band gain with a unity-gain bandwidth exceeding 10 GHz, enabling 28 GHz 5G low-noise amplifiers with &lt;3 dB noise figure [2]. This topology mitigates the 40% per-node degradation of intrinsic r</w:t>
      </w:r>
      <w:r w:rsidRPr="00946291">
        <w:rPr>
          <w:vertAlign w:val="subscript"/>
          <w:lang w:eastAsia="zh-CN"/>
        </w:rPr>
        <w:t>o</w:t>
      </w:r>
      <w:r w:rsidRPr="00946291">
        <w:rPr>
          <w:lang w:eastAsia="zh-CN"/>
        </w:rPr>
        <w:t xml:space="preserve"> in ultra-scaled technologies.</w:t>
      </w:r>
    </w:p>
    <w:p w14:paraId="2AD8A65C" w14:textId="025425A2" w:rsidR="00946291" w:rsidRPr="00946291" w:rsidRDefault="00946291" w:rsidP="00946291">
      <w:pPr>
        <w:pStyle w:val="3"/>
      </w:pPr>
      <w:r w:rsidRPr="00946291">
        <w:t>Inductive Peaking for Broadband Extension</w:t>
      </w:r>
    </w:p>
    <w:p w14:paraId="5E1B3F76" w14:textId="708F5EC4" w:rsidR="00946291" w:rsidRPr="00946291" w:rsidRDefault="00946291" w:rsidP="00372740">
      <w:pPr>
        <w:pStyle w:val="Paragraph"/>
        <w:rPr>
          <w:lang w:eastAsia="zh-CN"/>
        </w:rPr>
      </w:pPr>
      <w:r w:rsidRPr="00946291">
        <w:rPr>
          <w:lang w:eastAsia="zh-CN"/>
        </w:rPr>
        <w:t>Inductive peaking networks compensate for parasitic capacitances C</w:t>
      </w:r>
      <w:r w:rsidRPr="00946291">
        <w:rPr>
          <w:vertAlign w:val="subscript"/>
          <w:lang w:eastAsia="zh-CN"/>
        </w:rPr>
        <w:t xml:space="preserve">gd </w:t>
      </w:r>
      <w:r w:rsidRPr="00946291">
        <w:rPr>
          <w:lang w:eastAsia="zh-CN"/>
        </w:rPr>
        <w:t xml:space="preserve"> and C</w:t>
      </w:r>
      <w:r w:rsidRPr="00946291">
        <w:rPr>
          <w:vertAlign w:val="subscript"/>
          <w:lang w:eastAsia="zh-CN"/>
        </w:rPr>
        <w:t>db</w:t>
      </w:r>
      <w:r w:rsidRPr="00946291">
        <w:rPr>
          <w:lang w:eastAsia="zh-CN"/>
        </w:rPr>
        <w:t xml:space="preserve"> by introducing a resonant tank at the drain:</w:t>
      </w:r>
      <w:r w:rsidR="00372740">
        <w:rPr>
          <w:rFonts w:hint="eastAsia"/>
          <w:lang w:eastAsia="zh-CN"/>
        </w:rPr>
        <w:t xml:space="preserve"> </w:t>
      </w:r>
      <w:r w:rsidRPr="00946291">
        <w:rPr>
          <w:lang w:eastAsia="zh-CN"/>
        </w:rPr>
        <w:t>f</w:t>
      </w:r>
      <w:r w:rsidRPr="00946291">
        <w:rPr>
          <w:vertAlign w:val="subscript"/>
          <w:lang w:eastAsia="zh-CN"/>
        </w:rPr>
        <w:t>3dB</w:t>
      </w:r>
      <w:r w:rsidRPr="00946291">
        <w:rPr>
          <w:lang w:eastAsia="zh-CN"/>
        </w:rPr>
        <w:t xml:space="preserve"> =</w:t>
      </w:r>
      <w:r w:rsidRPr="00946291">
        <w:rPr>
          <w:rFonts w:hint="eastAsia"/>
          <w:lang w:eastAsia="zh-CN"/>
        </w:rPr>
        <w:t xml:space="preserve"> </w:t>
      </w:r>
      <m:oMath>
        <m:f>
          <m:fPr>
            <m:ctrlPr>
              <w:rPr>
                <w:rFonts w:ascii="Cambria Math" w:hAnsi="Cambria Math"/>
                <w:i/>
                <w:vertAlign w:val="subscript"/>
                <w:lang w:eastAsia="zh-CN"/>
              </w:rPr>
            </m:ctrlPr>
          </m:fPr>
          <m:num>
            <m:r>
              <w:rPr>
                <w:rFonts w:ascii="Cambria Math" w:hAnsi="Cambria Math"/>
                <w:vertAlign w:val="subscript"/>
                <w:lang w:eastAsia="zh-CN"/>
              </w:rPr>
              <m:t>1</m:t>
            </m:r>
          </m:num>
          <m:den>
            <m:r>
              <w:rPr>
                <w:rFonts w:ascii="Cambria Math" w:hAnsi="Cambria Math"/>
                <w:vertAlign w:val="subscript"/>
                <w:lang w:eastAsia="zh-CN"/>
              </w:rPr>
              <m:t>2π</m:t>
            </m:r>
            <m:rad>
              <m:radPr>
                <m:degHide m:val="1"/>
                <m:ctrlPr>
                  <w:rPr>
                    <w:rFonts w:ascii="Cambria Math" w:hAnsi="Cambria Math"/>
                    <w:i/>
                    <w:vertAlign w:val="subscript"/>
                    <w:lang w:eastAsia="zh-CN"/>
                  </w:rPr>
                </m:ctrlPr>
              </m:radPr>
              <m:deg/>
              <m:e>
                <m:sSub>
                  <m:sSubPr>
                    <m:ctrlPr>
                      <w:rPr>
                        <w:rFonts w:ascii="Cambria Math" w:hAnsi="Cambria Math"/>
                        <w:i/>
                        <w:vertAlign w:val="subscript"/>
                        <w:lang w:eastAsia="zh-CN"/>
                      </w:rPr>
                    </m:ctrlPr>
                  </m:sSubPr>
                  <m:e>
                    <m:r>
                      <w:rPr>
                        <w:rFonts w:ascii="Cambria Math" w:hAnsi="Cambria Math"/>
                        <w:vertAlign w:val="subscript"/>
                        <w:lang w:eastAsia="zh-CN"/>
                      </w:rPr>
                      <m:t>L</m:t>
                    </m:r>
                  </m:e>
                  <m:sub>
                    <m:r>
                      <w:rPr>
                        <w:rFonts w:ascii="Cambria Math" w:hAnsi="Cambria Math"/>
                        <w:vertAlign w:val="subscript"/>
                        <w:lang w:eastAsia="zh-CN"/>
                      </w:rPr>
                      <m:t>drain</m:t>
                    </m:r>
                  </m:sub>
                </m:sSub>
                <m:d>
                  <m:dPr>
                    <m:ctrlPr>
                      <w:rPr>
                        <w:rFonts w:ascii="Cambria Math" w:hAnsi="Cambria Math"/>
                        <w:i/>
                        <w:vertAlign w:val="subscript"/>
                        <w:lang w:eastAsia="zh-CN"/>
                      </w:rPr>
                    </m:ctrlPr>
                  </m:dPr>
                  <m:e>
                    <m:sSub>
                      <m:sSubPr>
                        <m:ctrlPr>
                          <w:rPr>
                            <w:rFonts w:ascii="Cambria Math" w:hAnsi="Cambria Math"/>
                            <w:i/>
                            <w:vertAlign w:val="subscript"/>
                            <w:lang w:eastAsia="zh-CN"/>
                          </w:rPr>
                        </m:ctrlPr>
                      </m:sSubPr>
                      <m:e>
                        <m:r>
                          <w:rPr>
                            <w:rFonts w:ascii="Cambria Math" w:hAnsi="Cambria Math"/>
                            <w:vertAlign w:val="subscript"/>
                            <w:lang w:eastAsia="zh-CN"/>
                          </w:rPr>
                          <m:t>C</m:t>
                        </m:r>
                      </m:e>
                      <m:sub>
                        <m:r>
                          <w:rPr>
                            <w:rFonts w:ascii="Cambria Math" w:hAnsi="Cambria Math"/>
                            <w:vertAlign w:val="subscript"/>
                            <w:lang w:eastAsia="zh-CN"/>
                          </w:rPr>
                          <m:t>db</m:t>
                        </m:r>
                      </m:sub>
                    </m:sSub>
                    <m:r>
                      <w:rPr>
                        <w:rFonts w:ascii="Cambria Math" w:hAnsi="Cambria Math"/>
                        <w:vertAlign w:val="subscript"/>
                        <w:lang w:eastAsia="zh-CN"/>
                      </w:rPr>
                      <m:t>+</m:t>
                    </m:r>
                    <m:sSub>
                      <m:sSubPr>
                        <m:ctrlPr>
                          <w:rPr>
                            <w:rFonts w:ascii="Cambria Math" w:hAnsi="Cambria Math"/>
                            <w:i/>
                            <w:vertAlign w:val="subscript"/>
                            <w:lang w:eastAsia="zh-CN"/>
                          </w:rPr>
                        </m:ctrlPr>
                      </m:sSubPr>
                      <m:e>
                        <m:r>
                          <w:rPr>
                            <w:rFonts w:ascii="Cambria Math" w:hAnsi="Cambria Math"/>
                            <w:vertAlign w:val="subscript"/>
                            <w:lang w:eastAsia="zh-CN"/>
                          </w:rPr>
                          <m:t>C</m:t>
                        </m:r>
                      </m:e>
                      <m:sub>
                        <m:r>
                          <w:rPr>
                            <w:rFonts w:ascii="Cambria Math" w:hAnsi="Cambria Math"/>
                            <w:vertAlign w:val="subscript"/>
                            <w:lang w:eastAsia="zh-CN"/>
                          </w:rPr>
                          <m:t>load</m:t>
                        </m:r>
                      </m:sub>
                    </m:sSub>
                  </m:e>
                </m:d>
              </m:e>
            </m:rad>
          </m:den>
        </m:f>
      </m:oMath>
      <w:r w:rsidR="00372740">
        <w:rPr>
          <w:rFonts w:hint="eastAsia"/>
          <w:lang w:eastAsia="zh-CN"/>
        </w:rPr>
        <w:t>.</w:t>
      </w:r>
      <w:r w:rsidRPr="00946291">
        <w:rPr>
          <w:lang w:eastAsia="zh-CN"/>
        </w:rPr>
        <w:t>This extends the 3-dB bandwidth by 2–3× compared to purely resistive loads. For example, Qualcomm’s 60 GHz LNA uses drain inductors with a quality factor  Q = 1.8 to achieve 15 GHz bandwidth in 16 nm CMOS, balancing noise performance (NF = 4 dB) and bandwidth expansion [3].</w:t>
      </w:r>
    </w:p>
    <w:p w14:paraId="7F3FD175" w14:textId="77777777" w:rsidR="00946291" w:rsidRDefault="00946291" w:rsidP="00946291">
      <w:pPr>
        <w:pStyle w:val="Paragraph"/>
        <w:rPr>
          <w:lang w:eastAsia="zh-CN"/>
        </w:rPr>
      </w:pPr>
      <w:r w:rsidRPr="00946291">
        <w:rPr>
          <w:lang w:eastAsia="zh-CN"/>
        </w:rPr>
        <w:t>The following table (Table 3) systematically compares four core gain optimization strategies for common-source amplifiers, highlighting their operational mechanisms, performance metrics, and practical tradeoffs:</w:t>
      </w:r>
    </w:p>
    <w:p w14:paraId="4E536FDC" w14:textId="666F1EB7" w:rsidR="00946291" w:rsidRPr="00191EC5" w:rsidRDefault="00372740" w:rsidP="00946291">
      <w:pPr>
        <w:pStyle w:val="TableCaption"/>
        <w:rPr>
          <w:lang w:val="fr-FR" w:eastAsia="zh-CN"/>
        </w:rPr>
      </w:pPr>
      <w:r w:rsidRPr="00191EC5">
        <w:rPr>
          <w:b/>
          <w:bCs/>
          <w:lang w:val="fr-FR" w:eastAsia="zh-CN"/>
        </w:rPr>
        <w:t>TABLE 3.</w:t>
      </w:r>
      <w:r w:rsidRPr="00191EC5">
        <w:rPr>
          <w:lang w:val="fr-FR" w:eastAsia="zh-CN"/>
        </w:rPr>
        <w:t xml:space="preserve"> </w:t>
      </w:r>
      <w:r w:rsidR="00946291" w:rsidRPr="00191EC5">
        <w:rPr>
          <w:lang w:val="fr-FR" w:eastAsia="zh-CN"/>
        </w:rPr>
        <w:t>Gain Enhancement Technique Comparison</w:t>
      </w:r>
    </w:p>
    <w:tbl>
      <w:tblPr>
        <w:tblW w:w="0" w:type="auto"/>
        <w:tblInd w:w="262" w:type="dxa"/>
        <w:tblCellMar>
          <w:left w:w="10" w:type="dxa"/>
          <w:right w:w="10" w:type="dxa"/>
        </w:tblCellMar>
        <w:tblLook w:val="04A0" w:firstRow="1" w:lastRow="0" w:firstColumn="1" w:lastColumn="0" w:noHBand="0" w:noVBand="1"/>
      </w:tblPr>
      <w:tblGrid>
        <w:gridCol w:w="1344"/>
        <w:gridCol w:w="1757"/>
        <w:gridCol w:w="1267"/>
        <w:gridCol w:w="1638"/>
        <w:gridCol w:w="1717"/>
        <w:gridCol w:w="1207"/>
      </w:tblGrid>
      <w:tr w:rsidR="00946291" w:rsidRPr="00191EC5" w14:paraId="58769430" w14:textId="77777777" w:rsidTr="00191EC5">
        <w:trPr>
          <w:trHeight w:val="20"/>
        </w:trPr>
        <w:tc>
          <w:tcPr>
            <w:tcW w:w="1344" w:type="dxa"/>
            <w:tcBorders>
              <w:top w:val="single" w:sz="4" w:space="0" w:color="auto"/>
              <w:bottom w:val="single" w:sz="4" w:space="0" w:color="auto"/>
            </w:tcBorders>
            <w:tcMar>
              <w:top w:w="60" w:type="dxa"/>
              <w:left w:w="120" w:type="dxa"/>
              <w:bottom w:w="30" w:type="dxa"/>
              <w:right w:w="120" w:type="dxa"/>
            </w:tcMar>
          </w:tcPr>
          <w:p w14:paraId="71F73C96" w14:textId="77777777" w:rsidR="00946291" w:rsidRPr="00191EC5" w:rsidRDefault="00946291" w:rsidP="00191EC5">
            <w:pPr>
              <w:rPr>
                <w:rFonts w:eastAsia="等线"/>
                <w:b/>
                <w:bCs/>
                <w:sz w:val="18"/>
                <w:lang w:eastAsia="zh-CN"/>
              </w:rPr>
            </w:pPr>
            <w:r w:rsidRPr="00191EC5">
              <w:rPr>
                <w:rFonts w:eastAsia="等线"/>
                <w:b/>
                <w:bCs/>
                <w:sz w:val="18"/>
                <w:lang w:eastAsia="zh-CN"/>
              </w:rPr>
              <w:t>Technique</w:t>
            </w:r>
          </w:p>
        </w:tc>
        <w:tc>
          <w:tcPr>
            <w:tcW w:w="1757" w:type="dxa"/>
            <w:tcBorders>
              <w:top w:val="single" w:sz="4" w:space="0" w:color="auto"/>
              <w:bottom w:val="single" w:sz="4" w:space="0" w:color="auto"/>
            </w:tcBorders>
            <w:tcMar>
              <w:top w:w="60" w:type="dxa"/>
              <w:left w:w="120" w:type="dxa"/>
              <w:bottom w:w="30" w:type="dxa"/>
              <w:right w:w="120" w:type="dxa"/>
            </w:tcMar>
          </w:tcPr>
          <w:p w14:paraId="34DC3563" w14:textId="77777777" w:rsidR="00946291" w:rsidRPr="00191EC5" w:rsidRDefault="00946291" w:rsidP="00191EC5">
            <w:pPr>
              <w:rPr>
                <w:rFonts w:eastAsia="等线"/>
                <w:b/>
                <w:bCs/>
                <w:sz w:val="18"/>
                <w:lang w:eastAsia="zh-CN"/>
              </w:rPr>
            </w:pPr>
            <w:r w:rsidRPr="00191EC5">
              <w:rPr>
                <w:rFonts w:eastAsia="等线"/>
                <w:b/>
                <w:bCs/>
                <w:sz w:val="18"/>
                <w:lang w:eastAsia="zh-CN"/>
              </w:rPr>
              <w:t>Core Mechanism</w:t>
            </w:r>
          </w:p>
        </w:tc>
        <w:tc>
          <w:tcPr>
            <w:tcW w:w="1267" w:type="dxa"/>
            <w:tcBorders>
              <w:top w:val="single" w:sz="4" w:space="0" w:color="auto"/>
              <w:bottom w:val="single" w:sz="4" w:space="0" w:color="auto"/>
            </w:tcBorders>
            <w:tcMar>
              <w:top w:w="60" w:type="dxa"/>
              <w:left w:w="120" w:type="dxa"/>
              <w:bottom w:w="30" w:type="dxa"/>
              <w:right w:w="120" w:type="dxa"/>
            </w:tcMar>
          </w:tcPr>
          <w:p w14:paraId="7EF8EA35" w14:textId="77777777" w:rsidR="00946291" w:rsidRPr="00191EC5" w:rsidRDefault="00946291" w:rsidP="00191EC5">
            <w:pPr>
              <w:rPr>
                <w:rFonts w:eastAsia="等线"/>
                <w:b/>
                <w:bCs/>
                <w:sz w:val="18"/>
                <w:lang w:eastAsia="zh-CN"/>
              </w:rPr>
            </w:pPr>
            <w:r w:rsidRPr="00191EC5">
              <w:rPr>
                <w:rFonts w:eastAsia="等线"/>
                <w:b/>
                <w:bCs/>
                <w:sz w:val="18"/>
                <w:lang w:eastAsia="zh-CN"/>
              </w:rPr>
              <w:t>Gain (dB)</w:t>
            </w:r>
          </w:p>
        </w:tc>
        <w:tc>
          <w:tcPr>
            <w:tcW w:w="1638" w:type="dxa"/>
            <w:tcBorders>
              <w:top w:val="single" w:sz="4" w:space="0" w:color="auto"/>
              <w:bottom w:val="single" w:sz="4" w:space="0" w:color="auto"/>
            </w:tcBorders>
            <w:tcMar>
              <w:top w:w="60" w:type="dxa"/>
              <w:left w:w="120" w:type="dxa"/>
              <w:bottom w:w="30" w:type="dxa"/>
              <w:right w:w="120" w:type="dxa"/>
            </w:tcMar>
          </w:tcPr>
          <w:p w14:paraId="2E3DEBE4" w14:textId="77777777" w:rsidR="00946291" w:rsidRPr="00191EC5" w:rsidRDefault="00946291" w:rsidP="00191EC5">
            <w:pPr>
              <w:rPr>
                <w:rFonts w:eastAsia="等线"/>
                <w:b/>
                <w:bCs/>
                <w:sz w:val="18"/>
                <w:lang w:eastAsia="zh-CN"/>
              </w:rPr>
            </w:pPr>
            <w:r w:rsidRPr="00191EC5">
              <w:rPr>
                <w:rFonts w:eastAsia="等线"/>
                <w:b/>
                <w:bCs/>
                <w:sz w:val="18"/>
                <w:lang w:eastAsia="zh-CN"/>
              </w:rPr>
              <w:t>Bandwidth Range</w:t>
            </w:r>
          </w:p>
        </w:tc>
        <w:tc>
          <w:tcPr>
            <w:tcW w:w="1717" w:type="dxa"/>
            <w:tcBorders>
              <w:top w:val="single" w:sz="4" w:space="0" w:color="auto"/>
              <w:bottom w:val="single" w:sz="4" w:space="0" w:color="auto"/>
            </w:tcBorders>
            <w:tcMar>
              <w:top w:w="60" w:type="dxa"/>
              <w:left w:w="120" w:type="dxa"/>
              <w:bottom w:w="30" w:type="dxa"/>
              <w:right w:w="120" w:type="dxa"/>
            </w:tcMar>
          </w:tcPr>
          <w:p w14:paraId="188F4E64" w14:textId="77777777" w:rsidR="00946291" w:rsidRPr="00191EC5" w:rsidRDefault="00946291" w:rsidP="00191EC5">
            <w:pPr>
              <w:rPr>
                <w:rFonts w:eastAsia="等线"/>
                <w:b/>
                <w:bCs/>
                <w:sz w:val="18"/>
                <w:lang w:eastAsia="zh-CN"/>
              </w:rPr>
            </w:pPr>
            <w:r w:rsidRPr="00191EC5">
              <w:rPr>
                <w:rFonts w:eastAsia="等线"/>
                <w:b/>
                <w:bCs/>
                <w:sz w:val="18"/>
                <w:lang w:eastAsia="zh-CN"/>
              </w:rPr>
              <w:t>Key Advantage</w:t>
            </w:r>
          </w:p>
        </w:tc>
        <w:tc>
          <w:tcPr>
            <w:tcW w:w="1207" w:type="dxa"/>
            <w:tcBorders>
              <w:top w:val="single" w:sz="4" w:space="0" w:color="auto"/>
              <w:bottom w:val="single" w:sz="4" w:space="0" w:color="auto"/>
            </w:tcBorders>
            <w:tcMar>
              <w:top w:w="60" w:type="dxa"/>
              <w:left w:w="120" w:type="dxa"/>
              <w:bottom w:w="30" w:type="dxa"/>
              <w:right w:w="120" w:type="dxa"/>
            </w:tcMar>
          </w:tcPr>
          <w:p w14:paraId="4CBF0D85" w14:textId="77777777" w:rsidR="00946291" w:rsidRPr="00191EC5" w:rsidRDefault="00946291" w:rsidP="00191EC5">
            <w:pPr>
              <w:rPr>
                <w:rFonts w:eastAsia="等线"/>
                <w:b/>
                <w:bCs/>
                <w:sz w:val="18"/>
                <w:lang w:eastAsia="zh-CN"/>
              </w:rPr>
            </w:pPr>
            <w:r w:rsidRPr="00191EC5">
              <w:rPr>
                <w:rFonts w:eastAsia="等线"/>
                <w:b/>
                <w:bCs/>
                <w:sz w:val="18"/>
                <w:lang w:eastAsia="zh-CN"/>
              </w:rPr>
              <w:t>Limitation</w:t>
            </w:r>
          </w:p>
        </w:tc>
      </w:tr>
      <w:tr w:rsidR="00946291" w:rsidRPr="00191EC5" w14:paraId="2311B028" w14:textId="77777777" w:rsidTr="00191EC5">
        <w:trPr>
          <w:trHeight w:val="20"/>
        </w:trPr>
        <w:tc>
          <w:tcPr>
            <w:tcW w:w="1344" w:type="dxa"/>
            <w:tcBorders>
              <w:top w:val="single" w:sz="4" w:space="0" w:color="auto"/>
            </w:tcBorders>
            <w:tcMar>
              <w:top w:w="60" w:type="dxa"/>
              <w:left w:w="120" w:type="dxa"/>
              <w:bottom w:w="30" w:type="dxa"/>
              <w:right w:w="120" w:type="dxa"/>
            </w:tcMar>
          </w:tcPr>
          <w:p w14:paraId="581FCC5A" w14:textId="77777777" w:rsidR="00946291" w:rsidRPr="00191EC5" w:rsidRDefault="00946291" w:rsidP="00191EC5">
            <w:pPr>
              <w:rPr>
                <w:rFonts w:eastAsia="等线"/>
                <w:sz w:val="18"/>
                <w:lang w:eastAsia="zh-CN"/>
              </w:rPr>
            </w:pPr>
            <w:r w:rsidRPr="00191EC5">
              <w:rPr>
                <w:rFonts w:eastAsia="等线"/>
                <w:sz w:val="18"/>
                <w:lang w:eastAsia="zh-CN"/>
              </w:rPr>
              <w:t>Resistive Load</w:t>
            </w:r>
          </w:p>
        </w:tc>
        <w:tc>
          <w:tcPr>
            <w:tcW w:w="1757" w:type="dxa"/>
            <w:tcBorders>
              <w:top w:val="single" w:sz="4" w:space="0" w:color="auto"/>
            </w:tcBorders>
            <w:tcMar>
              <w:top w:w="60" w:type="dxa"/>
              <w:left w:w="120" w:type="dxa"/>
              <w:bottom w:w="30" w:type="dxa"/>
              <w:right w:w="120" w:type="dxa"/>
            </w:tcMar>
          </w:tcPr>
          <w:p w14:paraId="56EF8D82" w14:textId="77777777" w:rsidR="00946291" w:rsidRPr="00191EC5" w:rsidRDefault="00946291" w:rsidP="00191EC5">
            <w:pPr>
              <w:rPr>
                <w:rFonts w:eastAsia="等线"/>
                <w:sz w:val="18"/>
                <w:lang w:eastAsia="zh-CN"/>
              </w:rPr>
            </w:pPr>
            <w:r w:rsidRPr="00191EC5">
              <w:rPr>
                <w:rFonts w:eastAsia="等线"/>
                <w:sz w:val="18"/>
                <w:lang w:eastAsia="zh-CN"/>
              </w:rPr>
              <w:t>Resistive current-to-voltage conversion</w:t>
            </w:r>
          </w:p>
        </w:tc>
        <w:tc>
          <w:tcPr>
            <w:tcW w:w="1267" w:type="dxa"/>
            <w:tcBorders>
              <w:top w:val="single" w:sz="4" w:space="0" w:color="auto"/>
            </w:tcBorders>
            <w:tcMar>
              <w:top w:w="60" w:type="dxa"/>
              <w:left w:w="120" w:type="dxa"/>
              <w:bottom w:w="30" w:type="dxa"/>
              <w:right w:w="120" w:type="dxa"/>
            </w:tcMar>
          </w:tcPr>
          <w:p w14:paraId="3F1494E2" w14:textId="77777777" w:rsidR="00946291" w:rsidRPr="00191EC5" w:rsidRDefault="00946291" w:rsidP="00191EC5">
            <w:pPr>
              <w:rPr>
                <w:rFonts w:eastAsia="等线"/>
                <w:sz w:val="18"/>
                <w:lang w:eastAsia="zh-CN"/>
              </w:rPr>
            </w:pPr>
            <w:r w:rsidRPr="00191EC5">
              <w:rPr>
                <w:rFonts w:eastAsia="等线"/>
                <w:sz w:val="18"/>
                <w:lang w:eastAsia="zh-CN"/>
              </w:rPr>
              <w:t>15–20</w:t>
            </w:r>
          </w:p>
        </w:tc>
        <w:tc>
          <w:tcPr>
            <w:tcW w:w="1638" w:type="dxa"/>
            <w:tcBorders>
              <w:top w:val="single" w:sz="4" w:space="0" w:color="auto"/>
            </w:tcBorders>
            <w:tcMar>
              <w:top w:w="60" w:type="dxa"/>
              <w:left w:w="120" w:type="dxa"/>
              <w:bottom w:w="30" w:type="dxa"/>
              <w:right w:w="120" w:type="dxa"/>
            </w:tcMar>
          </w:tcPr>
          <w:p w14:paraId="13A08815" w14:textId="77777777" w:rsidR="00946291" w:rsidRPr="00191EC5" w:rsidRDefault="00946291" w:rsidP="00191EC5">
            <w:pPr>
              <w:rPr>
                <w:rFonts w:eastAsia="等线"/>
                <w:sz w:val="18"/>
                <w:lang w:eastAsia="zh-CN"/>
              </w:rPr>
            </w:pPr>
            <w:r w:rsidRPr="00191EC5">
              <w:rPr>
                <w:rFonts w:eastAsia="等线"/>
                <w:sz w:val="18"/>
                <w:lang w:eastAsia="zh-CN"/>
              </w:rPr>
              <w:t>&lt;1 GHz</w:t>
            </w:r>
          </w:p>
        </w:tc>
        <w:tc>
          <w:tcPr>
            <w:tcW w:w="1717" w:type="dxa"/>
            <w:tcBorders>
              <w:top w:val="single" w:sz="4" w:space="0" w:color="auto"/>
            </w:tcBorders>
            <w:tcMar>
              <w:top w:w="60" w:type="dxa"/>
              <w:left w:w="120" w:type="dxa"/>
              <w:bottom w:w="30" w:type="dxa"/>
              <w:right w:w="120" w:type="dxa"/>
            </w:tcMar>
          </w:tcPr>
          <w:p w14:paraId="10914946" w14:textId="77777777" w:rsidR="00946291" w:rsidRPr="00191EC5" w:rsidRDefault="00946291" w:rsidP="00191EC5">
            <w:pPr>
              <w:rPr>
                <w:rFonts w:eastAsia="等线"/>
                <w:sz w:val="18"/>
                <w:lang w:eastAsia="zh-CN"/>
              </w:rPr>
            </w:pPr>
            <w:r w:rsidRPr="00191EC5">
              <w:rPr>
                <w:rFonts w:eastAsia="等线"/>
                <w:sz w:val="18"/>
                <w:lang w:eastAsia="zh-CN"/>
              </w:rPr>
              <w:t>Simplicity</w:t>
            </w:r>
          </w:p>
        </w:tc>
        <w:tc>
          <w:tcPr>
            <w:tcW w:w="1207" w:type="dxa"/>
            <w:tcBorders>
              <w:top w:val="single" w:sz="4" w:space="0" w:color="auto"/>
            </w:tcBorders>
            <w:tcMar>
              <w:top w:w="60" w:type="dxa"/>
              <w:left w:w="120" w:type="dxa"/>
              <w:bottom w:w="30" w:type="dxa"/>
              <w:right w:w="120" w:type="dxa"/>
            </w:tcMar>
          </w:tcPr>
          <w:p w14:paraId="30B4CC63" w14:textId="77777777" w:rsidR="00946291" w:rsidRPr="00191EC5" w:rsidRDefault="00946291" w:rsidP="00191EC5">
            <w:pPr>
              <w:rPr>
                <w:rFonts w:eastAsia="等线"/>
                <w:sz w:val="18"/>
                <w:lang w:eastAsia="zh-CN"/>
              </w:rPr>
            </w:pPr>
            <w:r w:rsidRPr="00191EC5">
              <w:rPr>
                <w:rFonts w:eastAsia="等线"/>
                <w:sz w:val="18"/>
                <w:lang w:eastAsia="zh-CN"/>
              </w:rPr>
              <w:t>Low gain, high power</w:t>
            </w:r>
          </w:p>
        </w:tc>
      </w:tr>
      <w:tr w:rsidR="00946291" w:rsidRPr="00191EC5" w14:paraId="6BB236AD" w14:textId="77777777" w:rsidTr="00191EC5">
        <w:trPr>
          <w:trHeight w:val="20"/>
        </w:trPr>
        <w:tc>
          <w:tcPr>
            <w:tcW w:w="1344" w:type="dxa"/>
            <w:tcMar>
              <w:top w:w="60" w:type="dxa"/>
              <w:left w:w="120" w:type="dxa"/>
              <w:bottom w:w="30" w:type="dxa"/>
              <w:right w:w="120" w:type="dxa"/>
            </w:tcMar>
          </w:tcPr>
          <w:p w14:paraId="789FBF3A" w14:textId="77777777" w:rsidR="00946291" w:rsidRPr="00191EC5" w:rsidRDefault="00946291" w:rsidP="00191EC5">
            <w:pPr>
              <w:rPr>
                <w:rFonts w:eastAsia="等线"/>
                <w:sz w:val="18"/>
                <w:lang w:eastAsia="zh-CN"/>
              </w:rPr>
            </w:pPr>
            <w:r w:rsidRPr="00191EC5">
              <w:rPr>
                <w:rFonts w:eastAsia="等线"/>
                <w:sz w:val="18"/>
                <w:lang w:eastAsia="zh-CN"/>
              </w:rPr>
              <w:t>Active Load</w:t>
            </w:r>
          </w:p>
        </w:tc>
        <w:tc>
          <w:tcPr>
            <w:tcW w:w="1757" w:type="dxa"/>
            <w:tcMar>
              <w:top w:w="60" w:type="dxa"/>
              <w:left w:w="120" w:type="dxa"/>
              <w:bottom w:w="30" w:type="dxa"/>
              <w:right w:w="120" w:type="dxa"/>
            </w:tcMar>
          </w:tcPr>
          <w:p w14:paraId="237805F7" w14:textId="77777777" w:rsidR="00946291" w:rsidRPr="00191EC5" w:rsidRDefault="00946291" w:rsidP="00191EC5">
            <w:pPr>
              <w:rPr>
                <w:rFonts w:eastAsia="等线"/>
                <w:sz w:val="18"/>
                <w:lang w:eastAsia="zh-CN"/>
              </w:rPr>
            </w:pPr>
            <w:r w:rsidRPr="00191EC5">
              <w:rPr>
                <w:rFonts w:eastAsia="等线"/>
                <w:sz w:val="18"/>
                <w:lang w:eastAsia="zh-CN"/>
              </w:rPr>
              <w:t>High-output-resistance active devices</w:t>
            </w:r>
          </w:p>
        </w:tc>
        <w:tc>
          <w:tcPr>
            <w:tcW w:w="1267" w:type="dxa"/>
            <w:tcMar>
              <w:top w:w="60" w:type="dxa"/>
              <w:left w:w="120" w:type="dxa"/>
              <w:bottom w:w="30" w:type="dxa"/>
              <w:right w:w="120" w:type="dxa"/>
            </w:tcMar>
          </w:tcPr>
          <w:p w14:paraId="4E898BCD" w14:textId="77777777" w:rsidR="00946291" w:rsidRPr="00191EC5" w:rsidRDefault="00946291" w:rsidP="00191EC5">
            <w:pPr>
              <w:rPr>
                <w:rFonts w:eastAsia="等线"/>
                <w:sz w:val="18"/>
                <w:lang w:eastAsia="zh-CN"/>
              </w:rPr>
            </w:pPr>
            <w:r w:rsidRPr="00191EC5">
              <w:rPr>
                <w:rFonts w:eastAsia="等线"/>
                <w:sz w:val="18"/>
                <w:lang w:eastAsia="zh-CN"/>
              </w:rPr>
              <w:t>25–35</w:t>
            </w:r>
          </w:p>
        </w:tc>
        <w:tc>
          <w:tcPr>
            <w:tcW w:w="1638" w:type="dxa"/>
            <w:tcMar>
              <w:top w:w="60" w:type="dxa"/>
              <w:left w:w="120" w:type="dxa"/>
              <w:bottom w:w="30" w:type="dxa"/>
              <w:right w:w="120" w:type="dxa"/>
            </w:tcMar>
          </w:tcPr>
          <w:p w14:paraId="0DC524B9" w14:textId="77777777" w:rsidR="00946291" w:rsidRPr="00191EC5" w:rsidRDefault="00946291" w:rsidP="00191EC5">
            <w:pPr>
              <w:rPr>
                <w:rFonts w:eastAsia="等线"/>
                <w:sz w:val="18"/>
                <w:lang w:eastAsia="zh-CN"/>
              </w:rPr>
            </w:pPr>
            <w:r w:rsidRPr="00191EC5">
              <w:rPr>
                <w:rFonts w:eastAsia="等线"/>
                <w:sz w:val="18"/>
                <w:lang w:eastAsia="zh-CN"/>
              </w:rPr>
              <w:t>1–10 GHz</w:t>
            </w:r>
          </w:p>
        </w:tc>
        <w:tc>
          <w:tcPr>
            <w:tcW w:w="1717" w:type="dxa"/>
            <w:tcMar>
              <w:top w:w="60" w:type="dxa"/>
              <w:left w:w="120" w:type="dxa"/>
              <w:bottom w:w="30" w:type="dxa"/>
              <w:right w:w="120" w:type="dxa"/>
            </w:tcMar>
          </w:tcPr>
          <w:p w14:paraId="5F1E7A3D" w14:textId="77777777" w:rsidR="00946291" w:rsidRPr="00191EC5" w:rsidRDefault="00946291" w:rsidP="00191EC5">
            <w:pPr>
              <w:rPr>
                <w:rFonts w:eastAsia="等线"/>
                <w:sz w:val="18"/>
                <w:lang w:eastAsia="zh-CN"/>
              </w:rPr>
            </w:pPr>
            <w:r w:rsidRPr="00191EC5">
              <w:rPr>
                <w:rFonts w:eastAsia="等线"/>
                <w:sz w:val="18"/>
                <w:lang w:eastAsia="zh-CN"/>
              </w:rPr>
              <w:t>Gain enhancement</w:t>
            </w:r>
          </w:p>
        </w:tc>
        <w:tc>
          <w:tcPr>
            <w:tcW w:w="1207" w:type="dxa"/>
            <w:tcMar>
              <w:top w:w="60" w:type="dxa"/>
              <w:left w:w="120" w:type="dxa"/>
              <w:bottom w:w="30" w:type="dxa"/>
              <w:right w:w="120" w:type="dxa"/>
            </w:tcMar>
          </w:tcPr>
          <w:p w14:paraId="2F44565F" w14:textId="77777777" w:rsidR="00946291" w:rsidRPr="00191EC5" w:rsidRDefault="00946291" w:rsidP="00191EC5">
            <w:pPr>
              <w:rPr>
                <w:rFonts w:eastAsia="等线"/>
                <w:sz w:val="18"/>
                <w:lang w:eastAsia="zh-CN"/>
              </w:rPr>
            </w:pPr>
            <w:r w:rsidRPr="00191EC5">
              <w:rPr>
                <w:rFonts w:eastAsia="等线"/>
                <w:sz w:val="18"/>
                <w:lang w:eastAsia="zh-CN"/>
              </w:rPr>
              <w:t>Process mismatch sensitivity</w:t>
            </w:r>
          </w:p>
        </w:tc>
      </w:tr>
      <w:tr w:rsidR="00946291" w:rsidRPr="00191EC5" w14:paraId="4325E70E" w14:textId="77777777" w:rsidTr="00191EC5">
        <w:trPr>
          <w:trHeight w:val="20"/>
        </w:trPr>
        <w:tc>
          <w:tcPr>
            <w:tcW w:w="1344" w:type="dxa"/>
            <w:tcMar>
              <w:top w:w="60" w:type="dxa"/>
              <w:left w:w="120" w:type="dxa"/>
              <w:bottom w:w="30" w:type="dxa"/>
              <w:right w:w="120" w:type="dxa"/>
            </w:tcMar>
          </w:tcPr>
          <w:p w14:paraId="2EE88595" w14:textId="77777777" w:rsidR="00946291" w:rsidRPr="00191EC5" w:rsidRDefault="00946291" w:rsidP="00191EC5">
            <w:pPr>
              <w:rPr>
                <w:rFonts w:eastAsia="等线"/>
                <w:sz w:val="18"/>
                <w:lang w:eastAsia="zh-CN"/>
              </w:rPr>
            </w:pPr>
            <w:r w:rsidRPr="00191EC5">
              <w:rPr>
                <w:rFonts w:eastAsia="等线"/>
                <w:sz w:val="18"/>
                <w:lang w:eastAsia="zh-CN"/>
              </w:rPr>
              <w:t>Cascode</w:t>
            </w:r>
          </w:p>
        </w:tc>
        <w:tc>
          <w:tcPr>
            <w:tcW w:w="1757" w:type="dxa"/>
            <w:tcMar>
              <w:top w:w="60" w:type="dxa"/>
              <w:left w:w="120" w:type="dxa"/>
              <w:bottom w:w="30" w:type="dxa"/>
              <w:right w:w="120" w:type="dxa"/>
            </w:tcMar>
          </w:tcPr>
          <w:p w14:paraId="29596CFD" w14:textId="369827A2" w:rsidR="00946291" w:rsidRPr="00191EC5" w:rsidRDefault="00946291" w:rsidP="00191EC5">
            <w:pPr>
              <w:rPr>
                <w:rFonts w:eastAsia="等线"/>
                <w:sz w:val="18"/>
                <w:lang w:eastAsia="zh-CN"/>
              </w:rPr>
            </w:pPr>
            <w:r w:rsidRPr="00191EC5">
              <w:rPr>
                <w:rFonts w:eastAsia="等线"/>
                <w:sz w:val="18"/>
                <w:lang w:eastAsia="zh-CN"/>
              </w:rPr>
              <w:t xml:space="preserve">Cascoding to suppress \lambda </w:t>
            </w:r>
          </w:p>
        </w:tc>
        <w:tc>
          <w:tcPr>
            <w:tcW w:w="1267" w:type="dxa"/>
            <w:tcMar>
              <w:top w:w="60" w:type="dxa"/>
              <w:left w:w="120" w:type="dxa"/>
              <w:bottom w:w="30" w:type="dxa"/>
              <w:right w:w="120" w:type="dxa"/>
            </w:tcMar>
          </w:tcPr>
          <w:p w14:paraId="66B6E0CD" w14:textId="77777777" w:rsidR="00946291" w:rsidRPr="00191EC5" w:rsidRDefault="00946291" w:rsidP="00191EC5">
            <w:pPr>
              <w:rPr>
                <w:rFonts w:eastAsia="等线"/>
                <w:sz w:val="18"/>
                <w:lang w:eastAsia="zh-CN"/>
              </w:rPr>
            </w:pPr>
            <w:r w:rsidRPr="00191EC5">
              <w:rPr>
                <w:rFonts w:eastAsia="等线"/>
                <w:sz w:val="18"/>
                <w:lang w:eastAsia="zh-CN"/>
              </w:rPr>
              <w:t>40–60</w:t>
            </w:r>
          </w:p>
        </w:tc>
        <w:tc>
          <w:tcPr>
            <w:tcW w:w="1638" w:type="dxa"/>
            <w:tcMar>
              <w:top w:w="60" w:type="dxa"/>
              <w:left w:w="120" w:type="dxa"/>
              <w:bottom w:w="30" w:type="dxa"/>
              <w:right w:w="120" w:type="dxa"/>
            </w:tcMar>
          </w:tcPr>
          <w:p w14:paraId="10DB0FD6" w14:textId="77777777" w:rsidR="00946291" w:rsidRPr="00191EC5" w:rsidRDefault="00946291" w:rsidP="00191EC5">
            <w:pPr>
              <w:rPr>
                <w:rFonts w:eastAsia="等线"/>
                <w:sz w:val="18"/>
                <w:lang w:eastAsia="zh-CN"/>
              </w:rPr>
            </w:pPr>
            <w:r w:rsidRPr="00191EC5">
              <w:rPr>
                <w:rFonts w:eastAsia="等线"/>
                <w:sz w:val="18"/>
                <w:lang w:eastAsia="zh-CN"/>
              </w:rPr>
              <w:t>10–50 GHz</w:t>
            </w:r>
          </w:p>
        </w:tc>
        <w:tc>
          <w:tcPr>
            <w:tcW w:w="1717" w:type="dxa"/>
            <w:tcMar>
              <w:top w:w="60" w:type="dxa"/>
              <w:left w:w="120" w:type="dxa"/>
              <w:bottom w:w="30" w:type="dxa"/>
              <w:right w:w="120" w:type="dxa"/>
            </w:tcMar>
          </w:tcPr>
          <w:p w14:paraId="3EFB45C8" w14:textId="77777777" w:rsidR="00946291" w:rsidRPr="00191EC5" w:rsidRDefault="00946291" w:rsidP="00191EC5">
            <w:pPr>
              <w:rPr>
                <w:rFonts w:eastAsia="等线"/>
                <w:sz w:val="18"/>
                <w:lang w:eastAsia="zh-CN"/>
              </w:rPr>
            </w:pPr>
            <w:r w:rsidRPr="00191EC5">
              <w:rPr>
                <w:rFonts w:eastAsia="等线"/>
                <w:sz w:val="18"/>
                <w:lang w:eastAsia="zh-CN"/>
              </w:rPr>
              <w:t>High output impedance</w:t>
            </w:r>
          </w:p>
        </w:tc>
        <w:tc>
          <w:tcPr>
            <w:tcW w:w="1207" w:type="dxa"/>
            <w:tcMar>
              <w:top w:w="60" w:type="dxa"/>
              <w:left w:w="120" w:type="dxa"/>
              <w:bottom w:w="30" w:type="dxa"/>
              <w:right w:w="120" w:type="dxa"/>
            </w:tcMar>
          </w:tcPr>
          <w:p w14:paraId="48B0D69B" w14:textId="77777777" w:rsidR="00946291" w:rsidRPr="00191EC5" w:rsidRDefault="00946291" w:rsidP="00191EC5">
            <w:pPr>
              <w:rPr>
                <w:rFonts w:eastAsia="等线"/>
                <w:sz w:val="18"/>
                <w:lang w:eastAsia="zh-CN"/>
              </w:rPr>
            </w:pPr>
            <w:r w:rsidRPr="00191EC5">
              <w:rPr>
                <w:rFonts w:eastAsia="等线"/>
                <w:sz w:val="18"/>
                <w:lang w:eastAsia="zh-CN"/>
              </w:rPr>
              <w:t>Low voltage headroom</w:t>
            </w:r>
          </w:p>
        </w:tc>
      </w:tr>
      <w:tr w:rsidR="00946291" w:rsidRPr="00191EC5" w14:paraId="7EF99A11" w14:textId="77777777" w:rsidTr="00191EC5">
        <w:trPr>
          <w:trHeight w:val="20"/>
        </w:trPr>
        <w:tc>
          <w:tcPr>
            <w:tcW w:w="1344" w:type="dxa"/>
            <w:tcBorders>
              <w:bottom w:val="single" w:sz="4" w:space="0" w:color="auto"/>
            </w:tcBorders>
            <w:tcMar>
              <w:top w:w="60" w:type="dxa"/>
              <w:left w:w="120" w:type="dxa"/>
              <w:bottom w:w="30" w:type="dxa"/>
              <w:right w:w="120" w:type="dxa"/>
            </w:tcMar>
          </w:tcPr>
          <w:p w14:paraId="201DC966" w14:textId="77777777" w:rsidR="00946291" w:rsidRPr="00191EC5" w:rsidRDefault="00946291" w:rsidP="00191EC5">
            <w:pPr>
              <w:rPr>
                <w:rFonts w:eastAsia="等线"/>
                <w:sz w:val="18"/>
                <w:lang w:eastAsia="zh-CN"/>
              </w:rPr>
            </w:pPr>
            <w:r w:rsidRPr="00191EC5">
              <w:rPr>
                <w:rFonts w:eastAsia="等线"/>
                <w:sz w:val="18"/>
                <w:lang w:eastAsia="zh-CN"/>
              </w:rPr>
              <w:t>Inductive Peaking</w:t>
            </w:r>
          </w:p>
        </w:tc>
        <w:tc>
          <w:tcPr>
            <w:tcW w:w="1757" w:type="dxa"/>
            <w:tcBorders>
              <w:bottom w:val="single" w:sz="4" w:space="0" w:color="auto"/>
            </w:tcBorders>
            <w:tcMar>
              <w:top w:w="60" w:type="dxa"/>
              <w:left w:w="120" w:type="dxa"/>
              <w:bottom w:w="30" w:type="dxa"/>
              <w:right w:w="120" w:type="dxa"/>
            </w:tcMar>
          </w:tcPr>
          <w:p w14:paraId="31C40235" w14:textId="77777777" w:rsidR="00946291" w:rsidRPr="00191EC5" w:rsidRDefault="00946291" w:rsidP="00191EC5">
            <w:pPr>
              <w:rPr>
                <w:rFonts w:eastAsia="等线"/>
                <w:sz w:val="18"/>
                <w:lang w:eastAsia="zh-CN"/>
              </w:rPr>
            </w:pPr>
            <w:r w:rsidRPr="00191EC5">
              <w:rPr>
                <w:rFonts w:eastAsia="等线"/>
                <w:sz w:val="18"/>
                <w:lang w:eastAsia="zh-CN"/>
              </w:rPr>
              <w:t>Resonant compensation of parasitics</w:t>
            </w:r>
          </w:p>
        </w:tc>
        <w:tc>
          <w:tcPr>
            <w:tcW w:w="1267" w:type="dxa"/>
            <w:tcBorders>
              <w:bottom w:val="single" w:sz="4" w:space="0" w:color="auto"/>
            </w:tcBorders>
            <w:tcMar>
              <w:top w:w="60" w:type="dxa"/>
              <w:left w:w="120" w:type="dxa"/>
              <w:bottom w:w="30" w:type="dxa"/>
              <w:right w:w="120" w:type="dxa"/>
            </w:tcMar>
          </w:tcPr>
          <w:p w14:paraId="47956EEA" w14:textId="77777777" w:rsidR="00946291" w:rsidRPr="00191EC5" w:rsidRDefault="00946291" w:rsidP="00191EC5">
            <w:pPr>
              <w:rPr>
                <w:rFonts w:eastAsia="等线"/>
                <w:sz w:val="18"/>
                <w:lang w:eastAsia="zh-CN"/>
              </w:rPr>
            </w:pPr>
            <w:r w:rsidRPr="00191EC5">
              <w:rPr>
                <w:rFonts w:eastAsia="等线"/>
                <w:sz w:val="18"/>
                <w:lang w:eastAsia="zh-CN"/>
              </w:rPr>
              <w:t>20–30</w:t>
            </w:r>
          </w:p>
        </w:tc>
        <w:tc>
          <w:tcPr>
            <w:tcW w:w="1638" w:type="dxa"/>
            <w:tcBorders>
              <w:bottom w:val="single" w:sz="4" w:space="0" w:color="auto"/>
            </w:tcBorders>
            <w:tcMar>
              <w:top w:w="60" w:type="dxa"/>
              <w:left w:w="120" w:type="dxa"/>
              <w:bottom w:w="30" w:type="dxa"/>
              <w:right w:w="120" w:type="dxa"/>
            </w:tcMar>
          </w:tcPr>
          <w:p w14:paraId="4ACCE1AC" w14:textId="77777777" w:rsidR="00946291" w:rsidRPr="00191EC5" w:rsidRDefault="00946291" w:rsidP="00191EC5">
            <w:pPr>
              <w:rPr>
                <w:rFonts w:eastAsia="等线"/>
                <w:sz w:val="18"/>
                <w:lang w:eastAsia="zh-CN"/>
              </w:rPr>
            </w:pPr>
            <w:r w:rsidRPr="00191EC5">
              <w:rPr>
                <w:rFonts w:eastAsia="等线"/>
                <w:sz w:val="18"/>
                <w:lang w:eastAsia="zh-CN"/>
              </w:rPr>
              <w:t>&gt;50 GHz</w:t>
            </w:r>
          </w:p>
        </w:tc>
        <w:tc>
          <w:tcPr>
            <w:tcW w:w="1717" w:type="dxa"/>
            <w:tcBorders>
              <w:bottom w:val="single" w:sz="4" w:space="0" w:color="auto"/>
            </w:tcBorders>
            <w:tcMar>
              <w:top w:w="60" w:type="dxa"/>
              <w:left w:w="120" w:type="dxa"/>
              <w:bottom w:w="30" w:type="dxa"/>
              <w:right w:w="120" w:type="dxa"/>
            </w:tcMar>
          </w:tcPr>
          <w:p w14:paraId="30FA5515" w14:textId="77777777" w:rsidR="00946291" w:rsidRPr="00191EC5" w:rsidRDefault="00946291" w:rsidP="00191EC5">
            <w:pPr>
              <w:rPr>
                <w:rFonts w:eastAsia="等线"/>
                <w:sz w:val="18"/>
                <w:lang w:eastAsia="zh-CN"/>
              </w:rPr>
            </w:pPr>
            <w:r w:rsidRPr="00191EC5">
              <w:rPr>
                <w:rFonts w:eastAsia="等线"/>
                <w:sz w:val="18"/>
                <w:lang w:eastAsia="zh-CN"/>
              </w:rPr>
              <w:t>Broadband extension</w:t>
            </w:r>
          </w:p>
        </w:tc>
        <w:tc>
          <w:tcPr>
            <w:tcW w:w="1207" w:type="dxa"/>
            <w:tcBorders>
              <w:bottom w:val="single" w:sz="4" w:space="0" w:color="auto"/>
            </w:tcBorders>
            <w:tcMar>
              <w:top w:w="60" w:type="dxa"/>
              <w:left w:w="120" w:type="dxa"/>
              <w:bottom w:w="30" w:type="dxa"/>
              <w:right w:w="120" w:type="dxa"/>
            </w:tcMar>
          </w:tcPr>
          <w:p w14:paraId="0E9ED90E" w14:textId="77777777" w:rsidR="00946291" w:rsidRPr="00191EC5" w:rsidRDefault="00946291" w:rsidP="00191EC5">
            <w:pPr>
              <w:rPr>
                <w:rFonts w:eastAsia="等线"/>
                <w:sz w:val="18"/>
                <w:lang w:eastAsia="zh-CN"/>
              </w:rPr>
            </w:pPr>
            <w:r w:rsidRPr="00191EC5">
              <w:rPr>
                <w:rFonts w:eastAsia="等线"/>
                <w:sz w:val="18"/>
                <w:lang w:eastAsia="zh-CN"/>
              </w:rPr>
              <w:t>Inductor integration complexity</w:t>
            </w:r>
          </w:p>
        </w:tc>
      </w:tr>
    </w:tbl>
    <w:p w14:paraId="1B0A5A06" w14:textId="5FCDF660" w:rsidR="00946291" w:rsidRPr="00946291" w:rsidRDefault="00946291" w:rsidP="00946291">
      <w:pPr>
        <w:pStyle w:val="2"/>
        <w:rPr>
          <w:lang w:eastAsia="zh-CN"/>
        </w:rPr>
      </w:pPr>
      <w:r w:rsidRPr="00946291">
        <w:rPr>
          <w:lang w:eastAsia="zh-CN"/>
        </w:rPr>
        <w:t>Noise Minimization Techniques</w:t>
      </w:r>
    </w:p>
    <w:p w14:paraId="772C4EE0" w14:textId="2862726E" w:rsidR="00946291" w:rsidRPr="00946291" w:rsidRDefault="00946291" w:rsidP="00946291">
      <w:pPr>
        <w:pStyle w:val="3"/>
      </w:pPr>
      <w:r w:rsidRPr="00946291">
        <w:t>Thermal Noise Analysis</w:t>
      </w:r>
    </w:p>
    <w:p w14:paraId="0E724E8D" w14:textId="51D0B3BA" w:rsidR="00946291" w:rsidRPr="00946291" w:rsidRDefault="00946291" w:rsidP="00372740">
      <w:pPr>
        <w:pStyle w:val="Paragraph"/>
        <w:rPr>
          <w:lang w:eastAsia="zh-CN"/>
        </w:rPr>
      </w:pPr>
      <w:r w:rsidRPr="00946291">
        <w:rPr>
          <w:lang w:eastAsia="zh-CN"/>
        </w:rPr>
        <w:t>The output-referred thermal noise power in a CS amplifier is given by:</w:t>
      </w:r>
      <m:oMath>
        <m:bar>
          <m:barPr>
            <m:pos m:val="top"/>
            <m:ctrlPr>
              <w:rPr>
                <w:rFonts w:ascii="Cambria Math" w:hAnsi="Cambria Math"/>
                <w:i/>
                <w:lang w:eastAsia="zh-CN"/>
              </w:rPr>
            </m:ctrlPr>
          </m:barPr>
          <m:e>
            <m:sSub>
              <m:sSubPr>
                <m:ctrlPr>
                  <w:rPr>
                    <w:rFonts w:ascii="Cambria Math" w:hAnsi="Cambria Math"/>
                    <w:vertAlign w:val="superscript"/>
                    <w:lang w:eastAsia="zh-CN"/>
                  </w:rPr>
                </m:ctrlPr>
              </m:sSubPr>
              <m:e>
                <m:sSup>
                  <m:sSupPr>
                    <m:ctrlPr>
                      <w:rPr>
                        <w:rFonts w:ascii="Cambria Math" w:hAnsi="Cambria Math"/>
                        <w:vertAlign w:val="superscript"/>
                        <w:lang w:eastAsia="zh-CN"/>
                      </w:rPr>
                    </m:ctrlPr>
                  </m:sSupPr>
                  <m:e>
                    <m:r>
                      <m:rPr>
                        <m:sty m:val="p"/>
                      </m:rPr>
                      <w:rPr>
                        <w:rFonts w:ascii="Cambria Math" w:hAnsi="Cambria Math"/>
                        <w:vertAlign w:val="superscript"/>
                        <w:lang w:eastAsia="zh-CN"/>
                      </w:rPr>
                      <m:t>v</m:t>
                    </m:r>
                  </m:e>
                  <m:sup>
                    <m:r>
                      <m:rPr>
                        <m:sty m:val="p"/>
                      </m:rPr>
                      <w:rPr>
                        <w:rFonts w:ascii="Cambria Math" w:hAnsi="Cambria Math"/>
                        <w:vertAlign w:val="superscript"/>
                        <w:lang w:eastAsia="zh-CN"/>
                      </w:rPr>
                      <m:t>2</m:t>
                    </m:r>
                  </m:sup>
                </m:sSup>
              </m:e>
              <m:sub>
                <m:r>
                  <m:rPr>
                    <m:sty m:val="p"/>
                  </m:rPr>
                  <w:rPr>
                    <w:rFonts w:ascii="Cambria Math" w:hAnsi="Cambria Math"/>
                    <w:vertAlign w:val="subscript"/>
                    <w:lang w:eastAsia="zh-CN"/>
                  </w:rPr>
                  <m:t>n,out</m:t>
                </m:r>
              </m:sub>
            </m:sSub>
          </m:e>
        </m:bar>
      </m:oMath>
      <w:r w:rsidRPr="00946291">
        <w:rPr>
          <w:lang w:eastAsia="zh-CN"/>
        </w:rPr>
        <w:t xml:space="preserve"> = 4kT(</w:t>
      </w:r>
      <w:r w:rsidRPr="00946291">
        <w:rPr>
          <w:sz w:val="22"/>
          <w:szCs w:val="22"/>
          <w:lang w:eastAsia="zh-CN"/>
        </w:rPr>
        <w:t>γ</w:t>
      </w:r>
      <w:r w:rsidRPr="00946291">
        <w:rPr>
          <w:lang w:eastAsia="zh-CN"/>
        </w:rPr>
        <w:t>g</w:t>
      </w:r>
      <w:r w:rsidRPr="00946291">
        <w:rPr>
          <w:vertAlign w:val="subscript"/>
          <w:lang w:eastAsia="zh-CN"/>
        </w:rPr>
        <w:t>m</w:t>
      </w:r>
      <w:r w:rsidRPr="00946291">
        <w:rPr>
          <w:lang w:eastAsia="zh-CN"/>
        </w:rPr>
        <w:t xml:space="preserve"> + 1</w:t>
      </w:r>
      <w:r w:rsidRPr="00946291">
        <w:rPr>
          <w:rFonts w:hint="eastAsia"/>
          <w:lang w:eastAsia="zh-CN"/>
        </w:rPr>
        <w:t>/</w:t>
      </w:r>
      <w:r w:rsidRPr="00946291">
        <w:rPr>
          <w:lang w:eastAsia="zh-CN"/>
        </w:rPr>
        <w:t>R</w:t>
      </w:r>
      <w:r w:rsidRPr="00946291">
        <w:rPr>
          <w:vertAlign w:val="subscript"/>
          <w:lang w:eastAsia="zh-CN"/>
        </w:rPr>
        <w:t>L</w:t>
      </w:r>
      <w:r w:rsidRPr="00946291">
        <w:rPr>
          <w:lang w:eastAsia="zh-CN"/>
        </w:rPr>
        <w:t>)(R</w:t>
      </w:r>
      <w:r w:rsidRPr="00946291">
        <w:rPr>
          <w:vertAlign w:val="subscript"/>
          <w:lang w:eastAsia="zh-CN"/>
        </w:rPr>
        <w:t>L</w:t>
      </w:r>
      <w:r w:rsidRPr="00946291">
        <w:rPr>
          <w:rFonts w:ascii="Arial" w:hAnsi="Arial" w:cs="Arial"/>
          <w:lang w:eastAsia="zh-CN"/>
        </w:rPr>
        <w:t>װ</w:t>
      </w:r>
      <w:r w:rsidRPr="00946291">
        <w:rPr>
          <w:lang w:eastAsia="zh-CN"/>
        </w:rPr>
        <w:t xml:space="preserve"> r</w:t>
      </w:r>
      <w:r w:rsidRPr="00946291">
        <w:rPr>
          <w:vertAlign w:val="subscript"/>
          <w:lang w:eastAsia="zh-CN"/>
        </w:rPr>
        <w:t>o</w:t>
      </w:r>
      <w:r w:rsidRPr="00946291">
        <w:rPr>
          <w:lang w:eastAsia="zh-CN"/>
        </w:rPr>
        <w:t>)</w:t>
      </w:r>
      <w:r w:rsidRPr="00946291">
        <w:rPr>
          <w:vertAlign w:val="superscript"/>
          <w:lang w:eastAsia="zh-CN"/>
        </w:rPr>
        <w:t>2</w:t>
      </w:r>
      <w:r w:rsidRPr="00946291">
        <w:rPr>
          <w:lang w:eastAsia="zh-CN"/>
        </w:rPr>
        <w:t xml:space="preserve"> Δf </w:t>
      </w:r>
      <w:r w:rsidR="00372740">
        <w:rPr>
          <w:rFonts w:hint="eastAsia"/>
          <w:lang w:eastAsia="zh-CN"/>
        </w:rPr>
        <w:t xml:space="preserve">, </w:t>
      </w:r>
      <w:r w:rsidRPr="00946291">
        <w:rPr>
          <w:lang w:eastAsia="zh-CN"/>
        </w:rPr>
        <w:t xml:space="preserve">where </w:t>
      </w:r>
      <w:r w:rsidRPr="00946291">
        <w:rPr>
          <w:sz w:val="22"/>
          <w:szCs w:val="22"/>
          <w:lang w:eastAsia="zh-CN"/>
        </w:rPr>
        <w:t>γ</w:t>
      </w:r>
      <w:r w:rsidRPr="00946291">
        <w:rPr>
          <w:lang w:eastAsia="zh-CN"/>
        </w:rPr>
        <w:t xml:space="preserve"> is the excess noise factor (2/3 for long-channel devices, increasing to 1–2 in short-channel regimes due to velocity saturation), k is Boltzmann's constant, and T is absolute temperature. Minimizing noise requires optimizing g</w:t>
      </w:r>
      <w:r w:rsidRPr="00946291">
        <w:rPr>
          <w:vertAlign w:val="subscript"/>
          <w:lang w:eastAsia="zh-CN"/>
        </w:rPr>
        <w:t>m</w:t>
      </w:r>
      <w:r w:rsidRPr="00946291">
        <w:rPr>
          <w:lang w:eastAsia="zh-CN"/>
        </w:rPr>
        <w:t xml:space="preserve"> and load impedance R</w:t>
      </w:r>
      <w:r w:rsidRPr="00946291">
        <w:rPr>
          <w:vertAlign w:val="subscript"/>
          <w:lang w:eastAsia="zh-CN"/>
        </w:rPr>
        <w:t>L</w:t>
      </w:r>
      <w:r w:rsidRPr="00946291">
        <w:rPr>
          <w:lang w:eastAsia="zh-CN"/>
        </w:rPr>
        <w:t>,with short-channel devices exhibiting 3× higher noise floor compared to their long-channel counterparts at the same bias current.</w:t>
      </w:r>
    </w:p>
    <w:p w14:paraId="523C217B" w14:textId="376B347B" w:rsidR="00946291" w:rsidRPr="00946291" w:rsidRDefault="00946291" w:rsidP="00946291">
      <w:pPr>
        <w:pStyle w:val="3"/>
      </w:pPr>
      <w:r w:rsidRPr="00946291">
        <w:lastRenderedPageBreak/>
        <w:t>Advanced Noise Reduction Methods</w:t>
      </w:r>
    </w:p>
    <w:p w14:paraId="67DD569B" w14:textId="55291E81" w:rsidR="00946291" w:rsidRPr="00946291" w:rsidRDefault="00946291" w:rsidP="00946291">
      <w:pPr>
        <w:pStyle w:val="Paragraph"/>
        <w:rPr>
          <w:lang w:eastAsia="zh-CN"/>
        </w:rPr>
      </w:pPr>
      <w:r w:rsidRPr="00946291">
        <w:rPr>
          <w:lang w:eastAsia="zh-CN"/>
        </w:rPr>
        <w:t>Inductive source degeneration is a technique where a source inductor</w:t>
      </w:r>
      <w:r w:rsidRPr="00946291">
        <w:rPr>
          <w:sz w:val="22"/>
          <w:szCs w:val="22"/>
          <w:lang w:eastAsia="zh-CN"/>
        </w:rPr>
        <w:t xml:space="preserve"> </w:t>
      </w:r>
      <w:r w:rsidRPr="00946291">
        <w:rPr>
          <w:lang w:eastAsia="zh-CN"/>
        </w:rPr>
        <w:t>L</w:t>
      </w:r>
      <w:r w:rsidRPr="00946291">
        <w:rPr>
          <w:vertAlign w:val="subscript"/>
          <w:lang w:eastAsia="zh-CN"/>
        </w:rPr>
        <w:t>s</w:t>
      </w:r>
      <w:r w:rsidRPr="00946291">
        <w:rPr>
          <w:sz w:val="22"/>
          <w:szCs w:val="22"/>
          <w:lang w:eastAsia="zh-CN"/>
        </w:rPr>
        <w:t xml:space="preserve"> </w:t>
      </w:r>
      <w:r w:rsidRPr="00946291">
        <w:rPr>
          <w:lang w:eastAsia="zh-CN"/>
        </w:rPr>
        <w:t>is added, as shown in Figure 4a. This method allows for simultaneous input matching and noise optimization. In a 16 nm FinFET implementation, it has achieved a record - low 1.8 dB noise figure (NF) at 28 GHz, with a noise figure improvement factor (NFIF) of 1.25 [4]. The resonance condition</w:t>
      </w:r>
      <w:r w:rsidRPr="00946291">
        <w:rPr>
          <w:sz w:val="22"/>
          <w:szCs w:val="22"/>
          <w:lang w:eastAsia="zh-CN"/>
        </w:rPr>
        <w:t xml:space="preserve"> </w:t>
      </w:r>
      <w:r w:rsidRPr="00946291">
        <w:rPr>
          <w:lang w:eastAsia="zh-CN"/>
        </w:rPr>
        <w:t>ω L</w:t>
      </w:r>
      <w:r w:rsidRPr="00946291">
        <w:rPr>
          <w:vertAlign w:val="subscript"/>
          <w:lang w:eastAsia="zh-CN"/>
        </w:rPr>
        <w:t>s</w:t>
      </w:r>
      <w:r w:rsidRPr="00946291">
        <w:rPr>
          <w:lang w:eastAsia="zh-CN"/>
        </w:rPr>
        <w:t xml:space="preserve"> = 1/(ω C</w:t>
      </w:r>
      <w:r w:rsidRPr="00946291">
        <w:rPr>
          <w:vertAlign w:val="subscript"/>
          <w:lang w:eastAsia="zh-CN"/>
        </w:rPr>
        <w:t>gs</w:t>
      </w:r>
      <w:r w:rsidRPr="00946291">
        <w:rPr>
          <w:lang w:eastAsia="zh-CN"/>
        </w:rPr>
        <w:t>) cancels the imaginary part of the input impedance, thereby reducing the minimum noise impedance mismatch.</w:t>
      </w:r>
    </w:p>
    <w:p w14:paraId="315059DE" w14:textId="0635489F" w:rsidR="00946291" w:rsidRPr="00946291" w:rsidRDefault="00946291" w:rsidP="00946291">
      <w:pPr>
        <w:pStyle w:val="Paragraph"/>
        <w:rPr>
          <w:lang w:eastAsia="zh-CN"/>
        </w:rPr>
      </w:pPr>
      <w:r w:rsidRPr="00946291">
        <w:rPr>
          <w:lang w:eastAsia="zh-CN"/>
        </w:rPr>
        <w:t>Cryogenic operation is another advanced noise reduction method. At 4 K, the electron mobility in silicon increases by 3×, reducing</w:t>
      </w:r>
      <w:r w:rsidRPr="00946291">
        <w:rPr>
          <w:rFonts w:hint="eastAsia"/>
          <w:lang w:eastAsia="zh-CN"/>
        </w:rPr>
        <w:t xml:space="preserve"> </w:t>
      </w:r>
      <w:r w:rsidRPr="00946291">
        <w:rPr>
          <w:lang w:eastAsia="zh-CN"/>
        </w:rPr>
        <w:t>γ to 0.5 and cutting the thermal noise power by 50%. This is crucial for quantum computing readout amplifiers. A 2 nV/√Hz noise floor is enabled, which allows for single - photon detection in superconducting qubit systems [5].</w:t>
      </w:r>
    </w:p>
    <w:p w14:paraId="72946027" w14:textId="183A107C" w:rsidR="00946291" w:rsidRPr="00946291" w:rsidRDefault="00946291" w:rsidP="00946291">
      <w:pPr>
        <w:pStyle w:val="2"/>
        <w:rPr>
          <w:lang w:eastAsia="zh-CN"/>
        </w:rPr>
      </w:pPr>
      <w:r w:rsidRPr="00946291">
        <w:rPr>
          <w:lang w:eastAsia="zh-CN"/>
        </w:rPr>
        <w:t>Linearity Enhancement Strategies</w:t>
      </w:r>
    </w:p>
    <w:p w14:paraId="4139B573" w14:textId="284433ED" w:rsidR="00946291" w:rsidRPr="00946291" w:rsidRDefault="00946291" w:rsidP="00946291">
      <w:pPr>
        <w:pStyle w:val="3"/>
      </w:pPr>
      <w:r w:rsidRPr="00946291">
        <w:t>Distortion Mechanisms</w:t>
      </w:r>
    </w:p>
    <w:p w14:paraId="1E04D58D" w14:textId="6D9A42F8" w:rsidR="00946291" w:rsidRPr="00946291" w:rsidRDefault="00946291" w:rsidP="00372740">
      <w:pPr>
        <w:pStyle w:val="Paragraph"/>
        <w:rPr>
          <w:lang w:eastAsia="zh-CN"/>
        </w:rPr>
      </w:pPr>
      <w:r w:rsidRPr="00946291">
        <w:rPr>
          <w:lang w:eastAsia="zh-CN"/>
        </w:rPr>
        <w:t>Third-order intermodulation distortion (IMD3) arises from the quadratic  I</w:t>
      </w:r>
      <w:r w:rsidRPr="00946291">
        <w:rPr>
          <w:vertAlign w:val="subscript"/>
          <w:lang w:eastAsia="zh-CN"/>
        </w:rPr>
        <w:t>D</w:t>
      </w:r>
      <w:r w:rsidRPr="00946291">
        <w:rPr>
          <w:lang w:eastAsia="zh-CN"/>
        </w:rPr>
        <w:t xml:space="preserve"> - V</w:t>
      </w:r>
      <w:r w:rsidRPr="00946291">
        <w:rPr>
          <w:vertAlign w:val="subscript"/>
          <w:lang w:eastAsia="zh-CN"/>
        </w:rPr>
        <w:t>GS</w:t>
      </w:r>
      <w:r w:rsidRPr="00946291">
        <w:rPr>
          <w:lang w:eastAsia="zh-CN"/>
        </w:rPr>
        <w:t xml:space="preserve">  relationship in saturation, characterized by the third-order input intercept point (IIP3):IIP3</w:t>
      </w:r>
      <w:r w:rsidRPr="00946291">
        <w:rPr>
          <w:rFonts w:hint="eastAsia"/>
          <w:lang w:eastAsia="zh-CN"/>
        </w:rPr>
        <w:t>≈</w:t>
      </w:r>
      <m:oMath>
        <m:f>
          <m:fPr>
            <m:ctrlPr>
              <w:rPr>
                <w:rFonts w:ascii="Cambria Math" w:hAnsi="Cambria Math"/>
                <w:i/>
                <w:lang w:eastAsia="zh-CN"/>
              </w:rPr>
            </m:ctrlPr>
          </m:fPr>
          <m:num>
            <m:r>
              <w:rPr>
                <w:rFonts w:ascii="Cambria Math" w:hAnsi="Cambria Math"/>
                <w:lang w:eastAsia="zh-CN"/>
              </w:rPr>
              <m:t>3</m:t>
            </m:r>
          </m:num>
          <m:den>
            <m:r>
              <w:rPr>
                <w:rFonts w:ascii="Cambria Math" w:hAnsi="Cambria Math"/>
                <w:lang w:eastAsia="zh-CN"/>
              </w:rPr>
              <m:t>4</m:t>
            </m:r>
            <m:rad>
              <m:radPr>
                <m:degHide m:val="1"/>
                <m:ctrlPr>
                  <w:rPr>
                    <w:rFonts w:ascii="Cambria Math" w:hAnsi="Cambria Math"/>
                    <w:i/>
                    <w:lang w:eastAsia="zh-CN"/>
                  </w:rPr>
                </m:ctrlPr>
              </m:radPr>
              <m:deg/>
              <m:e>
                <m:r>
                  <w:rPr>
                    <w:rFonts w:ascii="Cambria Math" w:hAnsi="Cambria Math"/>
                    <w:lang w:eastAsia="zh-CN"/>
                  </w:rPr>
                  <m:t>2</m:t>
                </m:r>
              </m:e>
            </m:rad>
          </m:den>
        </m:f>
        <m:r>
          <w:rPr>
            <w:rFonts w:ascii="Cambria Math" w:hAnsi="Cambria Math" w:cs="Cambria Math"/>
            <w:lang w:eastAsia="zh-CN"/>
          </w:rPr>
          <m:t>∙</m:t>
        </m:r>
        <m:f>
          <m:fPr>
            <m:ctrlPr>
              <w:rPr>
                <w:rFonts w:ascii="Cambria Math" w:hAnsi="Cambria Math" w:cs="Cambria Math"/>
                <w:i/>
                <w:lang w:eastAsia="zh-CN"/>
              </w:rPr>
            </m:ctrlPr>
          </m:fPr>
          <m:num>
            <m:sSup>
              <m:sSupPr>
                <m:ctrlPr>
                  <w:rPr>
                    <w:rFonts w:ascii="Cambria Math" w:hAnsi="Cambria Math" w:cs="Cambria Math"/>
                    <w:i/>
                    <w:lang w:eastAsia="zh-CN"/>
                  </w:rPr>
                </m:ctrlPr>
              </m:sSupPr>
              <m:e>
                <m:sSub>
                  <m:sSubPr>
                    <m:ctrlPr>
                      <w:rPr>
                        <w:rFonts w:ascii="Cambria Math" w:hAnsi="Cambria Math" w:cs="Cambria Math"/>
                        <w:i/>
                        <w:lang w:eastAsia="zh-CN"/>
                      </w:rPr>
                    </m:ctrlPr>
                  </m:sSubPr>
                  <m:e>
                    <m:r>
                      <w:rPr>
                        <w:rFonts w:ascii="Cambria Math" w:hAnsi="Cambria Math" w:cs="Cambria Math"/>
                        <w:lang w:eastAsia="zh-CN"/>
                      </w:rPr>
                      <m:t>V</m:t>
                    </m:r>
                  </m:e>
                  <m:sub>
                    <m:r>
                      <w:rPr>
                        <w:rFonts w:ascii="Cambria Math" w:hAnsi="Cambria Math" w:cs="Cambria Math"/>
                        <w:lang w:eastAsia="zh-CN"/>
                      </w:rPr>
                      <m:t>OV</m:t>
                    </m:r>
                  </m:sub>
                </m:sSub>
              </m:e>
              <m:sup>
                <m:r>
                  <w:rPr>
                    <w:rFonts w:ascii="Cambria Math" w:hAnsi="Cambria Math" w:cs="Cambria Math"/>
                    <w:lang w:eastAsia="zh-CN"/>
                  </w:rPr>
                  <m:t>3</m:t>
                </m:r>
              </m:sup>
            </m:sSup>
          </m:num>
          <m:den>
            <m:sSub>
              <m:sSubPr>
                <m:ctrlPr>
                  <w:rPr>
                    <w:rFonts w:ascii="Cambria Math" w:hAnsi="Cambria Math" w:cs="Cambria Math"/>
                    <w:i/>
                    <w:lang w:eastAsia="zh-CN"/>
                  </w:rPr>
                </m:ctrlPr>
              </m:sSubPr>
              <m:e>
                <m:r>
                  <w:rPr>
                    <w:rFonts w:ascii="Cambria Math" w:hAnsi="Cambria Math" w:cs="Cambria Math"/>
                    <w:lang w:eastAsia="zh-CN"/>
                  </w:rPr>
                  <m:t>g</m:t>
                </m:r>
              </m:e>
              <m:sub>
                <m:r>
                  <w:rPr>
                    <w:rFonts w:ascii="Cambria Math" w:hAnsi="Cambria Math" w:cs="Cambria Math"/>
                    <w:lang w:eastAsia="zh-CN"/>
                  </w:rPr>
                  <m:t>m</m:t>
                </m:r>
              </m:sub>
            </m:sSub>
            <m:sSub>
              <m:sSubPr>
                <m:ctrlPr>
                  <w:rPr>
                    <w:rFonts w:ascii="Cambria Math" w:hAnsi="Cambria Math" w:cs="Cambria Math"/>
                    <w:i/>
                    <w:lang w:eastAsia="zh-CN"/>
                  </w:rPr>
                </m:ctrlPr>
              </m:sSubPr>
              <m:e>
                <m:r>
                  <w:rPr>
                    <w:rFonts w:ascii="Cambria Math" w:hAnsi="Cambria Math" w:cs="Cambria Math"/>
                    <w:lang w:eastAsia="zh-CN"/>
                  </w:rPr>
                  <m:t>R</m:t>
                </m:r>
              </m:e>
              <m:sub>
                <m:r>
                  <w:rPr>
                    <w:rFonts w:ascii="Cambria Math" w:hAnsi="Cambria Math" w:cs="Cambria Math"/>
                    <w:lang w:eastAsia="zh-CN"/>
                  </w:rPr>
                  <m:t>S</m:t>
                </m:r>
              </m:sub>
            </m:sSub>
          </m:den>
        </m:f>
      </m:oMath>
      <w:r w:rsidR="00372740">
        <w:rPr>
          <w:rFonts w:hint="eastAsia"/>
          <w:lang w:eastAsia="zh-CN"/>
        </w:rPr>
        <w:t xml:space="preserve">, </w:t>
      </w:r>
      <w:r w:rsidRPr="00946291">
        <w:rPr>
          <w:lang w:eastAsia="zh-CN"/>
        </w:rPr>
        <w:t>where  V</w:t>
      </w:r>
      <w:r w:rsidRPr="00946291">
        <w:rPr>
          <w:vertAlign w:val="subscript"/>
          <w:lang w:eastAsia="zh-CN"/>
        </w:rPr>
        <w:t>OV</w:t>
      </w:r>
      <w:r w:rsidRPr="00946291">
        <w:rPr>
          <w:lang w:eastAsia="zh-CN"/>
        </w:rPr>
        <w:t xml:space="preserve"> = V</w:t>
      </w:r>
      <w:r w:rsidRPr="00946291">
        <w:rPr>
          <w:vertAlign w:val="subscript"/>
          <w:lang w:eastAsia="zh-CN"/>
        </w:rPr>
        <w:t>GS</w:t>
      </w:r>
      <w:r w:rsidRPr="00946291">
        <w:rPr>
          <w:lang w:eastAsia="zh-CN"/>
        </w:rPr>
        <w:t xml:space="preserve"> - V</w:t>
      </w:r>
      <w:r w:rsidRPr="00946291">
        <w:rPr>
          <w:vertAlign w:val="subscript"/>
          <w:lang w:eastAsia="zh-CN"/>
        </w:rPr>
        <w:t>th</w:t>
      </w:r>
      <w:r w:rsidRPr="00946291">
        <w:rPr>
          <w:lang w:eastAsia="zh-CN"/>
        </w:rPr>
        <w:t xml:space="preserve">  is the overdrive voltage, and  R</w:t>
      </w:r>
      <w:r w:rsidRPr="00946291">
        <w:rPr>
          <w:vertAlign w:val="subscript"/>
          <w:lang w:eastAsia="zh-CN"/>
        </w:rPr>
        <w:t>S</w:t>
      </w:r>
      <w:r w:rsidRPr="00946291">
        <w:rPr>
          <w:lang w:eastAsia="zh-CN"/>
        </w:rPr>
        <w:t xml:space="preserve">  is the source degeneration resistor. Short-channel devices exhibit 15% lower IIP3 than long-channel devices due to velocity saturation-induced nonlinearities.</w:t>
      </w:r>
    </w:p>
    <w:p w14:paraId="3A813DDE" w14:textId="207F8999" w:rsidR="00946291" w:rsidRPr="00946291" w:rsidRDefault="00946291" w:rsidP="00946291">
      <w:pPr>
        <w:pStyle w:val="3"/>
        <w:rPr>
          <w:rFonts w:ascii="Arial" w:hAnsi="Arial" w:cs="Arial"/>
        </w:rPr>
      </w:pPr>
      <w:r w:rsidRPr="00946291">
        <w:t>Linearization Techniques</w:t>
      </w:r>
    </w:p>
    <w:p w14:paraId="2D74F380" w14:textId="520807BF" w:rsidR="00946291" w:rsidRPr="00946291" w:rsidRDefault="00946291" w:rsidP="00372740">
      <w:pPr>
        <w:pStyle w:val="Paragraph"/>
        <w:rPr>
          <w:lang w:eastAsia="zh-CN"/>
        </w:rPr>
      </w:pPr>
      <w:r w:rsidRPr="00946291">
        <w:rPr>
          <w:rFonts w:hint="eastAsia"/>
          <w:lang w:eastAsia="zh-CN"/>
        </w:rPr>
        <w:t>Negative feedback is a powerful linearization technique. It involves the use of global or local feedback networks, such as the series - shunt feedback shown in Figure 4b, which can reduce IMD3 by 10</w:t>
      </w:r>
      <w:r w:rsidRPr="00946291">
        <w:rPr>
          <w:rFonts w:hint="eastAsia"/>
          <w:lang w:eastAsia="zh-CN"/>
        </w:rPr>
        <w:t>–</w:t>
      </w:r>
      <w:r w:rsidRPr="00946291">
        <w:rPr>
          <w:rFonts w:hint="eastAsia"/>
          <w:lang w:eastAsia="zh-CN"/>
        </w:rPr>
        <w:t>15 dB. The TI OPA847 operational amplifier serves as a prime example of this technique. It achieves an impressive IMD3 of less than -80 dBc at a 10 MHz input frequency. However, this comes with a tradeoff of a 6 dB reduction in gain [6].</w:t>
      </w:r>
    </w:p>
    <w:p w14:paraId="7AAE4632" w14:textId="254DC322" w:rsidR="00946291" w:rsidRPr="00946291" w:rsidRDefault="00946291" w:rsidP="00946291">
      <w:pPr>
        <w:pStyle w:val="Paragraph"/>
        <w:rPr>
          <w:lang w:eastAsia="zh-CN"/>
        </w:rPr>
      </w:pPr>
      <w:r w:rsidRPr="00946291">
        <w:rPr>
          <w:rFonts w:hint="eastAsia"/>
          <w:lang w:eastAsia="zh-CN"/>
        </w:rPr>
        <w:t xml:space="preserve">Weak inversion biasing is another effective linearization method. When the transistor operates in the weak inversion region, where </w:t>
      </w:r>
      <w:r w:rsidRPr="00946291">
        <w:rPr>
          <w:rFonts w:eastAsia="宋体"/>
          <w:lang w:eastAsia="zh-CN"/>
        </w:rPr>
        <w:t>V</w:t>
      </w:r>
      <w:r w:rsidRPr="00946291">
        <w:rPr>
          <w:rFonts w:eastAsia="宋体"/>
          <w:vertAlign w:val="subscript"/>
          <w:lang w:eastAsia="zh-CN"/>
        </w:rPr>
        <w:t>OV</w:t>
      </w:r>
      <w:r w:rsidRPr="00946291">
        <w:rPr>
          <w:rFonts w:eastAsia="宋体"/>
          <w:lang w:eastAsia="zh-CN"/>
        </w:rPr>
        <w:t xml:space="preserve"> &lt; 3V</w:t>
      </w:r>
      <w:r w:rsidRPr="00946291">
        <w:rPr>
          <w:rFonts w:eastAsia="宋体"/>
          <w:vertAlign w:val="subscript"/>
          <w:lang w:eastAsia="zh-CN"/>
        </w:rPr>
        <w:t>T</w:t>
      </w:r>
      <w:r w:rsidRPr="00946291">
        <w:rPr>
          <w:rFonts w:eastAsia="宋体"/>
          <w:lang w:eastAsia="zh-CN"/>
        </w:rPr>
        <w:t xml:space="preserve"> , V</w:t>
      </w:r>
      <w:r w:rsidRPr="00946291">
        <w:rPr>
          <w:rFonts w:eastAsia="宋体"/>
          <w:vertAlign w:val="subscript"/>
          <w:lang w:eastAsia="zh-CN"/>
        </w:rPr>
        <w:t>T</w:t>
      </w:r>
      <w:r w:rsidRPr="00946291">
        <w:rPr>
          <w:rFonts w:eastAsia="宋体"/>
          <w:lang w:eastAsia="zh-CN"/>
        </w:rPr>
        <w:t xml:space="preserve"> </w:t>
      </w:r>
      <w:r w:rsidRPr="00946291">
        <w:rPr>
          <w:rFonts w:eastAsia="宋体" w:hint="eastAsia"/>
          <w:lang w:eastAsia="zh-CN"/>
        </w:rPr>
        <w:t>≈</w:t>
      </w:r>
      <w:r w:rsidRPr="00946291">
        <w:rPr>
          <w:rFonts w:eastAsia="宋体"/>
          <w:lang w:eastAsia="zh-CN"/>
        </w:rPr>
        <w:t xml:space="preserve"> 26 mV  at 300 K</w:t>
      </w:r>
      <w:r w:rsidRPr="00946291">
        <w:rPr>
          <w:rFonts w:hint="eastAsia"/>
          <w:lang w:eastAsia="zh-CN"/>
        </w:rPr>
        <w:t>), it linearizes the I</w:t>
      </w:r>
      <w:r w:rsidRPr="00946291">
        <w:rPr>
          <w:rFonts w:hint="eastAsia"/>
          <w:vertAlign w:val="subscript"/>
          <w:lang w:eastAsia="zh-CN"/>
        </w:rPr>
        <w:t>D</w:t>
      </w:r>
      <w:r w:rsidRPr="00946291">
        <w:rPr>
          <w:rFonts w:hint="eastAsia"/>
          <w:lang w:eastAsia="zh-CN"/>
        </w:rPr>
        <w:t>-V</w:t>
      </w:r>
      <w:r w:rsidRPr="00946291">
        <w:rPr>
          <w:rFonts w:hint="eastAsia"/>
          <w:vertAlign w:val="subscript"/>
          <w:lang w:eastAsia="zh-CN"/>
        </w:rPr>
        <w:t>GS</w:t>
      </w:r>
      <w:r w:rsidRPr="00946291">
        <w:rPr>
          <w:rFonts w:hint="eastAsia"/>
          <w:lang w:eastAsia="zh-CN"/>
        </w:rPr>
        <w:t xml:space="preserve"> relationship. This process improves IIP3 by 8 dB, although it results in a 40% degradation of transconductance. This technique is particularly suitable for sensor interfaces that require a signal - to - noise ratio (SNR) of over 60 dB with sub - </w:t>
      </w:r>
      <w:r w:rsidRPr="00946291">
        <w:rPr>
          <w:rFonts w:hint="eastAsia"/>
          <w:lang w:eastAsia="zh-CN"/>
        </w:rPr>
        <w:t>μ</w:t>
      </w:r>
      <w:r w:rsidRPr="00946291">
        <w:rPr>
          <w:rFonts w:hint="eastAsia"/>
          <w:lang w:eastAsia="zh-CN"/>
        </w:rPr>
        <w:t>A bias currents [7].</w:t>
      </w:r>
    </w:p>
    <w:p w14:paraId="0AC7DE0F" w14:textId="42B53F21" w:rsidR="00946291" w:rsidRPr="00946291" w:rsidRDefault="00946291" w:rsidP="00946291">
      <w:pPr>
        <w:pStyle w:val="1"/>
        <w:rPr>
          <w:lang w:eastAsia="zh-CN"/>
        </w:rPr>
      </w:pPr>
      <w:r w:rsidRPr="00946291">
        <w:rPr>
          <w:lang w:eastAsia="zh-CN"/>
        </w:rPr>
        <w:t>Extensions and Practical Applications</w:t>
      </w:r>
    </w:p>
    <w:p w14:paraId="309E9C86" w14:textId="7343C19E" w:rsidR="00946291" w:rsidRPr="00946291" w:rsidRDefault="00946291" w:rsidP="00946291">
      <w:pPr>
        <w:pStyle w:val="2"/>
        <w:rPr>
          <w:lang w:eastAsia="zh-CN"/>
        </w:rPr>
      </w:pPr>
      <w:r w:rsidRPr="00946291">
        <w:rPr>
          <w:lang w:eastAsia="zh-CN"/>
        </w:rPr>
        <w:t>Differential Common-Source Amplifiers</w:t>
      </w:r>
    </w:p>
    <w:p w14:paraId="004872B6" w14:textId="68B1D61E" w:rsidR="00946291" w:rsidRPr="00946291" w:rsidRDefault="00946291" w:rsidP="00946291">
      <w:pPr>
        <w:pStyle w:val="3"/>
      </w:pPr>
      <w:r w:rsidRPr="00946291">
        <w:t>Fully Differential Architecture</w:t>
      </w:r>
    </w:p>
    <w:p w14:paraId="2B9EE4E7" w14:textId="07570BF5" w:rsidR="00946291" w:rsidRPr="00946291" w:rsidRDefault="00946291" w:rsidP="00946291">
      <w:pPr>
        <w:pStyle w:val="Paragraph"/>
        <w:rPr>
          <w:lang w:eastAsia="zh-CN"/>
        </w:rPr>
      </w:pPr>
      <w:r w:rsidRPr="00946291">
        <w:rPr>
          <w:lang w:eastAsia="zh-CN"/>
        </w:rPr>
        <w:t>The fully differential CS pair is composed of two matched input transistors (M1/M2) and a tail current source (M3). One of its key characteristics is the Common-Mode Rejection Ratio (CMRR), which is calculated as g</w:t>
      </w:r>
      <w:r w:rsidRPr="00946291">
        <w:rPr>
          <w:vertAlign w:val="subscript"/>
          <w:lang w:eastAsia="zh-CN"/>
        </w:rPr>
        <w:t>m</w:t>
      </w:r>
      <w:r w:rsidRPr="00946291">
        <w:rPr>
          <w:lang w:eastAsia="zh-CN"/>
        </w:rPr>
        <w:t xml:space="preserve"> r</w:t>
      </w:r>
      <w:r w:rsidRPr="00946291">
        <w:rPr>
          <w:vertAlign w:val="subscript"/>
          <w:lang w:eastAsia="zh-CN"/>
        </w:rPr>
        <w:t>tail</w:t>
      </w:r>
      <w:r w:rsidRPr="00946291">
        <w:rPr>
          <w:lang w:eastAsia="zh-CN"/>
        </w:rPr>
        <w:t xml:space="preserve"> , where r</w:t>
      </w:r>
      <w:r w:rsidRPr="00946291">
        <w:rPr>
          <w:vertAlign w:val="subscript"/>
          <w:lang w:eastAsia="zh-CN"/>
        </w:rPr>
        <w:t>tail</w:t>
      </w:r>
      <w:r w:rsidRPr="00946291">
        <w:rPr>
          <w:lang w:eastAsia="zh-CN"/>
        </w:rPr>
        <w:t xml:space="preserve"> represents the output resistance of the tail current source. In precision analog-to-digital converters (ADCs), the use of cascode-enhanced tail current sources enables excellent CMRR performance. For instance, in 65 nm CMOS technology with r</w:t>
      </w:r>
      <w:r w:rsidRPr="00946291">
        <w:rPr>
          <w:vertAlign w:val="subscript"/>
          <w:lang w:eastAsia="zh-CN"/>
        </w:rPr>
        <w:t>tail</w:t>
      </w:r>
      <w:r w:rsidRPr="00946291">
        <w:rPr>
          <w:lang w:eastAsia="zh-CN"/>
        </w:rPr>
        <w:t xml:space="preserve"> &gt; 100</w:t>
      </w:r>
      <w:r w:rsidRPr="00946291">
        <w:rPr>
          <w:rFonts w:hint="eastAsia"/>
          <w:lang w:eastAsia="zh-CN"/>
        </w:rPr>
        <w:t xml:space="preserve"> </w:t>
      </w:r>
      <w:r w:rsidRPr="00946291">
        <w:rPr>
          <w:lang w:eastAsia="zh-CN"/>
        </w:rPr>
        <w:t>MΩ), the CMRR can exceed 100 dB. This effectively rejects power supply noise and substrate coupling [1].</w:t>
      </w:r>
    </w:p>
    <w:p w14:paraId="09C02E64" w14:textId="77777777" w:rsidR="00946291" w:rsidRPr="00946291" w:rsidRDefault="00946291" w:rsidP="00946291">
      <w:pPr>
        <w:pStyle w:val="Paragraph"/>
        <w:rPr>
          <w:lang w:eastAsia="zh-CN"/>
        </w:rPr>
      </w:pPr>
      <w:r w:rsidRPr="00946291">
        <w:rPr>
          <w:lang w:eastAsia="zh-CN"/>
        </w:rPr>
        <w:t>Another important characteristic is the Differential Voltage Gain</w:t>
      </w:r>
      <w:r w:rsidRPr="00946291">
        <w:rPr>
          <w:rFonts w:hint="eastAsia"/>
          <w:lang w:eastAsia="zh-CN"/>
        </w:rPr>
        <w:t xml:space="preserve"> </w:t>
      </w:r>
      <w:r w:rsidRPr="00946291">
        <w:rPr>
          <w:lang w:eastAsia="zh-CN"/>
        </w:rPr>
        <w:t>A</w:t>
      </w:r>
      <w:r w:rsidRPr="00946291">
        <w:rPr>
          <w:vertAlign w:val="subscript"/>
          <w:lang w:eastAsia="zh-CN"/>
        </w:rPr>
        <w:t>vd</w:t>
      </w:r>
      <w:r w:rsidRPr="00946291">
        <w:rPr>
          <w:lang w:eastAsia="zh-CN"/>
        </w:rPr>
        <w:t xml:space="preserve"> , which is given by</w:t>
      </w:r>
      <w:r w:rsidRPr="00946291">
        <w:rPr>
          <w:rFonts w:hint="eastAsia"/>
          <w:lang w:eastAsia="zh-CN"/>
        </w:rPr>
        <w:t xml:space="preserve"> </w:t>
      </w:r>
      <w:r w:rsidRPr="00946291">
        <w:rPr>
          <w:lang w:eastAsia="zh-CN"/>
        </w:rPr>
        <w:t xml:space="preserve"> 2g</w:t>
      </w:r>
      <w:r w:rsidRPr="00946291">
        <w:rPr>
          <w:vertAlign w:val="subscript"/>
          <w:lang w:eastAsia="zh-CN"/>
        </w:rPr>
        <w:t>m</w:t>
      </w:r>
      <w:r w:rsidRPr="00946291">
        <w:rPr>
          <w:lang w:eastAsia="zh-CN"/>
        </w:rPr>
        <w:t>(R</w:t>
      </w:r>
      <w:r w:rsidRPr="00946291">
        <w:rPr>
          <w:vertAlign w:val="subscript"/>
          <w:lang w:eastAsia="zh-CN"/>
        </w:rPr>
        <w:t>D</w:t>
      </w:r>
      <w:r w:rsidRPr="00946291">
        <w:rPr>
          <w:rFonts w:ascii="Arial" w:hAnsi="Arial" w:cs="Arial"/>
          <w:lang w:eastAsia="zh-CN"/>
        </w:rPr>
        <w:t>װ</w:t>
      </w:r>
      <w:r w:rsidRPr="00946291">
        <w:rPr>
          <w:lang w:eastAsia="zh-CN"/>
        </w:rPr>
        <w:t>r</w:t>
      </w:r>
      <w:r w:rsidRPr="00946291">
        <w:rPr>
          <w:vertAlign w:val="subscript"/>
          <w:lang w:eastAsia="zh-CN"/>
        </w:rPr>
        <w:t>o</w:t>
      </w:r>
      <w:r w:rsidRPr="00946291">
        <w:rPr>
          <w:lang w:eastAsia="zh-CN"/>
        </w:rPr>
        <w:t>)  This configuration not only doubles the gain compared to single - ended designs but also cancels out even - order harmonics. An example of its application is in biomedical imaging systems. Here, this topology helps achieve a full-scale input sensitivity of 200 μV and a noise floor of less than 5 μV. This makes it critical for detecting low-level neural signals [2].</w:t>
      </w:r>
    </w:p>
    <w:p w14:paraId="2CC055D8" w14:textId="03C5785D" w:rsidR="00946291" w:rsidRPr="00946291" w:rsidRDefault="00946291" w:rsidP="00946291">
      <w:pPr>
        <w:pStyle w:val="3"/>
      </w:pPr>
      <w:r w:rsidRPr="00946291">
        <w:lastRenderedPageBreak/>
        <w:t>Folded-Cascode Topology</w:t>
      </w:r>
    </w:p>
    <w:p w14:paraId="3E2976E8" w14:textId="152ADC05" w:rsidR="00946291" w:rsidRPr="00946291" w:rsidRDefault="00946291" w:rsidP="00946291">
      <w:pPr>
        <w:pStyle w:val="Paragraph"/>
        <w:rPr>
          <w:lang w:eastAsia="zh-CN"/>
        </w:rPr>
      </w:pPr>
      <w:r w:rsidRPr="00946291">
        <w:rPr>
          <w:lang w:eastAsia="zh-CN"/>
        </w:rPr>
        <w:t>The folded-cascode topology is designed to address low-supply-voltage constraints by stacking NMOS and PMOS cascode devices. To optimize voltage headroom, the input NMOS transistors are biased in deep inversion, while the PMOS cascode devices are biased in moderate inversion. This allows the topology to operate from a 1.2 V supply while achieving a DC gain of 80 dB in 65 nm CMOS [3].</w:t>
      </w:r>
    </w:p>
    <w:p w14:paraId="57C36D6F" w14:textId="64F6216F" w:rsidR="00946291" w:rsidRDefault="00946291" w:rsidP="00946291">
      <w:pPr>
        <w:pStyle w:val="Paragraph"/>
        <w:rPr>
          <w:lang w:eastAsia="zh-CN"/>
        </w:rPr>
      </w:pPr>
      <w:r w:rsidRPr="00946291">
        <w:rPr>
          <w:lang w:eastAsia="zh-CN"/>
        </w:rPr>
        <w:t>The body biasing technique is also employed in this topology. By applying reverse body biasing to the input transistors, short-channel effects are suppressed. This enables a minimum input common-mode voltage of 0.3 V. This feature is crucial for conditioning low-level sensor signals. For example, it can handle thermopile outputs of 10 μV/°C with a noise density of less than 10 nV/√Hz [4].</w:t>
      </w:r>
      <w:r w:rsidR="000C3B2E" w:rsidRPr="000C3B2E">
        <w:rPr>
          <w:lang w:eastAsia="zh-CN"/>
        </w:rPr>
        <w:t>Table 4 provides a technical comparison of different common-source amplifier topologies, highlighting their key performance characteristics.</w:t>
      </w:r>
    </w:p>
    <w:p w14:paraId="7F4A1C47" w14:textId="1440CE34" w:rsidR="00946291" w:rsidRPr="00946291" w:rsidRDefault="00372740" w:rsidP="00946291">
      <w:pPr>
        <w:pStyle w:val="TableCaption"/>
        <w:rPr>
          <w:lang w:eastAsia="zh-CN"/>
        </w:rPr>
      </w:pPr>
      <w:r w:rsidRPr="00372740">
        <w:rPr>
          <w:b/>
          <w:bCs/>
          <w:lang w:eastAsia="zh-CN"/>
        </w:rPr>
        <w:t>TABLE 4.</w:t>
      </w:r>
      <w:r>
        <w:rPr>
          <w:lang w:eastAsia="zh-CN"/>
        </w:rPr>
        <w:t xml:space="preserve"> </w:t>
      </w:r>
      <w:r w:rsidR="00946291" w:rsidRPr="00946291">
        <w:rPr>
          <w:lang w:eastAsia="zh-CN"/>
        </w:rPr>
        <w:t>Technical Comparison of Differential Common-Source Amplifier Topologies</w:t>
      </w:r>
    </w:p>
    <w:tbl>
      <w:tblPr>
        <w:tblW w:w="0" w:type="auto"/>
        <w:tblInd w:w="404" w:type="dxa"/>
        <w:tblCellMar>
          <w:left w:w="10" w:type="dxa"/>
          <w:right w:w="10" w:type="dxa"/>
        </w:tblCellMar>
        <w:tblLook w:val="04A0" w:firstRow="1" w:lastRow="0" w:firstColumn="1" w:lastColumn="0" w:noHBand="0" w:noVBand="1"/>
      </w:tblPr>
      <w:tblGrid>
        <w:gridCol w:w="1241"/>
        <w:gridCol w:w="1639"/>
        <w:gridCol w:w="1429"/>
        <w:gridCol w:w="1686"/>
        <w:gridCol w:w="1452"/>
        <w:gridCol w:w="1483"/>
      </w:tblGrid>
      <w:tr w:rsidR="00946291" w:rsidRPr="00191EC5" w14:paraId="01D897BA" w14:textId="77777777" w:rsidTr="00191EC5">
        <w:trPr>
          <w:trHeight w:val="567"/>
        </w:trPr>
        <w:tc>
          <w:tcPr>
            <w:tcW w:w="1241" w:type="dxa"/>
            <w:tcBorders>
              <w:top w:val="single" w:sz="4" w:space="0" w:color="auto"/>
              <w:bottom w:val="single" w:sz="4" w:space="0" w:color="auto"/>
            </w:tcBorders>
            <w:tcMar>
              <w:top w:w="60" w:type="dxa"/>
              <w:left w:w="120" w:type="dxa"/>
              <w:bottom w:w="30" w:type="dxa"/>
              <w:right w:w="120" w:type="dxa"/>
            </w:tcMar>
          </w:tcPr>
          <w:p w14:paraId="592BD1A4" w14:textId="77777777" w:rsidR="00946291" w:rsidRPr="00191EC5" w:rsidRDefault="00946291" w:rsidP="00191EC5">
            <w:pPr>
              <w:jc w:val="center"/>
              <w:rPr>
                <w:rFonts w:eastAsia="等线"/>
                <w:b/>
                <w:bCs/>
                <w:sz w:val="20"/>
                <w:lang w:eastAsia="zh-CN"/>
              </w:rPr>
            </w:pPr>
            <w:r w:rsidRPr="00191EC5">
              <w:rPr>
                <w:rFonts w:eastAsia="等线"/>
                <w:b/>
                <w:bCs/>
                <w:sz w:val="20"/>
                <w:lang w:eastAsia="zh-CN"/>
              </w:rPr>
              <w:t>Topology</w:t>
            </w:r>
          </w:p>
        </w:tc>
        <w:tc>
          <w:tcPr>
            <w:tcW w:w="1639" w:type="dxa"/>
            <w:tcBorders>
              <w:top w:val="single" w:sz="4" w:space="0" w:color="auto"/>
              <w:bottom w:val="single" w:sz="4" w:space="0" w:color="auto"/>
            </w:tcBorders>
            <w:tcMar>
              <w:top w:w="60" w:type="dxa"/>
              <w:left w:w="120" w:type="dxa"/>
              <w:bottom w:w="30" w:type="dxa"/>
              <w:right w:w="120" w:type="dxa"/>
            </w:tcMar>
          </w:tcPr>
          <w:p w14:paraId="0116788B" w14:textId="77777777" w:rsidR="00946291" w:rsidRPr="00191EC5" w:rsidRDefault="00946291" w:rsidP="00191EC5">
            <w:pPr>
              <w:jc w:val="center"/>
              <w:rPr>
                <w:rFonts w:eastAsia="等线"/>
                <w:b/>
                <w:bCs/>
                <w:sz w:val="20"/>
                <w:lang w:eastAsia="zh-CN"/>
              </w:rPr>
            </w:pPr>
            <w:r w:rsidRPr="00191EC5">
              <w:rPr>
                <w:rFonts w:eastAsia="等线"/>
                <w:b/>
                <w:bCs/>
                <w:sz w:val="20"/>
                <w:lang w:eastAsia="zh-CN"/>
              </w:rPr>
              <w:t>Core Advantage</w:t>
            </w:r>
          </w:p>
        </w:tc>
        <w:tc>
          <w:tcPr>
            <w:tcW w:w="1429" w:type="dxa"/>
            <w:tcBorders>
              <w:top w:val="single" w:sz="4" w:space="0" w:color="auto"/>
              <w:bottom w:val="single" w:sz="4" w:space="0" w:color="auto"/>
            </w:tcBorders>
            <w:tcMar>
              <w:top w:w="60" w:type="dxa"/>
              <w:left w:w="120" w:type="dxa"/>
              <w:bottom w:w="30" w:type="dxa"/>
              <w:right w:w="120" w:type="dxa"/>
            </w:tcMar>
          </w:tcPr>
          <w:p w14:paraId="561B188E" w14:textId="77777777" w:rsidR="00946291" w:rsidRPr="00191EC5" w:rsidRDefault="00946291" w:rsidP="00191EC5">
            <w:pPr>
              <w:jc w:val="center"/>
              <w:rPr>
                <w:rFonts w:eastAsia="等线"/>
                <w:b/>
                <w:bCs/>
                <w:sz w:val="20"/>
                <w:lang w:eastAsia="zh-CN"/>
              </w:rPr>
            </w:pPr>
            <w:r w:rsidRPr="00191EC5">
              <w:rPr>
                <w:rFonts w:eastAsia="等线"/>
                <w:b/>
                <w:bCs/>
                <w:sz w:val="20"/>
                <w:lang w:eastAsia="zh-CN"/>
              </w:rPr>
              <w:t>CMRR (dB)</w:t>
            </w:r>
          </w:p>
        </w:tc>
        <w:tc>
          <w:tcPr>
            <w:tcW w:w="1686" w:type="dxa"/>
            <w:tcBorders>
              <w:top w:val="single" w:sz="4" w:space="0" w:color="auto"/>
              <w:bottom w:val="single" w:sz="4" w:space="0" w:color="auto"/>
            </w:tcBorders>
            <w:tcMar>
              <w:top w:w="60" w:type="dxa"/>
              <w:left w:w="120" w:type="dxa"/>
              <w:bottom w:w="30" w:type="dxa"/>
              <w:right w:w="120" w:type="dxa"/>
            </w:tcMar>
          </w:tcPr>
          <w:p w14:paraId="6889D1EE" w14:textId="77777777" w:rsidR="00946291" w:rsidRPr="00191EC5" w:rsidRDefault="00946291" w:rsidP="00191EC5">
            <w:pPr>
              <w:jc w:val="center"/>
              <w:rPr>
                <w:rFonts w:eastAsia="等线"/>
                <w:b/>
                <w:bCs/>
                <w:sz w:val="20"/>
                <w:lang w:eastAsia="zh-CN"/>
              </w:rPr>
            </w:pPr>
            <w:r w:rsidRPr="00191EC5">
              <w:rPr>
                <w:rFonts w:eastAsia="等线"/>
                <w:b/>
                <w:bCs/>
                <w:sz w:val="20"/>
                <w:lang w:eastAsia="zh-CN"/>
              </w:rPr>
              <w:t>Differential Gain (dB)</w:t>
            </w:r>
          </w:p>
        </w:tc>
        <w:tc>
          <w:tcPr>
            <w:tcW w:w="1452" w:type="dxa"/>
            <w:tcBorders>
              <w:top w:val="single" w:sz="4" w:space="0" w:color="auto"/>
              <w:bottom w:val="single" w:sz="4" w:space="0" w:color="auto"/>
            </w:tcBorders>
            <w:tcMar>
              <w:top w:w="60" w:type="dxa"/>
              <w:left w:w="120" w:type="dxa"/>
              <w:bottom w:w="30" w:type="dxa"/>
              <w:right w:w="120" w:type="dxa"/>
            </w:tcMar>
          </w:tcPr>
          <w:p w14:paraId="0A4794AB" w14:textId="77777777" w:rsidR="00946291" w:rsidRPr="00191EC5" w:rsidRDefault="00946291" w:rsidP="00191EC5">
            <w:pPr>
              <w:jc w:val="center"/>
              <w:rPr>
                <w:rFonts w:eastAsia="等线"/>
                <w:b/>
                <w:bCs/>
                <w:sz w:val="20"/>
                <w:lang w:eastAsia="zh-CN"/>
              </w:rPr>
            </w:pPr>
            <w:r w:rsidRPr="00191EC5">
              <w:rPr>
                <w:rFonts w:eastAsia="等线"/>
                <w:b/>
                <w:bCs/>
                <w:sz w:val="20"/>
                <w:lang w:eastAsia="zh-CN"/>
              </w:rPr>
              <w:t>Supply Voltage Range</w:t>
            </w:r>
          </w:p>
        </w:tc>
        <w:tc>
          <w:tcPr>
            <w:tcW w:w="1483" w:type="dxa"/>
            <w:tcBorders>
              <w:top w:val="single" w:sz="4" w:space="0" w:color="auto"/>
              <w:bottom w:val="single" w:sz="4" w:space="0" w:color="auto"/>
            </w:tcBorders>
            <w:tcMar>
              <w:top w:w="60" w:type="dxa"/>
              <w:left w:w="120" w:type="dxa"/>
              <w:bottom w:w="30" w:type="dxa"/>
              <w:right w:w="120" w:type="dxa"/>
            </w:tcMar>
          </w:tcPr>
          <w:p w14:paraId="771F2B9A" w14:textId="77777777" w:rsidR="00946291" w:rsidRPr="00191EC5" w:rsidRDefault="00946291" w:rsidP="00191EC5">
            <w:pPr>
              <w:jc w:val="center"/>
              <w:rPr>
                <w:rFonts w:eastAsia="等线"/>
                <w:b/>
                <w:bCs/>
                <w:sz w:val="20"/>
                <w:lang w:eastAsia="zh-CN"/>
              </w:rPr>
            </w:pPr>
            <w:r w:rsidRPr="00191EC5">
              <w:rPr>
                <w:rFonts w:eastAsia="等线"/>
                <w:b/>
                <w:bCs/>
                <w:sz w:val="20"/>
                <w:lang w:eastAsia="zh-CN"/>
              </w:rPr>
              <w:t>Typical Applications</w:t>
            </w:r>
          </w:p>
        </w:tc>
      </w:tr>
      <w:tr w:rsidR="00946291" w:rsidRPr="00191EC5" w14:paraId="2D2E3D79" w14:textId="77777777" w:rsidTr="00191EC5">
        <w:tc>
          <w:tcPr>
            <w:tcW w:w="1241" w:type="dxa"/>
            <w:tcBorders>
              <w:top w:val="single" w:sz="4" w:space="0" w:color="auto"/>
            </w:tcBorders>
            <w:tcMar>
              <w:top w:w="60" w:type="dxa"/>
              <w:left w:w="120" w:type="dxa"/>
              <w:bottom w:w="30" w:type="dxa"/>
              <w:right w:w="120" w:type="dxa"/>
            </w:tcMar>
          </w:tcPr>
          <w:p w14:paraId="6D4179E2" w14:textId="77777777" w:rsidR="00946291" w:rsidRPr="00191EC5" w:rsidRDefault="00946291" w:rsidP="00191EC5">
            <w:pPr>
              <w:jc w:val="center"/>
              <w:rPr>
                <w:rFonts w:eastAsia="等线"/>
                <w:sz w:val="20"/>
                <w:lang w:eastAsia="zh-CN"/>
              </w:rPr>
            </w:pPr>
            <w:r w:rsidRPr="00191EC5">
              <w:rPr>
                <w:rFonts w:eastAsia="等线"/>
                <w:sz w:val="20"/>
                <w:lang w:eastAsia="zh-CN"/>
              </w:rPr>
              <w:t>Fully Differential</w:t>
            </w:r>
          </w:p>
        </w:tc>
        <w:tc>
          <w:tcPr>
            <w:tcW w:w="1639" w:type="dxa"/>
            <w:tcBorders>
              <w:top w:val="single" w:sz="4" w:space="0" w:color="auto"/>
            </w:tcBorders>
            <w:tcMar>
              <w:top w:w="60" w:type="dxa"/>
              <w:left w:w="120" w:type="dxa"/>
              <w:bottom w:w="30" w:type="dxa"/>
              <w:right w:w="120" w:type="dxa"/>
            </w:tcMar>
          </w:tcPr>
          <w:p w14:paraId="03EDBF9B" w14:textId="77777777" w:rsidR="00946291" w:rsidRPr="00191EC5" w:rsidRDefault="00946291" w:rsidP="00191EC5">
            <w:pPr>
              <w:jc w:val="center"/>
              <w:rPr>
                <w:rFonts w:eastAsia="等线"/>
                <w:sz w:val="20"/>
                <w:lang w:eastAsia="zh-CN"/>
              </w:rPr>
            </w:pPr>
            <w:r w:rsidRPr="00191EC5">
              <w:rPr>
                <w:rFonts w:eastAsia="等线"/>
                <w:sz w:val="20"/>
                <w:lang w:eastAsia="zh-CN"/>
              </w:rPr>
              <w:t>Common-mode noise rejection, doubled swing</w:t>
            </w:r>
          </w:p>
        </w:tc>
        <w:tc>
          <w:tcPr>
            <w:tcW w:w="1429" w:type="dxa"/>
            <w:tcBorders>
              <w:top w:val="single" w:sz="4" w:space="0" w:color="auto"/>
            </w:tcBorders>
            <w:tcMar>
              <w:top w:w="60" w:type="dxa"/>
              <w:left w:w="120" w:type="dxa"/>
              <w:bottom w:w="30" w:type="dxa"/>
              <w:right w:w="120" w:type="dxa"/>
            </w:tcMar>
          </w:tcPr>
          <w:p w14:paraId="52DC4219" w14:textId="77777777" w:rsidR="00946291" w:rsidRPr="00191EC5" w:rsidRDefault="00946291" w:rsidP="00191EC5">
            <w:pPr>
              <w:jc w:val="center"/>
              <w:rPr>
                <w:rFonts w:eastAsia="等线"/>
                <w:sz w:val="20"/>
                <w:lang w:eastAsia="zh-CN"/>
              </w:rPr>
            </w:pPr>
            <w:r w:rsidRPr="00191EC5">
              <w:rPr>
                <w:rFonts w:eastAsia="等线"/>
                <w:sz w:val="20"/>
                <w:lang w:eastAsia="zh-CN"/>
              </w:rPr>
              <w:t>&gt;100</w:t>
            </w:r>
          </w:p>
        </w:tc>
        <w:tc>
          <w:tcPr>
            <w:tcW w:w="1686" w:type="dxa"/>
            <w:tcBorders>
              <w:top w:val="single" w:sz="4" w:space="0" w:color="auto"/>
            </w:tcBorders>
            <w:tcMar>
              <w:top w:w="60" w:type="dxa"/>
              <w:left w:w="120" w:type="dxa"/>
              <w:bottom w:w="30" w:type="dxa"/>
              <w:right w:w="120" w:type="dxa"/>
            </w:tcMar>
          </w:tcPr>
          <w:p w14:paraId="66E09A0A" w14:textId="77777777" w:rsidR="00946291" w:rsidRPr="00191EC5" w:rsidRDefault="00946291" w:rsidP="00191EC5">
            <w:pPr>
              <w:jc w:val="center"/>
              <w:rPr>
                <w:rFonts w:eastAsia="等线"/>
                <w:sz w:val="20"/>
                <w:lang w:eastAsia="zh-CN"/>
              </w:rPr>
            </w:pPr>
            <w:r w:rsidRPr="00191EC5">
              <w:rPr>
                <w:rFonts w:eastAsia="等线"/>
                <w:sz w:val="20"/>
                <w:lang w:eastAsia="zh-CN"/>
              </w:rPr>
              <w:t>40–60</w:t>
            </w:r>
          </w:p>
        </w:tc>
        <w:tc>
          <w:tcPr>
            <w:tcW w:w="1452" w:type="dxa"/>
            <w:tcBorders>
              <w:top w:val="single" w:sz="4" w:space="0" w:color="auto"/>
            </w:tcBorders>
            <w:tcMar>
              <w:top w:w="60" w:type="dxa"/>
              <w:left w:w="120" w:type="dxa"/>
              <w:bottom w:w="30" w:type="dxa"/>
              <w:right w:w="120" w:type="dxa"/>
            </w:tcMar>
          </w:tcPr>
          <w:p w14:paraId="51824D1F" w14:textId="77777777" w:rsidR="00946291" w:rsidRPr="00191EC5" w:rsidRDefault="00946291" w:rsidP="00191EC5">
            <w:pPr>
              <w:jc w:val="center"/>
              <w:rPr>
                <w:rFonts w:eastAsia="等线"/>
                <w:sz w:val="20"/>
                <w:lang w:eastAsia="zh-CN"/>
              </w:rPr>
            </w:pPr>
            <w:r w:rsidRPr="00191EC5">
              <w:rPr>
                <w:rFonts w:eastAsia="等线"/>
                <w:sz w:val="20"/>
                <w:lang w:eastAsia="zh-CN"/>
              </w:rPr>
              <w:t>1.0–1.8 V</w:t>
            </w:r>
          </w:p>
        </w:tc>
        <w:tc>
          <w:tcPr>
            <w:tcW w:w="1483" w:type="dxa"/>
            <w:tcBorders>
              <w:top w:val="single" w:sz="4" w:space="0" w:color="auto"/>
            </w:tcBorders>
            <w:tcMar>
              <w:top w:w="60" w:type="dxa"/>
              <w:left w:w="120" w:type="dxa"/>
              <w:bottom w:w="30" w:type="dxa"/>
              <w:right w:w="120" w:type="dxa"/>
            </w:tcMar>
          </w:tcPr>
          <w:p w14:paraId="0ED56FC9" w14:textId="77777777" w:rsidR="00946291" w:rsidRPr="00191EC5" w:rsidRDefault="00946291" w:rsidP="00191EC5">
            <w:pPr>
              <w:jc w:val="center"/>
              <w:rPr>
                <w:rFonts w:eastAsia="等线"/>
                <w:sz w:val="20"/>
                <w:lang w:eastAsia="zh-CN"/>
              </w:rPr>
            </w:pPr>
            <w:r w:rsidRPr="00191EC5">
              <w:rPr>
                <w:rFonts w:eastAsia="等线"/>
                <w:sz w:val="20"/>
                <w:lang w:eastAsia="zh-CN"/>
              </w:rPr>
              <w:t>Precision ADC front-ends, biomedical sensors</w:t>
            </w:r>
          </w:p>
        </w:tc>
      </w:tr>
      <w:tr w:rsidR="00946291" w:rsidRPr="00191EC5" w14:paraId="36639938" w14:textId="77777777" w:rsidTr="00191EC5">
        <w:tc>
          <w:tcPr>
            <w:tcW w:w="1241" w:type="dxa"/>
            <w:tcBorders>
              <w:bottom w:val="single" w:sz="4" w:space="0" w:color="auto"/>
            </w:tcBorders>
            <w:tcMar>
              <w:top w:w="60" w:type="dxa"/>
              <w:left w:w="120" w:type="dxa"/>
              <w:bottom w:w="30" w:type="dxa"/>
              <w:right w:w="120" w:type="dxa"/>
            </w:tcMar>
          </w:tcPr>
          <w:p w14:paraId="61F9216C" w14:textId="77777777" w:rsidR="00946291" w:rsidRPr="00191EC5" w:rsidRDefault="00946291" w:rsidP="00191EC5">
            <w:pPr>
              <w:jc w:val="center"/>
              <w:rPr>
                <w:rFonts w:eastAsia="等线"/>
                <w:sz w:val="20"/>
                <w:lang w:eastAsia="zh-CN"/>
              </w:rPr>
            </w:pPr>
            <w:r w:rsidRPr="00191EC5">
              <w:rPr>
                <w:rFonts w:eastAsia="等线"/>
                <w:sz w:val="20"/>
                <w:lang w:eastAsia="zh-CN"/>
              </w:rPr>
              <w:t>Folded-Cascode</w:t>
            </w:r>
          </w:p>
        </w:tc>
        <w:tc>
          <w:tcPr>
            <w:tcW w:w="1639" w:type="dxa"/>
            <w:tcBorders>
              <w:bottom w:val="single" w:sz="4" w:space="0" w:color="auto"/>
            </w:tcBorders>
            <w:tcMar>
              <w:top w:w="60" w:type="dxa"/>
              <w:left w:w="120" w:type="dxa"/>
              <w:bottom w:w="30" w:type="dxa"/>
              <w:right w:w="120" w:type="dxa"/>
            </w:tcMar>
          </w:tcPr>
          <w:p w14:paraId="2D841D9A" w14:textId="77777777" w:rsidR="00946291" w:rsidRPr="00191EC5" w:rsidRDefault="00946291" w:rsidP="00191EC5">
            <w:pPr>
              <w:jc w:val="center"/>
              <w:rPr>
                <w:rFonts w:eastAsia="等线"/>
                <w:sz w:val="20"/>
                <w:lang w:eastAsia="zh-CN"/>
              </w:rPr>
            </w:pPr>
            <w:r w:rsidRPr="00191EC5">
              <w:rPr>
                <w:rFonts w:eastAsia="等线"/>
                <w:sz w:val="20"/>
                <w:lang w:eastAsia="zh-CN"/>
              </w:rPr>
              <w:t>Low-voltage operation, high DC gain</w:t>
            </w:r>
          </w:p>
        </w:tc>
        <w:tc>
          <w:tcPr>
            <w:tcW w:w="1429" w:type="dxa"/>
            <w:tcBorders>
              <w:bottom w:val="single" w:sz="4" w:space="0" w:color="auto"/>
            </w:tcBorders>
            <w:tcMar>
              <w:top w:w="60" w:type="dxa"/>
              <w:left w:w="120" w:type="dxa"/>
              <w:bottom w:w="30" w:type="dxa"/>
              <w:right w:w="120" w:type="dxa"/>
            </w:tcMar>
          </w:tcPr>
          <w:p w14:paraId="40706FF7" w14:textId="77777777" w:rsidR="00946291" w:rsidRPr="00191EC5" w:rsidRDefault="00946291" w:rsidP="00191EC5">
            <w:pPr>
              <w:jc w:val="center"/>
              <w:rPr>
                <w:rFonts w:eastAsia="等线"/>
                <w:sz w:val="20"/>
                <w:lang w:eastAsia="zh-CN"/>
              </w:rPr>
            </w:pPr>
            <w:r w:rsidRPr="00191EC5">
              <w:rPr>
                <w:rFonts w:eastAsia="等线"/>
                <w:sz w:val="20"/>
                <w:lang w:eastAsia="zh-CN"/>
              </w:rPr>
              <w:t>80–90</w:t>
            </w:r>
          </w:p>
        </w:tc>
        <w:tc>
          <w:tcPr>
            <w:tcW w:w="1686" w:type="dxa"/>
            <w:tcBorders>
              <w:bottom w:val="single" w:sz="4" w:space="0" w:color="auto"/>
            </w:tcBorders>
            <w:tcMar>
              <w:top w:w="60" w:type="dxa"/>
              <w:left w:w="120" w:type="dxa"/>
              <w:bottom w:w="30" w:type="dxa"/>
              <w:right w:w="120" w:type="dxa"/>
            </w:tcMar>
          </w:tcPr>
          <w:p w14:paraId="34843A76" w14:textId="77777777" w:rsidR="00946291" w:rsidRPr="00191EC5" w:rsidRDefault="00946291" w:rsidP="00191EC5">
            <w:pPr>
              <w:jc w:val="center"/>
              <w:rPr>
                <w:rFonts w:eastAsia="等线"/>
                <w:sz w:val="20"/>
                <w:lang w:eastAsia="zh-CN"/>
              </w:rPr>
            </w:pPr>
            <w:r w:rsidRPr="00191EC5">
              <w:rPr>
                <w:rFonts w:eastAsia="等线"/>
                <w:sz w:val="20"/>
                <w:lang w:eastAsia="zh-CN"/>
              </w:rPr>
              <w:t>70–80</w:t>
            </w:r>
          </w:p>
        </w:tc>
        <w:tc>
          <w:tcPr>
            <w:tcW w:w="1452" w:type="dxa"/>
            <w:tcBorders>
              <w:bottom w:val="single" w:sz="4" w:space="0" w:color="auto"/>
            </w:tcBorders>
            <w:tcMar>
              <w:top w:w="60" w:type="dxa"/>
              <w:left w:w="120" w:type="dxa"/>
              <w:bottom w:w="30" w:type="dxa"/>
              <w:right w:w="120" w:type="dxa"/>
            </w:tcMar>
          </w:tcPr>
          <w:p w14:paraId="4FC391A4" w14:textId="77777777" w:rsidR="00946291" w:rsidRPr="00191EC5" w:rsidRDefault="00946291" w:rsidP="00191EC5">
            <w:pPr>
              <w:jc w:val="center"/>
              <w:rPr>
                <w:rFonts w:eastAsia="等线"/>
                <w:sz w:val="20"/>
                <w:lang w:eastAsia="zh-CN"/>
              </w:rPr>
            </w:pPr>
            <w:r w:rsidRPr="00191EC5">
              <w:rPr>
                <w:rFonts w:eastAsia="等线"/>
                <w:sz w:val="20"/>
                <w:lang w:eastAsia="zh-CN"/>
              </w:rPr>
              <w:t>0.8–1.2 V</w:t>
            </w:r>
          </w:p>
        </w:tc>
        <w:tc>
          <w:tcPr>
            <w:tcW w:w="1483" w:type="dxa"/>
            <w:tcBorders>
              <w:bottom w:val="single" w:sz="4" w:space="0" w:color="auto"/>
            </w:tcBorders>
            <w:tcMar>
              <w:top w:w="60" w:type="dxa"/>
              <w:left w:w="120" w:type="dxa"/>
              <w:bottom w:w="30" w:type="dxa"/>
              <w:right w:w="120" w:type="dxa"/>
            </w:tcMar>
          </w:tcPr>
          <w:p w14:paraId="1CB71314" w14:textId="77777777" w:rsidR="00946291" w:rsidRPr="00191EC5" w:rsidRDefault="00946291" w:rsidP="00191EC5">
            <w:pPr>
              <w:jc w:val="center"/>
              <w:rPr>
                <w:rFonts w:eastAsia="等线"/>
                <w:sz w:val="20"/>
                <w:lang w:eastAsia="zh-CN"/>
              </w:rPr>
            </w:pPr>
            <w:r w:rsidRPr="00191EC5">
              <w:rPr>
                <w:rFonts w:eastAsia="等线"/>
                <w:sz w:val="20"/>
                <w:lang w:eastAsia="zh-CN"/>
              </w:rPr>
              <w:t>IoT sensor interfaces, low-power ADCs</w:t>
            </w:r>
          </w:p>
        </w:tc>
      </w:tr>
    </w:tbl>
    <w:p w14:paraId="795EA3D1" w14:textId="0F5BF094" w:rsidR="00946291" w:rsidRPr="00946291" w:rsidRDefault="00946291" w:rsidP="00946291">
      <w:pPr>
        <w:pStyle w:val="2"/>
        <w:rPr>
          <w:lang w:eastAsia="zh-CN"/>
        </w:rPr>
      </w:pPr>
      <w:r w:rsidRPr="00946291">
        <w:rPr>
          <w:lang w:eastAsia="zh-CN"/>
        </w:rPr>
        <w:t>Power Amplification and High-Frequency Systems</w:t>
      </w:r>
    </w:p>
    <w:p w14:paraId="3EBF7AE4" w14:textId="5E053447" w:rsidR="00946291" w:rsidRPr="00946291" w:rsidRDefault="00946291" w:rsidP="00946291">
      <w:pPr>
        <w:pStyle w:val="3"/>
      </w:pPr>
      <w:r w:rsidRPr="00946291">
        <w:t xml:space="preserve">Class-A/B </w:t>
      </w:r>
      <w:r w:rsidRPr="00946291">
        <w:rPr>
          <w:rStyle w:val="a7"/>
          <w:color w:val="auto"/>
          <w:u w:val="none"/>
        </w:rPr>
        <w:t xml:space="preserve">Power </w:t>
      </w:r>
      <w:r w:rsidRPr="00946291">
        <w:t>Amplifiers (PAs)</w:t>
      </w:r>
    </w:p>
    <w:p w14:paraId="52DA614E" w14:textId="77777777" w:rsidR="00946291" w:rsidRPr="00946291" w:rsidRDefault="00946291" w:rsidP="00946291">
      <w:pPr>
        <w:pStyle w:val="Paragraph"/>
        <w:rPr>
          <w:lang w:eastAsia="zh-CN"/>
        </w:rPr>
      </w:pPr>
      <w:r w:rsidRPr="00946291">
        <w:rPr>
          <w:lang w:eastAsia="zh-CN"/>
        </w:rPr>
        <w:t>CS - based power amplifiers in bipolar - CMOS - DMOS (BCD) processes balance voltage and current capabilities for efficient power delivery. In terms of high - power design, a 180 nm BCD implementation achieves 3 W output power at 900 MHz with 55% power - added efficiency (PAE). This is accomplished by utilizing DMOS transistors, which feature a 40 V breakdown voltage and an on - resistance of 20 mΩ [5]. Additionally, linearity enhancement is achieved through active load modulation. This technique dynamically adjusts the load impedance, extending the linear output range to a 1 dB compression point of +31 dBm. This is particularly essential for cellular base stations, where PA energy consumption accounts for 60% of the total system power [6].</w:t>
      </w:r>
    </w:p>
    <w:p w14:paraId="1ED3DD6E" w14:textId="777AD447" w:rsidR="00946291" w:rsidRPr="00946291" w:rsidRDefault="00946291" w:rsidP="00946291">
      <w:pPr>
        <w:pStyle w:val="3"/>
      </w:pPr>
      <w:r w:rsidRPr="00946291">
        <w:t>Millimeter-Wave Phased Arrays</w:t>
      </w:r>
    </w:p>
    <w:p w14:paraId="40E2949C" w14:textId="277323EA" w:rsidR="00946291" w:rsidRDefault="00946291" w:rsidP="00946291">
      <w:pPr>
        <w:pStyle w:val="Paragraph"/>
        <w:rPr>
          <w:lang w:eastAsia="zh-CN"/>
        </w:rPr>
      </w:pPr>
      <w:r w:rsidRPr="00946291">
        <w:rPr>
          <w:lang w:eastAsia="zh-CN"/>
        </w:rPr>
        <w:t>For 5G/6G communications, CS - based phased arrays address the challenge of mmWave pathloss through integrated beamforming. The Intel 7 nm transceiver design showcases remarkable performance. A 16 - element CS PA array delivers 15 dBm output power per element at 60 GHz with a 10% PAE. The on - chip phase shifters enable 360° phase tuning and offer a 5° angular resolution [7]. Furthermore, adaptive biasing is employed to compensate for transistor gain degradation in sub - 10 nm technologies. This ensures ±0.5 dB gain flatness across the 57–64 GHz range. It effectively tackles the intrinsic gain reduction, which is 25% per technology node, while leveraging the fT &gt; 300 GHz advantage of 7 nm FinFETs [8]</w:t>
      </w:r>
      <w:r w:rsidR="004E400E">
        <w:rPr>
          <w:rFonts w:hint="eastAsia"/>
          <w:lang w:eastAsia="zh-CN"/>
        </w:rPr>
        <w:t>[9]</w:t>
      </w:r>
      <w:r w:rsidRPr="00946291">
        <w:rPr>
          <w:lang w:eastAsia="zh-CN"/>
        </w:rPr>
        <w:t>.</w:t>
      </w:r>
      <w:r w:rsidR="00543126">
        <w:rPr>
          <w:rFonts w:hint="eastAsia"/>
          <w:lang w:eastAsia="zh-CN"/>
        </w:rPr>
        <w:t xml:space="preserve"> </w:t>
      </w:r>
      <w:r w:rsidR="00372740" w:rsidRPr="00372740">
        <w:rPr>
          <w:lang w:eastAsia="zh-CN"/>
        </w:rPr>
        <w:t>T</w:t>
      </w:r>
      <w:r w:rsidR="00372740">
        <w:rPr>
          <w:rFonts w:hint="eastAsia"/>
          <w:lang w:eastAsia="zh-CN"/>
        </w:rPr>
        <w:t>able</w:t>
      </w:r>
      <w:r w:rsidR="00372740" w:rsidRPr="00372740">
        <w:rPr>
          <w:lang w:eastAsia="zh-CN"/>
        </w:rPr>
        <w:t xml:space="preserve"> 5</w:t>
      </w:r>
      <w:r w:rsidR="00372740">
        <w:rPr>
          <w:rFonts w:hint="eastAsia"/>
          <w:lang w:eastAsia="zh-CN"/>
        </w:rPr>
        <w:t xml:space="preserve"> is </w:t>
      </w:r>
      <w:r w:rsidR="00372740" w:rsidRPr="00372740">
        <w:rPr>
          <w:lang w:eastAsia="zh-CN"/>
        </w:rPr>
        <w:t>technical comparison of power amplification and millimeter-wave implementations</w:t>
      </w:r>
      <w:r w:rsidR="00372740">
        <w:rPr>
          <w:rFonts w:hint="eastAsia"/>
          <w:lang w:eastAsia="zh-CN"/>
        </w:rPr>
        <w:t>.</w:t>
      </w:r>
    </w:p>
    <w:p w14:paraId="0735835B" w14:textId="2AFCF3A5" w:rsidR="00191EC5" w:rsidRDefault="00191EC5" w:rsidP="00946291">
      <w:pPr>
        <w:pStyle w:val="Paragraph"/>
        <w:rPr>
          <w:lang w:eastAsia="zh-CN"/>
        </w:rPr>
      </w:pPr>
    </w:p>
    <w:p w14:paraId="451BB7E7" w14:textId="536AE887" w:rsidR="00191EC5" w:rsidRDefault="00191EC5" w:rsidP="00946291">
      <w:pPr>
        <w:pStyle w:val="Paragraph"/>
        <w:rPr>
          <w:lang w:eastAsia="zh-CN"/>
        </w:rPr>
      </w:pPr>
    </w:p>
    <w:p w14:paraId="47676FD7" w14:textId="663A5B0D" w:rsidR="00191EC5" w:rsidRDefault="00191EC5" w:rsidP="00946291">
      <w:pPr>
        <w:pStyle w:val="Paragraph"/>
        <w:rPr>
          <w:lang w:eastAsia="zh-CN"/>
        </w:rPr>
      </w:pPr>
    </w:p>
    <w:p w14:paraId="67C3FAA8" w14:textId="6473DF50" w:rsidR="00191EC5" w:rsidRDefault="00191EC5" w:rsidP="00946291">
      <w:pPr>
        <w:pStyle w:val="Paragraph"/>
        <w:rPr>
          <w:lang w:eastAsia="zh-CN"/>
        </w:rPr>
      </w:pPr>
    </w:p>
    <w:p w14:paraId="4C4AE990" w14:textId="70EF098F" w:rsidR="00191EC5" w:rsidRDefault="00191EC5" w:rsidP="00946291">
      <w:pPr>
        <w:pStyle w:val="Paragraph"/>
        <w:rPr>
          <w:lang w:eastAsia="zh-CN"/>
        </w:rPr>
      </w:pPr>
    </w:p>
    <w:p w14:paraId="1D4EA165" w14:textId="77777777" w:rsidR="00191EC5" w:rsidRPr="00946291" w:rsidRDefault="00191EC5" w:rsidP="00946291">
      <w:pPr>
        <w:pStyle w:val="Paragraph"/>
        <w:rPr>
          <w:lang w:eastAsia="zh-CN"/>
        </w:rPr>
      </w:pPr>
    </w:p>
    <w:p w14:paraId="7D8B53B2" w14:textId="2D402EFF" w:rsidR="00946291" w:rsidRPr="00946291" w:rsidRDefault="00372740" w:rsidP="00372740">
      <w:pPr>
        <w:pStyle w:val="TableCaption"/>
        <w:rPr>
          <w:lang w:eastAsia="zh-CN"/>
        </w:rPr>
      </w:pPr>
      <w:r w:rsidRPr="00372740">
        <w:rPr>
          <w:b/>
          <w:bCs/>
          <w:lang w:eastAsia="zh-CN"/>
        </w:rPr>
        <w:lastRenderedPageBreak/>
        <w:t>TABLE 5.</w:t>
      </w:r>
      <w:r>
        <w:rPr>
          <w:lang w:eastAsia="zh-CN"/>
        </w:rPr>
        <w:t xml:space="preserve"> </w:t>
      </w:r>
      <w:r w:rsidR="00946291" w:rsidRPr="00946291">
        <w:rPr>
          <w:lang w:eastAsia="zh-CN"/>
        </w:rPr>
        <w:t>Technical Comparison of Power Amplification and Millimeter-Wave Implementations</w:t>
      </w:r>
    </w:p>
    <w:tbl>
      <w:tblPr>
        <w:tblW w:w="0" w:type="auto"/>
        <w:tblInd w:w="546" w:type="dxa"/>
        <w:tblCellMar>
          <w:left w:w="10" w:type="dxa"/>
          <w:right w:w="10" w:type="dxa"/>
        </w:tblCellMar>
        <w:tblLook w:val="04A0" w:firstRow="1" w:lastRow="0" w:firstColumn="1" w:lastColumn="0" w:noHBand="0" w:noVBand="1"/>
      </w:tblPr>
      <w:tblGrid>
        <w:gridCol w:w="1150"/>
        <w:gridCol w:w="1611"/>
        <w:gridCol w:w="1623"/>
        <w:gridCol w:w="1599"/>
        <w:gridCol w:w="1531"/>
        <w:gridCol w:w="1255"/>
      </w:tblGrid>
      <w:tr w:rsidR="00946291" w:rsidRPr="00191EC5" w14:paraId="6FD9F631" w14:textId="77777777" w:rsidTr="00191EC5">
        <w:trPr>
          <w:trHeight w:val="454"/>
        </w:trPr>
        <w:tc>
          <w:tcPr>
            <w:tcW w:w="1040" w:type="dxa"/>
            <w:tcBorders>
              <w:top w:val="single" w:sz="4" w:space="0" w:color="auto"/>
              <w:bottom w:val="single" w:sz="4" w:space="0" w:color="auto"/>
            </w:tcBorders>
            <w:tcMar>
              <w:top w:w="60" w:type="dxa"/>
              <w:left w:w="120" w:type="dxa"/>
              <w:bottom w:w="30" w:type="dxa"/>
              <w:right w:w="120" w:type="dxa"/>
            </w:tcMar>
          </w:tcPr>
          <w:p w14:paraId="6516E207" w14:textId="77777777" w:rsidR="00946291" w:rsidRPr="00191EC5" w:rsidRDefault="00946291" w:rsidP="00191EC5">
            <w:pPr>
              <w:jc w:val="center"/>
              <w:rPr>
                <w:rFonts w:eastAsia="等线"/>
                <w:b/>
                <w:bCs/>
                <w:sz w:val="18"/>
                <w:lang w:eastAsia="zh-CN"/>
              </w:rPr>
            </w:pPr>
            <w:r w:rsidRPr="00191EC5">
              <w:rPr>
                <w:rFonts w:eastAsia="等线"/>
                <w:b/>
                <w:bCs/>
                <w:sz w:val="18"/>
                <w:lang w:eastAsia="zh-CN"/>
              </w:rPr>
              <w:t>Application Category</w:t>
            </w:r>
          </w:p>
        </w:tc>
        <w:tc>
          <w:tcPr>
            <w:tcW w:w="1611" w:type="dxa"/>
            <w:tcBorders>
              <w:top w:val="single" w:sz="4" w:space="0" w:color="auto"/>
              <w:bottom w:val="single" w:sz="4" w:space="0" w:color="auto"/>
            </w:tcBorders>
            <w:tcMar>
              <w:top w:w="60" w:type="dxa"/>
              <w:left w:w="120" w:type="dxa"/>
              <w:bottom w:w="30" w:type="dxa"/>
              <w:right w:w="120" w:type="dxa"/>
            </w:tcMar>
          </w:tcPr>
          <w:p w14:paraId="39EA04E1" w14:textId="77777777" w:rsidR="00946291" w:rsidRPr="00191EC5" w:rsidRDefault="00946291" w:rsidP="00191EC5">
            <w:pPr>
              <w:jc w:val="center"/>
              <w:rPr>
                <w:rFonts w:eastAsia="等线"/>
                <w:b/>
                <w:bCs/>
                <w:sz w:val="18"/>
                <w:lang w:eastAsia="zh-CN"/>
              </w:rPr>
            </w:pPr>
            <w:r w:rsidRPr="00191EC5">
              <w:rPr>
                <w:rFonts w:eastAsia="等线"/>
                <w:b/>
                <w:bCs/>
                <w:sz w:val="18"/>
                <w:lang w:eastAsia="zh-CN"/>
              </w:rPr>
              <w:t>Topology</w:t>
            </w:r>
          </w:p>
        </w:tc>
        <w:tc>
          <w:tcPr>
            <w:tcW w:w="1623" w:type="dxa"/>
            <w:tcBorders>
              <w:top w:val="single" w:sz="4" w:space="0" w:color="auto"/>
              <w:bottom w:val="single" w:sz="4" w:space="0" w:color="auto"/>
            </w:tcBorders>
            <w:tcMar>
              <w:top w:w="60" w:type="dxa"/>
              <w:left w:w="120" w:type="dxa"/>
              <w:bottom w:w="30" w:type="dxa"/>
              <w:right w:w="120" w:type="dxa"/>
            </w:tcMar>
          </w:tcPr>
          <w:p w14:paraId="61C9F983" w14:textId="77777777" w:rsidR="00946291" w:rsidRPr="00191EC5" w:rsidRDefault="00946291" w:rsidP="00191EC5">
            <w:pPr>
              <w:jc w:val="center"/>
              <w:rPr>
                <w:rFonts w:eastAsia="等线"/>
                <w:b/>
                <w:bCs/>
                <w:sz w:val="18"/>
                <w:lang w:eastAsia="zh-CN"/>
              </w:rPr>
            </w:pPr>
            <w:r w:rsidRPr="00191EC5">
              <w:rPr>
                <w:rFonts w:eastAsia="等线"/>
                <w:b/>
                <w:bCs/>
                <w:sz w:val="18"/>
                <w:lang w:eastAsia="zh-CN"/>
              </w:rPr>
              <w:t>Output Power</w:t>
            </w:r>
          </w:p>
        </w:tc>
        <w:tc>
          <w:tcPr>
            <w:tcW w:w="1599" w:type="dxa"/>
            <w:tcBorders>
              <w:top w:val="single" w:sz="4" w:space="0" w:color="auto"/>
              <w:bottom w:val="single" w:sz="4" w:space="0" w:color="auto"/>
            </w:tcBorders>
            <w:tcMar>
              <w:top w:w="60" w:type="dxa"/>
              <w:left w:w="120" w:type="dxa"/>
              <w:bottom w:w="30" w:type="dxa"/>
              <w:right w:w="120" w:type="dxa"/>
            </w:tcMar>
          </w:tcPr>
          <w:p w14:paraId="1C760543" w14:textId="77777777" w:rsidR="00946291" w:rsidRPr="00191EC5" w:rsidRDefault="00946291" w:rsidP="00191EC5">
            <w:pPr>
              <w:jc w:val="center"/>
              <w:rPr>
                <w:rFonts w:eastAsia="等线"/>
                <w:b/>
                <w:bCs/>
                <w:sz w:val="18"/>
                <w:lang w:eastAsia="zh-CN"/>
              </w:rPr>
            </w:pPr>
            <w:r w:rsidRPr="00191EC5">
              <w:rPr>
                <w:rFonts w:eastAsia="等线"/>
                <w:b/>
                <w:bCs/>
                <w:sz w:val="18"/>
                <w:lang w:eastAsia="zh-CN"/>
              </w:rPr>
              <w:t>Power-Added Efficiency (PAE)</w:t>
            </w:r>
          </w:p>
        </w:tc>
        <w:tc>
          <w:tcPr>
            <w:tcW w:w="1531" w:type="dxa"/>
            <w:tcBorders>
              <w:top w:val="single" w:sz="4" w:space="0" w:color="auto"/>
              <w:bottom w:val="single" w:sz="4" w:space="0" w:color="auto"/>
            </w:tcBorders>
            <w:tcMar>
              <w:top w:w="60" w:type="dxa"/>
              <w:left w:w="120" w:type="dxa"/>
              <w:bottom w:w="30" w:type="dxa"/>
              <w:right w:w="120" w:type="dxa"/>
            </w:tcMar>
          </w:tcPr>
          <w:p w14:paraId="76B499AD" w14:textId="77777777" w:rsidR="00946291" w:rsidRPr="00191EC5" w:rsidRDefault="00946291" w:rsidP="00191EC5">
            <w:pPr>
              <w:jc w:val="center"/>
              <w:rPr>
                <w:rFonts w:eastAsia="等线"/>
                <w:b/>
                <w:bCs/>
                <w:sz w:val="18"/>
                <w:lang w:eastAsia="zh-CN"/>
              </w:rPr>
            </w:pPr>
            <w:r w:rsidRPr="00191EC5">
              <w:rPr>
                <w:rFonts w:eastAsia="等线"/>
                <w:b/>
                <w:bCs/>
                <w:sz w:val="18"/>
                <w:lang w:eastAsia="zh-CN"/>
              </w:rPr>
              <w:t>Frequency Range</w:t>
            </w:r>
          </w:p>
        </w:tc>
        <w:tc>
          <w:tcPr>
            <w:tcW w:w="1242" w:type="dxa"/>
            <w:tcBorders>
              <w:top w:val="single" w:sz="4" w:space="0" w:color="auto"/>
              <w:bottom w:val="single" w:sz="4" w:space="0" w:color="auto"/>
            </w:tcBorders>
            <w:tcMar>
              <w:top w:w="60" w:type="dxa"/>
              <w:left w:w="120" w:type="dxa"/>
              <w:bottom w:w="30" w:type="dxa"/>
              <w:right w:w="120" w:type="dxa"/>
            </w:tcMar>
          </w:tcPr>
          <w:p w14:paraId="097886D9" w14:textId="77777777" w:rsidR="00946291" w:rsidRPr="00191EC5" w:rsidRDefault="00946291" w:rsidP="00191EC5">
            <w:pPr>
              <w:jc w:val="center"/>
              <w:rPr>
                <w:rFonts w:eastAsia="等线"/>
                <w:b/>
                <w:bCs/>
                <w:sz w:val="18"/>
                <w:lang w:eastAsia="zh-CN"/>
              </w:rPr>
            </w:pPr>
            <w:r w:rsidRPr="00191EC5">
              <w:rPr>
                <w:rFonts w:eastAsia="等线"/>
                <w:b/>
                <w:bCs/>
                <w:sz w:val="18"/>
                <w:lang w:eastAsia="zh-CN"/>
              </w:rPr>
              <w:t>Key Technology Features</w:t>
            </w:r>
          </w:p>
        </w:tc>
      </w:tr>
      <w:tr w:rsidR="00946291" w:rsidRPr="00191EC5" w14:paraId="4D2A2C66" w14:textId="77777777" w:rsidTr="00191EC5">
        <w:trPr>
          <w:trHeight w:val="454"/>
        </w:trPr>
        <w:tc>
          <w:tcPr>
            <w:tcW w:w="1040" w:type="dxa"/>
            <w:tcBorders>
              <w:top w:val="single" w:sz="4" w:space="0" w:color="auto"/>
            </w:tcBorders>
            <w:tcMar>
              <w:top w:w="60" w:type="dxa"/>
              <w:left w:w="120" w:type="dxa"/>
              <w:bottom w:w="30" w:type="dxa"/>
              <w:right w:w="120" w:type="dxa"/>
            </w:tcMar>
          </w:tcPr>
          <w:p w14:paraId="17C69AF5" w14:textId="77777777" w:rsidR="00946291" w:rsidRPr="00191EC5" w:rsidRDefault="00946291" w:rsidP="00191EC5">
            <w:pPr>
              <w:jc w:val="center"/>
              <w:rPr>
                <w:rFonts w:eastAsia="等线"/>
                <w:sz w:val="18"/>
                <w:lang w:eastAsia="zh-CN"/>
              </w:rPr>
            </w:pPr>
            <w:r w:rsidRPr="00191EC5">
              <w:rPr>
                <w:rFonts w:eastAsia="等线"/>
                <w:sz w:val="18"/>
                <w:lang w:eastAsia="zh-CN"/>
              </w:rPr>
              <w:t>High-Power Transmitters</w:t>
            </w:r>
          </w:p>
        </w:tc>
        <w:tc>
          <w:tcPr>
            <w:tcW w:w="1611" w:type="dxa"/>
            <w:tcBorders>
              <w:top w:val="single" w:sz="4" w:space="0" w:color="auto"/>
            </w:tcBorders>
            <w:tcMar>
              <w:top w:w="60" w:type="dxa"/>
              <w:left w:w="120" w:type="dxa"/>
              <w:bottom w:w="30" w:type="dxa"/>
              <w:right w:w="120" w:type="dxa"/>
            </w:tcMar>
          </w:tcPr>
          <w:p w14:paraId="393364DF" w14:textId="77777777" w:rsidR="00946291" w:rsidRPr="00191EC5" w:rsidRDefault="00946291" w:rsidP="00191EC5">
            <w:pPr>
              <w:jc w:val="center"/>
              <w:rPr>
                <w:rFonts w:eastAsia="等线"/>
                <w:sz w:val="18"/>
                <w:lang w:eastAsia="zh-CN"/>
              </w:rPr>
            </w:pPr>
            <w:r w:rsidRPr="00191EC5">
              <w:rPr>
                <w:rFonts w:eastAsia="等线"/>
                <w:sz w:val="18"/>
                <w:lang w:eastAsia="zh-CN"/>
              </w:rPr>
              <w:t>Class-A/B PA (BCD)</w:t>
            </w:r>
          </w:p>
        </w:tc>
        <w:tc>
          <w:tcPr>
            <w:tcW w:w="1623" w:type="dxa"/>
            <w:tcBorders>
              <w:top w:val="single" w:sz="4" w:space="0" w:color="auto"/>
            </w:tcBorders>
            <w:tcMar>
              <w:top w:w="60" w:type="dxa"/>
              <w:left w:w="120" w:type="dxa"/>
              <w:bottom w:w="30" w:type="dxa"/>
              <w:right w:w="120" w:type="dxa"/>
            </w:tcMar>
          </w:tcPr>
          <w:p w14:paraId="03B19DE0" w14:textId="77777777" w:rsidR="00946291" w:rsidRPr="00191EC5" w:rsidRDefault="00946291" w:rsidP="00191EC5">
            <w:pPr>
              <w:jc w:val="center"/>
              <w:rPr>
                <w:rFonts w:eastAsia="等线"/>
                <w:sz w:val="18"/>
                <w:lang w:eastAsia="zh-CN"/>
              </w:rPr>
            </w:pPr>
            <w:r w:rsidRPr="00191EC5">
              <w:rPr>
                <w:rFonts w:eastAsia="等线"/>
                <w:sz w:val="18"/>
                <w:lang w:eastAsia="zh-CN"/>
              </w:rPr>
              <w:t>3 W (900 MHz)</w:t>
            </w:r>
          </w:p>
        </w:tc>
        <w:tc>
          <w:tcPr>
            <w:tcW w:w="1599" w:type="dxa"/>
            <w:tcBorders>
              <w:top w:val="single" w:sz="4" w:space="0" w:color="auto"/>
            </w:tcBorders>
            <w:tcMar>
              <w:top w:w="60" w:type="dxa"/>
              <w:left w:w="120" w:type="dxa"/>
              <w:bottom w:w="30" w:type="dxa"/>
              <w:right w:w="120" w:type="dxa"/>
            </w:tcMar>
          </w:tcPr>
          <w:p w14:paraId="50024C34" w14:textId="77777777" w:rsidR="00946291" w:rsidRPr="00191EC5" w:rsidRDefault="00946291" w:rsidP="00191EC5">
            <w:pPr>
              <w:jc w:val="center"/>
              <w:rPr>
                <w:rFonts w:eastAsia="等线"/>
                <w:sz w:val="18"/>
                <w:lang w:eastAsia="zh-CN"/>
              </w:rPr>
            </w:pPr>
            <w:r w:rsidRPr="00191EC5">
              <w:rPr>
                <w:rFonts w:eastAsia="等线"/>
                <w:sz w:val="18"/>
                <w:lang w:eastAsia="zh-CN"/>
              </w:rPr>
              <w:t>55%</w:t>
            </w:r>
          </w:p>
        </w:tc>
        <w:tc>
          <w:tcPr>
            <w:tcW w:w="1531" w:type="dxa"/>
            <w:tcBorders>
              <w:top w:val="single" w:sz="4" w:space="0" w:color="auto"/>
            </w:tcBorders>
            <w:tcMar>
              <w:top w:w="60" w:type="dxa"/>
              <w:left w:w="120" w:type="dxa"/>
              <w:bottom w:w="30" w:type="dxa"/>
              <w:right w:w="120" w:type="dxa"/>
            </w:tcMar>
          </w:tcPr>
          <w:p w14:paraId="033238B7" w14:textId="77777777" w:rsidR="00946291" w:rsidRPr="00191EC5" w:rsidRDefault="00946291" w:rsidP="00191EC5">
            <w:pPr>
              <w:jc w:val="center"/>
              <w:rPr>
                <w:rFonts w:eastAsia="等线"/>
                <w:sz w:val="18"/>
                <w:lang w:eastAsia="zh-CN"/>
              </w:rPr>
            </w:pPr>
            <w:r w:rsidRPr="00191EC5">
              <w:rPr>
                <w:rFonts w:eastAsia="等线"/>
                <w:sz w:val="18"/>
                <w:lang w:eastAsia="zh-CN"/>
              </w:rPr>
              <w:t>&lt;3 GHz</w:t>
            </w:r>
          </w:p>
        </w:tc>
        <w:tc>
          <w:tcPr>
            <w:tcW w:w="1242" w:type="dxa"/>
            <w:tcBorders>
              <w:top w:val="single" w:sz="4" w:space="0" w:color="auto"/>
            </w:tcBorders>
            <w:tcMar>
              <w:top w:w="60" w:type="dxa"/>
              <w:left w:w="120" w:type="dxa"/>
              <w:bottom w:w="30" w:type="dxa"/>
              <w:right w:w="120" w:type="dxa"/>
            </w:tcMar>
          </w:tcPr>
          <w:p w14:paraId="38B68572" w14:textId="77777777" w:rsidR="00946291" w:rsidRPr="00191EC5" w:rsidRDefault="00946291" w:rsidP="00191EC5">
            <w:pPr>
              <w:jc w:val="center"/>
              <w:rPr>
                <w:rFonts w:eastAsia="等线"/>
                <w:sz w:val="18"/>
                <w:lang w:eastAsia="zh-CN"/>
              </w:rPr>
            </w:pPr>
            <w:r w:rsidRPr="00191EC5">
              <w:rPr>
                <w:rFonts w:eastAsia="等线"/>
                <w:sz w:val="18"/>
                <w:lang w:eastAsia="zh-CN"/>
              </w:rPr>
              <w:t>DMOS transistors with 40 V breakdown voltage</w:t>
            </w:r>
          </w:p>
        </w:tc>
      </w:tr>
      <w:tr w:rsidR="00946291" w:rsidRPr="00191EC5" w14:paraId="2863F08A" w14:textId="77777777" w:rsidTr="00191EC5">
        <w:trPr>
          <w:trHeight w:val="454"/>
        </w:trPr>
        <w:tc>
          <w:tcPr>
            <w:tcW w:w="1040" w:type="dxa"/>
            <w:tcMar>
              <w:top w:w="60" w:type="dxa"/>
              <w:left w:w="120" w:type="dxa"/>
              <w:bottom w:w="30" w:type="dxa"/>
              <w:right w:w="120" w:type="dxa"/>
            </w:tcMar>
          </w:tcPr>
          <w:p w14:paraId="65F6288F" w14:textId="77777777" w:rsidR="00946291" w:rsidRPr="00191EC5" w:rsidRDefault="00946291" w:rsidP="00191EC5">
            <w:pPr>
              <w:jc w:val="center"/>
              <w:rPr>
                <w:rFonts w:eastAsia="等线"/>
                <w:sz w:val="18"/>
                <w:lang w:eastAsia="zh-CN"/>
              </w:rPr>
            </w:pPr>
            <w:r w:rsidRPr="00191EC5">
              <w:rPr>
                <w:rFonts w:eastAsia="等线"/>
                <w:sz w:val="18"/>
                <w:lang w:eastAsia="zh-CN"/>
              </w:rPr>
              <w:t>5G/6G Millimeter-Wave</w:t>
            </w:r>
          </w:p>
        </w:tc>
        <w:tc>
          <w:tcPr>
            <w:tcW w:w="1611" w:type="dxa"/>
            <w:tcMar>
              <w:top w:w="60" w:type="dxa"/>
              <w:left w:w="120" w:type="dxa"/>
              <w:bottom w:w="30" w:type="dxa"/>
              <w:right w:w="120" w:type="dxa"/>
            </w:tcMar>
          </w:tcPr>
          <w:p w14:paraId="2F7ED82E" w14:textId="77777777" w:rsidR="00946291" w:rsidRPr="00191EC5" w:rsidRDefault="00946291" w:rsidP="00191EC5">
            <w:pPr>
              <w:jc w:val="center"/>
              <w:rPr>
                <w:rFonts w:eastAsia="等线"/>
                <w:sz w:val="18"/>
                <w:lang w:eastAsia="zh-CN"/>
              </w:rPr>
            </w:pPr>
            <w:r w:rsidRPr="00191EC5">
              <w:rPr>
                <w:rFonts w:eastAsia="等线"/>
                <w:sz w:val="18"/>
                <w:lang w:eastAsia="zh-CN"/>
              </w:rPr>
              <w:t>CS Phased Array (16 nm)</w:t>
            </w:r>
          </w:p>
        </w:tc>
        <w:tc>
          <w:tcPr>
            <w:tcW w:w="1623" w:type="dxa"/>
            <w:tcMar>
              <w:top w:w="60" w:type="dxa"/>
              <w:left w:w="120" w:type="dxa"/>
              <w:bottom w:w="30" w:type="dxa"/>
              <w:right w:w="120" w:type="dxa"/>
            </w:tcMar>
          </w:tcPr>
          <w:p w14:paraId="30383B92" w14:textId="77777777" w:rsidR="00946291" w:rsidRPr="00191EC5" w:rsidRDefault="00946291" w:rsidP="00191EC5">
            <w:pPr>
              <w:jc w:val="center"/>
              <w:rPr>
                <w:rFonts w:eastAsia="等线"/>
                <w:sz w:val="18"/>
                <w:lang w:eastAsia="zh-CN"/>
              </w:rPr>
            </w:pPr>
            <w:r w:rsidRPr="00191EC5">
              <w:rPr>
                <w:rFonts w:eastAsia="等线"/>
                <w:sz w:val="18"/>
                <w:lang w:eastAsia="zh-CN"/>
              </w:rPr>
              <w:t>15 dBm/element</w:t>
            </w:r>
          </w:p>
        </w:tc>
        <w:tc>
          <w:tcPr>
            <w:tcW w:w="1599" w:type="dxa"/>
            <w:tcMar>
              <w:top w:w="60" w:type="dxa"/>
              <w:left w:w="120" w:type="dxa"/>
              <w:bottom w:w="30" w:type="dxa"/>
              <w:right w:w="120" w:type="dxa"/>
            </w:tcMar>
          </w:tcPr>
          <w:p w14:paraId="7852283A" w14:textId="77777777" w:rsidR="00946291" w:rsidRPr="00191EC5" w:rsidRDefault="00946291" w:rsidP="00191EC5">
            <w:pPr>
              <w:jc w:val="center"/>
              <w:rPr>
                <w:rFonts w:eastAsia="等线"/>
                <w:sz w:val="18"/>
                <w:lang w:eastAsia="zh-CN"/>
              </w:rPr>
            </w:pPr>
            <w:r w:rsidRPr="00191EC5">
              <w:rPr>
                <w:rFonts w:eastAsia="等线"/>
                <w:sz w:val="18"/>
                <w:lang w:eastAsia="zh-CN"/>
              </w:rPr>
              <w:t>10% (60 GHz)</w:t>
            </w:r>
          </w:p>
        </w:tc>
        <w:tc>
          <w:tcPr>
            <w:tcW w:w="1531" w:type="dxa"/>
            <w:tcMar>
              <w:top w:w="60" w:type="dxa"/>
              <w:left w:w="120" w:type="dxa"/>
              <w:bottom w:w="30" w:type="dxa"/>
              <w:right w:w="120" w:type="dxa"/>
            </w:tcMar>
          </w:tcPr>
          <w:p w14:paraId="02DE3142" w14:textId="77777777" w:rsidR="00946291" w:rsidRPr="00191EC5" w:rsidRDefault="00946291" w:rsidP="00191EC5">
            <w:pPr>
              <w:jc w:val="center"/>
              <w:rPr>
                <w:rFonts w:eastAsia="等线"/>
                <w:sz w:val="18"/>
                <w:lang w:eastAsia="zh-CN"/>
              </w:rPr>
            </w:pPr>
            <w:r w:rsidRPr="00191EC5">
              <w:rPr>
                <w:rFonts w:eastAsia="等线"/>
                <w:sz w:val="18"/>
                <w:lang w:eastAsia="zh-CN"/>
              </w:rPr>
              <w:t>57–64 GHz</w:t>
            </w:r>
          </w:p>
        </w:tc>
        <w:tc>
          <w:tcPr>
            <w:tcW w:w="1242" w:type="dxa"/>
            <w:tcMar>
              <w:top w:w="60" w:type="dxa"/>
              <w:left w:w="120" w:type="dxa"/>
              <w:bottom w:w="30" w:type="dxa"/>
              <w:right w:w="120" w:type="dxa"/>
            </w:tcMar>
          </w:tcPr>
          <w:p w14:paraId="211471F1" w14:textId="77777777" w:rsidR="00946291" w:rsidRPr="00191EC5" w:rsidRDefault="00946291" w:rsidP="00191EC5">
            <w:pPr>
              <w:jc w:val="center"/>
              <w:rPr>
                <w:rFonts w:eastAsia="等线"/>
                <w:sz w:val="18"/>
                <w:lang w:eastAsia="zh-CN"/>
              </w:rPr>
            </w:pPr>
            <w:r w:rsidRPr="00191EC5">
              <w:rPr>
                <w:rFonts w:eastAsia="等线"/>
                <w:sz w:val="18"/>
                <w:lang w:eastAsia="zh-CN"/>
              </w:rPr>
              <w:t>On-chip beamforming, adaptive biasing</w:t>
            </w:r>
          </w:p>
        </w:tc>
      </w:tr>
      <w:tr w:rsidR="00946291" w:rsidRPr="00191EC5" w14:paraId="2AC074D0" w14:textId="77777777" w:rsidTr="00191EC5">
        <w:trPr>
          <w:trHeight w:val="454"/>
        </w:trPr>
        <w:tc>
          <w:tcPr>
            <w:tcW w:w="1040" w:type="dxa"/>
            <w:tcBorders>
              <w:bottom w:val="single" w:sz="4" w:space="0" w:color="auto"/>
            </w:tcBorders>
            <w:tcMar>
              <w:top w:w="60" w:type="dxa"/>
              <w:left w:w="120" w:type="dxa"/>
              <w:bottom w:w="30" w:type="dxa"/>
              <w:right w:w="120" w:type="dxa"/>
            </w:tcMar>
          </w:tcPr>
          <w:p w14:paraId="1D0F9B47" w14:textId="77777777" w:rsidR="00946291" w:rsidRPr="00191EC5" w:rsidRDefault="00946291" w:rsidP="00191EC5">
            <w:pPr>
              <w:jc w:val="center"/>
              <w:rPr>
                <w:rFonts w:eastAsia="等线"/>
                <w:sz w:val="18"/>
                <w:lang w:eastAsia="zh-CN"/>
              </w:rPr>
            </w:pPr>
            <w:r w:rsidRPr="00191EC5">
              <w:rPr>
                <w:rFonts w:eastAsia="等线"/>
                <w:sz w:val="18"/>
                <w:lang w:eastAsia="zh-CN"/>
              </w:rPr>
              <w:t>Low-Power IoT</w:t>
            </w:r>
          </w:p>
        </w:tc>
        <w:tc>
          <w:tcPr>
            <w:tcW w:w="1611" w:type="dxa"/>
            <w:tcBorders>
              <w:bottom w:val="single" w:sz="4" w:space="0" w:color="auto"/>
            </w:tcBorders>
            <w:tcMar>
              <w:top w:w="60" w:type="dxa"/>
              <w:left w:w="120" w:type="dxa"/>
              <w:bottom w:w="30" w:type="dxa"/>
              <w:right w:w="120" w:type="dxa"/>
            </w:tcMar>
          </w:tcPr>
          <w:p w14:paraId="7AC4AEA8" w14:textId="77777777" w:rsidR="00946291" w:rsidRPr="00191EC5" w:rsidRDefault="00946291" w:rsidP="00191EC5">
            <w:pPr>
              <w:jc w:val="center"/>
              <w:rPr>
                <w:rFonts w:eastAsia="等线"/>
                <w:sz w:val="18"/>
                <w:lang w:eastAsia="zh-CN"/>
              </w:rPr>
            </w:pPr>
            <w:r w:rsidRPr="00191EC5">
              <w:rPr>
                <w:rFonts w:eastAsia="等线"/>
                <w:sz w:val="18"/>
                <w:lang w:eastAsia="zh-CN"/>
              </w:rPr>
              <w:t>Subthreshold CS</w:t>
            </w:r>
          </w:p>
        </w:tc>
        <w:tc>
          <w:tcPr>
            <w:tcW w:w="1623" w:type="dxa"/>
            <w:tcBorders>
              <w:bottom w:val="single" w:sz="4" w:space="0" w:color="auto"/>
            </w:tcBorders>
            <w:tcMar>
              <w:top w:w="60" w:type="dxa"/>
              <w:left w:w="120" w:type="dxa"/>
              <w:bottom w:w="30" w:type="dxa"/>
              <w:right w:w="120" w:type="dxa"/>
            </w:tcMar>
          </w:tcPr>
          <w:p w14:paraId="666D6840" w14:textId="77777777" w:rsidR="00946291" w:rsidRPr="00191EC5" w:rsidRDefault="00946291" w:rsidP="00191EC5">
            <w:pPr>
              <w:jc w:val="center"/>
              <w:rPr>
                <w:rFonts w:eastAsia="等线"/>
                <w:sz w:val="18"/>
                <w:lang w:eastAsia="zh-CN"/>
              </w:rPr>
            </w:pPr>
            <w:r w:rsidRPr="00191EC5">
              <w:rPr>
                <w:rFonts w:eastAsia="等线"/>
                <w:sz w:val="18"/>
                <w:lang w:eastAsia="zh-CN"/>
              </w:rPr>
              <w:t>-</w:t>
            </w:r>
          </w:p>
        </w:tc>
        <w:tc>
          <w:tcPr>
            <w:tcW w:w="1599" w:type="dxa"/>
            <w:tcBorders>
              <w:bottom w:val="single" w:sz="4" w:space="0" w:color="auto"/>
            </w:tcBorders>
            <w:tcMar>
              <w:top w:w="60" w:type="dxa"/>
              <w:left w:w="120" w:type="dxa"/>
              <w:bottom w:w="30" w:type="dxa"/>
              <w:right w:w="120" w:type="dxa"/>
            </w:tcMar>
          </w:tcPr>
          <w:p w14:paraId="0E455DF5" w14:textId="77777777" w:rsidR="00946291" w:rsidRPr="00191EC5" w:rsidRDefault="00946291" w:rsidP="00191EC5">
            <w:pPr>
              <w:jc w:val="center"/>
              <w:rPr>
                <w:rFonts w:eastAsia="等线"/>
                <w:sz w:val="18"/>
                <w:lang w:eastAsia="zh-CN"/>
              </w:rPr>
            </w:pPr>
            <w:r w:rsidRPr="00191EC5">
              <w:rPr>
                <w:rFonts w:eastAsia="等线"/>
                <w:sz w:val="18"/>
                <w:lang w:eastAsia="zh-CN"/>
              </w:rPr>
              <w:t>&lt;1 μW power consumption</w:t>
            </w:r>
          </w:p>
        </w:tc>
        <w:tc>
          <w:tcPr>
            <w:tcW w:w="1531" w:type="dxa"/>
            <w:tcBorders>
              <w:bottom w:val="single" w:sz="4" w:space="0" w:color="auto"/>
            </w:tcBorders>
            <w:tcMar>
              <w:top w:w="60" w:type="dxa"/>
              <w:left w:w="120" w:type="dxa"/>
              <w:bottom w:w="30" w:type="dxa"/>
              <w:right w:w="120" w:type="dxa"/>
            </w:tcMar>
          </w:tcPr>
          <w:p w14:paraId="16323967" w14:textId="77777777" w:rsidR="00946291" w:rsidRPr="00191EC5" w:rsidRDefault="00946291" w:rsidP="00191EC5">
            <w:pPr>
              <w:jc w:val="center"/>
              <w:rPr>
                <w:rFonts w:eastAsia="等线"/>
                <w:sz w:val="18"/>
                <w:lang w:eastAsia="zh-CN"/>
              </w:rPr>
            </w:pPr>
            <w:r w:rsidRPr="00191EC5">
              <w:rPr>
                <w:rFonts w:eastAsia="等线"/>
                <w:sz w:val="18"/>
                <w:lang w:eastAsia="zh-CN"/>
              </w:rPr>
              <w:t>DC–10 MHz</w:t>
            </w:r>
          </w:p>
        </w:tc>
        <w:tc>
          <w:tcPr>
            <w:tcW w:w="1242" w:type="dxa"/>
            <w:tcBorders>
              <w:bottom w:val="single" w:sz="4" w:space="0" w:color="auto"/>
            </w:tcBorders>
            <w:tcMar>
              <w:top w:w="60" w:type="dxa"/>
              <w:left w:w="120" w:type="dxa"/>
              <w:bottom w:w="30" w:type="dxa"/>
              <w:right w:w="120" w:type="dxa"/>
            </w:tcMar>
          </w:tcPr>
          <w:p w14:paraId="1FD0DD24" w14:textId="77777777" w:rsidR="00946291" w:rsidRPr="00191EC5" w:rsidRDefault="00946291" w:rsidP="00191EC5">
            <w:pPr>
              <w:jc w:val="center"/>
              <w:rPr>
                <w:rFonts w:eastAsia="等线"/>
                <w:sz w:val="18"/>
                <w:lang w:eastAsia="zh-CN"/>
              </w:rPr>
            </w:pPr>
            <w:r w:rsidRPr="00191EC5">
              <w:rPr>
                <w:rFonts w:eastAsia="等线"/>
                <w:sz w:val="18"/>
                <w:lang w:eastAsia="zh-CN"/>
              </w:rPr>
              <w:t>Body-biased transistors for 0.3 V operation</w:t>
            </w:r>
          </w:p>
        </w:tc>
      </w:tr>
    </w:tbl>
    <w:p w14:paraId="32894945" w14:textId="3145976F" w:rsidR="00946291" w:rsidRPr="00946291" w:rsidRDefault="00946291" w:rsidP="009519E7">
      <w:pPr>
        <w:pStyle w:val="2"/>
        <w:rPr>
          <w:lang w:eastAsia="zh-CN"/>
        </w:rPr>
      </w:pPr>
      <w:r w:rsidRPr="00946291">
        <w:rPr>
          <w:lang w:eastAsia="zh-CN"/>
        </w:rPr>
        <w:t>Emerging Applications</w:t>
      </w:r>
    </w:p>
    <w:p w14:paraId="57CC977C" w14:textId="35FF15A3" w:rsidR="00946291" w:rsidRPr="00946291" w:rsidRDefault="00946291" w:rsidP="009519E7">
      <w:pPr>
        <w:pStyle w:val="3"/>
      </w:pPr>
      <w:r w:rsidRPr="00946291">
        <w:t>3D Heterogeneous Integration</w:t>
      </w:r>
    </w:p>
    <w:p w14:paraId="4447B86C" w14:textId="1341B645" w:rsidR="00946291" w:rsidRPr="00946291" w:rsidRDefault="00946291" w:rsidP="009519E7">
      <w:pPr>
        <w:pStyle w:val="Paragraph"/>
        <w:rPr>
          <w:lang w:eastAsia="zh-CN"/>
        </w:rPr>
      </w:pPr>
      <w:r w:rsidRPr="00946291">
        <w:rPr>
          <w:lang w:eastAsia="zh-CN"/>
        </w:rPr>
        <w:t>3D stacking revolutionizes common-source amplifier integration by co-designing analog front-ends with digital cores, effectively addressing the density and performance challenges in the post-Moore era. A prime example is the Apple M1 Ultra SoC. This innovative SoC merges 28 nm RF-CMOS front-ends with 5 nm logic layers through 3D heterogeneous integration, achieving significant advancements in several key areas.</w:t>
      </w:r>
    </w:p>
    <w:p w14:paraId="0E7AD6D0" w14:textId="77777777" w:rsidR="00946291" w:rsidRPr="00946291" w:rsidRDefault="00946291" w:rsidP="009519E7">
      <w:pPr>
        <w:pStyle w:val="Paragraph"/>
        <w:rPr>
          <w:lang w:eastAsia="zh-CN"/>
        </w:rPr>
      </w:pPr>
      <w:r w:rsidRPr="00946291">
        <w:rPr>
          <w:lang w:eastAsia="zh-CN"/>
        </w:rPr>
        <w:t>The integration has led to a substantial reduction in interlayer parasitic capacitance C</w:t>
      </w:r>
      <w:r w:rsidRPr="00946291">
        <w:rPr>
          <w:vertAlign w:val="subscript"/>
          <w:lang w:eastAsia="zh-CN"/>
        </w:rPr>
        <w:t>pd</w:t>
      </w:r>
      <w:r w:rsidRPr="00946291">
        <w:rPr>
          <w:lang w:eastAsia="zh-CN"/>
        </w:rPr>
        <w:t>, which has been decreased by 30% (from 50 fF to 35 fF). This reduction minimizes signal delay and crosstalk, thereby improving the overall signal integrity and performance of the device. Additionally, the approach has resulted in a ±0.2 dB gain variation across a wide frequency range of 0.1–10 GHz, enabling software-defined radio (SDR) capabilities through monolithic integration. This is particularly advantageous for applications requiring flexibility and adaptability in radio frequency operations.</w:t>
      </w:r>
    </w:p>
    <w:p w14:paraId="198F994B" w14:textId="77777777" w:rsidR="00946291" w:rsidRPr="00946291" w:rsidRDefault="00946291" w:rsidP="009519E7">
      <w:pPr>
        <w:pStyle w:val="Paragraph"/>
        <w:rPr>
          <w:lang w:eastAsia="zh-CN"/>
        </w:rPr>
      </w:pPr>
    </w:p>
    <w:p w14:paraId="34F8A0C6" w14:textId="77777777" w:rsidR="00946291" w:rsidRPr="00946291" w:rsidRDefault="00946291" w:rsidP="009519E7">
      <w:pPr>
        <w:pStyle w:val="Paragraph"/>
        <w:rPr>
          <w:lang w:eastAsia="zh-CN"/>
        </w:rPr>
      </w:pPr>
      <w:r w:rsidRPr="00946291">
        <w:rPr>
          <w:lang w:eastAsia="zh-CN"/>
        </w:rPr>
        <w:t>Furthermore, the 3D integration in the M1 Ultra has driven a 40% increase in energy efficiency compared to 2D integration. This improvement is primarily attributed to shortened interconnects and optimized power delivery networks, which enhance power management and reduce energy consumption. The architecture also mitigates the "more-than-Moore" challenge by leveraging vertical stacking to combine complementary technologies. For instance, it integrates high-frequency RF-CMOS with low-power logic, which is critical for future systems-on-a-chip (SoCs) that demand multi-domain functionality and seamless integration of diverse technological components.</w:t>
      </w:r>
    </w:p>
    <w:p w14:paraId="413C8D31" w14:textId="1EEDBD40" w:rsidR="00946291" w:rsidRPr="00946291" w:rsidRDefault="00946291" w:rsidP="009519E7">
      <w:pPr>
        <w:pStyle w:val="3"/>
      </w:pPr>
      <w:r w:rsidRPr="00946291">
        <w:t>Reconfigurable 5G New Radio (NR) LNAs</w:t>
      </w:r>
    </w:p>
    <w:p w14:paraId="4B0172A8" w14:textId="77777777" w:rsidR="00946291" w:rsidRPr="009519E7" w:rsidRDefault="00946291" w:rsidP="009519E7">
      <w:pPr>
        <w:pStyle w:val="Paragraph"/>
      </w:pPr>
      <w:r w:rsidRPr="009519E7">
        <w:t>Tunable common-source stages have become essential for enabling bandwidth-agile LNAs for multi-standard 5G NR, offering a flexible alternative to traditional fixed-filter front-ends by incorporating adaptive circuits. These circuits employ two primary tuning mechanisms to achieve their remarkable performance. First, switched-gate inductors facilitate continuous frequency tuning from 2 GHz to 40 GHz. This is further supported by varactor-tuned loads that can adjust the resonant frequency in real time, ensuring optimal matching and performance across a wide range of frequencies. Second, adaptive biasing is utilized to maintain a noise figure (NF) of less than 2.5 dB and a third-order intercept point (IIP3) of greater than 0 dBm across 10 octaves. This careful balancing of linearity and noise makes the design suitable for diverse frequency bands and operational requirements.</w:t>
      </w:r>
    </w:p>
    <w:p w14:paraId="1198796A" w14:textId="77777777" w:rsidR="00946291" w:rsidRPr="009519E7" w:rsidRDefault="00946291" w:rsidP="009519E7">
      <w:pPr>
        <w:pStyle w:val="Paragraph"/>
      </w:pPr>
    </w:p>
    <w:p w14:paraId="21769DF1" w14:textId="77777777" w:rsidR="00946291" w:rsidRPr="009519E7" w:rsidRDefault="00946291" w:rsidP="009519E7">
      <w:pPr>
        <w:pStyle w:val="Paragraph"/>
      </w:pPr>
      <w:r w:rsidRPr="009519E7">
        <w:t xml:space="preserve">The design of these reconfigurable LNAs offers several distinct advantages. One notable benefit is area efficiency, with a 40% reduction in chip area compared to fixed-filter counterparts. This is achieved by reusing a single tunable stage for multiple frequency bands, thereby minimizing the overall footprint of the device. </w:t>
      </w:r>
      <w:r w:rsidRPr="009519E7">
        <w:lastRenderedPageBreak/>
        <w:t>Additionally, the LNAs are highly compatible with software-defined radio (SDR) platforms. They enable seamless switching between sub-6 GHz and mmWave bands, aligning with the growing industry trend toward SDR solutions that require adaptability and flexibility in frequency band operations.</w:t>
      </w:r>
    </w:p>
    <w:p w14:paraId="5E95F67F" w14:textId="77777777" w:rsidR="00946291" w:rsidRPr="009519E7" w:rsidRDefault="00946291" w:rsidP="009519E7">
      <w:pPr>
        <w:pStyle w:val="Paragraph"/>
      </w:pPr>
      <w:r w:rsidRPr="009519E7">
        <w:t>4.3.3 Biodegradable and Transient Electronics</w:t>
      </w:r>
    </w:p>
    <w:p w14:paraId="3A1E5F12" w14:textId="77777777" w:rsidR="00946291" w:rsidRPr="009519E7" w:rsidRDefault="00946291" w:rsidP="009519E7">
      <w:pPr>
        <w:pStyle w:val="Paragraph"/>
      </w:pPr>
      <w:r w:rsidRPr="009519E7">
        <w:t>Emerging applications are driving the demand for environmentally friendly and temporary electronic solutions, prompting the reimagining of common-source amplifiers with novel materials to meet these unique requirements. Eco-Friendly Amplifiers have been developed using chitosan-based dielectrics, a biodegradable polysaccharide, and magnesium electrodes. These amplifiers are designed to degrade completely in phosphate-buffered saline within 30 days. Performance testing of these amplifiers has shown a subthreshold slope  S = 85mV/decade and drain current stability within 5% over 100 hours [10].</w:t>
      </w:r>
    </w:p>
    <w:p w14:paraId="3A3215D3" w14:textId="77777777" w:rsidR="00946291" w:rsidRPr="009519E7" w:rsidRDefault="00946291" w:rsidP="009519E7">
      <w:pPr>
        <w:pStyle w:val="Paragraph"/>
      </w:pPr>
      <w:r w:rsidRPr="009519E7">
        <w:t>Transient implantable devices, such as transient CS amplifiers for neural recording, have also been designed to dissolve harmlessly in cerebrospinal fluid after 14 days. This eliminates the need for surgical removal and offers significant advantages in medical applications. The design of these transient devices incorporates dissolvable silicon nanomembranes as the channel material and magnesium oxide gate dielectrics. These materials feature controlled hydrolysis rates, ensuring the device remains functional for the required period before safely dissolving [11].</w:t>
      </w:r>
    </w:p>
    <w:p w14:paraId="2E7C02CA" w14:textId="1AD5CD15" w:rsidR="00946291" w:rsidRPr="009519E7" w:rsidRDefault="00946291" w:rsidP="009519E7">
      <w:pPr>
        <w:pStyle w:val="Paragraph"/>
        <w:rPr>
          <w:lang w:eastAsia="zh-CN"/>
        </w:rPr>
      </w:pPr>
      <w:r w:rsidRPr="009519E7">
        <w:t>3D stacking revolutionizes common-source amplifier integration by co-designing analog front-ends with digital cores, addressing post-Moore era density and performance challenges</w:t>
      </w:r>
      <w:r w:rsidR="00543126">
        <w:rPr>
          <w:rFonts w:hint="eastAsia"/>
          <w:lang w:eastAsia="zh-CN"/>
        </w:rPr>
        <w:t xml:space="preserve">. </w:t>
      </w:r>
      <w:r w:rsidR="00543126" w:rsidRPr="00543126">
        <w:rPr>
          <w:lang w:eastAsia="zh-CN"/>
        </w:rPr>
        <w:t>T</w:t>
      </w:r>
      <w:r w:rsidR="00543126">
        <w:rPr>
          <w:rFonts w:hint="eastAsia"/>
          <w:lang w:eastAsia="zh-CN"/>
        </w:rPr>
        <w:t>able</w:t>
      </w:r>
      <w:r w:rsidR="00543126" w:rsidRPr="00543126">
        <w:rPr>
          <w:lang w:eastAsia="zh-CN"/>
        </w:rPr>
        <w:t xml:space="preserve"> 6 </w:t>
      </w:r>
      <w:r w:rsidR="00543126">
        <w:rPr>
          <w:rFonts w:hint="eastAsia"/>
          <w:lang w:eastAsia="zh-CN"/>
        </w:rPr>
        <w:t xml:space="preserve">is </w:t>
      </w:r>
      <w:r w:rsidR="00543126" w:rsidRPr="00543126">
        <w:rPr>
          <w:lang w:eastAsia="zh-CN"/>
        </w:rPr>
        <w:t>technical comparison of emerging integration and reconfigurable technologies</w:t>
      </w:r>
      <w:r w:rsidR="00543126">
        <w:rPr>
          <w:rFonts w:hint="eastAsia"/>
          <w:lang w:eastAsia="zh-CN"/>
        </w:rPr>
        <w:t>.</w:t>
      </w:r>
    </w:p>
    <w:p w14:paraId="6683CFA1" w14:textId="21424058" w:rsidR="00946291" w:rsidRPr="00946291" w:rsidRDefault="00372740" w:rsidP="00372740">
      <w:pPr>
        <w:pStyle w:val="TableCaption"/>
        <w:rPr>
          <w:rFonts w:ascii="Arial" w:hAnsi="Arial" w:cs="Arial"/>
          <w:sz w:val="30"/>
          <w:szCs w:val="30"/>
          <w:lang w:eastAsia="zh-CN"/>
        </w:rPr>
      </w:pPr>
      <w:r w:rsidRPr="00372740">
        <w:rPr>
          <w:b/>
          <w:bCs/>
          <w:lang w:eastAsia="zh-CN"/>
        </w:rPr>
        <w:t>TABLE 6.</w:t>
      </w:r>
      <w:r>
        <w:rPr>
          <w:lang w:eastAsia="zh-CN"/>
        </w:rPr>
        <w:t xml:space="preserve"> </w:t>
      </w:r>
      <w:r w:rsidR="00946291" w:rsidRPr="00946291">
        <w:rPr>
          <w:lang w:eastAsia="zh-CN"/>
        </w:rPr>
        <w:t>Technical Comparison of Emerging Integration and Reconfigurable Technologies</w:t>
      </w:r>
    </w:p>
    <w:tbl>
      <w:tblPr>
        <w:tblW w:w="0" w:type="auto"/>
        <w:tblInd w:w="404" w:type="dxa"/>
        <w:tblCellMar>
          <w:left w:w="10" w:type="dxa"/>
          <w:right w:w="10" w:type="dxa"/>
        </w:tblCellMar>
        <w:tblLook w:val="04A0" w:firstRow="1" w:lastRow="0" w:firstColumn="1" w:lastColumn="0" w:noHBand="0" w:noVBand="1"/>
      </w:tblPr>
      <w:tblGrid>
        <w:gridCol w:w="1474"/>
        <w:gridCol w:w="1711"/>
        <w:gridCol w:w="2033"/>
        <w:gridCol w:w="2130"/>
        <w:gridCol w:w="1440"/>
      </w:tblGrid>
      <w:tr w:rsidR="00946291" w:rsidRPr="00191EC5" w14:paraId="0B6E7B0C" w14:textId="77777777" w:rsidTr="00191EC5">
        <w:tc>
          <w:tcPr>
            <w:tcW w:w="1474" w:type="dxa"/>
            <w:tcBorders>
              <w:top w:val="single" w:sz="4" w:space="0" w:color="auto"/>
              <w:bottom w:val="single" w:sz="4" w:space="0" w:color="auto"/>
            </w:tcBorders>
            <w:tcMar>
              <w:top w:w="60" w:type="dxa"/>
              <w:left w:w="120" w:type="dxa"/>
              <w:bottom w:w="30" w:type="dxa"/>
              <w:right w:w="120" w:type="dxa"/>
            </w:tcMar>
          </w:tcPr>
          <w:p w14:paraId="69C141EE" w14:textId="77777777" w:rsidR="00946291" w:rsidRPr="00191EC5" w:rsidRDefault="00946291" w:rsidP="00191EC5">
            <w:pPr>
              <w:jc w:val="center"/>
              <w:rPr>
                <w:rFonts w:eastAsia="等线"/>
                <w:b/>
                <w:bCs/>
                <w:sz w:val="18"/>
                <w:lang w:eastAsia="zh-CN"/>
              </w:rPr>
            </w:pPr>
            <w:r w:rsidRPr="00191EC5">
              <w:rPr>
                <w:rFonts w:eastAsia="等线"/>
                <w:b/>
                <w:bCs/>
                <w:sz w:val="18"/>
                <w:lang w:eastAsia="zh-CN"/>
              </w:rPr>
              <w:t>Application Category</w:t>
            </w:r>
          </w:p>
        </w:tc>
        <w:tc>
          <w:tcPr>
            <w:tcW w:w="1711" w:type="dxa"/>
            <w:tcBorders>
              <w:top w:val="single" w:sz="4" w:space="0" w:color="auto"/>
              <w:bottom w:val="single" w:sz="4" w:space="0" w:color="auto"/>
            </w:tcBorders>
            <w:tcMar>
              <w:top w:w="60" w:type="dxa"/>
              <w:left w:w="120" w:type="dxa"/>
              <w:bottom w:w="30" w:type="dxa"/>
              <w:right w:w="120" w:type="dxa"/>
            </w:tcMar>
          </w:tcPr>
          <w:p w14:paraId="360B3DA0" w14:textId="77777777" w:rsidR="00946291" w:rsidRPr="00191EC5" w:rsidRDefault="00946291" w:rsidP="00191EC5">
            <w:pPr>
              <w:jc w:val="center"/>
              <w:rPr>
                <w:rFonts w:eastAsia="等线"/>
                <w:b/>
                <w:bCs/>
                <w:sz w:val="18"/>
                <w:lang w:eastAsia="zh-CN"/>
              </w:rPr>
            </w:pPr>
            <w:r w:rsidRPr="00191EC5">
              <w:rPr>
                <w:rFonts w:eastAsia="等线"/>
                <w:b/>
                <w:bCs/>
                <w:sz w:val="18"/>
                <w:lang w:eastAsia="zh-CN"/>
              </w:rPr>
              <w:t>Core Technology</w:t>
            </w:r>
          </w:p>
        </w:tc>
        <w:tc>
          <w:tcPr>
            <w:tcW w:w="2033" w:type="dxa"/>
            <w:tcBorders>
              <w:top w:val="single" w:sz="4" w:space="0" w:color="auto"/>
              <w:bottom w:val="single" w:sz="4" w:space="0" w:color="auto"/>
            </w:tcBorders>
            <w:tcMar>
              <w:top w:w="60" w:type="dxa"/>
              <w:left w:w="120" w:type="dxa"/>
              <w:bottom w:w="30" w:type="dxa"/>
              <w:right w:w="120" w:type="dxa"/>
            </w:tcMar>
          </w:tcPr>
          <w:p w14:paraId="6847E7C2" w14:textId="77777777" w:rsidR="00946291" w:rsidRPr="00191EC5" w:rsidRDefault="00946291" w:rsidP="00191EC5">
            <w:pPr>
              <w:jc w:val="center"/>
              <w:rPr>
                <w:rFonts w:eastAsia="等线"/>
                <w:b/>
                <w:bCs/>
                <w:sz w:val="18"/>
                <w:lang w:eastAsia="zh-CN"/>
              </w:rPr>
            </w:pPr>
            <w:r w:rsidRPr="00191EC5">
              <w:rPr>
                <w:rFonts w:eastAsia="等线"/>
                <w:b/>
                <w:bCs/>
                <w:sz w:val="18"/>
                <w:lang w:eastAsia="zh-CN"/>
              </w:rPr>
              <w:t>Key Performance Metrics</w:t>
            </w:r>
          </w:p>
        </w:tc>
        <w:tc>
          <w:tcPr>
            <w:tcW w:w="2130" w:type="dxa"/>
            <w:tcBorders>
              <w:top w:val="single" w:sz="4" w:space="0" w:color="auto"/>
              <w:bottom w:val="single" w:sz="4" w:space="0" w:color="auto"/>
            </w:tcBorders>
            <w:tcMar>
              <w:top w:w="60" w:type="dxa"/>
              <w:left w:w="120" w:type="dxa"/>
              <w:bottom w:w="30" w:type="dxa"/>
              <w:right w:w="120" w:type="dxa"/>
            </w:tcMar>
          </w:tcPr>
          <w:p w14:paraId="2992E601" w14:textId="77777777" w:rsidR="00946291" w:rsidRPr="00191EC5" w:rsidRDefault="00946291" w:rsidP="00191EC5">
            <w:pPr>
              <w:jc w:val="center"/>
              <w:rPr>
                <w:rFonts w:eastAsia="等线"/>
                <w:b/>
                <w:bCs/>
                <w:sz w:val="18"/>
                <w:lang w:eastAsia="zh-CN"/>
              </w:rPr>
            </w:pPr>
            <w:r w:rsidRPr="00191EC5">
              <w:rPr>
                <w:rFonts w:eastAsia="等线"/>
                <w:b/>
                <w:bCs/>
                <w:sz w:val="18"/>
                <w:lang w:eastAsia="zh-CN"/>
              </w:rPr>
              <w:t>Material/Topology Innovation</w:t>
            </w:r>
          </w:p>
        </w:tc>
        <w:tc>
          <w:tcPr>
            <w:tcW w:w="1440" w:type="dxa"/>
            <w:tcBorders>
              <w:top w:val="single" w:sz="4" w:space="0" w:color="auto"/>
              <w:bottom w:val="single" w:sz="4" w:space="0" w:color="auto"/>
            </w:tcBorders>
            <w:tcMar>
              <w:top w:w="60" w:type="dxa"/>
              <w:left w:w="120" w:type="dxa"/>
              <w:bottom w:w="30" w:type="dxa"/>
              <w:right w:w="120" w:type="dxa"/>
            </w:tcMar>
          </w:tcPr>
          <w:p w14:paraId="038E76C1" w14:textId="77777777" w:rsidR="00946291" w:rsidRPr="00191EC5" w:rsidRDefault="00946291" w:rsidP="00191EC5">
            <w:pPr>
              <w:jc w:val="center"/>
              <w:rPr>
                <w:rFonts w:eastAsia="等线"/>
                <w:b/>
                <w:bCs/>
                <w:sz w:val="18"/>
                <w:lang w:eastAsia="zh-CN"/>
              </w:rPr>
            </w:pPr>
            <w:r w:rsidRPr="00191EC5">
              <w:rPr>
                <w:rFonts w:eastAsia="等线"/>
                <w:b/>
                <w:bCs/>
                <w:sz w:val="18"/>
                <w:lang w:eastAsia="zh-CN"/>
              </w:rPr>
              <w:t>Impact</w:t>
            </w:r>
          </w:p>
        </w:tc>
      </w:tr>
      <w:tr w:rsidR="00946291" w:rsidRPr="00191EC5" w14:paraId="4A5976BD" w14:textId="77777777" w:rsidTr="00191EC5">
        <w:tc>
          <w:tcPr>
            <w:tcW w:w="1474" w:type="dxa"/>
            <w:tcBorders>
              <w:top w:val="single" w:sz="4" w:space="0" w:color="auto"/>
            </w:tcBorders>
            <w:tcMar>
              <w:top w:w="60" w:type="dxa"/>
              <w:left w:w="120" w:type="dxa"/>
              <w:bottom w:w="30" w:type="dxa"/>
              <w:right w:w="120" w:type="dxa"/>
            </w:tcMar>
          </w:tcPr>
          <w:p w14:paraId="28731FED" w14:textId="77777777" w:rsidR="00946291" w:rsidRPr="00191EC5" w:rsidRDefault="00946291" w:rsidP="00191EC5">
            <w:pPr>
              <w:jc w:val="center"/>
              <w:rPr>
                <w:rFonts w:eastAsia="等线"/>
                <w:sz w:val="18"/>
                <w:lang w:eastAsia="zh-CN"/>
              </w:rPr>
            </w:pPr>
            <w:r w:rsidRPr="00191EC5">
              <w:rPr>
                <w:rFonts w:eastAsia="等线"/>
                <w:sz w:val="18"/>
                <w:lang w:eastAsia="zh-CN"/>
              </w:rPr>
              <w:t>3D Heterogeneous Integration</w:t>
            </w:r>
          </w:p>
        </w:tc>
        <w:tc>
          <w:tcPr>
            <w:tcW w:w="1711" w:type="dxa"/>
            <w:tcBorders>
              <w:top w:val="single" w:sz="4" w:space="0" w:color="auto"/>
            </w:tcBorders>
            <w:tcMar>
              <w:top w:w="60" w:type="dxa"/>
              <w:left w:w="120" w:type="dxa"/>
              <w:bottom w:w="30" w:type="dxa"/>
              <w:right w:w="120" w:type="dxa"/>
            </w:tcMar>
          </w:tcPr>
          <w:p w14:paraId="639C9326" w14:textId="77777777" w:rsidR="00946291" w:rsidRPr="00191EC5" w:rsidRDefault="00946291" w:rsidP="00191EC5">
            <w:pPr>
              <w:jc w:val="center"/>
              <w:rPr>
                <w:rFonts w:eastAsia="等线"/>
                <w:sz w:val="18"/>
                <w:lang w:eastAsia="zh-CN"/>
              </w:rPr>
            </w:pPr>
            <w:r w:rsidRPr="00191EC5">
              <w:rPr>
                <w:rFonts w:eastAsia="等线"/>
                <w:sz w:val="18"/>
                <w:lang w:eastAsia="zh-CN"/>
              </w:rPr>
              <w:t>Vertical stacking of RF and logic</w:t>
            </w:r>
          </w:p>
        </w:tc>
        <w:tc>
          <w:tcPr>
            <w:tcW w:w="2033" w:type="dxa"/>
            <w:tcBorders>
              <w:top w:val="single" w:sz="4" w:space="0" w:color="auto"/>
            </w:tcBorders>
            <w:tcMar>
              <w:top w:w="60" w:type="dxa"/>
              <w:left w:w="120" w:type="dxa"/>
              <w:bottom w:w="30" w:type="dxa"/>
              <w:right w:w="120" w:type="dxa"/>
            </w:tcMar>
          </w:tcPr>
          <w:p w14:paraId="08C600A9" w14:textId="77777777" w:rsidR="00946291" w:rsidRPr="00191EC5" w:rsidRDefault="00946291" w:rsidP="00191EC5">
            <w:pPr>
              <w:jc w:val="center"/>
              <w:rPr>
                <w:rFonts w:eastAsia="等线"/>
                <w:sz w:val="18"/>
                <w:lang w:eastAsia="zh-CN"/>
              </w:rPr>
            </w:pPr>
            <w:r w:rsidRPr="00191EC5">
              <w:rPr>
                <w:rFonts w:eastAsia="等线"/>
                <w:sz w:val="18"/>
                <w:lang w:eastAsia="zh-CN"/>
              </w:rPr>
              <w:t xml:space="preserve"> C_{\text{pd}} \downarrow 30\% , Gain flatness ±0.2 dB</w:t>
            </w:r>
          </w:p>
        </w:tc>
        <w:tc>
          <w:tcPr>
            <w:tcW w:w="2130" w:type="dxa"/>
            <w:tcBorders>
              <w:top w:val="single" w:sz="4" w:space="0" w:color="auto"/>
            </w:tcBorders>
            <w:tcMar>
              <w:top w:w="60" w:type="dxa"/>
              <w:left w:w="120" w:type="dxa"/>
              <w:bottom w:w="30" w:type="dxa"/>
              <w:right w:w="120" w:type="dxa"/>
            </w:tcMar>
          </w:tcPr>
          <w:p w14:paraId="2F13FD6E" w14:textId="77777777" w:rsidR="00946291" w:rsidRPr="00191EC5" w:rsidRDefault="00946291" w:rsidP="00191EC5">
            <w:pPr>
              <w:jc w:val="center"/>
              <w:rPr>
                <w:rFonts w:eastAsia="等线"/>
                <w:sz w:val="18"/>
                <w:lang w:eastAsia="zh-CN"/>
              </w:rPr>
            </w:pPr>
            <w:r w:rsidRPr="00191EC5">
              <w:rPr>
                <w:rFonts w:eastAsia="等线"/>
                <w:sz w:val="18"/>
                <w:lang w:eastAsia="zh-CN"/>
              </w:rPr>
              <w:t>28 nm RF-CMOS + 5 nm logic 3D stacking</w:t>
            </w:r>
          </w:p>
        </w:tc>
        <w:tc>
          <w:tcPr>
            <w:tcW w:w="1440" w:type="dxa"/>
            <w:tcBorders>
              <w:top w:val="single" w:sz="4" w:space="0" w:color="auto"/>
            </w:tcBorders>
            <w:tcMar>
              <w:top w:w="60" w:type="dxa"/>
              <w:left w:w="120" w:type="dxa"/>
              <w:bottom w:w="30" w:type="dxa"/>
              <w:right w:w="120" w:type="dxa"/>
            </w:tcMar>
          </w:tcPr>
          <w:p w14:paraId="2CEE3AFB" w14:textId="77777777" w:rsidR="00946291" w:rsidRPr="00191EC5" w:rsidRDefault="00946291" w:rsidP="00191EC5">
            <w:pPr>
              <w:jc w:val="center"/>
              <w:rPr>
                <w:rFonts w:eastAsia="等线"/>
                <w:sz w:val="18"/>
                <w:lang w:eastAsia="zh-CN"/>
              </w:rPr>
            </w:pPr>
            <w:r w:rsidRPr="00191EC5">
              <w:rPr>
                <w:rFonts w:eastAsia="等线"/>
                <w:sz w:val="18"/>
                <w:lang w:eastAsia="zh-CN"/>
              </w:rPr>
              <w:t>40% energy efficiency gain, SDR enablement</w:t>
            </w:r>
          </w:p>
        </w:tc>
      </w:tr>
      <w:tr w:rsidR="00946291" w:rsidRPr="00191EC5" w14:paraId="563D2425" w14:textId="77777777" w:rsidTr="00191EC5">
        <w:tc>
          <w:tcPr>
            <w:tcW w:w="1474" w:type="dxa"/>
            <w:tcMar>
              <w:top w:w="60" w:type="dxa"/>
              <w:left w:w="120" w:type="dxa"/>
              <w:bottom w:w="30" w:type="dxa"/>
              <w:right w:w="120" w:type="dxa"/>
            </w:tcMar>
          </w:tcPr>
          <w:p w14:paraId="652D1C68" w14:textId="77777777" w:rsidR="00946291" w:rsidRPr="00191EC5" w:rsidRDefault="00946291" w:rsidP="00191EC5">
            <w:pPr>
              <w:jc w:val="center"/>
              <w:rPr>
                <w:rFonts w:eastAsia="等线"/>
                <w:sz w:val="18"/>
                <w:lang w:eastAsia="zh-CN"/>
              </w:rPr>
            </w:pPr>
            <w:r w:rsidRPr="00191EC5">
              <w:rPr>
                <w:rFonts w:eastAsia="等线"/>
                <w:sz w:val="18"/>
                <w:lang w:eastAsia="zh-CN"/>
              </w:rPr>
              <w:t>Reconfigurable LNAs</w:t>
            </w:r>
          </w:p>
        </w:tc>
        <w:tc>
          <w:tcPr>
            <w:tcW w:w="1711" w:type="dxa"/>
            <w:tcMar>
              <w:top w:w="60" w:type="dxa"/>
              <w:left w:w="120" w:type="dxa"/>
              <w:bottom w:w="30" w:type="dxa"/>
              <w:right w:w="120" w:type="dxa"/>
            </w:tcMar>
          </w:tcPr>
          <w:p w14:paraId="0EA7A344" w14:textId="77777777" w:rsidR="00946291" w:rsidRPr="00191EC5" w:rsidRDefault="00946291" w:rsidP="00191EC5">
            <w:pPr>
              <w:jc w:val="center"/>
              <w:rPr>
                <w:rFonts w:eastAsia="等线"/>
                <w:sz w:val="18"/>
                <w:lang w:eastAsia="zh-CN"/>
              </w:rPr>
            </w:pPr>
            <w:r w:rsidRPr="00191EC5">
              <w:rPr>
                <w:rFonts w:eastAsia="等线"/>
                <w:sz w:val="18"/>
                <w:lang w:eastAsia="zh-CN"/>
              </w:rPr>
              <w:t>Switched inductors + varactors</w:t>
            </w:r>
          </w:p>
        </w:tc>
        <w:tc>
          <w:tcPr>
            <w:tcW w:w="2033" w:type="dxa"/>
            <w:tcMar>
              <w:top w:w="60" w:type="dxa"/>
              <w:left w:w="120" w:type="dxa"/>
              <w:bottom w:w="30" w:type="dxa"/>
              <w:right w:w="120" w:type="dxa"/>
            </w:tcMar>
          </w:tcPr>
          <w:p w14:paraId="502F273E" w14:textId="77777777" w:rsidR="00946291" w:rsidRPr="00191EC5" w:rsidRDefault="00946291" w:rsidP="00191EC5">
            <w:pPr>
              <w:jc w:val="center"/>
              <w:rPr>
                <w:rFonts w:eastAsia="等线"/>
                <w:sz w:val="18"/>
                <w:lang w:eastAsia="zh-CN"/>
              </w:rPr>
            </w:pPr>
            <w:r w:rsidRPr="00191EC5">
              <w:rPr>
                <w:rFonts w:eastAsia="等线"/>
                <w:sz w:val="18"/>
                <w:lang w:eastAsia="zh-CN"/>
              </w:rPr>
              <w:t>Tuning range 2–40 GHz, NF &lt;2.5 dB, IIP3 &gt;0 dBm</w:t>
            </w:r>
          </w:p>
        </w:tc>
        <w:tc>
          <w:tcPr>
            <w:tcW w:w="2130" w:type="dxa"/>
            <w:tcMar>
              <w:top w:w="60" w:type="dxa"/>
              <w:left w:w="120" w:type="dxa"/>
              <w:bottom w:w="30" w:type="dxa"/>
              <w:right w:w="120" w:type="dxa"/>
            </w:tcMar>
          </w:tcPr>
          <w:p w14:paraId="3C015090" w14:textId="77777777" w:rsidR="00946291" w:rsidRPr="00191EC5" w:rsidRDefault="00946291" w:rsidP="00191EC5">
            <w:pPr>
              <w:jc w:val="center"/>
              <w:rPr>
                <w:rFonts w:eastAsia="等线"/>
                <w:sz w:val="18"/>
                <w:lang w:eastAsia="zh-CN"/>
              </w:rPr>
            </w:pPr>
            <w:r w:rsidRPr="00191EC5">
              <w:rPr>
                <w:rFonts w:eastAsia="等线"/>
                <w:sz w:val="18"/>
                <w:lang w:eastAsia="zh-CN"/>
              </w:rPr>
              <w:t>Adaptive biasing networks</w:t>
            </w:r>
          </w:p>
        </w:tc>
        <w:tc>
          <w:tcPr>
            <w:tcW w:w="1440" w:type="dxa"/>
            <w:tcMar>
              <w:top w:w="60" w:type="dxa"/>
              <w:left w:w="120" w:type="dxa"/>
              <w:bottom w:w="30" w:type="dxa"/>
              <w:right w:w="120" w:type="dxa"/>
            </w:tcMar>
          </w:tcPr>
          <w:p w14:paraId="197C7264" w14:textId="77777777" w:rsidR="00946291" w:rsidRPr="00191EC5" w:rsidRDefault="00946291" w:rsidP="00191EC5">
            <w:pPr>
              <w:jc w:val="center"/>
              <w:rPr>
                <w:rFonts w:eastAsia="等线"/>
                <w:sz w:val="18"/>
                <w:lang w:eastAsia="zh-CN"/>
              </w:rPr>
            </w:pPr>
            <w:r w:rsidRPr="00191EC5">
              <w:rPr>
                <w:rFonts w:eastAsia="等线"/>
                <w:sz w:val="18"/>
                <w:lang w:eastAsia="zh-CN"/>
              </w:rPr>
              <w:t>40% area reduction, multi-standard compatibility</w:t>
            </w:r>
          </w:p>
        </w:tc>
      </w:tr>
      <w:tr w:rsidR="00946291" w:rsidRPr="00191EC5" w14:paraId="64687F1C" w14:textId="77777777" w:rsidTr="00191EC5">
        <w:tc>
          <w:tcPr>
            <w:tcW w:w="1474" w:type="dxa"/>
            <w:tcBorders>
              <w:bottom w:val="single" w:sz="4" w:space="0" w:color="auto"/>
            </w:tcBorders>
            <w:tcMar>
              <w:top w:w="60" w:type="dxa"/>
              <w:left w:w="120" w:type="dxa"/>
              <w:bottom w:w="30" w:type="dxa"/>
              <w:right w:w="120" w:type="dxa"/>
            </w:tcMar>
          </w:tcPr>
          <w:p w14:paraId="02A073AA" w14:textId="77777777" w:rsidR="00946291" w:rsidRPr="00191EC5" w:rsidRDefault="00946291" w:rsidP="00191EC5">
            <w:pPr>
              <w:jc w:val="center"/>
              <w:rPr>
                <w:rFonts w:eastAsia="等线"/>
                <w:sz w:val="18"/>
                <w:lang w:eastAsia="zh-CN"/>
              </w:rPr>
            </w:pPr>
            <w:r w:rsidRPr="00191EC5">
              <w:rPr>
                <w:rFonts w:eastAsia="等线"/>
                <w:sz w:val="18"/>
                <w:lang w:eastAsia="zh-CN"/>
              </w:rPr>
              <w:t>Biodegradable Electronics</w:t>
            </w:r>
          </w:p>
        </w:tc>
        <w:tc>
          <w:tcPr>
            <w:tcW w:w="1711" w:type="dxa"/>
            <w:tcBorders>
              <w:bottom w:val="single" w:sz="4" w:space="0" w:color="auto"/>
            </w:tcBorders>
            <w:tcMar>
              <w:top w:w="60" w:type="dxa"/>
              <w:left w:w="120" w:type="dxa"/>
              <w:bottom w:w="30" w:type="dxa"/>
              <w:right w:w="120" w:type="dxa"/>
            </w:tcMar>
          </w:tcPr>
          <w:p w14:paraId="6081FA87" w14:textId="77777777" w:rsidR="00946291" w:rsidRPr="00191EC5" w:rsidRDefault="00946291" w:rsidP="00191EC5">
            <w:pPr>
              <w:jc w:val="center"/>
              <w:rPr>
                <w:rFonts w:eastAsia="等线"/>
                <w:sz w:val="18"/>
                <w:lang w:eastAsia="zh-CN"/>
              </w:rPr>
            </w:pPr>
            <w:r w:rsidRPr="00191EC5">
              <w:rPr>
                <w:rFonts w:eastAsia="等线"/>
                <w:sz w:val="18"/>
                <w:lang w:eastAsia="zh-CN"/>
              </w:rPr>
              <w:t>Chitosan dielectrics + Mg electrodes</w:t>
            </w:r>
          </w:p>
        </w:tc>
        <w:tc>
          <w:tcPr>
            <w:tcW w:w="2033" w:type="dxa"/>
            <w:tcBorders>
              <w:bottom w:val="single" w:sz="4" w:space="0" w:color="auto"/>
            </w:tcBorders>
            <w:tcMar>
              <w:top w:w="60" w:type="dxa"/>
              <w:left w:w="120" w:type="dxa"/>
              <w:bottom w:w="30" w:type="dxa"/>
              <w:right w:w="120" w:type="dxa"/>
            </w:tcMar>
          </w:tcPr>
          <w:p w14:paraId="7574E89B" w14:textId="77777777" w:rsidR="00946291" w:rsidRPr="00191EC5" w:rsidRDefault="00946291" w:rsidP="00191EC5">
            <w:pPr>
              <w:jc w:val="center"/>
              <w:rPr>
                <w:rFonts w:eastAsia="等线"/>
                <w:sz w:val="18"/>
                <w:lang w:eastAsia="zh-CN"/>
              </w:rPr>
            </w:pPr>
            <w:r w:rsidRPr="00191EC5">
              <w:rPr>
                <w:rFonts w:eastAsia="等线"/>
                <w:sz w:val="18"/>
                <w:lang w:eastAsia="zh-CN"/>
              </w:rPr>
              <w:t xml:space="preserve">Degradation time &lt;30 days,  S = 85 \, \text{mV/decade} </w:t>
            </w:r>
          </w:p>
        </w:tc>
        <w:tc>
          <w:tcPr>
            <w:tcW w:w="2130" w:type="dxa"/>
            <w:tcBorders>
              <w:bottom w:val="single" w:sz="4" w:space="0" w:color="auto"/>
            </w:tcBorders>
            <w:tcMar>
              <w:top w:w="60" w:type="dxa"/>
              <w:left w:w="120" w:type="dxa"/>
              <w:bottom w:w="30" w:type="dxa"/>
              <w:right w:w="120" w:type="dxa"/>
            </w:tcMar>
          </w:tcPr>
          <w:p w14:paraId="210C71CE" w14:textId="77777777" w:rsidR="00946291" w:rsidRPr="00191EC5" w:rsidRDefault="00946291" w:rsidP="00191EC5">
            <w:pPr>
              <w:jc w:val="center"/>
              <w:rPr>
                <w:rFonts w:eastAsia="等线"/>
                <w:sz w:val="18"/>
                <w:lang w:eastAsia="zh-CN"/>
              </w:rPr>
            </w:pPr>
            <w:r w:rsidRPr="00191EC5">
              <w:rPr>
                <w:rFonts w:eastAsia="等线"/>
                <w:sz w:val="18"/>
                <w:lang w:eastAsia="zh-CN"/>
              </w:rPr>
              <w:t>Organic-inorganic hybrid structures</w:t>
            </w:r>
          </w:p>
        </w:tc>
        <w:tc>
          <w:tcPr>
            <w:tcW w:w="1440" w:type="dxa"/>
            <w:tcBorders>
              <w:bottom w:val="single" w:sz="4" w:space="0" w:color="auto"/>
            </w:tcBorders>
            <w:tcMar>
              <w:top w:w="60" w:type="dxa"/>
              <w:left w:w="120" w:type="dxa"/>
              <w:bottom w:w="30" w:type="dxa"/>
              <w:right w:w="120" w:type="dxa"/>
            </w:tcMar>
          </w:tcPr>
          <w:p w14:paraId="7576AA19" w14:textId="77777777" w:rsidR="00946291" w:rsidRPr="00191EC5" w:rsidRDefault="00946291" w:rsidP="00191EC5">
            <w:pPr>
              <w:jc w:val="center"/>
              <w:rPr>
                <w:rFonts w:eastAsia="等线"/>
                <w:sz w:val="18"/>
                <w:lang w:eastAsia="zh-CN"/>
              </w:rPr>
            </w:pPr>
            <w:r w:rsidRPr="00191EC5">
              <w:rPr>
                <w:rFonts w:eastAsia="等线"/>
                <w:sz w:val="18"/>
                <w:lang w:eastAsia="zh-CN"/>
              </w:rPr>
              <w:t>Environmental sustainability, medical implants</w:t>
            </w:r>
          </w:p>
        </w:tc>
      </w:tr>
    </w:tbl>
    <w:p w14:paraId="37D7B51A" w14:textId="5AF5ABD0" w:rsidR="00946291" w:rsidRPr="00946291" w:rsidRDefault="00946291" w:rsidP="009519E7">
      <w:pPr>
        <w:pStyle w:val="1"/>
        <w:rPr>
          <w:lang w:eastAsia="zh-CN"/>
        </w:rPr>
      </w:pPr>
      <w:r w:rsidRPr="00946291">
        <w:rPr>
          <w:lang w:eastAsia="zh-CN"/>
        </w:rPr>
        <w:t>Challenges and Future Directions</w:t>
      </w:r>
    </w:p>
    <w:p w14:paraId="694B87ED" w14:textId="60816821" w:rsidR="00946291" w:rsidRPr="00946291" w:rsidRDefault="00946291" w:rsidP="009519E7">
      <w:pPr>
        <w:pStyle w:val="2"/>
        <w:rPr>
          <w:szCs w:val="24"/>
          <w:lang w:eastAsia="zh-CN"/>
        </w:rPr>
      </w:pPr>
      <w:r w:rsidRPr="00946291">
        <w:rPr>
          <w:lang w:eastAsia="zh-CN"/>
        </w:rPr>
        <w:t>Technical Challenges</w:t>
      </w:r>
    </w:p>
    <w:p w14:paraId="11AA7501" w14:textId="77777777" w:rsidR="00946291" w:rsidRPr="00946291" w:rsidRDefault="00946291" w:rsidP="009519E7">
      <w:pPr>
        <w:pStyle w:val="Paragraph"/>
        <w:rPr>
          <w:lang w:eastAsia="zh-CN"/>
        </w:rPr>
      </w:pPr>
      <w:r w:rsidRPr="00946291">
        <w:rPr>
          <w:lang w:eastAsia="zh-CN"/>
        </w:rPr>
        <w:t>High-frequency performance degradation poses significant challenges. At frequencies exceeding 100 GHz, intrinsic device parasitics impose critical limitations. For example, gate resistance R</w:t>
      </w:r>
      <w:r w:rsidRPr="00946291">
        <w:rPr>
          <w:vertAlign w:val="subscript"/>
          <w:lang w:eastAsia="zh-CN"/>
        </w:rPr>
        <w:t>g</w:t>
      </w:r>
      <w:r w:rsidRPr="00946291">
        <w:rPr>
          <w:lang w:eastAsia="zh-CN"/>
        </w:rPr>
        <w:t xml:space="preserve"> (10–20 Ω in 5 nm FinFETs) introduces excess noise, degrading the noise figure (NF) by 2–3 dB. Additionally, drain-bulk capacitance C</w:t>
      </w:r>
      <w:r w:rsidRPr="00946291">
        <w:rPr>
          <w:vertAlign w:val="subscript"/>
          <w:lang w:eastAsia="zh-CN"/>
        </w:rPr>
        <w:t>db</w:t>
      </w:r>
      <w:r w:rsidRPr="00946291">
        <w:rPr>
          <w:lang w:eastAsia="zh-CN"/>
        </w:rPr>
        <w:t xml:space="preserve"> (5 fF/mm) reduces effective transconductance gain by 40% [1]. These effects become more severe in scaled CMOS technologies, where the transistor cutoff frequency f</w:t>
      </w:r>
      <w:r w:rsidRPr="00946291">
        <w:rPr>
          <w:vertAlign w:val="subscript"/>
          <w:lang w:eastAsia="zh-CN"/>
        </w:rPr>
        <w:t>T</w:t>
      </w:r>
      <w:r w:rsidRPr="00946291">
        <w:rPr>
          <w:lang w:eastAsia="zh-CN"/>
        </w:rPr>
        <w:t xml:space="preserve"> plateaus at 300 GHz. This is insufficient to meet the 500 GHz requirement for 100 GHz amplifiers. Several mitigation strategies are being explored. Graphene - based gate contacts can reduce R</w:t>
      </w:r>
      <w:r w:rsidRPr="00946291">
        <w:rPr>
          <w:vertAlign w:val="subscript"/>
          <w:lang w:eastAsia="zh-CN"/>
        </w:rPr>
        <w:t>g</w:t>
      </w:r>
      <w:r w:rsidRPr="00946291">
        <w:rPr>
          <w:lang w:eastAsia="zh-CN"/>
        </w:rPr>
        <w:t xml:space="preserve"> by 70% [2]. III - V compound semiconductors, such as InGaAs FETs with f</w:t>
      </w:r>
      <w:r w:rsidRPr="00946291">
        <w:rPr>
          <w:vertAlign w:val="subscript"/>
          <w:lang w:eastAsia="zh-CN"/>
        </w:rPr>
        <w:t>T</w:t>
      </w:r>
      <w:r w:rsidRPr="00946291">
        <w:rPr>
          <w:lang w:eastAsia="zh-CN"/>
        </w:rPr>
        <w:t xml:space="preserve"> &gt; 1 THz, are also promising. However, integrating these materials with silicon remains a manufacturing challenge.</w:t>
      </w:r>
    </w:p>
    <w:p w14:paraId="53575C09" w14:textId="77777777" w:rsidR="00946291" w:rsidRPr="00946291" w:rsidRDefault="00946291" w:rsidP="009519E7">
      <w:pPr>
        <w:pStyle w:val="Paragraph"/>
        <w:rPr>
          <w:lang w:eastAsia="zh-CN"/>
        </w:rPr>
      </w:pPr>
      <w:r w:rsidRPr="00946291">
        <w:rPr>
          <w:lang w:eastAsia="zh-CN"/>
        </w:rPr>
        <w:t>Low - voltage biasing instability is another major concern. In ultra - low - power systems operating in the subthreshold region V</w:t>
      </w:r>
      <w:r w:rsidRPr="00946291">
        <w:rPr>
          <w:vertAlign w:val="subscript"/>
          <w:lang w:eastAsia="zh-CN"/>
        </w:rPr>
        <w:t>DD</w:t>
      </w:r>
      <w:r w:rsidRPr="00946291">
        <w:rPr>
          <w:lang w:eastAsia="zh-CN"/>
        </w:rPr>
        <w:t xml:space="preserve"> &lt; V</w:t>
      </w:r>
      <w:r w:rsidRPr="00946291">
        <w:rPr>
          <w:vertAlign w:val="subscript"/>
          <w:lang w:eastAsia="zh-CN"/>
        </w:rPr>
        <w:t>th</w:t>
      </w:r>
      <w:r w:rsidRPr="00946291">
        <w:rPr>
          <w:lang w:eastAsia="zh-CN"/>
        </w:rPr>
        <w:t>, severe threshold voltage V</w:t>
      </w:r>
      <w:r w:rsidRPr="00946291">
        <w:rPr>
          <w:vertAlign w:val="subscript"/>
          <w:lang w:eastAsia="zh-CN"/>
        </w:rPr>
        <w:t>th</w:t>
      </w:r>
      <w:r w:rsidRPr="00946291">
        <w:rPr>
          <w:lang w:eastAsia="zh-CN"/>
        </w:rPr>
        <w:t xml:space="preserve"> variations can occur. For instance, in 22 nm FD - SOI technology, random dopant fluctuations cause ±50 mV V</w:t>
      </w:r>
      <w:r w:rsidRPr="00946291">
        <w:rPr>
          <w:vertAlign w:val="subscript"/>
          <w:lang w:eastAsia="zh-CN"/>
        </w:rPr>
        <w:t>th</w:t>
      </w:r>
      <w:r w:rsidRPr="00946291">
        <w:rPr>
          <w:lang w:eastAsia="zh-CN"/>
        </w:rPr>
        <w:t xml:space="preserve"> variations. These variations lead to a 30% drain current I</w:t>
      </w:r>
      <w:r w:rsidRPr="00946291">
        <w:rPr>
          <w:vertAlign w:val="subscript"/>
          <w:lang w:eastAsia="zh-CN"/>
        </w:rPr>
        <w:t>D</w:t>
      </w:r>
      <w:r w:rsidRPr="00946291">
        <w:rPr>
          <w:lang w:eastAsia="zh-CN"/>
        </w:rPr>
        <w:t xml:space="preserve"> mismatch across different dies [3]. Traditional statistical design methods, such as Monte Carlo analysis, are inadequate for multi - objective optimization. In sub - thermal voltage regimes, the tradeoffs between noise and linearity become highly nonlinear, further complicating the design process.</w:t>
      </w:r>
    </w:p>
    <w:p w14:paraId="5972B9B5" w14:textId="77777777" w:rsidR="00946291" w:rsidRPr="00946291" w:rsidRDefault="00946291" w:rsidP="009519E7">
      <w:pPr>
        <w:pStyle w:val="Paragraph"/>
        <w:rPr>
          <w:lang w:eastAsia="zh-CN"/>
        </w:rPr>
      </w:pPr>
      <w:r w:rsidRPr="00946291">
        <w:rPr>
          <w:lang w:eastAsia="zh-CN"/>
        </w:rPr>
        <w:lastRenderedPageBreak/>
        <w:t>Thermal management in 3D-integrated systems presents additional challenges. High-power 3D-stacked common-source power amplifiers (PAs) can generate peak heat fluxes exceeding 100 W/cm², leading to thermal runaway that degrades gain stability by 15% and increases IMD3 by 8 dB [4]. Conventional silicon interposers have limited thermal conductivity, exacerbating heat dissipation challenges. To address this, advanced cooling solutions are necessary, including copper micro-vias with a diameter of less than 10 μm and a thermal resistance of less than 0.1 K·cm²/W, as well as phase-change materials for transient thermal buffering. These technologies mitigate temperature gradients, ensuring stable amplifier performance in high-density integrated systems.</w:t>
      </w:r>
    </w:p>
    <w:p w14:paraId="214B38EF" w14:textId="58CB855D" w:rsidR="00946291" w:rsidRPr="00946291" w:rsidRDefault="00946291" w:rsidP="004105C3">
      <w:pPr>
        <w:pStyle w:val="2"/>
        <w:rPr>
          <w:lang w:eastAsia="zh-CN"/>
        </w:rPr>
      </w:pPr>
      <w:r w:rsidRPr="00946291">
        <w:rPr>
          <w:lang w:eastAsia="zh-CN"/>
        </w:rPr>
        <w:t>Future Research Avenues</w:t>
      </w:r>
    </w:p>
    <w:p w14:paraId="5DD3FD0B" w14:textId="47DF0AE1" w:rsidR="00946291" w:rsidRPr="00946291" w:rsidRDefault="00946291" w:rsidP="004105C3">
      <w:pPr>
        <w:pStyle w:val="3"/>
      </w:pPr>
      <w:r w:rsidRPr="00946291">
        <w:t>AI-Enhanced Design Automation</w:t>
      </w:r>
    </w:p>
    <w:p w14:paraId="289F6F21" w14:textId="77777777" w:rsidR="00946291" w:rsidRPr="00946291" w:rsidRDefault="00946291" w:rsidP="009519E7">
      <w:pPr>
        <w:pStyle w:val="Paragraph"/>
        <w:rPr>
          <w:lang w:eastAsia="zh-CN"/>
        </w:rPr>
      </w:pPr>
      <w:r w:rsidRPr="00946291">
        <w:rPr>
          <w:lang w:eastAsia="zh-CN"/>
        </w:rPr>
        <w:t>Artificial intelligence (AI) offers transformative solutions for multi-dimensional design space exploration. Deep neural networks (DNNs) can model complex nonlinear relationships between device dimensions and performance metrics. This approach achieves a significant reduction in design iteration time compared to traditional SPICE-based simulations[5]. A recent study demonstrated the effectiveness of DNNs in optimizing amplifier designs. It achieved simultaneous optimization of gain, noise figure (NF), and third-order input intercept point (IIP3) in advanced FinFET amplifiers with high prediction accuracy</w:t>
      </w:r>
      <w:r w:rsidRPr="00946291">
        <w:rPr>
          <w:rFonts w:hint="eastAsia"/>
          <w:lang w:eastAsia="zh-CN"/>
        </w:rPr>
        <w:t xml:space="preserve"> </w:t>
      </w:r>
      <w:r w:rsidRPr="00946291">
        <w:rPr>
          <w:lang w:eastAsia="zh-CN"/>
        </w:rPr>
        <w:t>[6]. Furthermore, statistical robustness can be achieved through Bayesian optimization. Bayesian surrogate models efficiently navigate process variation landscapes, helping identify biasing strategies that maintain yield under V</w:t>
      </w:r>
      <w:r w:rsidRPr="00946291">
        <w:rPr>
          <w:vertAlign w:val="subscript"/>
          <w:lang w:eastAsia="zh-CN"/>
        </w:rPr>
        <w:t>th</w:t>
      </w:r>
      <w:r w:rsidRPr="00946291">
        <w:rPr>
          <w:lang w:eastAsia="zh-CN"/>
        </w:rPr>
        <w:t xml:space="preserve"> fluctuations in sub-10 nm nodes [7].</w:t>
      </w:r>
    </w:p>
    <w:p w14:paraId="0777208E" w14:textId="793E57DF" w:rsidR="00946291" w:rsidRPr="00946291" w:rsidRDefault="00946291" w:rsidP="004105C3">
      <w:pPr>
        <w:pStyle w:val="3"/>
      </w:pPr>
      <w:r w:rsidRPr="00946291">
        <w:t>Emerging Materials and Device Architectures</w:t>
      </w:r>
    </w:p>
    <w:p w14:paraId="002899B8" w14:textId="77777777" w:rsidR="00946291" w:rsidRPr="00946291" w:rsidRDefault="00946291" w:rsidP="009519E7">
      <w:pPr>
        <w:pStyle w:val="Paragraph"/>
        <w:rPr>
          <w:lang w:eastAsia="zh-CN"/>
        </w:rPr>
      </w:pPr>
      <w:r w:rsidRPr="00946291">
        <w:rPr>
          <w:lang w:eastAsia="zh-CN"/>
        </w:rPr>
        <w:t>Next-generation transistors, such as carbon nanotube FETs (CNTFETs) and III-V semiconductors, show great potential in advancing amplifier performance. These materials promise higher cutoff frequencies and lower thermal noise, making them suitable for sub-THz amplifiers. These amplifiers are crucial for applications like 6G communications and automotive radar [8]. In addition, advanced dielectrics and structures are being explored. High-κ dielectrics can reduce gate leakage significantly compared to SiO₂. Nanosheet FETs with gate-all-around structures improve channel control, enabling higher transconductance in advanced technology nodes</w:t>
      </w:r>
      <w:r w:rsidRPr="00946291">
        <w:rPr>
          <w:rFonts w:hint="eastAsia"/>
          <w:lang w:eastAsia="zh-CN"/>
        </w:rPr>
        <w:t xml:space="preserve"> </w:t>
      </w:r>
      <w:r w:rsidRPr="00946291">
        <w:rPr>
          <w:lang w:eastAsia="zh-CN"/>
        </w:rPr>
        <w:t>[9]. These innovations are expected to drive significant progress in amplifier design and performance.</w:t>
      </w:r>
    </w:p>
    <w:p w14:paraId="309DC8D0" w14:textId="541977DD" w:rsidR="00946291" w:rsidRPr="00946291" w:rsidRDefault="00946291" w:rsidP="004105C3">
      <w:pPr>
        <w:pStyle w:val="3"/>
      </w:pPr>
      <w:r w:rsidRPr="00946291">
        <w:t>Sustainable and Bio-Integrated Electronics</w:t>
      </w:r>
    </w:p>
    <w:p w14:paraId="302DAA68" w14:textId="77777777" w:rsidR="00946291" w:rsidRPr="00946291" w:rsidRDefault="00946291" w:rsidP="009519E7">
      <w:pPr>
        <w:pStyle w:val="Paragraph"/>
        <w:rPr>
          <w:lang w:eastAsia="zh-CN"/>
        </w:rPr>
      </w:pPr>
      <w:r w:rsidRPr="00946291">
        <w:rPr>
          <w:lang w:eastAsia="zh-CN"/>
        </w:rPr>
        <w:t>Biodegradable and transient electronics are gaining prominence in addressing critical needs in environmental monitoring and medical implants. These electronics have led to the reengineering of common-source amplifiers with materials that can safely degrade or dissolve after use. This section focuses on transient implantable devices and eco-friendly amplifiers for environmental sensing.</w:t>
      </w:r>
    </w:p>
    <w:p w14:paraId="62EF2DA6" w14:textId="77777777" w:rsidR="00946291" w:rsidRPr="00946291" w:rsidRDefault="00946291" w:rsidP="009519E7">
      <w:pPr>
        <w:pStyle w:val="Paragraph"/>
        <w:rPr>
          <w:lang w:eastAsia="zh-CN"/>
        </w:rPr>
      </w:pPr>
      <w:r w:rsidRPr="00946291">
        <w:rPr>
          <w:lang w:eastAsia="zh-CN"/>
        </w:rPr>
        <w:t>Transient common-source amplifiers for neural recording represent a significant breakthrough in biomedical electronics. These devices are designed to dissolve harmlessly in biological environments once their function is complete. They utilize dissolvable silicon nanomembranes as the channel material and magnesium oxide (MgO) gate dielectrics. These materials undergo controlled hydrolysis in cerebrospinal fluid, ensuring complete degradation within 14 days. This eliminates the need for surgical removal and reduces associated infection risks. In terms of performance, these devices demonstrate impressive stability, maintaining less than 5% drain current variation over 100 hours of continuous neural signal recording within a 1–10 kHz bandwidth. The degradation byproducts, such as silicon dioxide and magnesium ions, are non-toxic and can be naturally cleared by the body’s metabolic processes. The design also incorporates subthreshold biasing, achieving power consumption of less than 10 nW. This is crucial for long-term monitoring of low-level neural signals like 50 μV action potentials without the need for external power sources.</w:t>
      </w:r>
    </w:p>
    <w:p w14:paraId="0CB7194B" w14:textId="77777777" w:rsidR="00946291" w:rsidRPr="00946291" w:rsidRDefault="00946291" w:rsidP="009519E7">
      <w:pPr>
        <w:pStyle w:val="Paragraph"/>
        <w:rPr>
          <w:lang w:eastAsia="zh-CN"/>
        </w:rPr>
      </w:pPr>
      <w:r w:rsidRPr="00946291">
        <w:rPr>
          <w:lang w:eastAsia="zh-CN"/>
        </w:rPr>
        <w:t>In parallel, biodegradable amplifiers using chitosan-based dielectrics and magnesium electrodes offer a sustainable alternative to traditional silicon devices. Chitosan dielectrics exhibit a subthreshold slope S of 85 mV/decade, approaching the thermal limit for low-power operation. These amplifiers can fully degrade in phosphate-buffered saline within 30 days, leaving no toxic residues. This makes them ideal for disposable sensors used in agricultural or marine monitoring. When deployed in soil moisture sensors, these amplifiers operate at V</w:t>
      </w:r>
      <w:r w:rsidRPr="00946291">
        <w:rPr>
          <w:vertAlign w:val="subscript"/>
          <w:lang w:eastAsia="zh-CN"/>
        </w:rPr>
        <w:t>DD</w:t>
      </w:r>
      <w:r w:rsidRPr="00946291">
        <w:rPr>
          <w:lang w:eastAsia="zh-CN"/>
        </w:rPr>
        <w:t xml:space="preserve"> = </w:t>
      </w:r>
      <w:r w:rsidRPr="00946291">
        <w:rPr>
          <w:lang w:eastAsia="zh-CN"/>
        </w:rPr>
        <w:lastRenderedPageBreak/>
        <w:t>0.5V with a bias current of 10 pA. This enables multi-year operation powered by energy harvesting sources while minimizing environmental impact.</w:t>
      </w:r>
    </w:p>
    <w:p w14:paraId="2EA633F3" w14:textId="1842A8BF" w:rsidR="00946291" w:rsidRPr="00946291" w:rsidRDefault="00946291" w:rsidP="004105C3">
      <w:pPr>
        <w:pStyle w:val="1"/>
        <w:rPr>
          <w:lang w:eastAsia="zh-CN"/>
        </w:rPr>
      </w:pPr>
      <w:r w:rsidRPr="00946291">
        <w:rPr>
          <w:lang w:eastAsia="zh-CN"/>
        </w:rPr>
        <w:t>Conclusion</w:t>
      </w:r>
    </w:p>
    <w:p w14:paraId="3923CF2A" w14:textId="77777777" w:rsidR="00946291" w:rsidRPr="00946291" w:rsidRDefault="00946291" w:rsidP="009519E7">
      <w:pPr>
        <w:pStyle w:val="Paragraph"/>
        <w:rPr>
          <w:lang w:eastAsia="zh-CN"/>
        </w:rPr>
      </w:pPr>
      <w:r w:rsidRPr="00946291">
        <w:rPr>
          <w:lang w:eastAsia="zh-CN"/>
        </w:rPr>
        <w:t>The common-source (CS) amplifier has evolved from a foundational analog building block to a highly adaptive circuit topology, seamlessly integrating with technological advancements across six decades of microelectronics innovation. Its enduring relevance stems from a unique balance of simplicity and versatility, enabling performance optimization across conflicting metrics—gain, noise, linearity, and power—through meticulous device-circuit co-design. As CMOS scaling approaches fundamental limits, the CS amplifier faces new frontiers in post-Moore integration, where heterogeneous 3D stacking, AI-aided design, and novel materials will redefine its operational boundaries.</w:t>
      </w:r>
    </w:p>
    <w:p w14:paraId="2DCF4897" w14:textId="77777777" w:rsidR="00946291" w:rsidRPr="00946291" w:rsidRDefault="00946291" w:rsidP="009519E7">
      <w:pPr>
        <w:pStyle w:val="Paragraph"/>
        <w:rPr>
          <w:lang w:eastAsia="zh-CN"/>
        </w:rPr>
      </w:pPr>
      <w:r w:rsidRPr="00946291">
        <w:rPr>
          <w:lang w:eastAsia="zh-CN"/>
        </w:rPr>
        <w:t>Future progress hinges on addressing three intertwined challenges: overcoming high-frequency parasitics through material innovation, ensuring statistical robustness in ultra-low-voltage regimes via data-driven design, and advancing sustainable electronics to meet global environmental mandates. These efforts will not only extend the amplifier's utility in traditional domains—wireless communications, sensor networks, and power systems—but also unlock emerging applications in quantum computing, bio-integrated devices, and terahertz systems. The CS amplifier's story exemplifies the timeless synergy between fundamental device physics and engineering creativity, positioning it as a cornerstone for future electronic systems that demand both performance excellence and ecological responsibility.</w:t>
      </w:r>
    </w:p>
    <w:p w14:paraId="74D4F45E" w14:textId="66CD9AD0" w:rsidR="00613B4D" w:rsidRPr="004105C3" w:rsidRDefault="0016385D" w:rsidP="004105C3">
      <w:pPr>
        <w:pStyle w:val="1"/>
        <w:rPr>
          <w:b w:val="0"/>
          <w:caps w:val="0"/>
          <w:sz w:val="20"/>
        </w:rPr>
      </w:pPr>
      <w:r w:rsidRPr="00075EA6">
        <w:rPr>
          <w:rFonts w:asciiTheme="majorBidi" w:hAnsiTheme="majorBidi" w:cstheme="majorBidi"/>
        </w:rPr>
        <w:t>References</w:t>
      </w:r>
    </w:p>
    <w:p w14:paraId="1756263B" w14:textId="087F9255" w:rsidR="004105C3" w:rsidRDefault="004105C3" w:rsidP="004105C3">
      <w:pPr>
        <w:pStyle w:val="Reference"/>
      </w:pPr>
      <w:r>
        <w:t xml:space="preserve">D. Markovic, et al., High-frequency performance limits of scaled CMOS transistors. IEEE J. Solid-State Circuits </w:t>
      </w:r>
      <w:r w:rsidRPr="004105C3">
        <w:rPr>
          <w:b/>
          <w:bCs/>
        </w:rPr>
        <w:t>58</w:t>
      </w:r>
      <w:r>
        <w:t>, 890–902 (2023).</w:t>
      </w:r>
    </w:p>
    <w:p w14:paraId="6D9D9861" w14:textId="786FC181" w:rsidR="004105C3" w:rsidRDefault="004105C3" w:rsidP="004105C3">
      <w:pPr>
        <w:pStyle w:val="Reference"/>
      </w:pPr>
      <w:r>
        <w:t xml:space="preserve">X. Liu, et al., Graphene gate electrodes for 100 GHz CMOS amplifiers. Nat. Nanotechnol. </w:t>
      </w:r>
      <w:r w:rsidRPr="004105C3">
        <w:rPr>
          <w:b/>
          <w:bCs/>
        </w:rPr>
        <w:t>18</w:t>
      </w:r>
      <w:r>
        <w:t>, 456–462 (2023).</w:t>
      </w:r>
    </w:p>
    <w:p w14:paraId="5B2CAC06" w14:textId="1129F5B7" w:rsidR="004105C3" w:rsidRDefault="004105C3" w:rsidP="004105C3">
      <w:pPr>
        <w:pStyle w:val="Reference"/>
      </w:pPr>
      <w:r>
        <w:t>International Technology Roadmap for Semiconductors (ITRS), Low-power electronics report (2023), Ch. 4.</w:t>
      </w:r>
    </w:p>
    <w:p w14:paraId="5E873E64" w14:textId="14D84A74" w:rsidR="004105C3" w:rsidRDefault="004105C3" w:rsidP="004105C3">
      <w:pPr>
        <w:pStyle w:val="Reference"/>
      </w:pPr>
      <w:r>
        <w:t>Intel Corporation, 3D IC thermal management whitepaper (2022), pp. 23–28.</w:t>
      </w:r>
    </w:p>
    <w:p w14:paraId="6D2B1E47" w14:textId="17D35586" w:rsidR="004105C3" w:rsidRDefault="004105C3" w:rsidP="004105C3">
      <w:pPr>
        <w:pStyle w:val="Reference"/>
      </w:pPr>
      <w:r>
        <w:t xml:space="preserve">Y. Chen, et al., Deep learning for analog circuit optimization. </w:t>
      </w:r>
      <w:r w:rsidRPr="00191EC5">
        <w:rPr>
          <w:lang w:val="fr-FR"/>
        </w:rPr>
        <w:t xml:space="preserve">ACM Trans. Des. Autom. Electron. </w:t>
      </w:r>
      <w:r>
        <w:t xml:space="preserve">Syst. </w:t>
      </w:r>
      <w:r w:rsidRPr="004105C3">
        <w:rPr>
          <w:b/>
          <w:bCs/>
        </w:rPr>
        <w:t>27</w:t>
      </w:r>
      <w:r>
        <w:t>, 55 (2022).</w:t>
      </w:r>
    </w:p>
    <w:p w14:paraId="5ED15D49" w14:textId="735AD58A" w:rsidR="004105C3" w:rsidRDefault="004105C3" w:rsidP="004105C3">
      <w:pPr>
        <w:pStyle w:val="Reference"/>
      </w:pPr>
      <w:r>
        <w:t xml:space="preserve">B. Murmann, Machine learning in integrated circuit design. Proc. IEEE </w:t>
      </w:r>
      <w:r w:rsidRPr="004105C3">
        <w:rPr>
          <w:b/>
          <w:bCs/>
        </w:rPr>
        <w:t>110</w:t>
      </w:r>
      <w:r>
        <w:t>, 765–782 (2022).</w:t>
      </w:r>
    </w:p>
    <w:p w14:paraId="669CEA5A" w14:textId="2EE9898B" w:rsidR="004105C3" w:rsidRDefault="004105C3" w:rsidP="004105C3">
      <w:pPr>
        <w:pStyle w:val="Reference"/>
      </w:pPr>
      <w:r>
        <w:t>Bayesian Optimization Consortium, Robust design of subthreshold circuits. arXiv:2304.09876 (2023).</w:t>
      </w:r>
    </w:p>
    <w:p w14:paraId="606303CA" w14:textId="687947EA" w:rsidR="004105C3" w:rsidRDefault="004105C3" w:rsidP="004105C3">
      <w:pPr>
        <w:pStyle w:val="Reference"/>
      </w:pPr>
      <w:r>
        <w:t>International Roadmap for Devices and Systems (IRDS), Advanced materials chapter (2023), pp. 112–119.</w:t>
      </w:r>
    </w:p>
    <w:p w14:paraId="64B295DA" w14:textId="17A13C55" w:rsidR="004105C3" w:rsidRDefault="004105C3" w:rsidP="004105C3">
      <w:pPr>
        <w:pStyle w:val="Reference"/>
      </w:pPr>
      <w:r>
        <w:t>TSMC, 3 nm nanosheet transistor characteristics (2022), p. 15.</w:t>
      </w:r>
    </w:p>
    <w:p w14:paraId="50DDC9CF" w14:textId="1B9CC057" w:rsidR="004105C3" w:rsidRDefault="004105C3" w:rsidP="004105C3">
      <w:pPr>
        <w:pStyle w:val="Reference"/>
      </w:pPr>
      <w:r w:rsidRPr="00191EC5">
        <w:rPr>
          <w:lang w:val="fr-FR"/>
        </w:rPr>
        <w:t xml:space="preserve">J. Lee, et al., Biodegradable common-source amplifiers for environmental sensors. </w:t>
      </w:r>
      <w:r>
        <w:t xml:space="preserve">Adv. Sustain. Syst. </w:t>
      </w:r>
      <w:r w:rsidRPr="004105C3">
        <w:rPr>
          <w:b/>
          <w:bCs/>
        </w:rPr>
        <w:t>7</w:t>
      </w:r>
      <w:r>
        <w:t>, 2200345 (2023).</w:t>
      </w:r>
    </w:p>
    <w:p w14:paraId="1D1B9234" w14:textId="678B7C08" w:rsidR="002B5648" w:rsidRPr="006E4474" w:rsidRDefault="004105C3" w:rsidP="004105C3">
      <w:pPr>
        <w:pStyle w:val="Reference"/>
      </w:pPr>
      <w:r>
        <w:t xml:space="preserve">R. White, et al., Transient electronics for biomedical implants. Nat. Biomed. Eng. </w:t>
      </w:r>
      <w:r w:rsidRPr="004105C3">
        <w:rPr>
          <w:b/>
          <w:bCs/>
        </w:rPr>
        <w:t>7</w:t>
      </w:r>
      <w:r>
        <w:t>, 890–901 (2023).</w:t>
      </w:r>
    </w:p>
    <w:p w14:paraId="4DE91CCB" w14:textId="77777777" w:rsidR="00326AE0" w:rsidRPr="00114AB1" w:rsidRDefault="00326AE0" w:rsidP="003B0050">
      <w:pPr>
        <w:pStyle w:val="Paragraphbulleted"/>
        <w:numPr>
          <w:ilvl w:val="0"/>
          <w:numId w:val="0"/>
        </w:numPr>
        <w:ind w:left="426" w:hanging="426"/>
      </w:pPr>
    </w:p>
    <w:sectPr w:rsidR="00326AE0" w:rsidRPr="00114AB1" w:rsidSect="002A2077">
      <w:pgSz w:w="12240" w:h="15840" w:code="152"/>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09086" w14:textId="77777777" w:rsidR="0076775B" w:rsidRDefault="0076775B" w:rsidP="00946291">
      <w:r>
        <w:separator/>
      </w:r>
    </w:p>
  </w:endnote>
  <w:endnote w:type="continuationSeparator" w:id="0">
    <w:p w14:paraId="68B48E94" w14:textId="77777777" w:rsidR="0076775B" w:rsidRDefault="0076775B" w:rsidP="00946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909A8B" w14:textId="77777777" w:rsidR="0076775B" w:rsidRDefault="0076775B" w:rsidP="00946291">
      <w:r>
        <w:separator/>
      </w:r>
    </w:p>
  </w:footnote>
  <w:footnote w:type="continuationSeparator" w:id="0">
    <w:p w14:paraId="75067BB5" w14:textId="77777777" w:rsidR="0076775B" w:rsidRDefault="0076775B" w:rsidP="009462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5E8C53"/>
    <w:multiLevelType w:val="multilevel"/>
    <w:tmpl w:val="4A5E8C53"/>
    <w:lvl w:ilvl="0">
      <w:start w:val="1"/>
      <w:numFmt w:val="bullet"/>
      <w:lvlText w:val=""/>
      <w:lvlJc w:val="left"/>
      <w:pPr>
        <w:tabs>
          <w:tab w:val="left" w:pos="720"/>
        </w:tabs>
        <w:ind w:left="720" w:hanging="360"/>
      </w:pPr>
      <w:rPr>
        <w:rFonts w:ascii="Symbol" w:hAnsi="Symbol" w:cs="Cambria Math" w:hint="default"/>
        <w:sz w:val="20"/>
      </w:rPr>
    </w:lvl>
    <w:lvl w:ilvl="1">
      <w:start w:val="1"/>
      <w:numFmt w:val="bullet"/>
      <w:lvlText w:val=""/>
      <w:lvlJc w:val="left"/>
      <w:pPr>
        <w:tabs>
          <w:tab w:val="left" w:pos="1440"/>
        </w:tabs>
        <w:ind w:left="1440" w:hanging="360"/>
      </w:pPr>
      <w:rPr>
        <w:rFonts w:ascii="Symbol" w:hAnsi="Symbol" w:cs="Cambria Math" w:hint="default"/>
        <w:sz w:val="20"/>
      </w:rPr>
    </w:lvl>
    <w:lvl w:ilvl="2">
      <w:start w:val="1"/>
      <w:numFmt w:val="bullet"/>
      <w:lvlText w:val=""/>
      <w:lvlJc w:val="left"/>
      <w:pPr>
        <w:tabs>
          <w:tab w:val="left" w:pos="2160"/>
        </w:tabs>
        <w:ind w:left="2160" w:hanging="360"/>
      </w:pPr>
      <w:rPr>
        <w:rFonts w:ascii="Symbol" w:hAnsi="Symbol" w:cs="Cambria Math" w:hint="default"/>
        <w:sz w:val="20"/>
      </w:rPr>
    </w:lvl>
    <w:lvl w:ilvl="3">
      <w:start w:val="1"/>
      <w:numFmt w:val="bullet"/>
      <w:lvlText w:val=""/>
      <w:lvlJc w:val="left"/>
      <w:pPr>
        <w:tabs>
          <w:tab w:val="left" w:pos="2880"/>
        </w:tabs>
        <w:ind w:left="2880" w:hanging="360"/>
      </w:pPr>
      <w:rPr>
        <w:rFonts w:ascii="Symbol" w:hAnsi="Symbol" w:cs="Cambria Math" w:hint="default"/>
        <w:sz w:val="20"/>
      </w:rPr>
    </w:lvl>
    <w:lvl w:ilvl="4">
      <w:start w:val="1"/>
      <w:numFmt w:val="bullet"/>
      <w:lvlText w:val=""/>
      <w:lvlJc w:val="left"/>
      <w:pPr>
        <w:tabs>
          <w:tab w:val="left" w:pos="3600"/>
        </w:tabs>
        <w:ind w:left="3600" w:hanging="360"/>
      </w:pPr>
      <w:rPr>
        <w:rFonts w:ascii="Symbol" w:hAnsi="Symbol" w:cs="Cambria Math" w:hint="default"/>
        <w:sz w:val="20"/>
      </w:rPr>
    </w:lvl>
    <w:lvl w:ilvl="5">
      <w:start w:val="1"/>
      <w:numFmt w:val="bullet"/>
      <w:lvlText w:val=""/>
      <w:lvlJc w:val="left"/>
      <w:pPr>
        <w:tabs>
          <w:tab w:val="left" w:pos="4320"/>
        </w:tabs>
        <w:ind w:left="4320" w:hanging="360"/>
      </w:pPr>
      <w:rPr>
        <w:rFonts w:ascii="Symbol" w:hAnsi="Symbol" w:cs="Cambria Math" w:hint="default"/>
        <w:sz w:val="20"/>
      </w:rPr>
    </w:lvl>
    <w:lvl w:ilvl="6">
      <w:start w:val="1"/>
      <w:numFmt w:val="bullet"/>
      <w:lvlText w:val=""/>
      <w:lvlJc w:val="left"/>
      <w:pPr>
        <w:tabs>
          <w:tab w:val="left" w:pos="5040"/>
        </w:tabs>
        <w:ind w:left="5040" w:hanging="360"/>
      </w:pPr>
      <w:rPr>
        <w:rFonts w:ascii="Symbol" w:hAnsi="Symbol" w:cs="Cambria Math" w:hint="default"/>
        <w:sz w:val="20"/>
      </w:rPr>
    </w:lvl>
    <w:lvl w:ilvl="7">
      <w:start w:val="1"/>
      <w:numFmt w:val="bullet"/>
      <w:lvlText w:val=""/>
      <w:lvlJc w:val="left"/>
      <w:pPr>
        <w:tabs>
          <w:tab w:val="left" w:pos="5760"/>
        </w:tabs>
        <w:ind w:left="5760" w:hanging="360"/>
      </w:pPr>
      <w:rPr>
        <w:rFonts w:ascii="Symbol" w:hAnsi="Symbol" w:cs="Cambria Math" w:hint="default"/>
        <w:sz w:val="20"/>
      </w:rPr>
    </w:lvl>
    <w:lvl w:ilvl="8">
      <w:start w:val="1"/>
      <w:numFmt w:val="bullet"/>
      <w:lvlText w:val=""/>
      <w:lvlJc w:val="left"/>
      <w:pPr>
        <w:tabs>
          <w:tab w:val="left" w:pos="6480"/>
        </w:tabs>
        <w:ind w:left="6480" w:hanging="360"/>
      </w:pPr>
      <w:rPr>
        <w:rFonts w:ascii="Symbol" w:hAnsi="Symbol" w:cs="Cambria Math" w:hint="default"/>
        <w:sz w:val="20"/>
      </w:rPr>
    </w:lvl>
  </w:abstractNum>
  <w:abstractNum w:abstractNumId="11"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4"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6"/>
  </w:num>
  <w:num w:numId="2">
    <w:abstractNumId w:val="3"/>
  </w:num>
  <w:num w:numId="3">
    <w:abstractNumId w:val="13"/>
  </w:num>
  <w:num w:numId="4">
    <w:abstractNumId w:val="7"/>
  </w:num>
  <w:num w:numId="5">
    <w:abstractNumId w:val="12"/>
  </w:num>
  <w:num w:numId="6">
    <w:abstractNumId w:val="4"/>
  </w:num>
  <w:num w:numId="7">
    <w:abstractNumId w:val="6"/>
  </w:num>
  <w:num w:numId="8">
    <w:abstractNumId w:val="1"/>
  </w:num>
  <w:num w:numId="9">
    <w:abstractNumId w:val="15"/>
  </w:num>
  <w:num w:numId="10">
    <w:abstractNumId w:val="9"/>
  </w:num>
  <w:num w:numId="11">
    <w:abstractNumId w:val="14"/>
  </w:num>
  <w:num w:numId="12">
    <w:abstractNumId w:val="11"/>
  </w:num>
  <w:num w:numId="13">
    <w:abstractNumId w:val="5"/>
  </w:num>
  <w:num w:numId="14">
    <w:abstractNumId w:val="15"/>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2"/>
  </w:num>
  <w:num w:numId="30">
    <w:abstractNumId w:val="12"/>
  </w:num>
  <w:num w:numId="31">
    <w:abstractNumId w:val="12"/>
    <w:lvlOverride w:ilvl="0">
      <w:startOverride w:val="1"/>
    </w:lvlOverride>
  </w:num>
  <w:num w:numId="32">
    <w:abstractNumId w:val="12"/>
  </w:num>
  <w:num w:numId="33">
    <w:abstractNumId w:val="12"/>
    <w:lvlOverride w:ilvl="0">
      <w:startOverride w:val="1"/>
    </w:lvlOverride>
  </w:num>
  <w:num w:numId="34">
    <w:abstractNumId w:val="12"/>
    <w:lvlOverride w:ilvl="0">
      <w:startOverride w:val="1"/>
    </w:lvlOverride>
  </w:num>
  <w:num w:numId="35">
    <w:abstractNumId w:val="13"/>
    <w:lvlOverride w:ilvl="0">
      <w:startOverride w:val="1"/>
    </w:lvlOverride>
  </w:num>
  <w:num w:numId="36">
    <w:abstractNumId w:val="13"/>
  </w:num>
  <w:num w:numId="37">
    <w:abstractNumId w:val="13"/>
    <w:lvlOverride w:ilvl="0">
      <w:startOverride w:val="1"/>
    </w:lvlOverride>
  </w:num>
  <w:num w:numId="38">
    <w:abstractNumId w:val="13"/>
  </w:num>
  <w:num w:numId="39">
    <w:abstractNumId w:val="13"/>
    <w:lvlOverride w:ilvl="0">
      <w:startOverride w:val="1"/>
    </w:lvlOverride>
  </w:num>
  <w:num w:numId="40">
    <w:abstractNumId w:val="13"/>
    <w:lvlOverride w:ilvl="0">
      <w:startOverride w:val="1"/>
    </w:lvlOverride>
  </w:num>
  <w:num w:numId="41">
    <w:abstractNumId w:val="13"/>
    <w:lvlOverride w:ilvl="0">
      <w:startOverride w:val="1"/>
    </w:lvlOverride>
  </w:num>
  <w:num w:numId="42">
    <w:abstractNumId w:val="13"/>
  </w:num>
  <w:num w:numId="43">
    <w:abstractNumId w:val="13"/>
  </w:num>
  <w:num w:numId="44">
    <w:abstractNumId w:val="2"/>
  </w:num>
  <w:num w:numId="45">
    <w:abstractNumId w:val="0"/>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B14"/>
    <w:rsid w:val="00003D7C"/>
    <w:rsid w:val="00014140"/>
    <w:rsid w:val="00027428"/>
    <w:rsid w:val="00031EC9"/>
    <w:rsid w:val="00066FED"/>
    <w:rsid w:val="00075EA6"/>
    <w:rsid w:val="0007709F"/>
    <w:rsid w:val="00086F62"/>
    <w:rsid w:val="00090674"/>
    <w:rsid w:val="0009320B"/>
    <w:rsid w:val="00096AE0"/>
    <w:rsid w:val="000A29D2"/>
    <w:rsid w:val="000B1B74"/>
    <w:rsid w:val="000B3A2D"/>
    <w:rsid w:val="000B49C0"/>
    <w:rsid w:val="000C3B2E"/>
    <w:rsid w:val="000E382F"/>
    <w:rsid w:val="000E75CD"/>
    <w:rsid w:val="001036BA"/>
    <w:rsid w:val="001146DC"/>
    <w:rsid w:val="00114AB1"/>
    <w:rsid w:val="001230FF"/>
    <w:rsid w:val="00130BD7"/>
    <w:rsid w:val="00155B67"/>
    <w:rsid w:val="001562AF"/>
    <w:rsid w:val="00161A5B"/>
    <w:rsid w:val="0016385D"/>
    <w:rsid w:val="0016782F"/>
    <w:rsid w:val="001761BA"/>
    <w:rsid w:val="00191EC5"/>
    <w:rsid w:val="001937E9"/>
    <w:rsid w:val="001964E5"/>
    <w:rsid w:val="001B263B"/>
    <w:rsid w:val="001B476A"/>
    <w:rsid w:val="001C764F"/>
    <w:rsid w:val="001C7BB3"/>
    <w:rsid w:val="001D469C"/>
    <w:rsid w:val="001E13EE"/>
    <w:rsid w:val="0021619E"/>
    <w:rsid w:val="0022182A"/>
    <w:rsid w:val="0023171B"/>
    <w:rsid w:val="00236BFC"/>
    <w:rsid w:val="00237437"/>
    <w:rsid w:val="002502FD"/>
    <w:rsid w:val="00274622"/>
    <w:rsid w:val="00285D24"/>
    <w:rsid w:val="00290390"/>
    <w:rsid w:val="002915D3"/>
    <w:rsid w:val="002924DB"/>
    <w:rsid w:val="002941DA"/>
    <w:rsid w:val="002A2077"/>
    <w:rsid w:val="002B0919"/>
    <w:rsid w:val="002B5648"/>
    <w:rsid w:val="002E0F2A"/>
    <w:rsid w:val="002E3C35"/>
    <w:rsid w:val="002F5298"/>
    <w:rsid w:val="00326AE0"/>
    <w:rsid w:val="00337E4F"/>
    <w:rsid w:val="00340C36"/>
    <w:rsid w:val="00346A9D"/>
    <w:rsid w:val="00372740"/>
    <w:rsid w:val="00374287"/>
    <w:rsid w:val="0039376F"/>
    <w:rsid w:val="003A287B"/>
    <w:rsid w:val="003A5C85"/>
    <w:rsid w:val="003A61B1"/>
    <w:rsid w:val="003B0050"/>
    <w:rsid w:val="003D6312"/>
    <w:rsid w:val="003E7C74"/>
    <w:rsid w:val="003F31C6"/>
    <w:rsid w:val="0040225B"/>
    <w:rsid w:val="00402DA2"/>
    <w:rsid w:val="004105C3"/>
    <w:rsid w:val="00425AC2"/>
    <w:rsid w:val="0044771F"/>
    <w:rsid w:val="00450FB5"/>
    <w:rsid w:val="004B151D"/>
    <w:rsid w:val="004C7243"/>
    <w:rsid w:val="004E21DE"/>
    <w:rsid w:val="004E3C57"/>
    <w:rsid w:val="004E3CB2"/>
    <w:rsid w:val="004E400E"/>
    <w:rsid w:val="00525813"/>
    <w:rsid w:val="0053513F"/>
    <w:rsid w:val="00543126"/>
    <w:rsid w:val="00574405"/>
    <w:rsid w:val="005854B0"/>
    <w:rsid w:val="005A0E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D1229"/>
    <w:rsid w:val="006D372F"/>
    <w:rsid w:val="006D7A18"/>
    <w:rsid w:val="006E4474"/>
    <w:rsid w:val="00701388"/>
    <w:rsid w:val="00723B7F"/>
    <w:rsid w:val="00725861"/>
    <w:rsid w:val="0073393A"/>
    <w:rsid w:val="0073539D"/>
    <w:rsid w:val="007525CC"/>
    <w:rsid w:val="0076623D"/>
    <w:rsid w:val="0076775B"/>
    <w:rsid w:val="00767B8A"/>
    <w:rsid w:val="00775481"/>
    <w:rsid w:val="007A233B"/>
    <w:rsid w:val="007B4863"/>
    <w:rsid w:val="007C65E6"/>
    <w:rsid w:val="007D406B"/>
    <w:rsid w:val="007D4407"/>
    <w:rsid w:val="007E1CA3"/>
    <w:rsid w:val="00812D62"/>
    <w:rsid w:val="00812F29"/>
    <w:rsid w:val="008204CC"/>
    <w:rsid w:val="00821713"/>
    <w:rsid w:val="00827050"/>
    <w:rsid w:val="0083278B"/>
    <w:rsid w:val="00834538"/>
    <w:rsid w:val="00850E89"/>
    <w:rsid w:val="00876BB0"/>
    <w:rsid w:val="008930E4"/>
    <w:rsid w:val="00893821"/>
    <w:rsid w:val="0089668F"/>
    <w:rsid w:val="008A7B9C"/>
    <w:rsid w:val="008B39FA"/>
    <w:rsid w:val="008B4754"/>
    <w:rsid w:val="008D7C83"/>
    <w:rsid w:val="008E6A7A"/>
    <w:rsid w:val="008F1038"/>
    <w:rsid w:val="008F7046"/>
    <w:rsid w:val="009005FC"/>
    <w:rsid w:val="00922E5A"/>
    <w:rsid w:val="00943315"/>
    <w:rsid w:val="00946291"/>
    <w:rsid w:val="00946C27"/>
    <w:rsid w:val="009519E7"/>
    <w:rsid w:val="009A0412"/>
    <w:rsid w:val="009A4F3D"/>
    <w:rsid w:val="009B696B"/>
    <w:rsid w:val="009B7671"/>
    <w:rsid w:val="009E5BA1"/>
    <w:rsid w:val="009F056E"/>
    <w:rsid w:val="00A07FBA"/>
    <w:rsid w:val="00A24F3D"/>
    <w:rsid w:val="00A26DCD"/>
    <w:rsid w:val="00A314BB"/>
    <w:rsid w:val="00A32B7D"/>
    <w:rsid w:val="00A5596B"/>
    <w:rsid w:val="00A646B3"/>
    <w:rsid w:val="00A6739B"/>
    <w:rsid w:val="00A77395"/>
    <w:rsid w:val="00A90413"/>
    <w:rsid w:val="00AA0801"/>
    <w:rsid w:val="00AA728C"/>
    <w:rsid w:val="00AB0A9C"/>
    <w:rsid w:val="00AB7119"/>
    <w:rsid w:val="00AD5855"/>
    <w:rsid w:val="00AE7500"/>
    <w:rsid w:val="00AE7F87"/>
    <w:rsid w:val="00AF3542"/>
    <w:rsid w:val="00AF5ABE"/>
    <w:rsid w:val="00B00415"/>
    <w:rsid w:val="00B03C2A"/>
    <w:rsid w:val="00B1000D"/>
    <w:rsid w:val="00B10134"/>
    <w:rsid w:val="00B16BFE"/>
    <w:rsid w:val="00B40B65"/>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70CF4"/>
    <w:rsid w:val="00C84923"/>
    <w:rsid w:val="00CB7B3E"/>
    <w:rsid w:val="00CC739D"/>
    <w:rsid w:val="00CE3165"/>
    <w:rsid w:val="00D04468"/>
    <w:rsid w:val="00D36257"/>
    <w:rsid w:val="00D4687E"/>
    <w:rsid w:val="00D53A12"/>
    <w:rsid w:val="00D87E2A"/>
    <w:rsid w:val="00DB0C43"/>
    <w:rsid w:val="00DE3354"/>
    <w:rsid w:val="00DF7DCD"/>
    <w:rsid w:val="00E437A0"/>
    <w:rsid w:val="00E50B7D"/>
    <w:rsid w:val="00E904A1"/>
    <w:rsid w:val="00EB7D28"/>
    <w:rsid w:val="00EC0D0C"/>
    <w:rsid w:val="00ED4A2C"/>
    <w:rsid w:val="00EF6940"/>
    <w:rsid w:val="00F2044A"/>
    <w:rsid w:val="00F20BFC"/>
    <w:rsid w:val="00F24D5F"/>
    <w:rsid w:val="00F33A7D"/>
    <w:rsid w:val="00F726C3"/>
    <w:rsid w:val="00F81811"/>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paragraph" w:styleId="4">
    <w:name w:val="heading 4"/>
    <w:basedOn w:val="a"/>
    <w:next w:val="a"/>
    <w:link w:val="40"/>
    <w:semiHidden/>
    <w:unhideWhenUsed/>
    <w:qFormat/>
    <w:rsid w:val="00946291"/>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rsid w:val="00946291"/>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semiHidden/>
    <w:unhideWhenUsed/>
    <w:rsid w:val="005E71ED"/>
    <w:rPr>
      <w:sz w:val="16"/>
      <w:szCs w:val="16"/>
    </w:rPr>
  </w:style>
  <w:style w:type="paragraph" w:styleId="ae">
    <w:name w:val="annotation text"/>
    <w:basedOn w:val="a"/>
    <w:link w:val="af"/>
    <w:semiHidden/>
    <w:unhideWhenUsed/>
    <w:rsid w:val="005E71ED"/>
    <w:rPr>
      <w:sz w:val="20"/>
    </w:rPr>
  </w:style>
  <w:style w:type="character" w:customStyle="1" w:styleId="af">
    <w:name w:val="批注文字 字符"/>
    <w:basedOn w:val="a0"/>
    <w:link w:val="ae"/>
    <w:semiHidden/>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 w:type="paragraph" w:styleId="af2">
    <w:name w:val="header"/>
    <w:basedOn w:val="a"/>
    <w:link w:val="af3"/>
    <w:unhideWhenUsed/>
    <w:rsid w:val="00946291"/>
    <w:pPr>
      <w:tabs>
        <w:tab w:val="center" w:pos="4153"/>
        <w:tab w:val="right" w:pos="8306"/>
      </w:tabs>
      <w:snapToGrid w:val="0"/>
      <w:jc w:val="center"/>
    </w:pPr>
    <w:rPr>
      <w:sz w:val="18"/>
      <w:szCs w:val="18"/>
    </w:rPr>
  </w:style>
  <w:style w:type="character" w:customStyle="1" w:styleId="af3">
    <w:name w:val="页眉 字符"/>
    <w:basedOn w:val="a0"/>
    <w:link w:val="af2"/>
    <w:rsid w:val="00946291"/>
    <w:rPr>
      <w:sz w:val="18"/>
      <w:szCs w:val="18"/>
      <w:lang w:val="en-US" w:eastAsia="en-US"/>
    </w:rPr>
  </w:style>
  <w:style w:type="paragraph" w:styleId="af4">
    <w:name w:val="footer"/>
    <w:basedOn w:val="a"/>
    <w:link w:val="af5"/>
    <w:unhideWhenUsed/>
    <w:rsid w:val="00946291"/>
    <w:pPr>
      <w:tabs>
        <w:tab w:val="center" w:pos="4153"/>
        <w:tab w:val="right" w:pos="8306"/>
      </w:tabs>
      <w:snapToGrid w:val="0"/>
    </w:pPr>
    <w:rPr>
      <w:sz w:val="18"/>
      <w:szCs w:val="18"/>
    </w:rPr>
  </w:style>
  <w:style w:type="character" w:customStyle="1" w:styleId="af5">
    <w:name w:val="页脚 字符"/>
    <w:basedOn w:val="a0"/>
    <w:link w:val="af4"/>
    <w:rsid w:val="00946291"/>
    <w:rPr>
      <w:sz w:val="18"/>
      <w:szCs w:val="18"/>
      <w:lang w:val="en-US" w:eastAsia="en-US"/>
    </w:rPr>
  </w:style>
  <w:style w:type="character" w:customStyle="1" w:styleId="40">
    <w:name w:val="标题 4 字符"/>
    <w:basedOn w:val="a0"/>
    <w:link w:val="4"/>
    <w:semiHidden/>
    <w:rsid w:val="00946291"/>
    <w:rPr>
      <w:rFonts w:asciiTheme="majorHAnsi" w:eastAsiaTheme="majorEastAsia" w:hAnsiTheme="majorHAnsi" w:cstheme="majorBidi"/>
      <w:b/>
      <w:bCs/>
      <w:sz w:val="28"/>
      <w:szCs w:val="28"/>
      <w:lang w:val="en-US" w:eastAsia="en-US"/>
    </w:rPr>
  </w:style>
  <w:style w:type="character" w:customStyle="1" w:styleId="50">
    <w:name w:val="标题 5 字符"/>
    <w:basedOn w:val="a0"/>
    <w:link w:val="5"/>
    <w:semiHidden/>
    <w:rsid w:val="00946291"/>
    <w:rPr>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3.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F26DA9-0BE9-484D-A60C-25BAC317E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195</TotalTime>
  <Pages>11</Pages>
  <Words>5938</Words>
  <Characters>33853</Characters>
  <Application>Microsoft Office Word</Application>
  <DocSecurity>0</DocSecurity>
  <Lines>282</Lines>
  <Paragraphs>79</Paragraphs>
  <ScaleCrop>false</ScaleCrop>
  <Company>PPI</Company>
  <LinksUpToDate>false</LinksUpToDate>
  <CharactersWithSpaces>39712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41</cp:revision>
  <cp:lastPrinted>2011-03-03T08:29:00Z</cp:lastPrinted>
  <dcterms:created xsi:type="dcterms:W3CDTF">2020-12-11T14:06:00Z</dcterms:created>
  <dcterms:modified xsi:type="dcterms:W3CDTF">2025-09-28T09:45:00Z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GrammarlyDocumentId">
    <vt:lpwstr>b8d757ec-2e1a-4f7e-b3f8-6f2f88fedd56</vt:lpwstr>
  </property>
</Properties>
</file>