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98391" w14:textId="77777777" w:rsidR="003B2B8C" w:rsidRDefault="00D27DEB" w:rsidP="009927A0">
      <w:pPr>
        <w:spacing w:before="1200"/>
        <w:jc w:val="center"/>
        <w:rPr>
          <w:sz w:val="36"/>
          <w:szCs w:val="36"/>
          <w:lang w:eastAsia="zh-CN"/>
        </w:rPr>
      </w:pPr>
      <w:r>
        <w:rPr>
          <w:rFonts w:hint="eastAsia"/>
          <w:b/>
          <w:bCs/>
          <w:sz w:val="36"/>
          <w:szCs w:val="36"/>
          <w:lang w:eastAsia="zh-CN"/>
        </w:rPr>
        <w:fldChar w:fldCharType="begin">
          <w:fldData xml:space="preserve">ZQBKAHoAdABYAFEAMQAwAFYATgBXAGQAdgAyADkAbQBNAHYATgB5AEMAUgBLAGoAWQBqAGIAYQBP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</w:fldData>
        </w:fldChar>
      </w:r>
      <w:r>
        <w:rPr>
          <w:rFonts w:hint="eastAsia"/>
          <w:b/>
          <w:bCs/>
          <w:sz w:val="36"/>
          <w:szCs w:val="36"/>
          <w:lang w:eastAsia="zh-CN"/>
        </w:rPr>
        <w:instrText>ADDIN CNKISM.UserStyle</w:instrText>
      </w:r>
      <w:r>
        <w:rPr>
          <w:rFonts w:hint="eastAsia"/>
          <w:b/>
          <w:bCs/>
          <w:sz w:val="36"/>
          <w:szCs w:val="36"/>
          <w:lang w:eastAsia="zh-CN"/>
        </w:rPr>
      </w:r>
      <w:r>
        <w:rPr>
          <w:rFonts w:hint="eastAsia"/>
          <w:b/>
          <w:bCs/>
          <w:sz w:val="36"/>
          <w:szCs w:val="36"/>
          <w:lang w:eastAsia="zh-CN"/>
        </w:rPr>
        <w:fldChar w:fldCharType="end"/>
      </w:r>
      <w:r>
        <w:rPr>
          <w:rFonts w:hint="eastAsia"/>
          <w:b/>
          <w:bCs/>
          <w:sz w:val="36"/>
          <w:szCs w:val="36"/>
          <w:lang w:eastAsia="zh-CN"/>
        </w:rPr>
        <w:t xml:space="preserve">Epitaxial and Structural </w:t>
      </w:r>
      <w:r>
        <w:rPr>
          <w:rFonts w:hint="eastAsia"/>
          <w:b/>
          <w:bCs/>
          <w:sz w:val="36"/>
          <w:szCs w:val="36"/>
          <w:lang w:eastAsia="zh-CN"/>
        </w:rPr>
        <w:t>Strategies for High-Performance InGaN LEDs: Materials Challenges and Device Evolution</w:t>
      </w:r>
    </w:p>
    <w:p w14:paraId="43D92539" w14:textId="26606F4D" w:rsidR="003B2B8C" w:rsidRDefault="00D27DEB">
      <w:pPr>
        <w:pStyle w:val="AuthorName"/>
        <w:rPr>
          <w:sz w:val="20"/>
          <w:lang w:val="en-GB" w:eastAsia="en-GB"/>
        </w:rPr>
      </w:pPr>
      <w:r>
        <w:rPr>
          <w:rFonts w:hint="eastAsia"/>
          <w:lang w:eastAsia="zh-CN"/>
        </w:rPr>
        <w:t>Yinze</w:t>
      </w:r>
      <w:r>
        <w:rPr>
          <w:lang w:eastAsia="zh-CN"/>
        </w:rPr>
        <w:t xml:space="preserve"> </w:t>
      </w:r>
      <w:r>
        <w:rPr>
          <w:rFonts w:hint="eastAsia"/>
          <w:lang w:eastAsia="zh-CN"/>
        </w:rPr>
        <w:t>Hu</w:t>
      </w:r>
    </w:p>
    <w:p w14:paraId="7C75C37C" w14:textId="314735E5" w:rsidR="003B2B8C" w:rsidRDefault="00D27DEB">
      <w:pPr>
        <w:pStyle w:val="AuthorAffiliation"/>
        <w:rPr>
          <w:lang w:eastAsia="zh-CN"/>
        </w:rPr>
      </w:pPr>
      <w:r>
        <w:rPr>
          <w:rFonts w:hint="eastAsia"/>
          <w:lang w:eastAsia="zh-CN"/>
        </w:rPr>
        <w:t>Department of Applied Physics, School of Physical Science and Engineering, Tongji University, Shanghai 200092, China</w:t>
      </w:r>
      <w:r>
        <w:br/>
      </w:r>
      <w:r>
        <w:br/>
      </w:r>
      <w:r w:rsidRPr="00D27DEB">
        <w:rPr>
          <w:rFonts w:hint="eastAsia"/>
          <w:i w:val="0"/>
          <w:lang w:eastAsia="zh-CN"/>
        </w:rPr>
        <w:t>steven0908@tongji.edu.cn</w:t>
      </w:r>
    </w:p>
    <w:p w14:paraId="4C2BE438" w14:textId="2D50B802" w:rsidR="003B2B8C" w:rsidRDefault="00D27DEB" w:rsidP="000634F9">
      <w:pPr>
        <w:pStyle w:val="Abstract"/>
        <w:rPr>
          <w:lang w:eastAsia="zh-CN"/>
        </w:rPr>
      </w:pPr>
      <w:r>
        <w:rPr>
          <w:b/>
          <w:bCs/>
        </w:rPr>
        <w:t>Abstract</w:t>
      </w:r>
      <w:r>
        <w:rPr>
          <w:b/>
          <w:bCs/>
        </w:rPr>
        <w:t>.</w:t>
      </w:r>
      <w:r>
        <w:t xml:space="preserve"> </w:t>
      </w:r>
      <w:r>
        <w:rPr>
          <w:rFonts w:hint="eastAsia"/>
        </w:rPr>
        <w:t>InGaN-based light-emitting diodes (LEDs) have become a key technology for solid-state lighting and high-resolution displays. However, pursuing long-wavelength emissions in the green and red spectral regions remains a significant challenge due to the inst</w:t>
      </w:r>
      <w:r>
        <w:rPr>
          <w:rFonts w:hint="eastAsia"/>
        </w:rPr>
        <w:t>ability of high-indium compositions and the resulting structural defects. This paper comprehensively reviews recent advances in material growth and device structure optimization strategies for InGaN LEDs. On the material side, it highlights methods such as</w:t>
      </w:r>
      <w:r>
        <w:rPr>
          <w:rFonts w:hint="eastAsia"/>
        </w:rPr>
        <w:t xml:space="preserve"> high-pressure MOCVD, remote MBE, patterned substrates, and superlattice-based buffer layers, which collectively address lattice mismatch, indium incorporation, and dislocation reduction. On the structural side, the discussion focuses on mitigating polariz</w:t>
      </w:r>
      <w:r>
        <w:rPr>
          <w:rFonts w:hint="eastAsia"/>
        </w:rPr>
        <w:t>ation-induced quantum confined Stark effect (QCSE), improving carrier injection balance, suppressing electron leakage, and enhancing the stability of Micro-LED architectures. Experimental structures with optimized barrier layers, stress control mechanisms,</w:t>
      </w:r>
      <w:r>
        <w:rPr>
          <w:rFonts w:hint="eastAsia"/>
        </w:rPr>
        <w:t xml:space="preserve"> and injection pathways are analyzed. By integrating insights from multiple device engineering perspectives, this work aims to provide a structural and process-level reference for future high-efficiency InGaN LED development, particularly in overcoming the</w:t>
      </w:r>
      <w:r>
        <w:rPr>
          <w:rFonts w:hint="eastAsia"/>
        </w:rPr>
        <w:t xml:space="preserve"> green-gap bottleneck and enabling scalable long-wavelength applications.</w:t>
      </w:r>
    </w:p>
    <w:p w14:paraId="4ADF2657" w14:textId="77777777" w:rsidR="003B2B8C" w:rsidRDefault="00D27DEB" w:rsidP="00D27DEB">
      <w:pPr>
        <w:pStyle w:val="1"/>
        <w:rPr>
          <w:b w:val="0"/>
          <w:caps w:val="0"/>
          <w:sz w:val="20"/>
        </w:rPr>
      </w:pPr>
      <w:r>
        <w:rPr>
          <w:rFonts w:hint="eastAsia"/>
          <w:lang w:eastAsia="zh-CN"/>
        </w:rPr>
        <w:t>Introduction</w:t>
      </w:r>
    </w:p>
    <w:p w14:paraId="6DCEA3F4" w14:textId="77777777" w:rsidR="003B2B8C" w:rsidRDefault="00D27DEB">
      <w:pPr>
        <w:ind w:firstLine="284"/>
        <w:jc w:val="both"/>
        <w:rPr>
          <w:sz w:val="20"/>
        </w:rPr>
      </w:pPr>
      <w:r>
        <w:rPr>
          <w:sz w:val="20"/>
        </w:rPr>
        <w:t>Since the 1990s, high-brightness blue light-emitting diode (LED) technology, leveraging indium gallium nitride (InGaN)/gallium nitride (GaN) heterostructures, has transf</w:t>
      </w:r>
      <w:r>
        <w:rPr>
          <w:sz w:val="20"/>
        </w:rPr>
        <w:t>ormed the solid-state lighting industry. Over the past three decades, InGaN materials have proven essential in white light lighting, display technology, and backlight applications. Their utility in optoelectronics stems from exceptional internal quantum ef</w:t>
      </w:r>
      <w:r>
        <w:rPr>
          <w:sz w:val="20"/>
        </w:rPr>
        <w:t>ficiency (IQE), a tunable bandgap, and extended lifespan, positioning them as a vital component in energy-efficient optoelectronic systems.</w:t>
      </w:r>
    </w:p>
    <w:p w14:paraId="2B74CB5E" w14:textId="4719A8D2" w:rsidR="003B2B8C" w:rsidRDefault="00D27DEB">
      <w:pPr>
        <w:ind w:firstLine="284"/>
        <w:jc w:val="both"/>
        <w:rPr>
          <w:sz w:val="20"/>
        </w:rPr>
      </w:pPr>
      <w:r>
        <w:rPr>
          <w:sz w:val="20"/>
        </w:rPr>
        <w:t xml:space="preserve">By varying the indium proportion, InGaN enables wavelength tuning across a wide spectral range, from ultraviolet to </w:t>
      </w:r>
      <w:r>
        <w:rPr>
          <w:sz w:val="20"/>
        </w:rPr>
        <w:t>near-infrared. This capability results from the bandgap narrowing as indium content increases, facilitating continuous emission wavelength adjustment through precise indium regulation. This tunable bandgap underpins full-color display technology and propel</w:t>
      </w:r>
      <w:r>
        <w:rPr>
          <w:sz w:val="20"/>
        </w:rPr>
        <w:t>s LED advancements in emerging fields like visible light communication, biosensing, and microdisplays. However, despite its broad commercial adoption, InGaN technology faces persistent challenges in the green and red wavelength bands. Beyond 500 nanometers</w:t>
      </w:r>
      <w:r>
        <w:rPr>
          <w:sz w:val="20"/>
        </w:rPr>
        <w:t xml:space="preserve">, light extraction efficiency declines sharply, a limitation termed the ‘green gap,’ which poses a significant hurdle to further </w:t>
      </w:r>
      <w:r w:rsidR="00E706CB">
        <w:rPr>
          <w:sz w:val="20"/>
        </w:rPr>
        <w:t>progress</w:t>
      </w:r>
      <w:r w:rsidR="00E706CB">
        <w:rPr>
          <w:sz w:val="20"/>
          <w:lang w:eastAsia="zh-CN"/>
        </w:rPr>
        <w:t xml:space="preserve"> [</w:t>
      </w:r>
      <w:r>
        <w:rPr>
          <w:sz w:val="20"/>
        </w:rPr>
        <w:fldChar w:fldCharType="begin"/>
      </w:r>
      <w:r>
        <w:rPr>
          <w:sz w:val="20"/>
        </w:rPr>
        <w:instrText xml:space="preserve"> REF _Ref24866 \r \h </w:instrText>
      </w:r>
      <w:r>
        <w:rPr>
          <w:sz w:val="20"/>
        </w:rPr>
      </w:r>
      <w:r>
        <w:rPr>
          <w:sz w:val="20"/>
        </w:rPr>
        <w:fldChar w:fldCharType="separate"/>
      </w:r>
      <w:r>
        <w:rPr>
          <w:sz w:val="20"/>
        </w:rPr>
        <w:t>1</w:t>
      </w:r>
      <w:r>
        <w:rPr>
          <w:sz w:val="20"/>
        </w:rPr>
        <w:fldChar w:fldCharType="end"/>
      </w:r>
      <w:r>
        <w:rPr>
          <w:rFonts w:hint="eastAsia"/>
          <w:sz w:val="20"/>
          <w:lang w:eastAsia="zh-CN"/>
        </w:rPr>
        <w:t>-</w:t>
      </w:r>
      <w:r>
        <w:rPr>
          <w:sz w:val="20"/>
        </w:rPr>
        <w:fldChar w:fldCharType="begin"/>
      </w:r>
      <w:r>
        <w:rPr>
          <w:sz w:val="20"/>
        </w:rPr>
        <w:instrText xml:space="preserve"> REF _Ref24873 \r \h </w:instrText>
      </w:r>
      <w:r>
        <w:rPr>
          <w:sz w:val="20"/>
        </w:rPr>
      </w:r>
      <w:r>
        <w:rPr>
          <w:sz w:val="20"/>
        </w:rPr>
        <w:fldChar w:fldCharType="separate"/>
      </w:r>
      <w:r>
        <w:rPr>
          <w:sz w:val="20"/>
        </w:rPr>
        <w:t>2</w:t>
      </w:r>
      <w:r>
        <w:rPr>
          <w:sz w:val="20"/>
        </w:rPr>
        <w:fldChar w:fldCharType="end"/>
      </w:r>
      <w:r>
        <w:rPr>
          <w:rFonts w:hint="eastAsia"/>
          <w:sz w:val="20"/>
          <w:lang w:eastAsia="zh-CN"/>
        </w:rPr>
        <w:t>]</w:t>
      </w:r>
      <w:r>
        <w:rPr>
          <w:sz w:val="20"/>
        </w:rPr>
        <w:t>.</w:t>
      </w:r>
    </w:p>
    <w:p w14:paraId="3AAA9510" w14:textId="77777777" w:rsidR="003B2B8C" w:rsidRDefault="00D27DEB">
      <w:pPr>
        <w:ind w:firstLine="284"/>
        <w:jc w:val="both"/>
        <w:rPr>
          <w:sz w:val="20"/>
        </w:rPr>
      </w:pPr>
      <w:r>
        <w:rPr>
          <w:sz w:val="20"/>
        </w:rPr>
        <w:t>InGaN LED performance hinges on epitaxial material quality and device structure design. Metal-organic chemical vapor deposition (MOCVD) and molecular beam epitaxy (MBE) are prevalent growth tec</w:t>
      </w:r>
      <w:r>
        <w:rPr>
          <w:sz w:val="20"/>
        </w:rPr>
        <w:t>hniques. Achieving an optimal balance between high indium doping, crystal quality, and stress management remains a critical challenge during material growth. For long-wavelength emission, excessive indium can induce phase separation and material inhomogene</w:t>
      </w:r>
      <w:r>
        <w:rPr>
          <w:sz w:val="20"/>
        </w:rPr>
        <w:t xml:space="preserve">ity, impairing device outcomes. Lattice mismatch between GaN and typical substrates, such as sapphire and silicon, often elevates dislocation density, detrimentally affecting optoelectronic efficiency and long-term device stability </w:t>
      </w:r>
      <w:r>
        <w:rPr>
          <w:rFonts w:hint="eastAsia"/>
          <w:sz w:val="20"/>
          <w:lang w:eastAsia="zh-CN"/>
        </w:rPr>
        <w:t>[</w:t>
      </w:r>
      <w:r>
        <w:rPr>
          <w:sz w:val="20"/>
        </w:rPr>
        <w:fldChar w:fldCharType="begin"/>
      </w:r>
      <w:r>
        <w:rPr>
          <w:sz w:val="20"/>
        </w:rPr>
        <w:instrText xml:space="preserve"> REF _Ref24925 \r \h </w:instrText>
      </w:r>
      <w:r>
        <w:rPr>
          <w:sz w:val="20"/>
        </w:rPr>
      </w:r>
      <w:r>
        <w:rPr>
          <w:sz w:val="20"/>
        </w:rPr>
        <w:fldChar w:fldCharType="separate"/>
      </w:r>
      <w:r>
        <w:rPr>
          <w:sz w:val="20"/>
        </w:rPr>
        <w:t>3</w:t>
      </w:r>
      <w:r>
        <w:rPr>
          <w:sz w:val="20"/>
        </w:rPr>
        <w:fldChar w:fldCharType="end"/>
      </w:r>
      <w:r>
        <w:rPr>
          <w:rFonts w:hint="eastAsia"/>
          <w:sz w:val="20"/>
          <w:lang w:eastAsia="zh-CN"/>
        </w:rPr>
        <w:t>-</w:t>
      </w:r>
      <w:r>
        <w:rPr>
          <w:sz w:val="20"/>
        </w:rPr>
        <w:fldChar w:fldCharType="begin"/>
      </w:r>
      <w:r>
        <w:rPr>
          <w:sz w:val="20"/>
        </w:rPr>
        <w:instrText xml:space="preserve"> REF _Ref24928 \r \h </w:instrText>
      </w:r>
      <w:r>
        <w:rPr>
          <w:sz w:val="20"/>
        </w:rPr>
      </w:r>
      <w:r>
        <w:rPr>
          <w:sz w:val="20"/>
        </w:rPr>
        <w:fldChar w:fldCharType="separate"/>
      </w:r>
      <w:r>
        <w:rPr>
          <w:sz w:val="20"/>
        </w:rPr>
        <w:t>4</w:t>
      </w:r>
      <w:r>
        <w:rPr>
          <w:sz w:val="20"/>
        </w:rPr>
        <w:fldChar w:fldCharType="end"/>
      </w:r>
      <w:r>
        <w:rPr>
          <w:rFonts w:hint="eastAsia"/>
          <w:sz w:val="20"/>
          <w:lang w:eastAsia="zh-CN"/>
        </w:rPr>
        <w:t>]</w:t>
      </w:r>
      <w:r>
        <w:rPr>
          <w:sz w:val="20"/>
        </w:rPr>
        <w:t>.</w:t>
      </w:r>
    </w:p>
    <w:p w14:paraId="5DA09C59" w14:textId="000D94AF" w:rsidR="003B2B8C" w:rsidRDefault="00D27DEB" w:rsidP="00E706CB">
      <w:pPr>
        <w:ind w:firstLine="284"/>
        <w:jc w:val="both"/>
        <w:rPr>
          <w:sz w:val="20"/>
        </w:rPr>
      </w:pPr>
      <w:r>
        <w:rPr>
          <w:sz w:val="20"/>
        </w:rPr>
        <w:lastRenderedPageBreak/>
        <w:t>To counter these issues, researchers have devised multiple optimization strategies. These include employi</w:t>
      </w:r>
      <w:r>
        <w:rPr>
          <w:sz w:val="20"/>
        </w:rPr>
        <w:t xml:space="preserve">ng patterned substrates, crafting buffer layers, minimizing indium volatilization via high-pressure MOCVD, and attaining atomic-level precision with MBE. Parameters like growth temperature, V/III ratio, and chamber pressure significantly influence crystal </w:t>
      </w:r>
      <w:r>
        <w:rPr>
          <w:sz w:val="20"/>
        </w:rPr>
        <w:t xml:space="preserve">morphology and composition distribution, marking them as pivotal research areas </w:t>
      </w:r>
      <w:r>
        <w:rPr>
          <w:rFonts w:hint="eastAsia"/>
          <w:sz w:val="20"/>
          <w:lang w:eastAsia="zh-CN"/>
        </w:rPr>
        <w:t>[</w:t>
      </w:r>
      <w:r>
        <w:rPr>
          <w:sz w:val="20"/>
        </w:rPr>
        <w:fldChar w:fldCharType="begin"/>
      </w:r>
      <w:r>
        <w:rPr>
          <w:sz w:val="20"/>
        </w:rPr>
        <w:instrText xml:space="preserve"> REF _Ref24866 \r \h </w:instrText>
      </w:r>
      <w:r>
        <w:rPr>
          <w:sz w:val="20"/>
        </w:rPr>
      </w:r>
      <w:r>
        <w:rPr>
          <w:sz w:val="20"/>
        </w:rPr>
        <w:fldChar w:fldCharType="separate"/>
      </w:r>
      <w:r>
        <w:rPr>
          <w:sz w:val="20"/>
        </w:rPr>
        <w:t>1</w:t>
      </w:r>
      <w:r>
        <w:rPr>
          <w:sz w:val="20"/>
        </w:rPr>
        <w:fldChar w:fldCharType="end"/>
      </w:r>
      <w:r>
        <w:rPr>
          <w:rFonts w:hint="eastAsia"/>
          <w:sz w:val="20"/>
          <w:lang w:eastAsia="zh-CN"/>
        </w:rPr>
        <w:t>][</w:t>
      </w:r>
      <w:r>
        <w:rPr>
          <w:sz w:val="20"/>
        </w:rPr>
        <w:fldChar w:fldCharType="begin"/>
      </w:r>
      <w:r>
        <w:rPr>
          <w:sz w:val="20"/>
        </w:rPr>
        <w:instrText xml:space="preserve"> REF _Ref24967 \r \h </w:instrText>
      </w:r>
      <w:r>
        <w:rPr>
          <w:sz w:val="20"/>
        </w:rPr>
      </w:r>
      <w:r>
        <w:rPr>
          <w:sz w:val="20"/>
        </w:rPr>
        <w:fldChar w:fldCharType="separate"/>
      </w:r>
      <w:r>
        <w:rPr>
          <w:sz w:val="20"/>
        </w:rPr>
        <w:t>5</w:t>
      </w:r>
      <w:r>
        <w:rPr>
          <w:sz w:val="20"/>
        </w:rPr>
        <w:fldChar w:fldCharType="end"/>
      </w:r>
      <w:r>
        <w:rPr>
          <w:rFonts w:hint="eastAsia"/>
          <w:sz w:val="20"/>
          <w:lang w:eastAsia="zh-CN"/>
        </w:rPr>
        <w:t>]</w:t>
      </w:r>
      <w:r>
        <w:rPr>
          <w:sz w:val="20"/>
        </w:rPr>
        <w:t>.</w:t>
      </w:r>
      <w:r>
        <w:rPr>
          <w:sz w:val="20"/>
        </w:rPr>
        <w:t xml:space="preserve"> The rise of Micro-LED technology and high-definition displays has intensified demands for superior InGaN epitaxial layers, particularly in reducing defect density and enhancing composition uniformity.</w:t>
      </w:r>
    </w:p>
    <w:p w14:paraId="759AE862" w14:textId="1679B932" w:rsidR="003B2B8C" w:rsidRDefault="00D27DEB">
      <w:pPr>
        <w:ind w:firstLine="284"/>
        <w:jc w:val="both"/>
        <w:rPr>
          <w:sz w:val="20"/>
        </w:rPr>
      </w:pPr>
      <w:r>
        <w:rPr>
          <w:sz w:val="20"/>
        </w:rPr>
        <w:t>Meanwhile, sustained innovation in epitaxial technolog</w:t>
      </w:r>
      <w:r>
        <w:rPr>
          <w:sz w:val="20"/>
        </w:rPr>
        <w:t>y remains a central focus. In device design, incorporating quantum well structures, polarization compensation layers, and stress regulation techniques has effectively reduced electron-hole separation due to polarization fields, markedly improving radiative</w:t>
      </w:r>
      <w:r>
        <w:rPr>
          <w:sz w:val="20"/>
        </w:rPr>
        <w:t xml:space="preserve"> recombination efficiency. Concurrently, enhancements in carrier injection and light extraction efficiency have substantially elevated device brightness and </w:t>
      </w:r>
      <w:r w:rsidR="00E706CB">
        <w:rPr>
          <w:sz w:val="20"/>
        </w:rPr>
        <w:t>stability</w:t>
      </w:r>
      <w:r w:rsidR="00E706CB">
        <w:rPr>
          <w:sz w:val="20"/>
          <w:lang w:eastAsia="zh-CN"/>
        </w:rPr>
        <w:t xml:space="preserve"> [</w:t>
      </w:r>
      <w:r>
        <w:rPr>
          <w:sz w:val="20"/>
        </w:rPr>
        <w:fldChar w:fldCharType="begin"/>
      </w:r>
      <w:r>
        <w:rPr>
          <w:sz w:val="20"/>
        </w:rPr>
        <w:instrText xml:space="preserve"> REF _Ref25046 \r \h </w:instrText>
      </w:r>
      <w:r>
        <w:rPr>
          <w:sz w:val="20"/>
        </w:rPr>
      </w:r>
      <w:r>
        <w:rPr>
          <w:sz w:val="20"/>
        </w:rPr>
        <w:fldChar w:fldCharType="separate"/>
      </w:r>
      <w:r>
        <w:rPr>
          <w:sz w:val="20"/>
        </w:rPr>
        <w:t>6</w:t>
      </w:r>
      <w:r>
        <w:rPr>
          <w:sz w:val="20"/>
        </w:rPr>
        <w:fldChar w:fldCharType="end"/>
      </w:r>
      <w:r>
        <w:rPr>
          <w:rFonts w:hint="eastAsia"/>
          <w:sz w:val="20"/>
          <w:lang w:eastAsia="zh-CN"/>
        </w:rPr>
        <w:t>-</w:t>
      </w:r>
      <w:r>
        <w:rPr>
          <w:sz w:val="20"/>
        </w:rPr>
        <w:fldChar w:fldCharType="begin"/>
      </w:r>
      <w:r>
        <w:rPr>
          <w:sz w:val="20"/>
        </w:rPr>
        <w:instrText xml:space="preserve"> </w:instrText>
      </w:r>
      <w:r>
        <w:rPr>
          <w:sz w:val="20"/>
        </w:rPr>
        <w:instrText xml:space="preserve">REF _Ref25052 \r \h </w:instrText>
      </w:r>
      <w:r>
        <w:rPr>
          <w:sz w:val="20"/>
        </w:rPr>
      </w:r>
      <w:r>
        <w:rPr>
          <w:sz w:val="20"/>
        </w:rPr>
        <w:fldChar w:fldCharType="separate"/>
      </w:r>
      <w:r>
        <w:rPr>
          <w:sz w:val="20"/>
        </w:rPr>
        <w:t>8</w:t>
      </w:r>
      <w:r>
        <w:rPr>
          <w:sz w:val="20"/>
        </w:rPr>
        <w:fldChar w:fldCharType="end"/>
      </w:r>
      <w:r>
        <w:rPr>
          <w:rFonts w:hint="eastAsia"/>
          <w:sz w:val="20"/>
          <w:lang w:eastAsia="zh-CN"/>
        </w:rPr>
        <w:t>]</w:t>
      </w:r>
      <w:r>
        <w:rPr>
          <w:sz w:val="20"/>
        </w:rPr>
        <w:t xml:space="preserve">. In Micro-LED applications, the diminished surface area amplifies sidewall defects and leakage issues, imposing stricter requirements on microstructural </w:t>
      </w:r>
      <w:r w:rsidR="00E706CB">
        <w:rPr>
          <w:sz w:val="20"/>
        </w:rPr>
        <w:t>design</w:t>
      </w:r>
      <w:r w:rsidR="00E706CB">
        <w:rPr>
          <w:sz w:val="20"/>
          <w:lang w:eastAsia="zh-CN"/>
        </w:rPr>
        <w:t xml:space="preserve"> [</w:t>
      </w:r>
      <w:r>
        <w:rPr>
          <w:sz w:val="20"/>
        </w:rPr>
        <w:fldChar w:fldCharType="begin"/>
      </w:r>
      <w:r>
        <w:rPr>
          <w:sz w:val="20"/>
        </w:rPr>
        <w:instrText xml:space="preserve"> REF _Ref</w:instrText>
      </w:r>
      <w:r>
        <w:rPr>
          <w:sz w:val="20"/>
        </w:rPr>
        <w:instrText xml:space="preserve">25085 \r \h </w:instrText>
      </w:r>
      <w:r>
        <w:rPr>
          <w:sz w:val="20"/>
        </w:rPr>
      </w:r>
      <w:r>
        <w:rPr>
          <w:sz w:val="20"/>
        </w:rPr>
        <w:fldChar w:fldCharType="separate"/>
      </w:r>
      <w:r>
        <w:rPr>
          <w:sz w:val="20"/>
        </w:rPr>
        <w:t>9</w:t>
      </w:r>
      <w:r>
        <w:rPr>
          <w:sz w:val="20"/>
        </w:rPr>
        <w:fldChar w:fldCharType="end"/>
      </w:r>
      <w:r>
        <w:rPr>
          <w:rFonts w:hint="eastAsia"/>
          <w:sz w:val="20"/>
          <w:lang w:eastAsia="zh-CN"/>
        </w:rPr>
        <w:t>-</w:t>
      </w:r>
      <w:r w:rsidR="00D94D2E">
        <w:rPr>
          <w:sz w:val="20"/>
        </w:rPr>
        <w:t>11</w:t>
      </w:r>
      <w:r>
        <w:rPr>
          <w:rFonts w:hint="eastAsia"/>
          <w:sz w:val="20"/>
          <w:lang w:eastAsia="zh-CN"/>
        </w:rPr>
        <w:t>]</w:t>
      </w:r>
      <w:r>
        <w:rPr>
          <w:sz w:val="20"/>
        </w:rPr>
        <w:t>.</w:t>
      </w:r>
    </w:p>
    <w:p w14:paraId="52D1E093" w14:textId="3D7C7712" w:rsidR="003B2B8C" w:rsidRDefault="00D27DEB">
      <w:pPr>
        <w:ind w:firstLine="284"/>
        <w:jc w:val="both"/>
        <w:rPr>
          <w:sz w:val="20"/>
        </w:rPr>
      </w:pPr>
      <w:r>
        <w:rPr>
          <w:sz w:val="20"/>
        </w:rPr>
        <w:t>This paper explores the latest developments in InGaN-based LED technology, emphasizing optimized material growth strategies and enhanced device structure performance. In mate</w:t>
      </w:r>
      <w:r>
        <w:rPr>
          <w:sz w:val="20"/>
        </w:rPr>
        <w:t xml:space="preserve">rial growth, it thoroughly assesses mainstream epitaxial </w:t>
      </w:r>
      <w:r w:rsidR="00E706CB">
        <w:rPr>
          <w:sz w:val="20"/>
        </w:rPr>
        <w:t>techniques,</w:t>
      </w:r>
      <w:r>
        <w:rPr>
          <w:sz w:val="20"/>
        </w:rPr>
        <w:t xml:space="preserve"> and their material property impacts, delving into critical issues like high indium incorporation, substrate compatibility, growth parameter optimization, and defect management. In device technology, it reviews recent progress in quantum well design, carri</w:t>
      </w:r>
      <w:r>
        <w:rPr>
          <w:sz w:val="20"/>
        </w:rPr>
        <w:t>er transport, light extraction optimization, and innovative architectures, including Micro-LEDs.</w:t>
      </w:r>
    </w:p>
    <w:p w14:paraId="54874DA8" w14:textId="5536B167" w:rsidR="003B2B8C" w:rsidRPr="00E706CB" w:rsidRDefault="00D27DEB" w:rsidP="00E706CB">
      <w:pPr>
        <w:ind w:firstLine="284"/>
        <w:jc w:val="both"/>
        <w:rPr>
          <w:sz w:val="20"/>
        </w:rPr>
      </w:pPr>
      <w:r>
        <w:rPr>
          <w:sz w:val="20"/>
        </w:rPr>
        <w:t>The paper centers on current InGaN-based LED technology advancements, pursuing two primary directions: it rigorously analyzes and organizes the technology’s co</w:t>
      </w:r>
      <w:r>
        <w:rPr>
          <w:sz w:val="20"/>
        </w:rPr>
        <w:t>re challenges, while also addressing existing limitations and suggesting potential future research pathways.</w:t>
      </w:r>
    </w:p>
    <w:p w14:paraId="65BB03B1" w14:textId="77777777" w:rsidR="003B2B8C" w:rsidRDefault="00D27DEB" w:rsidP="00D27DEB">
      <w:pPr>
        <w:pStyle w:val="1"/>
        <w:rPr>
          <w:lang w:eastAsia="zh-CN"/>
        </w:rPr>
      </w:pPr>
      <w:r>
        <w:rPr>
          <w:rFonts w:hint="eastAsia"/>
        </w:rPr>
        <w:t xml:space="preserve">Material Growth Strategies </w:t>
      </w:r>
      <w:r w:rsidRPr="00D27DEB">
        <w:rPr>
          <w:rFonts w:asciiTheme="majorBidi" w:hAnsiTheme="majorBidi" w:cstheme="majorBidi" w:hint="eastAsia"/>
        </w:rPr>
        <w:t>and</w:t>
      </w:r>
      <w:r>
        <w:rPr>
          <w:rFonts w:hint="eastAsia"/>
        </w:rPr>
        <w:t xml:space="preserve"> Challenges in InGaN-Based LEDs</w:t>
      </w:r>
    </w:p>
    <w:p w14:paraId="52897916" w14:textId="77777777" w:rsidR="003B2B8C" w:rsidRPr="00D27DEB" w:rsidRDefault="00D27DEB">
      <w:pPr>
        <w:pStyle w:val="2"/>
      </w:pPr>
      <w:r w:rsidRPr="00D27DEB">
        <w:rPr>
          <w:rFonts w:hint="eastAsia"/>
        </w:rPr>
        <w:t>Component Regulation and Indium Volatilization Suppression in High-In Epitaxy</w:t>
      </w:r>
    </w:p>
    <w:p w14:paraId="7EF72E62" w14:textId="2216FA1F" w:rsidR="003B2B8C" w:rsidRDefault="00D27DEB">
      <w:pPr>
        <w:pStyle w:val="Paragraph"/>
      </w:pPr>
      <w:r>
        <w:rPr>
          <w:rFonts w:hint="eastAsia"/>
        </w:rPr>
        <w:t xml:space="preserve">In the </w:t>
      </w:r>
      <w:r>
        <w:rPr>
          <w:rFonts w:hint="eastAsia"/>
        </w:rPr>
        <w:t xml:space="preserve">epitaxial growth of InGaN LED technology, particularly in green and </w:t>
      </w:r>
      <w:r w:rsidR="00E706CB">
        <w:t>red-light</w:t>
      </w:r>
      <w:r>
        <w:rPr>
          <w:rFonts w:hint="eastAsia"/>
        </w:rPr>
        <w:t xml:space="preserve"> bands, efficiency enhancements are persistently limited by material composition instability and crystal defects from high indium doping, commonly known as the </w:t>
      </w:r>
      <w:r>
        <w:rPr>
          <w:rFonts w:hint="eastAsia"/>
        </w:rPr>
        <w:t>‘</w:t>
      </w:r>
      <w:r>
        <w:rPr>
          <w:rFonts w:hint="eastAsia"/>
        </w:rPr>
        <w:t>green gap.</w:t>
      </w:r>
      <w:r>
        <w:rPr>
          <w:rFonts w:hint="eastAsia"/>
        </w:rPr>
        <w:t>’</w:t>
      </w:r>
      <w:r>
        <w:rPr>
          <w:rFonts w:hint="eastAsia"/>
        </w:rPr>
        <w:t xml:space="preserve"> The ce</w:t>
      </w:r>
      <w:r>
        <w:rPr>
          <w:rFonts w:hint="eastAsia"/>
        </w:rPr>
        <w:t xml:space="preserve">ntral difficulty arises because high indium content demands lower growth temperatures, clashing with the elevated temperatures needed for high-quality GaN, often causing material phase separation, indium volatilization, and diminished crystal </w:t>
      </w:r>
      <w:r w:rsidR="00E706CB">
        <w:t>quality</w:t>
      </w:r>
      <w:r w:rsidR="00E706CB">
        <w:rPr>
          <w:lang w:eastAsia="zh-CN"/>
        </w:rPr>
        <w:t xml:space="preserve"> [</w:t>
      </w:r>
      <w:r>
        <w:fldChar w:fldCharType="begin"/>
      </w:r>
      <w:r>
        <w:instrText xml:space="preserve"> REF</w:instrText>
      </w:r>
      <w:r>
        <w:instrText xml:space="preserve"> _Ref24866 \r \h </w:instrText>
      </w:r>
      <w:r>
        <w:fldChar w:fldCharType="separate"/>
      </w:r>
      <w:r>
        <w:t>1</w:t>
      </w:r>
      <w:r>
        <w:fldChar w:fldCharType="end"/>
      </w:r>
      <w:r>
        <w:rPr>
          <w:rFonts w:hint="eastAsia"/>
          <w:lang w:eastAsia="zh-CN"/>
        </w:rPr>
        <w:t>]</w:t>
      </w:r>
      <w:r>
        <w:rPr>
          <w:rFonts w:hint="eastAsia"/>
        </w:rPr>
        <w:t>.</w:t>
      </w:r>
    </w:p>
    <w:p w14:paraId="6BBB6D4B" w14:textId="77777777" w:rsidR="003B2B8C" w:rsidRDefault="00D27DEB">
      <w:pPr>
        <w:pStyle w:val="Paragraph"/>
      </w:pPr>
      <w:r>
        <w:rPr>
          <w:rFonts w:hint="eastAsia"/>
        </w:rPr>
        <w:t>To mitigate this, researchers have refined parameters in the predominant MOCVD process. Zhao et al. illustrated that elevating reaction chamber pressure during high-pressu</w:t>
      </w:r>
      <w:r>
        <w:rPr>
          <w:rFonts w:hint="eastAsia"/>
        </w:rPr>
        <w:t>re MOCVD effectively curbs indium atom volatilization, enhancing epitaxial layer uniformity and enabling green light emission from LEDs. This widens the stable growth window for green-emitting InGaN structures, laying a vital process groundwork for improvi</w:t>
      </w:r>
      <w:r>
        <w:rPr>
          <w:rFonts w:hint="eastAsia"/>
        </w:rPr>
        <w:t>ng structural integrity and efficiency consistency in long-wavelength devices.</w:t>
      </w:r>
    </w:p>
    <w:p w14:paraId="105CD4A7" w14:textId="5C1A8A5C" w:rsidR="003B2B8C" w:rsidRDefault="00D27DEB">
      <w:pPr>
        <w:pStyle w:val="Paragraph"/>
      </w:pPr>
      <w:r>
        <w:rPr>
          <w:rFonts w:hint="eastAsia"/>
        </w:rPr>
        <w:t>Beyond chamber pressure control, temperature and V/III ratio are pivotal performance influencers. Raising the V/III ratio boosts nitrogen source activity, enhancing indium captu</w:t>
      </w:r>
      <w:r>
        <w:rPr>
          <w:rFonts w:hint="eastAsia"/>
        </w:rPr>
        <w:t xml:space="preserve">re efficiency. Yet, this approach may elevate defect density, requiring careful optimization and balance in process </w:t>
      </w:r>
      <w:r w:rsidR="00E706CB">
        <w:t>design</w:t>
      </w:r>
      <w:r w:rsidR="00E706CB">
        <w:rPr>
          <w:lang w:eastAsia="zh-CN"/>
        </w:rPr>
        <w:t xml:space="preserve"> [</w:t>
      </w:r>
      <w:r>
        <w:fldChar w:fldCharType="begin"/>
      </w:r>
      <w:r>
        <w:instrText xml:space="preserve"> REF _Ref24967 \r \h </w:instrText>
      </w:r>
      <w:r>
        <w:fldChar w:fldCharType="separate"/>
      </w:r>
      <w:r>
        <w:t>5</w:t>
      </w:r>
      <w:r>
        <w:fldChar w:fldCharType="end"/>
      </w:r>
      <w:r>
        <w:rPr>
          <w:rFonts w:hint="eastAsia"/>
          <w:lang w:eastAsia="zh-CN"/>
        </w:rPr>
        <w:t>]</w:t>
      </w:r>
      <w:r>
        <w:rPr>
          <w:rFonts w:hint="eastAsia"/>
        </w:rPr>
        <w:t>.</w:t>
      </w:r>
    </w:p>
    <w:p w14:paraId="5456CEA1" w14:textId="77777777" w:rsidR="003B2B8C" w:rsidRDefault="00D27DEB">
      <w:pPr>
        <w:pStyle w:val="2"/>
        <w:rPr>
          <w:bCs/>
          <w:szCs w:val="24"/>
          <w:lang w:eastAsia="zh-CN"/>
        </w:rPr>
      </w:pPr>
      <w:r>
        <w:rPr>
          <w:rFonts w:hint="eastAsia"/>
          <w:bCs/>
          <w:szCs w:val="24"/>
          <w:lang w:eastAsia="zh-CN"/>
        </w:rPr>
        <w:t xml:space="preserve">Alternative Epitaxial Techniques: MBE </w:t>
      </w:r>
      <w:r w:rsidRPr="00D27DEB">
        <w:rPr>
          <w:rFonts w:hint="eastAsia"/>
        </w:rPr>
        <w:t>and</w:t>
      </w:r>
      <w:r>
        <w:rPr>
          <w:rFonts w:hint="eastAsia"/>
          <w:bCs/>
          <w:szCs w:val="24"/>
          <w:lang w:eastAsia="zh-CN"/>
        </w:rPr>
        <w:t xml:space="preserve"> R</w:t>
      </w:r>
      <w:r>
        <w:rPr>
          <w:rFonts w:hint="eastAsia"/>
          <w:bCs/>
          <w:szCs w:val="24"/>
          <w:lang w:eastAsia="zh-CN"/>
        </w:rPr>
        <w:t>emote Heteroepitaxy</w:t>
      </w:r>
    </w:p>
    <w:p w14:paraId="2141C6AA" w14:textId="04843158" w:rsidR="003B2B8C" w:rsidRDefault="00D27DEB">
      <w:pPr>
        <w:pStyle w:val="Paragraph"/>
      </w:pPr>
      <w:r>
        <w:rPr>
          <w:rFonts w:hint="eastAsia"/>
        </w:rPr>
        <w:t>Though widely utilized in InGaN-based LED epitaxial growth, MOCVD</w:t>
      </w:r>
      <w:r>
        <w:rPr>
          <w:rFonts w:hint="eastAsia"/>
        </w:rPr>
        <w:t>’</w:t>
      </w:r>
      <w:r>
        <w:rPr>
          <w:rFonts w:hint="eastAsia"/>
        </w:rPr>
        <w:t>s thermal stability and precision in regulating high indium compositions exhibit limitations. To address challenges like a constrained low-temperature growth window and c</w:t>
      </w:r>
      <w:r>
        <w:rPr>
          <w:rFonts w:hint="eastAsia"/>
        </w:rPr>
        <w:t xml:space="preserve">omponent instability, some studies have adopted molecular beam epitaxy (MBE). Operating at low temperatures in ultra-high vacuum, MBE precisely controls indium doping levels and quantum well structure thickness. Jeong et al. achieved </w:t>
      </w:r>
      <w:r w:rsidR="00EC7807">
        <w:t>strain controlled</w:t>
      </w:r>
      <w:r>
        <w:rPr>
          <w:rFonts w:hint="eastAsia"/>
        </w:rPr>
        <w:t xml:space="preserve"> GaN </w:t>
      </w:r>
      <w:r>
        <w:rPr>
          <w:rFonts w:hint="eastAsia"/>
        </w:rPr>
        <w:t>microstructure remote epitaxy using MBE, offering a fresh approach to locally regulating InGaN structures (Figure 1).</w:t>
      </w:r>
    </w:p>
    <w:p w14:paraId="736F28DE" w14:textId="77777777" w:rsidR="003B2B8C" w:rsidRDefault="00D27DEB">
      <w:pPr>
        <w:pStyle w:val="Paragraph"/>
      </w:pPr>
      <w:r>
        <w:rPr>
          <w:rFonts w:hint="eastAsia"/>
        </w:rPr>
        <w:t xml:space="preserve">This technique modifies stress conduction paths through </w:t>
      </w:r>
      <w:r>
        <w:rPr>
          <w:rFonts w:hint="eastAsia"/>
        </w:rPr>
        <w:t>‘</w:t>
      </w:r>
      <w:r>
        <w:rPr>
          <w:rFonts w:hint="eastAsia"/>
        </w:rPr>
        <w:t>substrate physical isolation + lattice replication growth,</w:t>
      </w:r>
      <w:r>
        <w:rPr>
          <w:rFonts w:hint="eastAsia"/>
        </w:rPr>
        <w:t>’</w:t>
      </w:r>
      <w:r>
        <w:rPr>
          <w:rFonts w:hint="eastAsia"/>
        </w:rPr>
        <w:t xml:space="preserve"> providing novel persp</w:t>
      </w:r>
      <w:r>
        <w:rPr>
          <w:rFonts w:hint="eastAsia"/>
        </w:rPr>
        <w:t>ectives on local stress management and low-dimensional structure design. However, its slow growth rate and limited dislocation control currently render it impractical for large-area epitaxial growth needs.</w:t>
      </w:r>
    </w:p>
    <w:p w14:paraId="0A7FC6EF" w14:textId="77777777" w:rsidR="003B2B8C" w:rsidRDefault="00D27DEB" w:rsidP="00D27DEB">
      <w:pPr>
        <w:pStyle w:val="Paragraph"/>
        <w:jc w:val="center"/>
      </w:pPr>
      <w:r>
        <w:rPr>
          <w:noProof/>
          <w:lang w:eastAsia="zh-CN"/>
        </w:rPr>
        <w:lastRenderedPageBreak/>
        <w:drawing>
          <wp:inline distT="0" distB="0" distL="114300" distR="114300" wp14:anchorId="7B759C74" wp14:editId="6A0015E9">
            <wp:extent cx="5272405" cy="2738755"/>
            <wp:effectExtent l="0" t="0" r="63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2405" cy="2738755"/>
                    </a:xfrm>
                    <a:prstGeom prst="rect">
                      <a:avLst/>
                    </a:prstGeom>
                    <a:noFill/>
                    <a:ln>
                      <a:noFill/>
                    </a:ln>
                  </pic:spPr>
                </pic:pic>
              </a:graphicData>
            </a:graphic>
          </wp:inline>
        </w:drawing>
      </w:r>
    </w:p>
    <w:p w14:paraId="6DD7CBD6" w14:textId="581B5D5A" w:rsidR="003B2B8C" w:rsidRPr="00E706CB" w:rsidRDefault="00D27DEB" w:rsidP="00D27DEB">
      <w:pPr>
        <w:pStyle w:val="Paragraph"/>
        <w:rPr>
          <w:sz w:val="18"/>
          <w:szCs w:val="18"/>
        </w:rPr>
      </w:pPr>
      <w:r w:rsidRPr="00E706CB">
        <w:rPr>
          <w:rFonts w:hint="eastAsia"/>
          <w:b/>
          <w:bCs/>
          <w:sz w:val="18"/>
          <w:szCs w:val="18"/>
        </w:rPr>
        <w:t xml:space="preserve">Figure 1 </w:t>
      </w:r>
      <w:r w:rsidRPr="00D27DEB">
        <w:rPr>
          <w:rFonts w:hint="eastAsia"/>
          <w:iCs/>
          <w:sz w:val="18"/>
          <w:szCs w:val="18"/>
        </w:rPr>
        <w:t>Remote heteroepitaxy of GaN MR heterost</w:t>
      </w:r>
      <w:r w:rsidRPr="00D27DEB">
        <w:rPr>
          <w:rFonts w:hint="eastAsia"/>
          <w:iCs/>
          <w:sz w:val="18"/>
          <w:szCs w:val="18"/>
        </w:rPr>
        <w:t>ructures on c-Al</w:t>
      </w:r>
      <w:r w:rsidRPr="00D27DEB">
        <w:rPr>
          <w:rFonts w:hint="eastAsia"/>
          <w:iCs/>
          <w:sz w:val="18"/>
          <w:szCs w:val="18"/>
        </w:rPr>
        <w:t>₂</w:t>
      </w:r>
      <w:r w:rsidRPr="00D27DEB">
        <w:rPr>
          <w:rFonts w:hint="eastAsia"/>
          <w:iCs/>
          <w:sz w:val="18"/>
          <w:szCs w:val="18"/>
        </w:rPr>
        <w:t>O</w:t>
      </w:r>
      <w:r w:rsidRPr="00D27DEB">
        <w:rPr>
          <w:rFonts w:hint="eastAsia"/>
          <w:iCs/>
          <w:sz w:val="18"/>
          <w:szCs w:val="18"/>
        </w:rPr>
        <w:t>₃</w:t>
      </w:r>
      <w:r w:rsidRPr="00D27DEB">
        <w:rPr>
          <w:rFonts w:hint="eastAsia"/>
          <w:iCs/>
          <w:sz w:val="18"/>
          <w:szCs w:val="18"/>
        </w:rPr>
        <w:t xml:space="preserve"> across graphene.(A) Photograph of EL light emission from MR LED in a bent form. (B) Cross-sectional schematic of MR heterostructures grown on graphene-coated c-Al</w:t>
      </w:r>
      <w:r w:rsidRPr="00D27DEB">
        <w:rPr>
          <w:rFonts w:hint="eastAsia"/>
          <w:iCs/>
          <w:sz w:val="18"/>
          <w:szCs w:val="18"/>
        </w:rPr>
        <w:t>₂</w:t>
      </w:r>
      <w:r w:rsidRPr="00D27DEB">
        <w:rPr>
          <w:rFonts w:hint="eastAsia"/>
          <w:iCs/>
          <w:sz w:val="18"/>
          <w:szCs w:val="18"/>
        </w:rPr>
        <w:t>O</w:t>
      </w:r>
      <w:r w:rsidRPr="00D27DEB">
        <w:rPr>
          <w:rFonts w:hint="eastAsia"/>
          <w:iCs/>
          <w:sz w:val="18"/>
          <w:szCs w:val="18"/>
        </w:rPr>
        <w:t>₃</w:t>
      </w:r>
      <w:r w:rsidRPr="00D27DEB">
        <w:rPr>
          <w:rFonts w:hint="eastAsia"/>
          <w:iCs/>
          <w:sz w:val="18"/>
          <w:szCs w:val="18"/>
        </w:rPr>
        <w:t xml:space="preserve"> wafer. (C) Annular bright-field (ABF) STEM image of remote epitaxial h</w:t>
      </w:r>
      <w:r w:rsidRPr="00D27DEB">
        <w:rPr>
          <w:rFonts w:hint="eastAsia"/>
          <w:iCs/>
          <w:sz w:val="18"/>
          <w:szCs w:val="18"/>
        </w:rPr>
        <w:t>eterointerface of GaN/graphene/c-Al</w:t>
      </w:r>
      <w:r w:rsidRPr="00D27DEB">
        <w:rPr>
          <w:rFonts w:hint="eastAsia"/>
          <w:iCs/>
          <w:sz w:val="18"/>
          <w:szCs w:val="18"/>
        </w:rPr>
        <w:t>₂</w:t>
      </w:r>
      <w:r w:rsidRPr="00D27DEB">
        <w:rPr>
          <w:rFonts w:hint="eastAsia"/>
          <w:iCs/>
          <w:sz w:val="18"/>
          <w:szCs w:val="18"/>
        </w:rPr>
        <w:t>O</w:t>
      </w:r>
      <w:r w:rsidRPr="00D27DEB">
        <w:rPr>
          <w:rFonts w:hint="eastAsia"/>
          <w:iCs/>
          <w:sz w:val="18"/>
          <w:szCs w:val="18"/>
        </w:rPr>
        <w:t>₃</w:t>
      </w:r>
      <w:r w:rsidRPr="00D27DEB">
        <w:rPr>
          <w:rFonts w:hint="eastAsia"/>
          <w:iCs/>
          <w:sz w:val="18"/>
          <w:szCs w:val="18"/>
        </w:rPr>
        <w:t xml:space="preserve"> focused on graphene. The location of the doubly stacked SLG is marked with red wedges. Atomic-resolution filtered ABF STEM images of (D) GaN MR and (E) c-Al</w:t>
      </w:r>
      <w:r w:rsidRPr="00D27DEB">
        <w:rPr>
          <w:rFonts w:hint="eastAsia"/>
          <w:iCs/>
          <w:sz w:val="18"/>
          <w:szCs w:val="18"/>
        </w:rPr>
        <w:t>₂</w:t>
      </w:r>
      <w:r w:rsidRPr="00D27DEB">
        <w:rPr>
          <w:rFonts w:hint="eastAsia"/>
          <w:iCs/>
          <w:sz w:val="18"/>
          <w:szCs w:val="18"/>
        </w:rPr>
        <w:t>O</w:t>
      </w:r>
      <w:r w:rsidRPr="00D27DEB">
        <w:rPr>
          <w:rFonts w:hint="eastAsia"/>
          <w:iCs/>
          <w:sz w:val="18"/>
          <w:szCs w:val="18"/>
        </w:rPr>
        <w:t>₃</w:t>
      </w:r>
      <w:r w:rsidRPr="00D27DEB">
        <w:rPr>
          <w:rFonts w:hint="eastAsia"/>
          <w:iCs/>
          <w:sz w:val="18"/>
          <w:szCs w:val="18"/>
        </w:rPr>
        <w:t xml:space="preserve"> taken around the heterointerface area. (F) Tilt-view FE-S</w:t>
      </w:r>
      <w:r w:rsidRPr="00D27DEB">
        <w:rPr>
          <w:rFonts w:hint="eastAsia"/>
          <w:iCs/>
          <w:sz w:val="18"/>
          <w:szCs w:val="18"/>
        </w:rPr>
        <w:t>EM image of as-grown MR LED arrays of radial p-n junction heterostructures. (G) Photograph of EL light emission from a 5 mm by 5 mm area MR LED in a flat form at 100 mA. Photomicrographs of MR LED (H) without and (I) with current injection of 100 mA, taken</w:t>
      </w:r>
      <w:r w:rsidRPr="00D27DEB">
        <w:rPr>
          <w:rFonts w:hint="eastAsia"/>
          <w:iCs/>
          <w:sz w:val="18"/>
          <w:szCs w:val="18"/>
        </w:rPr>
        <w:t xml:space="preserve"> from the boxed area in (G). The off-state photomicrograph of (H) was taken under normal lamp illumination conditions </w:t>
      </w:r>
      <w:r w:rsidRPr="00D27DEB">
        <w:rPr>
          <w:rFonts w:hint="eastAsia"/>
          <w:iCs/>
          <w:sz w:val="18"/>
          <w:szCs w:val="18"/>
          <w:lang w:eastAsia="zh-CN"/>
        </w:rPr>
        <w:t>[</w:t>
      </w:r>
      <w:r w:rsidRPr="00D27DEB">
        <w:rPr>
          <w:iCs/>
          <w:sz w:val="18"/>
          <w:szCs w:val="18"/>
        </w:rPr>
        <w:fldChar w:fldCharType="begin"/>
      </w:r>
      <w:r w:rsidRPr="00D27DEB">
        <w:rPr>
          <w:iCs/>
          <w:sz w:val="18"/>
          <w:szCs w:val="18"/>
        </w:rPr>
        <w:instrText xml:space="preserve"> REF _Ref25088 \r \h </w:instrText>
      </w:r>
      <w:r w:rsidR="00E706CB" w:rsidRPr="00D27DEB">
        <w:rPr>
          <w:iCs/>
          <w:sz w:val="18"/>
          <w:szCs w:val="18"/>
        </w:rPr>
        <w:instrText xml:space="preserve"> \* MERGEFORMAT </w:instrText>
      </w:r>
      <w:r w:rsidRPr="00D27DEB">
        <w:rPr>
          <w:iCs/>
          <w:sz w:val="18"/>
          <w:szCs w:val="18"/>
        </w:rPr>
      </w:r>
      <w:r w:rsidRPr="00D27DEB">
        <w:rPr>
          <w:iCs/>
          <w:sz w:val="18"/>
          <w:szCs w:val="18"/>
        </w:rPr>
        <w:fldChar w:fldCharType="separate"/>
      </w:r>
      <w:r w:rsidRPr="00D27DEB">
        <w:rPr>
          <w:iCs/>
          <w:sz w:val="18"/>
          <w:szCs w:val="18"/>
        </w:rPr>
        <w:t>10</w:t>
      </w:r>
      <w:r w:rsidRPr="00D27DEB">
        <w:rPr>
          <w:iCs/>
          <w:sz w:val="18"/>
          <w:szCs w:val="18"/>
        </w:rPr>
        <w:fldChar w:fldCharType="end"/>
      </w:r>
      <w:r w:rsidRPr="00D27DEB">
        <w:rPr>
          <w:rFonts w:hint="eastAsia"/>
          <w:iCs/>
          <w:sz w:val="18"/>
          <w:szCs w:val="18"/>
          <w:lang w:eastAsia="zh-CN"/>
        </w:rPr>
        <w:t>]</w:t>
      </w:r>
      <w:r w:rsidRPr="00D27DEB">
        <w:rPr>
          <w:rFonts w:hint="eastAsia"/>
          <w:iCs/>
          <w:sz w:val="18"/>
          <w:szCs w:val="18"/>
        </w:rPr>
        <w:t>.</w:t>
      </w:r>
    </w:p>
    <w:p w14:paraId="0AB3CC9A" w14:textId="5DF0BEC5" w:rsidR="003B2B8C" w:rsidRDefault="00D27DEB">
      <w:pPr>
        <w:pStyle w:val="Paragraph"/>
      </w:pPr>
      <w:r>
        <w:rPr>
          <w:rFonts w:hint="eastAsia"/>
        </w:rPr>
        <w:t>Nonetheless, MBE</w:t>
      </w:r>
      <w:r>
        <w:rPr>
          <w:rFonts w:hint="eastAsia"/>
        </w:rPr>
        <w:t>’</w:t>
      </w:r>
      <w:r>
        <w:rPr>
          <w:rFonts w:hint="eastAsia"/>
        </w:rPr>
        <w:t>s primary drawbacks</w:t>
      </w:r>
      <w:r>
        <w:rPr>
          <w:rFonts w:hint="eastAsia"/>
        </w:rPr>
        <w:t>—</w:t>
      </w:r>
      <w:r>
        <w:rPr>
          <w:rFonts w:hint="eastAsia"/>
        </w:rPr>
        <w:t>low yield and high dislocation density</w:t>
      </w:r>
      <w:r>
        <w:rPr>
          <w:rFonts w:hint="eastAsia"/>
        </w:rPr>
        <w:t>—</w:t>
      </w:r>
      <w:r>
        <w:rPr>
          <w:rFonts w:hint="eastAsia"/>
        </w:rPr>
        <w:t>currently preclude its use in large-scale commercial applications</w:t>
      </w:r>
      <w:r w:rsidR="00EC7807">
        <w:rPr>
          <w:lang w:eastAsia="zh-CN"/>
        </w:rPr>
        <w:t xml:space="preserve"> </w:t>
      </w:r>
      <w:r>
        <w:rPr>
          <w:rFonts w:hint="eastAsia"/>
          <w:lang w:eastAsia="zh-CN"/>
        </w:rPr>
        <w:t>[</w:t>
      </w:r>
      <w:r>
        <w:fldChar w:fldCharType="begin"/>
      </w:r>
      <w:r>
        <w:instrText xml:space="preserve"> REF _Ref25088 \r \h </w:instrText>
      </w:r>
      <w:r>
        <w:fldChar w:fldCharType="separate"/>
      </w:r>
      <w:r>
        <w:t>10</w:t>
      </w:r>
      <w:r>
        <w:fldChar w:fldCharType="end"/>
      </w:r>
      <w:r>
        <w:rPr>
          <w:rFonts w:hint="eastAsia"/>
          <w:lang w:eastAsia="zh-CN"/>
        </w:rPr>
        <w:t>]</w:t>
      </w:r>
      <w:r>
        <w:rPr>
          <w:rFonts w:hint="eastAsia"/>
        </w:rPr>
        <w:t>.</w:t>
      </w:r>
    </w:p>
    <w:p w14:paraId="2EBCED2A" w14:textId="77777777" w:rsidR="003B2B8C" w:rsidRDefault="00D27DEB">
      <w:pPr>
        <w:pStyle w:val="2"/>
        <w:rPr>
          <w:bCs/>
          <w:szCs w:val="24"/>
          <w:lang w:eastAsia="zh-CN"/>
        </w:rPr>
      </w:pPr>
      <w:r>
        <w:rPr>
          <w:rFonts w:hint="eastAsia"/>
          <w:bCs/>
          <w:szCs w:val="24"/>
          <w:lang w:eastAsia="zh-CN"/>
        </w:rPr>
        <w:t>Lattice Mismatch Management and Dislocation Suppression Strategies</w:t>
      </w:r>
    </w:p>
    <w:p w14:paraId="20E32719" w14:textId="707DE66A" w:rsidR="003B2B8C" w:rsidRDefault="00D27DEB">
      <w:pPr>
        <w:pStyle w:val="Paragraph"/>
      </w:pPr>
      <w:r>
        <w:rPr>
          <w:rFonts w:hint="eastAsia"/>
        </w:rPr>
        <w:t>Lattice mismatch and dislocation suppression present another major challenge beyond component regulation. InGaN, typically gro</w:t>
      </w:r>
      <w:r>
        <w:rPr>
          <w:rFonts w:hint="eastAsia"/>
        </w:rPr>
        <w:t xml:space="preserve">wn on sapphire, Si, or SiC substrates, encounters lattice mismatches with GaN, generating numerous screw dislocations and stress concentration zones that significantly diminish carrier recombination efficiency and light-emitting </w:t>
      </w:r>
      <w:r w:rsidR="00EC7807">
        <w:t>performance</w:t>
      </w:r>
      <w:r w:rsidR="00EC7807">
        <w:rPr>
          <w:lang w:eastAsia="zh-CN"/>
        </w:rPr>
        <w:t xml:space="preserve"> [</w:t>
      </w:r>
      <w:r>
        <w:fldChar w:fldCharType="begin"/>
      </w:r>
      <w:r>
        <w:instrText xml:space="preserve"> REF _Ref25085</w:instrText>
      </w:r>
      <w:r>
        <w:instrText xml:space="preserve"> \r \h </w:instrText>
      </w:r>
      <w:r>
        <w:fldChar w:fldCharType="separate"/>
      </w:r>
      <w:r>
        <w:t>9</w:t>
      </w:r>
      <w:r>
        <w:fldChar w:fldCharType="end"/>
      </w:r>
      <w:r>
        <w:rPr>
          <w:rFonts w:hint="eastAsia"/>
          <w:lang w:eastAsia="zh-CN"/>
        </w:rPr>
        <w:t>]</w:t>
      </w:r>
      <w:r>
        <w:rPr>
          <w:rFonts w:hint="eastAsia"/>
        </w:rPr>
        <w:t>. To alleviate stress buildup and curb dislocation propagation, researchers have suggested various buffer structures and substrate patterning strategies. Combining the GaN-on-Si platf</w:t>
      </w:r>
      <w:r>
        <w:rPr>
          <w:rFonts w:hint="eastAsia"/>
        </w:rPr>
        <w:t xml:space="preserve">orm with patterned substrates, Wu </w:t>
      </w:r>
      <w:r w:rsidR="00EC7807">
        <w:t>et al.</w:t>
      </w:r>
      <w:r w:rsidR="00EC7807">
        <w:rPr>
          <w:rFonts w:hint="eastAsia"/>
        </w:rPr>
        <w:t xml:space="preserve"> </w:t>
      </w:r>
      <w:r>
        <w:rPr>
          <w:rFonts w:hint="eastAsia"/>
        </w:rPr>
        <w:t>utilized patterned mask (PSS) and epitaxial lateral overgrowth (ELO) techniques on a sapphire substrate to develop a GaN-on-Si epitaxial structure, achieving lateral screw dislocation termination and enhanced epitax</w:t>
      </w:r>
      <w:r>
        <w:rPr>
          <w:rFonts w:hint="eastAsia"/>
        </w:rPr>
        <w:t>ial layer thickness uniformity</w:t>
      </w:r>
      <w:r w:rsidR="00EC7807">
        <w:rPr>
          <w:lang w:eastAsia="zh-CN"/>
        </w:rPr>
        <w:t xml:space="preserve"> [</w:t>
      </w:r>
      <w:r w:rsidR="00EC7807">
        <w:fldChar w:fldCharType="begin"/>
      </w:r>
      <w:r w:rsidR="00EC7807">
        <w:instrText xml:space="preserve"> REF _Ref25085 \r \h </w:instrText>
      </w:r>
      <w:r w:rsidR="00EC7807">
        <w:fldChar w:fldCharType="separate"/>
      </w:r>
      <w:r w:rsidR="00EC7807">
        <w:t>9</w:t>
      </w:r>
      <w:r w:rsidR="00EC7807">
        <w:fldChar w:fldCharType="end"/>
      </w:r>
      <w:r w:rsidR="00EC7807">
        <w:rPr>
          <w:rFonts w:hint="eastAsia"/>
          <w:lang w:eastAsia="zh-CN"/>
        </w:rPr>
        <w:t>]</w:t>
      </w:r>
      <w:r>
        <w:rPr>
          <w:rFonts w:hint="eastAsia"/>
        </w:rPr>
        <w:t>. Their study integrated EBSD, XRD, and transmission electron microscopy (TEM) characterization to confirm this structure</w:t>
      </w:r>
      <w:r>
        <w:rPr>
          <w:rFonts w:hint="eastAsia"/>
        </w:rPr>
        <w:t>’</w:t>
      </w:r>
      <w:r>
        <w:rPr>
          <w:rFonts w:hint="eastAsia"/>
        </w:rPr>
        <w:t>s comprehensive</w:t>
      </w:r>
      <w:r>
        <w:rPr>
          <w:rFonts w:hint="eastAsia"/>
        </w:rPr>
        <w:t xml:space="preserve"> benefits in reducing dislocation density and stress bending (wafer bow), making it especially apt for uniform growth of large-scale Micro-LED devices (Figure 2).</w:t>
      </w:r>
    </w:p>
    <w:p w14:paraId="455F9E75" w14:textId="10120A1C" w:rsidR="003B2B8C" w:rsidRDefault="00D27DEB">
      <w:pPr>
        <w:pStyle w:val="Paragraph"/>
      </w:pPr>
      <w:r>
        <w:rPr>
          <w:rFonts w:hint="eastAsia"/>
        </w:rPr>
        <w:t xml:space="preserve">Regarding buffer layer design, Mouloua </w:t>
      </w:r>
      <w:r w:rsidR="00EC7807">
        <w:t>et al.</w:t>
      </w:r>
      <w:r w:rsidR="00EC7807">
        <w:rPr>
          <w:rFonts w:hint="eastAsia"/>
        </w:rPr>
        <w:t xml:space="preserve"> </w:t>
      </w:r>
      <w:r>
        <w:rPr>
          <w:rFonts w:hint="eastAsia"/>
        </w:rPr>
        <w:t>suggested implementing a multi-period superlatt</w:t>
      </w:r>
      <w:r>
        <w:rPr>
          <w:rFonts w:hint="eastAsia"/>
        </w:rPr>
        <w:t>ice structure between InGaN and GaN layers as an alternating strain regulation zone, paired with AlN initial buffering, effectively suppressing interface mismatch stress and vertical screw dislocation rise</w:t>
      </w:r>
      <w:r w:rsidR="00EC7807">
        <w:rPr>
          <w:lang w:eastAsia="zh-CN"/>
        </w:rPr>
        <w:t xml:space="preserve"> [</w:t>
      </w:r>
      <w:r w:rsidR="00EC7807">
        <w:fldChar w:fldCharType="begin"/>
      </w:r>
      <w:r w:rsidR="00EC7807">
        <w:instrText xml:space="preserve"> REF _Ref24928 \r \h </w:instrText>
      </w:r>
      <w:r w:rsidR="00EC7807">
        <w:fldChar w:fldCharType="separate"/>
      </w:r>
      <w:r w:rsidR="00EC7807">
        <w:t>4</w:t>
      </w:r>
      <w:r w:rsidR="00EC7807">
        <w:fldChar w:fldCharType="end"/>
      </w:r>
      <w:r w:rsidR="00EC7807">
        <w:rPr>
          <w:rFonts w:hint="eastAsia"/>
          <w:lang w:eastAsia="zh-CN"/>
        </w:rPr>
        <w:t>]</w:t>
      </w:r>
      <w:r>
        <w:rPr>
          <w:rFonts w:hint="eastAsia"/>
        </w:rPr>
        <w:t>. This strategy employs periodic interface reconstruction to bolster overall epitaxial layer stability without sacrificing doping accuracy. This work structurally supports tackling crystal quality degradation in long-wa</w:t>
      </w:r>
      <w:r>
        <w:rPr>
          <w:rFonts w:hint="eastAsia"/>
        </w:rPr>
        <w:t>velength structures; however, the intricate multi-layer design still challenges growth uniformity control.</w:t>
      </w:r>
    </w:p>
    <w:p w14:paraId="004EC713" w14:textId="77777777" w:rsidR="003B2B8C" w:rsidRDefault="00D27DEB">
      <w:pPr>
        <w:pStyle w:val="2"/>
        <w:rPr>
          <w:bCs/>
          <w:szCs w:val="24"/>
          <w:lang w:eastAsia="zh-CN"/>
        </w:rPr>
      </w:pPr>
      <w:r>
        <w:rPr>
          <w:rFonts w:hint="eastAsia"/>
          <w:bCs/>
          <w:szCs w:val="24"/>
          <w:lang w:eastAsia="zh-CN"/>
        </w:rPr>
        <w:t>Stress Engineering and Local Structure-Induced Composition Control</w:t>
      </w:r>
    </w:p>
    <w:p w14:paraId="6937CBD6" w14:textId="469A4BDE" w:rsidR="003B2B8C" w:rsidRDefault="00D27DEB">
      <w:pPr>
        <w:pStyle w:val="Paragraph"/>
      </w:pPr>
      <w:r>
        <w:rPr>
          <w:rFonts w:hint="eastAsia"/>
        </w:rPr>
        <w:t>Component tuning of InGaN materials remains a foremost technical hurdle. Particula</w:t>
      </w:r>
      <w:r>
        <w:rPr>
          <w:rFonts w:hint="eastAsia"/>
        </w:rPr>
        <w:t xml:space="preserve">rly when targeting high indium content for green or </w:t>
      </w:r>
      <w:r w:rsidR="00EC7807">
        <w:t>red-light</w:t>
      </w:r>
      <w:r>
        <w:rPr>
          <w:rFonts w:hint="eastAsia"/>
        </w:rPr>
        <w:t xml:space="preserve"> emission, material stability and the growth window narrow considerably. To </w:t>
      </w:r>
      <w:r>
        <w:rPr>
          <w:rFonts w:hint="eastAsia"/>
        </w:rPr>
        <w:lastRenderedPageBreak/>
        <w:t xml:space="preserve">address this, Pan </w:t>
      </w:r>
      <w:r w:rsidR="00E706CB">
        <w:t>et al.</w:t>
      </w:r>
      <w:r w:rsidR="00E706CB">
        <w:rPr>
          <w:lang w:eastAsia="zh-CN"/>
        </w:rPr>
        <w:t xml:space="preserve"> [</w:t>
      </w:r>
      <w:r>
        <w:fldChar w:fldCharType="begin"/>
      </w:r>
      <w:r>
        <w:instrText xml:space="preserve"> REF _Ref24967 \r \h </w:instrText>
      </w:r>
      <w:r>
        <w:fldChar w:fldCharType="separate"/>
      </w:r>
      <w:r>
        <w:t>5</w:t>
      </w:r>
      <w:r>
        <w:fldChar w:fldCharType="end"/>
      </w:r>
      <w:r>
        <w:rPr>
          <w:rFonts w:hint="eastAsia"/>
          <w:lang w:eastAsia="zh-CN"/>
        </w:rPr>
        <w:t>]</w:t>
      </w:r>
      <w:r>
        <w:rPr>
          <w:rFonts w:hint="eastAsia"/>
        </w:rPr>
        <w:t>propose</w:t>
      </w:r>
      <w:r>
        <w:rPr>
          <w:rFonts w:hint="eastAsia"/>
        </w:rPr>
        <w:t xml:space="preserve">d introducing microgroove defects to regulate the growth surface stress field. This method establishes a controllable defect array on the quantum well growth surface, inducing local strain distribution that markedly enhances In distribution uniformity and </w:t>
      </w:r>
      <w:r>
        <w:rPr>
          <w:rFonts w:hint="eastAsia"/>
        </w:rPr>
        <w:t xml:space="preserve">quantum well interface flatness. In high-indium-content red LEDs, a notable increase in light extraction efficiency was observed. This structure also modulates polarized electric field distribution, partially mitigating band tilt effects from polarization </w:t>
      </w:r>
      <w:r>
        <w:rPr>
          <w:rFonts w:hint="eastAsia"/>
        </w:rPr>
        <w:t>enhancement, offering a structural-level control pathway for the green gap mechanism. Unlike traditional superlattice buffer layers, this approach prioritizes local microstructure induction on the growth surface, maintaining high doping stability while pre</w:t>
      </w:r>
      <w:r>
        <w:rPr>
          <w:rFonts w:hint="eastAsia"/>
        </w:rPr>
        <w:t>serving excellent lateral stress release capability. This facilitates In distribution control in red LEDs, effectively addressing composition segregation issues from high indium doping.</w:t>
      </w:r>
    </w:p>
    <w:p w14:paraId="1C93C9D5" w14:textId="2402F7B3" w:rsidR="003B2B8C" w:rsidRDefault="00D27DEB">
      <w:pPr>
        <w:pStyle w:val="Paragraph"/>
      </w:pPr>
      <w:r>
        <w:rPr>
          <w:rFonts w:hint="eastAsia"/>
        </w:rPr>
        <w:t>Beyond structural regulation, low-stress</w:t>
      </w:r>
      <w:r>
        <w:rPr>
          <w:rFonts w:hint="eastAsia"/>
        </w:rPr>
        <w:t>–</w:t>
      </w:r>
      <w:r>
        <w:rPr>
          <w:rFonts w:hint="eastAsia"/>
        </w:rPr>
        <w:t>low-power process routes have</w:t>
      </w:r>
      <w:r>
        <w:rPr>
          <w:rFonts w:hint="eastAsia"/>
        </w:rPr>
        <w:t xml:space="preserve"> emerged as a key avenue for optimizing material quality. Baek </w:t>
      </w:r>
      <w:r w:rsidR="00EC7807">
        <w:t>et al.</w:t>
      </w:r>
      <w:r w:rsidR="00EC7807">
        <w:rPr>
          <w:lang w:eastAsia="zh-CN"/>
        </w:rPr>
        <w:t xml:space="preserve"> [</w:t>
      </w:r>
      <w:r>
        <w:fldChar w:fldCharType="begin"/>
      </w:r>
      <w:r>
        <w:instrText xml:space="preserve"> REF _Ref24925 \r \h </w:instrText>
      </w:r>
      <w:r>
        <w:fldChar w:fldCharType="separate"/>
      </w:r>
      <w:r>
        <w:t>3</w:t>
      </w:r>
      <w:r>
        <w:fldChar w:fldCharType="end"/>
      </w:r>
      <w:r>
        <w:rPr>
          <w:rFonts w:hint="eastAsia"/>
          <w:lang w:eastAsia="zh-CN"/>
        </w:rPr>
        <w:t>]</w:t>
      </w:r>
      <w:r>
        <w:rPr>
          <w:rFonts w:hint="eastAsia"/>
        </w:rPr>
        <w:t>proposed using low current density drive and a reduced thermal budget to achieve high-quality InGaN</w:t>
      </w:r>
      <w:r>
        <w:rPr>
          <w:rFonts w:hint="eastAsia"/>
        </w:rPr>
        <w:t xml:space="preserve">/GaN multi-quantum well epitaxial growth in blue </w:t>
      </w:r>
      <w:r w:rsidRPr="00EC7807">
        <w:t>μ</w:t>
      </w:r>
      <w:r>
        <w:rPr>
          <w:rFonts w:hint="eastAsia"/>
        </w:rPr>
        <w:t>LED structures. This method curbs In volatilization and stress-induced behavior, significantly enhancing EQE and lattice uniformity without compromising crystal integrity, offering transferable validation f</w:t>
      </w:r>
      <w:r>
        <w:rPr>
          <w:rFonts w:hint="eastAsia"/>
        </w:rPr>
        <w:t>or subsequent high-In composition structure designs (Figure 3). These findings suggest that current material control strategies are shifting from single-parameter optimization reliance toward an integrated control system grounded in the three-dimensional c</w:t>
      </w:r>
      <w:r>
        <w:rPr>
          <w:rFonts w:hint="eastAsia"/>
        </w:rPr>
        <w:t>oordination of structure, process, and stress.</w:t>
      </w:r>
    </w:p>
    <w:p w14:paraId="6CB2A041" w14:textId="77777777" w:rsidR="003B2B8C" w:rsidRPr="00D27DEB" w:rsidRDefault="00D27DEB" w:rsidP="00D27DEB">
      <w:pPr>
        <w:pStyle w:val="Paragraph"/>
        <w:jc w:val="center"/>
      </w:pPr>
      <w:r w:rsidRPr="00D27DEB">
        <w:rPr>
          <w:rFonts w:hint="eastAsia"/>
          <w:noProof/>
          <w:lang w:eastAsia="zh-CN"/>
        </w:rPr>
        <w:drawing>
          <wp:inline distT="0" distB="0" distL="114300" distR="114300" wp14:anchorId="20556A95" wp14:editId="07E68EEE">
            <wp:extent cx="4354830" cy="4345305"/>
            <wp:effectExtent l="0" t="0" r="3810" b="13335"/>
            <wp:docPr id="6" name="图片 6" descr="41377_2024_1639_Fig1_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377_2024_1639_Fig1_HTML"/>
                    <pic:cNvPicPr>
                      <a:picLocks noChangeAspect="1"/>
                    </pic:cNvPicPr>
                  </pic:nvPicPr>
                  <pic:blipFill>
                    <a:blip r:embed="rId10"/>
                    <a:stretch>
                      <a:fillRect/>
                    </a:stretch>
                  </pic:blipFill>
                  <pic:spPr>
                    <a:xfrm>
                      <a:off x="0" y="0"/>
                      <a:ext cx="4354830" cy="4345305"/>
                    </a:xfrm>
                    <a:prstGeom prst="rect">
                      <a:avLst/>
                    </a:prstGeom>
                  </pic:spPr>
                </pic:pic>
              </a:graphicData>
            </a:graphic>
          </wp:inline>
        </w:drawing>
      </w:r>
    </w:p>
    <w:p w14:paraId="1BBAE071" w14:textId="04F5B722" w:rsidR="003B2B8C" w:rsidRPr="00D27DEB" w:rsidRDefault="00D27DEB" w:rsidP="00D27DEB">
      <w:pPr>
        <w:pStyle w:val="Paragraph"/>
        <w:jc w:val="center"/>
        <w:rPr>
          <w:sz w:val="18"/>
          <w:szCs w:val="18"/>
        </w:rPr>
      </w:pPr>
      <w:r w:rsidRPr="00D27DEB">
        <w:rPr>
          <w:rFonts w:hint="eastAsia"/>
          <w:b/>
          <w:bCs/>
          <w:sz w:val="18"/>
          <w:szCs w:val="18"/>
        </w:rPr>
        <w:t>Figure 2</w:t>
      </w:r>
      <w:r w:rsidRPr="00D27DEB">
        <w:rPr>
          <w:rFonts w:hint="eastAsia"/>
          <w:iCs/>
          <w:sz w:val="18"/>
          <w:szCs w:val="18"/>
        </w:rPr>
        <w:t xml:space="preserve"> </w:t>
      </w:r>
      <w:r w:rsidR="0029326D" w:rsidRPr="00D27DEB">
        <w:rPr>
          <w:iCs/>
          <w:sz w:val="18"/>
          <w:szCs w:val="18"/>
          <w:lang w:eastAsia="zh-CN"/>
        </w:rPr>
        <w:t>(</w:t>
      </w:r>
      <w:r w:rsidRPr="00D27DEB">
        <w:rPr>
          <w:rFonts w:hint="eastAsia"/>
          <w:iCs/>
          <w:sz w:val="18"/>
          <w:szCs w:val="18"/>
        </w:rPr>
        <w:t>a</w:t>
      </w:r>
      <w:r w:rsidR="0029326D" w:rsidRPr="00D27DEB">
        <w:rPr>
          <w:iCs/>
          <w:sz w:val="18"/>
          <w:szCs w:val="18"/>
        </w:rPr>
        <w:t>)</w:t>
      </w:r>
      <w:r w:rsidRPr="00D27DEB">
        <w:rPr>
          <w:rFonts w:hint="eastAsia"/>
          <w:iCs/>
          <w:sz w:val="18"/>
          <w:szCs w:val="18"/>
        </w:rPr>
        <w:t xml:space="preserve"> Typical photograph of a 4-inch Si-based epitaxial wafer, where the epitaxial structure is shown on the right side. </w:t>
      </w:r>
      <w:r w:rsidR="0029326D" w:rsidRPr="00D27DEB">
        <w:rPr>
          <w:iCs/>
          <w:sz w:val="18"/>
          <w:szCs w:val="18"/>
        </w:rPr>
        <w:t>(</w:t>
      </w:r>
      <w:r w:rsidRPr="00D27DEB">
        <w:rPr>
          <w:rFonts w:hint="eastAsia"/>
          <w:iCs/>
          <w:sz w:val="18"/>
          <w:szCs w:val="18"/>
        </w:rPr>
        <w:t>b</w:t>
      </w:r>
      <w:r w:rsidR="0029326D" w:rsidRPr="00D27DEB">
        <w:rPr>
          <w:iCs/>
          <w:sz w:val="18"/>
          <w:szCs w:val="18"/>
        </w:rPr>
        <w:t>)</w:t>
      </w:r>
      <w:r w:rsidRPr="00D27DEB">
        <w:rPr>
          <w:rFonts w:hint="eastAsia"/>
          <w:iCs/>
          <w:sz w:val="18"/>
          <w:szCs w:val="18"/>
        </w:rPr>
        <w:t xml:space="preserve"> High-resolution X-ray diffraction pattern of the epilayer grown on a Si (111) substrate, where the FWHM values of the rocking curves corresponding to (002) and (102) are measured to be 277 arcsec and 264 arcsec, respectively.</w:t>
      </w:r>
      <w:r w:rsidR="0029326D" w:rsidRPr="00D27DEB">
        <w:rPr>
          <w:iCs/>
          <w:sz w:val="18"/>
          <w:szCs w:val="18"/>
        </w:rPr>
        <w:t xml:space="preserve"> (</w:t>
      </w:r>
      <w:r w:rsidRPr="00D27DEB">
        <w:rPr>
          <w:rFonts w:hint="eastAsia"/>
          <w:iCs/>
          <w:sz w:val="18"/>
          <w:szCs w:val="18"/>
        </w:rPr>
        <w:t>c</w:t>
      </w:r>
      <w:r w:rsidR="0029326D" w:rsidRPr="00D27DEB">
        <w:rPr>
          <w:iCs/>
          <w:sz w:val="18"/>
          <w:szCs w:val="18"/>
        </w:rPr>
        <w:t>)</w:t>
      </w:r>
      <w:r w:rsidRPr="00D27DEB">
        <w:rPr>
          <w:rFonts w:hint="eastAsia"/>
          <w:iCs/>
          <w:sz w:val="18"/>
          <w:szCs w:val="18"/>
        </w:rPr>
        <w:t xml:space="preserve"> Mapping of the wafer bowi</w:t>
      </w:r>
      <w:r w:rsidRPr="00D27DEB">
        <w:rPr>
          <w:rFonts w:hint="eastAsia"/>
          <w:iCs/>
          <w:sz w:val="18"/>
          <w:szCs w:val="18"/>
        </w:rPr>
        <w:t xml:space="preserve">ng condition, which indicates convex bowing of 16.7 </w:t>
      </w:r>
      <w:r w:rsidRPr="00D27DEB">
        <w:rPr>
          <w:iCs/>
          <w:sz w:val="18"/>
          <w:szCs w:val="18"/>
        </w:rPr>
        <w:t>μm</w:t>
      </w:r>
      <w:r w:rsidRPr="00D27DEB">
        <w:rPr>
          <w:rFonts w:hint="eastAsia"/>
          <w:iCs/>
          <w:sz w:val="18"/>
          <w:szCs w:val="18"/>
        </w:rPr>
        <w:t xml:space="preserve">. </w:t>
      </w:r>
      <w:r w:rsidR="0029326D" w:rsidRPr="00D27DEB">
        <w:rPr>
          <w:iCs/>
          <w:sz w:val="18"/>
          <w:szCs w:val="18"/>
        </w:rPr>
        <w:t>(</w:t>
      </w:r>
      <w:r w:rsidRPr="00D27DEB">
        <w:rPr>
          <w:rFonts w:hint="eastAsia"/>
          <w:iCs/>
          <w:sz w:val="18"/>
          <w:szCs w:val="18"/>
        </w:rPr>
        <w:t>d</w:t>
      </w:r>
      <w:r w:rsidR="0029326D" w:rsidRPr="00D27DEB">
        <w:rPr>
          <w:iCs/>
          <w:sz w:val="18"/>
          <w:szCs w:val="18"/>
        </w:rPr>
        <w:t>)</w:t>
      </w:r>
      <w:r w:rsidRPr="00D27DEB">
        <w:rPr>
          <w:rFonts w:hint="eastAsia"/>
          <w:iCs/>
          <w:sz w:val="18"/>
          <w:szCs w:val="18"/>
        </w:rPr>
        <w:t xml:space="preserve"> Wafer mapping of the dominant wavelength on the epilayer. </w:t>
      </w:r>
      <w:r w:rsidR="0029326D" w:rsidRPr="00D27DEB">
        <w:rPr>
          <w:iCs/>
          <w:sz w:val="18"/>
          <w:szCs w:val="18"/>
        </w:rPr>
        <w:t>€</w:t>
      </w:r>
      <w:r w:rsidRPr="00D27DEB">
        <w:rPr>
          <w:rFonts w:hint="eastAsia"/>
          <w:iCs/>
          <w:sz w:val="18"/>
          <w:szCs w:val="18"/>
        </w:rPr>
        <w:t xml:space="preserve"> EBSD IPF mapping and EBSP of the epilayer across a 1</w:t>
      </w:r>
      <w:r w:rsidRPr="00D27DEB">
        <w:rPr>
          <w:rFonts w:hint="eastAsia"/>
          <w:iCs/>
          <w:sz w:val="18"/>
          <w:szCs w:val="18"/>
        </w:rPr>
        <w:t>×</w:t>
      </w:r>
      <w:r w:rsidRPr="00D27DEB">
        <w:rPr>
          <w:rFonts w:hint="eastAsia"/>
          <w:iCs/>
          <w:sz w:val="18"/>
          <w:szCs w:val="18"/>
        </w:rPr>
        <w:t xml:space="preserve">1 mm area. </w:t>
      </w:r>
      <w:r w:rsidR="0029326D" w:rsidRPr="00D27DEB">
        <w:rPr>
          <w:iCs/>
          <w:sz w:val="18"/>
          <w:szCs w:val="18"/>
        </w:rPr>
        <w:t>(</w:t>
      </w:r>
      <w:r w:rsidRPr="00D27DEB">
        <w:rPr>
          <w:rFonts w:hint="eastAsia"/>
          <w:iCs/>
          <w:sz w:val="18"/>
          <w:szCs w:val="18"/>
        </w:rPr>
        <w:t>f</w:t>
      </w:r>
      <w:r w:rsidR="0029326D" w:rsidRPr="00D27DEB">
        <w:rPr>
          <w:iCs/>
          <w:sz w:val="18"/>
          <w:szCs w:val="18"/>
        </w:rPr>
        <w:t>)</w:t>
      </w:r>
      <w:r w:rsidRPr="00D27DEB">
        <w:rPr>
          <w:rFonts w:hint="eastAsia"/>
          <w:iCs/>
          <w:sz w:val="18"/>
          <w:szCs w:val="18"/>
        </w:rPr>
        <w:t xml:space="preserve"> High-resolution transmission electron microscope (HRTEM) image and e</w:t>
      </w:r>
      <w:r w:rsidRPr="00D27DEB">
        <w:rPr>
          <w:rFonts w:hint="eastAsia"/>
          <w:iCs/>
          <w:sz w:val="18"/>
          <w:szCs w:val="18"/>
        </w:rPr>
        <w:t>lement distribution of the GaN/InGaN MQW</w:t>
      </w:r>
      <w:r w:rsidR="0029326D" w:rsidRPr="00D27DEB">
        <w:rPr>
          <w:rFonts w:hint="eastAsia"/>
          <w:iCs/>
          <w:sz w:val="18"/>
          <w:szCs w:val="18"/>
          <w:lang w:eastAsia="zh-CN"/>
        </w:rPr>
        <w:t xml:space="preserve"> </w:t>
      </w:r>
      <w:r w:rsidRPr="00D27DEB">
        <w:rPr>
          <w:rFonts w:hint="eastAsia"/>
          <w:iCs/>
          <w:sz w:val="18"/>
          <w:szCs w:val="18"/>
          <w:lang w:eastAsia="zh-CN"/>
        </w:rPr>
        <w:t>[</w:t>
      </w:r>
      <w:r w:rsidRPr="00D27DEB">
        <w:rPr>
          <w:iCs/>
          <w:sz w:val="18"/>
          <w:szCs w:val="18"/>
        </w:rPr>
        <w:fldChar w:fldCharType="begin"/>
      </w:r>
      <w:r w:rsidRPr="00D27DEB">
        <w:rPr>
          <w:iCs/>
          <w:sz w:val="18"/>
          <w:szCs w:val="18"/>
        </w:rPr>
        <w:instrText xml:space="preserve"> REF _Ref25085 \r \h </w:instrText>
      </w:r>
      <w:r w:rsidR="0029326D" w:rsidRPr="00D27DEB">
        <w:rPr>
          <w:iCs/>
          <w:sz w:val="18"/>
          <w:szCs w:val="18"/>
        </w:rPr>
        <w:instrText xml:space="preserve"> \* MERGEFORMAT </w:instrText>
      </w:r>
      <w:r w:rsidRPr="00D27DEB">
        <w:rPr>
          <w:iCs/>
          <w:sz w:val="18"/>
          <w:szCs w:val="18"/>
        </w:rPr>
      </w:r>
      <w:r w:rsidRPr="00D27DEB">
        <w:rPr>
          <w:iCs/>
          <w:sz w:val="18"/>
          <w:szCs w:val="18"/>
        </w:rPr>
        <w:fldChar w:fldCharType="separate"/>
      </w:r>
      <w:r w:rsidRPr="00D27DEB">
        <w:rPr>
          <w:iCs/>
          <w:sz w:val="18"/>
          <w:szCs w:val="18"/>
        </w:rPr>
        <w:t>9</w:t>
      </w:r>
      <w:r w:rsidRPr="00D27DEB">
        <w:rPr>
          <w:iCs/>
          <w:sz w:val="18"/>
          <w:szCs w:val="18"/>
        </w:rPr>
        <w:fldChar w:fldCharType="end"/>
      </w:r>
      <w:r w:rsidRPr="00D27DEB">
        <w:rPr>
          <w:rFonts w:hint="eastAsia"/>
          <w:iCs/>
          <w:sz w:val="18"/>
          <w:szCs w:val="18"/>
          <w:lang w:eastAsia="zh-CN"/>
        </w:rPr>
        <w:t>]</w:t>
      </w:r>
      <w:r w:rsidRPr="00D27DEB">
        <w:rPr>
          <w:rFonts w:hint="eastAsia"/>
          <w:iCs/>
          <w:sz w:val="18"/>
          <w:szCs w:val="18"/>
        </w:rPr>
        <w:t>.</w:t>
      </w:r>
    </w:p>
    <w:p w14:paraId="6B410812" w14:textId="77777777" w:rsidR="003B2B8C" w:rsidRDefault="00D27DEB">
      <w:pPr>
        <w:pStyle w:val="Paragraph"/>
      </w:pPr>
      <w:r>
        <w:rPr>
          <w:rFonts w:hint="eastAsia"/>
          <w:noProof/>
          <w:lang w:eastAsia="zh-CN"/>
        </w:rPr>
        <w:lastRenderedPageBreak/>
        <w:drawing>
          <wp:inline distT="0" distB="0" distL="114300" distR="114300" wp14:anchorId="3305E7CD" wp14:editId="049A64D0">
            <wp:extent cx="5252720" cy="1821815"/>
            <wp:effectExtent l="0" t="0" r="5080" b="6985"/>
            <wp:docPr id="1" name="图片 1" descr="41467_2023_36773_Fig5_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467_2023_36773_Fig5_HTML"/>
                    <pic:cNvPicPr>
                      <a:picLocks noChangeAspect="1"/>
                    </pic:cNvPicPr>
                  </pic:nvPicPr>
                  <pic:blipFill>
                    <a:blip r:embed="rId11"/>
                    <a:stretch>
                      <a:fillRect/>
                    </a:stretch>
                  </pic:blipFill>
                  <pic:spPr>
                    <a:xfrm>
                      <a:off x="0" y="0"/>
                      <a:ext cx="5252720" cy="1821815"/>
                    </a:xfrm>
                    <a:prstGeom prst="rect">
                      <a:avLst/>
                    </a:prstGeom>
                  </pic:spPr>
                </pic:pic>
              </a:graphicData>
            </a:graphic>
          </wp:inline>
        </w:drawing>
      </w:r>
    </w:p>
    <w:p w14:paraId="38DF7D25" w14:textId="77777777" w:rsidR="003B2B8C" w:rsidRPr="00D27DEB" w:rsidRDefault="00D27DEB" w:rsidP="00E706CB">
      <w:pPr>
        <w:pStyle w:val="Paragraph"/>
        <w:jc w:val="center"/>
        <w:rPr>
          <w:iCs/>
          <w:sz w:val="18"/>
          <w:szCs w:val="18"/>
        </w:rPr>
      </w:pPr>
      <w:r w:rsidRPr="00D27DEB">
        <w:rPr>
          <w:rFonts w:hint="eastAsia"/>
          <w:b/>
          <w:bCs/>
          <w:sz w:val="18"/>
          <w:szCs w:val="18"/>
        </w:rPr>
        <w:t xml:space="preserve">Figure 3 </w:t>
      </w:r>
      <w:r w:rsidRPr="00D27DEB">
        <w:rPr>
          <w:rFonts w:hint="eastAsia"/>
          <w:iCs/>
          <w:sz w:val="18"/>
          <w:szCs w:val="18"/>
        </w:rPr>
        <w:t xml:space="preserve">Summary and benchmark of the different epitaxy structures and state-of-the-art blue </w:t>
      </w:r>
      <w:r w:rsidRPr="00D27DEB">
        <w:rPr>
          <w:rFonts w:hint="eastAsia"/>
          <w:iCs/>
          <w:sz w:val="18"/>
          <w:szCs w:val="18"/>
        </w:rPr>
        <w:t>μ</w:t>
      </w:r>
      <w:r w:rsidRPr="00D27DEB">
        <w:rPr>
          <w:rFonts w:hint="eastAsia"/>
          <w:iCs/>
          <w:sz w:val="18"/>
          <w:szCs w:val="18"/>
        </w:rPr>
        <w:t>LED devices.</w:t>
      </w:r>
    </w:p>
    <w:p w14:paraId="70D0CFC7" w14:textId="3C189BF9" w:rsidR="003B2B8C" w:rsidRPr="00D27DEB" w:rsidRDefault="00D27DEB" w:rsidP="00E706CB">
      <w:pPr>
        <w:pStyle w:val="Paragraph"/>
        <w:jc w:val="center"/>
        <w:rPr>
          <w:iCs/>
          <w:sz w:val="18"/>
          <w:szCs w:val="18"/>
          <w:lang w:eastAsia="zh-CN"/>
        </w:rPr>
      </w:pPr>
      <w:r w:rsidRPr="00D27DEB">
        <w:rPr>
          <w:rFonts w:hint="eastAsia"/>
          <w:iCs/>
          <w:sz w:val="18"/>
          <w:szCs w:val="18"/>
        </w:rPr>
        <w:t>a Comparison of maximum external quantum efficiency (EQE) and Jmax EQE of QB 3.5, QB 7.5, QB 10.5, and QB 10.5 Balanced EBL. Benchmark of b EQE at J = 0.1 A/cm</w:t>
      </w:r>
      <w:r w:rsidRPr="00D27DEB">
        <w:rPr>
          <w:rFonts w:hint="eastAsia"/>
          <w:iCs/>
          <w:sz w:val="18"/>
          <w:szCs w:val="18"/>
        </w:rPr>
        <w:t>²</w:t>
      </w:r>
      <w:r w:rsidRPr="00D27DEB">
        <w:rPr>
          <w:rFonts w:hint="eastAsia"/>
          <w:iCs/>
          <w:sz w:val="18"/>
          <w:szCs w:val="18"/>
        </w:rPr>
        <w:t xml:space="preserve"> and c Jmax EQE for state-of-the-art blue </w:t>
      </w:r>
      <w:r w:rsidRPr="00D27DEB">
        <w:rPr>
          <w:rFonts w:hint="eastAsia"/>
          <w:iCs/>
          <w:sz w:val="18"/>
          <w:szCs w:val="18"/>
        </w:rPr>
        <w:t>μ</w:t>
      </w:r>
      <w:r w:rsidRPr="00D27DEB">
        <w:rPr>
          <w:rFonts w:hint="eastAsia"/>
          <w:iCs/>
          <w:sz w:val="18"/>
          <w:szCs w:val="18"/>
        </w:rPr>
        <w:t>LED devices as a function of pitch size. (UCSB in blu</w:t>
      </w:r>
      <w:r w:rsidRPr="00D27DEB">
        <w:rPr>
          <w:rFonts w:hint="eastAsia"/>
          <w:iCs/>
          <w:sz w:val="18"/>
          <w:szCs w:val="18"/>
        </w:rPr>
        <w:t>e4, UCSB in green5, UCSB in ocher7, LETI6, Samsung Display35</w:t>
      </w:r>
      <w:r w:rsidR="00E706CB" w:rsidRPr="00D27DEB">
        <w:rPr>
          <w:iCs/>
          <w:sz w:val="18"/>
          <w:szCs w:val="18"/>
        </w:rPr>
        <w:t>).</w:t>
      </w:r>
      <w:r w:rsidR="00E706CB" w:rsidRPr="00D27DEB">
        <w:rPr>
          <w:rFonts w:hint="eastAsia"/>
          <w:iCs/>
          <w:sz w:val="18"/>
          <w:szCs w:val="18"/>
          <w:lang w:eastAsia="zh-CN"/>
        </w:rPr>
        <w:t xml:space="preserve"> </w:t>
      </w:r>
      <w:r w:rsidRPr="00D27DEB">
        <w:rPr>
          <w:rFonts w:hint="eastAsia"/>
          <w:iCs/>
          <w:sz w:val="18"/>
          <w:szCs w:val="18"/>
          <w:lang w:eastAsia="zh-CN"/>
        </w:rPr>
        <w:t>[</w:t>
      </w:r>
      <w:r w:rsidRPr="00D27DEB">
        <w:rPr>
          <w:iCs/>
          <w:sz w:val="18"/>
          <w:szCs w:val="18"/>
        </w:rPr>
        <w:fldChar w:fldCharType="begin"/>
      </w:r>
      <w:r w:rsidRPr="00D27DEB">
        <w:rPr>
          <w:iCs/>
          <w:sz w:val="18"/>
          <w:szCs w:val="18"/>
        </w:rPr>
        <w:instrText xml:space="preserve"> REF _Ref24925 \r \h </w:instrText>
      </w:r>
      <w:r w:rsidR="00E706CB" w:rsidRPr="00D27DEB">
        <w:rPr>
          <w:iCs/>
          <w:sz w:val="18"/>
          <w:szCs w:val="18"/>
        </w:rPr>
        <w:instrText xml:space="preserve"> \* MERGEFORMAT </w:instrText>
      </w:r>
      <w:r w:rsidRPr="00D27DEB">
        <w:rPr>
          <w:iCs/>
          <w:sz w:val="18"/>
          <w:szCs w:val="18"/>
        </w:rPr>
      </w:r>
      <w:r w:rsidRPr="00D27DEB">
        <w:rPr>
          <w:iCs/>
          <w:sz w:val="18"/>
          <w:szCs w:val="18"/>
        </w:rPr>
        <w:fldChar w:fldCharType="separate"/>
      </w:r>
      <w:r w:rsidRPr="00D27DEB">
        <w:rPr>
          <w:iCs/>
          <w:sz w:val="18"/>
          <w:szCs w:val="18"/>
        </w:rPr>
        <w:t>3</w:t>
      </w:r>
      <w:r w:rsidRPr="00D27DEB">
        <w:rPr>
          <w:iCs/>
          <w:sz w:val="18"/>
          <w:szCs w:val="18"/>
        </w:rPr>
        <w:fldChar w:fldCharType="end"/>
      </w:r>
      <w:r w:rsidRPr="00D27DEB">
        <w:rPr>
          <w:rFonts w:hint="eastAsia"/>
          <w:iCs/>
          <w:sz w:val="18"/>
          <w:szCs w:val="18"/>
          <w:lang w:eastAsia="zh-CN"/>
        </w:rPr>
        <w:t>]</w:t>
      </w:r>
      <w:r w:rsidRPr="00D27DEB">
        <w:rPr>
          <w:rFonts w:hint="eastAsia"/>
          <w:iCs/>
          <w:sz w:val="18"/>
          <w:szCs w:val="18"/>
        </w:rPr>
        <w:t>.</w:t>
      </w:r>
    </w:p>
    <w:p w14:paraId="15BFEF3F" w14:textId="77777777" w:rsidR="003B2B8C" w:rsidRDefault="00D27DEB">
      <w:pPr>
        <w:pStyle w:val="1"/>
      </w:pPr>
      <w:r>
        <w:rPr>
          <w:rFonts w:hint="eastAsia"/>
        </w:rPr>
        <w:t>Device Structure Optimization for InGaN LEDs</w:t>
      </w:r>
    </w:p>
    <w:p w14:paraId="7F49F137" w14:textId="77777777" w:rsidR="003B2B8C" w:rsidRDefault="00D27DEB">
      <w:pPr>
        <w:pStyle w:val="2"/>
        <w:rPr>
          <w:bCs/>
          <w:szCs w:val="24"/>
          <w:lang w:eastAsia="zh-CN"/>
        </w:rPr>
      </w:pPr>
      <w:r>
        <w:rPr>
          <w:rFonts w:hint="eastAsia"/>
          <w:bCs/>
          <w:szCs w:val="24"/>
          <w:lang w:eastAsia="zh-CN"/>
        </w:rPr>
        <w:t>Polarisation Field and Recombination Effic</w:t>
      </w:r>
      <w:r>
        <w:rPr>
          <w:rFonts w:hint="eastAsia"/>
          <w:bCs/>
          <w:szCs w:val="24"/>
          <w:lang w:eastAsia="zh-CN"/>
        </w:rPr>
        <w:t>iency</w:t>
      </w:r>
    </w:p>
    <w:p w14:paraId="52B7C710" w14:textId="77777777" w:rsidR="003B2B8C" w:rsidRDefault="00D27DEB">
      <w:pPr>
        <w:pStyle w:val="Paragraph"/>
      </w:pPr>
      <w:r>
        <w:rPr>
          <w:rFonts w:hint="eastAsia"/>
        </w:rPr>
        <w:t>In InGaN-based LED devices, due to the polar c-face epitaxial growth of GaN and InGaN, strong piezoelectric and spontaneous polarisation fields are generated at high In concentrations. This causes the quantum well band structure to tilt and separates</w:t>
      </w:r>
      <w:r>
        <w:rPr>
          <w:rFonts w:hint="eastAsia"/>
        </w:rPr>
        <w:t xml:space="preserve"> electrons and holes spatially, thereby significantly reducing the radiative recombination probability. This phenomenon is known as the quantum-confined Stark effect (QCSE) and is a major cause of reduced internal quantum efficiency in green and red LEDs </w:t>
      </w:r>
      <w:r>
        <w:rPr>
          <w:rFonts w:hint="eastAsia"/>
          <w:lang w:eastAsia="zh-CN"/>
        </w:rPr>
        <w:t>[</w:t>
      </w:r>
      <w:r>
        <w:fldChar w:fldCharType="begin"/>
      </w:r>
      <w:r>
        <w:instrText xml:space="preserve"> REF _Ref24873 \r \h </w:instrText>
      </w:r>
      <w:r>
        <w:fldChar w:fldCharType="separate"/>
      </w:r>
      <w:r>
        <w:t>2</w:t>
      </w:r>
      <w:r>
        <w:fldChar w:fldCharType="end"/>
      </w:r>
      <w:r>
        <w:rPr>
          <w:rFonts w:hint="eastAsia"/>
          <w:lang w:eastAsia="zh-CN"/>
        </w:rPr>
        <w:t>]</w:t>
      </w:r>
      <w:r>
        <w:rPr>
          <w:rFonts w:hint="eastAsia"/>
        </w:rPr>
        <w:t>.</w:t>
      </w:r>
    </w:p>
    <w:p w14:paraId="6F5C82DB" w14:textId="231CE2EC" w:rsidR="003B2B8C" w:rsidRDefault="00D27DEB">
      <w:pPr>
        <w:pStyle w:val="Paragraph"/>
      </w:pPr>
      <w:r>
        <w:rPr>
          <w:rFonts w:hint="eastAsia"/>
        </w:rPr>
        <w:t xml:space="preserve">Researchers have proposed various structural modulation strategies to mitigate the reduction in recombination efficiency caused by polarisation fields. Pan </w:t>
      </w:r>
      <w:r w:rsidR="00E80249">
        <w:t>et al.</w:t>
      </w:r>
      <w:r w:rsidR="00E80249">
        <w:rPr>
          <w:rFonts w:hint="eastAsia"/>
        </w:rPr>
        <w:t xml:space="preserve"> </w:t>
      </w:r>
      <w:r>
        <w:rPr>
          <w:rFonts w:hint="eastAsia"/>
        </w:rPr>
        <w:t>designed a localised trench stress-induced structure by introducing specific defects on the quantum well growth surface</w:t>
      </w:r>
      <w:r w:rsidR="00E80249">
        <w:rPr>
          <w:lang w:eastAsia="zh-CN"/>
        </w:rPr>
        <w:t xml:space="preserve"> [</w:t>
      </w:r>
      <w:r w:rsidR="00E80249">
        <w:fldChar w:fldCharType="begin"/>
      </w:r>
      <w:r w:rsidR="00E80249">
        <w:instrText xml:space="preserve"> REF _Ref25490 \r \h </w:instrText>
      </w:r>
      <w:r w:rsidR="00E80249">
        <w:fldChar w:fldCharType="separate"/>
      </w:r>
      <w:r w:rsidR="00E80249">
        <w:t>7</w:t>
      </w:r>
      <w:r w:rsidR="00E80249">
        <w:fldChar w:fldCharType="end"/>
      </w:r>
      <w:r w:rsidR="00E80249">
        <w:rPr>
          <w:rFonts w:hint="eastAsia"/>
          <w:lang w:eastAsia="zh-CN"/>
        </w:rPr>
        <w:t>]</w:t>
      </w:r>
      <w:r>
        <w:rPr>
          <w:rFonts w:hint="eastAsia"/>
        </w:rPr>
        <w:t xml:space="preserve">. This altered the local stress distribution and </w:t>
      </w:r>
      <w:r>
        <w:rPr>
          <w:rFonts w:hint="eastAsia"/>
        </w:rPr>
        <w:t>regulated the direction and intensity of the polarisation field, effectively suppressing the QCSE. This strategy modulates the polarisation field through surface structure control, significantly enhancing light emission in high-in-doped red LEDs.</w:t>
      </w:r>
    </w:p>
    <w:p w14:paraId="4B1507CA" w14:textId="1ED8583A" w:rsidR="003B2B8C" w:rsidRDefault="00D27DEB">
      <w:pPr>
        <w:pStyle w:val="Paragraph"/>
      </w:pPr>
      <w:r>
        <w:rPr>
          <w:rFonts w:hint="eastAsia"/>
        </w:rPr>
        <w:t>Additiona</w:t>
      </w:r>
      <w:r>
        <w:rPr>
          <w:rFonts w:hint="eastAsia"/>
        </w:rPr>
        <w:t xml:space="preserve">lly, Armitage </w:t>
      </w:r>
      <w:r w:rsidR="00E80249">
        <w:t>et al.</w:t>
      </w:r>
      <w:r w:rsidR="00E80249">
        <w:rPr>
          <w:rFonts w:hint="eastAsia"/>
        </w:rPr>
        <w:t xml:space="preserve"> </w:t>
      </w:r>
      <w:r>
        <w:rPr>
          <w:rFonts w:hint="eastAsia"/>
        </w:rPr>
        <w:t>employed InGaN quantum wells grown in a semi-polar epitaxial direction, successfully weakening the influence of the polarization field on the quantum well band structure</w:t>
      </w:r>
      <w:r w:rsidR="00E80249">
        <w:rPr>
          <w:lang w:eastAsia="zh-CN"/>
        </w:rPr>
        <w:t xml:space="preserve"> [</w:t>
      </w:r>
      <w:r w:rsidR="00E80249">
        <w:fldChar w:fldCharType="begin"/>
      </w:r>
      <w:r w:rsidR="00E80249">
        <w:instrText xml:space="preserve"> REF _Ref25088 \r \h </w:instrText>
      </w:r>
      <w:r w:rsidR="00E80249">
        <w:fldChar w:fldCharType="separate"/>
      </w:r>
      <w:r w:rsidR="00E80249">
        <w:t>10</w:t>
      </w:r>
      <w:r w:rsidR="00E80249">
        <w:fldChar w:fldCharType="end"/>
      </w:r>
      <w:r w:rsidR="00E80249">
        <w:rPr>
          <w:rFonts w:hint="eastAsia"/>
          <w:lang w:eastAsia="zh-CN"/>
        </w:rPr>
        <w:t>]</w:t>
      </w:r>
      <w:r>
        <w:rPr>
          <w:rFonts w:hint="eastAsia"/>
        </w:rPr>
        <w:t>. This increased the electron-hole wave function overlap, significantly improving the long-wavelength light-emitting efficiency. Non-polar and semi-polar epitaxial directions are considered the fundamental pathways to eliminate the p</w:t>
      </w:r>
      <w:r>
        <w:rPr>
          <w:rFonts w:hint="eastAsia"/>
        </w:rPr>
        <w:t>olarization field; however, they currently face challenges such as high device defect density and complex epitaxial techniques.</w:t>
      </w:r>
    </w:p>
    <w:p w14:paraId="00D8B05F" w14:textId="0875F5C4" w:rsidR="003B2B8C" w:rsidRDefault="00D27DEB">
      <w:pPr>
        <w:pStyle w:val="Paragraph"/>
      </w:pPr>
      <w:r>
        <w:rPr>
          <w:rFonts w:hint="eastAsia"/>
        </w:rPr>
        <w:t>In the traditional polar epitaxial growth path, some studies have attempted to introduce AlGaN potential barrier layers or strai</w:t>
      </w:r>
      <w:r>
        <w:rPr>
          <w:rFonts w:hint="eastAsia"/>
        </w:rPr>
        <w:t xml:space="preserve">n-relief buffer layers to partially compensate for the polarisation field partially, thereby enhancing the quantum well radiative recombination </w:t>
      </w:r>
      <w:r w:rsidR="00E80249">
        <w:t>rate</w:t>
      </w:r>
      <w:r w:rsidR="00E80249">
        <w:rPr>
          <w:lang w:eastAsia="zh-CN"/>
        </w:rPr>
        <w:t xml:space="preserve"> [</w:t>
      </w:r>
      <w:r>
        <w:fldChar w:fldCharType="begin"/>
      </w:r>
      <w:r>
        <w:instrText xml:space="preserve"> REF _Ref24873 \r \h </w:instrText>
      </w:r>
      <w:r>
        <w:fldChar w:fldCharType="separate"/>
      </w:r>
      <w:r>
        <w:t>2</w:t>
      </w:r>
      <w:r>
        <w:fldChar w:fldCharType="end"/>
      </w:r>
      <w:r>
        <w:rPr>
          <w:rFonts w:hint="eastAsia"/>
          <w:lang w:eastAsia="zh-CN"/>
        </w:rPr>
        <w:t>]</w:t>
      </w:r>
      <w:r>
        <w:rPr>
          <w:rFonts w:hint="eastAsia"/>
        </w:rPr>
        <w:t>. Although such str</w:t>
      </w:r>
      <w:r>
        <w:rPr>
          <w:rFonts w:hint="eastAsia"/>
        </w:rPr>
        <w:t>uctures have achieved short-term success, they also introduce band discontinuities and new non-radiative recombination interfaces, requiring careful balancing.</w:t>
      </w:r>
    </w:p>
    <w:p w14:paraId="13F2D3C7" w14:textId="77777777" w:rsidR="003B2B8C" w:rsidRDefault="00D27DEB">
      <w:pPr>
        <w:pStyle w:val="2"/>
        <w:rPr>
          <w:bCs/>
          <w:szCs w:val="24"/>
          <w:lang w:eastAsia="zh-CN"/>
        </w:rPr>
      </w:pPr>
      <w:r>
        <w:rPr>
          <w:rFonts w:hint="eastAsia"/>
          <w:bCs/>
          <w:szCs w:val="24"/>
          <w:lang w:eastAsia="zh-CN"/>
        </w:rPr>
        <w:t>Carrier injection efficiency and electron leakage</w:t>
      </w:r>
    </w:p>
    <w:p w14:paraId="65B333A9" w14:textId="2A8A24AF" w:rsidR="003B2B8C" w:rsidRDefault="00D27DEB">
      <w:pPr>
        <w:pStyle w:val="Paragraph"/>
      </w:pPr>
      <w:r>
        <w:rPr>
          <w:rFonts w:hint="eastAsia"/>
        </w:rPr>
        <w:t>In InGaN LEDs, carrier injection efficiency (C</w:t>
      </w:r>
      <w:r>
        <w:rPr>
          <w:rFonts w:hint="eastAsia"/>
        </w:rPr>
        <w:t>IE) is one of the key factors affecting light-emitting efficiency. Under high current densities, the imbalance between electron and hole injection often leads to a significant number of electrons overflowing the active region, reducing radiative recombinat</w:t>
      </w:r>
      <w:r>
        <w:rPr>
          <w:rFonts w:hint="eastAsia"/>
        </w:rPr>
        <w:t xml:space="preserve">ion efficiency and causing additional thermal losses and device </w:t>
      </w:r>
      <w:r w:rsidR="00E80249">
        <w:t>degradation</w:t>
      </w:r>
      <w:r w:rsidR="00E80249">
        <w:rPr>
          <w:lang w:eastAsia="zh-CN"/>
        </w:rPr>
        <w:t xml:space="preserve"> [</w:t>
      </w:r>
      <w:r>
        <w:fldChar w:fldCharType="begin"/>
      </w:r>
      <w:r>
        <w:instrText xml:space="preserve"> REF _Ref25046 \r \h </w:instrText>
      </w:r>
      <w:r>
        <w:fldChar w:fldCharType="separate"/>
      </w:r>
      <w:r>
        <w:t>6</w:t>
      </w:r>
      <w:r>
        <w:fldChar w:fldCharType="end"/>
      </w:r>
      <w:r>
        <w:rPr>
          <w:rFonts w:hint="eastAsia"/>
          <w:lang w:eastAsia="zh-CN"/>
        </w:rPr>
        <w:t>]</w:t>
      </w:r>
      <w:r>
        <w:rPr>
          <w:rFonts w:hint="eastAsia"/>
        </w:rPr>
        <w:t>. Additionally, quantum wells with high In content are more prone to mismatches between exces</w:t>
      </w:r>
      <w:r>
        <w:rPr>
          <w:rFonts w:hint="eastAsia"/>
        </w:rPr>
        <w:t xml:space="preserve">sive electron injection and insufficient hole availability, further exacerbating efficiency degradation in the Green Gap </w:t>
      </w:r>
      <w:r w:rsidR="00E80249">
        <w:t>region</w:t>
      </w:r>
      <w:r w:rsidR="00E80249">
        <w:rPr>
          <w:lang w:eastAsia="zh-CN"/>
        </w:rPr>
        <w:t xml:space="preserve"> [</w:t>
      </w:r>
      <w:r>
        <w:fldChar w:fldCharType="begin"/>
      </w:r>
      <w:r>
        <w:instrText xml:space="preserve"> REF _Ref25490 \r \h </w:instrText>
      </w:r>
      <w:r>
        <w:fldChar w:fldCharType="separate"/>
      </w:r>
      <w:r>
        <w:t>7</w:t>
      </w:r>
      <w:r>
        <w:fldChar w:fldCharType="end"/>
      </w:r>
      <w:r>
        <w:rPr>
          <w:rFonts w:hint="eastAsia"/>
          <w:lang w:eastAsia="zh-CN"/>
        </w:rPr>
        <w:t>]</w:t>
      </w:r>
      <w:r>
        <w:rPr>
          <w:rFonts w:hint="eastAsia"/>
        </w:rPr>
        <w:t>.</w:t>
      </w:r>
    </w:p>
    <w:p w14:paraId="26D1D2D8" w14:textId="4AB2DC94" w:rsidR="003B2B8C" w:rsidRDefault="00D27DEB">
      <w:pPr>
        <w:pStyle w:val="Paragraph"/>
      </w:pPr>
      <w:r>
        <w:rPr>
          <w:rFonts w:hint="eastAsia"/>
        </w:rPr>
        <w:t>Researchers have addressed both the bar</w:t>
      </w:r>
      <w:r>
        <w:rPr>
          <w:rFonts w:hint="eastAsia"/>
        </w:rPr>
        <w:t>rier and carrier injection layers to improve carrier injection efficiency. On one hand, Wu et al. introduced an AlGaN tunnelling layer in an InGaN/GaN multi-quantum well structure, successfully regulating the band alignment relationship and significantly e</w:t>
      </w:r>
      <w:r>
        <w:rPr>
          <w:rFonts w:hint="eastAsia"/>
        </w:rPr>
        <w:t xml:space="preserve">nhancing the electron-hole recombination </w:t>
      </w:r>
      <w:r w:rsidR="00E80249">
        <w:lastRenderedPageBreak/>
        <w:t>probability</w:t>
      </w:r>
      <w:r w:rsidR="00E80249">
        <w:rPr>
          <w:lang w:eastAsia="zh-CN"/>
        </w:rPr>
        <w:t xml:space="preserve"> [</w:t>
      </w:r>
      <w:r>
        <w:fldChar w:fldCharType="begin"/>
      </w:r>
      <w:r>
        <w:instrText xml:space="preserve"> REF _Ref25085 \r \h </w:instrText>
      </w:r>
      <w:r>
        <w:fldChar w:fldCharType="separate"/>
      </w:r>
      <w:r>
        <w:t>9</w:t>
      </w:r>
      <w:r>
        <w:fldChar w:fldCharType="end"/>
      </w:r>
      <w:r>
        <w:rPr>
          <w:rFonts w:hint="eastAsia"/>
          <w:lang w:eastAsia="zh-CN"/>
        </w:rPr>
        <w:t>]</w:t>
      </w:r>
      <w:r>
        <w:rPr>
          <w:rFonts w:hint="eastAsia"/>
        </w:rPr>
        <w:t xml:space="preserve">. This structure suppresses electron leakage while improving quantum efficiency, with particularly notable enhancements in the green and </w:t>
      </w:r>
      <w:r w:rsidR="00E80249">
        <w:t>red-light</w:t>
      </w:r>
      <w:r>
        <w:rPr>
          <w:rFonts w:hint="eastAsia"/>
        </w:rPr>
        <w:t xml:space="preserve"> regions.</w:t>
      </w:r>
    </w:p>
    <w:p w14:paraId="5A926EAD" w14:textId="2F7A61F9" w:rsidR="003B2B8C" w:rsidRDefault="00D27DEB">
      <w:pPr>
        <w:pStyle w:val="Paragraph"/>
      </w:pPr>
      <w:r>
        <w:rPr>
          <w:rFonts w:hint="eastAsia"/>
        </w:rPr>
        <w:t>On the other hand, Liu et al. proposed using an AlGaN buffer layer to optimise the conductivity of t</w:t>
      </w:r>
      <w:r>
        <w:rPr>
          <w:rFonts w:hint="eastAsia"/>
        </w:rPr>
        <w:t xml:space="preserve">he p-type region, thereby reducing the hole injection </w:t>
      </w:r>
      <w:r w:rsidR="00E80249">
        <w:t>barrier</w:t>
      </w:r>
      <w:r w:rsidR="00E80249">
        <w:rPr>
          <w:lang w:eastAsia="zh-CN"/>
        </w:rPr>
        <w:t xml:space="preserve"> [</w:t>
      </w:r>
      <w:r>
        <w:fldChar w:fldCharType="begin"/>
      </w:r>
      <w:r>
        <w:instrText xml:space="preserve"> REF _Ref25611 \r \h </w:instrText>
      </w:r>
      <w:r>
        <w:fldChar w:fldCharType="separate"/>
      </w:r>
      <w:r>
        <w:t>12</w:t>
      </w:r>
      <w:r>
        <w:fldChar w:fldCharType="end"/>
      </w:r>
      <w:r>
        <w:rPr>
          <w:rFonts w:hint="eastAsia"/>
          <w:lang w:eastAsia="zh-CN"/>
        </w:rPr>
        <w:t>]</w:t>
      </w:r>
      <w:r>
        <w:rPr>
          <w:rFonts w:hint="eastAsia"/>
        </w:rPr>
        <w:t>. By reasonably setting the Al composition and doping concentration, this strategy maintained a high exte</w:t>
      </w:r>
      <w:r>
        <w:rPr>
          <w:rFonts w:hint="eastAsia"/>
        </w:rPr>
        <w:t>rnal quantum efficiency even at high injection currents, demonstrating that barrier design and p-region modification can synergistically enhance the CIE.</w:t>
      </w:r>
    </w:p>
    <w:p w14:paraId="3EACC441" w14:textId="288EDA02" w:rsidR="003B2B8C" w:rsidRDefault="00D27DEB">
      <w:pPr>
        <w:pStyle w:val="Paragraph"/>
      </w:pPr>
      <w:r>
        <w:rPr>
          <w:rFonts w:hint="eastAsia"/>
        </w:rPr>
        <w:t xml:space="preserve">Electron leakage is another major bottleneck, manifested as high-energy electrons crossing the active </w:t>
      </w:r>
      <w:r>
        <w:rPr>
          <w:rFonts w:hint="eastAsia"/>
        </w:rPr>
        <w:t xml:space="preserve">region and recombining in the p-type region or on the device surface to generate heat. Lee et al. employed a semi-polar GaN epitaxial structure to weaken the polarisation field, significantly reducing carrier </w:t>
      </w:r>
      <w:r w:rsidR="00E80249">
        <w:t>leakage</w:t>
      </w:r>
      <w:r w:rsidR="00E80249">
        <w:rPr>
          <w:lang w:eastAsia="zh-CN"/>
        </w:rPr>
        <w:t xml:space="preserve"> [</w:t>
      </w:r>
      <w:r>
        <w:fldChar w:fldCharType="begin"/>
      </w:r>
      <w:r>
        <w:instrText xml:space="preserve"> REF _Ref24928 \r \h </w:instrText>
      </w:r>
      <w:r>
        <w:fldChar w:fldCharType="separate"/>
      </w:r>
      <w:r>
        <w:t>4</w:t>
      </w:r>
      <w:r>
        <w:fldChar w:fldCharType="end"/>
      </w:r>
      <w:r>
        <w:rPr>
          <w:rFonts w:hint="eastAsia"/>
          <w:lang w:eastAsia="zh-CN"/>
        </w:rPr>
        <w:t>]</w:t>
      </w:r>
      <w:r>
        <w:rPr>
          <w:rFonts w:hint="eastAsia"/>
        </w:rPr>
        <w:t xml:space="preserve">. Additionally, nanostructures have been proven to effectively collect electrons, mitigate leakage current, and enhance light output </w:t>
      </w:r>
      <w:r>
        <w:rPr>
          <w:rFonts w:hint="eastAsia"/>
          <w:lang w:eastAsia="zh-CN"/>
        </w:rPr>
        <w:t>[</w:t>
      </w:r>
      <w:r>
        <w:fldChar w:fldCharType="begin"/>
      </w:r>
      <w:r>
        <w:instrText xml:space="preserve"> REF _Ref25088 \r \h </w:instrText>
      </w:r>
      <w:r>
        <w:fldChar w:fldCharType="separate"/>
      </w:r>
      <w:r>
        <w:t>10</w:t>
      </w:r>
      <w:r>
        <w:fldChar w:fldCharType="end"/>
      </w:r>
      <w:r>
        <w:rPr>
          <w:rFonts w:hint="eastAsia"/>
          <w:lang w:eastAsia="zh-CN"/>
        </w:rPr>
        <w:t>]</w:t>
      </w:r>
      <w:r>
        <w:rPr>
          <w:rFonts w:hint="eastAsia"/>
        </w:rPr>
        <w:t>.</w:t>
      </w:r>
    </w:p>
    <w:p w14:paraId="04F1D08D" w14:textId="77777777" w:rsidR="003B2B8C" w:rsidRDefault="00D27DEB">
      <w:pPr>
        <w:pStyle w:val="Paragraph"/>
      </w:pPr>
      <w:r>
        <w:rPr>
          <w:rFonts w:hint="eastAsia"/>
        </w:rPr>
        <w:t xml:space="preserve">Although these strategies have achieved significant improvements in carrier injection and leakage, their stability and durability under high current density and high In composition conditions remain to be verified. How to combine material </w:t>
      </w:r>
      <w:r>
        <w:rPr>
          <w:rFonts w:hint="eastAsia"/>
        </w:rPr>
        <w:t>modification and structural regulation to ensure that devices maintain high CIE and avoid severe heat accumulation under high-power modes remains a challenging problem for future research.</w:t>
      </w:r>
    </w:p>
    <w:p w14:paraId="4BDA6A05" w14:textId="77777777" w:rsidR="003B2B8C" w:rsidRDefault="00D27DEB">
      <w:pPr>
        <w:pStyle w:val="2"/>
        <w:rPr>
          <w:bCs/>
          <w:szCs w:val="24"/>
          <w:lang w:eastAsia="zh-CN"/>
        </w:rPr>
      </w:pPr>
      <w:r>
        <w:rPr>
          <w:rFonts w:hint="eastAsia"/>
          <w:bCs/>
          <w:szCs w:val="24"/>
          <w:lang w:eastAsia="zh-CN"/>
        </w:rPr>
        <w:t xml:space="preserve">Micro-LED Structural Challenges and Structural Countermeasures for </w:t>
      </w:r>
      <w:r>
        <w:rPr>
          <w:rFonts w:hint="eastAsia"/>
          <w:bCs/>
          <w:szCs w:val="24"/>
          <w:lang w:eastAsia="zh-CN"/>
        </w:rPr>
        <w:t>Device Miniaturisation</w:t>
      </w:r>
    </w:p>
    <w:p w14:paraId="15220F85" w14:textId="77777777" w:rsidR="003B2B8C" w:rsidRDefault="00D27DEB">
      <w:pPr>
        <w:pStyle w:val="Paragraph"/>
      </w:pPr>
      <w:r>
        <w:rPr>
          <w:rFonts w:hint="eastAsia"/>
        </w:rPr>
        <w:t xml:space="preserve">In micro-LEDs and other miniaturised devices, the lateral dimension reduction significantly exacerbates the effects of non-radiative recombination and thermal accumulation. Defect states caused by sidewall etching become the primary </w:t>
      </w:r>
      <w:r>
        <w:rPr>
          <w:rFonts w:hint="eastAsia"/>
        </w:rPr>
        <w:t>dissipation channels for carrier excitation, leading to size-dependent efficiency decay. Especially under high-excitation conditions, coupling structural stress and thermal effects significantly limits device stability and excitation density.</w:t>
      </w:r>
    </w:p>
    <w:p w14:paraId="56BA22A7" w14:textId="4C7E32B8" w:rsidR="003B2B8C" w:rsidRDefault="00D27DEB">
      <w:pPr>
        <w:pStyle w:val="Paragraph"/>
      </w:pPr>
      <w:r>
        <w:rPr>
          <w:rFonts w:hint="eastAsia"/>
        </w:rPr>
        <w:t>Baek et al.</w:t>
      </w:r>
      <w:r w:rsidR="00EC7807">
        <w:rPr>
          <w:rFonts w:hint="eastAsia"/>
        </w:rPr>
        <w:t xml:space="preserve"> </w:t>
      </w:r>
      <w:r>
        <w:rPr>
          <w:rFonts w:hint="eastAsia"/>
        </w:rPr>
        <w:t>p</w:t>
      </w:r>
      <w:r>
        <w:rPr>
          <w:rFonts w:hint="eastAsia"/>
        </w:rPr>
        <w:t>roposed a 'low stress</w:t>
      </w:r>
      <w:r>
        <w:rPr>
          <w:rFonts w:hint="eastAsia"/>
        </w:rPr>
        <w:t>–</w:t>
      </w:r>
      <w:r>
        <w:rPr>
          <w:rFonts w:hint="eastAsia"/>
        </w:rPr>
        <w:t>low power' synergistic structural design approach tailored for miniaturised devices to address these issues. Based on a multi-group InGaN/GaN MQW structure with varying quantum well barrier thicknesses, they achieved optimised externa</w:t>
      </w:r>
      <w:r>
        <w:rPr>
          <w:rFonts w:hint="eastAsia"/>
        </w:rPr>
        <w:t>l quantum efficiency (EQE) ranging from 17.6% to 25.4% in a 30-</w:t>
      </w:r>
      <w:r w:rsidRPr="00EC7807">
        <w:t>μ</w:t>
      </w:r>
      <w:r>
        <w:rPr>
          <w:rFonts w:hint="eastAsia"/>
        </w:rPr>
        <w:t>m-sized blue Micro-LED</w:t>
      </w:r>
      <w:r w:rsidR="00EC7807">
        <w:t xml:space="preserve"> </w:t>
      </w:r>
      <w:r w:rsidR="00EC7807">
        <w:rPr>
          <w:rFonts w:hint="eastAsia"/>
          <w:lang w:eastAsia="zh-CN"/>
        </w:rPr>
        <w:t>[</w:t>
      </w:r>
      <w:r w:rsidR="00EC7807">
        <w:fldChar w:fldCharType="begin"/>
      </w:r>
      <w:r w:rsidR="00EC7807">
        <w:instrText xml:space="preserve"> REF _Ref24925 \r \h </w:instrText>
      </w:r>
      <w:r w:rsidR="00EC7807">
        <w:fldChar w:fldCharType="separate"/>
      </w:r>
      <w:r w:rsidR="00EC7807">
        <w:t>3</w:t>
      </w:r>
      <w:r w:rsidR="00EC7807">
        <w:fldChar w:fldCharType="end"/>
      </w:r>
      <w:r w:rsidR="00EC7807">
        <w:rPr>
          <w:rFonts w:hint="eastAsia"/>
          <w:lang w:eastAsia="zh-CN"/>
        </w:rPr>
        <w:t>]</w:t>
      </w:r>
      <w:r>
        <w:rPr>
          <w:rFonts w:hint="eastAsia"/>
        </w:rPr>
        <w:t xml:space="preserve">. The device maintains high luminous efficiency even at a low current density of </w:t>
      </w:r>
      <w:r>
        <w:rPr>
          <w:rFonts w:hint="eastAsia"/>
        </w:rPr>
        <w:t>0.1 A/cm</w:t>
      </w:r>
      <w:r>
        <w:rPr>
          <w:rFonts w:hint="eastAsia"/>
        </w:rPr>
        <w:t>²</w:t>
      </w:r>
      <w:r>
        <w:rPr>
          <w:rFonts w:hint="eastAsia"/>
        </w:rPr>
        <w:t>, and the EQE peak is delayed with increasing QB design, validating the structure's ability to mitigate thermal degradation under conditions of enhanced excitation density.</w:t>
      </w:r>
    </w:p>
    <w:p w14:paraId="3DD0497E" w14:textId="77777777" w:rsidR="003B2B8C" w:rsidRDefault="00D27DEB">
      <w:pPr>
        <w:pStyle w:val="Paragraph"/>
      </w:pPr>
      <w:r>
        <w:rPr>
          <w:rFonts w:hint="eastAsia"/>
        </w:rPr>
        <w:t xml:space="preserve">This study demonstrates that by combining structural stress regulation </w:t>
      </w:r>
      <w:r>
        <w:rPr>
          <w:rFonts w:hint="eastAsia"/>
        </w:rPr>
        <w:t>with a matching driving strategy, the opening of non-radiative pathways induced by thermal excitation can be effectively delayed, thereby enhancing the light-emitting stability of small-sized devices. Although the current strategy has achieved initial brea</w:t>
      </w:r>
      <w:r>
        <w:rPr>
          <w:rFonts w:hint="eastAsia"/>
        </w:rPr>
        <w:t>kthroughs in blue Micro-LEDs, the band asymmetry and light extraction channel construction in high-indium-content structures remain technical challenges for further efficiency improvements.</w:t>
      </w:r>
    </w:p>
    <w:p w14:paraId="7AA04508" w14:textId="77777777" w:rsidR="003B2B8C" w:rsidRDefault="00D27DEB">
      <w:pPr>
        <w:pStyle w:val="2"/>
        <w:rPr>
          <w:bCs/>
          <w:szCs w:val="24"/>
          <w:lang w:eastAsia="zh-CN"/>
        </w:rPr>
      </w:pPr>
      <w:r>
        <w:rPr>
          <w:rFonts w:hint="eastAsia"/>
          <w:bCs/>
          <w:szCs w:val="24"/>
          <w:lang w:eastAsia="zh-CN"/>
        </w:rPr>
        <w:t>Stress regulation and structural reliability enhancement pathways</w:t>
      </w:r>
    </w:p>
    <w:p w14:paraId="71853113" w14:textId="77777777" w:rsidR="003B2B8C" w:rsidRDefault="00D27DEB">
      <w:pPr>
        <w:pStyle w:val="Paragraph"/>
      </w:pPr>
      <w:r>
        <w:rPr>
          <w:rFonts w:hint="eastAsia"/>
        </w:rPr>
        <w:t xml:space="preserve">In high-indium InGaN structures, lattice mismatch and differences in thermal expansion coefficients lead to strain accumulation and crack propagation during growth and operation, significantly affecting structural stability and reliability. Stress control </w:t>
      </w:r>
      <w:r>
        <w:rPr>
          <w:rFonts w:hint="eastAsia"/>
        </w:rPr>
        <w:t>has become one of the key strategies for improving device integration and optoelectronic performance.</w:t>
      </w:r>
    </w:p>
    <w:p w14:paraId="1DB898C5" w14:textId="06A3A1B9" w:rsidR="003B2B8C" w:rsidRDefault="00D27DEB">
      <w:pPr>
        <w:pStyle w:val="Paragraph"/>
      </w:pPr>
      <w:r>
        <w:rPr>
          <w:rFonts w:hint="eastAsia"/>
        </w:rPr>
        <w:t>Mouloua et al.</w:t>
      </w:r>
      <w:r w:rsidR="00EC7807">
        <w:rPr>
          <w:rFonts w:hint="eastAsia"/>
        </w:rPr>
        <w:t xml:space="preserve"> </w:t>
      </w:r>
      <w:r>
        <w:rPr>
          <w:rFonts w:hint="eastAsia"/>
        </w:rPr>
        <w:t xml:space="preserve">developed a stress-release structure based on an InGaN/GaN superlattice buffer, alternately introducing strain-modulating layers on an </w:t>
      </w:r>
      <w:r>
        <w:rPr>
          <w:rFonts w:hint="eastAsia"/>
        </w:rPr>
        <w:t>initial AlN buffer layer to achieve layer-by-layer stress relief of the In component</w:t>
      </w:r>
      <w:r w:rsidR="00EC7807">
        <w:t xml:space="preserve"> </w:t>
      </w:r>
      <w:r w:rsidR="00EC7807">
        <w:rPr>
          <w:rFonts w:hint="eastAsia"/>
          <w:lang w:eastAsia="zh-CN"/>
        </w:rPr>
        <w:t>[</w:t>
      </w:r>
      <w:r w:rsidR="00EC7807">
        <w:fldChar w:fldCharType="begin"/>
      </w:r>
      <w:r w:rsidR="00EC7807">
        <w:instrText xml:space="preserve"> REF _Ref24928 \r \h </w:instrText>
      </w:r>
      <w:r w:rsidR="00EC7807">
        <w:fldChar w:fldCharType="separate"/>
      </w:r>
      <w:r w:rsidR="00EC7807">
        <w:t>4</w:t>
      </w:r>
      <w:r w:rsidR="00EC7807">
        <w:fldChar w:fldCharType="end"/>
      </w:r>
      <w:r w:rsidR="00EC7807">
        <w:rPr>
          <w:rFonts w:hint="eastAsia"/>
          <w:lang w:eastAsia="zh-CN"/>
        </w:rPr>
        <w:t>]</w:t>
      </w:r>
      <w:r>
        <w:rPr>
          <w:rFonts w:hint="eastAsia"/>
        </w:rPr>
        <w:t>. XRD measurements showed (002)/(102) crystal plane reflection half-widths of 277 a</w:t>
      </w:r>
      <w:r>
        <w:rPr>
          <w:rFonts w:hint="eastAsia"/>
        </w:rPr>
        <w:t>nd 264 arcsec, indicating that the structure significantly reduced dislocation density while maintaining crystal orientation consistency. Transmission electron microscopy images showed that the superlattice interface effectively blocked screw dislocation m</w:t>
      </w:r>
      <w:r>
        <w:rPr>
          <w:rFonts w:hint="eastAsia"/>
        </w:rPr>
        <w:t>igration pathways, enhancing overall structural integrity. The device exhibited excellent photoluminescence intensity and epitaxial uniformity in green light emission.</w:t>
      </w:r>
    </w:p>
    <w:p w14:paraId="4DC98293" w14:textId="77777777" w:rsidR="003B2B8C" w:rsidRDefault="00D27DEB">
      <w:pPr>
        <w:pStyle w:val="Paragraph"/>
      </w:pPr>
      <w:r>
        <w:rPr>
          <w:rFonts w:hint="eastAsia"/>
        </w:rPr>
        <w:t>Synergistic structural strategies such as periodic buffering and lateral growth have sig</w:t>
      </w:r>
      <w:r>
        <w:rPr>
          <w:rFonts w:hint="eastAsia"/>
        </w:rPr>
        <w:t>nificantly improved stress mitigation and device reliability. However, balancing the stability of the In component, interface flatness, and stress control consistency remains a significant challenge in long-wavelength structure design.</w:t>
      </w:r>
    </w:p>
    <w:p w14:paraId="46A32668" w14:textId="77777777" w:rsidR="003B2B8C" w:rsidRDefault="00D27DEB">
      <w:pPr>
        <w:pStyle w:val="Paragraph"/>
      </w:pPr>
      <w:r>
        <w:rPr>
          <w:rFonts w:hint="eastAsia"/>
        </w:rPr>
        <w:t>Structural Optimizat</w:t>
      </w:r>
      <w:r>
        <w:rPr>
          <w:rFonts w:hint="eastAsia"/>
        </w:rPr>
        <w:t>ion Summary and Future Prospects</w:t>
      </w:r>
    </w:p>
    <w:p w14:paraId="7C0537EC" w14:textId="77777777" w:rsidR="003B2B8C" w:rsidRDefault="00D27DEB">
      <w:pPr>
        <w:pStyle w:val="Paragraph"/>
      </w:pPr>
      <w:r>
        <w:rPr>
          <w:rFonts w:hint="eastAsia"/>
        </w:rPr>
        <w:lastRenderedPageBreak/>
        <w:t xml:space="preserve">Structural optimisation of InGaN-based LED devices has evolved from initial single-point performance improvements to a systematic design process targeting multi-physics fields, multi-dimensional interfaces, and multi-scale </w:t>
      </w:r>
      <w:r>
        <w:rPr>
          <w:rFonts w:hint="eastAsia"/>
        </w:rPr>
        <w:t>coordination. Previous studies have proposed targeted structural control strategies to address issues such as electron-hole separation induced by polarisation fields, carrier injection imbalance, sidewall defects caused by device scaling, and stress-induce</w:t>
      </w:r>
      <w:r>
        <w:rPr>
          <w:rFonts w:hint="eastAsia"/>
        </w:rPr>
        <w:t>d structural damage. These approaches have improved device quantum efficiency, uniformity, and stability, and also driven breakthroughs in high-indium-content long-wavelength InGaN structures for green gap applications.</w:t>
      </w:r>
    </w:p>
    <w:p w14:paraId="6F3F5843" w14:textId="77777777" w:rsidR="003B2B8C" w:rsidRDefault="00D27DEB">
      <w:pPr>
        <w:pStyle w:val="Paragraph"/>
      </w:pPr>
      <w:r>
        <w:rPr>
          <w:rFonts w:hint="eastAsia"/>
        </w:rPr>
        <w:t>However, as LED devices evolve towar</w:t>
      </w:r>
      <w:r>
        <w:rPr>
          <w:rFonts w:hint="eastAsia"/>
        </w:rPr>
        <w:t>d higher integration, miniaturisation, and improved wavelength stability, existing structural strategies still face significant bottlenecks in balancing electro-optical performance, thermal stability, and process compatibility. The process complexity, inte</w:t>
      </w:r>
      <w:r>
        <w:rPr>
          <w:rFonts w:hint="eastAsia"/>
        </w:rPr>
        <w:t>rface mismatch, and structural non-uniformity issues arising from multi-strategy synergistic optimisation have become core obstacles to mass production and consistency.</w:t>
      </w:r>
    </w:p>
    <w:p w14:paraId="6C29E205" w14:textId="77777777" w:rsidR="003B2B8C" w:rsidRDefault="00D27DEB">
      <w:pPr>
        <w:pStyle w:val="Paragraph"/>
      </w:pPr>
      <w:r>
        <w:rPr>
          <w:rFonts w:hint="eastAsia"/>
        </w:rPr>
        <w:t>The core trend in future structural optimisation will focus on multifunctional integrat</w:t>
      </w:r>
      <w:r>
        <w:rPr>
          <w:rFonts w:hint="eastAsia"/>
        </w:rPr>
        <w:t>ed structure design, such as introducing quantum confinement effects through low-dimensional materials, constructing composite barrier structures to achieve tunable band gaps, and integrating mechanisms such as lateral epitaxy, growth stress self-regulatio</w:t>
      </w:r>
      <w:r>
        <w:rPr>
          <w:rFonts w:hint="eastAsia"/>
        </w:rPr>
        <w:t>n, and asymmetric stress release. This will establish a steady-state coupling relationship between composite efficiency, structural reliability, and large-area uniformity, providing a structural foundation for next-generation high-performance InGaN light-e</w:t>
      </w:r>
      <w:r>
        <w:rPr>
          <w:rFonts w:hint="eastAsia"/>
        </w:rPr>
        <w:t>mitting devices.</w:t>
      </w:r>
    </w:p>
    <w:p w14:paraId="1DD0D85F" w14:textId="77777777" w:rsidR="003B2B8C" w:rsidRDefault="00D27DEB">
      <w:pPr>
        <w:pStyle w:val="1"/>
        <w:rPr>
          <w:b w:val="0"/>
          <w:caps w:val="0"/>
          <w:sz w:val="20"/>
        </w:rPr>
      </w:pPr>
      <w:r>
        <w:rPr>
          <w:rFonts w:asciiTheme="majorBidi" w:hAnsiTheme="majorBidi" w:cstheme="majorBidi"/>
        </w:rPr>
        <w:t>References</w:t>
      </w:r>
    </w:p>
    <w:p w14:paraId="70098668" w14:textId="77777777" w:rsidR="003B2B8C" w:rsidRDefault="00D27DEB">
      <w:pPr>
        <w:pStyle w:val="Reference"/>
        <w:rPr>
          <w:lang w:eastAsia="zh-CN"/>
        </w:rPr>
      </w:pPr>
      <w:bookmarkStart w:id="0" w:name="_Ref24866"/>
      <w:r>
        <w:rPr>
          <w:rFonts w:hint="eastAsia"/>
          <w:lang w:eastAsia="zh-CN"/>
        </w:rPr>
        <w:t>X. Zhao, Z. Jiang, T. Liu, X. Tang, C. Wang, Y. Huang, and Z. Liu, Adv. Photonics Res. 4, 2300061 (2023).</w:t>
      </w:r>
      <w:bookmarkEnd w:id="0"/>
    </w:p>
    <w:p w14:paraId="38763214" w14:textId="77777777" w:rsidR="003B2B8C" w:rsidRDefault="00D27DEB">
      <w:pPr>
        <w:pStyle w:val="Reference"/>
        <w:rPr>
          <w:lang w:eastAsia="zh-CN"/>
        </w:rPr>
      </w:pPr>
      <w:bookmarkStart w:id="1" w:name="_Ref24873"/>
      <w:r>
        <w:rPr>
          <w:rFonts w:hint="eastAsia"/>
          <w:lang w:eastAsia="zh-CN"/>
        </w:rPr>
        <w:t>C. Zhao, C. W. Tang, B. Lai, G. Cheng, J. Wang, and K. M. Lau, Photon. Res. 8, 750</w:t>
      </w:r>
      <w:r>
        <w:rPr>
          <w:rFonts w:hint="eastAsia"/>
          <w:lang w:eastAsia="zh-CN"/>
        </w:rPr>
        <w:t>–</w:t>
      </w:r>
      <w:r>
        <w:rPr>
          <w:rFonts w:hint="eastAsia"/>
          <w:lang w:eastAsia="zh-CN"/>
        </w:rPr>
        <w:t>754 (2020).</w:t>
      </w:r>
      <w:bookmarkEnd w:id="1"/>
    </w:p>
    <w:p w14:paraId="296BEB21" w14:textId="77777777" w:rsidR="003B2B8C" w:rsidRDefault="00D27DEB">
      <w:pPr>
        <w:pStyle w:val="Reference"/>
        <w:rPr>
          <w:lang w:eastAsia="zh-CN"/>
        </w:rPr>
      </w:pPr>
      <w:bookmarkStart w:id="2" w:name="_Ref24925"/>
      <w:r>
        <w:rPr>
          <w:rFonts w:hint="eastAsia"/>
          <w:lang w:eastAsia="zh-CN"/>
        </w:rPr>
        <w:t>W. J. Baek, J. Park, J. Shi</w:t>
      </w:r>
      <w:r>
        <w:rPr>
          <w:rFonts w:hint="eastAsia"/>
          <w:lang w:eastAsia="zh-CN"/>
        </w:rPr>
        <w:t>m, B. H. Kim, S. Park, H. S. Kim, and K.-H. Lee, Nat. Commun. 14, 1386 (2023).</w:t>
      </w:r>
      <w:bookmarkEnd w:id="2"/>
    </w:p>
    <w:p w14:paraId="2C281DDE" w14:textId="77777777" w:rsidR="003B2B8C" w:rsidRDefault="00D27DEB">
      <w:pPr>
        <w:pStyle w:val="Reference"/>
        <w:rPr>
          <w:lang w:eastAsia="zh-CN"/>
        </w:rPr>
      </w:pPr>
      <w:bookmarkStart w:id="3" w:name="_Ref24928"/>
      <w:r>
        <w:rPr>
          <w:rFonts w:hint="eastAsia"/>
          <w:lang w:eastAsia="zh-CN"/>
        </w:rPr>
        <w:t>D. Mouloua, M. Martin, M. Beruete, C. Jany, K. Hassan, and T. Baron, Adv. Opt. Mater. 13, 2402777 (2024).</w:t>
      </w:r>
      <w:bookmarkEnd w:id="3"/>
    </w:p>
    <w:p w14:paraId="1A0E8F10" w14:textId="77777777" w:rsidR="003B2B8C" w:rsidRDefault="00D27DEB">
      <w:pPr>
        <w:pStyle w:val="Reference"/>
        <w:rPr>
          <w:lang w:eastAsia="zh-CN"/>
        </w:rPr>
      </w:pPr>
      <w:bookmarkStart w:id="4" w:name="_Ref24967"/>
      <w:r>
        <w:rPr>
          <w:rFonts w:hint="eastAsia"/>
          <w:lang w:eastAsia="zh-CN"/>
        </w:rPr>
        <w:t>Z. Pan, Z. Chen, H. Zhang, H. Yang, C. Deng, B. Dong, and J. Kang, Adv.</w:t>
      </w:r>
      <w:r>
        <w:rPr>
          <w:rFonts w:hint="eastAsia"/>
          <w:lang w:eastAsia="zh-CN"/>
        </w:rPr>
        <w:t xml:space="preserve"> Funct. Mater. 34, 2315781 (2024).</w:t>
      </w:r>
      <w:bookmarkEnd w:id="4"/>
    </w:p>
    <w:p w14:paraId="3B93223E" w14:textId="77777777" w:rsidR="003B2B8C" w:rsidRDefault="00D27DEB">
      <w:pPr>
        <w:pStyle w:val="Reference"/>
        <w:rPr>
          <w:lang w:eastAsia="zh-CN"/>
        </w:rPr>
      </w:pPr>
      <w:bookmarkStart w:id="5" w:name="_Ref25046"/>
      <w:r>
        <w:rPr>
          <w:rFonts w:hint="eastAsia"/>
          <w:lang w:eastAsia="zh-CN"/>
        </w:rPr>
        <w:t>Z. Liu, Y. Lu, H. Cao, G. I. M. Garcia, T. Liu, X. Tang, and Y. Zhang, Light Sci. Appl. 13, 117 (2024).</w:t>
      </w:r>
      <w:bookmarkEnd w:id="5"/>
    </w:p>
    <w:p w14:paraId="16957EAA" w14:textId="77777777" w:rsidR="003B2B8C" w:rsidRDefault="00D27DEB">
      <w:pPr>
        <w:pStyle w:val="Reference"/>
        <w:rPr>
          <w:lang w:eastAsia="zh-CN"/>
        </w:rPr>
      </w:pPr>
      <w:bookmarkStart w:id="6" w:name="_Ref25490"/>
      <w:r>
        <w:rPr>
          <w:rFonts w:hint="eastAsia"/>
          <w:lang w:eastAsia="zh-CN"/>
        </w:rPr>
        <w:t>Z. Liu, H. Cao, X. Tang, T. Liu, Y. Lu, Z. Jiang, and Y. Zhang, Light Sci. Appl. 14, 64 (2025).</w:t>
      </w:r>
      <w:bookmarkEnd w:id="6"/>
    </w:p>
    <w:p w14:paraId="002906F2" w14:textId="77777777" w:rsidR="003B2B8C" w:rsidRDefault="00D27DEB">
      <w:pPr>
        <w:pStyle w:val="Reference"/>
        <w:rPr>
          <w:lang w:eastAsia="zh-CN"/>
        </w:rPr>
      </w:pPr>
      <w:bookmarkStart w:id="7" w:name="_Ref25052"/>
      <w:r>
        <w:rPr>
          <w:rFonts w:hint="eastAsia"/>
          <w:lang w:eastAsia="zh-CN"/>
        </w:rPr>
        <w:t>D.-G. Lee, Y. Choi, S</w:t>
      </w:r>
      <w:r>
        <w:rPr>
          <w:rFonts w:hint="eastAsia"/>
          <w:lang w:eastAsia="zh-CN"/>
        </w:rPr>
        <w:t>. Jung, Y. Kim, S. Park, P. J. Choi, and S. Yoon, Appl. Phys. Lett. 124, 121109 (2024).</w:t>
      </w:r>
      <w:bookmarkEnd w:id="7"/>
    </w:p>
    <w:p w14:paraId="40FC1475" w14:textId="77777777" w:rsidR="003B2B8C" w:rsidRDefault="00D27DEB">
      <w:pPr>
        <w:pStyle w:val="Reference"/>
        <w:rPr>
          <w:lang w:eastAsia="zh-CN"/>
        </w:rPr>
      </w:pPr>
      <w:bookmarkStart w:id="8" w:name="_Ref25085"/>
      <w:r>
        <w:rPr>
          <w:rFonts w:hint="eastAsia"/>
          <w:lang w:eastAsia="zh-CN"/>
        </w:rPr>
        <w:t>H. Wu, X. Lin, Q. Shuai, Y. Zhu, A. Pan, Q. Zhang, and Y. Zhang, Light Sci. Appl. 13, 117 (2024).</w:t>
      </w:r>
      <w:bookmarkEnd w:id="8"/>
    </w:p>
    <w:p w14:paraId="21A99C3B" w14:textId="77777777" w:rsidR="003B2B8C" w:rsidRDefault="00D27DEB">
      <w:pPr>
        <w:pStyle w:val="Reference"/>
        <w:rPr>
          <w:lang w:eastAsia="zh-CN"/>
        </w:rPr>
      </w:pPr>
      <w:bookmarkStart w:id="9" w:name="_Ref25088"/>
      <w:r>
        <w:rPr>
          <w:rFonts w:hint="eastAsia"/>
          <w:lang w:eastAsia="zh-CN"/>
        </w:rPr>
        <w:t>J. Jeong, Q. Wang, J. Cha, D. K. Jin, D. H. Shin, S. Kwon, and Y. J. H</w:t>
      </w:r>
      <w:r>
        <w:rPr>
          <w:rFonts w:hint="eastAsia"/>
          <w:lang w:eastAsia="zh-CN"/>
        </w:rPr>
        <w:t xml:space="preserve">ong, </w:t>
      </w:r>
      <w:bookmarkStart w:id="10" w:name="_GoBack"/>
      <w:r>
        <w:rPr>
          <w:rFonts w:hint="eastAsia"/>
          <w:lang w:eastAsia="zh-CN"/>
        </w:rPr>
        <w:t>Sci. Adv</w:t>
      </w:r>
      <w:bookmarkEnd w:id="10"/>
      <w:r>
        <w:rPr>
          <w:rFonts w:hint="eastAsia"/>
          <w:lang w:eastAsia="zh-CN"/>
        </w:rPr>
        <w:t>. 6, eaaz5180 (2020).</w:t>
      </w:r>
      <w:bookmarkEnd w:id="9"/>
    </w:p>
    <w:p w14:paraId="02DB4F7D" w14:textId="77777777" w:rsidR="003B2B8C" w:rsidRDefault="00D27DEB">
      <w:pPr>
        <w:pStyle w:val="Reference"/>
        <w:rPr>
          <w:lang w:eastAsia="zh-CN"/>
        </w:rPr>
      </w:pPr>
      <w:r>
        <w:rPr>
          <w:rFonts w:hint="eastAsia"/>
          <w:lang w:eastAsia="zh-CN"/>
        </w:rPr>
        <w:t>V. Veeramuthu, S.-U. Kim, S.-W. Lee, J.-Y. Lee, D.-H. Ko, S. Jeong, and K.-H. Lee, Nat. Sci. Rev. 12, nwae306 (2024).</w:t>
      </w:r>
    </w:p>
    <w:p w14:paraId="32852FE6" w14:textId="77777777" w:rsidR="003B2B8C" w:rsidRDefault="00D27DEB">
      <w:pPr>
        <w:pStyle w:val="Reference"/>
        <w:rPr>
          <w:lang w:eastAsia="zh-CN"/>
        </w:rPr>
      </w:pPr>
      <w:bookmarkStart w:id="11" w:name="_Ref25611"/>
      <w:r>
        <w:rPr>
          <w:rFonts w:hint="eastAsia"/>
          <w:lang w:eastAsia="zh-CN"/>
        </w:rPr>
        <w:t>R. Armitage, Z. Ren, M. Holmes, and J. Flemish, Phys. Status Solidi RRL 18, 2400012 (2024).</w:t>
      </w:r>
      <w:bookmarkEnd w:id="11"/>
    </w:p>
    <w:p w14:paraId="538A4B3F" w14:textId="0CB001A4" w:rsidR="003B2B8C" w:rsidRDefault="003B2B8C" w:rsidP="000634F9">
      <w:pPr>
        <w:pStyle w:val="Reference"/>
        <w:numPr>
          <w:ilvl w:val="0"/>
          <w:numId w:val="0"/>
        </w:numPr>
      </w:pPr>
    </w:p>
    <w:sectPr w:rsidR="003B2B8C" w:rsidSect="00D27DEB">
      <w:pgSz w:w="12240" w:h="15840" w:code="152"/>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04A95"/>
    <w:multiLevelType w:val="multilevel"/>
    <w:tmpl w:val="34404A95"/>
    <w:lvl w:ilvl="0">
      <w:start w:val="1"/>
      <w:numFmt w:val="bullet"/>
      <w:pStyle w:val="Paragraphbulleted"/>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multilevel"/>
    <w:tmpl w:val="3AA17CE3"/>
    <w:lvl w:ilvl="0">
      <w:start w:val="1"/>
      <w:numFmt w:val="decimal"/>
      <w:pStyle w:val="Referen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721692"/>
    <w:multiLevelType w:val="multilevel"/>
    <w:tmpl w:val="74721692"/>
    <w:lvl w:ilvl="0">
      <w:start w:val="1"/>
      <w:numFmt w:val="decimal"/>
      <w:pStyle w:val="Paragraphnumbered"/>
      <w:lvlText w:val="%1."/>
      <w:lvlJc w:val="left"/>
      <w:pPr>
        <w:ind w:left="644"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PostScriptOverText/>
  <w:embedSystemFont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UseMarginsForDrawingGridOrigin/>
  <w:drawingGridHorizontalOrigin w:val="1800"/>
  <w:drawingGridVerticalOrigin w:val="1440"/>
  <w:noPunctuationKerning/>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B14"/>
    <w:rsid w:val="00003D7C"/>
    <w:rsid w:val="00014140"/>
    <w:rsid w:val="00021BAB"/>
    <w:rsid w:val="00027428"/>
    <w:rsid w:val="00031EC9"/>
    <w:rsid w:val="000332D7"/>
    <w:rsid w:val="000611BD"/>
    <w:rsid w:val="000634F9"/>
    <w:rsid w:val="00066FED"/>
    <w:rsid w:val="00072F60"/>
    <w:rsid w:val="00075EA6"/>
    <w:rsid w:val="00076F81"/>
    <w:rsid w:val="0007709F"/>
    <w:rsid w:val="00086F62"/>
    <w:rsid w:val="00090674"/>
    <w:rsid w:val="0009320B"/>
    <w:rsid w:val="00096AE0"/>
    <w:rsid w:val="000B1B74"/>
    <w:rsid w:val="000B3A2D"/>
    <w:rsid w:val="000B49C0"/>
    <w:rsid w:val="000B6E77"/>
    <w:rsid w:val="000E382F"/>
    <w:rsid w:val="000E3F39"/>
    <w:rsid w:val="000E75CD"/>
    <w:rsid w:val="000F0878"/>
    <w:rsid w:val="001036BA"/>
    <w:rsid w:val="00105958"/>
    <w:rsid w:val="001146DC"/>
    <w:rsid w:val="00114AB1"/>
    <w:rsid w:val="00120B3F"/>
    <w:rsid w:val="001230FF"/>
    <w:rsid w:val="00127C4F"/>
    <w:rsid w:val="00130BD7"/>
    <w:rsid w:val="00155B67"/>
    <w:rsid w:val="001562AF"/>
    <w:rsid w:val="00161A5B"/>
    <w:rsid w:val="0016385D"/>
    <w:rsid w:val="0016782F"/>
    <w:rsid w:val="001937E9"/>
    <w:rsid w:val="001964E5"/>
    <w:rsid w:val="001A17CB"/>
    <w:rsid w:val="001B263B"/>
    <w:rsid w:val="001B476A"/>
    <w:rsid w:val="001C764F"/>
    <w:rsid w:val="001C7BB3"/>
    <w:rsid w:val="001D02CA"/>
    <w:rsid w:val="001D469C"/>
    <w:rsid w:val="001E1F43"/>
    <w:rsid w:val="0021619E"/>
    <w:rsid w:val="002262D9"/>
    <w:rsid w:val="0023171B"/>
    <w:rsid w:val="00236BFC"/>
    <w:rsid w:val="00237437"/>
    <w:rsid w:val="00247186"/>
    <w:rsid w:val="002502FD"/>
    <w:rsid w:val="00266BB6"/>
    <w:rsid w:val="00274622"/>
    <w:rsid w:val="00277A22"/>
    <w:rsid w:val="00285D24"/>
    <w:rsid w:val="00290390"/>
    <w:rsid w:val="002915D3"/>
    <w:rsid w:val="002924DB"/>
    <w:rsid w:val="0029326D"/>
    <w:rsid w:val="002941DA"/>
    <w:rsid w:val="002B5648"/>
    <w:rsid w:val="002E3C35"/>
    <w:rsid w:val="002F5298"/>
    <w:rsid w:val="003110C4"/>
    <w:rsid w:val="00326AE0"/>
    <w:rsid w:val="00337E4F"/>
    <w:rsid w:val="00340C36"/>
    <w:rsid w:val="00346A9D"/>
    <w:rsid w:val="00360882"/>
    <w:rsid w:val="00380EF4"/>
    <w:rsid w:val="0039376F"/>
    <w:rsid w:val="003A287B"/>
    <w:rsid w:val="003A5691"/>
    <w:rsid w:val="003A5C85"/>
    <w:rsid w:val="003A61B1"/>
    <w:rsid w:val="003B0050"/>
    <w:rsid w:val="003B2B8C"/>
    <w:rsid w:val="003C558F"/>
    <w:rsid w:val="003D6312"/>
    <w:rsid w:val="003E7C74"/>
    <w:rsid w:val="003F31C6"/>
    <w:rsid w:val="0040225B"/>
    <w:rsid w:val="00402DA2"/>
    <w:rsid w:val="00425AC2"/>
    <w:rsid w:val="0044771F"/>
    <w:rsid w:val="00493F12"/>
    <w:rsid w:val="004B151D"/>
    <w:rsid w:val="004C7243"/>
    <w:rsid w:val="004E21DE"/>
    <w:rsid w:val="004E3C57"/>
    <w:rsid w:val="004E3CB2"/>
    <w:rsid w:val="00511315"/>
    <w:rsid w:val="00525813"/>
    <w:rsid w:val="0053513F"/>
    <w:rsid w:val="00551319"/>
    <w:rsid w:val="00574405"/>
    <w:rsid w:val="005854B0"/>
    <w:rsid w:val="005A0E21"/>
    <w:rsid w:val="005B3A34"/>
    <w:rsid w:val="005D49AF"/>
    <w:rsid w:val="005E415C"/>
    <w:rsid w:val="005E71ED"/>
    <w:rsid w:val="005E7946"/>
    <w:rsid w:val="005F7475"/>
    <w:rsid w:val="00604DB0"/>
    <w:rsid w:val="00611299"/>
    <w:rsid w:val="00613B4D"/>
    <w:rsid w:val="00616365"/>
    <w:rsid w:val="00616F3B"/>
    <w:rsid w:val="006249A7"/>
    <w:rsid w:val="0064225B"/>
    <w:rsid w:val="006763F9"/>
    <w:rsid w:val="006949BC"/>
    <w:rsid w:val="006C28C0"/>
    <w:rsid w:val="006D1229"/>
    <w:rsid w:val="006D372F"/>
    <w:rsid w:val="006D7A18"/>
    <w:rsid w:val="006E4474"/>
    <w:rsid w:val="00701388"/>
    <w:rsid w:val="00707D35"/>
    <w:rsid w:val="00723B7F"/>
    <w:rsid w:val="00725861"/>
    <w:rsid w:val="0073393A"/>
    <w:rsid w:val="0073539D"/>
    <w:rsid w:val="00743CA0"/>
    <w:rsid w:val="00767B8A"/>
    <w:rsid w:val="00775481"/>
    <w:rsid w:val="007A233B"/>
    <w:rsid w:val="007B4863"/>
    <w:rsid w:val="007C65E6"/>
    <w:rsid w:val="007D406B"/>
    <w:rsid w:val="007D4407"/>
    <w:rsid w:val="007D5960"/>
    <w:rsid w:val="007E1CA3"/>
    <w:rsid w:val="00812D62"/>
    <w:rsid w:val="00812F29"/>
    <w:rsid w:val="00821713"/>
    <w:rsid w:val="00827050"/>
    <w:rsid w:val="0083278B"/>
    <w:rsid w:val="00834538"/>
    <w:rsid w:val="00850E89"/>
    <w:rsid w:val="008930E4"/>
    <w:rsid w:val="00893821"/>
    <w:rsid w:val="00897FB1"/>
    <w:rsid w:val="008A7B9C"/>
    <w:rsid w:val="008B0A7A"/>
    <w:rsid w:val="008B39FA"/>
    <w:rsid w:val="008B4754"/>
    <w:rsid w:val="008E6A7A"/>
    <w:rsid w:val="008F1038"/>
    <w:rsid w:val="008F7046"/>
    <w:rsid w:val="009005FC"/>
    <w:rsid w:val="00922E5A"/>
    <w:rsid w:val="0092740A"/>
    <w:rsid w:val="00943315"/>
    <w:rsid w:val="00946C27"/>
    <w:rsid w:val="0097112E"/>
    <w:rsid w:val="00976474"/>
    <w:rsid w:val="00983E67"/>
    <w:rsid w:val="009927A0"/>
    <w:rsid w:val="009A4F3D"/>
    <w:rsid w:val="009B696B"/>
    <w:rsid w:val="009B7671"/>
    <w:rsid w:val="009E5BA1"/>
    <w:rsid w:val="009F056E"/>
    <w:rsid w:val="00A04794"/>
    <w:rsid w:val="00A0482D"/>
    <w:rsid w:val="00A24F3D"/>
    <w:rsid w:val="00A26DCD"/>
    <w:rsid w:val="00A314BB"/>
    <w:rsid w:val="00A32B7D"/>
    <w:rsid w:val="00A5439C"/>
    <w:rsid w:val="00A5596B"/>
    <w:rsid w:val="00A60CBF"/>
    <w:rsid w:val="00A646B3"/>
    <w:rsid w:val="00A6739B"/>
    <w:rsid w:val="00A71B90"/>
    <w:rsid w:val="00A756DE"/>
    <w:rsid w:val="00A90413"/>
    <w:rsid w:val="00AA728C"/>
    <w:rsid w:val="00AB0A9C"/>
    <w:rsid w:val="00AB47A5"/>
    <w:rsid w:val="00AB7119"/>
    <w:rsid w:val="00AD508D"/>
    <w:rsid w:val="00AD5855"/>
    <w:rsid w:val="00AE7500"/>
    <w:rsid w:val="00AE7F87"/>
    <w:rsid w:val="00AF3542"/>
    <w:rsid w:val="00AF5ABE"/>
    <w:rsid w:val="00B00415"/>
    <w:rsid w:val="00B03C2A"/>
    <w:rsid w:val="00B1000D"/>
    <w:rsid w:val="00B10134"/>
    <w:rsid w:val="00B11789"/>
    <w:rsid w:val="00B16BFE"/>
    <w:rsid w:val="00B34597"/>
    <w:rsid w:val="00B500E5"/>
    <w:rsid w:val="00B96BF4"/>
    <w:rsid w:val="00BA0EB1"/>
    <w:rsid w:val="00BA39BB"/>
    <w:rsid w:val="00BA3B3D"/>
    <w:rsid w:val="00BB5BF2"/>
    <w:rsid w:val="00BB7EEA"/>
    <w:rsid w:val="00BD1909"/>
    <w:rsid w:val="00BE5E16"/>
    <w:rsid w:val="00BE5FD1"/>
    <w:rsid w:val="00C06E05"/>
    <w:rsid w:val="00C14B14"/>
    <w:rsid w:val="00C14E9B"/>
    <w:rsid w:val="00C17370"/>
    <w:rsid w:val="00C2054D"/>
    <w:rsid w:val="00C252EB"/>
    <w:rsid w:val="00C26EC0"/>
    <w:rsid w:val="00C56C77"/>
    <w:rsid w:val="00C806F2"/>
    <w:rsid w:val="00C84923"/>
    <w:rsid w:val="00CB7B3E"/>
    <w:rsid w:val="00CC739D"/>
    <w:rsid w:val="00D04468"/>
    <w:rsid w:val="00D27DEB"/>
    <w:rsid w:val="00D36257"/>
    <w:rsid w:val="00D4112F"/>
    <w:rsid w:val="00D4687E"/>
    <w:rsid w:val="00D53A12"/>
    <w:rsid w:val="00D5620E"/>
    <w:rsid w:val="00D647FB"/>
    <w:rsid w:val="00D87E2A"/>
    <w:rsid w:val="00D94D2E"/>
    <w:rsid w:val="00D9599B"/>
    <w:rsid w:val="00DB0C43"/>
    <w:rsid w:val="00DE3354"/>
    <w:rsid w:val="00DF7DCD"/>
    <w:rsid w:val="00E50B7D"/>
    <w:rsid w:val="00E706CB"/>
    <w:rsid w:val="00E80249"/>
    <w:rsid w:val="00E904A1"/>
    <w:rsid w:val="00EB7D28"/>
    <w:rsid w:val="00EC0D0C"/>
    <w:rsid w:val="00EC69D8"/>
    <w:rsid w:val="00EC7807"/>
    <w:rsid w:val="00ED4A2C"/>
    <w:rsid w:val="00EE076A"/>
    <w:rsid w:val="00EF6940"/>
    <w:rsid w:val="00F1554A"/>
    <w:rsid w:val="00F2044A"/>
    <w:rsid w:val="00F20BFC"/>
    <w:rsid w:val="00F24D5F"/>
    <w:rsid w:val="00F5060B"/>
    <w:rsid w:val="00F726C3"/>
    <w:rsid w:val="00F75ECE"/>
    <w:rsid w:val="00F820CA"/>
    <w:rsid w:val="00F8554C"/>
    <w:rsid w:val="00F95F82"/>
    <w:rsid w:val="00F97A90"/>
    <w:rsid w:val="00FC2F35"/>
    <w:rsid w:val="00FC311C"/>
    <w:rsid w:val="00FC3FD7"/>
    <w:rsid w:val="00FC6E61"/>
    <w:rsid w:val="00FD1FC6"/>
    <w:rsid w:val="00FE5869"/>
    <w:rsid w:val="043F0BEF"/>
    <w:rsid w:val="0B1E8874"/>
    <w:rsid w:val="0FD22917"/>
    <w:rsid w:val="189A2440"/>
    <w:rsid w:val="22257E58"/>
    <w:rsid w:val="22482F0D"/>
    <w:rsid w:val="22CD41FC"/>
    <w:rsid w:val="236B59B4"/>
    <w:rsid w:val="250C6474"/>
    <w:rsid w:val="287348EA"/>
    <w:rsid w:val="2F830975"/>
    <w:rsid w:val="327E4D2E"/>
    <w:rsid w:val="37EF283E"/>
    <w:rsid w:val="4A9FEF8C"/>
    <w:rsid w:val="5B59165A"/>
    <w:rsid w:val="61D72A1D"/>
    <w:rsid w:val="6832131A"/>
    <w:rsid w:val="6B95409A"/>
    <w:rsid w:val="74D3174B"/>
    <w:rsid w:val="7B90177C"/>
    <w:rsid w:val="7F14228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DBBDB"/>
  <w15:docId w15:val="{48B23309-A98E-4848-86E2-0F464E56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nhideWhenUsed="1"/>
    <w:lsdException w:name="header" w:unhideWhenUsed="1" w:qFormat="1"/>
    <w:lsdException w:name="footer"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eastAsiaTheme="minorEastAsia"/>
      <w:sz w:val="24"/>
      <w:lang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pPr>
      <w:ind w:firstLine="284"/>
      <w:jc w:val="both"/>
    </w:pPr>
    <w:rPr>
      <w:sz w:val="20"/>
    </w:rPr>
  </w:style>
  <w:style w:type="paragraph" w:styleId="a3">
    <w:name w:val="caption"/>
    <w:basedOn w:val="a"/>
    <w:next w:val="a"/>
    <w:unhideWhenUsed/>
    <w:qFormat/>
    <w:rPr>
      <w:rFonts w:asciiTheme="majorHAnsi" w:eastAsia="黑体" w:hAnsiTheme="majorHAnsi" w:cstheme="majorBidi"/>
      <w:sz w:val="20"/>
    </w:rPr>
  </w:style>
  <w:style w:type="paragraph" w:styleId="a4">
    <w:name w:val="annotation text"/>
    <w:basedOn w:val="a"/>
    <w:link w:val="a5"/>
    <w:semiHidden/>
    <w:unhideWhenUsed/>
    <w:rPr>
      <w:sz w:val="20"/>
    </w:rPr>
  </w:style>
  <w:style w:type="paragraph" w:styleId="a6">
    <w:name w:val="Balloon Text"/>
    <w:basedOn w:val="a"/>
    <w:link w:val="a7"/>
    <w:qFormat/>
    <w:rPr>
      <w:rFonts w:ascii="Tahoma" w:hAnsi="Tahoma" w:cs="Tahoma"/>
      <w:sz w:val="16"/>
      <w:szCs w:val="16"/>
    </w:rPr>
  </w:style>
  <w:style w:type="paragraph" w:styleId="a8">
    <w:name w:val="footer"/>
    <w:basedOn w:val="a"/>
    <w:link w:val="a9"/>
    <w:unhideWhenUsed/>
    <w:pPr>
      <w:tabs>
        <w:tab w:val="center" w:pos="4153"/>
        <w:tab w:val="right" w:pos="8306"/>
      </w:tabs>
      <w:snapToGrid w:val="0"/>
    </w:pPr>
    <w:rPr>
      <w:sz w:val="18"/>
      <w:szCs w:val="18"/>
    </w:rPr>
  </w:style>
  <w:style w:type="paragraph" w:styleId="aa">
    <w:name w:val="header"/>
    <w:basedOn w:val="a"/>
    <w:link w:val="ab"/>
    <w:unhideWhenUsed/>
    <w:qFormat/>
    <w:pPr>
      <w:tabs>
        <w:tab w:val="center" w:pos="4153"/>
        <w:tab w:val="right" w:pos="8306"/>
      </w:tabs>
      <w:snapToGrid w:val="0"/>
      <w:jc w:val="center"/>
    </w:pPr>
    <w:rPr>
      <w:sz w:val="18"/>
      <w:szCs w:val="18"/>
    </w:rPr>
  </w:style>
  <w:style w:type="paragraph" w:styleId="ac">
    <w:name w:val="footnote text"/>
    <w:basedOn w:val="a"/>
    <w:semiHidden/>
    <w:qFormat/>
    <w:rPr>
      <w:sz w:val="16"/>
    </w:rPr>
  </w:style>
  <w:style w:type="paragraph" w:styleId="ad">
    <w:name w:val="Normal (Web)"/>
    <w:basedOn w:val="a"/>
    <w:uiPriority w:val="99"/>
    <w:unhideWhenUsed/>
    <w:qFormat/>
    <w:pPr>
      <w:spacing w:before="100" w:beforeAutospacing="1" w:after="100" w:afterAutospacing="1"/>
    </w:pPr>
    <w:rPr>
      <w:szCs w:val="24"/>
      <w:lang w:val="en-GB" w:eastAsia="en-GB"/>
    </w:rPr>
  </w:style>
  <w:style w:type="paragraph" w:styleId="ae">
    <w:name w:val="annotation subject"/>
    <w:basedOn w:val="a4"/>
    <w:next w:val="a4"/>
    <w:link w:val="af"/>
    <w:semiHidden/>
    <w:unhideWhenUsed/>
    <w:qFormat/>
    <w:rPr>
      <w:b/>
      <w:bCs/>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rPr>
      <w:color w:val="0000FF"/>
      <w:u w:val="single"/>
    </w:rPr>
  </w:style>
  <w:style w:type="character" w:styleId="af4">
    <w:name w:val="annotation reference"/>
    <w:basedOn w:val="a0"/>
    <w:semiHidden/>
    <w:unhideWhenUsed/>
    <w:qFormat/>
    <w:rPr>
      <w:sz w:val="16"/>
      <w:szCs w:val="16"/>
    </w:rPr>
  </w:style>
  <w:style w:type="character" w:styleId="af5">
    <w:name w:val="footnote reference"/>
    <w:semiHidden/>
    <w:qFormat/>
    <w:rPr>
      <w:vertAlign w:val="superscript"/>
    </w:rPr>
  </w:style>
  <w:style w:type="paragraph" w:customStyle="1" w:styleId="PaperTitle">
    <w:name w:val="Paper Title"/>
    <w:basedOn w:val="a"/>
    <w:next w:val="AuthorName"/>
    <w:qFormat/>
    <w:pPr>
      <w:spacing w:before="1200"/>
      <w:jc w:val="center"/>
    </w:pPr>
    <w:rPr>
      <w:b/>
      <w:sz w:val="36"/>
    </w:rPr>
  </w:style>
  <w:style w:type="paragraph" w:customStyle="1" w:styleId="AuthorName">
    <w:name w:val="Author Name"/>
    <w:basedOn w:val="a"/>
    <w:next w:val="AuthorAffiliation"/>
    <w:qFormat/>
    <w:pPr>
      <w:spacing w:before="360" w:after="360"/>
      <w:jc w:val="center"/>
    </w:pPr>
    <w:rPr>
      <w:sz w:val="28"/>
    </w:rPr>
  </w:style>
  <w:style w:type="paragraph" w:customStyle="1" w:styleId="AuthorAffiliation">
    <w:name w:val="Author Affiliation"/>
    <w:basedOn w:val="a"/>
    <w:qFormat/>
    <w:pPr>
      <w:jc w:val="center"/>
    </w:pPr>
    <w:rPr>
      <w:i/>
      <w:sz w:val="20"/>
    </w:rPr>
  </w:style>
  <w:style w:type="paragraph" w:customStyle="1" w:styleId="Abstract">
    <w:name w:val="Abstract"/>
    <w:basedOn w:val="a"/>
    <w:next w:val="1"/>
    <w:qFormat/>
    <w:pPr>
      <w:spacing w:before="360" w:after="360"/>
      <w:ind w:left="289" w:right="289"/>
      <w:jc w:val="both"/>
    </w:pPr>
    <w:rPr>
      <w:sz w:val="18"/>
    </w:rPr>
  </w:style>
  <w:style w:type="paragraph" w:customStyle="1" w:styleId="Reference">
    <w:name w:val="Reference"/>
    <w:basedOn w:val="Paragraph"/>
    <w:qFormat/>
    <w:pPr>
      <w:numPr>
        <w:numId w:val="1"/>
      </w:numPr>
      <w:ind w:left="426" w:hanging="426"/>
    </w:pPr>
  </w:style>
  <w:style w:type="paragraph" w:customStyle="1" w:styleId="FigureCaption">
    <w:name w:val="Figure Caption"/>
    <w:next w:val="Paragraph"/>
    <w:qFormat/>
    <w:pPr>
      <w:spacing w:before="120"/>
      <w:jc w:val="center"/>
    </w:pPr>
    <w:rPr>
      <w:rFonts w:eastAsiaTheme="minorEastAsia"/>
      <w:sz w:val="18"/>
      <w:lang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pPr>
      <w:tabs>
        <w:tab w:val="center" w:pos="4320"/>
        <w:tab w:val="right" w:pos="9242"/>
      </w:tabs>
      <w:ind w:firstLine="0"/>
      <w:jc w:val="center"/>
    </w:pPr>
  </w:style>
  <w:style w:type="character" w:customStyle="1" w:styleId="a7">
    <w:name w:val="批注框文本 字符"/>
    <w:basedOn w:val="a0"/>
    <w:link w:val="a6"/>
    <w:qFormat/>
    <w:rPr>
      <w:rFonts w:ascii="Tahoma" w:hAnsi="Tahoma" w:cs="Tahoma"/>
      <w:sz w:val="16"/>
      <w:szCs w:val="16"/>
      <w:lang w:val="en-US" w:eastAsia="en-US"/>
    </w:rPr>
  </w:style>
  <w:style w:type="paragraph" w:customStyle="1" w:styleId="Paragraphbulleted">
    <w:name w:val="Paragraph (bulleted)"/>
    <w:basedOn w:val="Paragraph"/>
    <w:qFormat/>
    <w:pPr>
      <w:numPr>
        <w:numId w:val="2"/>
      </w:numPr>
      <w:ind w:left="641" w:hanging="357"/>
    </w:pPr>
  </w:style>
  <w:style w:type="paragraph" w:customStyle="1" w:styleId="AuthorEmail">
    <w:name w:val="Author Email"/>
    <w:basedOn w:val="a"/>
    <w:qFormat/>
    <w:pPr>
      <w:jc w:val="center"/>
    </w:pPr>
    <w:rPr>
      <w:sz w:val="20"/>
    </w:rPr>
  </w:style>
  <w:style w:type="paragraph" w:customStyle="1" w:styleId="TableCaption">
    <w:name w:val="Table Caption"/>
    <w:basedOn w:val="FigureCaption"/>
    <w:qFormat/>
    <w:rPr>
      <w:szCs w:val="18"/>
    </w:rPr>
  </w:style>
  <w:style w:type="paragraph" w:customStyle="1" w:styleId="Paragraphnumbered">
    <w:name w:val="Paragraph (numbered)"/>
    <w:qFormat/>
    <w:pPr>
      <w:numPr>
        <w:numId w:val="3"/>
      </w:numPr>
      <w:jc w:val="both"/>
    </w:pPr>
    <w:rPr>
      <w:rFonts w:eastAsiaTheme="minorEastAsia"/>
      <w:lang w:eastAsia="en-US"/>
    </w:rPr>
  </w:style>
  <w:style w:type="character" w:customStyle="1" w:styleId="10">
    <w:name w:val="未处理的提及1"/>
    <w:basedOn w:val="a0"/>
    <w:uiPriority w:val="99"/>
    <w:semiHidden/>
    <w:unhideWhenUsed/>
    <w:qFormat/>
    <w:rPr>
      <w:color w:val="808080"/>
      <w:shd w:val="clear" w:color="auto" w:fill="E6E6E6"/>
    </w:rPr>
  </w:style>
  <w:style w:type="paragraph" w:styleId="af6">
    <w:name w:val="List Paragraph"/>
    <w:basedOn w:val="a"/>
    <w:uiPriority w:val="34"/>
    <w:qFormat/>
    <w:pPr>
      <w:ind w:left="720"/>
      <w:contextualSpacing/>
    </w:pPr>
  </w:style>
  <w:style w:type="character" w:customStyle="1" w:styleId="a5">
    <w:name w:val="批注文字 字符"/>
    <w:basedOn w:val="a0"/>
    <w:link w:val="a4"/>
    <w:semiHidden/>
    <w:qFormat/>
    <w:rPr>
      <w:lang w:val="en-US" w:eastAsia="en-US"/>
    </w:rPr>
  </w:style>
  <w:style w:type="character" w:customStyle="1" w:styleId="af">
    <w:name w:val="批注主题 字符"/>
    <w:basedOn w:val="a5"/>
    <w:link w:val="ae"/>
    <w:semiHidden/>
    <w:qFormat/>
    <w:rPr>
      <w:b/>
      <w:bCs/>
      <w:lang w:val="en-US" w:eastAsia="en-US"/>
    </w:rPr>
  </w:style>
  <w:style w:type="character" w:customStyle="1" w:styleId="ab">
    <w:name w:val="页眉 字符"/>
    <w:basedOn w:val="a0"/>
    <w:link w:val="aa"/>
    <w:qFormat/>
    <w:rPr>
      <w:sz w:val="18"/>
      <w:szCs w:val="18"/>
      <w:lang w:val="en-US" w:eastAsia="en-US"/>
    </w:rPr>
  </w:style>
  <w:style w:type="character" w:customStyle="1" w:styleId="a9">
    <w:name w:val="页脚 字符"/>
    <w:basedOn w:val="a0"/>
    <w:link w:val="a8"/>
    <w:qFormat/>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4D480BE3-4243-4139-BC73-7EB58818A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157</TotalTime>
  <Pages>7</Pages>
  <Words>3922</Words>
  <Characters>22361</Characters>
  <Application>Microsoft Office Word</Application>
  <DocSecurity>0</DocSecurity>
  <Lines>186</Lines>
  <Paragraphs>52</Paragraphs>
  <ScaleCrop>false</ScaleCrop>
  <Company>PPI</Company>
  <LinksUpToDate>false</LinksUpToDate>
  <CharactersWithSpaces>26231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Chan</cp:lastModifiedBy>
  <cp:revision>34</cp:revision>
  <cp:lastPrinted>2011-03-03T08:29:00Z</cp:lastPrinted>
  <dcterms:created xsi:type="dcterms:W3CDTF">2020-12-11T14:06:00Z</dcterms:created>
  <dcterms:modified xsi:type="dcterms:W3CDTF">2025-09-28T06:57:00Z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KSOProductBuildVer">
    <vt:lpwstr>2052-12.1.0.20784</vt:lpwstr>
  </property>
  <property fmtid="{D5CDD505-2E9C-101B-9397-08002B2CF9AE}" pid="4" name="ICV">
    <vt:lpwstr>EC0331C1206C4EFF9AB2C5BDF80D4EDA_13</vt:lpwstr>
  </property>
  <property fmtid="{D5CDD505-2E9C-101B-9397-08002B2CF9AE}" pid="5" name="KSOTemplateDocerSaveRecord">
    <vt:lpwstr>eyJoZGlkIjoiZGNkN2U5NWUxZjYzZTU5MjYyYmZhYjExOTMxMGE2MTIiLCJ1c2VySWQiOiIzNDAxNDgzMDIifQ==</vt:lpwstr>
  </property>
  <property fmtid="{D5CDD505-2E9C-101B-9397-08002B2CF9AE}" pid="6" name="GrammarlyDocumentId">
    <vt:lpwstr>19f71266-5c89-4745-9e15-cd7d82f2a722</vt:lpwstr>
  </property>
</Properties>
</file>