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A5954" w14:textId="77777777" w:rsidR="00AD6DBA" w:rsidRDefault="00000000" w:rsidP="000D475C">
      <w:pPr>
        <w:pStyle w:val="PaperTitle"/>
        <w:rPr>
          <w:lang w:val="kk-KZ"/>
        </w:rPr>
      </w:pPr>
      <w:r>
        <w:rPr>
          <w:lang w:val="kk-KZ"/>
        </w:rPr>
        <w:t xml:space="preserve">Comprehensive Study </w:t>
      </w:r>
      <w:r>
        <w:t>o</w:t>
      </w:r>
      <w:r>
        <w:rPr>
          <w:lang w:val="kk-KZ"/>
        </w:rPr>
        <w:t xml:space="preserve">f Plastic Deformation </w:t>
      </w:r>
      <w:r>
        <w:t>o</w:t>
      </w:r>
      <w:r>
        <w:rPr>
          <w:lang w:val="kk-KZ"/>
        </w:rPr>
        <w:t xml:space="preserve">f Road Asphalt Concrete Pavement </w:t>
      </w:r>
      <w:r>
        <w:t>i</w:t>
      </w:r>
      <w:r>
        <w:rPr>
          <w:lang w:val="kk-KZ"/>
        </w:rPr>
        <w:t xml:space="preserve">n Climatic Conditions </w:t>
      </w:r>
      <w:r>
        <w:t>o</w:t>
      </w:r>
      <w:r>
        <w:rPr>
          <w:lang w:val="kk-KZ"/>
        </w:rPr>
        <w:t>f South Kazakhstan</w:t>
      </w:r>
    </w:p>
    <w:p w14:paraId="65FDAD9E" w14:textId="77777777" w:rsidR="00AD6DBA" w:rsidRPr="000D475C" w:rsidRDefault="00000000" w:rsidP="000D475C">
      <w:pPr>
        <w:pStyle w:val="AuthorName"/>
        <w:rPr>
          <w:lang w:val="kk-KZ"/>
        </w:rPr>
      </w:pPr>
      <w:bookmarkStart w:id="0" w:name="__DdeLink__702_3411495958"/>
      <w:bookmarkStart w:id="1" w:name="_Hlk206764273"/>
      <w:r>
        <w:rPr>
          <w:lang w:val="kk-KZ"/>
        </w:rPr>
        <w:t>B</w:t>
      </w:r>
      <w:r w:rsidRPr="000D475C">
        <w:rPr>
          <w:lang w:val="kk-KZ"/>
        </w:rPr>
        <w:t>agdat</w:t>
      </w:r>
      <w:r>
        <w:rPr>
          <w:lang w:val="kk-KZ"/>
        </w:rPr>
        <w:t xml:space="preserve"> Teltayev</w:t>
      </w:r>
      <w:bookmarkEnd w:id="0"/>
      <w:r>
        <w:rPr>
          <w:vertAlign w:val="superscript"/>
          <w:lang w:val="kk-KZ"/>
        </w:rPr>
        <w:t>1</w:t>
      </w:r>
      <w:r w:rsidRPr="000D475C">
        <w:rPr>
          <w:vertAlign w:val="superscript"/>
          <w:lang w:val="kk-KZ"/>
        </w:rPr>
        <w:t>, a)</w:t>
      </w:r>
      <w:r w:rsidRPr="000D475C">
        <w:rPr>
          <w:lang w:val="kk-KZ"/>
        </w:rPr>
        <w:t xml:space="preserve">, </w:t>
      </w:r>
      <w:bookmarkStart w:id="2" w:name="_Hlk206764349"/>
      <w:r>
        <w:rPr>
          <w:lang w:val="kk-KZ"/>
        </w:rPr>
        <w:t>Umir Kalybayev</w:t>
      </w:r>
      <w:r>
        <w:rPr>
          <w:vertAlign w:val="superscript"/>
          <w:lang w:val="kk-KZ"/>
        </w:rPr>
        <w:t>2</w:t>
      </w:r>
      <w:r w:rsidRPr="000D475C">
        <w:rPr>
          <w:vertAlign w:val="superscript"/>
          <w:lang w:val="kk-KZ"/>
        </w:rPr>
        <w:t>, b)</w:t>
      </w:r>
      <w:r w:rsidRPr="000D475C">
        <w:rPr>
          <w:lang w:val="kk-KZ"/>
        </w:rPr>
        <w:t xml:space="preserve">, </w:t>
      </w:r>
      <w:bookmarkEnd w:id="2"/>
      <w:r w:rsidRPr="000D475C">
        <w:rPr>
          <w:lang w:val="kk-KZ"/>
        </w:rPr>
        <w:t>Yerbol Aitbayev</w:t>
      </w:r>
      <w:r w:rsidRPr="000D475C">
        <w:rPr>
          <w:vertAlign w:val="superscript"/>
          <w:lang w:val="kk-KZ"/>
        </w:rPr>
        <w:t>1, c)</w:t>
      </w:r>
      <w:r w:rsidRPr="000D475C">
        <w:rPr>
          <w:lang w:val="kk-KZ"/>
        </w:rPr>
        <w:t xml:space="preserve">, </w:t>
      </w:r>
    </w:p>
    <w:p w14:paraId="4FFA74FE" w14:textId="77777777" w:rsidR="00AD6DBA" w:rsidRDefault="00000000" w:rsidP="000D475C">
      <w:pPr>
        <w:pStyle w:val="AuthorName"/>
        <w:rPr>
          <w:lang w:val="kk-KZ"/>
        </w:rPr>
      </w:pPr>
      <w:r>
        <w:t>Azamat Zhaisanbayev</w:t>
      </w:r>
      <w:r>
        <w:rPr>
          <w:vertAlign w:val="superscript"/>
        </w:rPr>
        <w:t>3, d)</w:t>
      </w:r>
      <w:bookmarkEnd w:id="1"/>
    </w:p>
    <w:p w14:paraId="411A8CF5" w14:textId="77777777" w:rsidR="00AD6DBA" w:rsidRDefault="00000000" w:rsidP="000D475C">
      <w:pPr>
        <w:pStyle w:val="AuthorAffiliation"/>
      </w:pPr>
      <w:bookmarkStart w:id="3" w:name="_Hlk206764299"/>
      <w:r>
        <w:rPr>
          <w:vertAlign w:val="superscript"/>
        </w:rPr>
        <w:t>1</w:t>
      </w:r>
      <w:bookmarkStart w:id="4" w:name="__DdeLink__700_3411495958"/>
      <w:r>
        <w:t>U. Joldasbekov Institute of Mechanics and Engineering</w:t>
      </w:r>
      <w:bookmarkEnd w:id="4"/>
      <w:r>
        <w:t xml:space="preserve">, Almaty, </w:t>
      </w:r>
      <w:bookmarkStart w:id="5" w:name="__DdeLink__704_3411495958"/>
      <w:r>
        <w:t>Kazakhstan</w:t>
      </w:r>
      <w:bookmarkEnd w:id="5"/>
    </w:p>
    <w:p w14:paraId="329E74B6" w14:textId="77777777" w:rsidR="00AD6DBA" w:rsidRDefault="00000000" w:rsidP="000D475C">
      <w:pPr>
        <w:pStyle w:val="AuthorAffiliation"/>
      </w:pPr>
      <w:bookmarkStart w:id="6" w:name="_Hlk206764315"/>
      <w:r>
        <w:rPr>
          <w:vertAlign w:val="superscript"/>
        </w:rPr>
        <w:t>2</w:t>
      </w:r>
      <w:r>
        <w:t>Kazakh Automobile and Road Institute named after L. B. Goncharov (KazADI), Almaty, Kazakhstan</w:t>
      </w:r>
      <w:bookmarkEnd w:id="6"/>
    </w:p>
    <w:p w14:paraId="03F03E91" w14:textId="77777777" w:rsidR="00AD6DBA" w:rsidRDefault="00000000" w:rsidP="000D475C">
      <w:pPr>
        <w:pStyle w:val="AuthorAffiliation"/>
      </w:pPr>
      <w:r>
        <w:rPr>
          <w:vertAlign w:val="superscript"/>
        </w:rPr>
        <w:t>3</w:t>
      </w:r>
      <w:r>
        <w:t>Road Research and Production Center, Almaty, Kazakhstan</w:t>
      </w:r>
      <w:bookmarkEnd w:id="3"/>
    </w:p>
    <w:p w14:paraId="05726C4E" w14:textId="77777777" w:rsidR="000D475C" w:rsidRDefault="000D475C" w:rsidP="000D475C">
      <w:pPr>
        <w:pStyle w:val="AuthorEmail"/>
        <w:rPr>
          <w:lang w:eastAsia="ru-RU"/>
        </w:rPr>
      </w:pPr>
    </w:p>
    <w:p w14:paraId="306E68CA" w14:textId="0A7DC068" w:rsidR="00AD6DBA" w:rsidRDefault="00000000" w:rsidP="000D475C">
      <w:pPr>
        <w:pStyle w:val="AuthorEmail"/>
        <w:rPr>
          <w:lang w:eastAsia="ru-RU"/>
        </w:rPr>
      </w:pPr>
      <w:r>
        <w:rPr>
          <w:lang w:eastAsia="ru-RU"/>
        </w:rPr>
        <w:t>a) Corresponding author:</w:t>
      </w:r>
      <w:r>
        <w:t xml:space="preserve"> </w:t>
      </w:r>
      <w:bookmarkStart w:id="7" w:name="__DdeLink__698_3411495958"/>
      <w:r w:rsidRPr="007D5A91">
        <w:rPr>
          <w:lang w:eastAsia="ru-RU"/>
        </w:rPr>
        <w:t>bagdatbt@yahoo.com</w:t>
      </w:r>
      <w:r>
        <w:rPr>
          <w:lang w:eastAsia="ru-RU"/>
        </w:rPr>
        <w:t xml:space="preserve"> </w:t>
      </w:r>
      <w:bookmarkEnd w:id="7"/>
    </w:p>
    <w:p w14:paraId="16B6CA27" w14:textId="799DE6EE" w:rsidR="00AD6DBA" w:rsidRDefault="00000000" w:rsidP="000D475C">
      <w:pPr>
        <w:pStyle w:val="AuthorEmail"/>
      </w:pPr>
      <w:r>
        <w:rPr>
          <w:lang w:eastAsia="ru-RU"/>
        </w:rPr>
        <w:t xml:space="preserve">b) </w:t>
      </w:r>
      <w:r w:rsidRPr="007D5A91">
        <w:t>Lifeking_86@mail.ru</w:t>
      </w:r>
    </w:p>
    <w:p w14:paraId="7D75F98E" w14:textId="5FF436C6" w:rsidR="00AD6DBA" w:rsidRDefault="00000000" w:rsidP="000D475C">
      <w:pPr>
        <w:pStyle w:val="AuthorEmail"/>
        <w:rPr>
          <w:lang w:eastAsia="ru-RU"/>
        </w:rPr>
      </w:pPr>
      <w:r>
        <w:rPr>
          <w:lang w:eastAsia="ru-RU"/>
        </w:rPr>
        <w:t xml:space="preserve">c) </w:t>
      </w:r>
      <w:r w:rsidRPr="007D5A91">
        <w:rPr>
          <w:lang w:eastAsia="ru-RU"/>
        </w:rPr>
        <w:t>erbolae@mail.ru</w:t>
      </w:r>
    </w:p>
    <w:p w14:paraId="31F3B00D" w14:textId="3A15FEC7" w:rsidR="00AD6DBA" w:rsidRDefault="00000000" w:rsidP="000D475C">
      <w:pPr>
        <w:pStyle w:val="AuthorEmail"/>
        <w:rPr>
          <w:lang w:eastAsia="ru-RU"/>
        </w:rPr>
      </w:pPr>
      <w:r>
        <w:rPr>
          <w:lang w:eastAsia="ru-RU"/>
        </w:rPr>
        <w:t xml:space="preserve">d) </w:t>
      </w:r>
      <w:r w:rsidRPr="007D5A91">
        <w:t>azamatsz10@gmail.com</w:t>
      </w:r>
      <w:r>
        <w:t xml:space="preserve">    </w:t>
      </w:r>
    </w:p>
    <w:p w14:paraId="6CB5B91D" w14:textId="77777777" w:rsidR="00AD6DBA" w:rsidRDefault="00000000" w:rsidP="000D475C">
      <w:pPr>
        <w:pStyle w:val="Abstract"/>
        <w:rPr>
          <w:rFonts w:eastAsiaTheme="minorHAnsi"/>
          <w:kern w:val="2"/>
          <w:sz w:val="28"/>
          <w:szCs w:val="28"/>
        </w:rPr>
      </w:pPr>
      <w:r>
        <w:rPr>
          <w:b/>
          <w:bCs/>
        </w:rPr>
        <w:t xml:space="preserve">Abstract. </w:t>
      </w:r>
      <w:r>
        <w:t>This paper presents the results of a comprehensive study of rutting (plastic deformation) of an asphalt concrete road pavement in the climatic conditions of the south (Shymkent city) of Kazakhstan. By opening the road pavement structure, the geometric characteristics of rutting, types of materials and soils, and thicknesses of the road pavement layers were determined. The intensity and composition of the traffic flow were determined and analyzed. Using a special measuring system with sensors, non-stationary temperature regimes of the road pavement were determined. Using the solution of the problem of the elasticity theory for a multilayer system and the correlation model of the Asphalt Institute (USA), actual parameters of transport facilities loading and measured temperature values ​​in the layers of the road pavement, stresses and strains in the pavement structure were calculated, and destructive (rutting) effects of the transport facilities were established.</w:t>
      </w:r>
    </w:p>
    <w:p w14:paraId="128B77F0" w14:textId="77777777" w:rsidR="00AD6DBA" w:rsidRDefault="00000000" w:rsidP="000D475C">
      <w:pPr>
        <w:pStyle w:val="Abstract"/>
      </w:pPr>
      <w:r>
        <w:rPr>
          <w:b/>
          <w:bCs/>
        </w:rPr>
        <w:t xml:space="preserve">Keywords: </w:t>
      </w:r>
      <w:r>
        <w:t>asphalt concrete pavement, rutting, temperature, traffic flow, relative rutting effect.</w:t>
      </w:r>
    </w:p>
    <w:p w14:paraId="0B84E2F8" w14:textId="77777777" w:rsidR="00AD6DBA" w:rsidRDefault="00000000" w:rsidP="00B4681B">
      <w:pPr>
        <w:pStyle w:val="berschrift1"/>
      </w:pPr>
      <w:r>
        <w:t xml:space="preserve">Introduction </w:t>
      </w:r>
    </w:p>
    <w:p w14:paraId="04040117" w14:textId="77777777" w:rsidR="00AD6DBA" w:rsidRDefault="00000000" w:rsidP="00B4681B">
      <w:pPr>
        <w:pStyle w:val="Paragraph"/>
      </w:pPr>
      <w:r>
        <w:t xml:space="preserve">Rutting is one of the main types of failure of road asphalt concrete pavements [1-3]. Many years of road operation experience and the results of specialized comprehensive studies show that rutting is caused by several factors and their combinations: </w:t>
      </w:r>
    </w:p>
    <w:p w14:paraId="28AA7D4A" w14:textId="77777777" w:rsidR="00AD6DBA" w:rsidRDefault="00000000">
      <w:pPr>
        <w:ind w:firstLine="284"/>
      </w:pPr>
      <w:r>
        <w:t>- a weak pavement structure;</w:t>
      </w:r>
    </w:p>
    <w:p w14:paraId="2F95409F" w14:textId="77777777" w:rsidR="00AD6DBA" w:rsidRDefault="00000000">
      <w:pPr>
        <w:ind w:firstLine="284"/>
      </w:pPr>
      <w:r>
        <w:t>- low rutting resistance of asphalt concrete layers;</w:t>
      </w:r>
    </w:p>
    <w:p w14:paraId="0BDCEB35" w14:textId="77777777" w:rsidR="00AD6DBA" w:rsidRDefault="00000000">
      <w:pPr>
        <w:ind w:firstLine="284"/>
      </w:pPr>
      <w:r>
        <w:t>- heavy vehicle loads and their excessive numbers;</w:t>
      </w:r>
    </w:p>
    <w:p w14:paraId="353802C2" w14:textId="77777777" w:rsidR="00AD6DBA" w:rsidRDefault="00000000">
      <w:pPr>
        <w:ind w:firstLine="284"/>
      </w:pPr>
      <w:r>
        <w:t xml:space="preserve">- high temperatures. </w:t>
      </w:r>
    </w:p>
    <w:p w14:paraId="40CE9049" w14:textId="77777777" w:rsidR="00AD6DBA" w:rsidRDefault="00000000" w:rsidP="00B4681B">
      <w:pPr>
        <w:pStyle w:val="Paragraph"/>
      </w:pPr>
      <w:r>
        <w:t>In Kazakhstan (especially in the south of the country), rutting has recently become a significant problem on both urban and public roads.</w:t>
      </w:r>
    </w:p>
    <w:p w14:paraId="4F82291E" w14:textId="77777777" w:rsidR="00AD6DBA" w:rsidRDefault="00000000" w:rsidP="00B4681B">
      <w:pPr>
        <w:pStyle w:val="Paragraph"/>
      </w:pPr>
      <w:r>
        <w:t xml:space="preserve">This paper presents some of the results of a comprehensive study of plastic deformation (rutting) on an ​​asphalt concrete pavement in the climatic conditions of southern Kazakhstan (in the city of Shymkent). </w:t>
      </w:r>
    </w:p>
    <w:p w14:paraId="4F70539E" w14:textId="77777777" w:rsidR="00AD6DBA" w:rsidRDefault="00000000" w:rsidP="00B4681B">
      <w:pPr>
        <w:pStyle w:val="Paragraph"/>
      </w:pPr>
      <w:r>
        <w:t>Shymkent is located in southern Kazakhstan. In summer, air temperatures rise to 45-47°С, and an asphalt concrete surface heats up to 65-67°С. The city has recently become a metropolis. It is developing rapidly. The population and the amount of heavy public and freight transport on the city's roads are growing rapidly. The combination of these factors is the main cause of rutting.</w:t>
      </w:r>
    </w:p>
    <w:p w14:paraId="2344A792" w14:textId="77777777" w:rsidR="00AD6DBA" w:rsidRDefault="00000000" w:rsidP="00B4681B">
      <w:pPr>
        <w:pStyle w:val="berschrift1"/>
      </w:pPr>
      <w:r>
        <w:lastRenderedPageBreak/>
        <w:t xml:space="preserve">Experimental section </w:t>
      </w:r>
    </w:p>
    <w:p w14:paraId="1BDD5758" w14:textId="30FC7BD8" w:rsidR="00AD6DBA" w:rsidRDefault="00000000" w:rsidP="00B4681B">
      <w:pPr>
        <w:pStyle w:val="Paragraph"/>
      </w:pPr>
      <w:r>
        <w:t>An experimental section for studying rutting was selected on the A2 highway connecting the city with its airport (Fig</w:t>
      </w:r>
      <w:r w:rsidR="00B4681B">
        <w:t>.</w:t>
      </w:r>
      <w:r>
        <w:t xml:space="preserve"> 1). </w:t>
      </w:r>
    </w:p>
    <w:p w14:paraId="156C9381" w14:textId="77777777" w:rsidR="00AD6DBA" w:rsidRDefault="00000000" w:rsidP="00B4681B">
      <w:pPr>
        <w:pStyle w:val="Figure"/>
      </w:pPr>
      <w:r>
        <w:rPr>
          <w:noProof/>
        </w:rPr>
        <w:drawing>
          <wp:inline distT="0" distB="0" distL="0" distR="0" wp14:anchorId="30447D5A" wp14:editId="4E89AC34">
            <wp:extent cx="3626485" cy="228981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5"/>
                    <a:stretch>
                      <a:fillRect/>
                    </a:stretch>
                  </pic:blipFill>
                  <pic:spPr bwMode="auto">
                    <a:xfrm>
                      <a:off x="0" y="0"/>
                      <a:ext cx="3626485" cy="2289810"/>
                    </a:xfrm>
                    <a:prstGeom prst="rect">
                      <a:avLst/>
                    </a:prstGeom>
                  </pic:spPr>
                </pic:pic>
              </a:graphicData>
            </a:graphic>
          </wp:inline>
        </w:drawing>
      </w:r>
    </w:p>
    <w:p w14:paraId="016368C0" w14:textId="77777777" w:rsidR="00AD6DBA" w:rsidRDefault="00000000" w:rsidP="00B4681B">
      <w:pPr>
        <w:pStyle w:val="FigureCaption"/>
      </w:pPr>
      <w:r>
        <w:rPr>
          <w:b/>
          <w:caps/>
        </w:rPr>
        <w:t>Figure</w:t>
      </w:r>
      <w:r>
        <w:rPr>
          <w:b/>
        </w:rPr>
        <w:t xml:space="preserve"> 1</w:t>
      </w:r>
      <w:r>
        <w:t>. General view of the experimental section</w:t>
      </w:r>
    </w:p>
    <w:p w14:paraId="5DB639A8" w14:textId="77777777" w:rsidR="00AD6DBA" w:rsidRDefault="00AD6DBA"/>
    <w:p w14:paraId="32CECCCE" w14:textId="51F0353D" w:rsidR="00AD6DBA" w:rsidRDefault="00000000" w:rsidP="00B4681B">
      <w:pPr>
        <w:pStyle w:val="Paragraph"/>
      </w:pPr>
      <w:r>
        <w:t>A pavement structure on the experimental section was determined by opening it up (Fig</w:t>
      </w:r>
      <w:r w:rsidR="00B4681B">
        <w:t>.</w:t>
      </w:r>
      <w:r>
        <w:t xml:space="preserve"> 2).</w:t>
      </w:r>
    </w:p>
    <w:p w14:paraId="4293D9EC" w14:textId="77777777" w:rsidR="00AD6DBA" w:rsidRDefault="00AD6DBA">
      <w:pPr>
        <w:ind w:firstLine="284"/>
      </w:pPr>
    </w:p>
    <w:p w14:paraId="3D1BF978" w14:textId="77777777" w:rsidR="00AD6DBA" w:rsidRDefault="00000000" w:rsidP="00B4681B">
      <w:pPr>
        <w:pStyle w:val="Figure"/>
      </w:pPr>
      <w:r>
        <w:rPr>
          <w:noProof/>
        </w:rPr>
        <w:drawing>
          <wp:inline distT="0" distB="0" distL="0" distR="0" wp14:anchorId="12A01DCF" wp14:editId="23A45CA7">
            <wp:extent cx="3600450" cy="2218055"/>
            <wp:effectExtent l="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2"/>
                    <pic:cNvPicPr>
                      <a:picLocks noChangeAspect="1" noChangeArrowheads="1"/>
                    </pic:cNvPicPr>
                  </pic:nvPicPr>
                  <pic:blipFill>
                    <a:blip r:embed="rId6"/>
                    <a:stretch>
                      <a:fillRect/>
                    </a:stretch>
                  </pic:blipFill>
                  <pic:spPr bwMode="auto">
                    <a:xfrm>
                      <a:off x="0" y="0"/>
                      <a:ext cx="3600450" cy="2218055"/>
                    </a:xfrm>
                    <a:prstGeom prst="rect">
                      <a:avLst/>
                    </a:prstGeom>
                  </pic:spPr>
                </pic:pic>
              </a:graphicData>
            </a:graphic>
          </wp:inline>
        </w:drawing>
      </w:r>
    </w:p>
    <w:p w14:paraId="753E360D" w14:textId="77777777" w:rsidR="00AD6DBA" w:rsidRDefault="00000000" w:rsidP="00B4681B">
      <w:pPr>
        <w:pStyle w:val="FigureCaption"/>
      </w:pPr>
      <w:r>
        <w:rPr>
          <w:b/>
          <w:caps/>
        </w:rPr>
        <w:t>Figure</w:t>
      </w:r>
      <w:r>
        <w:rPr>
          <w:b/>
        </w:rPr>
        <w:t xml:space="preserve"> 2</w:t>
      </w:r>
      <w:r>
        <w:t>. Measuring thicknesses of the pavement layers</w:t>
      </w:r>
    </w:p>
    <w:p w14:paraId="6EAC792C" w14:textId="77777777" w:rsidR="00AD6DBA" w:rsidRDefault="00AD6DBA"/>
    <w:p w14:paraId="69B16EEA" w14:textId="6C2E238B" w:rsidR="00AD6DBA" w:rsidRDefault="00000000" w:rsidP="00B4681B">
      <w:pPr>
        <w:pStyle w:val="Paragraph"/>
      </w:pPr>
      <w:r>
        <w:t>The location of the pavement structure opening is shown in Fig</w:t>
      </w:r>
      <w:r w:rsidR="00B4681B">
        <w:t>.</w:t>
      </w:r>
      <w:r>
        <w:t xml:space="preserve"> 3.</w:t>
      </w:r>
    </w:p>
    <w:p w14:paraId="56F8F06E" w14:textId="77777777" w:rsidR="00AD6DBA" w:rsidRDefault="00000000" w:rsidP="00B4681B">
      <w:pPr>
        <w:pStyle w:val="Figure"/>
      </w:pPr>
      <w:r>
        <w:rPr>
          <w:noProof/>
        </w:rPr>
        <w:drawing>
          <wp:inline distT="0" distB="0" distL="0" distR="0" wp14:anchorId="73832CF6" wp14:editId="0A60BF59">
            <wp:extent cx="3619500" cy="2218055"/>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pic:cNvPicPr>
                      <a:picLocks noChangeAspect="1" noChangeArrowheads="1"/>
                    </pic:cNvPicPr>
                  </pic:nvPicPr>
                  <pic:blipFill>
                    <a:blip r:embed="rId7"/>
                    <a:stretch>
                      <a:fillRect/>
                    </a:stretch>
                  </pic:blipFill>
                  <pic:spPr bwMode="auto">
                    <a:xfrm>
                      <a:off x="0" y="0"/>
                      <a:ext cx="3619500" cy="2218055"/>
                    </a:xfrm>
                    <a:prstGeom prst="rect">
                      <a:avLst/>
                    </a:prstGeom>
                  </pic:spPr>
                </pic:pic>
              </a:graphicData>
            </a:graphic>
          </wp:inline>
        </w:drawing>
      </w:r>
    </w:p>
    <w:p w14:paraId="272C9B9B" w14:textId="77777777" w:rsidR="00AD6DBA" w:rsidRDefault="00000000" w:rsidP="00B4681B">
      <w:pPr>
        <w:pStyle w:val="FigureCaption"/>
      </w:pPr>
      <w:r>
        <w:rPr>
          <w:b/>
          <w:caps/>
        </w:rPr>
        <w:t>Figure</w:t>
      </w:r>
      <w:r>
        <w:rPr>
          <w:b/>
        </w:rPr>
        <w:t xml:space="preserve"> 3</w:t>
      </w:r>
      <w:r>
        <w:t>. Peace of opening of the pavement structure of the experimental section</w:t>
      </w:r>
    </w:p>
    <w:p w14:paraId="755A5582" w14:textId="77777777" w:rsidR="00AD6DBA" w:rsidRDefault="00AD6DBA"/>
    <w:p w14:paraId="258F5204" w14:textId="77777777" w:rsidR="00AD6DBA" w:rsidRDefault="00000000" w:rsidP="00B4681B">
      <w:pPr>
        <w:pStyle w:val="Paragraph"/>
      </w:pPr>
      <w:r>
        <w:lastRenderedPageBreak/>
        <w:t>It has been established that the existing pavement structure on the experimental section has the following layers: 1 – old asphalt concretes, total thickness h</w:t>
      </w:r>
      <w:r>
        <w:rPr>
          <w:vertAlign w:val="subscript"/>
        </w:rPr>
        <w:t>1</w:t>
      </w:r>
      <w:r>
        <w:t>=17 cm; 2 – a sand and gravel mixture, h</w:t>
      </w:r>
      <w:r>
        <w:rPr>
          <w:vertAlign w:val="subscript"/>
        </w:rPr>
        <w:t>2</w:t>
      </w:r>
      <w:r>
        <w:t>=70 cm; soil - loam.</w:t>
      </w:r>
    </w:p>
    <w:p w14:paraId="064A2B9D" w14:textId="77777777" w:rsidR="00AD6DBA" w:rsidRDefault="00000000" w:rsidP="00B4681B">
      <w:pPr>
        <w:pStyle w:val="Paragraph"/>
      </w:pPr>
      <w:r>
        <w:t>It can be seen that the existing pavement structure is very weak, and the asphalt concrete layers are old. As will be discussed later, this pavement structure does not meet the actual loading conditions (intensity and composition of the traffic flow).</w:t>
      </w:r>
    </w:p>
    <w:p w14:paraId="6677D670" w14:textId="77777777" w:rsidR="00AD6DBA" w:rsidRDefault="00000000" w:rsidP="00B4681B">
      <w:pPr>
        <w:pStyle w:val="berschrift1"/>
        <w:rPr>
          <w:sz w:val="20"/>
        </w:rPr>
      </w:pPr>
      <w:r>
        <w:t>RUT CHARACTERISTICS</w:t>
      </w:r>
    </w:p>
    <w:p w14:paraId="1E6A6D91" w14:textId="77777777" w:rsidR="00AD6DBA" w:rsidRDefault="00000000" w:rsidP="00B4681B">
      <w:pPr>
        <w:pStyle w:val="Paragraph"/>
      </w:pPr>
      <w:r>
        <w:t>Before opening the pavement structure on the experimental section rut depth values were measured. The rut depths were measured using a three-meter ruler on lines located perpendicularly at distances of 0, 5 m, 10 m, 15 m, 20 m, 25 m and 30 m from the stop line before the intersection.</w:t>
      </w:r>
    </w:p>
    <w:p w14:paraId="73FA1636" w14:textId="77777777" w:rsidR="00AD6DBA" w:rsidRDefault="00000000" w:rsidP="00B4681B">
      <w:pPr>
        <w:pStyle w:val="Paragraph"/>
      </w:pPr>
      <w:r>
        <w:t>Figure 4 shows the distribution curves of the rut depth along the wheelputch width at different distances. Figure 5 presents a histogram that shows the distribution of the rut depth values on intervals.</w:t>
      </w:r>
    </w:p>
    <w:p w14:paraId="5C32FAD8" w14:textId="77777777" w:rsidR="00AD6DBA" w:rsidRDefault="00AD6DBA">
      <w:pPr>
        <w:ind w:firstLine="284"/>
      </w:pPr>
    </w:p>
    <w:p w14:paraId="2ACE1998" w14:textId="77777777" w:rsidR="00AD6DBA" w:rsidRDefault="00000000" w:rsidP="00B4681B">
      <w:pPr>
        <w:pStyle w:val="Figure"/>
      </w:pPr>
      <w:r>
        <w:rPr>
          <w:noProof/>
        </w:rPr>
        <w:drawing>
          <wp:inline distT="0" distB="0" distL="0" distR="0" wp14:anchorId="3C99750D" wp14:editId="2DC00944">
            <wp:extent cx="5548597" cy="288000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pic:cNvPicPr>
                      <a:picLocks noChangeAspect="1" noChangeArrowheads="1"/>
                    </pic:cNvPicPr>
                  </pic:nvPicPr>
                  <pic:blipFill>
                    <a:blip r:embed="rId8"/>
                    <a:stretch>
                      <a:fillRect/>
                    </a:stretch>
                  </pic:blipFill>
                  <pic:spPr bwMode="auto">
                    <a:xfrm>
                      <a:off x="0" y="0"/>
                      <a:ext cx="5548597" cy="2880000"/>
                    </a:xfrm>
                    <a:prstGeom prst="rect">
                      <a:avLst/>
                    </a:prstGeom>
                  </pic:spPr>
                </pic:pic>
              </a:graphicData>
            </a:graphic>
          </wp:inline>
        </w:drawing>
      </w:r>
    </w:p>
    <w:p w14:paraId="3FB8AFFD" w14:textId="77777777" w:rsidR="00AD6DBA" w:rsidRDefault="00000000" w:rsidP="00B4681B">
      <w:pPr>
        <w:pStyle w:val="FigureCaption"/>
      </w:pPr>
      <w:r>
        <w:rPr>
          <w:b/>
          <w:bCs/>
        </w:rPr>
        <w:t>FIGURE 4</w:t>
      </w:r>
      <w:r>
        <w:t>. Graph of rut depth distribution on the asphalt concrete pavement surface at different distances</w:t>
      </w:r>
    </w:p>
    <w:p w14:paraId="2B445999" w14:textId="77777777" w:rsidR="00AD6DBA" w:rsidRDefault="00AD6DBA">
      <w:pPr>
        <w:ind w:firstLine="284"/>
      </w:pPr>
    </w:p>
    <w:p w14:paraId="782E1081" w14:textId="77777777" w:rsidR="00AD6DBA" w:rsidRDefault="00000000" w:rsidP="00B4681B">
      <w:pPr>
        <w:pStyle w:val="Paragraph"/>
      </w:pPr>
      <w:r>
        <w:t>These figures show that on the outer wheelputch all the measured rut depths are greater than the permissible value of 35 mm [4], 60% of them are greater than 10 mm. In accordance with the requirements of the regulatory document [4], such road sections cannot be operated. They must be repaired immediately.</w:t>
      </w:r>
    </w:p>
    <w:p w14:paraId="1A3C2179" w14:textId="77777777" w:rsidR="00AD6DBA" w:rsidRDefault="00000000" w:rsidP="00B4681B">
      <w:pPr>
        <w:pStyle w:val="Figure"/>
      </w:pPr>
      <w:r>
        <w:rPr>
          <w:noProof/>
        </w:rPr>
        <w:drawing>
          <wp:inline distT="0" distB="0" distL="0" distR="0" wp14:anchorId="4B524E60" wp14:editId="0F5C9403">
            <wp:extent cx="5589027" cy="288000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9"/>
                    <a:stretch>
                      <a:fillRect/>
                    </a:stretch>
                  </pic:blipFill>
                  <pic:spPr bwMode="auto">
                    <a:xfrm>
                      <a:off x="0" y="0"/>
                      <a:ext cx="5589027" cy="2880000"/>
                    </a:xfrm>
                    <a:prstGeom prst="rect">
                      <a:avLst/>
                    </a:prstGeom>
                  </pic:spPr>
                </pic:pic>
              </a:graphicData>
            </a:graphic>
          </wp:inline>
        </w:drawing>
      </w:r>
    </w:p>
    <w:p w14:paraId="0FDCD522" w14:textId="77777777" w:rsidR="00AD6DBA" w:rsidRDefault="00000000" w:rsidP="00B4681B">
      <w:pPr>
        <w:pStyle w:val="FigureCaption"/>
      </w:pPr>
      <w:r>
        <w:rPr>
          <w:b/>
          <w:bCs/>
        </w:rPr>
        <w:t>FIGURE 5.</w:t>
      </w:r>
      <w:r>
        <w:rPr>
          <w:rFonts w:ascii="inherit" w:eastAsiaTheme="minorEastAsia" w:hAnsi="inherit"/>
        </w:rPr>
        <w:t xml:space="preserve"> </w:t>
      </w:r>
      <w:r>
        <w:rPr>
          <w:rFonts w:eastAsiaTheme="minorEastAsia"/>
        </w:rPr>
        <w:t xml:space="preserve">Histogram of distribution of rut depth on the asphalt concrete surface on the experimental section </w:t>
      </w:r>
      <w:r>
        <w:rPr>
          <w:rFonts w:eastAsiaTheme="minorEastAsia"/>
          <w:color w:val="000000" w:themeColor="text1"/>
        </w:rPr>
        <w:t xml:space="preserve"> </w:t>
      </w:r>
    </w:p>
    <w:p w14:paraId="25E93958" w14:textId="77777777" w:rsidR="00AD6DBA" w:rsidRDefault="00000000" w:rsidP="00B4681B">
      <w:pPr>
        <w:pStyle w:val="berschrift1"/>
      </w:pPr>
      <w:r>
        <w:lastRenderedPageBreak/>
        <w:t>traffic flow</w:t>
      </w:r>
    </w:p>
    <w:p w14:paraId="7F499D16" w14:textId="77777777" w:rsidR="00AD6DBA" w:rsidRDefault="00000000" w:rsidP="00B4681B">
      <w:pPr>
        <w:pStyle w:val="Paragraph"/>
      </w:pPr>
      <w:r>
        <w:t>The composition and intensity of the traffic flow were determined by recording them on a NEOLINE G-TECH X76 digital video camera. The measurement results were analyzed by the Traffic Flow Software.</w:t>
      </w:r>
    </w:p>
    <w:p w14:paraId="461C5711" w14:textId="76FBE414" w:rsidR="00AD6DBA" w:rsidRDefault="00000000" w:rsidP="00B4681B">
      <w:pPr>
        <w:pStyle w:val="Paragraph"/>
      </w:pPr>
      <w:r>
        <w:t>On the experimental section in the direction of "Airport - Shymkent city" the intensity of the transport flow is 14533 units/day. The composition of the transport flow (Fig</w:t>
      </w:r>
      <w:r w:rsidR="00205FEC">
        <w:t>.</w:t>
      </w:r>
      <w:r>
        <w:t xml:space="preserve"> 6): cars, minibuses, and motorcycles – 11936 units/day; buses – 253 units/day; single trucks – 1634 units/day; trucks with trailers – 181 units/day; trucks with semi-trailers – 509 units/day; tractors – 20 units/day.</w:t>
      </w:r>
    </w:p>
    <w:p w14:paraId="48450D9A" w14:textId="77777777" w:rsidR="00AD6DBA" w:rsidRDefault="00AD6DBA">
      <w:pPr>
        <w:ind w:firstLine="284"/>
      </w:pPr>
    </w:p>
    <w:p w14:paraId="1C27B267" w14:textId="77777777" w:rsidR="00AD6DBA" w:rsidRDefault="00000000" w:rsidP="00B4681B">
      <w:pPr>
        <w:pStyle w:val="Figure"/>
      </w:pPr>
      <w:r>
        <w:rPr>
          <w:noProof/>
        </w:rPr>
        <w:drawing>
          <wp:inline distT="0" distB="0" distL="0" distR="0" wp14:anchorId="16D9F749" wp14:editId="17D82327">
            <wp:extent cx="4391252" cy="2239617"/>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pic:cNvPicPr>
                      <a:picLocks noChangeAspect="1" noChangeArrowheads="1"/>
                    </pic:cNvPicPr>
                  </pic:nvPicPr>
                  <pic:blipFill rotWithShape="1">
                    <a:blip r:embed="rId10"/>
                    <a:srcRect l="5373" t="2252" r="5566" b="2591"/>
                    <a:stretch>
                      <a:fillRect/>
                    </a:stretch>
                  </pic:blipFill>
                  <pic:spPr bwMode="auto">
                    <a:xfrm>
                      <a:off x="0" y="0"/>
                      <a:ext cx="4393071" cy="2240545"/>
                    </a:xfrm>
                    <a:prstGeom prst="rect">
                      <a:avLst/>
                    </a:prstGeom>
                    <a:ln>
                      <a:noFill/>
                    </a:ln>
                    <a:extLst>
                      <a:ext uri="{53640926-AAD7-44D8-BBD7-CCE9431645EC}">
                        <a14:shadowObscured xmlns:a14="http://schemas.microsoft.com/office/drawing/2010/main"/>
                      </a:ext>
                    </a:extLst>
                  </pic:spPr>
                </pic:pic>
              </a:graphicData>
            </a:graphic>
          </wp:inline>
        </w:drawing>
      </w:r>
    </w:p>
    <w:p w14:paraId="39F3CAA6" w14:textId="77777777" w:rsidR="00AD6DBA" w:rsidRDefault="00000000">
      <w:pPr>
        <w:ind w:firstLine="284"/>
        <w:jc w:val="center"/>
      </w:pPr>
      <w:r>
        <w:rPr>
          <w:b/>
          <w:bCs/>
        </w:rPr>
        <w:t>FIGURE 6</w:t>
      </w:r>
      <w:r>
        <w:t>. Composition of the traffic flow</w:t>
      </w:r>
    </w:p>
    <w:p w14:paraId="58B202BE" w14:textId="77777777" w:rsidR="00AD6DBA" w:rsidRDefault="00AD6DBA">
      <w:pPr>
        <w:ind w:firstLine="284"/>
        <w:jc w:val="center"/>
      </w:pPr>
    </w:p>
    <w:p w14:paraId="29D0BDFE" w14:textId="70D666CE" w:rsidR="00AD6DBA" w:rsidRDefault="00000000" w:rsidP="00B4681B">
      <w:pPr>
        <w:pStyle w:val="Paragraph"/>
      </w:pPr>
      <w:r>
        <w:t>The compositions of buses and single trucks are presented in Table 1.</w:t>
      </w:r>
    </w:p>
    <w:p w14:paraId="48157B96" w14:textId="77777777" w:rsidR="00AD6DBA" w:rsidRDefault="00000000" w:rsidP="00B4681B">
      <w:pPr>
        <w:pStyle w:val="TableCaption"/>
      </w:pPr>
      <w:r>
        <w:rPr>
          <w:b/>
          <w:bCs/>
        </w:rPr>
        <w:t>TABLE</w:t>
      </w:r>
      <w:r>
        <w:t xml:space="preserve"> </w:t>
      </w:r>
      <w:r>
        <w:rPr>
          <w:b/>
          <w:bCs/>
        </w:rPr>
        <w:t>1</w:t>
      </w:r>
      <w:r>
        <w:t>. Compositions of buses and single trucks</w:t>
      </w:r>
    </w:p>
    <w:tbl>
      <w:tblPr>
        <w:tblStyle w:val="Tabellenraster"/>
        <w:tblW w:w="8580" w:type="dxa"/>
        <w:jc w:val="center"/>
        <w:tblLayout w:type="fixed"/>
        <w:tblLook w:val="04A0" w:firstRow="1" w:lastRow="0" w:firstColumn="1" w:lastColumn="0" w:noHBand="0" w:noVBand="1"/>
      </w:tblPr>
      <w:tblGrid>
        <w:gridCol w:w="1219"/>
        <w:gridCol w:w="1237"/>
        <w:gridCol w:w="1218"/>
        <w:gridCol w:w="1216"/>
        <w:gridCol w:w="1218"/>
        <w:gridCol w:w="1216"/>
        <w:gridCol w:w="1256"/>
      </w:tblGrid>
      <w:tr w:rsidR="00AD6DBA" w14:paraId="2AD46393" w14:textId="77777777">
        <w:trPr>
          <w:trHeight w:val="464"/>
          <w:jc w:val="center"/>
        </w:trPr>
        <w:tc>
          <w:tcPr>
            <w:tcW w:w="2455" w:type="dxa"/>
            <w:gridSpan w:val="2"/>
          </w:tcPr>
          <w:p w14:paraId="7B32F9D0" w14:textId="77777777" w:rsidR="00AD6DBA" w:rsidRDefault="00000000">
            <w:pPr>
              <w:jc w:val="center"/>
              <w:rPr>
                <w:b/>
                <w:bCs/>
              </w:rPr>
            </w:pPr>
            <w:r>
              <w:rPr>
                <w:rFonts w:eastAsia="Calibri"/>
                <w:b/>
                <w:bCs/>
                <w:kern w:val="2"/>
                <w:lang w:eastAsia="en-US"/>
              </w:rPr>
              <w:t>Buses, units</w:t>
            </w:r>
            <w:r>
              <w:rPr>
                <w:rFonts w:eastAsia="Calibri"/>
                <w:b/>
                <w:bCs/>
                <w:kern w:val="2"/>
                <w:lang w:val="ru-RU" w:eastAsia="en-US"/>
              </w:rPr>
              <w:t>/</w:t>
            </w:r>
            <w:r>
              <w:rPr>
                <w:rFonts w:eastAsia="Calibri"/>
                <w:b/>
                <w:bCs/>
                <w:kern w:val="2"/>
                <w:lang w:eastAsia="en-US"/>
              </w:rPr>
              <w:t>day</w:t>
            </w:r>
          </w:p>
        </w:tc>
        <w:tc>
          <w:tcPr>
            <w:tcW w:w="6124" w:type="dxa"/>
            <w:gridSpan w:val="5"/>
          </w:tcPr>
          <w:p w14:paraId="6DA695F9" w14:textId="77777777" w:rsidR="00AD6DBA" w:rsidRDefault="00000000">
            <w:pPr>
              <w:jc w:val="center"/>
              <w:rPr>
                <w:b/>
                <w:bCs/>
              </w:rPr>
            </w:pPr>
            <w:r>
              <w:rPr>
                <w:rFonts w:eastAsia="Calibri"/>
                <w:b/>
                <w:bCs/>
                <w:kern w:val="2"/>
                <w:lang w:eastAsia="en-US"/>
              </w:rPr>
              <w:t>Single trucks, units/day</w:t>
            </w:r>
          </w:p>
        </w:tc>
      </w:tr>
      <w:tr w:rsidR="00AD6DBA" w14:paraId="05C59A04" w14:textId="77777777">
        <w:trPr>
          <w:trHeight w:val="414"/>
          <w:jc w:val="center"/>
        </w:trPr>
        <w:tc>
          <w:tcPr>
            <w:tcW w:w="1218" w:type="dxa"/>
          </w:tcPr>
          <w:p w14:paraId="30FCCA75" w14:textId="77777777" w:rsidR="00AD6DBA" w:rsidRDefault="00000000">
            <w:pPr>
              <w:jc w:val="center"/>
            </w:pPr>
            <w:r>
              <w:rPr>
                <w:rFonts w:eastAsia="Calibri"/>
                <w:kern w:val="2"/>
                <w:lang w:eastAsia="en-US"/>
              </w:rPr>
              <w:t>middle</w:t>
            </w:r>
          </w:p>
        </w:tc>
        <w:tc>
          <w:tcPr>
            <w:tcW w:w="1237" w:type="dxa"/>
          </w:tcPr>
          <w:p w14:paraId="6CEFABFD" w14:textId="77777777" w:rsidR="00AD6DBA" w:rsidRDefault="00000000">
            <w:pPr>
              <w:jc w:val="center"/>
            </w:pPr>
            <w:r>
              <w:rPr>
                <w:rFonts w:eastAsia="Calibri"/>
                <w:kern w:val="2"/>
                <w:lang w:eastAsia="en-US"/>
              </w:rPr>
              <w:t>heavy</w:t>
            </w:r>
          </w:p>
        </w:tc>
        <w:tc>
          <w:tcPr>
            <w:tcW w:w="1218" w:type="dxa"/>
          </w:tcPr>
          <w:p w14:paraId="41A5FFAC" w14:textId="77777777" w:rsidR="00AD6DBA" w:rsidRDefault="00000000">
            <w:pPr>
              <w:jc w:val="center"/>
            </w:pPr>
            <w:r>
              <w:rPr>
                <w:rFonts w:eastAsia="Calibri"/>
                <w:kern w:val="2"/>
                <w:lang w:val="ru-RU" w:eastAsia="en-US"/>
              </w:rPr>
              <w:t>&lt;</w:t>
            </w:r>
            <w:r>
              <w:rPr>
                <w:rFonts w:eastAsia="Calibri"/>
                <w:kern w:val="2"/>
                <w:lang w:eastAsia="en-US"/>
              </w:rPr>
              <w:t>2 tons</w:t>
            </w:r>
          </w:p>
        </w:tc>
        <w:tc>
          <w:tcPr>
            <w:tcW w:w="1216" w:type="dxa"/>
          </w:tcPr>
          <w:p w14:paraId="184E3F94" w14:textId="77777777" w:rsidR="00AD6DBA" w:rsidRDefault="00000000">
            <w:pPr>
              <w:jc w:val="center"/>
            </w:pPr>
            <w:r>
              <w:rPr>
                <w:rFonts w:eastAsia="Calibri"/>
                <w:kern w:val="2"/>
                <w:lang w:eastAsia="en-US"/>
              </w:rPr>
              <w:t>2-5 tons</w:t>
            </w:r>
          </w:p>
        </w:tc>
        <w:tc>
          <w:tcPr>
            <w:tcW w:w="1218" w:type="dxa"/>
          </w:tcPr>
          <w:p w14:paraId="0CE9DF4B" w14:textId="77777777" w:rsidR="00AD6DBA" w:rsidRDefault="00000000">
            <w:pPr>
              <w:jc w:val="center"/>
            </w:pPr>
            <w:r>
              <w:rPr>
                <w:rFonts w:eastAsia="Calibri"/>
                <w:kern w:val="2"/>
                <w:lang w:eastAsia="en-US"/>
              </w:rPr>
              <w:t>5-10 tons</w:t>
            </w:r>
          </w:p>
        </w:tc>
        <w:tc>
          <w:tcPr>
            <w:tcW w:w="1216" w:type="dxa"/>
          </w:tcPr>
          <w:p w14:paraId="03280183" w14:textId="77777777" w:rsidR="00AD6DBA" w:rsidRDefault="00000000">
            <w:pPr>
              <w:jc w:val="center"/>
            </w:pPr>
            <w:r>
              <w:rPr>
                <w:rFonts w:eastAsia="Calibri"/>
                <w:kern w:val="2"/>
                <w:lang w:eastAsia="en-US"/>
              </w:rPr>
              <w:t>10-20 tons</w:t>
            </w:r>
          </w:p>
        </w:tc>
        <w:tc>
          <w:tcPr>
            <w:tcW w:w="1256" w:type="dxa"/>
          </w:tcPr>
          <w:p w14:paraId="30CEBA16" w14:textId="77777777" w:rsidR="00AD6DBA" w:rsidRDefault="00000000">
            <w:pPr>
              <w:jc w:val="center"/>
            </w:pPr>
            <w:r>
              <w:rPr>
                <w:rFonts w:eastAsia="Calibri"/>
                <w:kern w:val="2"/>
                <w:lang w:eastAsia="en-US"/>
              </w:rPr>
              <w:t>20-40 tons</w:t>
            </w:r>
          </w:p>
        </w:tc>
      </w:tr>
      <w:tr w:rsidR="00AD6DBA" w14:paraId="39EB353D" w14:textId="77777777">
        <w:trPr>
          <w:trHeight w:val="282"/>
          <w:jc w:val="center"/>
        </w:trPr>
        <w:tc>
          <w:tcPr>
            <w:tcW w:w="1218" w:type="dxa"/>
          </w:tcPr>
          <w:p w14:paraId="08B24287" w14:textId="77777777" w:rsidR="00AD6DBA" w:rsidRDefault="00000000">
            <w:pPr>
              <w:jc w:val="center"/>
            </w:pPr>
            <w:r>
              <w:rPr>
                <w:rFonts w:eastAsia="Calibri"/>
                <w:kern w:val="2"/>
                <w:lang w:eastAsia="en-US"/>
              </w:rPr>
              <w:t>68</w:t>
            </w:r>
          </w:p>
        </w:tc>
        <w:tc>
          <w:tcPr>
            <w:tcW w:w="1237" w:type="dxa"/>
          </w:tcPr>
          <w:p w14:paraId="39AEFBED" w14:textId="77777777" w:rsidR="00AD6DBA" w:rsidRDefault="00000000">
            <w:pPr>
              <w:jc w:val="center"/>
            </w:pPr>
            <w:r>
              <w:rPr>
                <w:rFonts w:eastAsia="Calibri"/>
                <w:kern w:val="2"/>
                <w:lang w:eastAsia="en-US"/>
              </w:rPr>
              <w:t>185</w:t>
            </w:r>
          </w:p>
        </w:tc>
        <w:tc>
          <w:tcPr>
            <w:tcW w:w="1218" w:type="dxa"/>
          </w:tcPr>
          <w:p w14:paraId="0903867F" w14:textId="77777777" w:rsidR="00AD6DBA" w:rsidRDefault="00000000">
            <w:pPr>
              <w:jc w:val="center"/>
            </w:pPr>
            <w:r>
              <w:rPr>
                <w:rFonts w:eastAsia="Calibri"/>
                <w:kern w:val="2"/>
                <w:lang w:eastAsia="en-US"/>
              </w:rPr>
              <w:t>732</w:t>
            </w:r>
          </w:p>
        </w:tc>
        <w:tc>
          <w:tcPr>
            <w:tcW w:w="1216" w:type="dxa"/>
          </w:tcPr>
          <w:p w14:paraId="674B6FFB" w14:textId="77777777" w:rsidR="00AD6DBA" w:rsidRDefault="00000000">
            <w:pPr>
              <w:jc w:val="center"/>
            </w:pPr>
            <w:r>
              <w:rPr>
                <w:rFonts w:eastAsia="Calibri"/>
                <w:kern w:val="2"/>
                <w:lang w:eastAsia="en-US"/>
              </w:rPr>
              <w:t>326</w:t>
            </w:r>
          </w:p>
        </w:tc>
        <w:tc>
          <w:tcPr>
            <w:tcW w:w="1218" w:type="dxa"/>
          </w:tcPr>
          <w:p w14:paraId="5413D2B7" w14:textId="77777777" w:rsidR="00AD6DBA" w:rsidRDefault="00000000">
            <w:pPr>
              <w:jc w:val="center"/>
            </w:pPr>
            <w:r>
              <w:rPr>
                <w:rFonts w:eastAsia="Calibri"/>
                <w:kern w:val="2"/>
                <w:lang w:eastAsia="en-US"/>
              </w:rPr>
              <w:t>192</w:t>
            </w:r>
          </w:p>
        </w:tc>
        <w:tc>
          <w:tcPr>
            <w:tcW w:w="1216" w:type="dxa"/>
          </w:tcPr>
          <w:p w14:paraId="17878ADA" w14:textId="77777777" w:rsidR="00AD6DBA" w:rsidRDefault="00000000">
            <w:pPr>
              <w:jc w:val="center"/>
            </w:pPr>
            <w:r>
              <w:rPr>
                <w:rFonts w:eastAsia="Calibri"/>
                <w:kern w:val="2"/>
                <w:lang w:eastAsia="en-US"/>
              </w:rPr>
              <w:t>196</w:t>
            </w:r>
          </w:p>
        </w:tc>
        <w:tc>
          <w:tcPr>
            <w:tcW w:w="1256" w:type="dxa"/>
          </w:tcPr>
          <w:p w14:paraId="45E694E7" w14:textId="77777777" w:rsidR="00AD6DBA" w:rsidRDefault="00000000">
            <w:pPr>
              <w:jc w:val="center"/>
            </w:pPr>
            <w:r>
              <w:rPr>
                <w:rFonts w:eastAsia="Calibri"/>
                <w:kern w:val="2"/>
                <w:lang w:eastAsia="en-US"/>
              </w:rPr>
              <w:t>188</w:t>
            </w:r>
          </w:p>
        </w:tc>
      </w:tr>
      <w:tr w:rsidR="00AD6DBA" w14:paraId="786BB4BF" w14:textId="77777777">
        <w:trPr>
          <w:trHeight w:val="268"/>
          <w:jc w:val="center"/>
        </w:trPr>
        <w:tc>
          <w:tcPr>
            <w:tcW w:w="2455" w:type="dxa"/>
            <w:gridSpan w:val="2"/>
          </w:tcPr>
          <w:p w14:paraId="0F663E67" w14:textId="77777777" w:rsidR="00AD6DBA" w:rsidRDefault="00000000">
            <w:pPr>
              <w:ind w:firstLine="284"/>
              <w:jc w:val="center"/>
            </w:pPr>
            <w:r>
              <w:rPr>
                <w:rFonts w:eastAsia="Calibri"/>
                <w:kern w:val="2"/>
                <w:lang w:eastAsia="en-US"/>
              </w:rPr>
              <w:t>253</w:t>
            </w:r>
          </w:p>
        </w:tc>
        <w:tc>
          <w:tcPr>
            <w:tcW w:w="6124" w:type="dxa"/>
            <w:gridSpan w:val="5"/>
          </w:tcPr>
          <w:p w14:paraId="6074B5B4" w14:textId="77777777" w:rsidR="00AD6DBA" w:rsidRDefault="00000000">
            <w:pPr>
              <w:ind w:firstLine="284"/>
              <w:jc w:val="center"/>
            </w:pPr>
            <w:r>
              <w:rPr>
                <w:rFonts w:eastAsia="Calibri"/>
                <w:kern w:val="2"/>
                <w:lang w:eastAsia="en-US"/>
              </w:rPr>
              <w:t>1634</w:t>
            </w:r>
          </w:p>
        </w:tc>
      </w:tr>
    </w:tbl>
    <w:p w14:paraId="5701F4FA" w14:textId="77777777" w:rsidR="00AD6DBA" w:rsidRDefault="00AD6DBA">
      <w:pPr>
        <w:ind w:firstLine="284"/>
      </w:pPr>
    </w:p>
    <w:p w14:paraId="012002C0" w14:textId="4D3067CB" w:rsidR="00AD6DBA" w:rsidRDefault="00000000" w:rsidP="00B4681B">
      <w:pPr>
        <w:pStyle w:val="Paragraph"/>
      </w:pPr>
      <w:r>
        <w:t>As can be seen in Fig</w:t>
      </w:r>
      <w:r w:rsidR="00205FEC">
        <w:t>.</w:t>
      </w:r>
      <w:r>
        <w:t xml:space="preserve"> 6 and Table 1, the number of trucks and buses in the traffic flow that cause rutting is 2,597 units/day (18%); the intensity of heavy trucks is 710 units/day. The existing pavement structure cannot withstand such loads.</w:t>
      </w:r>
    </w:p>
    <w:p w14:paraId="441630C1" w14:textId="77777777" w:rsidR="00AD6DBA" w:rsidRDefault="00000000" w:rsidP="00B4681B">
      <w:pPr>
        <w:pStyle w:val="berschrift1"/>
      </w:pPr>
      <w:r>
        <w:t xml:space="preserve">new pavement STRUCTURE </w:t>
      </w:r>
    </w:p>
    <w:p w14:paraId="5246FC7C" w14:textId="6C32DCDA" w:rsidR="00AD6DBA" w:rsidRDefault="00000000" w:rsidP="00B4681B">
      <w:pPr>
        <w:pStyle w:val="Paragraph"/>
      </w:pPr>
      <w:r>
        <w:t>A new pavement structure is proposed (Table 2) to ensure the passage of actual traffic flow.</w:t>
      </w:r>
    </w:p>
    <w:p w14:paraId="08510142" w14:textId="77777777" w:rsidR="00AD6DBA" w:rsidRDefault="00000000" w:rsidP="00B4681B">
      <w:pPr>
        <w:pStyle w:val="TableCaption"/>
      </w:pPr>
      <w:r>
        <w:rPr>
          <w:b/>
          <w:bCs/>
        </w:rPr>
        <w:t>TABLE 2</w:t>
      </w:r>
      <w:r>
        <w:t>. A new pavement structure</w:t>
      </w:r>
    </w:p>
    <w:tbl>
      <w:tblPr>
        <w:tblStyle w:val="Tabellenraster"/>
        <w:tblW w:w="9209" w:type="dxa"/>
        <w:tblLayout w:type="fixed"/>
        <w:tblLook w:val="04A0" w:firstRow="1" w:lastRow="0" w:firstColumn="1" w:lastColumn="0" w:noHBand="0" w:noVBand="1"/>
      </w:tblPr>
      <w:tblGrid>
        <w:gridCol w:w="1696"/>
        <w:gridCol w:w="5244"/>
        <w:gridCol w:w="2269"/>
      </w:tblGrid>
      <w:tr w:rsidR="00AD6DBA" w14:paraId="48A9F963" w14:textId="77777777">
        <w:tc>
          <w:tcPr>
            <w:tcW w:w="1696" w:type="dxa"/>
          </w:tcPr>
          <w:p w14:paraId="26A9FD25" w14:textId="77777777" w:rsidR="00AD6DBA" w:rsidRDefault="00000000">
            <w:pPr>
              <w:jc w:val="center"/>
              <w:rPr>
                <w:b/>
                <w:bCs/>
              </w:rPr>
            </w:pPr>
            <w:r>
              <w:rPr>
                <w:rFonts w:eastAsia="Calibri"/>
                <w:b/>
                <w:bCs/>
                <w:kern w:val="2"/>
                <w:lang w:eastAsia="en-US"/>
              </w:rPr>
              <w:t>Layer number</w:t>
            </w:r>
          </w:p>
        </w:tc>
        <w:tc>
          <w:tcPr>
            <w:tcW w:w="5244" w:type="dxa"/>
          </w:tcPr>
          <w:p w14:paraId="626148CF" w14:textId="77777777" w:rsidR="00AD6DBA" w:rsidRDefault="00000000">
            <w:pPr>
              <w:jc w:val="center"/>
              <w:rPr>
                <w:b/>
                <w:bCs/>
              </w:rPr>
            </w:pPr>
            <w:r>
              <w:rPr>
                <w:rFonts w:eastAsia="Calibri"/>
                <w:b/>
                <w:bCs/>
                <w:kern w:val="2"/>
                <w:lang w:eastAsia="en-US"/>
              </w:rPr>
              <w:t>Material</w:t>
            </w:r>
          </w:p>
        </w:tc>
        <w:tc>
          <w:tcPr>
            <w:tcW w:w="2269" w:type="dxa"/>
          </w:tcPr>
          <w:p w14:paraId="49331B45" w14:textId="77777777" w:rsidR="00AD6DBA" w:rsidRDefault="00000000">
            <w:pPr>
              <w:jc w:val="center"/>
              <w:rPr>
                <w:b/>
                <w:bCs/>
              </w:rPr>
            </w:pPr>
            <w:r>
              <w:rPr>
                <w:rFonts w:eastAsia="Calibri"/>
                <w:b/>
                <w:bCs/>
                <w:kern w:val="2"/>
                <w:lang w:eastAsia="en-US"/>
              </w:rPr>
              <w:t>Thickness, cm</w:t>
            </w:r>
          </w:p>
        </w:tc>
      </w:tr>
      <w:tr w:rsidR="00AD6DBA" w14:paraId="496B6200" w14:textId="77777777">
        <w:tc>
          <w:tcPr>
            <w:tcW w:w="1696" w:type="dxa"/>
          </w:tcPr>
          <w:p w14:paraId="3BD12434" w14:textId="77777777" w:rsidR="00AD6DBA" w:rsidRDefault="00000000">
            <w:pPr>
              <w:jc w:val="center"/>
            </w:pPr>
            <w:r>
              <w:rPr>
                <w:rFonts w:eastAsia="Calibri"/>
                <w:kern w:val="2"/>
                <w:lang w:val="ru-RU" w:eastAsia="en-US"/>
              </w:rPr>
              <w:t>1</w:t>
            </w:r>
          </w:p>
        </w:tc>
        <w:tc>
          <w:tcPr>
            <w:tcW w:w="5244" w:type="dxa"/>
          </w:tcPr>
          <w:p w14:paraId="6166C58A" w14:textId="77777777" w:rsidR="00AD6DBA" w:rsidRDefault="00000000">
            <w:r>
              <w:rPr>
                <w:rFonts w:eastAsia="Calibri"/>
                <w:kern w:val="2"/>
                <w:lang w:eastAsia="en-US"/>
              </w:rPr>
              <w:t xml:space="preserve">Stone mastic asphalt concrete + polymer </w:t>
            </w:r>
          </w:p>
        </w:tc>
        <w:tc>
          <w:tcPr>
            <w:tcW w:w="2269" w:type="dxa"/>
          </w:tcPr>
          <w:p w14:paraId="3EB5397E" w14:textId="77777777" w:rsidR="00AD6DBA" w:rsidRDefault="00000000">
            <w:pPr>
              <w:jc w:val="center"/>
            </w:pPr>
            <w:r>
              <w:rPr>
                <w:rFonts w:eastAsia="Calibri"/>
                <w:kern w:val="2"/>
                <w:lang w:val="ru-RU" w:eastAsia="en-US"/>
              </w:rPr>
              <w:t>5</w:t>
            </w:r>
          </w:p>
        </w:tc>
      </w:tr>
      <w:tr w:rsidR="00AD6DBA" w14:paraId="58F65CEB" w14:textId="77777777">
        <w:tc>
          <w:tcPr>
            <w:tcW w:w="1696" w:type="dxa"/>
          </w:tcPr>
          <w:p w14:paraId="379B81ED" w14:textId="77777777" w:rsidR="00AD6DBA" w:rsidRDefault="00000000">
            <w:pPr>
              <w:jc w:val="center"/>
            </w:pPr>
            <w:r>
              <w:rPr>
                <w:rFonts w:eastAsia="Calibri"/>
                <w:kern w:val="2"/>
                <w:lang w:val="ru-RU" w:eastAsia="en-US"/>
              </w:rPr>
              <w:t>2</w:t>
            </w:r>
          </w:p>
        </w:tc>
        <w:tc>
          <w:tcPr>
            <w:tcW w:w="5244" w:type="dxa"/>
          </w:tcPr>
          <w:p w14:paraId="63D43876" w14:textId="77777777" w:rsidR="00AD6DBA" w:rsidRDefault="00000000">
            <w:r>
              <w:rPr>
                <w:rFonts w:eastAsia="Calibri"/>
                <w:kern w:val="2"/>
                <w:lang w:eastAsia="en-US"/>
              </w:rPr>
              <w:t>Porous asphalt concrete + polymer</w:t>
            </w:r>
          </w:p>
        </w:tc>
        <w:tc>
          <w:tcPr>
            <w:tcW w:w="2269" w:type="dxa"/>
          </w:tcPr>
          <w:p w14:paraId="5F86FF20" w14:textId="77777777" w:rsidR="00AD6DBA" w:rsidRDefault="00000000">
            <w:pPr>
              <w:jc w:val="center"/>
            </w:pPr>
            <w:r>
              <w:rPr>
                <w:rFonts w:eastAsia="Calibri"/>
                <w:kern w:val="2"/>
                <w:lang w:val="ru-RU" w:eastAsia="en-US"/>
              </w:rPr>
              <w:t>6</w:t>
            </w:r>
          </w:p>
        </w:tc>
      </w:tr>
      <w:tr w:rsidR="00AD6DBA" w14:paraId="5C78C467" w14:textId="77777777">
        <w:tc>
          <w:tcPr>
            <w:tcW w:w="1696" w:type="dxa"/>
          </w:tcPr>
          <w:p w14:paraId="7E578B98" w14:textId="77777777" w:rsidR="00AD6DBA" w:rsidRDefault="00000000">
            <w:pPr>
              <w:jc w:val="center"/>
            </w:pPr>
            <w:r>
              <w:rPr>
                <w:rFonts w:eastAsia="Calibri"/>
                <w:kern w:val="2"/>
                <w:lang w:val="ru-RU" w:eastAsia="en-US"/>
              </w:rPr>
              <w:t>3</w:t>
            </w:r>
          </w:p>
        </w:tc>
        <w:tc>
          <w:tcPr>
            <w:tcW w:w="5244" w:type="dxa"/>
          </w:tcPr>
          <w:p w14:paraId="7F933974" w14:textId="77777777" w:rsidR="00AD6DBA" w:rsidRDefault="00000000">
            <w:r>
              <w:rPr>
                <w:rFonts w:eastAsia="Calibri"/>
                <w:kern w:val="2"/>
                <w:lang w:eastAsia="en-US"/>
              </w:rPr>
              <w:t xml:space="preserve">Upper part of base of treated materials </w:t>
            </w:r>
          </w:p>
        </w:tc>
        <w:tc>
          <w:tcPr>
            <w:tcW w:w="2269" w:type="dxa"/>
          </w:tcPr>
          <w:p w14:paraId="4E10256E" w14:textId="77777777" w:rsidR="00AD6DBA" w:rsidRDefault="00000000">
            <w:pPr>
              <w:jc w:val="center"/>
            </w:pPr>
            <w:r>
              <w:rPr>
                <w:rFonts w:eastAsia="Calibri"/>
                <w:kern w:val="2"/>
                <w:lang w:val="ru-RU" w:eastAsia="en-US"/>
              </w:rPr>
              <w:t>40</w:t>
            </w:r>
          </w:p>
        </w:tc>
      </w:tr>
      <w:tr w:rsidR="00AD6DBA" w14:paraId="5AF02B40" w14:textId="77777777">
        <w:tc>
          <w:tcPr>
            <w:tcW w:w="1696" w:type="dxa"/>
          </w:tcPr>
          <w:p w14:paraId="20137C49" w14:textId="77777777" w:rsidR="00AD6DBA" w:rsidRDefault="00000000">
            <w:pPr>
              <w:jc w:val="center"/>
            </w:pPr>
            <w:r>
              <w:rPr>
                <w:rFonts w:eastAsia="Calibri"/>
                <w:kern w:val="2"/>
                <w:lang w:val="ru-RU" w:eastAsia="en-US"/>
              </w:rPr>
              <w:t>4</w:t>
            </w:r>
          </w:p>
        </w:tc>
        <w:tc>
          <w:tcPr>
            <w:tcW w:w="5244" w:type="dxa"/>
          </w:tcPr>
          <w:p w14:paraId="2693C055" w14:textId="77777777" w:rsidR="00AD6DBA" w:rsidRDefault="00000000">
            <w:r>
              <w:rPr>
                <w:rFonts w:eastAsia="Calibri"/>
                <w:kern w:val="2"/>
                <w:lang w:eastAsia="en-US"/>
              </w:rPr>
              <w:t xml:space="preserve">Lower part of base of a gravel and sand mix </w:t>
            </w:r>
          </w:p>
        </w:tc>
        <w:tc>
          <w:tcPr>
            <w:tcW w:w="2269" w:type="dxa"/>
          </w:tcPr>
          <w:p w14:paraId="0D463F1E" w14:textId="77777777" w:rsidR="00AD6DBA" w:rsidRDefault="00000000">
            <w:pPr>
              <w:jc w:val="center"/>
            </w:pPr>
            <w:r>
              <w:rPr>
                <w:rFonts w:eastAsia="Calibri"/>
                <w:kern w:val="2"/>
                <w:lang w:val="ru-RU" w:eastAsia="en-US"/>
              </w:rPr>
              <w:t>25</w:t>
            </w:r>
          </w:p>
        </w:tc>
      </w:tr>
      <w:tr w:rsidR="00AD6DBA" w14:paraId="626509D1" w14:textId="77777777">
        <w:tc>
          <w:tcPr>
            <w:tcW w:w="1696" w:type="dxa"/>
          </w:tcPr>
          <w:p w14:paraId="4AB82FC9" w14:textId="77777777" w:rsidR="00AD6DBA" w:rsidRDefault="00000000">
            <w:pPr>
              <w:jc w:val="center"/>
            </w:pPr>
            <w:r>
              <w:rPr>
                <w:rFonts w:eastAsia="Calibri"/>
                <w:kern w:val="2"/>
                <w:lang w:val="ru-RU" w:eastAsia="en-US"/>
              </w:rPr>
              <w:t>5</w:t>
            </w:r>
          </w:p>
        </w:tc>
        <w:tc>
          <w:tcPr>
            <w:tcW w:w="5244" w:type="dxa"/>
          </w:tcPr>
          <w:p w14:paraId="170DFD53" w14:textId="77777777" w:rsidR="00AD6DBA" w:rsidRDefault="00000000">
            <w:r>
              <w:rPr>
                <w:rFonts w:eastAsia="Calibri"/>
                <w:kern w:val="2"/>
                <w:lang w:eastAsia="en-US"/>
              </w:rPr>
              <w:t xml:space="preserve">Subgrade soil - loam </w:t>
            </w:r>
          </w:p>
        </w:tc>
        <w:tc>
          <w:tcPr>
            <w:tcW w:w="2269" w:type="dxa"/>
          </w:tcPr>
          <w:p w14:paraId="0EBC21B0" w14:textId="77777777" w:rsidR="00AD6DBA" w:rsidRDefault="00000000">
            <w:pPr>
              <w:jc w:val="center"/>
            </w:pPr>
            <w:r>
              <w:rPr>
                <w:rFonts w:eastAsia="Calibri"/>
                <w:kern w:val="2"/>
                <w:lang w:val="ru-RU" w:eastAsia="en-US"/>
              </w:rPr>
              <w:t>-</w:t>
            </w:r>
            <w:bookmarkStart w:id="8" w:name="_Hlk210158040"/>
            <w:bookmarkEnd w:id="8"/>
          </w:p>
        </w:tc>
      </w:tr>
    </w:tbl>
    <w:p w14:paraId="59368F8F" w14:textId="77777777" w:rsidR="00AD6DBA" w:rsidRDefault="00000000" w:rsidP="00B4681B">
      <w:pPr>
        <w:pStyle w:val="berschrift1"/>
      </w:pPr>
      <w:r>
        <w:t>temperature</w:t>
      </w:r>
    </w:p>
    <w:p w14:paraId="1D2E4BB9" w14:textId="77777777" w:rsidR="00AD6DBA" w:rsidRDefault="00000000" w:rsidP="00B4681B">
      <w:pPr>
        <w:pStyle w:val="Paragraph"/>
      </w:pPr>
      <w:r>
        <w:t>Figure 7 shows the temperature distribution graphs at the points of the pavement and soil base on July 6, 2025. The temperature values were obtained from the temperature and moisture monitoring system installed on the al-Farabi Street in 2024.</w:t>
      </w:r>
    </w:p>
    <w:p w14:paraId="141BCBD4" w14:textId="77777777" w:rsidR="00AD6DBA" w:rsidRDefault="00000000" w:rsidP="00B4681B">
      <w:pPr>
        <w:pStyle w:val="Figure"/>
      </w:pPr>
      <w:r>
        <w:rPr>
          <w:noProof/>
        </w:rPr>
        <w:lastRenderedPageBreak/>
        <w:drawing>
          <wp:inline distT="0" distB="0" distL="0" distR="0" wp14:anchorId="1DAC6974" wp14:editId="7A5648ED">
            <wp:extent cx="5470525" cy="3861435"/>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1"/>
                    <a:stretch>
                      <a:fillRect/>
                    </a:stretch>
                  </pic:blipFill>
                  <pic:spPr bwMode="auto">
                    <a:xfrm>
                      <a:off x="0" y="0"/>
                      <a:ext cx="5470525" cy="3861435"/>
                    </a:xfrm>
                    <a:prstGeom prst="rect">
                      <a:avLst/>
                    </a:prstGeom>
                  </pic:spPr>
                </pic:pic>
              </a:graphicData>
            </a:graphic>
          </wp:inline>
        </w:drawing>
      </w:r>
    </w:p>
    <w:p w14:paraId="096752C5" w14:textId="77777777" w:rsidR="00AD6DBA" w:rsidRDefault="00000000" w:rsidP="00B4681B">
      <w:pPr>
        <w:pStyle w:val="FigureCaption"/>
        <w:rPr>
          <w:b/>
          <w:bCs/>
        </w:rPr>
      </w:pPr>
      <w:r>
        <w:rPr>
          <w:b/>
          <w:bCs/>
        </w:rPr>
        <w:t>FIGURE 7</w:t>
      </w:r>
      <w:r>
        <w:t>. Temperature distribution at the pavement and soil base points on July 6, 2025</w:t>
      </w:r>
    </w:p>
    <w:p w14:paraId="5BDEFF5F" w14:textId="77777777" w:rsidR="00AD6DBA" w:rsidRDefault="00000000" w:rsidP="00B4681B">
      <w:pPr>
        <w:pStyle w:val="berschrift1"/>
      </w:pPr>
      <w:r>
        <w:t>rut accumulation model</w:t>
      </w:r>
    </w:p>
    <w:p w14:paraId="14F7B502" w14:textId="77777777" w:rsidR="00AD6DBA" w:rsidRDefault="00000000" w:rsidP="00B4681B">
      <w:pPr>
        <w:pStyle w:val="Paragraph"/>
      </w:pPr>
      <w:r>
        <w:t>The rut depth values in the asphalt concrete layers of the new pavement structure are determined using the Asphalt Institute (USA) model [5]:</w:t>
      </w:r>
    </w:p>
    <w:p w14:paraId="7DE7CADD" w14:textId="43EE2F84" w:rsidR="00AD6DBA" w:rsidRDefault="000D475C">
      <w:pPr>
        <w:ind w:firstLine="720"/>
        <w:rPr>
          <w:b/>
          <w:bCs/>
        </w:rPr>
      </w:pPr>
      <w:r>
        <w:rPr>
          <w:noProof/>
        </w:rPr>
        <w:pict w14:anchorId="04A5DC79">
          <v:rect id="Надпись 4" o:spid="_x0000_s1026" style="position:absolute;left:0;text-align:left;margin-left:11.9pt;margin-top:5.75pt;width:431.4pt;height:37.2pt;z-index:-503316469;visibility:visible;mso-wrap-style:square;mso-wrap-distance-left:0;mso-wrap-distance-top:0;mso-wrap-distance-right:0;mso-wrap-distance-bottom:.3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" o:allowincell="f" filled="f" stroked="f" strokeweight="0">
            <v:textbox>
              <w:txbxContent>
                <w:p w14:paraId="40A46971" w14:textId="77777777" w:rsidR="00AD6DBA" w:rsidRDefault="00000000">
                  <w:pPr>
                    <w:pStyle w:val="FrameContents"/>
                    <w:jc w:val="center"/>
                    <w:rPr>
                      <w:rFonts w:ascii="Cambria Math" w:eastAsia="Calibri" w:hAnsi="Cambria Math"/>
                      <w:i/>
                      <w:iCs/>
                      <w:color w:val="000000"/>
                    </w:rPr>
                  </w:pPr>
                  <m:oMath>
                    <m:sSub>
                      <m:sSubPr>
                        <m:ctrlPr>
                          <w:rPr>
                            <w:rFonts w:ascii="Cambria Math" w:hAnsi="Cambria Math"/>
                          </w:rPr>
                        </m:ctrlPr>
                      </m:sSubPr>
                      <m:e>
                        <m:r>
                          <w:rPr>
                            <w:rFonts w:ascii="Cambria Math" w:hAnsi="Cambria Math"/>
                          </w:rPr>
                          <m:t>ε</m:t>
                        </m:r>
                      </m:e>
                      <m:sub>
                        <m:r>
                          <w:rPr>
                            <w:rFonts w:ascii="Cambria Math" w:hAnsi="Cambria Math"/>
                          </w:rPr>
                          <m:t>p</m:t>
                        </m:r>
                      </m:sub>
                    </m:sSub>
                    <m:r>
                      <m:rPr>
                        <m:lit/>
                        <m:nor/>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sSup>
                      <m:sSupPr>
                        <m:ctrlPr>
                          <w:rPr>
                            <w:rFonts w:ascii="Cambria Math" w:hAnsi="Cambria Math"/>
                          </w:rPr>
                        </m:ctrlPr>
                      </m:sSupPr>
                      <m:e>
                        <m:r>
                          <w:rPr>
                            <w:rFonts w:ascii="Cambria Math" w:hAnsi="Cambria Math"/>
                          </w:rPr>
                          <m:t>10</m:t>
                        </m:r>
                      </m:e>
                      <m:sup>
                        <m:r>
                          <m:rPr>
                            <m:lit/>
                            <m:nor/>
                          </m:rPr>
                          <w:rPr>
                            <w:rFonts w:ascii="Cambria Math" w:hAnsi="Cambria Math"/>
                          </w:rPr>
                          <m:t>-</m:t>
                        </m:r>
                        <m:r>
                          <w:rPr>
                            <w:rFonts w:ascii="Cambria Math" w:hAnsi="Cambria Math"/>
                          </w:rPr>
                          <m:t>3,4488</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9</m:t>
                                </m:r>
                              </m:num>
                              <m:den>
                                <m:r>
                                  <w:rPr>
                                    <w:rFonts w:ascii="Cambria Math" w:hAnsi="Cambria Math"/>
                                  </w:rPr>
                                  <m:t>5</m:t>
                                </m:r>
                              </m:den>
                            </m:f>
                            <m:r>
                              <w:rPr>
                                <w:rFonts w:ascii="Cambria Math" w:hAnsi="Cambria Math"/>
                              </w:rPr>
                              <m:t>∙T</m:t>
                            </m:r>
                            <m:r>
                              <m:rPr>
                                <m:lit/>
                                <m:nor/>
                              </m:rPr>
                              <w:rPr>
                                <w:rFonts w:ascii="Cambria Math" w:hAnsi="Cambria Math"/>
                              </w:rPr>
                              <m:t>+</m:t>
                            </m:r>
                            <m:r>
                              <w:rPr>
                                <w:rFonts w:ascii="Cambria Math" w:hAnsi="Cambria Math"/>
                              </w:rPr>
                              <m:t>32</m:t>
                            </m:r>
                          </m:e>
                        </m:d>
                      </m:e>
                      <m:sup>
                        <m:r>
                          <w:rPr>
                            <w:rFonts w:ascii="Cambria Math" w:hAnsi="Cambria Math"/>
                          </w:rPr>
                          <m:t>1,5606</m:t>
                        </m:r>
                      </m:sup>
                    </m:sSup>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0,479244</m:t>
                        </m:r>
                      </m:sup>
                    </m:sSup>
                  </m:oMath>
                  <w:r>
                    <w:rPr>
                      <w:i/>
                      <w:iCs/>
                      <w:color w:val="000000"/>
                      <w:kern w:val="2"/>
                    </w:rPr>
                    <w:t>,</w:t>
                  </w:r>
                </w:p>
              </w:txbxContent>
            </v:textbox>
            <w10:wrap anchorx="margin"/>
          </v:rect>
        </w:pict>
      </w:r>
    </w:p>
    <w:p w14:paraId="405E88E1" w14:textId="77777777" w:rsidR="00AD6DBA" w:rsidRDefault="00000000">
      <w:pPr>
        <w:ind w:firstLine="720"/>
        <w:jc w:val="right"/>
      </w:pPr>
      <w:r>
        <w:t>(1)</w:t>
      </w:r>
    </w:p>
    <w:p w14:paraId="05B5FEAD" w14:textId="77777777" w:rsidR="00AD6DBA" w:rsidRDefault="00AD6DBA">
      <w:pPr>
        <w:ind w:firstLine="720"/>
        <w:rPr>
          <w:b/>
          <w:bCs/>
        </w:rPr>
      </w:pPr>
    </w:p>
    <w:p w14:paraId="31F7EBA5" w14:textId="77777777" w:rsidR="00AD6DBA" w:rsidRDefault="00000000">
      <w:pPr>
        <w:ind w:firstLine="720"/>
      </w:pPr>
      <w:r>
        <w:t>where</w:t>
      </w:r>
    </w:p>
    <w:p w14:paraId="0F17E6A5" w14:textId="77777777" w:rsidR="00AD6DBA" w:rsidRDefault="00000000">
      <w:pPr>
        <w:ind w:firstLine="720"/>
      </w:pPr>
      <m:oMath>
        <m:sSub>
          <m:sSubPr>
            <m:ctrlPr>
              <w:rPr>
                <w:rFonts w:ascii="Cambria Math" w:hAnsi="Cambria Math"/>
              </w:rPr>
            </m:ctrlPr>
          </m:sSubPr>
          <m:e>
            <m:r>
              <w:rPr>
                <w:rFonts w:ascii="Cambria Math" w:hAnsi="Cambria Math"/>
              </w:rPr>
              <m:t>ε</m:t>
            </m:r>
          </m:e>
          <m:sub>
            <m:r>
              <w:rPr>
                <w:rFonts w:ascii="Cambria Math" w:hAnsi="Cambria Math"/>
              </w:rPr>
              <m:t>p</m:t>
            </m:r>
          </m:sub>
        </m:sSub>
      </m:oMath>
      <w:r>
        <w:t xml:space="preserve"> - plastic strain;</w:t>
      </w:r>
    </w:p>
    <w:p w14:paraId="22F80948" w14:textId="77777777" w:rsidR="00AD6DBA" w:rsidRDefault="00000000">
      <w:pPr>
        <w:ind w:firstLine="720"/>
      </w:pPr>
      <m:oMath>
        <m:sSub>
          <m:sSubPr>
            <m:ctrlPr>
              <w:rPr>
                <w:rFonts w:ascii="Cambria Math" w:hAnsi="Cambria Math"/>
              </w:rPr>
            </m:ctrlPr>
          </m:sSubPr>
          <m:e>
            <m:r>
              <w:rPr>
                <w:rFonts w:ascii="Cambria Math" w:hAnsi="Cambria Math"/>
              </w:rPr>
              <m:t>ε</m:t>
            </m:r>
          </m:e>
          <m:sub>
            <m:r>
              <w:rPr>
                <w:rFonts w:ascii="Cambria Math" w:hAnsi="Cambria Math"/>
              </w:rPr>
              <m:t>r</m:t>
            </m:r>
          </m:sub>
        </m:sSub>
      </m:oMath>
      <w:r>
        <w:t xml:space="preserve"> - elastic strain;</w:t>
      </w:r>
    </w:p>
    <w:p w14:paraId="2088D19F" w14:textId="77777777" w:rsidR="00AD6DBA" w:rsidRDefault="00000000">
      <w:pPr>
        <w:ind w:firstLine="720"/>
      </w:pPr>
      <w:r>
        <w:t>T – temperature;</w:t>
      </w:r>
    </w:p>
    <w:p w14:paraId="3BDE78A9" w14:textId="77777777" w:rsidR="00AD6DBA" w:rsidRDefault="00000000">
      <w:pPr>
        <w:ind w:firstLine="720"/>
      </w:pPr>
      <w:r>
        <w:t>N – number of equivalent axle;</w:t>
      </w:r>
    </w:p>
    <w:p w14:paraId="60C7B233" w14:textId="77777777" w:rsidR="00AD6DBA" w:rsidRDefault="00000000">
      <w:pPr>
        <w:ind w:firstLine="720"/>
      </w:pPr>
      <w:r>
        <w:t>k</w:t>
      </w:r>
      <w:r>
        <w:rPr>
          <w:vertAlign w:val="subscript"/>
        </w:rPr>
        <w:t>1</w:t>
      </w:r>
      <w:r>
        <w:t xml:space="preserve"> – a coefficient that depends on the layer thickness and point depth.</w:t>
      </w:r>
    </w:p>
    <w:p w14:paraId="680C4151" w14:textId="77777777" w:rsidR="00AD6DBA" w:rsidRDefault="00000000" w:rsidP="00B4681B">
      <w:pPr>
        <w:pStyle w:val="berschrift1"/>
      </w:pPr>
      <w:r>
        <w:t>model of multilayer deformable medium</w:t>
      </w:r>
    </w:p>
    <w:p w14:paraId="3932A4C1" w14:textId="1758CE54" w:rsidR="00AD6DBA" w:rsidRDefault="00000000" w:rsidP="00B4681B">
      <w:pPr>
        <w:pStyle w:val="Paragraph"/>
      </w:pPr>
      <w:r>
        <w:t>To calculate the values of elastic strains in the two upper asphalt concrete layers with polymers in the new pavement structure under the action of the design load A1, trolleybuses, buses and trucks, a model of a multilayer deformable medium is used [6]. The design scheme of the multilayer pavement is presented in Fig</w:t>
      </w:r>
      <w:r w:rsidR="00205FEC">
        <w:t>.</w:t>
      </w:r>
      <w:r>
        <w:t xml:space="preserve"> 8.</w:t>
      </w:r>
    </w:p>
    <w:p w14:paraId="66E76244" w14:textId="77777777" w:rsidR="00AD6DBA" w:rsidRDefault="00000000" w:rsidP="00B4681B">
      <w:pPr>
        <w:pStyle w:val="Figure"/>
      </w:pPr>
      <w:r>
        <w:rPr>
          <w:noProof/>
        </w:rPr>
        <w:lastRenderedPageBreak/>
        <w:drawing>
          <wp:inline distT="0" distB="0" distL="0" distR="0" wp14:anchorId="45D48749" wp14:editId="7D67D2B0">
            <wp:extent cx="3310149" cy="223200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pic:cNvPicPr>
                      <a:picLocks noChangeAspect="1" noChangeArrowheads="1"/>
                    </pic:cNvPicPr>
                  </pic:nvPicPr>
                  <pic:blipFill>
                    <a:blip r:embed="rId12"/>
                    <a:stretch>
                      <a:fillRect/>
                    </a:stretch>
                  </pic:blipFill>
                  <pic:spPr bwMode="auto">
                    <a:xfrm>
                      <a:off x="0" y="0"/>
                      <a:ext cx="3310149" cy="2232000"/>
                    </a:xfrm>
                    <a:prstGeom prst="rect">
                      <a:avLst/>
                    </a:prstGeom>
                  </pic:spPr>
                </pic:pic>
              </a:graphicData>
            </a:graphic>
          </wp:inline>
        </w:drawing>
      </w:r>
    </w:p>
    <w:p w14:paraId="55B1C8F5" w14:textId="77777777" w:rsidR="00AD6DBA" w:rsidRDefault="00000000" w:rsidP="00B4681B">
      <w:pPr>
        <w:pStyle w:val="FigureCaption"/>
      </w:pPr>
      <w:r>
        <w:rPr>
          <w:b/>
          <w:bCs/>
        </w:rPr>
        <w:t>FIGURE 8</w:t>
      </w:r>
      <w:r>
        <w:t>. Design scheme of the pavement structure</w:t>
      </w:r>
    </w:p>
    <w:p w14:paraId="20773B51" w14:textId="77777777" w:rsidR="00AD6DBA" w:rsidRDefault="00AD6DBA">
      <w:pPr>
        <w:ind w:firstLine="284"/>
        <w:jc w:val="center"/>
      </w:pPr>
    </w:p>
    <w:p w14:paraId="192B63E0" w14:textId="4DE2002C" w:rsidR="00AD6DBA" w:rsidRDefault="00000000" w:rsidP="00B4681B">
      <w:pPr>
        <w:pStyle w:val="Paragraph"/>
      </w:pPr>
      <w:r>
        <w:t xml:space="preserve">According to this model, the materials of all layers of the pavement and soil are considered to be elastic and linearly deformable. Therefore, the mechanical behavior of the materials and soil is described by the following two characteristics: E is the modulus of elasticity, MPa; </w:t>
      </w:r>
      <w:r>
        <w:rPr>
          <w:rFonts w:ascii="Symbol" w:eastAsia="Symbol" w:hAnsi="Symbol" w:cs="Symbol"/>
        </w:rPr>
        <w:sym w:font="Symbol" w:char="F06E"/>
      </w:r>
      <w:r>
        <w:t xml:space="preserve"> is the Poisson's ratio. The values of the mechanical characteristics of the materials of the pavement layers and soil are assigned according to the regulatory documents [5, 7]. The temperature values are assigned according to Fig</w:t>
      </w:r>
      <w:r w:rsidR="00205FEC">
        <w:t>.</w:t>
      </w:r>
      <w:r>
        <w:t xml:space="preserve"> 7.</w:t>
      </w:r>
    </w:p>
    <w:p w14:paraId="30A34CDC" w14:textId="77777777" w:rsidR="00AD6DBA" w:rsidRDefault="00000000" w:rsidP="00B4681B">
      <w:pPr>
        <w:pStyle w:val="Paragraph"/>
      </w:pPr>
      <w:r>
        <w:t>The layers of the pavement have a finite thickness: h</w:t>
      </w:r>
      <w:r>
        <w:rPr>
          <w:vertAlign w:val="subscript"/>
        </w:rPr>
        <w:t>1</w:t>
      </w:r>
      <w:r>
        <w:t>, h</w:t>
      </w:r>
      <w:r>
        <w:rPr>
          <w:vertAlign w:val="subscript"/>
        </w:rPr>
        <w:t>2</w:t>
      </w:r>
      <w:r>
        <w:t>, h</w:t>
      </w:r>
      <w:r>
        <w:rPr>
          <w:vertAlign w:val="subscript"/>
        </w:rPr>
        <w:t>3</w:t>
      </w:r>
      <w:r>
        <w:t>, and h</w:t>
      </w:r>
      <w:r>
        <w:rPr>
          <w:vertAlign w:val="subscript"/>
        </w:rPr>
        <w:t>4</w:t>
      </w:r>
      <w:r>
        <w:t>. The soil base is modeled as an elastic half-space, i.e., it has an infinite thickness: h</w:t>
      </w:r>
      <w:r>
        <w:rPr>
          <w:vertAlign w:val="subscript"/>
        </w:rPr>
        <w:t>5</w:t>
      </w:r>
      <w:r>
        <w:t xml:space="preserve"> → ∞.</w:t>
      </w:r>
    </w:p>
    <w:p w14:paraId="03C86E84" w14:textId="77777777" w:rsidR="00AD6DBA" w:rsidRDefault="00000000" w:rsidP="00B4681B">
      <w:pPr>
        <w:pStyle w:val="Paragraph"/>
      </w:pPr>
      <w:r>
        <w:t>The surface of the first layer is subjected to a load (stress) q (MPa), which is evenly distributed within a circle of diameter D (cm).</w:t>
      </w:r>
    </w:p>
    <w:p w14:paraId="3B446238" w14:textId="77777777" w:rsidR="00AD6DBA" w:rsidRDefault="00000000" w:rsidP="00B4681B">
      <w:pPr>
        <w:pStyle w:val="berschrift1"/>
      </w:pPr>
      <w:r>
        <w:t>calculation of rut accumulation</w:t>
      </w:r>
    </w:p>
    <w:p w14:paraId="4978D4E3" w14:textId="77777777" w:rsidR="00AD6DBA" w:rsidRDefault="00000000" w:rsidP="00205FEC">
      <w:pPr>
        <w:pStyle w:val="Paragraph"/>
      </w:pPr>
      <w:r>
        <w:t>The following transport facilities were selected for calculating stresses and strains in the new pavement structure: design load A1, Youngman JNP6120GDZ trolleybus, Golden Dragon XML6185J13C bus, YUTONG ZK6118HGA bus, SAM AUTO LE 60 bus, Shahman truck, KAMAZ 65115 truck, and GAZEL truck.</w:t>
      </w:r>
    </w:p>
    <w:p w14:paraId="3B8BDA70" w14:textId="77777777" w:rsidR="00AD6DBA" w:rsidRDefault="00000000" w:rsidP="00205FEC">
      <w:pPr>
        <w:pStyle w:val="Paragraph"/>
      </w:pPr>
      <w:r>
        <w:t>Figure 9 shows the accumulation of ruts on the surface of the asphalt concrete pavement (the total depth of the ruts in the two upper asphalt concrete layers with polymers) of the new pavement structure.</w:t>
      </w:r>
    </w:p>
    <w:p w14:paraId="7F47C995" w14:textId="77777777" w:rsidR="00AD6DBA" w:rsidRDefault="00AD6DBA">
      <w:pPr>
        <w:ind w:firstLine="284"/>
      </w:pPr>
    </w:p>
    <w:p w14:paraId="000D639A" w14:textId="77777777" w:rsidR="00AD6DBA" w:rsidRDefault="00000000" w:rsidP="00B4681B">
      <w:pPr>
        <w:pStyle w:val="Figure"/>
      </w:pPr>
      <w:r>
        <w:rPr>
          <w:noProof/>
        </w:rPr>
        <w:drawing>
          <wp:inline distT="0" distB="0" distL="0" distR="0" wp14:anchorId="6F387C9C" wp14:editId="3D5A1E08">
            <wp:extent cx="5112000" cy="3180517"/>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pic:cNvPicPr>
                      <a:picLocks noChangeAspect="1" noChangeArrowheads="1"/>
                    </pic:cNvPicPr>
                  </pic:nvPicPr>
                  <pic:blipFill>
                    <a:blip r:embed="rId13"/>
                    <a:stretch>
                      <a:fillRect/>
                    </a:stretch>
                  </pic:blipFill>
                  <pic:spPr bwMode="auto">
                    <a:xfrm>
                      <a:off x="0" y="0"/>
                      <a:ext cx="5112000" cy="3180517"/>
                    </a:xfrm>
                    <a:prstGeom prst="rect">
                      <a:avLst/>
                    </a:prstGeom>
                  </pic:spPr>
                </pic:pic>
              </a:graphicData>
            </a:graphic>
          </wp:inline>
        </w:drawing>
      </w:r>
    </w:p>
    <w:p w14:paraId="0E5D1CA3" w14:textId="45688CFF" w:rsidR="00AD6DBA" w:rsidRDefault="00000000" w:rsidP="00205FEC">
      <w:pPr>
        <w:pStyle w:val="FigureCaption"/>
      </w:pPr>
      <w:r>
        <w:rPr>
          <w:b/>
          <w:bCs/>
        </w:rPr>
        <w:t>FIGURE 9.</w:t>
      </w:r>
      <w:r>
        <w:t xml:space="preserve"> Graphs of the total rut on the surface of the asphalt concrete pavement </w:t>
      </w:r>
    </w:p>
    <w:p w14:paraId="6569DA1B" w14:textId="6AE79DC5" w:rsidR="00AD6DBA" w:rsidRDefault="00000000" w:rsidP="00B4681B">
      <w:pPr>
        <w:pStyle w:val="Paragraph"/>
        <w:rPr>
          <w:bCs/>
        </w:rPr>
      </w:pPr>
      <w:r>
        <w:lastRenderedPageBreak/>
        <w:t>Figure 9 shows the permissible number of passes and the relative rutting effects (RRE) of the transport facilities considered, which are listed in Table 3.</w:t>
      </w:r>
    </w:p>
    <w:p w14:paraId="28E12AFB" w14:textId="77777777" w:rsidR="00AD6DBA" w:rsidRDefault="00000000" w:rsidP="00B4681B">
      <w:pPr>
        <w:pStyle w:val="TableCaption"/>
      </w:pPr>
      <w:r>
        <w:rPr>
          <w:b/>
        </w:rPr>
        <w:t>TABLE 3</w:t>
      </w:r>
      <w:r>
        <w:t>. Permissible number of passes and relative rutting effects of transport facilities</w:t>
      </w:r>
    </w:p>
    <w:tbl>
      <w:tblPr>
        <w:tblW w:w="9023" w:type="dxa"/>
        <w:jc w:val="center"/>
        <w:tblLayout w:type="fixed"/>
        <w:tblCellMar>
          <w:top w:w="15" w:type="dxa"/>
        </w:tblCellMar>
        <w:tblLook w:val="04A0" w:firstRow="1" w:lastRow="0" w:firstColumn="1" w:lastColumn="0" w:noHBand="0" w:noVBand="1"/>
      </w:tblPr>
      <w:tblGrid>
        <w:gridCol w:w="3256"/>
        <w:gridCol w:w="3238"/>
        <w:gridCol w:w="2529"/>
      </w:tblGrid>
      <w:tr w:rsidR="00AD6DBA" w14:paraId="1675746D" w14:textId="77777777">
        <w:trPr>
          <w:trHeight w:val="454"/>
          <w:jc w:val="center"/>
        </w:trPr>
        <w:tc>
          <w:tcPr>
            <w:tcW w:w="3256" w:type="dxa"/>
            <w:tcBorders>
              <w:top w:val="single" w:sz="4" w:space="0" w:color="000000"/>
              <w:left w:val="single" w:sz="4" w:space="0" w:color="000000"/>
              <w:bottom w:val="single" w:sz="4" w:space="0" w:color="000000"/>
              <w:right w:val="single" w:sz="4" w:space="0" w:color="000000"/>
            </w:tcBorders>
          </w:tcPr>
          <w:p w14:paraId="613AAB9C" w14:textId="77777777" w:rsidR="00AD6DBA" w:rsidRDefault="00000000">
            <w:pPr>
              <w:ind w:firstLine="29"/>
              <w:jc w:val="center"/>
              <w:rPr>
                <w:b/>
              </w:rPr>
            </w:pPr>
            <w:r>
              <w:rPr>
                <w:b/>
              </w:rPr>
              <w:t>Transport facilities</w:t>
            </w:r>
          </w:p>
        </w:tc>
        <w:tc>
          <w:tcPr>
            <w:tcW w:w="3238" w:type="dxa"/>
            <w:tcBorders>
              <w:top w:val="single" w:sz="4" w:space="0" w:color="000000"/>
              <w:left w:val="single" w:sz="4" w:space="0" w:color="000000"/>
              <w:bottom w:val="single" w:sz="4" w:space="0" w:color="000000"/>
              <w:right w:val="single" w:sz="4" w:space="0" w:color="000000"/>
            </w:tcBorders>
          </w:tcPr>
          <w:p w14:paraId="22D66401" w14:textId="77777777" w:rsidR="00AD6DBA" w:rsidRDefault="00000000">
            <w:pPr>
              <w:ind w:firstLine="29"/>
              <w:jc w:val="center"/>
              <w:rPr>
                <w:b/>
              </w:rPr>
            </w:pPr>
            <w:r>
              <w:rPr>
                <w:b/>
              </w:rPr>
              <w:t>Permissible number of passes (rut depth of 3.5 cm)</w:t>
            </w:r>
          </w:p>
        </w:tc>
        <w:tc>
          <w:tcPr>
            <w:tcW w:w="2529" w:type="dxa"/>
            <w:tcBorders>
              <w:top w:val="single" w:sz="4" w:space="0" w:color="000000"/>
              <w:left w:val="single" w:sz="4" w:space="0" w:color="000000"/>
              <w:bottom w:val="single" w:sz="4" w:space="0" w:color="000000"/>
              <w:right w:val="single" w:sz="4" w:space="0" w:color="000000"/>
            </w:tcBorders>
          </w:tcPr>
          <w:p w14:paraId="15C73629" w14:textId="77777777" w:rsidR="00AD6DBA" w:rsidRDefault="00000000">
            <w:pPr>
              <w:ind w:firstLine="29"/>
              <w:jc w:val="center"/>
              <w:rPr>
                <w:b/>
              </w:rPr>
            </w:pPr>
            <w:r>
              <w:rPr>
                <w:b/>
              </w:rPr>
              <w:t>Relative rutting effect (RRE)</w:t>
            </w:r>
          </w:p>
        </w:tc>
      </w:tr>
      <w:tr w:rsidR="00AD6DBA" w14:paraId="6FE44BA9" w14:textId="77777777">
        <w:trPr>
          <w:trHeight w:val="211"/>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33002F8C" w14:textId="77777777" w:rsidR="00AD6DBA" w:rsidRDefault="00000000">
            <w:pPr>
              <w:ind w:firstLine="29"/>
            </w:pPr>
            <w:r>
              <w:t>Design load A1</w:t>
            </w:r>
          </w:p>
        </w:tc>
        <w:tc>
          <w:tcPr>
            <w:tcW w:w="3238" w:type="dxa"/>
            <w:tcBorders>
              <w:top w:val="single" w:sz="4" w:space="0" w:color="000000"/>
              <w:left w:val="single" w:sz="4" w:space="0" w:color="000000"/>
              <w:bottom w:val="single" w:sz="4" w:space="0" w:color="000000"/>
              <w:right w:val="single" w:sz="4" w:space="0" w:color="000000"/>
            </w:tcBorders>
            <w:vAlign w:val="bottom"/>
          </w:tcPr>
          <w:p w14:paraId="292CDF4F" w14:textId="77777777" w:rsidR="00AD6DBA" w:rsidRDefault="00000000">
            <w:pPr>
              <w:ind w:firstLine="29"/>
              <w:jc w:val="center"/>
              <w:rPr>
                <w:bCs/>
              </w:rPr>
            </w:pPr>
            <w:r>
              <w:rPr>
                <w:bCs/>
              </w:rPr>
              <w:t>710 000</w:t>
            </w:r>
          </w:p>
        </w:tc>
        <w:tc>
          <w:tcPr>
            <w:tcW w:w="2529" w:type="dxa"/>
            <w:tcBorders>
              <w:top w:val="single" w:sz="4" w:space="0" w:color="000000"/>
              <w:left w:val="single" w:sz="4" w:space="0" w:color="000000"/>
              <w:bottom w:val="single" w:sz="4" w:space="0" w:color="000000"/>
              <w:right w:val="single" w:sz="4" w:space="0" w:color="000000"/>
            </w:tcBorders>
          </w:tcPr>
          <w:p w14:paraId="397F9E2F" w14:textId="77777777" w:rsidR="00AD6DBA" w:rsidRDefault="00000000">
            <w:pPr>
              <w:ind w:firstLine="29"/>
              <w:jc w:val="center"/>
              <w:rPr>
                <w:bCs/>
              </w:rPr>
            </w:pPr>
            <w:r>
              <w:rPr>
                <w:bCs/>
              </w:rPr>
              <w:t>1.00</w:t>
            </w:r>
          </w:p>
        </w:tc>
      </w:tr>
      <w:tr w:rsidR="00AD6DBA" w14:paraId="5862076D" w14:textId="77777777">
        <w:trPr>
          <w:trHeight w:val="211"/>
          <w:jc w:val="center"/>
        </w:trPr>
        <w:tc>
          <w:tcPr>
            <w:tcW w:w="3256" w:type="dxa"/>
            <w:tcBorders>
              <w:top w:val="single" w:sz="4" w:space="0" w:color="000000"/>
              <w:left w:val="single" w:sz="4" w:space="0" w:color="000000"/>
              <w:bottom w:val="single" w:sz="4" w:space="0" w:color="000000"/>
              <w:right w:val="single" w:sz="4" w:space="0" w:color="000000"/>
            </w:tcBorders>
          </w:tcPr>
          <w:p w14:paraId="24378363" w14:textId="77777777" w:rsidR="00AD6DBA" w:rsidRDefault="00000000">
            <w:pPr>
              <w:ind w:firstLine="29"/>
            </w:pPr>
            <w:r>
              <w:t>Youngman JNP6120GDZ</w:t>
            </w:r>
          </w:p>
        </w:tc>
        <w:tc>
          <w:tcPr>
            <w:tcW w:w="3238" w:type="dxa"/>
            <w:tcBorders>
              <w:top w:val="single" w:sz="4" w:space="0" w:color="000000"/>
              <w:left w:val="single" w:sz="4" w:space="0" w:color="000000"/>
              <w:bottom w:val="single" w:sz="4" w:space="0" w:color="000000"/>
              <w:right w:val="single" w:sz="4" w:space="0" w:color="000000"/>
            </w:tcBorders>
            <w:vAlign w:val="bottom"/>
          </w:tcPr>
          <w:p w14:paraId="00B84383" w14:textId="77777777" w:rsidR="00AD6DBA" w:rsidRDefault="00000000">
            <w:pPr>
              <w:ind w:firstLine="29"/>
              <w:jc w:val="center"/>
              <w:rPr>
                <w:bCs/>
              </w:rPr>
            </w:pPr>
            <w:r>
              <w:rPr>
                <w:bCs/>
              </w:rPr>
              <w:t>138 000</w:t>
            </w:r>
          </w:p>
        </w:tc>
        <w:tc>
          <w:tcPr>
            <w:tcW w:w="2529" w:type="dxa"/>
            <w:tcBorders>
              <w:top w:val="single" w:sz="4" w:space="0" w:color="000000"/>
              <w:left w:val="single" w:sz="4" w:space="0" w:color="000000"/>
              <w:bottom w:val="single" w:sz="4" w:space="0" w:color="000000"/>
              <w:right w:val="single" w:sz="4" w:space="0" w:color="000000"/>
            </w:tcBorders>
          </w:tcPr>
          <w:p w14:paraId="3802A433" w14:textId="77777777" w:rsidR="00AD6DBA" w:rsidRDefault="00000000">
            <w:pPr>
              <w:ind w:firstLine="29"/>
              <w:jc w:val="center"/>
              <w:rPr>
                <w:bCs/>
              </w:rPr>
            </w:pPr>
            <w:r>
              <w:rPr>
                <w:bCs/>
              </w:rPr>
              <w:t>5.14</w:t>
            </w:r>
          </w:p>
        </w:tc>
      </w:tr>
      <w:tr w:rsidR="00AD6DBA" w14:paraId="396A3A97" w14:textId="77777777">
        <w:trPr>
          <w:trHeight w:val="211"/>
          <w:jc w:val="center"/>
        </w:trPr>
        <w:tc>
          <w:tcPr>
            <w:tcW w:w="3256" w:type="dxa"/>
            <w:tcBorders>
              <w:top w:val="single" w:sz="4" w:space="0" w:color="000000"/>
              <w:left w:val="single" w:sz="4" w:space="0" w:color="000000"/>
              <w:bottom w:val="single" w:sz="4" w:space="0" w:color="000000"/>
              <w:right w:val="single" w:sz="4" w:space="0" w:color="000000"/>
            </w:tcBorders>
          </w:tcPr>
          <w:p w14:paraId="43C3D02A" w14:textId="77777777" w:rsidR="00AD6DBA" w:rsidRDefault="00000000">
            <w:pPr>
              <w:ind w:firstLine="29"/>
            </w:pPr>
            <w:r>
              <w:t>Golden Dragon XML6185J13C</w:t>
            </w:r>
          </w:p>
        </w:tc>
        <w:tc>
          <w:tcPr>
            <w:tcW w:w="3238" w:type="dxa"/>
            <w:tcBorders>
              <w:top w:val="single" w:sz="4" w:space="0" w:color="000000"/>
              <w:left w:val="single" w:sz="4" w:space="0" w:color="000000"/>
              <w:bottom w:val="single" w:sz="4" w:space="0" w:color="000000"/>
              <w:right w:val="single" w:sz="4" w:space="0" w:color="000000"/>
            </w:tcBorders>
            <w:vAlign w:val="bottom"/>
          </w:tcPr>
          <w:p w14:paraId="4A15C6DB" w14:textId="77777777" w:rsidR="00AD6DBA" w:rsidRDefault="00000000">
            <w:pPr>
              <w:ind w:firstLine="29"/>
              <w:jc w:val="center"/>
              <w:rPr>
                <w:bCs/>
              </w:rPr>
            </w:pPr>
            <w:r>
              <w:rPr>
                <w:bCs/>
              </w:rPr>
              <w:t>49 000</w:t>
            </w:r>
          </w:p>
        </w:tc>
        <w:tc>
          <w:tcPr>
            <w:tcW w:w="2529" w:type="dxa"/>
            <w:tcBorders>
              <w:top w:val="single" w:sz="4" w:space="0" w:color="000000"/>
              <w:left w:val="single" w:sz="4" w:space="0" w:color="000000"/>
              <w:bottom w:val="single" w:sz="4" w:space="0" w:color="000000"/>
              <w:right w:val="single" w:sz="4" w:space="0" w:color="000000"/>
            </w:tcBorders>
          </w:tcPr>
          <w:p w14:paraId="407A931B" w14:textId="77777777" w:rsidR="00AD6DBA" w:rsidRDefault="00000000">
            <w:pPr>
              <w:ind w:firstLine="29"/>
              <w:jc w:val="center"/>
              <w:rPr>
                <w:bCs/>
              </w:rPr>
            </w:pPr>
            <w:r>
              <w:rPr>
                <w:bCs/>
              </w:rPr>
              <w:t>14.49</w:t>
            </w:r>
          </w:p>
        </w:tc>
      </w:tr>
      <w:tr w:rsidR="00AD6DBA" w14:paraId="7F48EC4B" w14:textId="77777777">
        <w:trPr>
          <w:trHeight w:val="211"/>
          <w:jc w:val="center"/>
        </w:trPr>
        <w:tc>
          <w:tcPr>
            <w:tcW w:w="3256" w:type="dxa"/>
            <w:tcBorders>
              <w:top w:val="single" w:sz="4" w:space="0" w:color="000000"/>
              <w:left w:val="single" w:sz="4" w:space="0" w:color="000000"/>
              <w:bottom w:val="single" w:sz="4" w:space="0" w:color="000000"/>
              <w:right w:val="single" w:sz="4" w:space="0" w:color="000000"/>
            </w:tcBorders>
          </w:tcPr>
          <w:p w14:paraId="3B568D25" w14:textId="77777777" w:rsidR="00AD6DBA" w:rsidRDefault="00000000">
            <w:pPr>
              <w:ind w:firstLine="29"/>
            </w:pPr>
            <w:r>
              <w:t>YUTONG ZK6118HGA</w:t>
            </w:r>
          </w:p>
        </w:tc>
        <w:tc>
          <w:tcPr>
            <w:tcW w:w="3238" w:type="dxa"/>
            <w:tcBorders>
              <w:top w:val="single" w:sz="4" w:space="0" w:color="000000"/>
              <w:left w:val="single" w:sz="4" w:space="0" w:color="000000"/>
              <w:bottom w:val="single" w:sz="4" w:space="0" w:color="000000"/>
              <w:right w:val="single" w:sz="4" w:space="0" w:color="000000"/>
            </w:tcBorders>
            <w:vAlign w:val="bottom"/>
          </w:tcPr>
          <w:p w14:paraId="02719990" w14:textId="77777777" w:rsidR="00AD6DBA" w:rsidRDefault="00000000">
            <w:pPr>
              <w:ind w:firstLine="29"/>
              <w:jc w:val="center"/>
              <w:rPr>
                <w:bCs/>
              </w:rPr>
            </w:pPr>
            <w:r>
              <w:rPr>
                <w:bCs/>
              </w:rPr>
              <w:t>145 000</w:t>
            </w:r>
          </w:p>
        </w:tc>
        <w:tc>
          <w:tcPr>
            <w:tcW w:w="2529" w:type="dxa"/>
            <w:tcBorders>
              <w:top w:val="single" w:sz="4" w:space="0" w:color="000000"/>
              <w:left w:val="single" w:sz="4" w:space="0" w:color="000000"/>
              <w:bottom w:val="single" w:sz="4" w:space="0" w:color="000000"/>
              <w:right w:val="single" w:sz="4" w:space="0" w:color="000000"/>
            </w:tcBorders>
          </w:tcPr>
          <w:p w14:paraId="5B1CE9F9" w14:textId="77777777" w:rsidR="00AD6DBA" w:rsidRDefault="00000000">
            <w:pPr>
              <w:ind w:firstLine="29"/>
              <w:jc w:val="center"/>
              <w:rPr>
                <w:bCs/>
              </w:rPr>
            </w:pPr>
            <w:r>
              <w:rPr>
                <w:bCs/>
              </w:rPr>
              <w:t>4.90</w:t>
            </w:r>
          </w:p>
        </w:tc>
      </w:tr>
      <w:tr w:rsidR="00AD6DBA" w14:paraId="7F56E1CB" w14:textId="77777777">
        <w:trPr>
          <w:trHeight w:val="211"/>
          <w:jc w:val="center"/>
        </w:trPr>
        <w:tc>
          <w:tcPr>
            <w:tcW w:w="3256" w:type="dxa"/>
            <w:tcBorders>
              <w:top w:val="single" w:sz="4" w:space="0" w:color="000000"/>
              <w:left w:val="single" w:sz="4" w:space="0" w:color="000000"/>
              <w:bottom w:val="single" w:sz="4" w:space="0" w:color="000000"/>
              <w:right w:val="single" w:sz="4" w:space="0" w:color="000000"/>
            </w:tcBorders>
          </w:tcPr>
          <w:p w14:paraId="2B9DED3D" w14:textId="77777777" w:rsidR="00AD6DBA" w:rsidRDefault="00000000">
            <w:pPr>
              <w:ind w:firstLine="29"/>
            </w:pPr>
            <w:r>
              <w:t>SAM AUTO LE 60</w:t>
            </w:r>
          </w:p>
        </w:tc>
        <w:tc>
          <w:tcPr>
            <w:tcW w:w="3238" w:type="dxa"/>
            <w:tcBorders>
              <w:top w:val="single" w:sz="4" w:space="0" w:color="000000"/>
              <w:left w:val="single" w:sz="4" w:space="0" w:color="000000"/>
              <w:bottom w:val="single" w:sz="4" w:space="0" w:color="000000"/>
              <w:right w:val="single" w:sz="4" w:space="0" w:color="000000"/>
            </w:tcBorders>
            <w:vAlign w:val="bottom"/>
          </w:tcPr>
          <w:p w14:paraId="64A2F787" w14:textId="77777777" w:rsidR="00AD6DBA" w:rsidRDefault="00000000">
            <w:pPr>
              <w:ind w:firstLine="29"/>
              <w:jc w:val="center"/>
              <w:rPr>
                <w:bCs/>
              </w:rPr>
            </w:pPr>
            <w:r>
              <w:rPr>
                <w:bCs/>
              </w:rPr>
              <w:t>287 000</w:t>
            </w:r>
          </w:p>
        </w:tc>
        <w:tc>
          <w:tcPr>
            <w:tcW w:w="2529" w:type="dxa"/>
            <w:tcBorders>
              <w:top w:val="single" w:sz="4" w:space="0" w:color="000000"/>
              <w:left w:val="single" w:sz="4" w:space="0" w:color="000000"/>
              <w:bottom w:val="single" w:sz="4" w:space="0" w:color="000000"/>
              <w:right w:val="single" w:sz="4" w:space="0" w:color="000000"/>
            </w:tcBorders>
          </w:tcPr>
          <w:p w14:paraId="5AFEE2FD" w14:textId="77777777" w:rsidR="00AD6DBA" w:rsidRDefault="00000000">
            <w:pPr>
              <w:ind w:firstLine="29"/>
              <w:jc w:val="center"/>
              <w:rPr>
                <w:bCs/>
              </w:rPr>
            </w:pPr>
            <w:r>
              <w:rPr>
                <w:bCs/>
              </w:rPr>
              <w:t>2.47</w:t>
            </w:r>
          </w:p>
        </w:tc>
      </w:tr>
      <w:tr w:rsidR="00AD6DBA" w14:paraId="07650661" w14:textId="77777777">
        <w:trPr>
          <w:trHeight w:val="211"/>
          <w:jc w:val="center"/>
        </w:trPr>
        <w:tc>
          <w:tcPr>
            <w:tcW w:w="3256" w:type="dxa"/>
            <w:tcBorders>
              <w:top w:val="single" w:sz="4" w:space="0" w:color="000000"/>
              <w:left w:val="single" w:sz="4" w:space="0" w:color="000000"/>
              <w:bottom w:val="single" w:sz="4" w:space="0" w:color="000000"/>
              <w:right w:val="single" w:sz="4" w:space="0" w:color="000000"/>
            </w:tcBorders>
          </w:tcPr>
          <w:p w14:paraId="43211970" w14:textId="77777777" w:rsidR="00AD6DBA" w:rsidRDefault="00000000">
            <w:pPr>
              <w:ind w:firstLine="29"/>
            </w:pPr>
            <w:r>
              <w:t>Shahman</w:t>
            </w:r>
          </w:p>
        </w:tc>
        <w:tc>
          <w:tcPr>
            <w:tcW w:w="3238" w:type="dxa"/>
            <w:tcBorders>
              <w:top w:val="single" w:sz="4" w:space="0" w:color="000000"/>
              <w:left w:val="single" w:sz="4" w:space="0" w:color="000000"/>
              <w:bottom w:val="single" w:sz="4" w:space="0" w:color="000000"/>
              <w:right w:val="single" w:sz="4" w:space="0" w:color="000000"/>
            </w:tcBorders>
            <w:vAlign w:val="bottom"/>
          </w:tcPr>
          <w:p w14:paraId="67D9BEB8" w14:textId="77777777" w:rsidR="00AD6DBA" w:rsidRDefault="00000000">
            <w:pPr>
              <w:ind w:firstLine="29"/>
              <w:jc w:val="center"/>
              <w:rPr>
                <w:bCs/>
              </w:rPr>
            </w:pPr>
            <w:r>
              <w:rPr>
                <w:bCs/>
              </w:rPr>
              <w:t>76 000</w:t>
            </w:r>
          </w:p>
        </w:tc>
        <w:tc>
          <w:tcPr>
            <w:tcW w:w="2529" w:type="dxa"/>
            <w:tcBorders>
              <w:top w:val="single" w:sz="4" w:space="0" w:color="000000"/>
              <w:left w:val="single" w:sz="4" w:space="0" w:color="000000"/>
              <w:bottom w:val="single" w:sz="4" w:space="0" w:color="000000"/>
              <w:right w:val="single" w:sz="4" w:space="0" w:color="000000"/>
            </w:tcBorders>
          </w:tcPr>
          <w:p w14:paraId="27767B4D" w14:textId="77777777" w:rsidR="00AD6DBA" w:rsidRDefault="00000000">
            <w:pPr>
              <w:ind w:firstLine="29"/>
              <w:jc w:val="center"/>
              <w:rPr>
                <w:bCs/>
              </w:rPr>
            </w:pPr>
            <w:r>
              <w:rPr>
                <w:bCs/>
              </w:rPr>
              <w:t>9.34</w:t>
            </w:r>
          </w:p>
        </w:tc>
      </w:tr>
      <w:tr w:rsidR="00AD6DBA" w14:paraId="4A1EB342" w14:textId="77777777">
        <w:trPr>
          <w:trHeight w:val="211"/>
          <w:jc w:val="center"/>
        </w:trPr>
        <w:tc>
          <w:tcPr>
            <w:tcW w:w="3256" w:type="dxa"/>
            <w:tcBorders>
              <w:top w:val="single" w:sz="4" w:space="0" w:color="000000"/>
              <w:left w:val="single" w:sz="4" w:space="0" w:color="000000"/>
              <w:bottom w:val="single" w:sz="4" w:space="0" w:color="000000"/>
              <w:right w:val="single" w:sz="4" w:space="0" w:color="000000"/>
            </w:tcBorders>
          </w:tcPr>
          <w:p w14:paraId="49B25CB4" w14:textId="77777777" w:rsidR="00AD6DBA" w:rsidRDefault="00000000">
            <w:pPr>
              <w:ind w:firstLine="29"/>
            </w:pPr>
            <w:r>
              <w:t>KAMAZ 65115</w:t>
            </w:r>
          </w:p>
        </w:tc>
        <w:tc>
          <w:tcPr>
            <w:tcW w:w="3238" w:type="dxa"/>
            <w:tcBorders>
              <w:top w:val="single" w:sz="4" w:space="0" w:color="000000"/>
              <w:left w:val="single" w:sz="4" w:space="0" w:color="000000"/>
              <w:bottom w:val="single" w:sz="4" w:space="0" w:color="000000"/>
              <w:right w:val="single" w:sz="4" w:space="0" w:color="000000"/>
            </w:tcBorders>
            <w:vAlign w:val="bottom"/>
          </w:tcPr>
          <w:p w14:paraId="5A9B3856" w14:textId="77777777" w:rsidR="00AD6DBA" w:rsidRDefault="00000000">
            <w:pPr>
              <w:ind w:firstLine="29"/>
              <w:jc w:val="center"/>
              <w:rPr>
                <w:bCs/>
              </w:rPr>
            </w:pPr>
            <w:r>
              <w:rPr>
                <w:bCs/>
              </w:rPr>
              <w:t>150 000</w:t>
            </w:r>
          </w:p>
        </w:tc>
        <w:tc>
          <w:tcPr>
            <w:tcW w:w="2529" w:type="dxa"/>
            <w:tcBorders>
              <w:top w:val="single" w:sz="4" w:space="0" w:color="000000"/>
              <w:left w:val="single" w:sz="4" w:space="0" w:color="000000"/>
              <w:bottom w:val="single" w:sz="4" w:space="0" w:color="000000"/>
              <w:right w:val="single" w:sz="4" w:space="0" w:color="000000"/>
            </w:tcBorders>
          </w:tcPr>
          <w:p w14:paraId="0FCD1802" w14:textId="77777777" w:rsidR="00AD6DBA" w:rsidRDefault="00000000">
            <w:pPr>
              <w:ind w:firstLine="29"/>
              <w:jc w:val="center"/>
              <w:rPr>
                <w:bCs/>
              </w:rPr>
            </w:pPr>
            <w:r>
              <w:rPr>
                <w:bCs/>
              </w:rPr>
              <w:t>4.73</w:t>
            </w:r>
          </w:p>
        </w:tc>
      </w:tr>
      <w:tr w:rsidR="00AD6DBA" w14:paraId="4A8E16CC" w14:textId="77777777">
        <w:trPr>
          <w:trHeight w:val="211"/>
          <w:jc w:val="center"/>
        </w:trPr>
        <w:tc>
          <w:tcPr>
            <w:tcW w:w="3256" w:type="dxa"/>
            <w:tcBorders>
              <w:top w:val="single" w:sz="4" w:space="0" w:color="000000"/>
              <w:left w:val="single" w:sz="4" w:space="0" w:color="000000"/>
              <w:bottom w:val="single" w:sz="4" w:space="0" w:color="000000"/>
              <w:right w:val="single" w:sz="4" w:space="0" w:color="000000"/>
            </w:tcBorders>
          </w:tcPr>
          <w:p w14:paraId="16CFBD1A" w14:textId="77777777" w:rsidR="00AD6DBA" w:rsidRDefault="00000000">
            <w:pPr>
              <w:ind w:firstLine="29"/>
            </w:pPr>
            <w:r>
              <w:t>GAZEL</w:t>
            </w:r>
          </w:p>
        </w:tc>
        <w:tc>
          <w:tcPr>
            <w:tcW w:w="3238" w:type="dxa"/>
            <w:tcBorders>
              <w:top w:val="single" w:sz="4" w:space="0" w:color="000000"/>
              <w:left w:val="single" w:sz="4" w:space="0" w:color="000000"/>
              <w:bottom w:val="single" w:sz="4" w:space="0" w:color="000000"/>
              <w:right w:val="single" w:sz="4" w:space="0" w:color="000000"/>
            </w:tcBorders>
            <w:vAlign w:val="bottom"/>
          </w:tcPr>
          <w:p w14:paraId="3A9644EB" w14:textId="77777777" w:rsidR="00AD6DBA" w:rsidRDefault="00000000">
            <w:pPr>
              <w:ind w:firstLine="29"/>
              <w:jc w:val="center"/>
              <w:rPr>
                <w:bCs/>
              </w:rPr>
            </w:pPr>
            <w:r>
              <w:rPr>
                <w:bCs/>
              </w:rPr>
              <w:t>260 000</w:t>
            </w:r>
          </w:p>
        </w:tc>
        <w:tc>
          <w:tcPr>
            <w:tcW w:w="2529" w:type="dxa"/>
            <w:tcBorders>
              <w:top w:val="single" w:sz="4" w:space="0" w:color="000000"/>
              <w:left w:val="single" w:sz="4" w:space="0" w:color="000000"/>
              <w:bottom w:val="single" w:sz="4" w:space="0" w:color="000000"/>
              <w:right w:val="single" w:sz="4" w:space="0" w:color="000000"/>
            </w:tcBorders>
          </w:tcPr>
          <w:p w14:paraId="31DEC73C" w14:textId="77777777" w:rsidR="00AD6DBA" w:rsidRDefault="00000000">
            <w:pPr>
              <w:ind w:firstLine="29"/>
              <w:jc w:val="center"/>
              <w:rPr>
                <w:bCs/>
              </w:rPr>
            </w:pPr>
            <w:r>
              <w:rPr>
                <w:bCs/>
              </w:rPr>
              <w:t>2.73</w:t>
            </w:r>
          </w:p>
        </w:tc>
      </w:tr>
    </w:tbl>
    <w:p w14:paraId="480D6D52" w14:textId="77777777" w:rsidR="00AD6DBA" w:rsidRDefault="00AD6DBA">
      <w:pPr>
        <w:ind w:firstLine="284"/>
        <w:rPr>
          <w:bCs/>
        </w:rPr>
      </w:pPr>
    </w:p>
    <w:p w14:paraId="4627BB21" w14:textId="77777777" w:rsidR="00AD6DBA" w:rsidRDefault="00000000" w:rsidP="00B4681B">
      <w:pPr>
        <w:pStyle w:val="Paragraph"/>
      </w:pPr>
      <w:r>
        <w:t xml:space="preserve">An analysis of the data in Table 3 shows that the Golden Dragon XML6185J13C bus has the greatest RRE of the </w:t>
      </w:r>
      <w:r>
        <w:rPr>
          <w:bCs/>
        </w:rPr>
        <w:t>transport facilities</w:t>
      </w:r>
      <w:r>
        <w:t xml:space="preserve"> considered (RRE=14.49); the second largest RRE is the Shahman truck (RRE=9.34); the Youngman JNP6120GDZ trolleybus, the YUTONG ZK6118HGA bus and the KAMAZ 65115 truck have approximately the same the RRE values, which are 5.14, 4.9 and 4.73, respectively; the RRE of the SAM AUTO LE 60 bus (2.47) and the GAZEL truck (2.73) are almost the same.</w:t>
      </w:r>
    </w:p>
    <w:p w14:paraId="7D42C0BE" w14:textId="77777777" w:rsidR="00AD6DBA" w:rsidRDefault="00000000" w:rsidP="00B4681B">
      <w:pPr>
        <w:pStyle w:val="Paragraph"/>
      </w:pPr>
      <w:r>
        <w:t xml:space="preserve">The above-mentioned values of the relative rutting effects (RRE) of </w:t>
      </w:r>
      <w:r>
        <w:rPr>
          <w:bCs/>
        </w:rPr>
        <w:t>transport facilities</w:t>
      </w:r>
      <w:r>
        <w:t xml:space="preserve"> are recommended for use in predicting the accumulation of ruts on asphalt concrete pavements.</w:t>
      </w:r>
    </w:p>
    <w:p w14:paraId="04E93E7A" w14:textId="77777777" w:rsidR="00AD6DBA" w:rsidRDefault="00000000" w:rsidP="00B4681B">
      <w:pPr>
        <w:pStyle w:val="berschrift1"/>
      </w:pPr>
      <w:r>
        <w:t xml:space="preserve">Conclusions </w:t>
      </w:r>
    </w:p>
    <w:p w14:paraId="030E6EC5" w14:textId="77777777" w:rsidR="00AD6DBA" w:rsidRDefault="00000000" w:rsidP="00B4681B">
      <w:pPr>
        <w:pStyle w:val="Paragraph"/>
      </w:pPr>
      <w:r>
        <w:t>1. The traffic conditions (load) of the transport flow on the experimental section are severe. In the transport flow, trucks and buses that cause rutting amount to 2597 units/day; the intensity of heavy trucks is 710 units/day.</w:t>
      </w:r>
    </w:p>
    <w:p w14:paraId="5BBC21A1" w14:textId="77777777" w:rsidR="00AD6DBA" w:rsidRDefault="00000000" w:rsidP="00B4681B">
      <w:pPr>
        <w:pStyle w:val="Paragraph"/>
      </w:pPr>
      <w:r>
        <w:t>2. On the wheelputch in the experimental section, all measured values of the rut depth are greater than the permissible value of 35 mm.</w:t>
      </w:r>
    </w:p>
    <w:p w14:paraId="5B6301D1" w14:textId="77777777" w:rsidR="00AD6DBA" w:rsidRDefault="00000000" w:rsidP="00B4681B">
      <w:pPr>
        <w:pStyle w:val="Paragraph"/>
      </w:pPr>
      <w:bookmarkStart w:id="9" w:name="_Hlk210152277"/>
      <w:r>
        <w:t>3. The existing pavement structure, consisting of old asphalt concrete layers with a total thickness of 17 cm and a base made of a mixture of sand and gravel with a thickness of 70 cm, is very weak and does not meet the actual loading conditions.</w:t>
      </w:r>
      <w:bookmarkEnd w:id="9"/>
    </w:p>
    <w:p w14:paraId="0049A817" w14:textId="77777777" w:rsidR="00AD6DBA" w:rsidRDefault="00000000" w:rsidP="00B4681B">
      <w:pPr>
        <w:pStyle w:val="Paragraph"/>
        <w:rPr>
          <w:bCs/>
        </w:rPr>
      </w:pPr>
      <w:r>
        <w:rPr>
          <w:bCs/>
        </w:rPr>
        <w:t>4. A new more durable pavement structure consisting of the following layers has been proposed: 1 – a stone mastic asphalt concrete with a polymer, 5 cm; 2 – a porous asphalt concrete with a polymer, 6 cm; 3 – an upper part of the base of treated materials, 40 cm; 4 – a lower part of the base of a gravel and sand mix, 25 cm</w:t>
      </w:r>
    </w:p>
    <w:p w14:paraId="24C222D2" w14:textId="77777777" w:rsidR="00AD6DBA" w:rsidRDefault="00000000" w:rsidP="00B4681B">
      <w:pPr>
        <w:pStyle w:val="Paragraph"/>
      </w:pPr>
      <w:r>
        <w:rPr>
          <w:bCs/>
        </w:rPr>
        <w:t xml:space="preserve">5. </w:t>
      </w:r>
      <w:r>
        <w:t xml:space="preserve">The Golden Dragon XML6185J13C bus has the greatest RRE of the </w:t>
      </w:r>
      <w:r>
        <w:rPr>
          <w:bCs/>
        </w:rPr>
        <w:t>transport facilities</w:t>
      </w:r>
      <w:r>
        <w:t xml:space="preserve"> considered (RRE=14.49); the second largest RRE is the Shahman truck (RRE=9.34); the Youngman JNP6120GDZ trolleybus, the YUTONG ZK6118HGA bus and the KAMAZ 65115 truck have approximately the same the RRE values, which are 5.14, 4.9 and 4.73, respectively; the RRE of the SAM AUTO LE 60 bus (2.47) and the GAZEL truck (2.73) are almost the same.</w:t>
      </w:r>
    </w:p>
    <w:p w14:paraId="46BE8910" w14:textId="77777777" w:rsidR="00AD6DBA" w:rsidRDefault="00000000" w:rsidP="00B4681B">
      <w:pPr>
        <w:pStyle w:val="Paragraph"/>
      </w:pPr>
      <w:r>
        <w:t xml:space="preserve">The above-mentioned values of the relative rutting effects (RRE) of </w:t>
      </w:r>
      <w:r>
        <w:rPr>
          <w:bCs/>
        </w:rPr>
        <w:t>transport facilities</w:t>
      </w:r>
      <w:r>
        <w:t xml:space="preserve"> are recommended for use in predicting the accumulation of ruts on asphalt concrete pavements.</w:t>
      </w:r>
    </w:p>
    <w:p w14:paraId="169D0A93" w14:textId="77777777" w:rsidR="00AD6DBA" w:rsidRDefault="00000000" w:rsidP="00B4681B">
      <w:pPr>
        <w:pStyle w:val="berschrift1"/>
      </w:pPr>
      <w:r>
        <w:t>References</w:t>
      </w:r>
    </w:p>
    <w:p w14:paraId="21AB6220" w14:textId="77777777" w:rsidR="00AD6DBA" w:rsidRDefault="00000000" w:rsidP="00B4681B">
      <w:pPr>
        <w:pStyle w:val="Reference"/>
        <w:rPr>
          <w:lang/>
        </w:rPr>
      </w:pPr>
      <w:r>
        <w:rPr>
          <w:lang/>
        </w:rPr>
        <w:t xml:space="preserve">B. Teltayev, A. Iskakbayev, A. Massanov, Y. Aitbayev </w:t>
      </w:r>
      <w:r>
        <w:t>and</w:t>
      </w:r>
      <w:r>
        <w:rPr>
          <w:lang/>
        </w:rPr>
        <w:t xml:space="preserve"> A. Zhaisanbayev, </w:t>
      </w:r>
      <w:r>
        <w:rPr>
          <w:i/>
          <w:iCs/>
          <w:lang/>
        </w:rPr>
        <w:t>Investigation Of Rut Formation In Asphalt Concrete Pavement</w:t>
      </w:r>
      <w:r>
        <w:rPr>
          <w:lang/>
        </w:rPr>
        <w:t xml:space="preserve">, Proceedings of the 5th International Conference on Transportation Geotechnics (ICTG) 2024, Lecture Notes in Civil Engineering, Vol. 3 (Springer, 2025), </w:t>
      </w:r>
      <w:r>
        <w:t>DOI:</w:t>
      </w:r>
      <w:hyperlink r:id="rId14" w:tgtFrame="_blank">
        <w:r>
          <w:rPr>
            <w:rStyle w:val="Hyperlink"/>
          </w:rPr>
          <w:t>10.1007/978-981-97-8221-5_7</w:t>
        </w:r>
      </w:hyperlink>
      <w:r>
        <w:t>.</w:t>
      </w:r>
    </w:p>
    <w:p w14:paraId="46E02C5B" w14:textId="77777777" w:rsidR="00AD6DBA" w:rsidRDefault="00000000" w:rsidP="00B4681B">
      <w:pPr>
        <w:pStyle w:val="Reference"/>
        <w:rPr>
          <w:lang/>
        </w:rPr>
      </w:pPr>
      <w:r>
        <w:rPr>
          <w:lang/>
        </w:rPr>
        <w:t xml:space="preserve">B. Teltayev, Y. Aitbayev and A. Zhaisanbayev, </w:t>
      </w:r>
      <w:r>
        <w:rPr>
          <w:i/>
          <w:iCs/>
          <w:lang/>
        </w:rPr>
        <w:t>To The Study Of Plastic Deformation Of Road Asphalt Concrete Pavement</w:t>
      </w:r>
      <w:r>
        <w:rPr>
          <w:lang/>
        </w:rPr>
        <w:t>, AIP Conference Proceedings 3177, 050008-1–050008-6 (2025).</w:t>
      </w:r>
    </w:p>
    <w:p w14:paraId="21128AE2" w14:textId="77777777" w:rsidR="00AD6DBA" w:rsidRDefault="00000000" w:rsidP="00B4681B">
      <w:pPr>
        <w:pStyle w:val="Reference"/>
        <w:rPr>
          <w:lang/>
        </w:rPr>
      </w:pPr>
      <w:r>
        <w:rPr>
          <w:lang/>
        </w:rPr>
        <w:t xml:space="preserve">B. Teltayev, Y. Aitbayev and A. Zhaisanbayev, </w:t>
      </w:r>
      <w:r>
        <w:rPr>
          <w:i/>
          <w:iCs/>
          <w:lang/>
        </w:rPr>
        <w:t>Problems Of Rutting On Asphalt Pavements</w:t>
      </w:r>
      <w:r>
        <w:rPr>
          <w:lang/>
        </w:rPr>
        <w:t xml:space="preserve">, Vibroengineering Procedia 55 (Sept. 2024). </w:t>
      </w:r>
      <w:r>
        <w:t xml:space="preserve">ISSN PRINT 2345-0533, ISSN ONLINE 2538-8479. </w:t>
      </w:r>
      <w:r>
        <w:rPr>
          <w:lang/>
        </w:rPr>
        <w:t>DOI:</w:t>
      </w:r>
      <w:hyperlink r:id="rId15" w:tgtFrame="_blank">
        <w:r>
          <w:rPr>
            <w:rStyle w:val="Hyperlink"/>
            <w:lang/>
          </w:rPr>
          <w:t>10.21595/vp.2024.24088</w:t>
        </w:r>
      </w:hyperlink>
    </w:p>
    <w:p w14:paraId="5F66C230" w14:textId="77777777" w:rsidR="00AD6DBA" w:rsidRDefault="00000000" w:rsidP="00B4681B">
      <w:pPr>
        <w:pStyle w:val="Reference"/>
        <w:rPr>
          <w:lang/>
        </w:rPr>
      </w:pPr>
      <w:r>
        <w:rPr>
          <w:i/>
          <w:iCs/>
          <w:lang/>
        </w:rPr>
        <w:t>PR RK 218-27-2014</w:t>
      </w:r>
      <w:r>
        <w:rPr>
          <w:lang/>
        </w:rPr>
        <w:t xml:space="preserve">, </w:t>
      </w:r>
      <w:r>
        <w:rPr>
          <w:i/>
          <w:iCs/>
          <w:lang/>
        </w:rPr>
        <w:t>Instructions For Diagnosing And Assessing The Transport And Operational Condition Of Highways</w:t>
      </w:r>
      <w:r>
        <w:rPr>
          <w:lang/>
        </w:rPr>
        <w:t xml:space="preserve"> (Astana, 2014).</w:t>
      </w:r>
    </w:p>
    <w:p w14:paraId="04348D39" w14:textId="77777777" w:rsidR="00AD6DBA" w:rsidRDefault="00000000" w:rsidP="00B4681B">
      <w:pPr>
        <w:pStyle w:val="Reference"/>
        <w:rPr>
          <w:lang/>
        </w:rPr>
      </w:pPr>
      <w:r>
        <w:rPr>
          <w:i/>
          <w:iCs/>
          <w:lang/>
        </w:rPr>
        <w:t>Guide For Mechanistic–Empirical Design Of New And Rehabilitated Pavement Structures. Final Report. Part 3. Design Analysis. Chapter 3. Design Of New And Reconstructed Flexible Pavements</w:t>
      </w:r>
      <w:r>
        <w:rPr>
          <w:lang/>
        </w:rPr>
        <w:t xml:space="preserve">, </w:t>
      </w:r>
      <w:r>
        <w:rPr>
          <w:lang/>
        </w:rPr>
        <w:lastRenderedPageBreak/>
        <w:t>National Cooperative Highway Research Program, Transportation Research Board, National Research Council, Washington, DC (2004).</w:t>
      </w:r>
    </w:p>
    <w:p w14:paraId="6F1A78C1" w14:textId="77777777" w:rsidR="00AD6DBA" w:rsidRDefault="00000000" w:rsidP="00B4681B">
      <w:pPr>
        <w:pStyle w:val="Reference"/>
        <w:rPr>
          <w:lang/>
        </w:rPr>
      </w:pPr>
      <w:r>
        <w:rPr>
          <w:lang/>
        </w:rPr>
        <w:t xml:space="preserve">A. K. Privarnikov, </w:t>
      </w:r>
      <w:r>
        <w:rPr>
          <w:i/>
          <w:iCs/>
          <w:lang/>
        </w:rPr>
        <w:t>Spatial Deformation Of A Multilayer Base</w:t>
      </w:r>
      <w:r>
        <w:rPr>
          <w:lang/>
        </w:rPr>
        <w:t xml:space="preserve">, in </w:t>
      </w:r>
      <w:r>
        <w:rPr>
          <w:i/>
          <w:iCs/>
          <w:lang/>
        </w:rPr>
        <w:t>Stability And Strength Of Structural Elements</w:t>
      </w:r>
      <w:r>
        <w:rPr>
          <w:lang/>
        </w:rPr>
        <w:t xml:space="preserve"> (Dnepropetrovsk State University, Dnepropetrovsk, 1973), pp. 27–45.</w:t>
      </w:r>
    </w:p>
    <w:p w14:paraId="65977507" w14:textId="77777777" w:rsidR="00AD6DBA" w:rsidRDefault="00000000" w:rsidP="00B4681B">
      <w:pPr>
        <w:pStyle w:val="Reference"/>
        <w:rPr>
          <w:lang/>
        </w:rPr>
      </w:pPr>
      <w:r>
        <w:rPr>
          <w:i/>
          <w:iCs/>
          <w:lang/>
        </w:rPr>
        <w:t>SP RK 3.03-104-2014*,</w:t>
      </w:r>
      <w:r>
        <w:rPr>
          <w:lang/>
        </w:rPr>
        <w:t xml:space="preserve"> </w:t>
      </w:r>
      <w:r>
        <w:rPr>
          <w:i/>
          <w:iCs/>
          <w:lang/>
        </w:rPr>
        <w:t>Design Of Flexible Pavements</w:t>
      </w:r>
      <w:r>
        <w:rPr>
          <w:lang/>
        </w:rPr>
        <w:t xml:space="preserve"> (Astana, 2019).</w:t>
      </w:r>
    </w:p>
    <w:p w14:paraId="4A8BA9A1" w14:textId="77777777" w:rsidR="00AD6DBA" w:rsidRDefault="00AD6DBA">
      <w:pPr>
        <w:rPr>
          <w:sz w:val="24"/>
          <w:szCs w:val="24"/>
        </w:rPr>
      </w:pPr>
    </w:p>
    <w:p w14:paraId="6AF76758" w14:textId="77777777" w:rsidR="00AD6DBA" w:rsidRDefault="00AD6DBA">
      <w:pPr>
        <w:rPr>
          <w:bCs/>
          <w:sz w:val="24"/>
          <w:szCs w:val="24"/>
        </w:rPr>
      </w:pPr>
    </w:p>
    <w:sectPr w:rsidR="00AD6DBA">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charset w:val="01"/>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016C45"/>
    <w:multiLevelType w:val="multilevel"/>
    <w:tmpl w:val="CB82D86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23E4B9B"/>
    <w:multiLevelType w:val="multilevel"/>
    <w:tmpl w:val="76C875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num w:numId="1" w16cid:durableId="316153339">
    <w:abstractNumId w:val="2"/>
  </w:num>
  <w:num w:numId="2" w16cid:durableId="778913579">
    <w:abstractNumId w:val="3"/>
  </w:num>
  <w:num w:numId="3" w16cid:durableId="1634557104">
    <w:abstractNumId w:val="0"/>
  </w:num>
  <w:num w:numId="4" w16cid:durableId="481237257">
    <w:abstractNumId w:val="4"/>
  </w:num>
  <w:num w:numId="5" w16cid:durableId="788935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autoHyphenation/>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D6DBA"/>
    <w:rsid w:val="000D475C"/>
    <w:rsid w:val="00205FEC"/>
    <w:rsid w:val="00270C08"/>
    <w:rsid w:val="002F1897"/>
    <w:rsid w:val="004E5333"/>
    <w:rsid w:val="00721C6D"/>
    <w:rsid w:val="007D5A91"/>
    <w:rsid w:val="00AD6DBA"/>
    <w:rsid w:val="00B4681B"/>
    <w:rsid w:val="00EF6BEF"/>
    <w:rsid w:val="00F07CF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CF90B8"/>
  <w15:docId w15:val="{BD01469F-A9AE-4A62-B2AF-DF2D8F28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4681B"/>
    <w:pPr>
      <w:suppressAutoHyphens w:val="0"/>
      <w:jc w:val="both"/>
    </w:pPr>
    <w:rPr>
      <w:rFonts w:ascii="Times New Roman" w:eastAsia="Times New Roman" w:hAnsi="Times New Roman" w:cs="Times New Roman"/>
      <w:kern w:val="0"/>
      <w:sz w:val="20"/>
      <w:szCs w:val="20"/>
      <w:lang w:val="en-US"/>
    </w:rPr>
  </w:style>
  <w:style w:type="paragraph" w:styleId="berschrift1">
    <w:name w:val="heading 1"/>
    <w:basedOn w:val="Standard"/>
    <w:next w:val="Paragraph"/>
    <w:link w:val="berschrift1Zchn"/>
    <w:qFormat/>
    <w:rsid w:val="00B4681B"/>
    <w:pPr>
      <w:keepNext/>
      <w:spacing w:before="240" w:after="240"/>
      <w:jc w:val="center"/>
      <w:outlineLvl w:val="0"/>
    </w:pPr>
    <w:rPr>
      <w:b/>
      <w:caps/>
      <w:sz w:val="24"/>
    </w:rPr>
  </w:style>
  <w:style w:type="paragraph" w:styleId="berschrift2">
    <w:name w:val="heading 2"/>
    <w:basedOn w:val="Standard"/>
    <w:next w:val="Paragraph"/>
    <w:link w:val="berschrift2Zchn"/>
    <w:qFormat/>
    <w:rsid w:val="00B4681B"/>
    <w:pPr>
      <w:keepNext/>
      <w:spacing w:before="240" w:after="240"/>
      <w:jc w:val="center"/>
      <w:outlineLvl w:val="1"/>
    </w:pPr>
    <w:rPr>
      <w:b/>
      <w:sz w:val="24"/>
    </w:rPr>
  </w:style>
  <w:style w:type="paragraph" w:styleId="berschrift3">
    <w:name w:val="heading 3"/>
    <w:basedOn w:val="Standard"/>
    <w:next w:val="Standard"/>
    <w:link w:val="berschrift3Zchn"/>
    <w:qFormat/>
    <w:rsid w:val="000D475C"/>
    <w:pPr>
      <w:keepNext/>
      <w:spacing w:before="240" w:after="240"/>
      <w:jc w:val="center"/>
      <w:outlineLvl w:val="2"/>
    </w:pPr>
    <w:rPr>
      <w:i/>
      <w:iCs/>
      <w:lang w:val="en-GB" w:eastAsia="en-GB"/>
    </w:rPr>
  </w:style>
  <w:style w:type="character" w:default="1" w:styleId="Absatz-Standardschriftart">
    <w:name w:val="Default Paragraph Font"/>
    <w:uiPriority w:val="1"/>
    <w:semiHidden/>
    <w:unhideWhenUsed/>
    <w:rsid w:val="000D475C"/>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0D475C"/>
  </w:style>
  <w:style w:type="character" w:customStyle="1" w:styleId="ListenabsatzZchn">
    <w:name w:val="Listenabsatz Zchn"/>
    <w:link w:val="Listenabsatz"/>
    <w:uiPriority w:val="34"/>
    <w:qFormat/>
    <w:locked/>
    <w:rsid w:val="002C1B01"/>
    <w:rPr>
      <w:rFonts w:ascii="Times New Roman" w:eastAsia="Times New Roman" w:hAnsi="Times New Roman" w:cs="Times New Roman"/>
      <w:kern w:val="0"/>
      <w:sz w:val="24"/>
      <w:szCs w:val="20"/>
      <w:lang w:val="en-US"/>
    </w:rPr>
  </w:style>
  <w:style w:type="character" w:styleId="Hyperlink">
    <w:name w:val="Hyperlink"/>
    <w:rsid w:val="000D475C"/>
    <w:rPr>
      <w:color w:val="0000FF"/>
      <w:u w:val="single"/>
    </w:rPr>
  </w:style>
  <w:style w:type="character" w:customStyle="1" w:styleId="1">
    <w:name w:val="Неразрешенное упоминание1"/>
    <w:basedOn w:val="Absatz-Standardschriftart"/>
    <w:uiPriority w:val="99"/>
    <w:semiHidden/>
    <w:unhideWhenUsed/>
    <w:qFormat/>
    <w:rsid w:val="00D0781E"/>
    <w:rPr>
      <w:color w:val="605E5C"/>
      <w:shd w:val="clear" w:color="auto" w:fill="E1DFDD"/>
    </w:rPr>
  </w:style>
  <w:style w:type="character" w:customStyle="1" w:styleId="berschrift1Zchn">
    <w:name w:val="Überschrift 1 Zchn"/>
    <w:basedOn w:val="Absatz-Standardschriftart"/>
    <w:link w:val="berschrift1"/>
    <w:qFormat/>
    <w:rsid w:val="00B4681B"/>
    <w:rPr>
      <w:rFonts w:ascii="Times New Roman" w:eastAsia="Times New Roman" w:hAnsi="Times New Roman" w:cs="Times New Roman"/>
      <w:b/>
      <w:caps/>
      <w:kern w:val="0"/>
      <w:sz w:val="24"/>
      <w:szCs w:val="20"/>
      <w:lang w:val="en-US"/>
    </w:rPr>
  </w:style>
  <w:style w:type="character" w:customStyle="1" w:styleId="KopfzeileZchn">
    <w:name w:val="Kopfzeile Zchn"/>
    <w:basedOn w:val="Absatz-Standardschriftart"/>
    <w:link w:val="Kopfzeile"/>
    <w:qFormat/>
    <w:rsid w:val="005260DD"/>
    <w:rPr>
      <w:rFonts w:ascii="Times New Roman" w:eastAsia="Batang" w:hAnsi="Times New Roman" w:cs="Times New Roman"/>
      <w:kern w:val="0"/>
      <w:sz w:val="18"/>
      <w:szCs w:val="20"/>
      <w:lang w:val="en-US"/>
    </w:rPr>
  </w:style>
  <w:style w:type="character" w:customStyle="1" w:styleId="a">
    <w:name w:val="Данные Знак"/>
    <w:link w:val="a0"/>
    <w:qFormat/>
    <w:rsid w:val="005260DD"/>
    <w:rPr>
      <w:rFonts w:ascii="Times New Roman" w:eastAsia="Times New Roman" w:hAnsi="Times New Roman" w:cs="Times New Roman"/>
      <w:i/>
      <w:kern w:val="0"/>
      <w:sz w:val="20"/>
      <w:szCs w:val="20"/>
    </w:rPr>
  </w:style>
  <w:style w:type="character" w:customStyle="1" w:styleId="2">
    <w:name w:val="Неразрешенное упоминание2"/>
    <w:basedOn w:val="Absatz-Standardschriftart"/>
    <w:uiPriority w:val="99"/>
    <w:semiHidden/>
    <w:unhideWhenUsed/>
    <w:qFormat/>
    <w:rsid w:val="00B673A6"/>
    <w:rPr>
      <w:color w:val="605E5C"/>
      <w:shd w:val="clear" w:color="auto" w:fill="E1DFDD"/>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 w:val="24"/>
      <w:szCs w:val="24"/>
    </w:rPr>
  </w:style>
  <w:style w:type="paragraph" w:customStyle="1" w:styleId="Index">
    <w:name w:val="Index"/>
    <w:basedOn w:val="Standard"/>
    <w:qFormat/>
    <w:pPr>
      <w:suppressLineNumbers/>
    </w:pPr>
    <w:rPr>
      <w:rFonts w:cs="Noto Sans"/>
    </w:rPr>
  </w:style>
  <w:style w:type="paragraph" w:styleId="Listenabsatz">
    <w:name w:val="List Paragraph"/>
    <w:basedOn w:val="Standard"/>
    <w:link w:val="ListenabsatzZchn"/>
    <w:uiPriority w:val="34"/>
    <w:rsid w:val="000D475C"/>
    <w:pPr>
      <w:ind w:left="720"/>
      <w:contextualSpacing/>
    </w:pPr>
  </w:style>
  <w:style w:type="paragraph" w:styleId="StandardWeb">
    <w:name w:val="Normal (Web)"/>
    <w:basedOn w:val="Standard"/>
    <w:uiPriority w:val="99"/>
    <w:unhideWhenUsed/>
    <w:rsid w:val="000D475C"/>
    <w:pPr>
      <w:spacing w:before="100" w:beforeAutospacing="1" w:after="100" w:afterAutospacing="1"/>
    </w:pPr>
    <w:rPr>
      <w:szCs w:val="24"/>
      <w:lang w:val="en-GB" w:eastAsia="en-GB"/>
    </w:rPr>
  </w:style>
  <w:style w:type="paragraph" w:customStyle="1" w:styleId="MDPI31text">
    <w:name w:val="MDPI_3.1_text"/>
    <w:qFormat/>
    <w:rsid w:val="004D23F7"/>
    <w:pPr>
      <w:snapToGrid w:val="0"/>
      <w:spacing w:line="228" w:lineRule="auto"/>
      <w:ind w:left="2608" w:firstLine="425"/>
      <w:jc w:val="both"/>
    </w:pPr>
    <w:rPr>
      <w:rFonts w:ascii="Palatino Linotype" w:eastAsia="Times New Roman" w:hAnsi="Palatino Linotype" w:cs="Times New Roman"/>
      <w:color w:val="000000"/>
      <w:kern w:val="0"/>
      <w:sz w:val="20"/>
      <w:lang w:val="en-US" w:eastAsia="de-DE" w:bidi="en-US"/>
    </w:rPr>
  </w:style>
  <w:style w:type="paragraph" w:customStyle="1" w:styleId="p1a">
    <w:name w:val="p1a"/>
    <w:basedOn w:val="Standard"/>
    <w:next w:val="Standard"/>
    <w:qFormat/>
    <w:rsid w:val="00D63B2E"/>
    <w:pPr>
      <w:spacing w:line="240" w:lineRule="atLeast"/>
      <w:textAlignment w:val="baseline"/>
    </w:pPr>
  </w:style>
  <w:style w:type="paragraph" w:customStyle="1" w:styleId="Abstract">
    <w:name w:val="Abstract"/>
    <w:basedOn w:val="Standard"/>
    <w:next w:val="berschrift1"/>
    <w:rsid w:val="000D475C"/>
    <w:pPr>
      <w:spacing w:before="360" w:after="360"/>
      <w:ind w:left="289" w:right="289"/>
    </w:pPr>
    <w:rPr>
      <w:sz w:val="18"/>
    </w:rPr>
  </w:style>
  <w:style w:type="paragraph" w:customStyle="1" w:styleId="Paragraph">
    <w:name w:val="Paragraph"/>
    <w:basedOn w:val="Standard"/>
    <w:rsid w:val="000D475C"/>
    <w:pPr>
      <w:ind w:firstLine="284"/>
    </w:pPr>
  </w:style>
  <w:style w:type="paragraph" w:customStyle="1" w:styleId="FigureCaption">
    <w:name w:val="Figure Caption"/>
    <w:next w:val="Paragraph"/>
    <w:rsid w:val="000D475C"/>
    <w:pPr>
      <w:suppressAutoHyphens w:val="0"/>
      <w:spacing w:before="120"/>
      <w:jc w:val="center"/>
    </w:pPr>
    <w:rPr>
      <w:rFonts w:ascii="Times New Roman" w:eastAsia="Times New Roman" w:hAnsi="Times New Roman" w:cs="Times New Roman"/>
      <w:kern w:val="0"/>
      <w:sz w:val="18"/>
      <w:szCs w:val="20"/>
      <w:lang w:val="en-US"/>
    </w:rPr>
  </w:style>
  <w:style w:type="paragraph" w:customStyle="1" w:styleId="HeaderandFooter">
    <w:name w:val="Header and Footer"/>
    <w:basedOn w:val="Standard"/>
    <w:qFormat/>
  </w:style>
  <w:style w:type="paragraph" w:styleId="Kopfzeile">
    <w:name w:val="header"/>
    <w:basedOn w:val="Standard"/>
    <w:link w:val="KopfzeileZchn"/>
    <w:rsid w:val="005260DD"/>
    <w:pPr>
      <w:widowControl w:val="0"/>
      <w:tabs>
        <w:tab w:val="left" w:pos="0"/>
        <w:tab w:val="center" w:pos="4320"/>
        <w:tab w:val="right" w:pos="8640"/>
        <w:tab w:val="left" w:pos="9360"/>
        <w:tab w:val="left" w:pos="10080"/>
      </w:tabs>
    </w:pPr>
    <w:rPr>
      <w:rFonts w:eastAsia="Batang"/>
      <w:sz w:val="18"/>
    </w:rPr>
  </w:style>
  <w:style w:type="paragraph" w:customStyle="1" w:styleId="a0">
    <w:name w:val="Данные"/>
    <w:basedOn w:val="Standard"/>
    <w:link w:val="a"/>
    <w:qFormat/>
    <w:rsid w:val="005260DD"/>
    <w:pPr>
      <w:widowControl w:val="0"/>
      <w:spacing w:after="240"/>
      <w:contextualSpacing/>
      <w:jc w:val="center"/>
      <w:textAlignment w:val="baseline"/>
    </w:pPr>
    <w:rPr>
      <w:i/>
    </w:rPr>
  </w:style>
  <w:style w:type="paragraph" w:styleId="KeinLeerraum">
    <w:name w:val="No Spacing"/>
    <w:uiPriority w:val="1"/>
    <w:qFormat/>
    <w:rsid w:val="001D0E68"/>
    <w:pPr>
      <w:widowControl w:val="0"/>
    </w:pPr>
    <w:rPr>
      <w:rFonts w:ascii="Times New Roman" w:eastAsia="Batang" w:hAnsi="Times New Roman" w:cs="Times New Roman"/>
      <w:kern w:val="0"/>
      <w:sz w:val="20"/>
      <w:szCs w:val="20"/>
      <w:lang w:val="en-US"/>
    </w:rPr>
  </w:style>
  <w:style w:type="paragraph" w:customStyle="1" w:styleId="FrameContents">
    <w:name w:val="Frame Contents"/>
    <w:basedOn w:val="Standard"/>
    <w:qFormat/>
  </w:style>
  <w:style w:type="table" w:styleId="Tabellenraster">
    <w:name w:val="Table Grid"/>
    <w:basedOn w:val="NormaleTabelle"/>
    <w:rsid w:val="000D475C"/>
    <w:pPr>
      <w:suppressAutoHyphens w:val="0"/>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26238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paragraph" w:customStyle="1" w:styleId="AuthorAffiliation">
    <w:name w:val="Author Affiliation"/>
    <w:basedOn w:val="Standard"/>
    <w:rsid w:val="000D475C"/>
    <w:pPr>
      <w:jc w:val="center"/>
    </w:pPr>
    <w:rPr>
      <w:i/>
    </w:rPr>
  </w:style>
  <w:style w:type="paragraph" w:customStyle="1" w:styleId="AuthorEmail">
    <w:name w:val="Author Email"/>
    <w:basedOn w:val="Standard"/>
    <w:qFormat/>
    <w:rsid w:val="000D475C"/>
    <w:pPr>
      <w:jc w:val="center"/>
    </w:pPr>
  </w:style>
  <w:style w:type="paragraph" w:customStyle="1" w:styleId="AuthorName">
    <w:name w:val="Author Name"/>
    <w:basedOn w:val="Standard"/>
    <w:next w:val="AuthorAffiliation"/>
    <w:rsid w:val="000D475C"/>
    <w:pPr>
      <w:spacing w:before="360" w:after="360"/>
      <w:contextualSpacing/>
      <w:jc w:val="center"/>
    </w:pPr>
    <w:rPr>
      <w:sz w:val="28"/>
    </w:rPr>
  </w:style>
  <w:style w:type="paragraph" w:customStyle="1" w:styleId="Equation">
    <w:name w:val="Equation"/>
    <w:basedOn w:val="Paragraph"/>
    <w:rsid w:val="000D475C"/>
    <w:pPr>
      <w:tabs>
        <w:tab w:val="center" w:pos="4320"/>
        <w:tab w:val="right" w:pos="9242"/>
      </w:tabs>
      <w:ind w:firstLine="0"/>
      <w:jc w:val="center"/>
    </w:pPr>
  </w:style>
  <w:style w:type="character" w:styleId="Fett">
    <w:name w:val="Strong"/>
    <w:basedOn w:val="Absatz-Standardschriftart"/>
    <w:uiPriority w:val="22"/>
    <w:qFormat/>
    <w:rsid w:val="000D475C"/>
    <w:rPr>
      <w:b/>
      <w:bCs/>
    </w:rPr>
  </w:style>
  <w:style w:type="paragraph" w:customStyle="1" w:styleId="Figure">
    <w:name w:val="Figure"/>
    <w:basedOn w:val="Paragraph"/>
    <w:rsid w:val="000D475C"/>
    <w:pPr>
      <w:keepNext/>
      <w:ind w:firstLine="0"/>
      <w:jc w:val="center"/>
    </w:pPr>
  </w:style>
  <w:style w:type="paragraph" w:styleId="Funotentext">
    <w:name w:val="footnote text"/>
    <w:basedOn w:val="Standard"/>
    <w:link w:val="FunotentextZchn"/>
    <w:semiHidden/>
    <w:rsid w:val="000D475C"/>
    <w:rPr>
      <w:sz w:val="16"/>
    </w:rPr>
  </w:style>
  <w:style w:type="character" w:customStyle="1" w:styleId="FunotentextZchn">
    <w:name w:val="Fußnotentext Zchn"/>
    <w:basedOn w:val="Absatz-Standardschriftart"/>
    <w:link w:val="Funotentext"/>
    <w:semiHidden/>
    <w:rsid w:val="000D475C"/>
    <w:rPr>
      <w:rFonts w:ascii="Times New Roman" w:eastAsia="Times New Roman" w:hAnsi="Times New Roman" w:cs="Times New Roman"/>
      <w:kern w:val="0"/>
      <w:sz w:val="16"/>
      <w:szCs w:val="20"/>
      <w:lang w:val="en-US"/>
    </w:rPr>
  </w:style>
  <w:style w:type="character" w:styleId="Funotenzeichen">
    <w:name w:val="footnote reference"/>
    <w:semiHidden/>
    <w:rsid w:val="000D475C"/>
    <w:rPr>
      <w:vertAlign w:val="superscript"/>
    </w:rPr>
  </w:style>
  <w:style w:type="character" w:styleId="Hervorhebung">
    <w:name w:val="Emphasis"/>
    <w:basedOn w:val="Absatz-Standardschriftart"/>
    <w:uiPriority w:val="20"/>
    <w:qFormat/>
    <w:rsid w:val="000D475C"/>
    <w:rPr>
      <w:i/>
      <w:iCs/>
    </w:rPr>
  </w:style>
  <w:style w:type="paragraph" w:styleId="Kommentartext">
    <w:name w:val="annotation text"/>
    <w:basedOn w:val="Standard"/>
    <w:link w:val="KommentartextZchn"/>
    <w:semiHidden/>
    <w:unhideWhenUsed/>
    <w:rsid w:val="000D475C"/>
  </w:style>
  <w:style w:type="character" w:customStyle="1" w:styleId="KommentartextZchn">
    <w:name w:val="Kommentartext Zchn"/>
    <w:basedOn w:val="Absatz-Standardschriftart"/>
    <w:link w:val="Kommentartext"/>
    <w:semiHidden/>
    <w:rsid w:val="000D475C"/>
    <w:rPr>
      <w:rFonts w:ascii="Times New Roman" w:eastAsia="Times New Roman" w:hAnsi="Times New Roman" w:cs="Times New Roman"/>
      <w:kern w:val="0"/>
      <w:sz w:val="20"/>
      <w:szCs w:val="20"/>
      <w:lang w:val="en-US"/>
    </w:rPr>
  </w:style>
  <w:style w:type="paragraph" w:styleId="Kommentarthema">
    <w:name w:val="annotation subject"/>
    <w:basedOn w:val="Kommentartext"/>
    <w:next w:val="Kommentartext"/>
    <w:link w:val="KommentarthemaZchn"/>
    <w:semiHidden/>
    <w:unhideWhenUsed/>
    <w:rsid w:val="000D475C"/>
    <w:rPr>
      <w:b/>
      <w:bCs/>
    </w:rPr>
  </w:style>
  <w:style w:type="character" w:customStyle="1" w:styleId="KommentarthemaZchn">
    <w:name w:val="Kommentarthema Zchn"/>
    <w:basedOn w:val="KommentartextZchn"/>
    <w:link w:val="Kommentarthema"/>
    <w:semiHidden/>
    <w:rsid w:val="000D475C"/>
    <w:rPr>
      <w:rFonts w:ascii="Times New Roman" w:eastAsia="Times New Roman" w:hAnsi="Times New Roman" w:cs="Times New Roman"/>
      <w:b/>
      <w:bCs/>
      <w:kern w:val="0"/>
      <w:sz w:val="20"/>
      <w:szCs w:val="20"/>
      <w:lang w:val="en-US"/>
    </w:rPr>
  </w:style>
  <w:style w:type="character" w:styleId="Kommentarzeichen">
    <w:name w:val="annotation reference"/>
    <w:basedOn w:val="Absatz-Standardschriftart"/>
    <w:semiHidden/>
    <w:unhideWhenUsed/>
    <w:rsid w:val="000D475C"/>
    <w:rPr>
      <w:sz w:val="16"/>
      <w:szCs w:val="16"/>
    </w:rPr>
  </w:style>
  <w:style w:type="character" w:styleId="NichtaufgelsteErwhnung">
    <w:name w:val="Unresolved Mention"/>
    <w:basedOn w:val="Absatz-Standardschriftart"/>
    <w:uiPriority w:val="99"/>
    <w:semiHidden/>
    <w:unhideWhenUsed/>
    <w:rsid w:val="000D475C"/>
    <w:rPr>
      <w:color w:val="808080"/>
      <w:shd w:val="clear" w:color="auto" w:fill="E6E6E6"/>
    </w:rPr>
  </w:style>
  <w:style w:type="paragraph" w:customStyle="1" w:styleId="PaperTitle">
    <w:name w:val="Paper Title"/>
    <w:basedOn w:val="Standard"/>
    <w:next w:val="AuthorName"/>
    <w:rsid w:val="000D475C"/>
    <w:pPr>
      <w:spacing w:before="1200"/>
      <w:jc w:val="center"/>
    </w:pPr>
    <w:rPr>
      <w:b/>
      <w:sz w:val="36"/>
    </w:rPr>
  </w:style>
  <w:style w:type="paragraph" w:customStyle="1" w:styleId="Paragraphbulleted">
    <w:name w:val="Paragraph (bulleted)"/>
    <w:basedOn w:val="Paragraph"/>
    <w:rsid w:val="000D475C"/>
    <w:pPr>
      <w:numPr>
        <w:numId w:val="3"/>
      </w:numPr>
    </w:pPr>
  </w:style>
  <w:style w:type="paragraph" w:customStyle="1" w:styleId="Paragraphnumbered">
    <w:name w:val="Paragraph (numbered)"/>
    <w:rsid w:val="000D475C"/>
    <w:pPr>
      <w:numPr>
        <w:numId w:val="4"/>
      </w:numPr>
      <w:suppressAutoHyphens w:val="0"/>
      <w:jc w:val="both"/>
    </w:pPr>
    <w:rPr>
      <w:rFonts w:ascii="Times New Roman" w:eastAsia="Times New Roman" w:hAnsi="Times New Roman" w:cs="Times New Roman"/>
      <w:kern w:val="0"/>
      <w:sz w:val="20"/>
      <w:szCs w:val="20"/>
      <w:lang w:val="en-US"/>
    </w:rPr>
  </w:style>
  <w:style w:type="paragraph" w:customStyle="1" w:styleId="Reference">
    <w:name w:val="Reference"/>
    <w:basedOn w:val="Paragraph"/>
    <w:rsid w:val="000D475C"/>
    <w:pPr>
      <w:numPr>
        <w:numId w:val="5"/>
      </w:numPr>
    </w:pPr>
  </w:style>
  <w:style w:type="paragraph" w:styleId="Sprechblasentext">
    <w:name w:val="Balloon Text"/>
    <w:basedOn w:val="Standard"/>
    <w:link w:val="SprechblasentextZchn"/>
    <w:rsid w:val="000D475C"/>
    <w:rPr>
      <w:rFonts w:ascii="Tahoma" w:hAnsi="Tahoma" w:cs="Tahoma"/>
      <w:sz w:val="16"/>
      <w:szCs w:val="16"/>
    </w:rPr>
  </w:style>
  <w:style w:type="character" w:customStyle="1" w:styleId="SprechblasentextZchn">
    <w:name w:val="Sprechblasentext Zchn"/>
    <w:basedOn w:val="Absatz-Standardschriftart"/>
    <w:link w:val="Sprechblasentext"/>
    <w:rsid w:val="000D475C"/>
    <w:rPr>
      <w:rFonts w:ascii="Tahoma" w:eastAsia="Times New Roman" w:hAnsi="Tahoma" w:cs="Tahoma"/>
      <w:kern w:val="0"/>
      <w:sz w:val="16"/>
      <w:szCs w:val="16"/>
      <w:lang w:val="en-US"/>
    </w:rPr>
  </w:style>
  <w:style w:type="paragraph" w:customStyle="1" w:styleId="TableCaption">
    <w:name w:val="Table Caption"/>
    <w:basedOn w:val="FigureCaption"/>
    <w:qFormat/>
    <w:rsid w:val="000D475C"/>
    <w:rPr>
      <w:szCs w:val="18"/>
    </w:rPr>
  </w:style>
  <w:style w:type="character" w:customStyle="1" w:styleId="berschrift2Zchn">
    <w:name w:val="Überschrift 2 Zchn"/>
    <w:basedOn w:val="Absatz-Standardschriftart"/>
    <w:link w:val="berschrift2"/>
    <w:rsid w:val="00B4681B"/>
    <w:rPr>
      <w:rFonts w:ascii="Times New Roman" w:eastAsia="Times New Roman" w:hAnsi="Times New Roman" w:cs="Times New Roman"/>
      <w:b/>
      <w:kern w:val="0"/>
      <w:sz w:val="24"/>
      <w:szCs w:val="20"/>
      <w:lang w:val="en-US"/>
    </w:rPr>
  </w:style>
  <w:style w:type="character" w:customStyle="1" w:styleId="berschrift3Zchn">
    <w:name w:val="Überschrift 3 Zchn"/>
    <w:basedOn w:val="Absatz-Standardschriftart"/>
    <w:link w:val="berschrift3"/>
    <w:rsid w:val="000D475C"/>
    <w:rPr>
      <w:rFonts w:ascii="Times New Roman" w:eastAsia="Times New Roman" w:hAnsi="Times New Roman" w:cs="Times New Roman"/>
      <w:i/>
      <w:iCs/>
      <w:kern w:val="0"/>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i.org/10.21595/vp.2024.24088"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07/978-981-97-8221-5_7"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1976</Words>
  <Characters>11265</Characters>
  <Application>Microsoft Office Word</Application>
  <DocSecurity>0</DocSecurity>
  <Lines>178</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Айжан Мута</dc:creator>
  <dc:description/>
  <cp:lastModifiedBy>TU-Pseudonym 5300993042411274</cp:lastModifiedBy>
  <cp:revision>10</cp:revision>
  <dcterms:created xsi:type="dcterms:W3CDTF">2025-09-30T17:58:00Z</dcterms:created>
  <dcterms:modified xsi:type="dcterms:W3CDTF">2025-11-27T10:09:00Z</dcterms:modified>
  <dc:language>en-US</dc:language>
</cp:coreProperties>
</file>