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37CAC" w14:textId="77777777" w:rsidR="00FC34EF" w:rsidRPr="007C7930" w:rsidRDefault="00000000" w:rsidP="007C7930">
      <w:pPr>
        <w:pStyle w:val="PaperTitle"/>
      </w:pPr>
      <w:r w:rsidRPr="007C7930">
        <w:t xml:space="preserve">Definition of the Feed Influence During the FSP Process of Steel Surfaces on Hardening by Alloying with WC-Co Tool Particles. Modeling and Experiment </w:t>
      </w:r>
    </w:p>
    <w:p w14:paraId="0832B1B9" w14:textId="77777777" w:rsidR="00FC34EF" w:rsidRDefault="00000000">
      <w:pPr>
        <w:pStyle w:val="AuthorName"/>
        <w:rPr>
          <w:sz w:val="20"/>
          <w:lang w:eastAsia="en-GB"/>
        </w:rPr>
      </w:pPr>
      <w:bookmarkStart w:id="0" w:name="__DdeLink__958_2922242393"/>
      <w:r>
        <w:t>Viktor P. Kuznetsov</w:t>
      </w:r>
      <w:bookmarkEnd w:id="0"/>
      <w:r>
        <w:rPr>
          <w:vertAlign w:val="superscript"/>
        </w:rPr>
        <w:t>a)</w:t>
      </w:r>
      <w:r>
        <w:t>, Igor A. Vorontsov</w:t>
      </w:r>
      <w:r>
        <w:rPr>
          <w:vertAlign w:val="superscript"/>
        </w:rPr>
        <w:t>b)</w:t>
      </w:r>
      <w:r>
        <w:t xml:space="preserve"> and Andrei S. Skorobogatov</w:t>
      </w:r>
      <w:r>
        <w:rPr>
          <w:vertAlign w:val="superscript"/>
        </w:rPr>
        <w:t>c)</w:t>
      </w:r>
    </w:p>
    <w:p w14:paraId="1BD8B484" w14:textId="77777777" w:rsidR="00FC34EF" w:rsidRDefault="00000000">
      <w:pPr>
        <w:pStyle w:val="AuthorAffiliation"/>
      </w:pPr>
      <w:bookmarkStart w:id="1" w:name="__DdeLink__960_2922242393"/>
      <w:r>
        <w:t>Ural Federal University</w:t>
      </w:r>
      <w:bookmarkEnd w:id="1"/>
      <w:r>
        <w:t>, 19 Mira St., 620062, Ekaterinburg, Russia</w:t>
      </w:r>
    </w:p>
    <w:p w14:paraId="6391E92B" w14:textId="77777777" w:rsidR="00FC34EF" w:rsidRDefault="00FC34EF">
      <w:pPr>
        <w:pStyle w:val="AuthorAffiliation"/>
      </w:pPr>
    </w:p>
    <w:p w14:paraId="6FAAFFD1" w14:textId="77777777" w:rsidR="00FC34EF" w:rsidRPr="00900195" w:rsidRDefault="00000000" w:rsidP="00900195">
      <w:pPr>
        <w:pStyle w:val="AuthorEmail"/>
      </w:pPr>
      <w:r w:rsidRPr="00657F79">
        <w:rPr>
          <w:vertAlign w:val="superscript"/>
        </w:rPr>
        <w:t>a)</w:t>
      </w:r>
      <w:r w:rsidRPr="00900195">
        <w:t xml:space="preserve"> Corresponding author: </w:t>
      </w:r>
      <w:bookmarkStart w:id="2" w:name="__DdeLink__964_2922242393"/>
      <w:r w:rsidRPr="00900195">
        <w:t>wpkuzn@mail.ru</w:t>
      </w:r>
      <w:bookmarkEnd w:id="2"/>
      <w:r w:rsidRPr="00900195">
        <w:br/>
      </w:r>
      <w:r w:rsidRPr="00657F79">
        <w:rPr>
          <w:vertAlign w:val="superscript"/>
        </w:rPr>
        <w:t>b)</w:t>
      </w:r>
      <w:r w:rsidRPr="00900195">
        <w:t xml:space="preserve"> igor.vorontsov@urfu.ru</w:t>
      </w:r>
      <w:r w:rsidRPr="00900195">
        <w:br/>
      </w:r>
      <w:r w:rsidRPr="00657F79">
        <w:rPr>
          <w:vertAlign w:val="superscript"/>
        </w:rPr>
        <w:t>c)</w:t>
      </w:r>
      <w:r w:rsidRPr="00900195">
        <w:t xml:space="preserve"> ufo2log@gmail.com</w:t>
      </w:r>
    </w:p>
    <w:p w14:paraId="0E24F608" w14:textId="77777777" w:rsidR="00FC34EF" w:rsidRDefault="00000000">
      <w:pPr>
        <w:pStyle w:val="Abstract"/>
      </w:pPr>
      <w:r>
        <w:rPr>
          <w:b/>
          <w:bCs/>
        </w:rPr>
        <w:t>Abstract.</w:t>
      </w:r>
      <w:r>
        <w:t xml:space="preserve"> The article presents an analytical model and performed calculations of the temperature in the contact zone of the tool during friction-stir processing of AISI 420 steel, depending on the thermal properties of the materials and technological parameters. It is shown that feed rate reduction from 100 mm/min to 50 mm/min increases the maximum temperature in the contact zone of the rotating tool from 1250 to 1430 °C and extends holding time at the austenization temperature from 7.5 to 32.3 sec. The experimental studies of the process indirectly confirm the results of modeling based on the thickness of the hardened layer. It is shown that when the feed rate decreases from 100 mm/min to 50 mm/min, the thickness of the hardened layer increases from 850 microns to 1500 microns.</w:t>
      </w:r>
    </w:p>
    <w:p w14:paraId="3AFF432F" w14:textId="77777777" w:rsidR="00FC34EF" w:rsidRDefault="00000000">
      <w:pPr>
        <w:pStyle w:val="berschrift1"/>
      </w:pPr>
      <w:r>
        <w:t>Introduction</w:t>
      </w:r>
    </w:p>
    <w:p w14:paraId="6DC13757" w14:textId="77777777" w:rsidR="00FC34EF" w:rsidRDefault="00000000">
      <w:pPr>
        <w:pStyle w:val="Paragraph"/>
      </w:pPr>
      <w:r>
        <w:t xml:space="preserve">Friction-stir processing (FSP) is an effective thermomechanical method for hardening the surface layer of steels due to intense frictional heat generation in tool/surface contact and a high degree of shear deformation. Earlier, for martensitic corrosion–resistant AISI 420 </w:t>
      </w:r>
      <w:proofErr w:type="gramStart"/>
      <w:r>
        <w:t>steel</w:t>
      </w:r>
      <w:proofErr w:type="gramEnd"/>
      <w:r>
        <w:t>, it was shown that when using a WC-Co carbide tool with a flat end, the FSP implements a set of mechanisms for surface hardening by friction hardening, dynamic recrystallization, and dispersion hardening by tungsten carbide particles of the tool material. As a result of FSP, a pronounced gradient of properties is formed along the depth of the surface layer and an increase in microhardness and wear resistance is observed [1].</w:t>
      </w:r>
    </w:p>
    <w:p w14:paraId="2874F992" w14:textId="77777777" w:rsidR="00FC34EF" w:rsidRDefault="00000000">
      <w:pPr>
        <w:pStyle w:val="Paragraph"/>
      </w:pPr>
      <w:r>
        <w:t>Classical FSP studies focus on the influence of kinematic parameters, normal force and geometry of the working part of the tool on the thermal balance and the course of dynamic recrystallization (DRX), which determines the grain size in the stir zone (SZ) and the depth of the thermomechanical affected zone (TMAZ) [2]. In FSP of steels, the geometry of the tool working part and the area of the contact zone directly affect the heat fluxes into the surface layer and the tool, which determine the development of hardening mechanisms [3].</w:t>
      </w:r>
    </w:p>
    <w:p w14:paraId="2A971E59" w14:textId="77777777" w:rsidR="00FC34EF" w:rsidRDefault="00000000">
      <w:pPr>
        <w:pStyle w:val="Paragraph"/>
      </w:pPr>
      <w:r>
        <w:t xml:space="preserve">For martensitic stainless steels of the AISI 420 type, a reduction in feed at a fixed normal force and rotation speed of the tool leads to greater heating, grain size refinement and an increase in surface microhardness. At the same time, </w:t>
      </w:r>
      <w:proofErr w:type="gramStart"/>
      <w:r>
        <w:t>its corrosion</w:t>
      </w:r>
      <w:proofErr w:type="gramEnd"/>
      <w:r>
        <w:t xml:space="preserve"> resistance is improved due to redistribution and refinement of the carbide phase [4]. Modern studies confirm an increase in wear resistance and a decrease in the friction coefficient of AISI 420 steel after FSP. The achieved effect is attributed to the combined contribution of dispersion hardening, as well as to the formation of compressive residual stresses [5].</w:t>
      </w:r>
    </w:p>
    <w:p w14:paraId="0273FAAD" w14:textId="77777777" w:rsidR="00FC34EF" w:rsidRDefault="00000000">
      <w:pPr>
        <w:pStyle w:val="Paragraph"/>
      </w:pPr>
      <w:r>
        <w:t xml:space="preserve">FSP of structural </w:t>
      </w:r>
      <w:proofErr w:type="gramStart"/>
      <w:r>
        <w:t>steels</w:t>
      </w:r>
      <w:proofErr w:type="gramEnd"/>
      <w:r>
        <w:t xml:space="preserve"> </w:t>
      </w:r>
      <w:proofErr w:type="gramStart"/>
      <w:r>
        <w:t>provides for</w:t>
      </w:r>
      <w:proofErr w:type="gramEnd"/>
      <w:r>
        <w:t xml:space="preserve"> rapid surface hardening and improved tribological properties. Optimal processing conditions </w:t>
      </w:r>
      <w:proofErr w:type="gramStart"/>
      <w:r>
        <w:t>aims</w:t>
      </w:r>
      <w:proofErr w:type="gramEnd"/>
      <w:r>
        <w:t xml:space="preserve"> at achieving hardness in the stir zone, which is comparable to or exceeds the hardness after traditional quenching, and the wear of the hardened surface during dry friction is significantly reduced [6, 7]. The contact temperature is a key factor determining the surface hardening mechanism and imposing requirements on the tool material, especially on the hard alloy (Co/Ni) matrix. When overheating, the matrix softens, which leads to </w:t>
      </w:r>
      <w:proofErr w:type="gramStart"/>
      <w:r>
        <w:lastRenderedPageBreak/>
        <w:t>tungsten</w:t>
      </w:r>
      <w:proofErr w:type="gramEnd"/>
      <w:r>
        <w:t xml:space="preserve"> carbide particles chipping and </w:t>
      </w:r>
      <w:proofErr w:type="gramStart"/>
      <w:r>
        <w:t>their</w:t>
      </w:r>
      <w:proofErr w:type="gramEnd"/>
      <w:r>
        <w:t xml:space="preserve"> transfer to the surface under treatment, especially when hardening high-carbon steels. [8].</w:t>
      </w:r>
    </w:p>
    <w:p w14:paraId="3664771F" w14:textId="77777777" w:rsidR="00FC34EF" w:rsidRDefault="00000000">
      <w:pPr>
        <w:pStyle w:val="Paragraph"/>
      </w:pPr>
      <w:r>
        <w:t xml:space="preserve">Thus, for structural steels, it is necessary to make a correct choice of FSP modes, ensuring, firstly, sufficient heat supply for upper layer austenization while maintaining durability of the WC-Co tool, secondly, intensive and stable surface material stirring to minimize defects and pores, thirdly, controlled maintenance of a hardness gradient to a depth of 0.5-1.5 mm or more. The series of FSP results for AISI 420 steel with WC–Co components alloying confirms that the highest hardening effect is achieved under conditions that simultaneously provide the DRX mechanism, martensitic transformation during cooling and formation of dispersion carbide phases based on </w:t>
      </w:r>
      <w:r>
        <w:br/>
        <w:t>Fe–W–C.</w:t>
      </w:r>
    </w:p>
    <w:p w14:paraId="473AA38D" w14:textId="77777777" w:rsidR="00FC34EF" w:rsidRDefault="00000000">
      <w:pPr>
        <w:pStyle w:val="Paragraph"/>
      </w:pPr>
      <w:r>
        <w:t>The purpose of the work is to establish the effect of the rotating tool feed rate in the AISI 420 steel FSP on surface layer hardening due to martensitic structure formation and alloying with tungsten carbide particles based on application of the analytical model and experimental research.</w:t>
      </w:r>
    </w:p>
    <w:p w14:paraId="2FA1270C" w14:textId="77777777" w:rsidR="00FC34EF" w:rsidRDefault="00000000">
      <w:pPr>
        <w:pStyle w:val="berschrift1"/>
      </w:pPr>
      <w:r>
        <w:t>Modeling and experimental research</w:t>
      </w:r>
    </w:p>
    <w:p w14:paraId="5463D47F" w14:textId="77777777" w:rsidR="00FC34EF" w:rsidRDefault="00000000">
      <w:pPr>
        <w:pStyle w:val="Paragraph"/>
      </w:pPr>
      <w:r>
        <w:t xml:space="preserve">The friction stir processing by a tool with a spherical working part is characterized by the following main technological parameters: normal force </w:t>
      </w:r>
      <w:r>
        <w:rPr>
          <w:i/>
        </w:rPr>
        <w:t>F</w:t>
      </w:r>
      <w:r>
        <w:rPr>
          <w:i/>
          <w:vertAlign w:val="subscript"/>
        </w:rPr>
        <w:t>n</w:t>
      </w:r>
      <w:r>
        <w:t xml:space="preserve">, feed rate </w:t>
      </w:r>
      <w:r>
        <w:rPr>
          <w:i/>
        </w:rPr>
        <w:t>f</w:t>
      </w:r>
      <w:r>
        <w:t xml:space="preserve">, rotation speed </w:t>
      </w:r>
      <w:r>
        <w:rPr>
          <w:i/>
        </w:rPr>
        <w:t>n</w:t>
      </w:r>
      <w:r>
        <w:t xml:space="preserve"> and tool sharpening radius </w:t>
      </w:r>
      <w:r>
        <w:rPr>
          <w:i/>
        </w:rPr>
        <w:t>R</w:t>
      </w:r>
      <w:r>
        <w:rPr>
          <w:i/>
          <w:vertAlign w:val="subscript"/>
        </w:rPr>
        <w:t>c</w:t>
      </w:r>
      <w:r>
        <w:t xml:space="preserve"> (Fig. 1, a). Due to the normal force and heating of the material under treatment during processing, the tool is immersed to a certain depth </w:t>
      </w:r>
      <w:r>
        <w:rPr>
          <w:i/>
        </w:rPr>
        <w:t xml:space="preserve">h </w:t>
      </w:r>
      <w:r>
        <w:t xml:space="preserve">into the surface layer. In this case, the tool provides intensive stirring of the material under treatment up to this depth. In addition to stirring, significant heating of the material under treatment is also provided due to the frictional interaction of the tool with the material under treatment. This interaction is characterized by the frictional heat release power </w:t>
      </w:r>
      <w:r>
        <w:rPr>
          <w:i/>
        </w:rPr>
        <w:t>P</w:t>
      </w:r>
      <w:r>
        <w:rPr>
          <w:vertAlign w:val="subscript"/>
        </w:rPr>
        <w:t>μ</w:t>
      </w:r>
      <w:r>
        <w:t xml:space="preserve"> in the contact zone, which can be determined by the following dependence:</w:t>
      </w:r>
    </w:p>
    <w:p w14:paraId="14DBDD83" w14:textId="2A5D7D7E" w:rsidR="00FC34EF" w:rsidRDefault="00000000">
      <w:pPr>
        <w:pStyle w:val="Equation"/>
      </w:pPr>
      <w:r>
        <w:tab/>
      </w:r>
      <w:r>
        <w:pict w14:anchorId="3DE22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left:0;text-align:left;margin-left:0;margin-top:0;width:50pt;height:50pt;z-index:251656192;visibility:hidden;mso-position-horizontal-relative:text;mso-position-vertical-relative:text">
            <o:lock v:ext="edit" selection="t"/>
          </v:shape>
        </w:pict>
      </w:r>
      <w:r w:rsidR="000A1477" w:rsidRPr="000A1477">
        <w:rPr>
          <w:position w:val="-12"/>
        </w:rPr>
        <w:object w:dxaOrig="1260" w:dyaOrig="320" w14:anchorId="27167B38">
          <v:shape id="_x0000_i1025" type="#_x0000_t75" style="width:63pt;height:16pt" o:ole="">
            <v:imagedata r:id="rId9" o:title=""/>
          </v:shape>
          <o:OLEObject Type="Embed" ProgID="Equation.DSMT4" ShapeID="_x0000_i1025" DrawAspect="Content" ObjectID="_1825394605" r:id="rId10"/>
        </w:object>
      </w:r>
      <w:r>
        <w:tab/>
        <w:t>(1)</w:t>
      </w:r>
    </w:p>
    <w:p w14:paraId="51CDA81B" w14:textId="77777777" w:rsidR="00FC34EF" w:rsidRDefault="00000000">
      <w:pPr>
        <w:pStyle w:val="Paragraph"/>
      </w:pPr>
      <w:r>
        <w:t>The released heat is distributed between the tool and the material under treatment into heat fluxes φ</w:t>
      </w:r>
      <w:r>
        <w:rPr>
          <w:i/>
          <w:vertAlign w:val="subscript"/>
        </w:rPr>
        <w:t>t</w:t>
      </w:r>
      <w:r>
        <w:t xml:space="preserve"> and φ</w:t>
      </w:r>
      <w:r>
        <w:rPr>
          <w:i/>
          <w:vertAlign w:val="subscript"/>
        </w:rPr>
        <w:t>m</w:t>
      </w:r>
      <w:r>
        <w:t>, respectively (Fig. 1, b). The values of heat fluxes φ</w:t>
      </w:r>
      <w:r>
        <w:rPr>
          <w:i/>
          <w:vertAlign w:val="subscript"/>
        </w:rPr>
        <w:t>t</w:t>
      </w:r>
      <w:r>
        <w:t xml:space="preserve"> and φ</w:t>
      </w:r>
      <w:r>
        <w:rPr>
          <w:i/>
          <w:vertAlign w:val="subscript"/>
        </w:rPr>
        <w:t>m</w:t>
      </w:r>
      <w:r>
        <w:t xml:space="preserve"> are determined mainly by the thermal characteristics of the tool and materials under treatment.</w:t>
      </w:r>
    </w:p>
    <w:p w14:paraId="59B6F284" w14:textId="77777777" w:rsidR="00FC34EF" w:rsidRDefault="00FC34EF">
      <w:pPr>
        <w:pStyle w:val="Paragraph"/>
      </w:pPr>
    </w:p>
    <w:tbl>
      <w:tblPr>
        <w:tblStyle w:val="Tabellenraster"/>
        <w:tblW w:w="9571" w:type="dxa"/>
        <w:tblInd w:w="108" w:type="dxa"/>
        <w:tblLayout w:type="fixed"/>
        <w:tblLook w:val="04A0" w:firstRow="1" w:lastRow="0" w:firstColumn="1" w:lastColumn="0" w:noHBand="0" w:noVBand="1"/>
      </w:tblPr>
      <w:tblGrid>
        <w:gridCol w:w="4785"/>
        <w:gridCol w:w="4786"/>
      </w:tblGrid>
      <w:tr w:rsidR="00FC34EF" w14:paraId="7E9BED05" w14:textId="77777777">
        <w:tc>
          <w:tcPr>
            <w:tcW w:w="4785" w:type="dxa"/>
            <w:tcBorders>
              <w:top w:val="nil"/>
              <w:left w:val="nil"/>
              <w:bottom w:val="nil"/>
              <w:right w:val="nil"/>
            </w:tcBorders>
            <w:vAlign w:val="bottom"/>
          </w:tcPr>
          <w:p w14:paraId="5A82A292" w14:textId="77777777" w:rsidR="00FC34EF" w:rsidRDefault="00000000">
            <w:pPr>
              <w:pStyle w:val="Figure"/>
            </w:pPr>
            <w:r>
              <w:rPr>
                <w:noProof/>
              </w:rPr>
              <w:drawing>
                <wp:inline distT="0" distB="0" distL="0" distR="0" wp14:anchorId="2481D9A1" wp14:editId="2486B781">
                  <wp:extent cx="1533525" cy="2085975"/>
                  <wp:effectExtent l="0" t="0" r="0" b="0"/>
                  <wp:docPr id="1" name="Рисунок 73" descr="Fig_1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73" descr="Fig_1_a"/>
                          <pic:cNvPicPr>
                            <a:picLocks noChangeAspect="1" noChangeArrowheads="1"/>
                          </pic:cNvPicPr>
                        </pic:nvPicPr>
                        <pic:blipFill>
                          <a:blip r:embed="rId11"/>
                          <a:stretch>
                            <a:fillRect/>
                          </a:stretch>
                        </pic:blipFill>
                        <pic:spPr bwMode="auto">
                          <a:xfrm>
                            <a:off x="0" y="0"/>
                            <a:ext cx="1533525" cy="2085975"/>
                          </a:xfrm>
                          <a:prstGeom prst="rect">
                            <a:avLst/>
                          </a:prstGeom>
                        </pic:spPr>
                      </pic:pic>
                    </a:graphicData>
                  </a:graphic>
                </wp:inline>
              </w:drawing>
            </w:r>
          </w:p>
        </w:tc>
        <w:tc>
          <w:tcPr>
            <w:tcW w:w="4785" w:type="dxa"/>
            <w:tcBorders>
              <w:top w:val="nil"/>
              <w:left w:val="nil"/>
              <w:bottom w:val="nil"/>
              <w:right w:val="nil"/>
            </w:tcBorders>
            <w:vAlign w:val="bottom"/>
          </w:tcPr>
          <w:p w14:paraId="60A3951A" w14:textId="77777777" w:rsidR="00FC34EF" w:rsidRDefault="00000000">
            <w:pPr>
              <w:pStyle w:val="Figure"/>
            </w:pPr>
            <w:r>
              <w:rPr>
                <w:noProof/>
              </w:rPr>
              <w:drawing>
                <wp:inline distT="0" distB="0" distL="0" distR="0" wp14:anchorId="5F3A8450" wp14:editId="62F2D098">
                  <wp:extent cx="1771650" cy="1619250"/>
                  <wp:effectExtent l="0" t="0" r="0" b="0"/>
                  <wp:docPr id="2" name="Рисунок 74" descr="Fig_1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74" descr="Fig_1_b"/>
                          <pic:cNvPicPr>
                            <a:picLocks noChangeAspect="1" noChangeArrowheads="1"/>
                          </pic:cNvPicPr>
                        </pic:nvPicPr>
                        <pic:blipFill>
                          <a:blip r:embed="rId12"/>
                          <a:stretch>
                            <a:fillRect/>
                          </a:stretch>
                        </pic:blipFill>
                        <pic:spPr bwMode="auto">
                          <a:xfrm>
                            <a:off x="0" y="0"/>
                            <a:ext cx="1771650" cy="1619250"/>
                          </a:xfrm>
                          <a:prstGeom prst="rect">
                            <a:avLst/>
                          </a:prstGeom>
                        </pic:spPr>
                      </pic:pic>
                    </a:graphicData>
                  </a:graphic>
                </wp:inline>
              </w:drawing>
            </w:r>
          </w:p>
        </w:tc>
      </w:tr>
      <w:tr w:rsidR="00FC34EF" w14:paraId="0F49E780" w14:textId="77777777">
        <w:tc>
          <w:tcPr>
            <w:tcW w:w="4785" w:type="dxa"/>
            <w:tcBorders>
              <w:top w:val="nil"/>
              <w:left w:val="nil"/>
              <w:bottom w:val="nil"/>
              <w:right w:val="nil"/>
            </w:tcBorders>
            <w:vAlign w:val="bottom"/>
          </w:tcPr>
          <w:p w14:paraId="3EE0CC35" w14:textId="77777777" w:rsidR="00FC34EF" w:rsidRDefault="00000000">
            <w:pPr>
              <w:pStyle w:val="Figure"/>
            </w:pPr>
            <w:r>
              <w:t>(a)</w:t>
            </w:r>
          </w:p>
        </w:tc>
        <w:tc>
          <w:tcPr>
            <w:tcW w:w="4785" w:type="dxa"/>
            <w:tcBorders>
              <w:top w:val="nil"/>
              <w:left w:val="nil"/>
              <w:bottom w:val="nil"/>
              <w:right w:val="nil"/>
            </w:tcBorders>
            <w:vAlign w:val="bottom"/>
          </w:tcPr>
          <w:p w14:paraId="5106DC9A" w14:textId="77777777" w:rsidR="00FC34EF" w:rsidRDefault="00000000">
            <w:pPr>
              <w:pStyle w:val="Figure"/>
            </w:pPr>
            <w:r>
              <w:t>(b)</w:t>
            </w:r>
          </w:p>
        </w:tc>
      </w:tr>
    </w:tbl>
    <w:p w14:paraId="2142CE07" w14:textId="77777777" w:rsidR="00FC34EF" w:rsidRDefault="00000000">
      <w:pPr>
        <w:pStyle w:val="FigureCaption"/>
      </w:pPr>
      <w:r>
        <w:rPr>
          <w:b/>
        </w:rPr>
        <w:t>FIGURE 1</w:t>
      </w:r>
      <w:r>
        <w:t>. Scheme of friction stir processing (a) and distribution of heat fluxes (b) into the workpiece and tool</w:t>
      </w:r>
    </w:p>
    <w:p w14:paraId="1AE6A2AF" w14:textId="77777777" w:rsidR="00FC34EF" w:rsidRDefault="00FC34EF">
      <w:pPr>
        <w:pStyle w:val="Paragraph"/>
      </w:pPr>
    </w:p>
    <w:p w14:paraId="1CFBD9A2" w14:textId="77777777" w:rsidR="00FC34EF" w:rsidRDefault="00000000">
      <w:pPr>
        <w:pStyle w:val="Paragraph"/>
      </w:pPr>
      <w:r>
        <w:t>From the point of view of the reinforced surface structure formation, an important parameter is the magnitude of the heat flux φ</w:t>
      </w:r>
      <w:r>
        <w:rPr>
          <w:i/>
          <w:vertAlign w:val="subscript"/>
        </w:rPr>
        <w:t>m</w:t>
      </w:r>
      <w:r>
        <w:t xml:space="preserve"> entering the material under treatment and leading to its heating. The temperature </w:t>
      </w:r>
      <w:r>
        <w:rPr>
          <w:i/>
        </w:rPr>
        <w:t>T</w:t>
      </w:r>
      <w:r>
        <w:rPr>
          <w:i/>
          <w:vertAlign w:val="subscript"/>
        </w:rPr>
        <w:t>c</w:t>
      </w:r>
      <w:r>
        <w:t xml:space="preserve"> of the material under treatment in the tool contact zone and in the depth of the surface layer over </w:t>
      </w:r>
      <w:proofErr w:type="gramStart"/>
      <w:r>
        <w:t xml:space="preserve">time </w:t>
      </w:r>
      <w:r>
        <w:rPr>
          <w:i/>
        </w:rPr>
        <w:t>t</w:t>
      </w:r>
      <w:proofErr w:type="gramEnd"/>
      <w:r>
        <w:rPr>
          <w:i/>
        </w:rPr>
        <w:t xml:space="preserve"> </w:t>
      </w:r>
      <w:r>
        <w:t>can be determined using an analytical model of the semi-infinite thermal problem of a fast-moving heat source [9]:</w:t>
      </w:r>
    </w:p>
    <w:p w14:paraId="04D8EF53" w14:textId="73625924" w:rsidR="00FC34EF" w:rsidRDefault="00000000">
      <w:pPr>
        <w:pStyle w:val="Equation"/>
      </w:pPr>
      <w:r>
        <w:tab/>
      </w:r>
      <w:r>
        <w:pict w14:anchorId="183947C4">
          <v:shape id="_x0000_tole_rId6" o:spid="_x0000_s1031" type="#_x0000_t75" style="position:absolute;left:0;text-align:left;margin-left:0;margin-top:0;width:50pt;height:50pt;z-index:251657216;visibility:hidden;mso-position-horizontal-relative:text;mso-position-vertical-relative:text">
            <o:lock v:ext="edit" selection="t"/>
          </v:shape>
        </w:pict>
      </w:r>
      <w:r w:rsidR="000A1477" w:rsidRPr="000A1477">
        <w:rPr>
          <w:position w:val="-70"/>
        </w:rPr>
        <w:object w:dxaOrig="6360" w:dyaOrig="1500" w14:anchorId="6882D6EF">
          <v:shape id="_x0000_i1026" type="#_x0000_t75" style="width:318pt;height:75pt" o:ole="">
            <v:imagedata r:id="rId13" o:title=""/>
          </v:shape>
          <o:OLEObject Type="Embed" ProgID="Equation.DSMT4" ShapeID="_x0000_i1026" DrawAspect="Content" ObjectID="_1825394606" r:id="rId14"/>
        </w:object>
      </w:r>
      <w:r>
        <w:tab/>
        <w:t>(2)</w:t>
      </w:r>
    </w:p>
    <w:p w14:paraId="116203F8" w14:textId="77777777" w:rsidR="00FC34EF" w:rsidRDefault="00000000">
      <w:pPr>
        <w:pStyle w:val="Paragraph"/>
        <w:ind w:firstLine="0"/>
      </w:pPr>
      <w:r>
        <w:lastRenderedPageBreak/>
        <w:t xml:space="preserve">where </w:t>
      </w:r>
      <w:r>
        <w:rPr>
          <w:i/>
        </w:rPr>
        <w:t>q</w:t>
      </w:r>
      <w:r>
        <w:rPr>
          <w:i/>
          <w:vertAlign w:val="subscript"/>
        </w:rPr>
        <w:t>m</w:t>
      </w:r>
      <w:r>
        <w:t xml:space="preserve"> is the heat flux density, W/m</w:t>
      </w:r>
      <w:r>
        <w:rPr>
          <w:vertAlign w:val="superscript"/>
        </w:rPr>
        <w:t>2</w:t>
      </w:r>
      <w:r>
        <w:t xml:space="preserve">; λ and α are the coefficients of thermal conductivity and temperature conductivity of the material </w:t>
      </w:r>
      <w:bookmarkStart w:id="3" w:name="_Hlk210306941"/>
      <w:r>
        <w:t>under treatment</w:t>
      </w:r>
      <w:bookmarkEnd w:id="3"/>
      <w:r>
        <w:t xml:space="preserve">, respectively; </w:t>
      </w:r>
      <w:r>
        <w:rPr>
          <w:i/>
        </w:rPr>
        <w:t>ierfc</w:t>
      </w:r>
      <w:r>
        <w:t xml:space="preserve"> is a standard function of the multiple error function integral; </w:t>
      </w:r>
      <w:r>
        <w:rPr>
          <w:i/>
        </w:rPr>
        <w:t>t</w:t>
      </w:r>
      <w:r>
        <w:rPr>
          <w:i/>
          <w:vertAlign w:val="subscript"/>
        </w:rPr>
        <w:t>c</w:t>
      </w:r>
      <w:r>
        <w:t xml:space="preserve"> is the heating time during the contact of the material under treatment and the tool.</w:t>
      </w:r>
    </w:p>
    <w:p w14:paraId="783EF923" w14:textId="77777777" w:rsidR="00FC34EF" w:rsidRDefault="00000000">
      <w:pPr>
        <w:pStyle w:val="Paragraph"/>
      </w:pPr>
      <w:r>
        <w:t xml:space="preserve">The analytical model describes the heating of the material under treatment in the contact zone over </w:t>
      </w:r>
      <w:proofErr w:type="gramStart"/>
      <w:r>
        <w:t>a time period</w:t>
      </w:r>
      <w:proofErr w:type="gramEnd"/>
      <w:r>
        <w:t xml:space="preserve"> of 0 </w:t>
      </w:r>
      <w:r>
        <w:rPr>
          <w:rFonts w:ascii="Calibri" w:hAnsi="Calibri" w:cs="Calibri"/>
        </w:rPr>
        <w:t>≤ </w:t>
      </w:r>
      <w:r>
        <w:rPr>
          <w:i/>
        </w:rPr>
        <w:t>t </w:t>
      </w:r>
      <w:r>
        <w:rPr>
          <w:rFonts w:ascii="Calibri" w:hAnsi="Calibri" w:cs="Calibri"/>
        </w:rPr>
        <w:t>≤ </w:t>
      </w:r>
      <w:r>
        <w:rPr>
          <w:i/>
        </w:rPr>
        <w:t>t</w:t>
      </w:r>
      <w:r>
        <w:rPr>
          <w:i/>
          <w:vertAlign w:val="subscript"/>
        </w:rPr>
        <w:t>c</w:t>
      </w:r>
      <w:r>
        <w:t xml:space="preserve"> and subsequent cooling after further tool travel (</w:t>
      </w:r>
      <w:r>
        <w:rPr>
          <w:i/>
        </w:rPr>
        <w:t>t </w:t>
      </w:r>
      <w:r>
        <w:t>&gt; </w:t>
      </w:r>
      <w:r>
        <w:rPr>
          <w:i/>
        </w:rPr>
        <w:t>t</w:t>
      </w:r>
      <w:r>
        <w:rPr>
          <w:i/>
          <w:vertAlign w:val="subscript"/>
        </w:rPr>
        <w:t>c</w:t>
      </w:r>
      <w:r>
        <w:t>).</w:t>
      </w:r>
    </w:p>
    <w:p w14:paraId="22E8AED3" w14:textId="77777777" w:rsidR="00FC34EF" w:rsidRDefault="00000000">
      <w:pPr>
        <w:pStyle w:val="Paragraph"/>
      </w:pPr>
      <w:r>
        <w:t xml:space="preserve">The heat flux density in the material under treatment </w:t>
      </w:r>
      <w:r>
        <w:rPr>
          <w:i/>
        </w:rPr>
        <w:t>q</w:t>
      </w:r>
      <w:r>
        <w:rPr>
          <w:i/>
          <w:vertAlign w:val="subscript"/>
        </w:rPr>
        <w:t>m</w:t>
      </w:r>
      <w:r>
        <w:t xml:space="preserve"> can be defined as the ratio of the heat flux magnitude </w:t>
      </w:r>
      <w:r>
        <w:rPr>
          <w:i/>
        </w:rPr>
        <w:t>q</w:t>
      </w:r>
      <w:r>
        <w:rPr>
          <w:i/>
          <w:vertAlign w:val="subscript"/>
        </w:rPr>
        <w:t>m</w:t>
      </w:r>
      <w:r>
        <w:t xml:space="preserve"> to the contact area </w:t>
      </w:r>
      <w:r>
        <w:rPr>
          <w:i/>
        </w:rPr>
        <w:t>A</w:t>
      </w:r>
      <w:r>
        <w:rPr>
          <w:i/>
          <w:vertAlign w:val="subscript"/>
        </w:rPr>
        <w:t>c</w:t>
      </w:r>
      <w:r>
        <w:t>:</w:t>
      </w:r>
    </w:p>
    <w:p w14:paraId="538798E9" w14:textId="048AA498" w:rsidR="00FC34EF" w:rsidRDefault="00000000">
      <w:pPr>
        <w:pStyle w:val="Equation"/>
      </w:pPr>
      <w:r>
        <w:tab/>
      </w:r>
      <w:r>
        <w:pict w14:anchorId="7E7C7985">
          <v:shape id="_x0000_tole_rId8" o:spid="_x0000_s1029" type="#_x0000_t75" style="position:absolute;left:0;text-align:left;margin-left:0;margin-top:0;width:50pt;height:50pt;z-index:251658240;visibility:hidden;mso-position-horizontal-relative:text;mso-position-vertical-relative:text">
            <o:lock v:ext="edit" selection="t"/>
          </v:shape>
        </w:pict>
      </w:r>
      <w:r w:rsidR="000A1477" w:rsidRPr="000A1477">
        <w:rPr>
          <w:position w:val="-26"/>
        </w:rPr>
        <w:object w:dxaOrig="1620" w:dyaOrig="600" w14:anchorId="084ED656">
          <v:shape id="_x0000_i1027" type="#_x0000_t75" style="width:81pt;height:30pt" o:ole="">
            <v:imagedata r:id="rId15" o:title=""/>
          </v:shape>
          <o:OLEObject Type="Embed" ProgID="Equation.DSMT4" ShapeID="_x0000_i1027" DrawAspect="Content" ObjectID="_1825394607" r:id="rId16"/>
        </w:object>
      </w:r>
      <w:r>
        <w:tab/>
        <w:t>(3)</w:t>
      </w:r>
    </w:p>
    <w:p w14:paraId="14020EB2" w14:textId="77777777" w:rsidR="00FC34EF" w:rsidRDefault="00000000">
      <w:pPr>
        <w:pStyle w:val="Paragraph"/>
      </w:pPr>
      <w:r>
        <w:t xml:space="preserve">The contact time </w:t>
      </w:r>
      <w:r>
        <w:rPr>
          <w:i/>
        </w:rPr>
        <w:t>t</w:t>
      </w:r>
      <w:r>
        <w:rPr>
          <w:i/>
          <w:vertAlign w:val="subscript"/>
        </w:rPr>
        <w:t>c</w:t>
      </w:r>
      <w:r>
        <w:t xml:space="preserve"> corresponds to the heating duration and can be defined as the ratio of the actual diameter of the contact spot of the tool </w:t>
      </w:r>
      <w:r>
        <w:rPr>
          <w:i/>
        </w:rPr>
        <w:t>d</w:t>
      </w:r>
      <w:r>
        <w:rPr>
          <w:i/>
          <w:vertAlign w:val="subscript"/>
        </w:rPr>
        <w:t>c</w:t>
      </w:r>
      <w:r>
        <w:t xml:space="preserve"> with the surface under treatment to the feed value </w:t>
      </w:r>
      <w:r>
        <w:rPr>
          <w:i/>
        </w:rPr>
        <w:t>f</w:t>
      </w:r>
      <w:r>
        <w:t xml:space="preserve"> (4).</w:t>
      </w:r>
    </w:p>
    <w:p w14:paraId="2DFA734B" w14:textId="305DBBE8" w:rsidR="00FC34EF" w:rsidRDefault="00000000">
      <w:pPr>
        <w:pStyle w:val="Equation"/>
      </w:pPr>
      <w:r>
        <w:tab/>
      </w:r>
      <w:r>
        <w:pict w14:anchorId="53814DD3">
          <v:shape id="_x0000_tole_rId10" o:spid="_x0000_s1027" type="#_x0000_t75" style="position:absolute;left:0;text-align:left;margin-left:0;margin-top:0;width:50pt;height:50pt;z-index:251659264;visibility:hidden;mso-position-horizontal-relative:text;mso-position-vertical-relative:text">
            <o:lock v:ext="edit" selection="t"/>
          </v:shape>
        </w:pict>
      </w:r>
      <w:r w:rsidR="000A1477" w:rsidRPr="000A1477">
        <w:rPr>
          <w:position w:val="-26"/>
        </w:rPr>
        <w:object w:dxaOrig="760" w:dyaOrig="600" w14:anchorId="2293746A">
          <v:shape id="_x0000_i1028" type="#_x0000_t75" style="width:38pt;height:30pt" o:ole="">
            <v:imagedata r:id="rId17" o:title=""/>
          </v:shape>
          <o:OLEObject Type="Embed" ProgID="Equation.DSMT4" ShapeID="_x0000_i1028" DrawAspect="Content" ObjectID="_1825394608" r:id="rId18"/>
        </w:object>
      </w:r>
      <w:r>
        <w:tab/>
        <w:t>(4)</w:t>
      </w:r>
    </w:p>
    <w:p w14:paraId="7C25D9A9" w14:textId="77777777" w:rsidR="00FC34EF" w:rsidRDefault="00000000">
      <w:pPr>
        <w:pStyle w:val="Paragraph"/>
      </w:pPr>
      <w:r>
        <w:t>For optimal conditions for FSP the AISI 420 steel surface with a normal force of 3000 N and a rotation speed of 2500 rpm, the dependences have been obtained that show a significant effect of the tool feed on heating and cooling of the material surface under treatment (Fig. 2). Thus, with a feed of 100 mm/min, the surface under treatment is at the temperature above the threshold A</w:t>
      </w:r>
      <w:r>
        <w:rPr>
          <w:vertAlign w:val="subscript"/>
        </w:rPr>
        <w:t>C3</w:t>
      </w:r>
      <w:r>
        <w:t xml:space="preserve"> in </w:t>
      </w:r>
      <w:proofErr w:type="gramStart"/>
      <w:r>
        <w:t>during</w:t>
      </w:r>
      <w:proofErr w:type="gramEnd"/>
      <w:r>
        <w:t xml:space="preserve"> 7.5 seconds, while when the feed is reduced to 75 mm/min and 50 mm/min, the austenization temperature is maintained for 15.4 and 32.3 seconds, respectively. From the findings, it can be assumed that the feed rate of 100 mm/min may be too high and will not ensure complete austenization of the surface layer material and, accordingly, the subsequent formation of a martensitic structure during cooling.</w:t>
      </w:r>
    </w:p>
    <w:p w14:paraId="531C2B4B" w14:textId="77777777" w:rsidR="00FC34EF" w:rsidRDefault="00FC34EF">
      <w:pPr>
        <w:pStyle w:val="Paragraph"/>
      </w:pPr>
    </w:p>
    <w:p w14:paraId="7AB5C2AB" w14:textId="77777777" w:rsidR="00FC34EF" w:rsidRDefault="00000000">
      <w:pPr>
        <w:pStyle w:val="Figure"/>
      </w:pPr>
      <w:r>
        <w:rPr>
          <w:noProof/>
        </w:rPr>
        <w:drawing>
          <wp:inline distT="0" distB="0" distL="0" distR="0" wp14:anchorId="0DE5DB68" wp14:editId="461ED08A">
            <wp:extent cx="4591050" cy="2657475"/>
            <wp:effectExtent l="0" t="0" r="0" b="0"/>
            <wp:docPr id="3" name="Рисунок 78"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78" descr="Fig"/>
                    <pic:cNvPicPr>
                      <a:picLocks noChangeAspect="1" noChangeArrowheads="1"/>
                    </pic:cNvPicPr>
                  </pic:nvPicPr>
                  <pic:blipFill>
                    <a:blip r:embed="rId19"/>
                    <a:stretch>
                      <a:fillRect/>
                    </a:stretch>
                  </pic:blipFill>
                  <pic:spPr bwMode="auto">
                    <a:xfrm>
                      <a:off x="0" y="0"/>
                      <a:ext cx="4591050" cy="2657475"/>
                    </a:xfrm>
                    <a:prstGeom prst="rect">
                      <a:avLst/>
                    </a:prstGeom>
                  </pic:spPr>
                </pic:pic>
              </a:graphicData>
            </a:graphic>
          </wp:inline>
        </w:drawing>
      </w:r>
    </w:p>
    <w:p w14:paraId="29FA25F0" w14:textId="77777777" w:rsidR="00FC34EF" w:rsidRDefault="00000000">
      <w:pPr>
        <w:pStyle w:val="FigureCaption"/>
      </w:pPr>
      <w:r>
        <w:rPr>
          <w:b/>
        </w:rPr>
        <w:t>FIGURE 2.</w:t>
      </w:r>
      <w:r>
        <w:t xml:space="preserve"> Analytical dependences of heating and cooling of the material under treatment in the tool contact zone during FSP at various tool feeds</w:t>
      </w:r>
    </w:p>
    <w:p w14:paraId="7C8E3FED" w14:textId="77777777" w:rsidR="00FC34EF" w:rsidRDefault="00FC34EF">
      <w:pPr>
        <w:pStyle w:val="Paragraph"/>
      </w:pPr>
    </w:p>
    <w:p w14:paraId="78375BD5" w14:textId="77777777" w:rsidR="00FC34EF" w:rsidRDefault="00000000">
      <w:pPr>
        <w:pStyle w:val="Paragraph"/>
      </w:pPr>
      <w:r>
        <w:t xml:space="preserve">As part of an experimental study of the process, the surface of AISI 420 steel of as-delivered condition (150 HB) was treated with a tungsten carbide tool with a cobalt binder using </w:t>
      </w:r>
      <w:proofErr w:type="gramStart"/>
      <w:r>
        <w:t>the modes</w:t>
      </w:r>
      <w:proofErr w:type="gramEnd"/>
      <w:r>
        <w:t xml:space="preserve"> similar to the  modelling (normal force 3000 N, rotation speed 2500 rpm and feed rate of 50, 75 and 100 mm/min) (Fig. 3).</w:t>
      </w:r>
    </w:p>
    <w:p w14:paraId="7ECAFA94" w14:textId="77777777" w:rsidR="00FC34EF" w:rsidRDefault="00FC34EF">
      <w:pPr>
        <w:pStyle w:val="Paragraph"/>
      </w:pPr>
    </w:p>
    <w:tbl>
      <w:tblPr>
        <w:tblStyle w:val="Tabellenraster"/>
        <w:tblW w:w="9576" w:type="dxa"/>
        <w:tblInd w:w="108" w:type="dxa"/>
        <w:tblLayout w:type="fixed"/>
        <w:tblLook w:val="04A0" w:firstRow="1" w:lastRow="0" w:firstColumn="1" w:lastColumn="0" w:noHBand="0" w:noVBand="1"/>
      </w:tblPr>
      <w:tblGrid>
        <w:gridCol w:w="3755"/>
        <w:gridCol w:w="5821"/>
      </w:tblGrid>
      <w:tr w:rsidR="00FC34EF" w14:paraId="5700D245" w14:textId="77777777">
        <w:tc>
          <w:tcPr>
            <w:tcW w:w="3755" w:type="dxa"/>
            <w:tcBorders>
              <w:top w:val="nil"/>
              <w:left w:val="nil"/>
              <w:bottom w:val="nil"/>
              <w:right w:val="nil"/>
            </w:tcBorders>
            <w:vAlign w:val="bottom"/>
          </w:tcPr>
          <w:p w14:paraId="4BFBF7E0" w14:textId="77777777" w:rsidR="00FC34EF" w:rsidRDefault="00000000">
            <w:pPr>
              <w:pStyle w:val="Figure"/>
            </w:pPr>
            <w:r>
              <w:rPr>
                <w:noProof/>
              </w:rPr>
              <w:lastRenderedPageBreak/>
              <w:drawing>
                <wp:inline distT="0" distB="0" distL="0" distR="0" wp14:anchorId="27331AF9" wp14:editId="6E9E77F4">
                  <wp:extent cx="2225040" cy="1438275"/>
                  <wp:effectExtent l="0" t="0" r="0" b="0"/>
                  <wp:docPr id="4" name="Рисунок 3" descr="Fig_3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Fig_3_a.png"/>
                          <pic:cNvPicPr>
                            <a:picLocks noChangeAspect="1" noChangeArrowheads="1"/>
                          </pic:cNvPicPr>
                        </pic:nvPicPr>
                        <pic:blipFill>
                          <a:blip r:embed="rId20"/>
                          <a:stretch>
                            <a:fillRect/>
                          </a:stretch>
                        </pic:blipFill>
                        <pic:spPr bwMode="auto">
                          <a:xfrm>
                            <a:off x="0" y="0"/>
                            <a:ext cx="2225040" cy="1438275"/>
                          </a:xfrm>
                          <a:prstGeom prst="rect">
                            <a:avLst/>
                          </a:prstGeom>
                        </pic:spPr>
                      </pic:pic>
                    </a:graphicData>
                  </a:graphic>
                </wp:inline>
              </w:drawing>
            </w:r>
          </w:p>
        </w:tc>
        <w:tc>
          <w:tcPr>
            <w:tcW w:w="5820" w:type="dxa"/>
            <w:tcBorders>
              <w:top w:val="nil"/>
              <w:left w:val="nil"/>
              <w:bottom w:val="nil"/>
              <w:right w:val="nil"/>
            </w:tcBorders>
            <w:vAlign w:val="bottom"/>
          </w:tcPr>
          <w:p w14:paraId="1C612CCF" w14:textId="77777777" w:rsidR="00FC34EF" w:rsidRDefault="00000000">
            <w:pPr>
              <w:pStyle w:val="Figure"/>
            </w:pPr>
            <w:r>
              <w:rPr>
                <w:noProof/>
              </w:rPr>
              <w:drawing>
                <wp:inline distT="0" distB="0" distL="0" distR="0" wp14:anchorId="506CC001" wp14:editId="770EC3A5">
                  <wp:extent cx="3278505" cy="1437640"/>
                  <wp:effectExtent l="0" t="0" r="0" b="0"/>
                  <wp:docPr id="5" name="Рисунок 67" descr="\\SRV2NEW\C User 5 New W\Анисимова\Конференции\2025\2025_09_Самарканд\В AIP Скоробогатов\Иллюстрации\Fig_3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7" descr="\\SRV2NEW\C User 5 New W\Анисимова\Конференции\2025\2025_09_Самарканд\В AIP Скоробогатов\Иллюстрации\Fig_3_b.png"/>
                          <pic:cNvPicPr>
                            <a:picLocks noChangeAspect="1" noChangeArrowheads="1"/>
                          </pic:cNvPicPr>
                        </pic:nvPicPr>
                        <pic:blipFill>
                          <a:blip r:embed="rId21"/>
                          <a:stretch>
                            <a:fillRect/>
                          </a:stretch>
                        </pic:blipFill>
                        <pic:spPr bwMode="auto">
                          <a:xfrm>
                            <a:off x="0" y="0"/>
                            <a:ext cx="3278505" cy="1437640"/>
                          </a:xfrm>
                          <a:prstGeom prst="rect">
                            <a:avLst/>
                          </a:prstGeom>
                        </pic:spPr>
                      </pic:pic>
                    </a:graphicData>
                  </a:graphic>
                </wp:inline>
              </w:drawing>
            </w:r>
          </w:p>
        </w:tc>
      </w:tr>
      <w:tr w:rsidR="00FC34EF" w14:paraId="33AEAB13" w14:textId="77777777">
        <w:tc>
          <w:tcPr>
            <w:tcW w:w="3755" w:type="dxa"/>
            <w:tcBorders>
              <w:top w:val="nil"/>
              <w:left w:val="nil"/>
              <w:bottom w:val="nil"/>
              <w:right w:val="nil"/>
            </w:tcBorders>
            <w:vAlign w:val="bottom"/>
          </w:tcPr>
          <w:p w14:paraId="558F8F6F" w14:textId="77777777" w:rsidR="00FC34EF" w:rsidRDefault="00000000">
            <w:pPr>
              <w:pStyle w:val="Figure"/>
            </w:pPr>
            <w:r>
              <w:t>(а)</w:t>
            </w:r>
          </w:p>
        </w:tc>
        <w:tc>
          <w:tcPr>
            <w:tcW w:w="5820" w:type="dxa"/>
            <w:tcBorders>
              <w:top w:val="nil"/>
              <w:left w:val="nil"/>
              <w:bottom w:val="nil"/>
              <w:right w:val="nil"/>
            </w:tcBorders>
            <w:vAlign w:val="bottom"/>
          </w:tcPr>
          <w:p w14:paraId="7F7E8484" w14:textId="77777777" w:rsidR="00FC34EF" w:rsidRDefault="00000000">
            <w:pPr>
              <w:pStyle w:val="Figure"/>
            </w:pPr>
            <w:r>
              <w:t>(б)</w:t>
            </w:r>
          </w:p>
        </w:tc>
      </w:tr>
    </w:tbl>
    <w:p w14:paraId="4EE5B9C4" w14:textId="77777777" w:rsidR="00FC34EF" w:rsidRDefault="00000000">
      <w:pPr>
        <w:pStyle w:val="FigureCaption"/>
      </w:pPr>
      <w:r>
        <w:rPr>
          <w:b/>
        </w:rPr>
        <w:t>FIGURE 3.</w:t>
      </w:r>
      <w:r>
        <w:t xml:space="preserve"> Photos of FSP at the OKUMA MA-600 processing center (a) and the friction tracks on the sample surface at feeds of 50, 75 and 100 mm/min (b)</w:t>
      </w:r>
    </w:p>
    <w:p w14:paraId="5E146114" w14:textId="77777777" w:rsidR="00FC34EF" w:rsidRDefault="00000000">
      <w:pPr>
        <w:pStyle w:val="Paragraph"/>
      </w:pPr>
      <w:r>
        <w:t xml:space="preserve">The microstructural analysis of the friction tracks in the cross-section of the sample showed that the localized bands of alloying by the tool material particles occur in the material under treatment in the stirring zone. The erosion of the tool material into the surface layer occurs </w:t>
      </w:r>
      <w:proofErr w:type="gramStart"/>
      <w:r>
        <w:t>as a result of</w:t>
      </w:r>
      <w:proofErr w:type="gramEnd"/>
      <w:r>
        <w:t xml:space="preserve"> high frictional and thermal load (Fig. 4).</w:t>
      </w:r>
    </w:p>
    <w:p w14:paraId="4EDD240A" w14:textId="77777777" w:rsidR="00FC34EF" w:rsidRDefault="00FC34EF">
      <w:pPr>
        <w:pStyle w:val="Paragraph"/>
      </w:pPr>
    </w:p>
    <w:p w14:paraId="14BC836E" w14:textId="77777777" w:rsidR="00FC34EF" w:rsidRDefault="00000000">
      <w:pPr>
        <w:pStyle w:val="Figure"/>
        <w:rPr>
          <w:lang w:val="ru-RU"/>
        </w:rPr>
      </w:pPr>
      <w:r>
        <w:rPr>
          <w:noProof/>
        </w:rPr>
        <w:drawing>
          <wp:inline distT="0" distB="0" distL="0" distR="0" wp14:anchorId="0C74969E" wp14:editId="6FC2E0AB">
            <wp:extent cx="5811520" cy="1972945"/>
            <wp:effectExtent l="0" t="0" r="0" b="0"/>
            <wp:docPr id="6" name="Рисунок 69" descr="\\SRV2NEW\C User 5 New W\Анисимова\Конференции\2025\2025_09_Самарканд\В AIP Скоробогатов\Иллюстрации\Fig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9" descr="\\SRV2NEW\C User 5 New W\Анисимова\Конференции\2025\2025_09_Самарканд\В AIP Скоробогатов\Иллюстрации\Fig_4.png"/>
                    <pic:cNvPicPr>
                      <a:picLocks noChangeAspect="1" noChangeArrowheads="1"/>
                    </pic:cNvPicPr>
                  </pic:nvPicPr>
                  <pic:blipFill>
                    <a:blip r:embed="rId22"/>
                    <a:stretch>
                      <a:fillRect/>
                    </a:stretch>
                  </pic:blipFill>
                  <pic:spPr bwMode="auto">
                    <a:xfrm>
                      <a:off x="0" y="0"/>
                      <a:ext cx="5811520" cy="1972945"/>
                    </a:xfrm>
                    <a:prstGeom prst="rect">
                      <a:avLst/>
                    </a:prstGeom>
                  </pic:spPr>
                </pic:pic>
              </a:graphicData>
            </a:graphic>
          </wp:inline>
        </w:drawing>
      </w:r>
    </w:p>
    <w:p w14:paraId="1F0AC6BD" w14:textId="77777777" w:rsidR="00FC34EF" w:rsidRDefault="00000000">
      <w:pPr>
        <w:pStyle w:val="FigureCaption"/>
      </w:pPr>
      <w:r>
        <w:rPr>
          <w:b/>
        </w:rPr>
        <w:t>FIGURE 4.</w:t>
      </w:r>
      <w:r>
        <w:t xml:space="preserve"> Scanning electron microscopy of the AISI 420 steel surface layer cross-section after FSP at a flow rate of 50 mm/min: SZ – stir zone; TMAZ – thermomechanically affected zone; HAZ – heat-affected zone; BM – based metal; </w:t>
      </w:r>
      <w:r>
        <w:br/>
        <w:t>AS – advancing side; RS – retreating side</w:t>
      </w:r>
    </w:p>
    <w:p w14:paraId="7B7707D7" w14:textId="77777777" w:rsidR="00FC34EF" w:rsidRDefault="00FC34EF">
      <w:pPr>
        <w:pStyle w:val="Paragraph"/>
      </w:pPr>
    </w:p>
    <w:p w14:paraId="2074B260" w14:textId="77777777" w:rsidR="00FC34EF" w:rsidRDefault="00000000">
      <w:pPr>
        <w:pStyle w:val="Paragraph"/>
      </w:pPr>
      <w:r>
        <w:t xml:space="preserve">The comparison of the cross-sections shows that the depth of the stir and thermomechanically affected zones increases with a decrease in the feed rate of the tool. At a feed rate of 50 mm/min, the depth of the SZ is </w:t>
      </w:r>
      <w:r>
        <w:br/>
        <w:t xml:space="preserve">530 ± 5 microns, and the depth of the TMAZ is 1420 ± 10 microns. For samples processed at feeds of 75 mm/min and 100 mm/min, the depth of the SZ is 470 and 420 ± 5 microns, and the depth of the TMAZ is 1180 and </w:t>
      </w:r>
      <w:r>
        <w:br/>
        <w:t>1080 ± 10 microns, respectively.</w:t>
      </w:r>
    </w:p>
    <w:p w14:paraId="37EBDCAD" w14:textId="77777777" w:rsidR="00FC34EF" w:rsidRDefault="00000000">
      <w:pPr>
        <w:pStyle w:val="Paragraph"/>
      </w:pPr>
      <w:r>
        <w:t xml:space="preserve">The analysis of the particle distribution of the tool material in the cross section under the friction track shows that during friction stirring, the highest concentration of tool material particles is located closer to the retreating side RS (Fig. 4, arrow 1). Further, </w:t>
      </w:r>
      <w:proofErr w:type="gramStart"/>
      <w:r>
        <w:t>as a result of</w:t>
      </w:r>
      <w:proofErr w:type="gramEnd"/>
      <w:r>
        <w:t xml:space="preserve"> the rotation and tool travel, the particles are redistributed to the advancing side, with alloying bands being formed (Fig. 4, arrow 2). In the stir zone, the areas with different tool material particle contents are formed, different in structural and phase composition, besides, the defects in the form of small pores are observed. A needle-like martensitic structure (α-Fe) with inclusions of globular grains of austenite (γ-Fe) and tungsten carbides WC is formed in a thin surface layer up to 10 microns thick after treatment with a feed rate of 50 mm/min. At the same time, in the areas with a tungsten content of 9 wt.% or more granule morphology (PRZ) prevails, whereas a needle-like martensitic structure (α'-Fe(W) and α'-Fe), respectively, is formed in the areas with a low tungsten content and with the initial level of alloying.</w:t>
      </w:r>
    </w:p>
    <w:p w14:paraId="6E7D9D7B" w14:textId="77777777" w:rsidR="00FC34EF" w:rsidRDefault="00000000">
      <w:pPr>
        <w:pStyle w:val="Paragraph"/>
      </w:pPr>
      <w:r>
        <w:t>The results of the quantitative elemental analysis of a thin surface layer under the friction track formed during tool travels with a feed rate of 50 mm/min show the presence of inhomogeneities in saturation of the surface under treatment with tungsten carbide particles (Table 1). Based on the analysis of compositional contrast in SEM images, it is possible to identify tungsten carbide particles that appear as the brightest objects of a circumpherical shape with the size range from 0.1 to 1.5 microns. The average particle size in a thin surface layer at FSP with a feed rate of 50 mm/min was 170 nm.</w:t>
      </w:r>
    </w:p>
    <w:p w14:paraId="640F6035" w14:textId="77777777" w:rsidR="00FC34EF" w:rsidRDefault="00000000">
      <w:pPr>
        <w:pStyle w:val="TableCaption"/>
        <w:rPr>
          <w:lang w:eastAsia="ru-RU"/>
        </w:rPr>
      </w:pPr>
      <w:r>
        <w:rPr>
          <w:b/>
          <w:bCs/>
          <w:lang w:eastAsia="ru-RU"/>
        </w:rPr>
        <w:lastRenderedPageBreak/>
        <w:t>TABLE 1.</w:t>
      </w:r>
      <w:r>
        <w:rPr>
          <w:lang w:eastAsia="ru-RU"/>
        </w:rPr>
        <w:t xml:space="preserve"> Summarized results of the quantitative elemental analysis of the surface layer after FSP at a feed rate of 50 mm/min</w:t>
      </w:r>
    </w:p>
    <w:tbl>
      <w:tblPr>
        <w:tblW w:w="9758" w:type="dxa"/>
        <w:tblInd w:w="60" w:type="dxa"/>
        <w:tblLayout w:type="fixed"/>
        <w:tblCellMar>
          <w:top w:w="60" w:type="dxa"/>
          <w:left w:w="60" w:type="dxa"/>
          <w:bottom w:w="60" w:type="dxa"/>
          <w:right w:w="60" w:type="dxa"/>
        </w:tblCellMar>
        <w:tblLook w:val="04A0" w:firstRow="1" w:lastRow="0" w:firstColumn="1" w:lastColumn="0" w:noHBand="0" w:noVBand="1"/>
      </w:tblPr>
      <w:tblGrid>
        <w:gridCol w:w="994"/>
        <w:gridCol w:w="1277"/>
        <w:gridCol w:w="1278"/>
        <w:gridCol w:w="1277"/>
        <w:gridCol w:w="1276"/>
        <w:gridCol w:w="1278"/>
        <w:gridCol w:w="1219"/>
        <w:gridCol w:w="1159"/>
      </w:tblGrid>
      <w:tr w:rsidR="00FC34EF" w14:paraId="305054DA" w14:textId="77777777">
        <w:trPr>
          <w:trHeight w:val="109"/>
        </w:trPr>
        <w:tc>
          <w:tcPr>
            <w:tcW w:w="993" w:type="dxa"/>
            <w:vMerge w:val="restart"/>
            <w:tcBorders>
              <w:top w:val="single" w:sz="4" w:space="0" w:color="000000"/>
            </w:tcBorders>
          </w:tcPr>
          <w:p w14:paraId="3CEABA14" w14:textId="77777777" w:rsidR="00FC34EF" w:rsidRDefault="00000000">
            <w:pPr>
              <w:pStyle w:val="a"/>
              <w:spacing w:line="240" w:lineRule="auto"/>
              <w:rPr>
                <w:b/>
                <w:sz w:val="18"/>
                <w:szCs w:val="18"/>
                <w:lang w:eastAsia="ru-RU"/>
              </w:rPr>
            </w:pPr>
            <w:r>
              <w:rPr>
                <w:b/>
                <w:sz w:val="18"/>
                <w:szCs w:val="18"/>
                <w:lang w:eastAsia="ru-RU"/>
              </w:rPr>
              <w:t>Elements</w:t>
            </w:r>
          </w:p>
        </w:tc>
        <w:tc>
          <w:tcPr>
            <w:tcW w:w="8763" w:type="dxa"/>
            <w:gridSpan w:val="7"/>
            <w:tcBorders>
              <w:top w:val="single" w:sz="4" w:space="0" w:color="000000"/>
              <w:bottom w:val="single" w:sz="4" w:space="0" w:color="000000"/>
            </w:tcBorders>
          </w:tcPr>
          <w:p w14:paraId="13F16F87" w14:textId="77777777" w:rsidR="00FC34EF" w:rsidRDefault="00000000">
            <w:pPr>
              <w:pStyle w:val="a"/>
              <w:spacing w:line="240" w:lineRule="auto"/>
              <w:rPr>
                <w:b/>
                <w:sz w:val="18"/>
                <w:szCs w:val="18"/>
                <w:lang w:val="ru-RU" w:eastAsia="ru-RU"/>
              </w:rPr>
            </w:pPr>
            <w:r>
              <w:rPr>
                <w:b/>
                <w:sz w:val="18"/>
                <w:szCs w:val="18"/>
                <w:lang w:eastAsia="ru-RU"/>
              </w:rPr>
              <w:t>Content</w:t>
            </w:r>
            <w:r>
              <w:rPr>
                <w:b/>
                <w:sz w:val="18"/>
                <w:szCs w:val="18"/>
                <w:lang w:val="ru-RU" w:eastAsia="ru-RU"/>
              </w:rPr>
              <w:t xml:space="preserve">, </w:t>
            </w:r>
            <w:r>
              <w:rPr>
                <w:b/>
                <w:sz w:val="18"/>
                <w:szCs w:val="18"/>
                <w:lang w:eastAsia="ru-RU"/>
              </w:rPr>
              <w:t>wt</w:t>
            </w:r>
            <w:r>
              <w:rPr>
                <w:b/>
                <w:sz w:val="18"/>
                <w:szCs w:val="18"/>
                <w:lang w:val="ru-RU" w:eastAsia="ru-RU"/>
              </w:rPr>
              <w:t>. %</w:t>
            </w:r>
          </w:p>
        </w:tc>
      </w:tr>
      <w:tr w:rsidR="00FC34EF" w14:paraId="21305D46" w14:textId="77777777">
        <w:tc>
          <w:tcPr>
            <w:tcW w:w="993" w:type="dxa"/>
            <w:vMerge/>
          </w:tcPr>
          <w:p w14:paraId="14D3FBA0" w14:textId="77777777" w:rsidR="00FC34EF" w:rsidRDefault="00FC34EF">
            <w:pPr>
              <w:pStyle w:val="a"/>
              <w:spacing w:line="240" w:lineRule="auto"/>
              <w:rPr>
                <w:b/>
                <w:sz w:val="18"/>
                <w:szCs w:val="18"/>
                <w:lang w:val="ru-RU" w:eastAsia="ru-RU"/>
              </w:rPr>
            </w:pPr>
          </w:p>
        </w:tc>
        <w:tc>
          <w:tcPr>
            <w:tcW w:w="1276" w:type="dxa"/>
            <w:tcBorders>
              <w:top w:val="single" w:sz="4" w:space="0" w:color="000000"/>
              <w:bottom w:val="single" w:sz="4" w:space="0" w:color="000000"/>
            </w:tcBorders>
          </w:tcPr>
          <w:p w14:paraId="2368E718" w14:textId="77777777" w:rsidR="00FC34EF" w:rsidRDefault="00000000">
            <w:pPr>
              <w:pStyle w:val="a"/>
              <w:spacing w:line="240" w:lineRule="auto"/>
              <w:rPr>
                <w:b/>
                <w:sz w:val="18"/>
                <w:szCs w:val="18"/>
                <w:lang w:val="ru-RU" w:eastAsia="ru-RU"/>
              </w:rPr>
            </w:pPr>
            <w:r>
              <w:rPr>
                <w:b/>
                <w:sz w:val="18"/>
                <w:szCs w:val="18"/>
                <w:lang w:eastAsia="ru-RU"/>
              </w:rPr>
              <w:t>Spectrum</w:t>
            </w:r>
            <w:r>
              <w:rPr>
                <w:b/>
                <w:sz w:val="18"/>
                <w:szCs w:val="18"/>
                <w:lang w:val="ru-RU" w:eastAsia="ru-RU"/>
              </w:rPr>
              <w:t xml:space="preserve"> 1</w:t>
            </w:r>
          </w:p>
        </w:tc>
        <w:tc>
          <w:tcPr>
            <w:tcW w:w="1278" w:type="dxa"/>
            <w:tcBorders>
              <w:top w:val="single" w:sz="4" w:space="0" w:color="000000"/>
              <w:bottom w:val="single" w:sz="4" w:space="0" w:color="000000"/>
            </w:tcBorders>
          </w:tcPr>
          <w:p w14:paraId="0A763F84" w14:textId="77777777" w:rsidR="00FC34EF" w:rsidRDefault="00000000">
            <w:pPr>
              <w:pStyle w:val="a"/>
              <w:spacing w:line="240" w:lineRule="auto"/>
              <w:rPr>
                <w:b/>
                <w:sz w:val="18"/>
                <w:szCs w:val="18"/>
                <w:lang w:val="ru-RU" w:eastAsia="ru-RU"/>
              </w:rPr>
            </w:pPr>
            <w:r>
              <w:rPr>
                <w:b/>
                <w:sz w:val="18"/>
                <w:szCs w:val="18"/>
                <w:lang w:eastAsia="ru-RU"/>
              </w:rPr>
              <w:t>Spectrum</w:t>
            </w:r>
            <w:r>
              <w:rPr>
                <w:b/>
                <w:sz w:val="18"/>
                <w:szCs w:val="18"/>
                <w:lang w:val="ru-RU" w:eastAsia="ru-RU"/>
              </w:rPr>
              <w:t xml:space="preserve"> 2</w:t>
            </w:r>
          </w:p>
        </w:tc>
        <w:tc>
          <w:tcPr>
            <w:tcW w:w="1277" w:type="dxa"/>
            <w:tcBorders>
              <w:top w:val="single" w:sz="4" w:space="0" w:color="000000"/>
              <w:bottom w:val="single" w:sz="4" w:space="0" w:color="000000"/>
            </w:tcBorders>
          </w:tcPr>
          <w:p w14:paraId="756F5C7A" w14:textId="77777777" w:rsidR="00FC34EF" w:rsidRDefault="00000000">
            <w:pPr>
              <w:pStyle w:val="a"/>
              <w:spacing w:line="240" w:lineRule="auto"/>
              <w:rPr>
                <w:b/>
                <w:sz w:val="18"/>
                <w:szCs w:val="18"/>
                <w:lang w:val="ru-RU" w:eastAsia="ru-RU"/>
              </w:rPr>
            </w:pPr>
            <w:r>
              <w:rPr>
                <w:b/>
                <w:sz w:val="18"/>
                <w:szCs w:val="18"/>
                <w:lang w:eastAsia="ru-RU"/>
              </w:rPr>
              <w:t>Spectrum</w:t>
            </w:r>
            <w:r>
              <w:rPr>
                <w:b/>
                <w:sz w:val="18"/>
                <w:szCs w:val="18"/>
                <w:lang w:val="ru-RU" w:eastAsia="ru-RU"/>
              </w:rPr>
              <w:t xml:space="preserve"> 3</w:t>
            </w:r>
          </w:p>
        </w:tc>
        <w:tc>
          <w:tcPr>
            <w:tcW w:w="1276" w:type="dxa"/>
            <w:tcBorders>
              <w:top w:val="single" w:sz="4" w:space="0" w:color="000000"/>
              <w:bottom w:val="single" w:sz="4" w:space="0" w:color="000000"/>
            </w:tcBorders>
          </w:tcPr>
          <w:p w14:paraId="4C3BB6FF" w14:textId="77777777" w:rsidR="00FC34EF" w:rsidRDefault="00000000">
            <w:pPr>
              <w:pStyle w:val="a"/>
              <w:spacing w:line="240" w:lineRule="auto"/>
              <w:rPr>
                <w:b/>
                <w:sz w:val="18"/>
                <w:szCs w:val="18"/>
                <w:lang w:val="ru-RU" w:eastAsia="ru-RU"/>
              </w:rPr>
            </w:pPr>
            <w:r>
              <w:rPr>
                <w:b/>
                <w:sz w:val="18"/>
                <w:szCs w:val="18"/>
                <w:lang w:eastAsia="ru-RU"/>
              </w:rPr>
              <w:t>Spectrum</w:t>
            </w:r>
            <w:r>
              <w:rPr>
                <w:b/>
                <w:sz w:val="18"/>
                <w:szCs w:val="18"/>
                <w:lang w:val="ru-RU" w:eastAsia="ru-RU"/>
              </w:rPr>
              <w:t xml:space="preserve"> 4</w:t>
            </w:r>
          </w:p>
        </w:tc>
        <w:tc>
          <w:tcPr>
            <w:tcW w:w="1278" w:type="dxa"/>
            <w:tcBorders>
              <w:top w:val="single" w:sz="4" w:space="0" w:color="000000"/>
              <w:bottom w:val="single" w:sz="4" w:space="0" w:color="000000"/>
            </w:tcBorders>
          </w:tcPr>
          <w:p w14:paraId="29E82616" w14:textId="77777777" w:rsidR="00FC34EF" w:rsidRDefault="00000000">
            <w:pPr>
              <w:pStyle w:val="a"/>
              <w:spacing w:line="240" w:lineRule="auto"/>
              <w:rPr>
                <w:b/>
                <w:sz w:val="18"/>
                <w:szCs w:val="18"/>
                <w:lang w:val="ru-RU" w:eastAsia="ru-RU"/>
              </w:rPr>
            </w:pPr>
            <w:r>
              <w:rPr>
                <w:b/>
                <w:sz w:val="18"/>
                <w:szCs w:val="18"/>
                <w:lang w:eastAsia="ru-RU"/>
              </w:rPr>
              <w:t>Spectrum</w:t>
            </w:r>
            <w:r>
              <w:rPr>
                <w:b/>
                <w:sz w:val="18"/>
                <w:szCs w:val="18"/>
                <w:lang w:val="ru-RU" w:eastAsia="ru-RU"/>
              </w:rPr>
              <w:t xml:space="preserve"> 5</w:t>
            </w:r>
          </w:p>
        </w:tc>
        <w:tc>
          <w:tcPr>
            <w:tcW w:w="1219" w:type="dxa"/>
            <w:tcBorders>
              <w:top w:val="single" w:sz="4" w:space="0" w:color="000000"/>
              <w:bottom w:val="single" w:sz="4" w:space="0" w:color="000000"/>
            </w:tcBorders>
          </w:tcPr>
          <w:p w14:paraId="4A09DE7A" w14:textId="77777777" w:rsidR="00FC34EF" w:rsidRDefault="00000000">
            <w:pPr>
              <w:pStyle w:val="a"/>
              <w:spacing w:line="240" w:lineRule="auto"/>
              <w:rPr>
                <w:b/>
                <w:sz w:val="18"/>
                <w:szCs w:val="18"/>
                <w:lang w:eastAsia="ru-RU"/>
              </w:rPr>
            </w:pPr>
            <w:r>
              <w:rPr>
                <w:b/>
                <w:sz w:val="18"/>
                <w:szCs w:val="18"/>
                <w:lang w:eastAsia="ru-RU"/>
              </w:rPr>
              <w:t>Dot 1</w:t>
            </w:r>
          </w:p>
        </w:tc>
        <w:tc>
          <w:tcPr>
            <w:tcW w:w="1159" w:type="dxa"/>
            <w:tcBorders>
              <w:top w:val="single" w:sz="4" w:space="0" w:color="000000"/>
              <w:bottom w:val="single" w:sz="4" w:space="0" w:color="000000"/>
            </w:tcBorders>
          </w:tcPr>
          <w:p w14:paraId="77A8C8E8" w14:textId="77777777" w:rsidR="00FC34EF" w:rsidRDefault="00000000">
            <w:pPr>
              <w:pStyle w:val="a"/>
              <w:spacing w:line="240" w:lineRule="auto"/>
              <w:rPr>
                <w:b/>
                <w:sz w:val="18"/>
                <w:szCs w:val="18"/>
                <w:lang w:eastAsia="ru-RU"/>
              </w:rPr>
            </w:pPr>
            <w:r>
              <w:rPr>
                <w:b/>
                <w:sz w:val="18"/>
                <w:szCs w:val="18"/>
                <w:lang w:eastAsia="ru-RU"/>
              </w:rPr>
              <w:t>Dot 2</w:t>
            </w:r>
          </w:p>
        </w:tc>
      </w:tr>
      <w:tr w:rsidR="00FC34EF" w14:paraId="32C29C7F" w14:textId="77777777">
        <w:tc>
          <w:tcPr>
            <w:tcW w:w="993" w:type="dxa"/>
            <w:tcBorders>
              <w:top w:val="single" w:sz="4" w:space="0" w:color="000000"/>
            </w:tcBorders>
          </w:tcPr>
          <w:p w14:paraId="57771CF9" w14:textId="77777777" w:rsidR="00FC34EF" w:rsidRDefault="00000000">
            <w:pPr>
              <w:pStyle w:val="a"/>
              <w:spacing w:line="240" w:lineRule="auto"/>
              <w:rPr>
                <w:sz w:val="18"/>
                <w:szCs w:val="18"/>
                <w:lang w:val="ru-RU" w:eastAsia="ru-RU"/>
              </w:rPr>
            </w:pPr>
            <w:r>
              <w:rPr>
                <w:sz w:val="18"/>
                <w:szCs w:val="18"/>
                <w:lang w:eastAsia="ru-RU"/>
              </w:rPr>
              <w:t>Cr</w:t>
            </w:r>
          </w:p>
        </w:tc>
        <w:tc>
          <w:tcPr>
            <w:tcW w:w="1276" w:type="dxa"/>
            <w:tcBorders>
              <w:top w:val="single" w:sz="4" w:space="0" w:color="000000"/>
            </w:tcBorders>
          </w:tcPr>
          <w:p w14:paraId="0F9F4E6F" w14:textId="77777777" w:rsidR="00FC34EF" w:rsidRDefault="00000000">
            <w:pPr>
              <w:pStyle w:val="a"/>
              <w:spacing w:line="240" w:lineRule="auto"/>
              <w:rPr>
                <w:sz w:val="18"/>
                <w:szCs w:val="18"/>
                <w:lang w:val="ru-RU" w:eastAsia="ru-RU"/>
              </w:rPr>
            </w:pPr>
            <w:r>
              <w:rPr>
                <w:sz w:val="18"/>
                <w:szCs w:val="18"/>
                <w:lang w:val="ru-RU" w:eastAsia="ru-RU"/>
              </w:rPr>
              <w:t>11.06</w:t>
            </w:r>
          </w:p>
        </w:tc>
        <w:tc>
          <w:tcPr>
            <w:tcW w:w="1278" w:type="dxa"/>
            <w:tcBorders>
              <w:top w:val="single" w:sz="4" w:space="0" w:color="000000"/>
            </w:tcBorders>
          </w:tcPr>
          <w:p w14:paraId="6D90A0DC" w14:textId="77777777" w:rsidR="00FC34EF" w:rsidRDefault="00000000">
            <w:pPr>
              <w:pStyle w:val="a"/>
              <w:spacing w:line="240" w:lineRule="auto"/>
              <w:rPr>
                <w:sz w:val="18"/>
                <w:szCs w:val="18"/>
                <w:lang w:val="ru-RU" w:eastAsia="ru-RU"/>
              </w:rPr>
            </w:pPr>
            <w:r>
              <w:rPr>
                <w:sz w:val="18"/>
                <w:szCs w:val="18"/>
                <w:lang w:val="ru-RU" w:eastAsia="ru-RU"/>
              </w:rPr>
              <w:t>12.26</w:t>
            </w:r>
          </w:p>
        </w:tc>
        <w:tc>
          <w:tcPr>
            <w:tcW w:w="1277" w:type="dxa"/>
            <w:tcBorders>
              <w:top w:val="single" w:sz="4" w:space="0" w:color="000000"/>
            </w:tcBorders>
          </w:tcPr>
          <w:p w14:paraId="6077FC06" w14:textId="77777777" w:rsidR="00FC34EF" w:rsidRDefault="00000000">
            <w:pPr>
              <w:pStyle w:val="a"/>
              <w:spacing w:line="240" w:lineRule="auto"/>
              <w:rPr>
                <w:sz w:val="18"/>
                <w:szCs w:val="18"/>
                <w:lang w:val="ru-RU" w:eastAsia="ru-RU"/>
              </w:rPr>
            </w:pPr>
            <w:r>
              <w:rPr>
                <w:sz w:val="18"/>
                <w:szCs w:val="18"/>
                <w:lang w:val="ru-RU" w:eastAsia="ru-RU"/>
              </w:rPr>
              <w:t>11.30</w:t>
            </w:r>
          </w:p>
        </w:tc>
        <w:tc>
          <w:tcPr>
            <w:tcW w:w="1276" w:type="dxa"/>
            <w:tcBorders>
              <w:top w:val="single" w:sz="4" w:space="0" w:color="000000"/>
            </w:tcBorders>
          </w:tcPr>
          <w:p w14:paraId="760C65CB" w14:textId="77777777" w:rsidR="00FC34EF" w:rsidRDefault="00000000">
            <w:pPr>
              <w:pStyle w:val="a"/>
              <w:spacing w:line="240" w:lineRule="auto"/>
              <w:rPr>
                <w:sz w:val="18"/>
                <w:szCs w:val="18"/>
                <w:lang w:val="ru-RU" w:eastAsia="ru-RU"/>
              </w:rPr>
            </w:pPr>
            <w:r>
              <w:rPr>
                <w:sz w:val="18"/>
                <w:szCs w:val="18"/>
                <w:lang w:val="ru-RU" w:eastAsia="ru-RU"/>
              </w:rPr>
              <w:t>11.22</w:t>
            </w:r>
          </w:p>
        </w:tc>
        <w:tc>
          <w:tcPr>
            <w:tcW w:w="1278" w:type="dxa"/>
            <w:tcBorders>
              <w:top w:val="single" w:sz="4" w:space="0" w:color="000000"/>
            </w:tcBorders>
          </w:tcPr>
          <w:p w14:paraId="54AA0100" w14:textId="77777777" w:rsidR="00FC34EF" w:rsidRDefault="00000000">
            <w:pPr>
              <w:pStyle w:val="a"/>
              <w:spacing w:line="240" w:lineRule="auto"/>
              <w:rPr>
                <w:sz w:val="18"/>
                <w:szCs w:val="18"/>
                <w:lang w:val="ru-RU" w:eastAsia="ru-RU"/>
              </w:rPr>
            </w:pPr>
            <w:r>
              <w:rPr>
                <w:sz w:val="18"/>
                <w:szCs w:val="18"/>
                <w:lang w:val="ru-RU" w:eastAsia="ru-RU"/>
              </w:rPr>
              <w:t>13.15</w:t>
            </w:r>
          </w:p>
        </w:tc>
        <w:tc>
          <w:tcPr>
            <w:tcW w:w="1219" w:type="dxa"/>
            <w:tcBorders>
              <w:top w:val="single" w:sz="4" w:space="0" w:color="000000"/>
            </w:tcBorders>
          </w:tcPr>
          <w:p w14:paraId="18F53857" w14:textId="77777777" w:rsidR="00FC34EF" w:rsidRDefault="00000000">
            <w:pPr>
              <w:pStyle w:val="a"/>
              <w:spacing w:line="240" w:lineRule="auto"/>
              <w:rPr>
                <w:sz w:val="18"/>
                <w:szCs w:val="18"/>
                <w:lang w:val="ru-RU" w:eastAsia="ru-RU"/>
              </w:rPr>
            </w:pPr>
            <w:r>
              <w:rPr>
                <w:sz w:val="18"/>
                <w:szCs w:val="18"/>
                <w:lang w:val="ru-RU" w:eastAsia="ru-RU"/>
              </w:rPr>
              <w:t>7.92</w:t>
            </w:r>
          </w:p>
        </w:tc>
        <w:tc>
          <w:tcPr>
            <w:tcW w:w="1159" w:type="dxa"/>
            <w:tcBorders>
              <w:top w:val="single" w:sz="4" w:space="0" w:color="000000"/>
            </w:tcBorders>
          </w:tcPr>
          <w:p w14:paraId="127F2532" w14:textId="77777777" w:rsidR="00FC34EF" w:rsidRDefault="00000000">
            <w:pPr>
              <w:pStyle w:val="a"/>
              <w:spacing w:line="240" w:lineRule="auto"/>
              <w:rPr>
                <w:sz w:val="18"/>
                <w:szCs w:val="18"/>
                <w:lang w:val="ru-RU" w:eastAsia="ru-RU"/>
              </w:rPr>
            </w:pPr>
            <w:r>
              <w:rPr>
                <w:sz w:val="18"/>
                <w:szCs w:val="18"/>
                <w:lang w:val="ru-RU" w:eastAsia="ru-RU"/>
              </w:rPr>
              <w:t>9.16</w:t>
            </w:r>
          </w:p>
        </w:tc>
      </w:tr>
      <w:tr w:rsidR="00FC34EF" w14:paraId="02725FEE" w14:textId="77777777">
        <w:tc>
          <w:tcPr>
            <w:tcW w:w="993" w:type="dxa"/>
          </w:tcPr>
          <w:p w14:paraId="6EFA89DA" w14:textId="77777777" w:rsidR="00FC34EF" w:rsidRDefault="00000000">
            <w:pPr>
              <w:pStyle w:val="a"/>
              <w:spacing w:line="240" w:lineRule="auto"/>
              <w:rPr>
                <w:sz w:val="18"/>
                <w:szCs w:val="18"/>
                <w:lang w:eastAsia="ru-RU"/>
              </w:rPr>
            </w:pPr>
            <w:r>
              <w:rPr>
                <w:sz w:val="18"/>
                <w:szCs w:val="18"/>
                <w:lang w:eastAsia="ru-RU"/>
              </w:rPr>
              <w:t>Fe</w:t>
            </w:r>
          </w:p>
        </w:tc>
        <w:tc>
          <w:tcPr>
            <w:tcW w:w="1276" w:type="dxa"/>
          </w:tcPr>
          <w:p w14:paraId="1C87689C" w14:textId="77777777" w:rsidR="00FC34EF" w:rsidRDefault="00000000">
            <w:pPr>
              <w:pStyle w:val="a"/>
              <w:spacing w:line="240" w:lineRule="auto"/>
              <w:rPr>
                <w:sz w:val="18"/>
                <w:szCs w:val="18"/>
                <w:lang w:eastAsia="ru-RU"/>
              </w:rPr>
            </w:pPr>
            <w:r>
              <w:rPr>
                <w:sz w:val="18"/>
                <w:szCs w:val="18"/>
                <w:lang w:eastAsia="ru-RU"/>
              </w:rPr>
              <w:t>75.64</w:t>
            </w:r>
          </w:p>
        </w:tc>
        <w:tc>
          <w:tcPr>
            <w:tcW w:w="1278" w:type="dxa"/>
          </w:tcPr>
          <w:p w14:paraId="11C4D841" w14:textId="77777777" w:rsidR="00FC34EF" w:rsidRDefault="00000000">
            <w:pPr>
              <w:pStyle w:val="a"/>
              <w:spacing w:line="240" w:lineRule="auto"/>
              <w:rPr>
                <w:sz w:val="18"/>
                <w:szCs w:val="18"/>
                <w:lang w:eastAsia="ru-RU"/>
              </w:rPr>
            </w:pPr>
            <w:r>
              <w:rPr>
                <w:sz w:val="18"/>
                <w:szCs w:val="18"/>
                <w:lang w:eastAsia="ru-RU"/>
              </w:rPr>
              <w:t>80.82</w:t>
            </w:r>
          </w:p>
        </w:tc>
        <w:tc>
          <w:tcPr>
            <w:tcW w:w="1277" w:type="dxa"/>
          </w:tcPr>
          <w:p w14:paraId="47A8F634" w14:textId="77777777" w:rsidR="00FC34EF" w:rsidRDefault="00000000">
            <w:pPr>
              <w:pStyle w:val="a"/>
              <w:spacing w:line="240" w:lineRule="auto"/>
              <w:rPr>
                <w:sz w:val="18"/>
                <w:szCs w:val="18"/>
                <w:lang w:eastAsia="ru-RU"/>
              </w:rPr>
            </w:pPr>
            <w:r>
              <w:rPr>
                <w:sz w:val="18"/>
                <w:szCs w:val="18"/>
                <w:lang w:eastAsia="ru-RU"/>
              </w:rPr>
              <w:t>77.84</w:t>
            </w:r>
          </w:p>
        </w:tc>
        <w:tc>
          <w:tcPr>
            <w:tcW w:w="1276" w:type="dxa"/>
          </w:tcPr>
          <w:p w14:paraId="37F9F265" w14:textId="77777777" w:rsidR="00FC34EF" w:rsidRDefault="00000000">
            <w:pPr>
              <w:pStyle w:val="a"/>
              <w:spacing w:line="240" w:lineRule="auto"/>
              <w:rPr>
                <w:sz w:val="18"/>
                <w:szCs w:val="18"/>
                <w:lang w:eastAsia="ru-RU"/>
              </w:rPr>
            </w:pPr>
            <w:r>
              <w:rPr>
                <w:sz w:val="18"/>
                <w:szCs w:val="18"/>
                <w:lang w:eastAsia="ru-RU"/>
              </w:rPr>
              <w:t>77.63</w:t>
            </w:r>
          </w:p>
        </w:tc>
        <w:tc>
          <w:tcPr>
            <w:tcW w:w="1278" w:type="dxa"/>
          </w:tcPr>
          <w:p w14:paraId="0AD4EDCD" w14:textId="77777777" w:rsidR="00FC34EF" w:rsidRDefault="00000000">
            <w:pPr>
              <w:pStyle w:val="a"/>
              <w:spacing w:line="240" w:lineRule="auto"/>
              <w:rPr>
                <w:sz w:val="18"/>
                <w:szCs w:val="18"/>
                <w:lang w:eastAsia="ru-RU"/>
              </w:rPr>
            </w:pPr>
            <w:r>
              <w:rPr>
                <w:sz w:val="18"/>
                <w:szCs w:val="18"/>
                <w:lang w:eastAsia="ru-RU"/>
              </w:rPr>
              <w:t>84.05</w:t>
            </w:r>
          </w:p>
        </w:tc>
        <w:tc>
          <w:tcPr>
            <w:tcW w:w="1219" w:type="dxa"/>
          </w:tcPr>
          <w:p w14:paraId="25B39489" w14:textId="77777777" w:rsidR="00FC34EF" w:rsidRDefault="00000000">
            <w:pPr>
              <w:pStyle w:val="a"/>
              <w:spacing w:line="240" w:lineRule="auto"/>
              <w:rPr>
                <w:sz w:val="18"/>
                <w:szCs w:val="18"/>
                <w:lang w:eastAsia="ru-RU"/>
              </w:rPr>
            </w:pPr>
            <w:r>
              <w:rPr>
                <w:sz w:val="18"/>
                <w:szCs w:val="18"/>
                <w:lang w:eastAsia="ru-RU"/>
              </w:rPr>
              <w:t>29.91</w:t>
            </w:r>
          </w:p>
        </w:tc>
        <w:tc>
          <w:tcPr>
            <w:tcW w:w="1159" w:type="dxa"/>
          </w:tcPr>
          <w:p w14:paraId="7556150C" w14:textId="77777777" w:rsidR="00FC34EF" w:rsidRDefault="00000000">
            <w:pPr>
              <w:pStyle w:val="a"/>
              <w:spacing w:line="240" w:lineRule="auto"/>
              <w:rPr>
                <w:sz w:val="18"/>
                <w:szCs w:val="18"/>
                <w:lang w:eastAsia="ru-RU"/>
              </w:rPr>
            </w:pPr>
            <w:r>
              <w:rPr>
                <w:sz w:val="18"/>
                <w:szCs w:val="18"/>
                <w:lang w:eastAsia="ru-RU"/>
              </w:rPr>
              <w:t>43.87</w:t>
            </w:r>
          </w:p>
        </w:tc>
      </w:tr>
      <w:tr w:rsidR="00FC34EF" w14:paraId="702073AA" w14:textId="77777777">
        <w:tc>
          <w:tcPr>
            <w:tcW w:w="993" w:type="dxa"/>
          </w:tcPr>
          <w:p w14:paraId="78D6D698" w14:textId="77777777" w:rsidR="00FC34EF" w:rsidRDefault="00000000">
            <w:pPr>
              <w:pStyle w:val="a"/>
              <w:spacing w:line="240" w:lineRule="auto"/>
              <w:rPr>
                <w:sz w:val="18"/>
                <w:szCs w:val="18"/>
                <w:lang w:eastAsia="ru-RU"/>
              </w:rPr>
            </w:pPr>
            <w:r>
              <w:rPr>
                <w:sz w:val="18"/>
                <w:szCs w:val="18"/>
                <w:lang w:eastAsia="ru-RU"/>
              </w:rPr>
              <w:t>W</w:t>
            </w:r>
          </w:p>
        </w:tc>
        <w:tc>
          <w:tcPr>
            <w:tcW w:w="1276" w:type="dxa"/>
          </w:tcPr>
          <w:p w14:paraId="64F37AB5" w14:textId="77777777" w:rsidR="00FC34EF" w:rsidRDefault="00000000">
            <w:pPr>
              <w:pStyle w:val="a"/>
              <w:spacing w:line="240" w:lineRule="auto"/>
              <w:rPr>
                <w:sz w:val="18"/>
                <w:szCs w:val="18"/>
                <w:lang w:eastAsia="ru-RU"/>
              </w:rPr>
            </w:pPr>
            <w:r>
              <w:rPr>
                <w:sz w:val="18"/>
                <w:szCs w:val="18"/>
                <w:lang w:eastAsia="ru-RU"/>
              </w:rPr>
              <w:t>11.07</w:t>
            </w:r>
          </w:p>
        </w:tc>
        <w:tc>
          <w:tcPr>
            <w:tcW w:w="1278" w:type="dxa"/>
          </w:tcPr>
          <w:p w14:paraId="6BB75B7A" w14:textId="77777777" w:rsidR="00FC34EF" w:rsidRDefault="00000000">
            <w:pPr>
              <w:pStyle w:val="a"/>
              <w:spacing w:line="240" w:lineRule="auto"/>
              <w:rPr>
                <w:sz w:val="18"/>
                <w:szCs w:val="18"/>
                <w:lang w:eastAsia="ru-RU"/>
              </w:rPr>
            </w:pPr>
            <w:r>
              <w:rPr>
                <w:sz w:val="18"/>
                <w:szCs w:val="18"/>
                <w:lang w:eastAsia="ru-RU"/>
              </w:rPr>
              <w:t>6.93</w:t>
            </w:r>
          </w:p>
        </w:tc>
        <w:tc>
          <w:tcPr>
            <w:tcW w:w="1277" w:type="dxa"/>
          </w:tcPr>
          <w:p w14:paraId="743D3C78" w14:textId="77777777" w:rsidR="00FC34EF" w:rsidRDefault="00000000">
            <w:pPr>
              <w:pStyle w:val="a"/>
              <w:spacing w:line="240" w:lineRule="auto"/>
              <w:rPr>
                <w:sz w:val="18"/>
                <w:szCs w:val="18"/>
                <w:lang w:eastAsia="ru-RU"/>
              </w:rPr>
            </w:pPr>
            <w:r>
              <w:rPr>
                <w:sz w:val="18"/>
                <w:szCs w:val="18"/>
                <w:lang w:eastAsia="ru-RU"/>
              </w:rPr>
              <w:t>10.86</w:t>
            </w:r>
          </w:p>
        </w:tc>
        <w:tc>
          <w:tcPr>
            <w:tcW w:w="1276" w:type="dxa"/>
          </w:tcPr>
          <w:p w14:paraId="6C45D030" w14:textId="77777777" w:rsidR="00FC34EF" w:rsidRDefault="00000000">
            <w:pPr>
              <w:pStyle w:val="a"/>
              <w:spacing w:line="240" w:lineRule="auto"/>
              <w:rPr>
                <w:sz w:val="18"/>
                <w:szCs w:val="18"/>
                <w:lang w:eastAsia="ru-RU"/>
              </w:rPr>
            </w:pPr>
            <w:r>
              <w:rPr>
                <w:sz w:val="18"/>
                <w:szCs w:val="18"/>
                <w:lang w:eastAsia="ru-RU"/>
              </w:rPr>
              <w:t>11.15</w:t>
            </w:r>
          </w:p>
        </w:tc>
        <w:tc>
          <w:tcPr>
            <w:tcW w:w="1278" w:type="dxa"/>
          </w:tcPr>
          <w:p w14:paraId="4D50A05F" w14:textId="77777777" w:rsidR="00FC34EF" w:rsidRDefault="00000000">
            <w:pPr>
              <w:pStyle w:val="a"/>
              <w:spacing w:line="240" w:lineRule="auto"/>
              <w:rPr>
                <w:sz w:val="18"/>
                <w:szCs w:val="18"/>
                <w:lang w:eastAsia="ru-RU"/>
              </w:rPr>
            </w:pPr>
            <w:r>
              <w:rPr>
                <w:sz w:val="18"/>
                <w:szCs w:val="18"/>
                <w:lang w:eastAsia="ru-RU"/>
              </w:rPr>
              <w:t>2.80</w:t>
            </w:r>
          </w:p>
        </w:tc>
        <w:tc>
          <w:tcPr>
            <w:tcW w:w="1219" w:type="dxa"/>
          </w:tcPr>
          <w:p w14:paraId="29253BBF" w14:textId="77777777" w:rsidR="00FC34EF" w:rsidRDefault="00000000">
            <w:pPr>
              <w:pStyle w:val="a"/>
              <w:spacing w:line="240" w:lineRule="auto"/>
              <w:rPr>
                <w:sz w:val="18"/>
                <w:szCs w:val="18"/>
                <w:lang w:eastAsia="ru-RU"/>
              </w:rPr>
            </w:pPr>
            <w:r>
              <w:rPr>
                <w:sz w:val="18"/>
                <w:szCs w:val="18"/>
                <w:lang w:eastAsia="ru-RU"/>
              </w:rPr>
              <w:t>55.48</w:t>
            </w:r>
          </w:p>
        </w:tc>
        <w:tc>
          <w:tcPr>
            <w:tcW w:w="1159" w:type="dxa"/>
          </w:tcPr>
          <w:p w14:paraId="1471E30F" w14:textId="77777777" w:rsidR="00FC34EF" w:rsidRDefault="00000000">
            <w:pPr>
              <w:pStyle w:val="a"/>
              <w:spacing w:line="240" w:lineRule="auto"/>
              <w:rPr>
                <w:sz w:val="18"/>
                <w:szCs w:val="18"/>
                <w:lang w:eastAsia="ru-RU"/>
              </w:rPr>
            </w:pPr>
            <w:r>
              <w:rPr>
                <w:sz w:val="18"/>
                <w:szCs w:val="18"/>
                <w:lang w:eastAsia="ru-RU"/>
              </w:rPr>
              <w:t>44.74</w:t>
            </w:r>
          </w:p>
        </w:tc>
      </w:tr>
      <w:tr w:rsidR="00FC34EF" w14:paraId="411D4896" w14:textId="77777777">
        <w:tc>
          <w:tcPr>
            <w:tcW w:w="993" w:type="dxa"/>
            <w:tcBorders>
              <w:bottom w:val="single" w:sz="4" w:space="0" w:color="000000"/>
            </w:tcBorders>
          </w:tcPr>
          <w:p w14:paraId="280229F5" w14:textId="77777777" w:rsidR="00FC34EF" w:rsidRDefault="00000000">
            <w:pPr>
              <w:pStyle w:val="a"/>
              <w:spacing w:line="240" w:lineRule="auto"/>
              <w:rPr>
                <w:sz w:val="18"/>
                <w:szCs w:val="18"/>
                <w:lang w:eastAsia="ru-RU"/>
              </w:rPr>
            </w:pPr>
            <w:r>
              <w:rPr>
                <w:sz w:val="18"/>
                <w:szCs w:val="18"/>
                <w:lang w:eastAsia="ru-RU"/>
              </w:rPr>
              <w:t>Co</w:t>
            </w:r>
          </w:p>
        </w:tc>
        <w:tc>
          <w:tcPr>
            <w:tcW w:w="1276" w:type="dxa"/>
            <w:tcBorders>
              <w:bottom w:val="single" w:sz="4" w:space="0" w:color="000000"/>
            </w:tcBorders>
          </w:tcPr>
          <w:p w14:paraId="761076BD" w14:textId="77777777" w:rsidR="00FC34EF" w:rsidRDefault="00000000">
            <w:pPr>
              <w:pStyle w:val="a"/>
              <w:spacing w:line="240" w:lineRule="auto"/>
              <w:rPr>
                <w:sz w:val="18"/>
                <w:szCs w:val="18"/>
                <w:lang w:eastAsia="ru-RU"/>
              </w:rPr>
            </w:pPr>
            <w:r>
              <w:rPr>
                <w:sz w:val="18"/>
                <w:szCs w:val="18"/>
                <w:lang w:eastAsia="ru-RU"/>
              </w:rPr>
              <w:t>2.22</w:t>
            </w:r>
          </w:p>
        </w:tc>
        <w:tc>
          <w:tcPr>
            <w:tcW w:w="1278" w:type="dxa"/>
            <w:tcBorders>
              <w:bottom w:val="single" w:sz="4" w:space="0" w:color="000000"/>
            </w:tcBorders>
          </w:tcPr>
          <w:p w14:paraId="70A82F96" w14:textId="77777777" w:rsidR="00FC34EF" w:rsidRDefault="00000000">
            <w:pPr>
              <w:pStyle w:val="a"/>
              <w:spacing w:line="240" w:lineRule="auto"/>
              <w:rPr>
                <w:sz w:val="18"/>
                <w:szCs w:val="18"/>
                <w:lang w:eastAsia="ru-RU"/>
              </w:rPr>
            </w:pPr>
            <w:r>
              <w:rPr>
                <w:sz w:val="18"/>
                <w:szCs w:val="18"/>
                <w:lang w:eastAsia="ru-RU"/>
              </w:rPr>
              <w:t>0.00</w:t>
            </w:r>
          </w:p>
        </w:tc>
        <w:tc>
          <w:tcPr>
            <w:tcW w:w="1277" w:type="dxa"/>
            <w:tcBorders>
              <w:bottom w:val="single" w:sz="4" w:space="0" w:color="000000"/>
            </w:tcBorders>
          </w:tcPr>
          <w:p w14:paraId="7F36824D" w14:textId="77777777" w:rsidR="00FC34EF" w:rsidRDefault="00000000">
            <w:pPr>
              <w:pStyle w:val="a"/>
              <w:spacing w:line="240" w:lineRule="auto"/>
              <w:rPr>
                <w:sz w:val="18"/>
                <w:szCs w:val="18"/>
                <w:lang w:eastAsia="ru-RU"/>
              </w:rPr>
            </w:pPr>
            <w:r>
              <w:rPr>
                <w:sz w:val="18"/>
                <w:szCs w:val="18"/>
                <w:lang w:eastAsia="ru-RU"/>
              </w:rPr>
              <w:t>0.00</w:t>
            </w:r>
          </w:p>
        </w:tc>
        <w:tc>
          <w:tcPr>
            <w:tcW w:w="1276" w:type="dxa"/>
            <w:tcBorders>
              <w:bottom w:val="single" w:sz="4" w:space="0" w:color="000000"/>
            </w:tcBorders>
          </w:tcPr>
          <w:p w14:paraId="6931CB11" w14:textId="77777777" w:rsidR="00FC34EF" w:rsidRDefault="00000000">
            <w:pPr>
              <w:pStyle w:val="a"/>
              <w:spacing w:line="240" w:lineRule="auto"/>
              <w:rPr>
                <w:sz w:val="18"/>
                <w:szCs w:val="18"/>
                <w:lang w:eastAsia="ru-RU"/>
              </w:rPr>
            </w:pPr>
            <w:r>
              <w:rPr>
                <w:sz w:val="18"/>
                <w:szCs w:val="18"/>
                <w:lang w:eastAsia="ru-RU"/>
              </w:rPr>
              <w:t>0.00</w:t>
            </w:r>
          </w:p>
        </w:tc>
        <w:tc>
          <w:tcPr>
            <w:tcW w:w="1278" w:type="dxa"/>
            <w:tcBorders>
              <w:bottom w:val="single" w:sz="4" w:space="0" w:color="000000"/>
            </w:tcBorders>
          </w:tcPr>
          <w:p w14:paraId="36483833" w14:textId="77777777" w:rsidR="00FC34EF" w:rsidRDefault="00000000">
            <w:pPr>
              <w:pStyle w:val="a"/>
              <w:spacing w:line="240" w:lineRule="auto"/>
              <w:rPr>
                <w:sz w:val="18"/>
                <w:szCs w:val="18"/>
                <w:lang w:eastAsia="ru-RU"/>
              </w:rPr>
            </w:pPr>
            <w:r>
              <w:rPr>
                <w:sz w:val="18"/>
                <w:szCs w:val="18"/>
                <w:lang w:eastAsia="ru-RU"/>
              </w:rPr>
              <w:t>0.00</w:t>
            </w:r>
          </w:p>
        </w:tc>
        <w:tc>
          <w:tcPr>
            <w:tcW w:w="1219" w:type="dxa"/>
            <w:tcBorders>
              <w:bottom w:val="single" w:sz="4" w:space="0" w:color="000000"/>
            </w:tcBorders>
          </w:tcPr>
          <w:p w14:paraId="0BA0BB05" w14:textId="77777777" w:rsidR="00FC34EF" w:rsidRDefault="00000000">
            <w:pPr>
              <w:pStyle w:val="a"/>
              <w:spacing w:line="240" w:lineRule="auto"/>
              <w:rPr>
                <w:sz w:val="18"/>
                <w:szCs w:val="18"/>
                <w:lang w:eastAsia="ru-RU"/>
              </w:rPr>
            </w:pPr>
            <w:r>
              <w:rPr>
                <w:sz w:val="18"/>
                <w:szCs w:val="18"/>
                <w:lang w:eastAsia="ru-RU"/>
              </w:rPr>
              <w:t>3.69</w:t>
            </w:r>
          </w:p>
        </w:tc>
        <w:tc>
          <w:tcPr>
            <w:tcW w:w="1159" w:type="dxa"/>
            <w:tcBorders>
              <w:bottom w:val="single" w:sz="4" w:space="0" w:color="000000"/>
            </w:tcBorders>
          </w:tcPr>
          <w:p w14:paraId="30337507" w14:textId="77777777" w:rsidR="00FC34EF" w:rsidRDefault="00000000">
            <w:pPr>
              <w:pStyle w:val="a"/>
              <w:spacing w:line="240" w:lineRule="auto"/>
              <w:rPr>
                <w:sz w:val="18"/>
                <w:szCs w:val="18"/>
                <w:lang w:eastAsia="ru-RU"/>
              </w:rPr>
            </w:pPr>
            <w:r>
              <w:rPr>
                <w:sz w:val="18"/>
                <w:szCs w:val="18"/>
                <w:lang w:eastAsia="ru-RU"/>
              </w:rPr>
              <w:t>2.24</w:t>
            </w:r>
          </w:p>
        </w:tc>
      </w:tr>
    </w:tbl>
    <w:p w14:paraId="1B76816E" w14:textId="77777777" w:rsidR="00FC34EF" w:rsidRDefault="00FC34EF">
      <w:pPr>
        <w:pStyle w:val="Paragraph"/>
      </w:pPr>
    </w:p>
    <w:p w14:paraId="2C5011C2" w14:textId="77777777" w:rsidR="00FC34EF" w:rsidRDefault="00000000">
      <w:pPr>
        <w:pStyle w:val="Paragraph"/>
        <w:rPr>
          <w:lang w:eastAsia="ru-RU"/>
        </w:rPr>
      </w:pPr>
      <w:r>
        <w:rPr>
          <w:lang w:eastAsia="ru-RU"/>
        </w:rPr>
        <w:t xml:space="preserve">In addition, the image shown in Fig. </w:t>
      </w:r>
      <w:proofErr w:type="gramStart"/>
      <w:r>
        <w:rPr>
          <w:lang w:eastAsia="ru-RU"/>
        </w:rPr>
        <w:t>5, a</w:t>
      </w:r>
      <w:proofErr w:type="gramEnd"/>
      <w:r>
        <w:rPr>
          <w:lang w:eastAsia="ru-RU"/>
        </w:rPr>
        <w:t xml:space="preserve"> </w:t>
      </w:r>
      <w:proofErr w:type="gramStart"/>
      <w:r>
        <w:rPr>
          <w:lang w:eastAsia="ru-RU"/>
        </w:rPr>
        <w:t>shows</w:t>
      </w:r>
      <w:proofErr w:type="gramEnd"/>
      <w:r>
        <w:rPr>
          <w:lang w:eastAsia="ru-RU"/>
        </w:rPr>
        <w:t xml:space="preserve"> some lighter areas with a high content of tungsten up to 11 wt.% (Spectrum 1, 3 and 4), indicating the diffusional dissolution of the tool material in the AISI 420 steel matrix, and darker areas with low alloying up to 3 wt.% (Spectrum 2, 5). The point elemental analysis of the largest particles of the tool material WC-Co (Fig. 5, b) showed a result corresponding to the chemical composition of the tungsten carbide tool, the increased iron content is </w:t>
      </w:r>
      <w:proofErr w:type="gramStart"/>
      <w:r>
        <w:rPr>
          <w:lang w:eastAsia="ru-RU"/>
        </w:rPr>
        <w:t>due to the fact that</w:t>
      </w:r>
      <w:proofErr w:type="gramEnd"/>
      <w:r>
        <w:rPr>
          <w:lang w:eastAsia="ru-RU"/>
        </w:rPr>
        <w:t xml:space="preserve"> the analysis area exceeds the size of the particles under study.</w:t>
      </w:r>
    </w:p>
    <w:p w14:paraId="16C60D2E" w14:textId="77777777" w:rsidR="00FC34EF" w:rsidRDefault="00FC34EF">
      <w:pPr>
        <w:pStyle w:val="Paragraph"/>
        <w:rPr>
          <w:lang w:eastAsia="ru-RU"/>
        </w:rPr>
      </w:pPr>
    </w:p>
    <w:tbl>
      <w:tblPr>
        <w:tblStyle w:val="Tabellenraster"/>
        <w:tblW w:w="9576" w:type="dxa"/>
        <w:tblInd w:w="108" w:type="dxa"/>
        <w:tblLayout w:type="fixed"/>
        <w:tblLook w:val="04A0" w:firstRow="1" w:lastRow="0" w:firstColumn="1" w:lastColumn="0" w:noHBand="0" w:noVBand="1"/>
      </w:tblPr>
      <w:tblGrid>
        <w:gridCol w:w="4789"/>
        <w:gridCol w:w="4787"/>
      </w:tblGrid>
      <w:tr w:rsidR="00FC34EF" w14:paraId="1F4B4156" w14:textId="77777777">
        <w:tc>
          <w:tcPr>
            <w:tcW w:w="4788" w:type="dxa"/>
            <w:tcBorders>
              <w:top w:val="nil"/>
              <w:left w:val="nil"/>
              <w:bottom w:val="nil"/>
              <w:right w:val="nil"/>
            </w:tcBorders>
            <w:vAlign w:val="bottom"/>
          </w:tcPr>
          <w:p w14:paraId="46F45F0C" w14:textId="77777777" w:rsidR="00FC34EF" w:rsidRDefault="00000000">
            <w:pPr>
              <w:pStyle w:val="Figure"/>
            </w:pPr>
            <w:r>
              <w:rPr>
                <w:noProof/>
              </w:rPr>
              <w:drawing>
                <wp:inline distT="0" distB="0" distL="0" distR="0" wp14:anchorId="223205F2" wp14:editId="741AD846">
                  <wp:extent cx="2700655" cy="2023745"/>
                  <wp:effectExtent l="0" t="0" r="0" b="0"/>
                  <wp:docPr id="7" name="Рисунок 0" descr="Fig_5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0" descr="Fig_5_a.png"/>
                          <pic:cNvPicPr>
                            <a:picLocks noChangeAspect="1" noChangeArrowheads="1"/>
                          </pic:cNvPicPr>
                        </pic:nvPicPr>
                        <pic:blipFill>
                          <a:blip r:embed="rId23"/>
                          <a:stretch>
                            <a:fillRect/>
                          </a:stretch>
                        </pic:blipFill>
                        <pic:spPr bwMode="auto">
                          <a:xfrm>
                            <a:off x="0" y="0"/>
                            <a:ext cx="2700655" cy="2023745"/>
                          </a:xfrm>
                          <a:prstGeom prst="rect">
                            <a:avLst/>
                          </a:prstGeom>
                        </pic:spPr>
                      </pic:pic>
                    </a:graphicData>
                  </a:graphic>
                </wp:inline>
              </w:drawing>
            </w:r>
          </w:p>
        </w:tc>
        <w:tc>
          <w:tcPr>
            <w:tcW w:w="4787" w:type="dxa"/>
            <w:tcBorders>
              <w:top w:val="nil"/>
              <w:left w:val="nil"/>
              <w:bottom w:val="nil"/>
              <w:right w:val="nil"/>
            </w:tcBorders>
            <w:vAlign w:val="bottom"/>
          </w:tcPr>
          <w:p w14:paraId="27EF3830" w14:textId="77777777" w:rsidR="00FC34EF" w:rsidRDefault="00000000">
            <w:pPr>
              <w:pStyle w:val="Figure"/>
            </w:pPr>
            <w:r>
              <w:rPr>
                <w:noProof/>
              </w:rPr>
              <w:drawing>
                <wp:inline distT="0" distB="0" distL="0" distR="0" wp14:anchorId="44E7DA95" wp14:editId="0DB9685D">
                  <wp:extent cx="2703830" cy="2023745"/>
                  <wp:effectExtent l="0" t="0" r="0" b="0"/>
                  <wp:docPr id="8" name="Рисунок 2" descr="Fig_5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 descr="Fig_5_b.png"/>
                          <pic:cNvPicPr>
                            <a:picLocks noChangeAspect="1" noChangeArrowheads="1"/>
                          </pic:cNvPicPr>
                        </pic:nvPicPr>
                        <pic:blipFill>
                          <a:blip r:embed="rId24"/>
                          <a:stretch>
                            <a:fillRect/>
                          </a:stretch>
                        </pic:blipFill>
                        <pic:spPr bwMode="auto">
                          <a:xfrm>
                            <a:off x="0" y="0"/>
                            <a:ext cx="2703830" cy="2023745"/>
                          </a:xfrm>
                          <a:prstGeom prst="rect">
                            <a:avLst/>
                          </a:prstGeom>
                        </pic:spPr>
                      </pic:pic>
                    </a:graphicData>
                  </a:graphic>
                </wp:inline>
              </w:drawing>
            </w:r>
          </w:p>
        </w:tc>
      </w:tr>
      <w:tr w:rsidR="00FC34EF" w14:paraId="29B0B823" w14:textId="77777777">
        <w:tc>
          <w:tcPr>
            <w:tcW w:w="4788" w:type="dxa"/>
            <w:tcBorders>
              <w:top w:val="nil"/>
              <w:left w:val="nil"/>
              <w:bottom w:val="nil"/>
              <w:right w:val="nil"/>
            </w:tcBorders>
            <w:vAlign w:val="bottom"/>
          </w:tcPr>
          <w:p w14:paraId="2516470D" w14:textId="77777777" w:rsidR="00FC34EF" w:rsidRDefault="00000000">
            <w:pPr>
              <w:pStyle w:val="Figure"/>
            </w:pPr>
            <w:r>
              <w:t>(a)</w:t>
            </w:r>
          </w:p>
        </w:tc>
        <w:tc>
          <w:tcPr>
            <w:tcW w:w="4787" w:type="dxa"/>
            <w:tcBorders>
              <w:top w:val="nil"/>
              <w:left w:val="nil"/>
              <w:bottom w:val="nil"/>
              <w:right w:val="nil"/>
            </w:tcBorders>
            <w:vAlign w:val="bottom"/>
          </w:tcPr>
          <w:p w14:paraId="62B08A26" w14:textId="77777777" w:rsidR="00FC34EF" w:rsidRDefault="00000000">
            <w:pPr>
              <w:pStyle w:val="Figure"/>
            </w:pPr>
            <w:r>
              <w:t>(b)</w:t>
            </w:r>
          </w:p>
        </w:tc>
      </w:tr>
      <w:tr w:rsidR="00FC34EF" w14:paraId="57046449" w14:textId="77777777">
        <w:tc>
          <w:tcPr>
            <w:tcW w:w="4788" w:type="dxa"/>
            <w:tcBorders>
              <w:top w:val="nil"/>
              <w:left w:val="nil"/>
              <w:bottom w:val="nil"/>
              <w:right w:val="nil"/>
            </w:tcBorders>
            <w:vAlign w:val="bottom"/>
          </w:tcPr>
          <w:p w14:paraId="7B94D281" w14:textId="77777777" w:rsidR="00FC34EF" w:rsidRDefault="00000000">
            <w:pPr>
              <w:pStyle w:val="Figure"/>
            </w:pPr>
            <w:r>
              <w:rPr>
                <w:noProof/>
              </w:rPr>
              <w:drawing>
                <wp:inline distT="0" distB="0" distL="0" distR="0" wp14:anchorId="1CE57049" wp14:editId="29115259">
                  <wp:extent cx="2700655" cy="2023745"/>
                  <wp:effectExtent l="0" t="0" r="0" b="0"/>
                  <wp:docPr id="9" name="Рисунок 6" descr="Fig_5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 descr="Fig_5_c.png"/>
                          <pic:cNvPicPr>
                            <a:picLocks noChangeAspect="1" noChangeArrowheads="1"/>
                          </pic:cNvPicPr>
                        </pic:nvPicPr>
                        <pic:blipFill>
                          <a:blip r:embed="rId25"/>
                          <a:stretch>
                            <a:fillRect/>
                          </a:stretch>
                        </pic:blipFill>
                        <pic:spPr bwMode="auto">
                          <a:xfrm>
                            <a:off x="0" y="0"/>
                            <a:ext cx="2700655" cy="2023745"/>
                          </a:xfrm>
                          <a:prstGeom prst="rect">
                            <a:avLst/>
                          </a:prstGeom>
                        </pic:spPr>
                      </pic:pic>
                    </a:graphicData>
                  </a:graphic>
                </wp:inline>
              </w:drawing>
            </w:r>
          </w:p>
        </w:tc>
        <w:tc>
          <w:tcPr>
            <w:tcW w:w="4787" w:type="dxa"/>
            <w:tcBorders>
              <w:top w:val="nil"/>
              <w:left w:val="nil"/>
              <w:bottom w:val="nil"/>
              <w:right w:val="nil"/>
            </w:tcBorders>
            <w:vAlign w:val="bottom"/>
          </w:tcPr>
          <w:p w14:paraId="175C9D1F" w14:textId="77777777" w:rsidR="00FC34EF" w:rsidRDefault="00000000">
            <w:pPr>
              <w:pStyle w:val="Figure"/>
            </w:pPr>
            <w:r>
              <w:rPr>
                <w:noProof/>
              </w:rPr>
              <w:drawing>
                <wp:inline distT="0" distB="0" distL="0" distR="0" wp14:anchorId="1890F228" wp14:editId="0BA6A97F">
                  <wp:extent cx="2706370" cy="2023745"/>
                  <wp:effectExtent l="0" t="0" r="0" b="0"/>
                  <wp:docPr id="10" name="Рисунок 7" descr="Fig_5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7" descr="Fig_5_d.png"/>
                          <pic:cNvPicPr>
                            <a:picLocks noChangeAspect="1" noChangeArrowheads="1"/>
                          </pic:cNvPicPr>
                        </pic:nvPicPr>
                        <pic:blipFill>
                          <a:blip r:embed="rId26"/>
                          <a:stretch>
                            <a:fillRect/>
                          </a:stretch>
                        </pic:blipFill>
                        <pic:spPr bwMode="auto">
                          <a:xfrm>
                            <a:off x="0" y="0"/>
                            <a:ext cx="2706370" cy="2023745"/>
                          </a:xfrm>
                          <a:prstGeom prst="rect">
                            <a:avLst/>
                          </a:prstGeom>
                        </pic:spPr>
                      </pic:pic>
                    </a:graphicData>
                  </a:graphic>
                </wp:inline>
              </w:drawing>
            </w:r>
          </w:p>
        </w:tc>
      </w:tr>
      <w:tr w:rsidR="00FC34EF" w14:paraId="5088732F" w14:textId="77777777">
        <w:tc>
          <w:tcPr>
            <w:tcW w:w="4788" w:type="dxa"/>
            <w:tcBorders>
              <w:top w:val="nil"/>
              <w:left w:val="nil"/>
              <w:bottom w:val="nil"/>
              <w:right w:val="nil"/>
            </w:tcBorders>
            <w:vAlign w:val="bottom"/>
          </w:tcPr>
          <w:p w14:paraId="5E881CEF" w14:textId="77777777" w:rsidR="00FC34EF" w:rsidRDefault="00000000">
            <w:pPr>
              <w:pStyle w:val="Figure"/>
            </w:pPr>
            <w:r>
              <w:t>(c)</w:t>
            </w:r>
          </w:p>
        </w:tc>
        <w:tc>
          <w:tcPr>
            <w:tcW w:w="4787" w:type="dxa"/>
            <w:tcBorders>
              <w:top w:val="nil"/>
              <w:left w:val="nil"/>
              <w:bottom w:val="nil"/>
              <w:right w:val="nil"/>
            </w:tcBorders>
            <w:vAlign w:val="bottom"/>
          </w:tcPr>
          <w:p w14:paraId="26CAE38E" w14:textId="77777777" w:rsidR="00FC34EF" w:rsidRDefault="00000000">
            <w:pPr>
              <w:pStyle w:val="Figure"/>
            </w:pPr>
            <w:r>
              <w:t>(d)</w:t>
            </w:r>
          </w:p>
        </w:tc>
      </w:tr>
    </w:tbl>
    <w:p w14:paraId="1DB7BF8C" w14:textId="77777777" w:rsidR="00FC34EF" w:rsidRDefault="00000000">
      <w:pPr>
        <w:pStyle w:val="FigureCaption"/>
      </w:pPr>
      <w:r>
        <w:rPr>
          <w:b/>
        </w:rPr>
        <w:t>FIGURE 5.</w:t>
      </w:r>
      <w:r>
        <w:t xml:space="preserve"> Scanning electron microscopy of a thin surface layer of a friction track after FSP at a feed rate of 50 mm/min: a – quantitative elemental analysis; b – point elemental analysis; c and d – areas of different microstructural state</w:t>
      </w:r>
    </w:p>
    <w:p w14:paraId="2D3C1FCC" w14:textId="77777777" w:rsidR="00FC34EF" w:rsidRDefault="00FC34EF">
      <w:pPr>
        <w:pStyle w:val="Paragraph"/>
      </w:pPr>
    </w:p>
    <w:p w14:paraId="769CA8F3" w14:textId="77777777" w:rsidR="00FC34EF" w:rsidRDefault="00000000">
      <w:pPr>
        <w:pStyle w:val="Figure"/>
        <w:rPr>
          <w:lang w:eastAsia="ru-RU"/>
        </w:rPr>
      </w:pPr>
      <w:r>
        <w:rPr>
          <w:noProof/>
        </w:rPr>
        <w:lastRenderedPageBreak/>
        <w:drawing>
          <wp:inline distT="0" distB="0" distL="0" distR="0" wp14:anchorId="13C1331F" wp14:editId="75D2F8C3">
            <wp:extent cx="4041775" cy="2162810"/>
            <wp:effectExtent l="0" t="0" r="0" b="0"/>
            <wp:docPr id="11" name="Рисунок 5" descr="Fig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5" descr="Fig_5.png"/>
                    <pic:cNvPicPr>
                      <a:picLocks noChangeAspect="1" noChangeArrowheads="1"/>
                    </pic:cNvPicPr>
                  </pic:nvPicPr>
                  <pic:blipFill>
                    <a:blip r:embed="rId27"/>
                    <a:stretch>
                      <a:fillRect/>
                    </a:stretch>
                  </pic:blipFill>
                  <pic:spPr bwMode="auto">
                    <a:xfrm>
                      <a:off x="0" y="0"/>
                      <a:ext cx="4041775" cy="2162810"/>
                    </a:xfrm>
                    <a:prstGeom prst="rect">
                      <a:avLst/>
                    </a:prstGeom>
                  </pic:spPr>
                </pic:pic>
              </a:graphicData>
            </a:graphic>
          </wp:inline>
        </w:drawing>
      </w:r>
    </w:p>
    <w:p w14:paraId="730A7C4B" w14:textId="77777777" w:rsidR="00FC34EF" w:rsidRDefault="00000000">
      <w:pPr>
        <w:pStyle w:val="FigureCaption"/>
      </w:pPr>
      <w:r>
        <w:rPr>
          <w:b/>
        </w:rPr>
        <w:t>FIGURE 6.</w:t>
      </w:r>
      <w:r>
        <w:t xml:space="preserve"> Microhardness characteristics according to the friction track depth at various feed rates</w:t>
      </w:r>
    </w:p>
    <w:p w14:paraId="744F3990" w14:textId="77777777" w:rsidR="00FC34EF" w:rsidRDefault="00FC34EF">
      <w:pPr>
        <w:pStyle w:val="Paragraph"/>
      </w:pPr>
    </w:p>
    <w:p w14:paraId="1E602DF2" w14:textId="77777777" w:rsidR="00FC34EF" w:rsidRDefault="00000000">
      <w:pPr>
        <w:pStyle w:val="Paragraph"/>
      </w:pPr>
      <w:r>
        <w:t>The results of microduremetry in the depth of the surface layer in the middle of the friction tracks show a similar hardening pattern of the material under treatment with a change in feed from 50 to 100 mm/min (Fig. 6). Thus, at a depth of up to 400 microns, banded hardening is observed due to the heterogeneity of alloying. Then, the microhardness gradually decreases to the initial level of ~200 HV</w:t>
      </w:r>
      <w:r>
        <w:rPr>
          <w:vertAlign w:val="subscript"/>
        </w:rPr>
        <w:t>0.1</w:t>
      </w:r>
      <w:r>
        <w:t>.</w:t>
      </w:r>
    </w:p>
    <w:p w14:paraId="6ACF4E4A" w14:textId="77777777" w:rsidR="00FC34EF" w:rsidRDefault="00000000">
      <w:pPr>
        <w:pStyle w:val="berschrift1"/>
      </w:pPr>
      <w:r>
        <w:t>Conclusion</w:t>
      </w:r>
    </w:p>
    <w:p w14:paraId="2DFB619F" w14:textId="77777777" w:rsidR="00FC34EF" w:rsidRDefault="00000000">
      <w:pPr>
        <w:pStyle w:val="Paragraph"/>
      </w:pPr>
      <w:r>
        <w:t>The results of the experimental study are in good agreement with the temperature characteristics obtained using the analytical model. It can be seen from the microhardness characteristics that the thickness of the hardened layer increases significantly with a decrease in feed, especially to a level of 50 mm/min. Apparently, this is due to two main factors. Firstly, when the feed rate decreases, the maximum temperature in the contact area increases. Secondly, and probably more important, the exposure time of the material at high temperatures is significantly increased, which undoubtedly contributes to both more complete austenization of the material and deeper heating of the surface under treatment.</w:t>
      </w:r>
    </w:p>
    <w:p w14:paraId="1FDCEA9A" w14:textId="77777777" w:rsidR="00FC34EF" w:rsidRDefault="00000000">
      <w:pPr>
        <w:pStyle w:val="berschrift1"/>
      </w:pPr>
      <w:r>
        <w:t>ACKNOWLEDGMENTS</w:t>
      </w:r>
    </w:p>
    <w:p w14:paraId="7920E79D" w14:textId="77777777" w:rsidR="00FC34EF" w:rsidRDefault="00000000">
      <w:pPr>
        <w:pStyle w:val="Paragraph"/>
        <w:rPr>
          <w:color w:val="000000"/>
        </w:rPr>
      </w:pPr>
      <w:r>
        <w:rPr>
          <w:color w:val="000000"/>
        </w:rPr>
        <w:t>Funding from the Ministry of Science and Higher Education of the Russian Federation (Ural Federal University, State Assignment No. 075-03-2025-258 dated 17.01.2025 (FEUZ-2024-0020)</w:t>
      </w:r>
    </w:p>
    <w:p w14:paraId="7E6271C9" w14:textId="77777777" w:rsidR="00FC34EF" w:rsidRDefault="00000000">
      <w:pPr>
        <w:pStyle w:val="berschrift1"/>
      </w:pPr>
      <w:r>
        <w:rPr>
          <w:rFonts w:cstheme="majorBidi"/>
        </w:rPr>
        <w:t>References</w:t>
      </w:r>
    </w:p>
    <w:p w14:paraId="21B420AF" w14:textId="77777777" w:rsidR="00FC34EF" w:rsidRDefault="00000000">
      <w:pPr>
        <w:pStyle w:val="Reference"/>
      </w:pPr>
      <w:r>
        <w:t>V.P. Kuznetsov, I.</w:t>
      </w:r>
      <w:proofErr w:type="gramStart"/>
      <w:r>
        <w:t>A.Vorontsov</w:t>
      </w:r>
      <w:proofErr w:type="gramEnd"/>
      <w:r>
        <w:t xml:space="preserve">, M.S. Karabanalov, M.S. Khadyev, V.V. Voropaev, I.S. Kamantsev and V.P. Shveykin, Regularities of surface haedening of X20Cr13 steel by alloying with WC-Co tool material during friction stir processing. Metallovedenie i termicheskaya obrabotka metallov, </w:t>
      </w:r>
      <w:r>
        <w:rPr>
          <w:b/>
        </w:rPr>
        <w:t>3</w:t>
      </w:r>
      <w:r>
        <w:t xml:space="preserve">(387), 50–56 (2025). </w:t>
      </w:r>
      <w:hyperlink r:id="rId28">
        <w:r w:rsidR="00FC34EF">
          <w:rPr>
            <w:rStyle w:val="Hyperlink"/>
          </w:rPr>
          <w:t>https://doi.org/10.30906/mitom.2025.3.50-56</w:t>
        </w:r>
      </w:hyperlink>
    </w:p>
    <w:p w14:paraId="1656AC5F" w14:textId="77777777" w:rsidR="00FC34EF" w:rsidRDefault="00000000">
      <w:pPr>
        <w:pStyle w:val="Reference"/>
      </w:pPr>
      <w:r>
        <w:rPr>
          <w:lang w:eastAsia="ru-RU"/>
        </w:rPr>
        <w:t xml:space="preserve">R.S. Mishra and Z.Y. Ma, Friction stir welding and </w:t>
      </w:r>
      <w:r>
        <w:t>processing</w:t>
      </w:r>
      <w:r>
        <w:rPr>
          <w:lang w:eastAsia="ru-RU"/>
        </w:rPr>
        <w:t xml:space="preserve">. Materials Science and Engineering: R: Reports </w:t>
      </w:r>
      <w:r>
        <w:rPr>
          <w:b/>
          <w:bCs/>
          <w:lang w:eastAsia="ru-RU"/>
        </w:rPr>
        <w:t>50</w:t>
      </w:r>
      <w:r>
        <w:rPr>
          <w:lang w:eastAsia="ru-RU"/>
        </w:rPr>
        <w:t xml:space="preserve">(1), 1–78 (2005). </w:t>
      </w:r>
      <w:hyperlink r:id="rId29">
        <w:r w:rsidR="00FC34EF">
          <w:rPr>
            <w:rStyle w:val="Hyperlink"/>
            <w:lang w:eastAsia="ru-RU"/>
          </w:rPr>
          <w:t>https://doi.org/10.1016/j.mser.2005.07.001</w:t>
        </w:r>
      </w:hyperlink>
    </w:p>
    <w:p w14:paraId="161F8757" w14:textId="77777777" w:rsidR="00FC34EF" w:rsidRDefault="00000000">
      <w:pPr>
        <w:pStyle w:val="Reference"/>
      </w:pPr>
      <w:r>
        <w:rPr>
          <w:lang w:eastAsia="ru-RU"/>
        </w:rPr>
        <w:t xml:space="preserve">Y. Takada and H. Sasahara, Effect of Tip Shape of Frictional Stir </w:t>
      </w:r>
      <w:r>
        <w:t>Burnishing</w:t>
      </w:r>
      <w:r>
        <w:rPr>
          <w:lang w:eastAsia="ru-RU"/>
        </w:rPr>
        <w:t xml:space="preserve"> Tool on Processed Layer’s Hardness, Residual Stress and Surface Roughness. Coatings </w:t>
      </w:r>
      <w:r>
        <w:rPr>
          <w:b/>
          <w:bCs/>
          <w:lang w:eastAsia="ru-RU"/>
        </w:rPr>
        <w:t>8</w:t>
      </w:r>
      <w:r>
        <w:rPr>
          <w:lang w:eastAsia="ru-RU"/>
        </w:rPr>
        <w:t xml:space="preserve">(1), 32 (2018). </w:t>
      </w:r>
      <w:hyperlink r:id="rId30">
        <w:r w:rsidR="00FC34EF">
          <w:rPr>
            <w:rStyle w:val="Hyperlink"/>
            <w:bCs/>
            <w:lang w:eastAsia="ru-RU"/>
          </w:rPr>
          <w:t>https://doi.org/10.3390/coatings8010032</w:t>
        </w:r>
      </w:hyperlink>
    </w:p>
    <w:p w14:paraId="5297CB61" w14:textId="77777777" w:rsidR="00FC34EF" w:rsidRDefault="00000000">
      <w:pPr>
        <w:pStyle w:val="Reference"/>
      </w:pPr>
      <w:r>
        <w:t xml:space="preserve">L. Pan, C.T. Kwok and K.H. Lo, Enhancement in hardness and corrosion resistance of AISI 420 martensitic stainless steel via friction stir processing. Surface and Coatings Technology </w:t>
      </w:r>
      <w:r>
        <w:rPr>
          <w:b/>
          <w:bCs/>
        </w:rPr>
        <w:t>357</w:t>
      </w:r>
      <w:r>
        <w:t xml:space="preserve">, 339–347 (2019). </w:t>
      </w:r>
      <w:hyperlink r:id="rId31">
        <w:r w:rsidR="00FC34EF">
          <w:rPr>
            <w:rStyle w:val="Hyperlink"/>
          </w:rPr>
          <w:t>https://doi.org/10.1016/j.surfcoat.2018.10.023</w:t>
        </w:r>
      </w:hyperlink>
    </w:p>
    <w:p w14:paraId="2462199D" w14:textId="77777777" w:rsidR="00FC34EF" w:rsidRDefault="00000000">
      <w:pPr>
        <w:pStyle w:val="Reference"/>
      </w:pPr>
      <w:r>
        <w:t xml:space="preserve">S.H. Aldajah, O.O. Ajayi, G.R. Fenske and S. David, Effect of friction stir processing on the tribological performance of high carbon steel. Wear </w:t>
      </w:r>
      <w:r>
        <w:rPr>
          <w:b/>
          <w:bCs/>
        </w:rPr>
        <w:t>267</w:t>
      </w:r>
      <w:r>
        <w:t xml:space="preserve">(1), 350–355 (2009). </w:t>
      </w:r>
      <w:hyperlink r:id="rId32">
        <w:r w:rsidR="00FC34EF">
          <w:rPr>
            <w:rStyle w:val="Hyperlink"/>
          </w:rPr>
          <w:t>https://doi.org/10.1016/j.wear.2008.12.020</w:t>
        </w:r>
      </w:hyperlink>
    </w:p>
    <w:p w14:paraId="627D598D" w14:textId="77777777" w:rsidR="00FC34EF" w:rsidRDefault="00000000">
      <w:pPr>
        <w:pStyle w:val="Reference"/>
      </w:pPr>
      <w:r>
        <w:t xml:space="preserve">C. Lorenzo-Martin and O.O. Ajayi, Rapid surface hardening and enhanced tribological performance of 4140 </w:t>
      </w:r>
      <w:proofErr w:type="gramStart"/>
      <w:r>
        <w:t>steel</w:t>
      </w:r>
      <w:proofErr w:type="gramEnd"/>
      <w:r>
        <w:t xml:space="preserve"> by friction stir processing. Wear </w:t>
      </w:r>
      <w:r>
        <w:rPr>
          <w:b/>
          <w:bCs/>
        </w:rPr>
        <w:t>332–333</w:t>
      </w:r>
      <w:r>
        <w:t xml:space="preserve">, 962–970 (2015). </w:t>
      </w:r>
      <w:hyperlink r:id="rId33">
        <w:r w:rsidR="00FC34EF">
          <w:rPr>
            <w:rStyle w:val="Hyperlink"/>
          </w:rPr>
          <w:t>https://doi.org/10.1016/j.wear.2015.01.052</w:t>
        </w:r>
      </w:hyperlink>
    </w:p>
    <w:p w14:paraId="7DE154EE" w14:textId="77777777" w:rsidR="00FC34EF" w:rsidRDefault="00000000">
      <w:pPr>
        <w:pStyle w:val="Reference"/>
      </w:pPr>
      <w:r>
        <w:lastRenderedPageBreak/>
        <w:t xml:space="preserve">S.H. Aldajah, O.O. Ajayi, G.R. Fenske and S. David, Effect of friction stir processing on the tribological performance of high carbon steel. Wear </w:t>
      </w:r>
      <w:r>
        <w:rPr>
          <w:b/>
          <w:bCs/>
        </w:rPr>
        <w:t>267</w:t>
      </w:r>
      <w:r>
        <w:t xml:space="preserve">(1), 350–355 (2009). </w:t>
      </w:r>
      <w:hyperlink r:id="rId34">
        <w:r w:rsidR="00FC34EF">
          <w:rPr>
            <w:rStyle w:val="Hyperlink"/>
          </w:rPr>
          <w:t>https://doi.org/10.1016/j.wear.2008.12.020</w:t>
        </w:r>
      </w:hyperlink>
    </w:p>
    <w:p w14:paraId="48841F14" w14:textId="77777777" w:rsidR="00FC34EF" w:rsidRDefault="00000000">
      <w:pPr>
        <w:pStyle w:val="Reference"/>
      </w:pPr>
      <w:r>
        <w:t xml:space="preserve">B. Vicharapu, H. Liu, Y. Morisada, H. Fujii and A. De, Degradation of nickel-bonded tungsten carbide tools in friction stir welding of high carbon steel. Int. J. Adv. Manuf. Technol. </w:t>
      </w:r>
      <w:r>
        <w:rPr>
          <w:b/>
          <w:bCs/>
        </w:rPr>
        <w:t>115</w:t>
      </w:r>
      <w:r>
        <w:t xml:space="preserve">(4), 1049–1061 (2021).  </w:t>
      </w:r>
      <w:hyperlink r:id="rId35">
        <w:r w:rsidR="00FC34EF">
          <w:rPr>
            <w:rStyle w:val="Hyperlink"/>
          </w:rPr>
          <w:t>https://doi.org/10.1007/s00170-021-07159-3</w:t>
        </w:r>
      </w:hyperlink>
    </w:p>
    <w:p w14:paraId="0FA91C68" w14:textId="77777777" w:rsidR="00FC34EF" w:rsidRDefault="00000000">
      <w:pPr>
        <w:pStyle w:val="Reference"/>
      </w:pPr>
      <w:r>
        <w:t xml:space="preserve">J.C. Jaeger, Moving sources of heat and the temperature at sliding contacts. Journal and Proceedings of the Royal Society of New South Wales </w:t>
      </w:r>
      <w:r>
        <w:rPr>
          <w:b/>
          <w:bCs/>
        </w:rPr>
        <w:t>76</w:t>
      </w:r>
      <w:r>
        <w:t xml:space="preserve">(3), 203–224 (1943). </w:t>
      </w:r>
      <w:hyperlink r:id="rId36">
        <w:r w:rsidR="00FC34EF">
          <w:rPr>
            <w:rStyle w:val="Hyperlink"/>
          </w:rPr>
          <w:t>https://doi.org/10.5962/p.360338</w:t>
        </w:r>
      </w:hyperlink>
    </w:p>
    <w:p w14:paraId="65B388F6" w14:textId="77777777" w:rsidR="00FC34EF" w:rsidRDefault="00FC34EF">
      <w:pPr>
        <w:pStyle w:val="Paragraph"/>
      </w:pPr>
    </w:p>
    <w:p w14:paraId="339A34A3" w14:textId="77777777" w:rsidR="00FC34EF" w:rsidRDefault="00FC34EF">
      <w:pPr>
        <w:rPr>
          <w:sz w:val="20"/>
        </w:rPr>
      </w:pPr>
    </w:p>
    <w:sectPr w:rsidR="00FC34EF">
      <w:pgSz w:w="12240" w:h="15840"/>
      <w:pgMar w:top="1440" w:right="1440" w:bottom="1440" w:left="1440" w:header="0" w:footer="0" w:gutter="0"/>
      <w:cols w:space="720"/>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rlito">
    <w:altName w:val="Calibri"/>
    <w:charset w:val="01"/>
    <w:family w:val="swiss"/>
    <w:pitch w:val="variable"/>
  </w:font>
  <w:font w:name="Noto Sans SC Regular">
    <w:panose1 w:val="00000000000000000000"/>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273B4"/>
    <w:multiLevelType w:val="multilevel"/>
    <w:tmpl w:val="FD7C3E5A"/>
    <w:lvl w:ilvl="0">
      <w:start w:val="1"/>
      <w:numFmt w:val="decimal"/>
      <w:pStyle w:val="Reference"/>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C47133E"/>
    <w:multiLevelType w:val="multilevel"/>
    <w:tmpl w:val="BC025204"/>
    <w:lvl w:ilvl="0">
      <w:start w:val="1"/>
      <w:numFmt w:val="decimal"/>
      <w:pStyle w:val="Paragraphnumbered"/>
      <w:lvlText w:val="%1."/>
      <w:lvlJc w:val="left"/>
      <w:pPr>
        <w:tabs>
          <w:tab w:val="num" w:pos="0"/>
        </w:tabs>
        <w:ind w:left="644" w:hanging="360"/>
      </w:p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2" w15:restartNumberingAfterBreak="0">
    <w:nsid w:val="308E6208"/>
    <w:multiLevelType w:val="multilevel"/>
    <w:tmpl w:val="4F98D43A"/>
    <w:lvl w:ilvl="0">
      <w:start w:val="1"/>
      <w:numFmt w:val="bullet"/>
      <w:pStyle w:val="Paragraphbulleted"/>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3" w15:restartNumberingAfterBreak="0">
    <w:nsid w:val="36EB05E7"/>
    <w:multiLevelType w:val="multilevel"/>
    <w:tmpl w:val="2F566F5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100952916">
    <w:abstractNumId w:val="3"/>
  </w:num>
  <w:num w:numId="2" w16cid:durableId="72049152">
    <w:abstractNumId w:val="0"/>
  </w:num>
  <w:num w:numId="3" w16cid:durableId="13070218">
    <w:abstractNumId w:val="2"/>
  </w:num>
  <w:num w:numId="4" w16cid:durableId="7580187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defaultTabStop w:val="720"/>
  <w:autoHyphenation/>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FC34EF"/>
    <w:rsid w:val="000A1477"/>
    <w:rsid w:val="00657F79"/>
    <w:rsid w:val="007B0469"/>
    <w:rsid w:val="007C7930"/>
    <w:rsid w:val="00900195"/>
    <w:rsid w:val="00960196"/>
    <w:rsid w:val="00DA3C21"/>
    <w:rsid w:val="00FC34EF"/>
  </w:rsids>
  <m:mathPr>
    <m:mathFont m:val="Cambria Math"/>
    <m:brkBin m:val="before"/>
    <m:brkBinSub m:val="--"/>
    <m:smallFrac m:val="0"/>
    <m:dispDef/>
    <m:lMargin m:val="0"/>
    <m:rMargin m:val="0"/>
    <m:defJc m:val="centerGroup"/>
    <m:wrapIndent m:val="1440"/>
    <m:intLim m:val="subSup"/>
    <m:naryLim m:val="undOvr"/>
  </m:mathPr>
  <w:themeFontLang w:val="en-GB" w:eastAsia="" w:bidi="ar-SA"/>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5D7B003E"/>
  <w15:docId w15:val="{0F6E905A-EEEB-416F-B8B5-69A097685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E3CB2"/>
    <w:rPr>
      <w:sz w:val="24"/>
      <w:lang w:val="en-US" w:eastAsia="en-US"/>
    </w:rPr>
  </w:style>
  <w:style w:type="paragraph" w:styleId="berschrift1">
    <w:name w:val="heading 1"/>
    <w:basedOn w:val="Standard"/>
    <w:next w:val="Paragraph"/>
    <w:qFormat/>
    <w:rsid w:val="00A606FE"/>
    <w:pPr>
      <w:keepNext/>
      <w:spacing w:before="240" w:after="240"/>
      <w:jc w:val="center"/>
      <w:outlineLvl w:val="0"/>
    </w:pPr>
    <w:rPr>
      <w:b/>
      <w:caps/>
    </w:rPr>
  </w:style>
  <w:style w:type="paragraph" w:styleId="berschrift2">
    <w:name w:val="heading 2"/>
    <w:basedOn w:val="Standard"/>
    <w:next w:val="Paragraph"/>
    <w:qFormat/>
    <w:rsid w:val="00A606FE"/>
    <w:pPr>
      <w:keepNext/>
      <w:spacing w:before="240" w:after="240"/>
      <w:jc w:val="center"/>
      <w:outlineLvl w:val="1"/>
    </w:pPr>
    <w:rPr>
      <w:b/>
    </w:rPr>
  </w:style>
  <w:style w:type="paragraph" w:styleId="berschrift3">
    <w:name w:val="heading 3"/>
    <w:basedOn w:val="Standard"/>
    <w:next w:val="Standard"/>
    <w:qFormat/>
    <w:rsid w:val="005854B0"/>
    <w:pPr>
      <w:keepNext/>
      <w:spacing w:before="240" w:after="240"/>
      <w:jc w:val="center"/>
      <w:outlineLvl w:val="2"/>
    </w:pPr>
    <w:rPr>
      <w:i/>
      <w:iCs/>
      <w:sz w:val="20"/>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otnoteCharacters">
    <w:name w:val="Footnote Characters"/>
    <w:semiHidden/>
    <w:qFormat/>
    <w:rsid w:val="00A606FE"/>
    <w:rPr>
      <w:vertAlign w:val="superscript"/>
    </w:rPr>
  </w:style>
  <w:style w:type="character" w:styleId="Funotenzeichen">
    <w:name w:val="footnote reference"/>
    <w:rPr>
      <w:vertAlign w:val="superscript"/>
    </w:rPr>
  </w:style>
  <w:style w:type="character" w:customStyle="1" w:styleId="SprechblasentextZchn">
    <w:name w:val="Sprechblasentext Zchn"/>
    <w:basedOn w:val="Absatz-Standardschriftart"/>
    <w:link w:val="Sprechblasentext"/>
    <w:uiPriority w:val="99"/>
    <w:qFormat/>
    <w:rsid w:val="00114AB1"/>
    <w:rPr>
      <w:rFonts w:ascii="Tahoma" w:hAnsi="Tahoma" w:cs="Tahoma"/>
      <w:sz w:val="16"/>
      <w:szCs w:val="16"/>
      <w:lang w:val="en-US" w:eastAsia="en-US"/>
    </w:rPr>
  </w:style>
  <w:style w:type="character" w:styleId="Hyperlink">
    <w:name w:val="Hyperlink"/>
    <w:rsid w:val="00A606FE"/>
    <w:rPr>
      <w:color w:val="0000FF"/>
      <w:u w:val="single"/>
    </w:rPr>
  </w:style>
  <w:style w:type="character" w:styleId="Fett">
    <w:name w:val="Strong"/>
    <w:basedOn w:val="Absatz-Standardschriftart"/>
    <w:uiPriority w:val="22"/>
    <w:qFormat/>
    <w:rsid w:val="005F7475"/>
    <w:rPr>
      <w:b/>
      <w:bCs/>
    </w:rPr>
  </w:style>
  <w:style w:type="character" w:styleId="Hervorhebung">
    <w:name w:val="Emphasis"/>
    <w:basedOn w:val="Absatz-Standardschriftart"/>
    <w:uiPriority w:val="20"/>
    <w:qFormat/>
    <w:rsid w:val="005F7475"/>
    <w:rPr>
      <w:i/>
      <w:iCs/>
    </w:rPr>
  </w:style>
  <w:style w:type="character" w:customStyle="1" w:styleId="NichtaufgelsteErwhnung1">
    <w:name w:val="Nicht aufgelöste Erwähnung1"/>
    <w:basedOn w:val="Absatz-Standardschriftart"/>
    <w:uiPriority w:val="99"/>
    <w:semiHidden/>
    <w:unhideWhenUsed/>
    <w:qFormat/>
    <w:rsid w:val="00613B4D"/>
    <w:rPr>
      <w:color w:val="808080"/>
      <w:shd w:val="clear" w:color="auto" w:fill="E6E6E6"/>
    </w:rPr>
  </w:style>
  <w:style w:type="character" w:styleId="Kommentarzeichen">
    <w:name w:val="annotation reference"/>
    <w:basedOn w:val="Absatz-Standardschriftart"/>
    <w:semiHidden/>
    <w:unhideWhenUsed/>
    <w:qFormat/>
    <w:rsid w:val="005E71ED"/>
    <w:rPr>
      <w:sz w:val="16"/>
      <w:szCs w:val="16"/>
    </w:rPr>
  </w:style>
  <w:style w:type="character" w:customStyle="1" w:styleId="KommentartextZchn">
    <w:name w:val="Kommentartext Zchn"/>
    <w:basedOn w:val="Absatz-Standardschriftart"/>
    <w:link w:val="Kommentartext"/>
    <w:semiHidden/>
    <w:qFormat/>
    <w:rsid w:val="005E71ED"/>
    <w:rPr>
      <w:lang w:val="en-US" w:eastAsia="en-US"/>
    </w:rPr>
  </w:style>
  <w:style w:type="character" w:customStyle="1" w:styleId="KommentarthemaZchn">
    <w:name w:val="Kommentarthema Zchn"/>
    <w:basedOn w:val="KommentartextZchn"/>
    <w:link w:val="Kommentarthema"/>
    <w:semiHidden/>
    <w:qFormat/>
    <w:rsid w:val="005E71ED"/>
    <w:rPr>
      <w:b/>
      <w:bCs/>
      <w:lang w:val="en-US" w:eastAsia="en-US"/>
    </w:rPr>
  </w:style>
  <w:style w:type="character" w:styleId="BesuchterLink">
    <w:name w:val="FollowedHyperlink"/>
    <w:basedOn w:val="Absatz-Standardschriftart"/>
    <w:semiHidden/>
    <w:unhideWhenUsed/>
    <w:rsid w:val="00C62041"/>
    <w:rPr>
      <w:color w:val="800080" w:themeColor="followedHyperlink"/>
      <w:u w:val="single"/>
    </w:rPr>
  </w:style>
  <w:style w:type="paragraph" w:customStyle="1" w:styleId="Heading">
    <w:name w:val="Heading"/>
    <w:basedOn w:val="Standard"/>
    <w:next w:val="Textkrper"/>
    <w:qFormat/>
    <w:pPr>
      <w:keepNext/>
      <w:spacing w:before="240" w:after="120"/>
    </w:pPr>
    <w:rPr>
      <w:rFonts w:ascii="Carlito" w:eastAsia="Noto Sans SC Regular" w:hAnsi="Carlito" w:cs="Noto Sans"/>
      <w:sz w:val="28"/>
      <w:szCs w:val="28"/>
    </w:rPr>
  </w:style>
  <w:style w:type="paragraph" w:styleId="Textkrper">
    <w:name w:val="Body Text"/>
    <w:basedOn w:val="Standard"/>
    <w:pPr>
      <w:spacing w:after="140" w:line="276" w:lineRule="auto"/>
    </w:pPr>
  </w:style>
  <w:style w:type="paragraph" w:styleId="Liste">
    <w:name w:val="List"/>
    <w:basedOn w:val="Textkrper"/>
    <w:rPr>
      <w:rFonts w:cs="Noto Sans"/>
    </w:rPr>
  </w:style>
  <w:style w:type="paragraph" w:styleId="Beschriftung">
    <w:name w:val="caption"/>
    <w:basedOn w:val="Standard"/>
    <w:qFormat/>
    <w:pPr>
      <w:suppressLineNumbers/>
      <w:spacing w:before="120" w:after="120"/>
    </w:pPr>
    <w:rPr>
      <w:rFonts w:cs="Noto Sans"/>
      <w:i/>
      <w:iCs/>
      <w:szCs w:val="24"/>
    </w:rPr>
  </w:style>
  <w:style w:type="paragraph" w:customStyle="1" w:styleId="Index">
    <w:name w:val="Index"/>
    <w:basedOn w:val="Standard"/>
    <w:qFormat/>
    <w:pPr>
      <w:suppressLineNumbers/>
    </w:pPr>
    <w:rPr>
      <w:rFonts w:cs="Noto Sans"/>
    </w:rPr>
  </w:style>
  <w:style w:type="paragraph" w:styleId="Funotentext">
    <w:name w:val="footnote text"/>
    <w:basedOn w:val="Standard"/>
    <w:semiHidden/>
    <w:rsid w:val="00A606FE"/>
    <w:rPr>
      <w:sz w:val="16"/>
    </w:rPr>
  </w:style>
  <w:style w:type="paragraph" w:customStyle="1" w:styleId="PaperTitle">
    <w:name w:val="Paper Title"/>
    <w:basedOn w:val="Standard"/>
    <w:next w:val="AuthorName"/>
    <w:qFormat/>
    <w:rsid w:val="00A606FE"/>
    <w:pPr>
      <w:spacing w:before="1200"/>
      <w:jc w:val="center"/>
    </w:pPr>
    <w:rPr>
      <w:b/>
      <w:sz w:val="36"/>
    </w:rPr>
  </w:style>
  <w:style w:type="paragraph" w:customStyle="1" w:styleId="AuthorName">
    <w:name w:val="Author Name"/>
    <w:basedOn w:val="Standard"/>
    <w:next w:val="AuthorAffiliation"/>
    <w:qFormat/>
    <w:rsid w:val="00A606FE"/>
    <w:pPr>
      <w:spacing w:before="360" w:after="360"/>
      <w:jc w:val="center"/>
    </w:pPr>
    <w:rPr>
      <w:sz w:val="28"/>
    </w:rPr>
  </w:style>
  <w:style w:type="paragraph" w:customStyle="1" w:styleId="AuthorAffiliation">
    <w:name w:val="Author Affiliation"/>
    <w:basedOn w:val="Standard"/>
    <w:qFormat/>
    <w:rsid w:val="00A606FE"/>
    <w:pPr>
      <w:jc w:val="center"/>
    </w:pPr>
    <w:rPr>
      <w:i/>
      <w:sz w:val="20"/>
    </w:rPr>
  </w:style>
  <w:style w:type="paragraph" w:customStyle="1" w:styleId="Abstract">
    <w:name w:val="Abstract"/>
    <w:basedOn w:val="Standard"/>
    <w:next w:val="berschrift1"/>
    <w:qFormat/>
    <w:rsid w:val="00F20BFC"/>
    <w:pPr>
      <w:spacing w:before="360" w:after="360"/>
      <w:ind w:left="289" w:right="289"/>
      <w:jc w:val="both"/>
    </w:pPr>
    <w:rPr>
      <w:sz w:val="18"/>
    </w:rPr>
  </w:style>
  <w:style w:type="paragraph" w:customStyle="1" w:styleId="Paragraph">
    <w:name w:val="Paragraph"/>
    <w:basedOn w:val="Standard"/>
    <w:qFormat/>
    <w:rsid w:val="005E415C"/>
    <w:pPr>
      <w:ind w:firstLine="284"/>
      <w:jc w:val="both"/>
    </w:pPr>
    <w:rPr>
      <w:sz w:val="20"/>
    </w:rPr>
  </w:style>
  <w:style w:type="paragraph" w:customStyle="1" w:styleId="Reference">
    <w:name w:val="Reference"/>
    <w:basedOn w:val="Paragraph"/>
    <w:qFormat/>
    <w:rsid w:val="00AE7500"/>
    <w:pPr>
      <w:numPr>
        <w:numId w:val="2"/>
      </w:numPr>
      <w:ind w:left="426" w:hanging="426"/>
    </w:pPr>
  </w:style>
  <w:style w:type="paragraph" w:customStyle="1" w:styleId="FigureCaption">
    <w:name w:val="Figure Caption"/>
    <w:next w:val="Paragraph"/>
    <w:qFormat/>
    <w:rsid w:val="00161A5B"/>
    <w:pPr>
      <w:spacing w:before="120"/>
      <w:jc w:val="center"/>
    </w:pPr>
    <w:rPr>
      <w:sz w:val="18"/>
      <w:lang w:val="en-US" w:eastAsia="en-US"/>
    </w:rPr>
  </w:style>
  <w:style w:type="paragraph" w:customStyle="1" w:styleId="Figure">
    <w:name w:val="Figure"/>
    <w:basedOn w:val="Paragraph"/>
    <w:qFormat/>
    <w:rsid w:val="00A606FE"/>
    <w:pPr>
      <w:keepNext/>
      <w:ind w:firstLine="0"/>
      <w:jc w:val="center"/>
    </w:pPr>
  </w:style>
  <w:style w:type="paragraph" w:customStyle="1" w:styleId="Equation">
    <w:name w:val="Equation"/>
    <w:basedOn w:val="Paragraph"/>
    <w:qFormat/>
    <w:rsid w:val="001146DC"/>
    <w:pPr>
      <w:tabs>
        <w:tab w:val="center" w:pos="4320"/>
        <w:tab w:val="right" w:pos="9242"/>
      </w:tabs>
      <w:ind w:firstLine="0"/>
      <w:jc w:val="center"/>
    </w:pPr>
  </w:style>
  <w:style w:type="paragraph" w:styleId="Sprechblasentext">
    <w:name w:val="Balloon Text"/>
    <w:basedOn w:val="Standard"/>
    <w:link w:val="SprechblasentextZchn"/>
    <w:uiPriority w:val="99"/>
    <w:qFormat/>
    <w:rsid w:val="00114AB1"/>
    <w:rPr>
      <w:rFonts w:ascii="Tahoma" w:hAnsi="Tahoma" w:cs="Tahoma"/>
      <w:sz w:val="16"/>
      <w:szCs w:val="16"/>
    </w:rPr>
  </w:style>
  <w:style w:type="paragraph" w:customStyle="1" w:styleId="Paragraphbulleted">
    <w:name w:val="Paragraph (bulleted)"/>
    <w:basedOn w:val="Paragraph"/>
    <w:qFormat/>
    <w:rsid w:val="0040225B"/>
    <w:pPr>
      <w:numPr>
        <w:numId w:val="3"/>
      </w:numPr>
      <w:ind w:left="641" w:hanging="357"/>
    </w:pPr>
  </w:style>
  <w:style w:type="paragraph" w:customStyle="1" w:styleId="AuthorEmail">
    <w:name w:val="Author Email"/>
    <w:basedOn w:val="Standard"/>
    <w:qFormat/>
    <w:rsid w:val="001D469C"/>
    <w:pPr>
      <w:jc w:val="center"/>
    </w:pPr>
    <w:rPr>
      <w:sz w:val="20"/>
    </w:rPr>
  </w:style>
  <w:style w:type="paragraph" w:styleId="StandardWeb">
    <w:name w:val="Normal (Web)"/>
    <w:basedOn w:val="Standard"/>
    <w:uiPriority w:val="99"/>
    <w:unhideWhenUsed/>
    <w:qFormat/>
    <w:rsid w:val="005F7475"/>
    <w:pPr>
      <w:spacing w:beforeAutospacing="1" w:afterAutospacing="1"/>
    </w:pPr>
    <w:rPr>
      <w:szCs w:val="24"/>
      <w:lang w:val="en-GB" w:eastAsia="en-GB"/>
    </w:rPr>
  </w:style>
  <w:style w:type="paragraph" w:customStyle="1" w:styleId="TableCaption">
    <w:name w:val="Table Caption"/>
    <w:basedOn w:val="FigureCaption"/>
    <w:qFormat/>
    <w:rsid w:val="005A0E21"/>
    <w:rPr>
      <w:szCs w:val="18"/>
    </w:rPr>
  </w:style>
  <w:style w:type="paragraph" w:customStyle="1" w:styleId="Paragraphnumbered">
    <w:name w:val="Paragraph (numbered)"/>
    <w:qFormat/>
    <w:rsid w:val="000B49C0"/>
    <w:pPr>
      <w:numPr>
        <w:numId w:val="4"/>
      </w:numPr>
      <w:jc w:val="both"/>
    </w:pPr>
    <w:rPr>
      <w:lang w:val="en-US" w:eastAsia="en-US"/>
    </w:rPr>
  </w:style>
  <w:style w:type="paragraph" w:styleId="Listenabsatz">
    <w:name w:val="List Paragraph"/>
    <w:basedOn w:val="Standard"/>
    <w:uiPriority w:val="34"/>
    <w:qFormat/>
    <w:rsid w:val="006E4474"/>
    <w:pPr>
      <w:ind w:left="720"/>
      <w:contextualSpacing/>
    </w:pPr>
  </w:style>
  <w:style w:type="paragraph" w:styleId="Kommentartext">
    <w:name w:val="annotation text"/>
    <w:basedOn w:val="Standard"/>
    <w:link w:val="KommentartextZchn"/>
    <w:semiHidden/>
    <w:unhideWhenUsed/>
    <w:rsid w:val="005E71ED"/>
    <w:rPr>
      <w:sz w:val="20"/>
    </w:rPr>
  </w:style>
  <w:style w:type="paragraph" w:styleId="Kommentarthema">
    <w:name w:val="annotation subject"/>
    <w:basedOn w:val="Kommentartext"/>
    <w:next w:val="Kommentartext"/>
    <w:link w:val="KommentarthemaZchn"/>
    <w:semiHidden/>
    <w:unhideWhenUsed/>
    <w:qFormat/>
    <w:rsid w:val="005E71ED"/>
    <w:rPr>
      <w:b/>
      <w:bCs/>
    </w:rPr>
  </w:style>
  <w:style w:type="paragraph" w:customStyle="1" w:styleId="msonormalmrcssattr">
    <w:name w:val="msonormal_mr_css_attr"/>
    <w:basedOn w:val="Standard"/>
    <w:qFormat/>
    <w:rsid w:val="002E5602"/>
    <w:pPr>
      <w:spacing w:beforeAutospacing="1" w:afterAutospacing="1"/>
    </w:pPr>
    <w:rPr>
      <w:szCs w:val="24"/>
      <w:lang w:val="ru-RU" w:eastAsia="ru-RU"/>
    </w:rPr>
  </w:style>
  <w:style w:type="paragraph" w:customStyle="1" w:styleId="a">
    <w:name w:val="Подрисуночная надпись"/>
    <w:basedOn w:val="Standard"/>
    <w:next w:val="Standard"/>
    <w:qFormat/>
    <w:rsid w:val="00A32925"/>
    <w:pPr>
      <w:spacing w:line="276" w:lineRule="auto"/>
      <w:jc w:val="center"/>
    </w:pPr>
    <w:rPr>
      <w:rFonts w:eastAsiaTheme="minorHAnsi" w:cstheme="minorBidi"/>
      <w:sz w:val="28"/>
      <w:szCs w:val="22"/>
    </w:rPr>
  </w:style>
  <w:style w:type="table" w:styleId="Tabellenraster">
    <w:name w:val="Table Grid"/>
    <w:basedOn w:val="NormaleTabelle"/>
    <w:uiPriority w:val="5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yperlink" Target="https://doi.org/10.1016/j.wear.2008.12.020"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wmf"/><Relationship Id="rId25" Type="http://schemas.openxmlformats.org/officeDocument/2006/relationships/image" Target="media/image13.png"/><Relationship Id="rId33" Type="http://schemas.openxmlformats.org/officeDocument/2006/relationships/hyperlink" Target="https://doi.org/10.1016/j.wear.2015.01.052"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image" Target="media/image8.png"/><Relationship Id="rId29" Type="http://schemas.openxmlformats.org/officeDocument/2006/relationships/hyperlink" Target="https://doi.org/10.1016/j.mser.2005.07.00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https://doi.org/10.1016/j.wear.2008.12.020"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image" Target="media/image11.png"/><Relationship Id="rId28" Type="http://schemas.openxmlformats.org/officeDocument/2006/relationships/hyperlink" Target="https://doi.org/10.30906/mitom.2025.3.50-56" TargetMode="External"/><Relationship Id="rId36" Type="http://schemas.openxmlformats.org/officeDocument/2006/relationships/hyperlink" Target="https://doi.org/10.5962/p.360338" TargetMode="External"/><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hyperlink" Target="https://doi.org/10.1016/j.surfcoat.2018.10.023" TargetMode="External"/><Relationship Id="rId4" Type="http://schemas.openxmlformats.org/officeDocument/2006/relationships/customXml" Target="../customXml/item4.xml"/><Relationship Id="rId9" Type="http://schemas.openxmlformats.org/officeDocument/2006/relationships/image" Target="media/image1.wmf"/><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doi.org/10.3390/coatings8010032" TargetMode="External"/><Relationship Id="rId35" Type="http://schemas.openxmlformats.org/officeDocument/2006/relationships/hyperlink" Target="https://doi.org/10.1007/s00170-021-07159-3"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D6586B-9B95-48D6-9428-588D9716D541}">
  <ds:schemaRefs>
    <ds:schemaRef ds:uri="http://schemas.openxmlformats.org/officeDocument/2006/bibliography"/>
  </ds:schemaRefs>
</ds:datastoreItem>
</file>

<file path=customXml/itemProps3.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44FC6D-7350-442F-8936-25B8D55E2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2625</Words>
  <Characters>14307</Characters>
  <Application>Microsoft Office Word</Application>
  <DocSecurity>0</DocSecurity>
  <Lines>275</Lines>
  <Paragraphs>138</Paragraphs>
  <ScaleCrop>false</ScaleCrop>
  <Company>PPI</Company>
  <LinksUpToDate>false</LinksUpToDate>
  <CharactersWithSpaces>16794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Ruth Levins</dc:creator>
  <dc:description/>
  <cp:lastModifiedBy>TU-Pseudonym 5300993042411274</cp:lastModifiedBy>
  <cp:revision>11</cp:revision>
  <cp:lastPrinted>2025-10-04T10:53:00Z</cp:lastPrinted>
  <dcterms:created xsi:type="dcterms:W3CDTF">2025-10-04T08:20:00Z</dcterms:created>
  <dcterms:modified xsi:type="dcterms:W3CDTF">2025-11-23T08:05:00Z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