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75837" w14:textId="77777777" w:rsidR="00902A3E" w:rsidRPr="00902A3E" w:rsidRDefault="00000000" w:rsidP="00902A3E">
      <w:pPr>
        <w:pStyle w:val="PaperTitle"/>
      </w:pPr>
      <w:r w:rsidRPr="00902A3E">
        <w:t xml:space="preserve">On the Equations of Dynamics of a Roller Seismic Isolation Bearing </w:t>
      </w:r>
      <w:bookmarkStart w:id="0" w:name="__DdeLink__2204_524618091"/>
    </w:p>
    <w:p w14:paraId="29BED32D" w14:textId="1420EED7" w:rsidR="003A5EDF" w:rsidRDefault="00000000" w:rsidP="00902A3E">
      <w:pPr>
        <w:pStyle w:val="AuthorName"/>
        <w:rPr>
          <w:sz w:val="20"/>
          <w:lang w:eastAsia="en-GB"/>
        </w:rPr>
      </w:pPr>
      <w:r>
        <w:t>Ibrakhim Mirzaev</w:t>
      </w:r>
      <w:bookmarkEnd w:id="0"/>
      <w:r>
        <w:rPr>
          <w:vertAlign w:val="superscript"/>
        </w:rPr>
        <w:t>1, 2, a)</w:t>
      </w:r>
      <w:r>
        <w:t>, Djumaev Khikmatulla</w:t>
      </w:r>
      <w:r>
        <w:rPr>
          <w:vertAlign w:val="superscript"/>
        </w:rPr>
        <w:t>1, b)</w:t>
      </w:r>
      <w:r>
        <w:t>, Malikjon Turdiev</w:t>
      </w:r>
      <w:r>
        <w:rPr>
          <w:vertAlign w:val="superscript"/>
        </w:rPr>
        <w:t>1, c)</w:t>
      </w:r>
      <w:r>
        <w:t>, Jakhongir Shomurodov</w:t>
      </w:r>
      <w:r>
        <w:rPr>
          <w:vertAlign w:val="superscript"/>
        </w:rPr>
        <w:t>3, d)</w:t>
      </w:r>
      <w:r>
        <w:t xml:space="preserve"> and Rakhmatov Nodirbek</w:t>
      </w:r>
      <w:r>
        <w:rPr>
          <w:vertAlign w:val="superscript"/>
        </w:rPr>
        <w:t>4. e)</w:t>
      </w:r>
      <w:r>
        <w:br/>
      </w:r>
    </w:p>
    <w:p w14:paraId="6C2C8AD6" w14:textId="77777777" w:rsidR="003A5EDF" w:rsidRDefault="00000000">
      <w:pPr>
        <w:pStyle w:val="AuthorAffiliation"/>
      </w:pPr>
      <w:r>
        <w:rPr>
          <w:i w:val="0"/>
          <w:iCs/>
          <w:vertAlign w:val="superscript"/>
        </w:rPr>
        <w:t>1</w:t>
      </w:r>
      <w:bookmarkStart w:id="1" w:name="__DdeLink__2206_524618091"/>
      <w:r>
        <w:rPr>
          <w:lang w:val="en-GB"/>
        </w:rPr>
        <w:t xml:space="preserve">Tashkent State </w:t>
      </w:r>
      <w:r>
        <w:rPr>
          <w:lang w:bidi="ru-RU"/>
        </w:rPr>
        <w:t>Transport University</w:t>
      </w:r>
      <w:bookmarkEnd w:id="1"/>
      <w:r>
        <w:rPr>
          <w:lang w:bidi="ru-RU"/>
        </w:rPr>
        <w:t>, Tashkent, Uzbekistan</w:t>
      </w:r>
      <w:r>
        <w:br/>
      </w:r>
      <w:r>
        <w:rPr>
          <w:i w:val="0"/>
          <w:iCs/>
          <w:vertAlign w:val="superscript"/>
        </w:rPr>
        <w:t>2</w:t>
      </w:r>
      <w:r>
        <w:t>Institute of Mechanics and Seismic Stability of Structures named after M.T. Urazbaev of the Academy of Sciences of the Republic of Uzbekistan</w:t>
      </w:r>
      <w:r>
        <w:br/>
      </w:r>
      <w:r>
        <w:rPr>
          <w:i w:val="0"/>
          <w:iCs/>
          <w:vertAlign w:val="superscript"/>
        </w:rPr>
        <w:t>3</w:t>
      </w:r>
      <w:r>
        <w:rPr>
          <w:lang w:val="en-GB"/>
        </w:rPr>
        <w:t>Renessance Education University</w:t>
      </w:r>
      <w:r>
        <w:rPr>
          <w:lang w:bidi="ru-RU"/>
        </w:rPr>
        <w:t>,</w:t>
      </w:r>
      <w:r>
        <w:rPr>
          <w:i w:val="0"/>
          <w:sz w:val="24"/>
          <w:lang w:bidi="ru-RU"/>
        </w:rPr>
        <w:t xml:space="preserve"> </w:t>
      </w:r>
      <w:r>
        <w:rPr>
          <w:lang w:bidi="ru-RU"/>
        </w:rPr>
        <w:t>Tashkent, Uzbekistan</w:t>
      </w:r>
      <w:r>
        <w:br/>
      </w:r>
      <w:r>
        <w:rPr>
          <w:i w:val="0"/>
          <w:iCs/>
          <w:vertAlign w:val="superscript"/>
        </w:rPr>
        <w:t>4</w:t>
      </w:r>
      <w:r>
        <w:rPr>
          <w:lang w:val="en-GB"/>
        </w:rPr>
        <w:t>National University of Uzbekistan, Tashkent, Uzbekistan.</w:t>
      </w:r>
      <w:r>
        <w:t xml:space="preserve"> </w:t>
      </w:r>
    </w:p>
    <w:p w14:paraId="03D7209E" w14:textId="08B4A894" w:rsidR="003A5EDF" w:rsidRDefault="003A5EDF">
      <w:pPr>
        <w:pStyle w:val="AuthorEmail"/>
      </w:pPr>
    </w:p>
    <w:p w14:paraId="6F0AFE06" w14:textId="77777777" w:rsidR="003A5EDF" w:rsidRPr="00902A3E" w:rsidRDefault="00000000" w:rsidP="00902A3E">
      <w:pPr>
        <w:pStyle w:val="AuthorEmail"/>
      </w:pPr>
      <w:r w:rsidRPr="0084379C">
        <w:rPr>
          <w:vertAlign w:val="superscript"/>
        </w:rPr>
        <w:t xml:space="preserve">a) </w:t>
      </w:r>
      <w:r w:rsidRPr="00902A3E">
        <w:t>Corresponding author:</w:t>
      </w:r>
      <w:bookmarkStart w:id="2" w:name="__DdeLink__2208_524618091"/>
      <w:r w:rsidRPr="00902A3E">
        <w:t xml:space="preserve"> ibrakhim.mir@mail.ru</w:t>
      </w:r>
      <w:bookmarkEnd w:id="2"/>
      <w:r w:rsidRPr="00902A3E">
        <w:br/>
      </w:r>
      <w:r w:rsidRPr="0084379C">
        <w:rPr>
          <w:vertAlign w:val="superscript"/>
        </w:rPr>
        <w:t xml:space="preserve">b) </w:t>
      </w:r>
      <w:r w:rsidRPr="00902A3E">
        <w:t>djumaev1959@mail.ru</w:t>
      </w:r>
      <w:r w:rsidRPr="00902A3E">
        <w:br/>
      </w:r>
      <w:r w:rsidRPr="0084379C">
        <w:rPr>
          <w:vertAlign w:val="superscript"/>
        </w:rPr>
        <w:t xml:space="preserve">c) </w:t>
      </w:r>
      <w:r w:rsidRPr="00902A3E">
        <w:t>malikjon_ts@mail.ru</w:t>
      </w:r>
    </w:p>
    <w:p w14:paraId="13C027F7" w14:textId="77777777" w:rsidR="003A5EDF" w:rsidRPr="00902A3E" w:rsidRDefault="00000000" w:rsidP="00902A3E">
      <w:pPr>
        <w:pStyle w:val="AuthorEmail"/>
      </w:pPr>
      <w:r w:rsidRPr="0084379C">
        <w:rPr>
          <w:vertAlign w:val="superscript"/>
        </w:rPr>
        <w:t xml:space="preserve">d) </w:t>
      </w:r>
      <w:r w:rsidRPr="0084379C">
        <w:t>ja</w:t>
      </w:r>
      <w:r w:rsidRPr="00902A3E">
        <w:t>khongir_shf@mail.ru</w:t>
      </w:r>
    </w:p>
    <w:p w14:paraId="4DC9E4E7" w14:textId="77777777" w:rsidR="003A5EDF" w:rsidRPr="00902A3E" w:rsidRDefault="00000000" w:rsidP="00902A3E">
      <w:pPr>
        <w:pStyle w:val="AuthorEmail"/>
      </w:pPr>
      <w:r w:rsidRPr="0084379C">
        <w:rPr>
          <w:vertAlign w:val="superscript"/>
        </w:rPr>
        <w:t xml:space="preserve">e) </w:t>
      </w:r>
      <w:r w:rsidRPr="00902A3E">
        <w:t>nodirbekrakhmatov0@gmail.com</w:t>
      </w:r>
    </w:p>
    <w:p w14:paraId="555F5845" w14:textId="77777777" w:rsidR="003A5EDF" w:rsidRDefault="00000000">
      <w:pPr>
        <w:pStyle w:val="Abstract"/>
      </w:pPr>
      <w:r>
        <w:rPr>
          <w:b/>
          <w:bCs/>
        </w:rPr>
        <w:t>Abstract.</w:t>
      </w:r>
      <w:r>
        <w:t xml:space="preserve"> An analysis of publications on the dynamics of roller </w:t>
      </w:r>
      <w:proofErr w:type="gramStart"/>
      <w:r>
        <w:t>sliders</w:t>
      </w:r>
      <w:proofErr w:type="gramEnd"/>
      <w:r>
        <w:t xml:space="preserve"> revealed inaccuracies in the construction of mathematical models for describing dynamic processes. In research, the law of motion of the lower plate is usually specified, and the motion of the upper plate must be determined by solving a dynamic problem. In structural dynamics problems involving sliding friction forces, the direction of the friction force was determined by the difference in the velocities of the rubbing elements, and the stick-slip mode requires solving a nonlinear problem using a special method. A thorough analysis of the processes in roller sliders has shown that the start of the relative motion of the plates and the start of their joint motion as a solid body cannot be realized solely by the sign function of the difference in the velocities of the upper and lower plates. The plates begin to roll relative to each other only when the inertial force exceeds the sum of all forces acting in the horizontal direction. A stick-slip mode is also possible during the movement process. Graphs of changes in time of displacements, velocities, and accelerations of the upper plate and specified movements of the lower plate are given according to analytical functions and records of real earthquakes. The presence of a sufficiently long horizontal plane in the middle of the lower plate increases the effectiveness of the seismic isolator.</w:t>
      </w:r>
    </w:p>
    <w:p w14:paraId="45CA2D8D" w14:textId="77777777" w:rsidR="003A5EDF" w:rsidRPr="00902A3E" w:rsidRDefault="00000000" w:rsidP="00902A3E">
      <w:pPr>
        <w:pStyle w:val="berschrift1"/>
      </w:pPr>
      <w:r w:rsidRPr="00902A3E">
        <w:t>Introduction</w:t>
      </w:r>
    </w:p>
    <w:p w14:paraId="784255EF" w14:textId="77777777" w:rsidR="003A5EDF" w:rsidRDefault="00000000">
      <w:pPr>
        <w:pStyle w:val="Paragraph"/>
      </w:pPr>
      <w:r>
        <w:t>Seismic isolation in modern construction is considered an important technology for improving the seismic resistance of buildings. In recent years, numerous studies have been conducted in this field, including theoretical foundations, experimental work, and new technological solutions.</w:t>
      </w:r>
    </w:p>
    <w:p w14:paraId="23E79841" w14:textId="77777777" w:rsidR="003A5EDF" w:rsidRDefault="00000000">
      <w:pPr>
        <w:pStyle w:val="Paragraph"/>
      </w:pPr>
      <w:r>
        <w:t>In the article [1] sets the task of evaluating the effectiveness of seismic isolation technologies for buildings. The scientific novelty of the research lies in the fact that the work systematically analyzes the historical development and practical experience of applying isolation methods, as well as justifies new directions for future research—three-dimensional isolation and protection of non-structural elements.</w:t>
      </w:r>
    </w:p>
    <w:p w14:paraId="06C8B4C8" w14:textId="77777777" w:rsidR="003A5EDF" w:rsidRDefault="00000000">
      <w:pPr>
        <w:pStyle w:val="Paragraph"/>
      </w:pPr>
      <w:r>
        <w:t>In the articles [2, 3] is devoted to reducing the impact of earthquakes on buildings using seismic isolation. The aim of the study is to evaluate the effectiveness of various types of isolators and determine their potential for use in earthquake-prone areas. Theoretical analysis and computer modeling were used as the main methods. The authors consider devices such as elastomeric supports, movable supports, and friction isolators. The results showed that these systems effectively reduce earthquake energy. In conclusion, it is emphasized that the work creates an important scientific basis for improving seismic safety in construction practice.</w:t>
      </w:r>
    </w:p>
    <w:p w14:paraId="5CCC14DA" w14:textId="77777777" w:rsidR="003A5EDF" w:rsidRDefault="00000000">
      <w:pPr>
        <w:pStyle w:val="Paragraph"/>
      </w:pPr>
      <w:r>
        <w:lastRenderedPageBreak/>
        <w:t xml:space="preserve">In the article [4] examines the effectiveness of seismic isolation devices in buildings prone to earthquakes. The main objective of the work is to compare different isolation methods and determine their impact on the seismic safety of structures. To solve the problem, calculation methods and computer modeling were used to evaluate the dynamic response of buildings under various types of seismic impacts. The authors use friction devices, elastomeric bearings, and sliding supports to analyze the behavior of structures. The results show that isolation significantly reduces </w:t>
      </w:r>
      <w:proofErr w:type="gramStart"/>
      <w:r>
        <w:t>stresses</w:t>
      </w:r>
      <w:proofErr w:type="gramEnd"/>
      <w:r>
        <w:t xml:space="preserve"> in buildings and increases their stability. However, it was noted that in some models, changes in the friction coefficient and plastic properties of materials were not fully </w:t>
      </w:r>
      <w:proofErr w:type="gramStart"/>
      <w:r>
        <w:t>taken into account</w:t>
      </w:r>
      <w:proofErr w:type="gramEnd"/>
      <w:r>
        <w:t>, which is a limitation of the study.</w:t>
      </w:r>
    </w:p>
    <w:p w14:paraId="1C48D1E1" w14:textId="77777777" w:rsidR="003A5EDF" w:rsidRDefault="00000000">
      <w:pPr>
        <w:pStyle w:val="Paragraph"/>
      </w:pPr>
      <w:r>
        <w:t xml:space="preserve">In the article [5] discusses various types of seismic isolators and their role in ensuring the seismic resistance of structures. The aim of the work is to conduct a comparative analysis of rubber isolators, friction devices, and movable supports, identifying their advantages and disadvantages. To solve the problem, the author uses a review of </w:t>
      </w:r>
      <w:proofErr w:type="gramStart"/>
      <w:r>
        <w:t>the literature</w:t>
      </w:r>
      <w:proofErr w:type="gramEnd"/>
      <w:r>
        <w:t xml:space="preserve"> and experimental observations. The results show that elastomeric isolators are most effective at reducing vibrations, friction devices are simple and inexpensive, and movable supports significantly increase the seismic safety of buildings. However, changes in the friction coefficient over time and issues of durability remain insufficiently studied.</w:t>
      </w:r>
    </w:p>
    <w:p w14:paraId="30A860AF" w14:textId="77777777" w:rsidR="003A5EDF" w:rsidRDefault="00000000">
      <w:pPr>
        <w:pStyle w:val="Paragraph"/>
      </w:pPr>
      <w:r>
        <w:t xml:space="preserve">In the article [6] examines the concept of seismic isolation and current trends in its development. The main objective is to evaluate the effectiveness of various types of isolators and determine their application in construction. To solve the problem, the author uses theoretical analysis and the results of previous experimental studies. The paper compares the characteristics of elastomeric supports, friction-based devices, and sliding isolators. The results show that such systems significantly reduce building vibrations during seismic events. </w:t>
      </w:r>
    </w:p>
    <w:p w14:paraId="4691D90A" w14:textId="77777777" w:rsidR="003A5EDF" w:rsidRDefault="00000000">
      <w:pPr>
        <w:pStyle w:val="Paragraph"/>
      </w:pPr>
      <w:r>
        <w:t xml:space="preserve">In the article [7] investigates the dynamics of multi-mass systems under multi-point seismic excitation. Modeling showed a significant influence </w:t>
      </w:r>
      <w:proofErr w:type="gramStart"/>
      <w:r>
        <w:t>of</w:t>
      </w:r>
      <w:proofErr w:type="gramEnd"/>
      <w:r>
        <w:t xml:space="preserve"> different excitation points on the response of the structure. The work is particularly important for bridges and high-rise buildings. The study considers various seismic scenarios and analyzes the characteristics of structural vibrations. No specific type of seismic isolators was used in the work; the behavior of the structure was studied within the framework of a general dynamic model.</w:t>
      </w:r>
    </w:p>
    <w:p w14:paraId="644028B3" w14:textId="77777777" w:rsidR="003A5EDF" w:rsidRDefault="00000000">
      <w:pPr>
        <w:pStyle w:val="Paragraph"/>
      </w:pPr>
      <w:r>
        <w:t>In the article [8] raises the issue of optimal design of inertial vibration dampers. Using a multi-criteria optimization method, the authors determined the parameters of an effective device. The results show that such devices effectively reduce vibrations in multi-story buildings. The paper proposes a new approach to the design of seismic protection equipment.</w:t>
      </w:r>
    </w:p>
    <w:p w14:paraId="0C665397" w14:textId="77777777" w:rsidR="003A5EDF" w:rsidRDefault="00000000">
      <w:pPr>
        <w:pStyle w:val="Paragraph"/>
      </w:pPr>
      <w:r>
        <w:t>In the article [9] theoretically and experimentally studies the effectiveness of roller isolators. In the study, the results of computer modeling were compared with laboratory experiments. It was shown that the device significantly reduces seismic vibrations. At the same time, the need for accurate selection of isolator parameters is emphasized.</w:t>
      </w:r>
    </w:p>
    <w:p w14:paraId="4CA1854C" w14:textId="77777777" w:rsidR="003A5EDF" w:rsidRDefault="00000000">
      <w:pPr>
        <w:pStyle w:val="Paragraph"/>
      </w:pPr>
      <w:r>
        <w:t>In [10], the technical report is devoted to the principles of operation of roller insulators for bridges. Operational parameters and areas of application are considered. The effectiveness of the device for road bridges is confirmed.</w:t>
      </w:r>
    </w:p>
    <w:p w14:paraId="6B838C59" w14:textId="77777777" w:rsidR="003A5EDF" w:rsidRDefault="00000000">
      <w:pPr>
        <w:pStyle w:val="Paragraph"/>
      </w:pPr>
      <w:r>
        <w:t>In the article [11] examines a roller isolator with an additional energy dissipation element. Experiments have shown higher stability compared to conventional isolators. The system provides reliable seismic protection. These achievements pave the way for the introduction of new devices into construction practice.</w:t>
      </w:r>
    </w:p>
    <w:p w14:paraId="30AC2712" w14:textId="77777777" w:rsidR="003A5EDF" w:rsidRDefault="00000000">
      <w:pPr>
        <w:pStyle w:val="Paragraph"/>
      </w:pPr>
      <w:r>
        <w:t>In the article [12] discusses the use of dry friction devices for seismic isolation of turbine units at nuclear power plants. The authors performed numerical calculations of various design parameters and evaluated the effectiveness of the system. The results showed that dry friction elements significantly reduce the amplitude of vibrations and increase the stability of the turbine unit. The optimal operating modes of the isolator were also identified. However, the need for more extensive experimental testing in real conditions before practical implementation is emphasized.</w:t>
      </w:r>
    </w:p>
    <w:p w14:paraId="5763B761" w14:textId="77777777" w:rsidR="003A5EDF" w:rsidRDefault="00000000">
      <w:pPr>
        <w:pStyle w:val="Paragraph"/>
      </w:pPr>
      <w:r>
        <w:t>In the article [13] investigates the influence of the horizontal gap between the foundation and the sliding grillage structure on building vibrations during an earthquake. Using mathematical modeling and numerical calculations, the authors analyzed changes in dynamic characteristics as the gap size increased. The results showed that choosing the optimal gap size significantly increases the seismic resistance of the building. The paper substantiates the importance of considering the location and dimensions of structural elements when designing seismic protection. The main drawback is that the conclusions are largely based on a theoretical model and require additional confirmation by experimental testing.</w:t>
      </w:r>
    </w:p>
    <w:p w14:paraId="277ED5E9" w14:textId="77777777" w:rsidR="003A5EDF" w:rsidRDefault="00000000">
      <w:pPr>
        <w:pStyle w:val="Paragraph"/>
      </w:pPr>
      <w:r>
        <w:t>In the article [14] investigates the problem of experimentally determining the dynamic coefficient of dry friction according to Amontons-Coulomb. The authors developed a special laboratory device and a method for measuring the coefficient of friction under various loads and surface conditions. The results show that the dynamic coefficient of dry friction is more than twice as small as the static coefficient. The study emphasizes the need to take real coefficients into account when calculating oscillatory systems and seismic isolation devices. The main advantage of the work is the practical focus and novelty of the measurement method. However, since the experiments were conducted only under limited conditions, additional experimental studies are required to generalize the results.</w:t>
      </w:r>
    </w:p>
    <w:p w14:paraId="47E12509" w14:textId="77777777" w:rsidR="003A5EDF" w:rsidRDefault="00000000">
      <w:pPr>
        <w:pStyle w:val="Paragraph"/>
      </w:pPr>
      <w:r>
        <w:lastRenderedPageBreak/>
        <w:t xml:space="preserve">In the article [15] evaluates the effectiveness of TLCD and TMD devices for buildings, </w:t>
      </w:r>
      <w:proofErr w:type="gramStart"/>
      <w:r>
        <w:t>taking into account</w:t>
      </w:r>
      <w:proofErr w:type="gramEnd"/>
      <w:r>
        <w:t xml:space="preserve"> the interaction between the structure and the ground. The optimal parameters for the devices are determined. This work is important for improving the seismic resistance of buildings.</w:t>
      </w:r>
    </w:p>
    <w:p w14:paraId="2356987F" w14:textId="77777777" w:rsidR="003A5EDF" w:rsidRDefault="00000000">
      <w:pPr>
        <w:pStyle w:val="Paragraph"/>
      </w:pPr>
      <w:r>
        <w:t>In the article [16] is devoted to the theoretical foundations of earthquake-resistant construction and structural dynamics. Mathematical models and analytical solutions have been developed. The work serves as a methodological basis in seismology.</w:t>
      </w:r>
    </w:p>
    <w:p w14:paraId="4C250BE4" w14:textId="77777777" w:rsidR="003A5EDF" w:rsidRDefault="00000000">
      <w:pPr>
        <w:pStyle w:val="Paragraph"/>
      </w:pPr>
      <w:r>
        <w:t>In the article [17] is devoted to wave processes in underground pipelines when interacting with soil. A bilinear model was used for numerical analysis. The high sensitivity of pipelines to earthquakes was established.</w:t>
      </w:r>
    </w:p>
    <w:p w14:paraId="4445F5CE" w14:textId="77777777" w:rsidR="003A5EDF" w:rsidRDefault="00000000">
      <w:pPr>
        <w:pStyle w:val="Paragraph"/>
      </w:pPr>
      <w:r>
        <w:t>In article [18], a new type of seismic isolation device with inclined multi-roller supports was developed and tested to protect important equipment and structures from the effects of earthquakes. The results of the study show that such devices are effective and stable. However, dynamic calculations did not fully account for some nonlinear effects of plastic deformation of the material and variability of the friction coefficient. The effectiveness of the device is considered using the example of a specific type of equipment and structures, but additional research is needed for application to other objects.</w:t>
      </w:r>
    </w:p>
    <w:p w14:paraId="4AF3C0B8" w14:textId="77777777" w:rsidR="003A5EDF" w:rsidRDefault="00000000">
      <w:pPr>
        <w:pStyle w:val="Paragraph"/>
      </w:pPr>
      <w:r>
        <w:t xml:space="preserve">In article [19], numerical modeling of buildings with friction pendulum supports demonstrated their effectiveness in reducing vibrations. The main parameters were </w:t>
      </w:r>
      <w:proofErr w:type="gramStart"/>
      <w:r>
        <w:t>taken into account</w:t>
      </w:r>
      <w:proofErr w:type="gramEnd"/>
      <w:r>
        <w:t>, but nonlinear effects were not fully investigated. The work contributes to the development of seismic protection systems.</w:t>
      </w:r>
    </w:p>
    <w:p w14:paraId="0435275E" w14:textId="77777777" w:rsidR="003A5EDF" w:rsidRDefault="00000000">
      <w:pPr>
        <w:pStyle w:val="Paragraph"/>
      </w:pPr>
      <w:r>
        <w:t>The monograph [20] technical report contains a comprehensive assessment of modern seismic isolation devices. Experimental data and theoretical models are compared. Practical recommendations for their use in construction are provided.</w:t>
      </w:r>
    </w:p>
    <w:p w14:paraId="0633F06F" w14:textId="77777777" w:rsidR="003A5EDF" w:rsidRDefault="00000000">
      <w:pPr>
        <w:pStyle w:val="Paragraph"/>
      </w:pPr>
      <w:r>
        <w:t xml:space="preserve">The overall goal of all the above-mentioned work is to improve the seismic safety of buildings and reduce the impact of earthquakes </w:t>
      </w:r>
      <w:proofErr w:type="gramStart"/>
      <w:r>
        <w:t>through the use of</w:t>
      </w:r>
      <w:proofErr w:type="gramEnd"/>
      <w:r>
        <w:t xml:space="preserve"> seismic isolation technologies. Achievements include the combination of theoretical models with experimental results, the development of new types of devices, and confirmation of their effectiveness. At the same time, </w:t>
      </w:r>
      <w:proofErr w:type="gramStart"/>
      <w:r>
        <w:t>a number of</w:t>
      </w:r>
      <w:proofErr w:type="gramEnd"/>
      <w:r>
        <w:t xml:space="preserve"> shortcomings remain. Many studies have been conducted in laboratory conditions or based on theoretical models, which </w:t>
      </w:r>
      <w:proofErr w:type="gramStart"/>
      <w:r>
        <w:t>limits</w:t>
      </w:r>
      <w:proofErr w:type="gramEnd"/>
      <w:r>
        <w:t xml:space="preserve"> the scope of their practical application.</w:t>
      </w:r>
    </w:p>
    <w:p w14:paraId="119B770B" w14:textId="77777777" w:rsidR="003A5EDF" w:rsidRDefault="00000000">
      <w:pPr>
        <w:pStyle w:val="Paragraph"/>
      </w:pPr>
      <w:r>
        <w:t>In conclusion, it can be noted that existing studies comprehensively cover the theoretical, practical, and technological aspects of seismic isolation. The results obtained make a significant contribution to ensuring the seismic resistance of buildings, but in the future, field tests, cost reduction of technologies, and the development of solutions to protect non-structural elements will be required.</w:t>
      </w:r>
    </w:p>
    <w:p w14:paraId="143294A0" w14:textId="77777777" w:rsidR="003A5EDF" w:rsidRDefault="00000000">
      <w:pPr>
        <w:pStyle w:val="Paragraph"/>
      </w:pPr>
      <w:r>
        <w:t>This paper introduces the conditions for the start of relative motion of seismic isolator plates, as well as the conditions for their joint motion as a solid body. Equations of motion are proposed depending on the ratio of the absolute values of the velocities of the upper and lower plates of the seismic isolator. The proposed equations of motion are applicable in the absence of sliding friction.</w:t>
      </w:r>
    </w:p>
    <w:p w14:paraId="737C775E" w14:textId="77777777" w:rsidR="003A5EDF" w:rsidRPr="00902A3E" w:rsidRDefault="00000000" w:rsidP="00902A3E">
      <w:pPr>
        <w:pStyle w:val="berschrift1"/>
      </w:pPr>
      <w:r w:rsidRPr="00902A3E">
        <w:t>Material and Methods</w:t>
      </w:r>
    </w:p>
    <w:p w14:paraId="08FC48AA" w14:textId="77777777" w:rsidR="003A5EDF" w:rsidRDefault="00000000">
      <w:pPr>
        <w:pStyle w:val="Paragraph"/>
      </w:pPr>
      <w:r>
        <w:t xml:space="preserve">To facilitate understanding of the dynamics of roller seismic isolators, let us examine the case of flat plates undergoing horizontal motion only. Fig. 1 shows a schematic view of a roller isolation device with flat plates. Let us consider the equation of motion of the upper plate with mass </w:t>
      </w:r>
      <w:r>
        <w:rPr>
          <w:i/>
        </w:rPr>
        <w:t>m</w:t>
      </w:r>
      <w:r>
        <w:t xml:space="preserve">, given the motion of the lower plate </w:t>
      </w:r>
      <w:r>
        <w:rPr>
          <w:i/>
        </w:rPr>
        <w:t>u</w:t>
      </w:r>
      <w:r>
        <w:rPr>
          <w:vertAlign w:val="subscript"/>
        </w:rPr>
        <w:t>2</w:t>
      </w:r>
      <w:r>
        <w:t xml:space="preserve"> under the action of an earthquake. Since the mass of the cylinder is negligible compared to the mass of the upper plate, the rotational inertia of the cylinder is neglected. The upper plate receives force through the movement of the lower plate. If the lower plate moves </w:t>
      </w:r>
      <w:proofErr w:type="gramStart"/>
      <w:r>
        <w:t>as a result of</w:t>
      </w:r>
      <w:proofErr w:type="gramEnd"/>
      <w:r>
        <w:t xml:space="preserve"> an earthquake, the upper plate is set in motion by the force arising at the contacts of the plates with the cylinder. Let's introduce the symbols </w:t>
      </w:r>
      <m:oMath>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1</m:t>
                </m:r>
              </m:sub>
            </m:sSub>
          </m:num>
          <m:den>
            <m:r>
              <w:rPr>
                <w:rFonts w:ascii="Cambria Math" w:hAnsi="Cambria Math"/>
              </w:rPr>
              <m:t>r</m:t>
            </m:r>
          </m:den>
        </m:f>
      </m:oMath>
      <w:r>
        <w:t xml:space="preserve"> </w:t>
      </w:r>
      <w:r>
        <w:rPr>
          <w:lang w:val="ru-RU"/>
        </w:rPr>
        <w:t>и</w:t>
      </w:r>
      <w:r>
        <w:t xml:space="preserve"> </w:t>
      </w:r>
      <m:oMath>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2</m:t>
                </m:r>
              </m:sub>
            </m:sSub>
          </m:num>
          <m:den>
            <m:r>
              <w:rPr>
                <w:rFonts w:ascii="Cambria Math" w:hAnsi="Cambria Math"/>
              </w:rPr>
              <m:t>r</m:t>
            </m:r>
          </m:den>
        </m:f>
      </m:oMath>
      <w:r>
        <w:t xml:space="preserve">, where </w:t>
      </w:r>
      <m:oMath>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2</m:t>
            </m:r>
          </m:sub>
        </m:sSub>
      </m:oMath>
      <w:r>
        <w:t xml:space="preserve">- coefficients of rolling friction between the cylinder and the upper and lower plates, respectively, </w:t>
      </w:r>
      <w:r>
        <w:rPr>
          <w:i/>
          <w:iCs/>
        </w:rPr>
        <w:t xml:space="preserve">r </w:t>
      </w:r>
      <w:r>
        <w:t>– radius of the cylinder.</w:t>
      </w:r>
    </w:p>
    <w:p w14:paraId="517C4A71" w14:textId="77777777" w:rsidR="003A5EDF" w:rsidRDefault="00000000">
      <w:pPr>
        <w:pStyle w:val="Paragraph"/>
      </w:pPr>
      <w:r>
        <w:t xml:space="preserve">Let the plates begin to move together first. Then the conditions for the movement of the upper </w:t>
      </w:r>
      <w:r>
        <w:rPr>
          <w:i/>
        </w:rPr>
        <w:t>u</w:t>
      </w:r>
      <w:r>
        <w:rPr>
          <w:vertAlign w:val="subscript"/>
        </w:rPr>
        <w:t>1</w:t>
      </w:r>
      <w:r>
        <w:t xml:space="preserve"> and lower plates apply in the absence of relative movement between them.</w:t>
      </w:r>
    </w:p>
    <w:p w14:paraId="2840C318" w14:textId="0E30F0C2" w:rsidR="003A5EDF" w:rsidRPr="00666FB3" w:rsidRDefault="00666FB3" w:rsidP="00666FB3">
      <w:pPr>
        <w:pStyle w:val="Equation"/>
      </w:pPr>
      <w:r>
        <w:tab/>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m:t>
        </m:r>
        <m:r>
          <w:rPr>
            <w:rFonts w:ascii="Cambria Math" w:hAnsi="Cambria Math"/>
          </w:rPr>
          <m:t>Δu</m:t>
        </m:r>
      </m:oMath>
      <w:r w:rsidRPr="00666FB3">
        <w:t>.</w:t>
      </w:r>
      <w:r w:rsidRPr="00666FB3">
        <w:tab/>
        <w:t xml:space="preserve"> (1)</w:t>
      </w:r>
    </w:p>
    <w:p w14:paraId="578934BA" w14:textId="77777777" w:rsidR="003A5EDF" w:rsidRDefault="00000000">
      <w:pPr>
        <w:pStyle w:val="Paragraph"/>
      </w:pPr>
      <w:r>
        <w:t xml:space="preserve">Here, </w:t>
      </w:r>
      <w:r>
        <w:rPr>
          <w:i/>
          <w:lang w:val="ru-RU"/>
        </w:rPr>
        <w:t>Δ</w:t>
      </w:r>
      <w:r>
        <w:rPr>
          <w:i/>
        </w:rPr>
        <w:t>u</w:t>
      </w:r>
      <w:r>
        <w:t xml:space="preserve"> represents the relative displacement of the upper plate </w:t>
      </w:r>
      <w:proofErr w:type="gramStart"/>
      <w:r>
        <w:t>at the moment</w:t>
      </w:r>
      <w:proofErr w:type="gramEnd"/>
      <w:r>
        <w:t xml:space="preserve"> of transition from relative motion to joint motion as an absolute rigid body, </w:t>
      </w:r>
      <w:r>
        <w:rPr>
          <w:i/>
          <w:lang w:val="ru-RU"/>
        </w:rPr>
        <w:t>Δ</w:t>
      </w:r>
      <w:r>
        <w:rPr>
          <w:i/>
        </w:rPr>
        <w:t>u</w:t>
      </w:r>
      <w:r>
        <w:t>=0 at the initial moment of the process.</w:t>
      </w:r>
    </w:p>
    <w:p w14:paraId="45B8A893" w14:textId="77777777" w:rsidR="003A5EDF" w:rsidRDefault="00000000">
      <w:pPr>
        <w:pStyle w:val="Paragraph"/>
      </w:pPr>
      <w:proofErr w:type="gramStart"/>
      <w:r>
        <w:t>At the moment</w:t>
      </w:r>
      <w:proofErr w:type="gramEnd"/>
      <w:r>
        <w:t xml:space="preserve"> when the acceleration reaches the value necessary to overcome the rolling friction forces at the contacts between the cylinder and the upper and lower plates, the plates will begin to move relative to each other. At this moment, the speed of the upper plate is equal to the speed of the lower plate, and the displacement of the upper plate is determined by the ratio (1). </w:t>
      </w:r>
    </w:p>
    <w:p w14:paraId="5827E38C" w14:textId="77777777" w:rsidR="003A5EDF" w:rsidRDefault="00000000">
      <w:pPr>
        <w:pStyle w:val="Equation"/>
      </w:pPr>
      <w:r>
        <w:tab/>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r>
          <w:rPr>
            <w:rFonts w:ascii="Cambria Math" w:hAnsi="Cambria Math"/>
          </w:rPr>
          <m:t>&gt;</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2</m:t>
                </m:r>
              </m:sub>
            </m:sSub>
          </m:e>
        </m:d>
        <m:r>
          <w:rPr>
            <w:rFonts w:ascii="Cambria Math" w:hAnsi="Cambria Math"/>
          </w:rPr>
          <m:t>⋅g</m:t>
        </m:r>
      </m:oMath>
      <w:r>
        <w:t>.</w:t>
      </w:r>
      <w:r>
        <w:tab/>
        <w:t>(2)</w:t>
      </w:r>
    </w:p>
    <w:p w14:paraId="0D514B07" w14:textId="77777777" w:rsidR="003A5EDF" w:rsidRDefault="00000000">
      <w:pPr>
        <w:pStyle w:val="Paragraph"/>
      </w:pPr>
      <w:r>
        <w:lastRenderedPageBreak/>
        <w:t xml:space="preserve">During the movement of the plates, condition </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oMath>
      <w:r>
        <w:t xml:space="preserve"> may occur, in which case the upper plate rotates the cylinder, so the resistance forces at the cylinder contacts are added together. Then the equation of motion of the upper plate is as follows</w:t>
      </w:r>
    </w:p>
    <w:p w14:paraId="02B804DE" w14:textId="77777777" w:rsidR="003A5EDF" w:rsidRPr="00902A3E" w:rsidRDefault="00000000">
      <w:pPr>
        <w:pStyle w:val="Equation"/>
      </w:pPr>
      <w:r>
        <w:tab/>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2</m:t>
                </m:r>
              </m:sub>
            </m:sSub>
          </m:e>
        </m:d>
        <m:r>
          <w:rPr>
            <w:rFonts w:ascii="Cambria Math" w:hAnsi="Cambria Math"/>
          </w:rPr>
          <m:t>⋅g</m:t>
        </m:r>
      </m:oMath>
      <w:r w:rsidRPr="00902A3E">
        <w:t>.</w:t>
      </w:r>
      <w:r w:rsidRPr="00902A3E">
        <w:tab/>
        <w:t>(3)</w:t>
      </w:r>
    </w:p>
    <w:p w14:paraId="689F6A66" w14:textId="77777777" w:rsidR="003A5EDF" w:rsidRDefault="00000000">
      <w:pPr>
        <w:pStyle w:val="Paragraph"/>
      </w:pPr>
      <w:r>
        <w:t xml:space="preserve">If </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e>
        </m:d>
        <m:r>
          <w:rPr>
            <w:rFonts w:ascii="Cambria Math" w:hAnsi="Cambria Math"/>
          </w:rPr>
          <m:t>&lt;</m:t>
        </m:r>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oMath>
      <w:r>
        <w:t xml:space="preserve"> occurs, the upper plate is moved by the rolling friction force at the contact point between the upper plate and the cylinder.</w:t>
      </w:r>
    </w:p>
    <w:p w14:paraId="46C1BC46" w14:textId="77777777" w:rsidR="003A5EDF" w:rsidRDefault="00000000">
      <w:pPr>
        <w:pStyle w:val="Equation"/>
        <w:rPr>
          <w:lang w:val="ru-RU"/>
        </w:rPr>
      </w:pPr>
      <w:r>
        <w:tab/>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⋅g</m:t>
        </m:r>
      </m:oMath>
      <w:r>
        <w:rPr>
          <w:lang w:val="ru-RU"/>
        </w:rPr>
        <w:t>.</w:t>
      </w:r>
      <w:r>
        <w:rPr>
          <w:lang w:val="ru-RU"/>
        </w:rPr>
        <w:tab/>
        <w:t>(4)</w:t>
      </w:r>
    </w:p>
    <w:p w14:paraId="1160A585" w14:textId="77777777" w:rsidR="003A5EDF" w:rsidRDefault="00000000">
      <w:pPr>
        <w:pStyle w:val="Paragraph"/>
      </w:pPr>
      <w:r>
        <w:t xml:space="preserve">If </w:t>
      </w:r>
      <w:bookmarkStart w:id="3" w:name="_Hlk210034811"/>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r>
          <w:rPr>
            <w:rFonts w:ascii="Cambria Math" w:hAnsi="Cambria Math"/>
          </w:rPr>
          <m:t>&lt;ε</m:t>
        </m:r>
      </m:oMath>
      <w:bookmarkEnd w:id="3"/>
      <w:r>
        <w:t xml:space="preserve"> and </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e>
        </m:d>
        <m:r>
          <w:rPr>
            <w:rFonts w:ascii="Cambria Math" w:hAnsi="Cambria Math"/>
          </w:rPr>
          <m:t>&lt;</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1</m:t>
                </m:r>
              </m:sub>
            </m:sSub>
          </m:e>
        </m:d>
        <m:r>
          <w:rPr>
            <w:rFonts w:ascii="Cambria Math" w:hAnsi="Cambria Math"/>
          </w:rPr>
          <m:t>⋅g</m:t>
        </m:r>
      </m:oMath>
      <w:r>
        <w:t xml:space="preserve">, where </w:t>
      </w:r>
      <m:oMath>
        <m:r>
          <w:rPr>
            <w:rFonts w:ascii="Cambria Math" w:hAnsi="Cambria Math"/>
          </w:rPr>
          <m:t>ε</m:t>
        </m:r>
      </m:oMath>
      <w:r>
        <w:t xml:space="preserve"> - a small positive number, the value of which is selected depending on the time step size in step-by-step problem solving. In this case, the plates begin to move </w:t>
      </w:r>
      <w:proofErr w:type="gramStart"/>
      <w:r>
        <w:t>together</w:t>
      </w:r>
      <w:proofErr w:type="gramEnd"/>
      <w:r>
        <w:t xml:space="preserve"> and the process is determined by the ratio (1).</w:t>
      </w:r>
    </w:p>
    <w:p w14:paraId="43BA9BDC" w14:textId="77777777" w:rsidR="003A5EDF" w:rsidRDefault="00000000">
      <w:pPr>
        <w:pStyle w:val="Paragraph"/>
      </w:pPr>
      <w:r>
        <w:t xml:space="preserve">Where </w:t>
      </w:r>
      <w:r>
        <w:rPr>
          <w:rFonts w:ascii="Cambria Math" w:hAnsi="Cambria Math" w:cs="Cambria Math"/>
        </w:rPr>
        <w:t>𝜇</w:t>
      </w:r>
      <w:r>
        <w:rPr>
          <w:vertAlign w:val="subscript"/>
        </w:rPr>
        <w:t>1</w:t>
      </w:r>
      <w:r>
        <w:t xml:space="preserve">, </w:t>
      </w:r>
      <w:r>
        <w:rPr>
          <w:rFonts w:ascii="Cambria Math" w:hAnsi="Cambria Math" w:cs="Cambria Math"/>
        </w:rPr>
        <w:t>𝜇</w:t>
      </w:r>
      <w:r>
        <w:rPr>
          <w:vertAlign w:val="subscript"/>
        </w:rPr>
        <w:t>2</w:t>
      </w:r>
      <w:r>
        <w:t xml:space="preserve"> - olling friction coefficients at the contacts between the cylinder and the upper and lower plates, respectively.</w:t>
      </w:r>
    </w:p>
    <w:p w14:paraId="68FA17C4" w14:textId="77777777" w:rsidR="003A5EDF" w:rsidRDefault="003A5EDF">
      <w:pPr>
        <w:pStyle w:val="Paragraph"/>
      </w:pPr>
    </w:p>
    <w:p w14:paraId="5D6EBA08" w14:textId="77777777" w:rsidR="003A5EDF" w:rsidRDefault="00000000" w:rsidP="00CF49CE">
      <w:pPr>
        <w:pStyle w:val="Figure"/>
      </w:pPr>
      <w:bookmarkStart w:id="4" w:name="_Hlk209707138"/>
      <w:r>
        <w:rPr>
          <w:noProof/>
        </w:rPr>
        <w:drawing>
          <wp:inline distT="0" distB="0" distL="0" distR="0" wp14:anchorId="70FC8400" wp14:editId="2260D675">
            <wp:extent cx="2734945" cy="1125855"/>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pic:cNvPicPr>
                      <a:picLocks noChangeAspect="1" noChangeArrowheads="1"/>
                    </pic:cNvPicPr>
                  </pic:nvPicPr>
                  <pic:blipFill>
                    <a:blip r:embed="rId9"/>
                    <a:stretch>
                      <a:fillRect/>
                    </a:stretch>
                  </pic:blipFill>
                  <pic:spPr bwMode="auto">
                    <a:xfrm>
                      <a:off x="0" y="0"/>
                      <a:ext cx="2734945" cy="1125855"/>
                    </a:xfrm>
                    <a:prstGeom prst="rect">
                      <a:avLst/>
                    </a:prstGeom>
                  </pic:spPr>
                </pic:pic>
              </a:graphicData>
            </a:graphic>
          </wp:inline>
        </w:drawing>
      </w:r>
    </w:p>
    <w:p w14:paraId="7BE39A19" w14:textId="77777777" w:rsidR="003A5EDF" w:rsidRDefault="00000000">
      <w:pPr>
        <w:pStyle w:val="FigureCaption"/>
        <w:rPr>
          <w:sz w:val="20"/>
        </w:rPr>
      </w:pPr>
      <w:r>
        <w:rPr>
          <w:b/>
          <w:caps/>
        </w:rPr>
        <w:t>Figure 1.</w:t>
      </w:r>
      <w:r>
        <w:t xml:space="preserve"> </w:t>
      </w:r>
      <w:bookmarkEnd w:id="4"/>
      <w:r>
        <w:t>Schematic representation of a roller insulation device with flat plates</w:t>
      </w:r>
    </w:p>
    <w:p w14:paraId="659B9F13" w14:textId="77777777" w:rsidR="003A5EDF" w:rsidRDefault="003A5EDF">
      <w:pPr>
        <w:pStyle w:val="Paragraph"/>
      </w:pPr>
    </w:p>
    <w:p w14:paraId="1E328E9F" w14:textId="77777777" w:rsidR="003A5EDF" w:rsidRDefault="00000000">
      <w:pPr>
        <w:pStyle w:val="Paragraph"/>
      </w:pPr>
      <w:r>
        <w:t xml:space="preserve">Now let us consider the problem </w:t>
      </w:r>
      <w:proofErr w:type="gramStart"/>
      <w:r>
        <w:t>for</w:t>
      </w:r>
      <w:proofErr w:type="gramEnd"/>
      <w:r>
        <w:t xml:space="preserve"> a roller insulation device with a V-shaped bottom plate with a horizontal section in the middle and an angle of inclination </w:t>
      </w:r>
      <w:r>
        <w:rPr>
          <w:i/>
          <w:lang w:val="ru-RU"/>
        </w:rPr>
        <w:t>φ</w:t>
      </w:r>
      <w:r>
        <w:t xml:space="preserve"> (Fig. 2). If the center of the bottom base is a plane with length </w:t>
      </w:r>
      <w:r>
        <w:rPr>
          <w:i/>
        </w:rPr>
        <w:t>l</w:t>
      </w:r>
      <w:r>
        <w:t xml:space="preserve"> (Fig. 2), then the following relationship holds for equations (5) - (8).</w:t>
      </w:r>
    </w:p>
    <w:p w14:paraId="149620C3" w14:textId="77777777" w:rsidR="003A5EDF" w:rsidRDefault="00000000">
      <w:pPr>
        <w:pStyle w:val="Equation"/>
      </w:pPr>
      <m:oMath>
        <m:r>
          <w:rPr>
            <w:rFonts w:ascii="Cambria Math" w:hAnsi="Cambria Math"/>
          </w:rPr>
          <m:t>ϕ=</m:t>
        </m:r>
        <m:eqArr>
          <m:eqArrPr>
            <m:ctrlPr>
              <w:rPr>
                <w:rFonts w:ascii="Cambria Math" w:hAnsi="Cambria Math"/>
              </w:rPr>
            </m:ctrlPr>
          </m:eqArrPr>
          <m:e>
            <m:d>
              <m:dPr>
                <m:begChr m:val="{"/>
                <m:endChr m:val=""/>
                <m:ctrlPr>
                  <w:rPr>
                    <w:rFonts w:ascii="Cambria Math" w:hAnsi="Cambria Math"/>
                  </w:rPr>
                </m:ctrlPr>
              </m:dPr>
              <m:e>
                <m:r>
                  <w:rPr>
                    <w:rFonts w:ascii="Cambria Math" w:hAnsi="Cambria Math"/>
                  </w:rPr>
                  <m:t xml:space="preserve">0, </m:t>
                </m:r>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r>
                  <w:rPr>
                    <w:rFonts w:ascii="Cambria Math" w:hAnsi="Cambria Math"/>
                  </w:rPr>
                  <m:t>≤</m:t>
                </m:r>
                <m:f>
                  <m:fPr>
                    <m:type m:val="lin"/>
                    <m:ctrlPr>
                      <w:rPr>
                        <w:rFonts w:ascii="Cambria Math" w:hAnsi="Cambria Math"/>
                      </w:rPr>
                    </m:ctrlPr>
                  </m:fPr>
                  <m:num>
                    <m:r>
                      <w:rPr>
                        <w:rFonts w:ascii="Cambria Math" w:hAnsi="Cambria Math"/>
                      </w:rPr>
                      <m:t>l</m:t>
                    </m:r>
                  </m:num>
                  <m:den>
                    <m:r>
                      <w:rPr>
                        <w:rFonts w:ascii="Cambria Math" w:hAnsi="Cambria Math"/>
                      </w:rPr>
                      <m:t>2</m:t>
                    </m:r>
                  </m:den>
                </m:f>
              </m:e>
              <m:e/>
            </m:d>
          </m:e>
        </m:eqArr>
      </m:oMath>
      <w:r>
        <w:t xml:space="preserve"> or </w:t>
      </w:r>
      <m:oMath>
        <m:r>
          <w:rPr>
            <w:rFonts w:ascii="Cambria Math" w:hAnsi="Cambria Math"/>
          </w:rPr>
          <m:t>ϕ=</m:t>
        </m:r>
        <m:eqArr>
          <m:eqArrPr>
            <m:ctrlPr>
              <w:rPr>
                <w:rFonts w:ascii="Cambria Math" w:hAnsi="Cambria Math"/>
              </w:rPr>
            </m:ctrlPr>
          </m:eqArrPr>
          <m:e>
            <m:d>
              <m:dPr>
                <m:begChr m:val="{"/>
                <m:endChr m:val=""/>
                <m:ctrlPr>
                  <w:rPr>
                    <w:rFonts w:ascii="Cambria Math" w:hAnsi="Cambria Math"/>
                  </w:rPr>
                </m:ctrlPr>
              </m:dPr>
              <m:e>
                <m:r>
                  <w:rPr>
                    <w:rFonts w:ascii="Cambria Math" w:hAnsi="Cambria Math"/>
                  </w:rPr>
                  <m:t xml:space="preserve">0, </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num>
                      <m:den>
                        <m:r>
                          <w:rPr>
                            <w:rFonts w:ascii="Cambria Math" w:hAnsi="Cambria Math"/>
                          </w:rPr>
                          <m:t>2</m:t>
                        </m:r>
                      </m:den>
                    </m:f>
                  </m:e>
                </m:d>
                <m:r>
                  <w:rPr>
                    <w:rFonts w:ascii="Cambria Math" w:hAnsi="Cambria Math"/>
                  </w:rPr>
                  <m:t>≤</m:t>
                </m:r>
                <m:f>
                  <m:fPr>
                    <m:type m:val="lin"/>
                    <m:ctrlPr>
                      <w:rPr>
                        <w:rFonts w:ascii="Cambria Math" w:hAnsi="Cambria Math"/>
                      </w:rPr>
                    </m:ctrlPr>
                  </m:fPr>
                  <m:num>
                    <m:r>
                      <w:rPr>
                        <w:rFonts w:ascii="Cambria Math" w:hAnsi="Cambria Math"/>
                      </w:rPr>
                      <m:t>l</m:t>
                    </m:r>
                  </m:num>
                  <m:den>
                    <m:r>
                      <w:rPr>
                        <w:rFonts w:ascii="Cambria Math" w:hAnsi="Cambria Math"/>
                      </w:rPr>
                      <m:t>2</m:t>
                    </m:r>
                  </m:den>
                </m:f>
              </m:e>
              <m:e/>
            </m:d>
          </m:e>
        </m:eqArr>
      </m:oMath>
      <w:r>
        <w:t>,</w:t>
      </w:r>
    </w:p>
    <w:p w14:paraId="5E7398C1" w14:textId="77777777" w:rsidR="003A5EDF" w:rsidRDefault="00000000">
      <w:pPr>
        <w:pStyle w:val="Paragraph"/>
      </w:pPr>
      <w:r>
        <w:t xml:space="preserve">where </w:t>
      </w:r>
      <w:r>
        <w:rPr>
          <w:i/>
        </w:rPr>
        <w:t>φ</w:t>
      </w:r>
      <w:r>
        <w:rPr>
          <w:vertAlign w:val="subscript"/>
        </w:rPr>
        <w:t>0</w:t>
      </w:r>
      <w:r>
        <w:t xml:space="preserve"> – this angle of inclination in the bottom plate, </w:t>
      </w:r>
      <m:oMath>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num>
          <m:den>
            <m:r>
              <w:rPr>
                <w:rFonts w:ascii="Cambria Math" w:hAnsi="Cambria Math"/>
              </w:rPr>
              <m:t>2</m:t>
            </m:r>
          </m:den>
        </m:f>
      </m:oMath>
      <w:r>
        <w:t xml:space="preserve"> – displacement of the cylinder center at small φ.</w:t>
      </w:r>
    </w:p>
    <w:p w14:paraId="13B7FBA2" w14:textId="77777777" w:rsidR="003A5EDF" w:rsidRDefault="003A5EDF">
      <w:pPr>
        <w:pStyle w:val="Paragraph"/>
      </w:pPr>
    </w:p>
    <w:p w14:paraId="143D2F53" w14:textId="77777777" w:rsidR="003A5EDF" w:rsidRDefault="00000000" w:rsidP="00CF49CE">
      <w:pPr>
        <w:pStyle w:val="Figure"/>
        <w:rPr>
          <w:lang w:val="ru-RU"/>
        </w:rPr>
      </w:pPr>
      <w:r>
        <w:rPr>
          <w:noProof/>
        </w:rPr>
        <w:drawing>
          <wp:inline distT="0" distB="0" distL="0" distR="0" wp14:anchorId="7810140D" wp14:editId="1BDE36DA">
            <wp:extent cx="2713355" cy="96964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tretch>
                      <a:fillRect/>
                    </a:stretch>
                  </pic:blipFill>
                  <pic:spPr bwMode="auto">
                    <a:xfrm>
                      <a:off x="0" y="0"/>
                      <a:ext cx="2713355" cy="969645"/>
                    </a:xfrm>
                    <a:prstGeom prst="rect">
                      <a:avLst/>
                    </a:prstGeom>
                  </pic:spPr>
                </pic:pic>
              </a:graphicData>
            </a:graphic>
          </wp:inline>
        </w:drawing>
      </w:r>
    </w:p>
    <w:p w14:paraId="0A4D42D8" w14:textId="77777777" w:rsidR="003A5EDF" w:rsidRDefault="00000000">
      <w:pPr>
        <w:pStyle w:val="FigureCaption"/>
      </w:pPr>
      <w:r>
        <w:rPr>
          <w:b/>
          <w:caps/>
        </w:rPr>
        <w:t>Figure 2.</w:t>
      </w:r>
      <w:r>
        <w:t xml:space="preserve"> Schematic representation of a roller insulation device for a plate with a V-shaped bottom plate with a horizontal section in the middle and an angle of inclination </w:t>
      </w:r>
      <w:r>
        <w:rPr>
          <w:i/>
          <w:lang w:val="ru-RU"/>
        </w:rPr>
        <w:t>φ</w:t>
      </w:r>
      <w:r>
        <w:rPr>
          <w:i/>
        </w:rPr>
        <w:t>.</w:t>
      </w:r>
    </w:p>
    <w:p w14:paraId="510A1B14" w14:textId="77777777" w:rsidR="003A5EDF" w:rsidRDefault="003A5EDF">
      <w:pPr>
        <w:pStyle w:val="Paragraph"/>
        <w:ind w:firstLine="0"/>
      </w:pPr>
    </w:p>
    <w:p w14:paraId="0BBDBA77" w14:textId="77777777" w:rsidR="003A5EDF" w:rsidRDefault="00000000">
      <w:pPr>
        <w:pStyle w:val="Paragraph"/>
      </w:pPr>
      <w:r>
        <w:t>In this case, too, in the absence of relative motion of the plates, relations (1) hold. Unlike flat plates, the condition for the onset of relative motion of the plates is given by</w:t>
      </w:r>
    </w:p>
    <w:p w14:paraId="08A725CD" w14:textId="77777777" w:rsidR="003A5EDF" w:rsidRDefault="003A5EDF">
      <w:pPr>
        <w:pStyle w:val="Equation"/>
        <w:jc w:val="right"/>
      </w:pPr>
    </w:p>
    <w:p w14:paraId="0F61D04A" w14:textId="77777777" w:rsidR="003A5EDF" w:rsidRDefault="00000000">
      <w:pPr>
        <w:pStyle w:val="Equation"/>
        <w:jc w:val="right"/>
      </w:pPr>
      <w:r>
        <w:rPr>
          <w:sz w:val="24"/>
          <w:szCs w:val="24"/>
        </w:rPr>
        <w:tab/>
      </w:r>
      <m:oMath>
        <m:eqArr>
          <m:eqArrPr>
            <m:ctrlPr>
              <w:rPr>
                <w:rFonts w:ascii="Cambria Math" w:hAnsi="Cambria Math"/>
              </w:rPr>
            </m:ctrlPr>
          </m:eqArrPr>
          <m:e>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r>
              <w:rPr>
                <w:rFonts w:ascii="Cambria Math" w:hAnsi="Cambria Math"/>
              </w:rPr>
              <m:t xml:space="preserve"> &gt;|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sSub>
              <m:sSubPr>
                <m:ctrlPr>
                  <w:rPr>
                    <w:rFonts w:ascii="Cambria Math" w:hAnsi="Cambria Math"/>
                  </w:rPr>
                </m:ctrlPr>
              </m:sSubPr>
              <m:e>
                <m:r>
                  <w:rPr>
                    <w:rFonts w:ascii="Cambria Math" w:hAnsi="Cambria Math"/>
                  </w:rPr>
                  <m:t>μ</m:t>
                </m:r>
              </m:e>
              <m:sub>
                <m:r>
                  <w:rPr>
                    <w:rFonts w:ascii="Cambria Math" w:hAnsi="Cambria Math"/>
                  </w:rPr>
                  <m:t>1</m:t>
                </m:r>
              </m:sub>
            </m:sSub>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w:rPr>
                <w:rFonts w:ascii="Cambria Math" w:hAnsi="Cambria Math"/>
              </w:rPr>
              <m: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sSub>
              <m:sSubPr>
                <m:ctrlPr>
                  <w:rPr>
                    <w:rFonts w:ascii="Cambria Math" w:hAnsi="Cambria Math"/>
                  </w:rPr>
                </m:ctrlPr>
              </m:sSubPr>
              <m:e>
                <m:r>
                  <w:rPr>
                    <w:rFonts w:ascii="Cambria Math" w:hAnsi="Cambria Math"/>
                  </w:rPr>
                  <m:t>μ</m:t>
                </m:r>
              </m:e>
              <m:sub>
                <m:r>
                  <w:rPr>
                    <w:rFonts w:ascii="Cambria Math" w:hAnsi="Cambria Math"/>
                  </w:rPr>
                  <m:t>2</m:t>
                </m:r>
              </m:sub>
            </m:sSub>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m:rPr>
                <m:lit/>
                <m:nor/>
              </m:rPr>
              <w:rPr>
                <w:rFonts w:ascii="Cambria Math" w:hAnsi="Cambria Math"/>
              </w:rPr>
              <m:t>cos</m:t>
            </m:r>
            <m:r>
              <w:rPr>
                <w:rFonts w:ascii="Cambria Math" w:hAnsi="Cambria Math"/>
              </w:rPr>
              <m:t>ϕ-</m:t>
            </m:r>
          </m:e>
          <m:e>
            <m:r>
              <w:rPr>
                <w:rFonts w:ascii="Cambria Math" w:hAnsi="Cambria Math"/>
              </w:rPr>
              <m: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m:rPr>
                <m:lit/>
                <m:nor/>
              </m:rPr>
              <w:rPr>
                <w:rFonts w:ascii="Cambria Math" w:hAnsi="Cambria Math"/>
              </w:rPr>
              <m:t>sin</m:t>
            </m:r>
            <m:r>
              <w:rPr>
                <w:rFonts w:ascii="Cambria Math" w:hAnsi="Cambria Math"/>
              </w:rPr>
              <m:t>2ϕ|</m:t>
            </m:r>
            <m:r>
              <m:rPr>
                <m:lit/>
                <m:nor/>
              </m:rPr>
              <w:rPr>
                <w:rFonts w:ascii="Cambria Math" w:hAnsi="Cambria Math"/>
              </w:rPr>
              <m:t>.</m:t>
            </m:r>
          </m:e>
        </m:eqArr>
      </m:oMath>
      <w:r>
        <w:tab/>
        <w:t>(5)</w:t>
      </w:r>
    </w:p>
    <w:p w14:paraId="36805DCE" w14:textId="77777777" w:rsidR="003A5EDF" w:rsidRDefault="00000000">
      <w:pPr>
        <w:pStyle w:val="Paragraph"/>
      </w:pPr>
      <w:r>
        <w:t xml:space="preserve">Accordingly, for </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oMath>
      <w:r>
        <w:t>, the equation of motion of the upper plate is</w:t>
      </w:r>
    </w:p>
    <w:p w14:paraId="759B8724" w14:textId="77777777" w:rsidR="003A5EDF" w:rsidRDefault="00000000">
      <w:pPr>
        <w:pStyle w:val="Equation"/>
        <w:tabs>
          <w:tab w:val="clear" w:pos="9242"/>
        </w:tabs>
        <w:jc w:val="right"/>
      </w:pPr>
      <w:r>
        <w:rPr>
          <w:sz w:val="24"/>
          <w:szCs w:val="24"/>
        </w:rPr>
        <w:tab/>
      </w:r>
      <m:oMath>
        <m:eqArr>
          <m:eqArrPr>
            <m:ctrlPr>
              <w:rPr>
                <w:rFonts w:ascii="Cambria Math" w:hAnsi="Cambria Math"/>
              </w:rPr>
            </m:ctrlPr>
          </m:eqArr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 xml:space="preserve"> =</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sSub>
              <m:sSubPr>
                <m:ctrlPr>
                  <w:rPr>
                    <w:rFonts w:ascii="Cambria Math" w:hAnsi="Cambria Math"/>
                  </w:rPr>
                </m:ctrlPr>
              </m:sSubPr>
              <m:e>
                <m:r>
                  <w:rPr>
                    <w:rFonts w:ascii="Cambria Math" w:hAnsi="Cambria Math"/>
                  </w:rPr>
                  <m:t>μ</m:t>
                </m:r>
              </m:e>
              <m:sub>
                <m:r>
                  <w:rPr>
                    <w:rFonts w:ascii="Cambria Math" w:hAnsi="Cambria Math"/>
                  </w:rPr>
                  <m:t>1</m:t>
                </m:r>
              </m:sub>
            </m:sSub>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w:rPr>
                <w:rFonts w:ascii="Cambria Math" w:hAnsi="Cambria Math"/>
              </w:rPr>
              <m: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sSub>
              <m:sSubPr>
                <m:ctrlPr>
                  <w:rPr>
                    <w:rFonts w:ascii="Cambria Math" w:hAnsi="Cambria Math"/>
                  </w:rPr>
                </m:ctrlPr>
              </m:sSubPr>
              <m:e>
                <m:r>
                  <w:rPr>
                    <w:rFonts w:ascii="Cambria Math" w:hAnsi="Cambria Math"/>
                  </w:rPr>
                  <m:t>μ</m:t>
                </m:r>
              </m:e>
              <m:sub>
                <m:r>
                  <w:rPr>
                    <w:rFonts w:ascii="Cambria Math" w:hAnsi="Cambria Math"/>
                  </w:rPr>
                  <m:t>2</m:t>
                </m:r>
              </m:sub>
            </m:sSub>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m:rPr>
                <m:lit/>
                <m:nor/>
              </m:rPr>
              <w:rPr>
                <w:rFonts w:ascii="Cambria Math" w:hAnsi="Cambria Math"/>
              </w:rPr>
              <m:t>cos</m:t>
            </m:r>
            <m:r>
              <w:rPr>
                <w:rFonts w:ascii="Cambria Math" w:hAnsi="Cambria Math"/>
              </w:rPr>
              <m:t>ϕ-</m:t>
            </m:r>
          </m:e>
          <m:e>
            <m:r>
              <w:rPr>
                <w:rFonts w:ascii="Cambria Math" w:hAnsi="Cambria Math"/>
              </w:rPr>
              <m: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m:rPr>
                <m:lit/>
                <m:nor/>
              </m:rPr>
              <w:rPr>
                <w:rFonts w:ascii="Cambria Math" w:hAnsi="Cambria Math"/>
              </w:rPr>
              <m:t>sin</m:t>
            </m:r>
            <m:r>
              <w:rPr>
                <w:rFonts w:ascii="Cambria Math" w:hAnsi="Cambria Math"/>
              </w:rPr>
              <m:t>2ϕ,</m:t>
            </m:r>
          </m:e>
        </m:eqArr>
      </m:oMath>
      <w:r>
        <w:tab/>
        <w:t>(6)</w:t>
      </w:r>
    </w:p>
    <w:p w14:paraId="6A9C7214" w14:textId="77777777" w:rsidR="003A5EDF" w:rsidRDefault="00000000">
      <w:pPr>
        <w:pStyle w:val="Paragraph"/>
        <w:ind w:firstLine="0"/>
      </w:pPr>
      <w:r>
        <w:t>otherwise</w:t>
      </w:r>
    </w:p>
    <w:p w14:paraId="0ED148CD" w14:textId="77777777" w:rsidR="003A5EDF" w:rsidRDefault="00000000">
      <w:pPr>
        <w:pStyle w:val="Equation"/>
      </w:pPr>
      <w:r>
        <w:tab/>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 xml:space="preserve"> =</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sSub>
          <m:sSubPr>
            <m:ctrlPr>
              <w:rPr>
                <w:rFonts w:ascii="Cambria Math" w:hAnsi="Cambria Math"/>
              </w:rPr>
            </m:ctrlPr>
          </m:sSubPr>
          <m:e>
            <m:r>
              <w:rPr>
                <w:rFonts w:ascii="Cambria Math" w:hAnsi="Cambria Math"/>
              </w:rPr>
              <m:t>μ</m:t>
            </m:r>
          </m:e>
          <m:sub>
            <m:r>
              <w:rPr>
                <w:rFonts w:ascii="Cambria Math" w:hAnsi="Cambria Math"/>
              </w:rPr>
              <m:t>1</m:t>
            </m:r>
          </m:sub>
        </m:sSub>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w:rPr>
            <w:rFonts w:ascii="Cambria Math" w:hAnsi="Cambria Math"/>
          </w:rPr>
          <m:t>-</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g+</m:t>
            </m:r>
            <m:r>
              <m:rPr>
                <m:lit/>
                <m:nor/>
              </m:rPr>
              <w:rPr>
                <w:rFonts w:ascii="Cambria Math" w:hAnsi="Cambria Math"/>
              </w:rPr>
              <m:t>sign</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e>
            </m:d>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r>
              <m:rPr>
                <m:lit/>
                <m:nor/>
              </m:rPr>
              <w:rPr>
                <w:rFonts w:ascii="Cambria Math" w:hAnsi="Cambria Math"/>
              </w:rPr>
              <m:t>tg</m:t>
            </m:r>
            <m:r>
              <w:rPr>
                <w:rFonts w:ascii="Cambria Math" w:hAnsi="Cambria Math"/>
              </w:rPr>
              <m:t>ϕ</m:t>
            </m:r>
          </m:e>
        </m:d>
        <m:r>
          <m:rPr>
            <m:lit/>
            <m:nor/>
          </m:rPr>
          <w:rPr>
            <w:rFonts w:ascii="Cambria Math" w:hAnsi="Cambria Math"/>
          </w:rPr>
          <m:t>sin</m:t>
        </m:r>
        <m:r>
          <w:rPr>
            <w:rFonts w:ascii="Cambria Math" w:hAnsi="Cambria Math"/>
          </w:rPr>
          <m:t>2ϕ</m:t>
        </m:r>
        <m:r>
          <m:rPr>
            <m:lit/>
            <m:nor/>
          </m:rPr>
          <w:rPr>
            <w:rFonts w:ascii="Cambria Math" w:hAnsi="Cambria Math"/>
          </w:rPr>
          <m:t>.</m:t>
        </m:r>
      </m:oMath>
      <w:r>
        <w:tab/>
        <w:t>(7)</w:t>
      </w:r>
    </w:p>
    <w:p w14:paraId="0DE2AAA8" w14:textId="77777777" w:rsidR="003A5EDF" w:rsidRDefault="00000000">
      <w:pPr>
        <w:pStyle w:val="Paragraph"/>
      </w:pPr>
      <w:r>
        <w:t xml:space="preserve">In both equations, the initial conditions for the transition from one state to another at time </w:t>
      </w:r>
      <w:r>
        <w:rPr>
          <w:i/>
        </w:rPr>
        <w:t>t</w:t>
      </w:r>
      <w:r>
        <w:t>=</w:t>
      </w:r>
      <w:r>
        <w:rPr>
          <w:i/>
        </w:rPr>
        <w:t>t</w:t>
      </w:r>
      <w:r>
        <w:t xml:space="preserve">* are: </w:t>
      </w:r>
      <m:oMath>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1</m:t>
            </m:r>
          </m:sub>
        </m:sSub>
        <m:d>
          <m:dPr>
            <m:ctrlPr>
              <w:rPr>
                <w:rFonts w:ascii="Cambria Math" w:hAnsi="Cambria Math"/>
              </w:rPr>
            </m:ctrlPr>
          </m:dPr>
          <m:e>
            <m:sSup>
              <m:sSupPr>
                <m:ctrlPr>
                  <w:rPr>
                    <w:rFonts w:ascii="Cambria Math" w:hAnsi="Cambria Math"/>
                  </w:rPr>
                </m:ctrlPr>
              </m:sSupPr>
              <m:e>
                <m:r>
                  <w:rPr>
                    <w:rFonts w:ascii="Cambria Math" w:hAnsi="Cambria Math"/>
                  </w:rPr>
                  <m:t>t</m:t>
                </m:r>
              </m:e>
              <m:sup/>
            </m:sSup>
          </m:e>
        </m:d>
      </m:oMath>
      <w: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d>
          <m:dPr>
            <m:ctrlPr>
              <w:rPr>
                <w:rFonts w:ascii="Cambria Math" w:hAnsi="Cambria Math"/>
              </w:rPr>
            </m:ctrlPr>
          </m:dPr>
          <m:e>
            <m:sSup>
              <m:sSupPr>
                <m:ctrlPr>
                  <w:rPr>
                    <w:rFonts w:ascii="Cambria Math" w:hAnsi="Cambria Math"/>
                  </w:rPr>
                </m:ctrlPr>
              </m:sSupPr>
              <m:e>
                <m:r>
                  <w:rPr>
                    <w:rFonts w:ascii="Cambria Math" w:hAnsi="Cambria Math"/>
                  </w:rPr>
                  <m:t>t</m:t>
                </m:r>
              </m:e>
              <m:sup/>
            </m:sSup>
          </m:e>
        </m:d>
      </m:oMath>
      <w:r>
        <w:t xml:space="preserve">, and at the beginning of the relative motion of the upper plate we have </w:t>
      </w:r>
      <m:oMath>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oMath>
      <w:r>
        <w:t xml:space="preserve">, </w:t>
      </w:r>
      <m:oMath>
        <m:sSub>
          <m:sSubPr>
            <m:ctrlPr>
              <w:rPr>
                <w:rFonts w:ascii="Cambria Math" w:hAnsi="Cambria Math"/>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2</m:t>
            </m:r>
          </m:sub>
        </m:sSub>
        <m:r>
          <w:rPr>
            <w:rFonts w:ascii="Cambria Math" w:hAnsi="Cambria Math"/>
          </w:rPr>
          <m:t>-Δu</m:t>
        </m:r>
      </m:oMath>
      <w:r>
        <w:t>.</w:t>
      </w:r>
    </w:p>
    <w:p w14:paraId="4BB99BC3" w14:textId="77777777" w:rsidR="003A5EDF" w:rsidRDefault="00000000">
      <w:pPr>
        <w:pStyle w:val="Paragraph"/>
      </w:pPr>
      <w:r>
        <w:lastRenderedPageBreak/>
        <w:t xml:space="preserve">If, during the movement of the plates, the difference in their velocities is close to zero and the difference in accelerations is less than the resistance forces </w:t>
      </w:r>
    </w:p>
    <w:p w14:paraId="2A99728A" w14:textId="77777777" w:rsidR="003A5EDF" w:rsidRDefault="00000000">
      <w:pPr>
        <w:pStyle w:val="Equation"/>
      </w:pPr>
      <w:r>
        <w:tab/>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r>
          <w:rPr>
            <w:rFonts w:ascii="Cambria Math" w:hAnsi="Cambria Math"/>
          </w:rPr>
          <m:t>&lt;ε,</m:t>
        </m:r>
      </m:oMath>
      <w:r>
        <w:tab/>
      </w:r>
    </w:p>
    <w:p w14:paraId="5BCBE4C8" w14:textId="77777777" w:rsidR="003A5EDF" w:rsidRDefault="00000000">
      <w:pPr>
        <w:pStyle w:val="Paragraph"/>
      </w:pPr>
      <w:r>
        <w:t>and</w:t>
      </w:r>
    </w:p>
    <w:p w14:paraId="3814C5E4" w14:textId="400A60BD" w:rsidR="003A5EDF" w:rsidRDefault="00000000">
      <w:pPr>
        <w:pStyle w:val="Equation"/>
      </w:pPr>
      <w:r>
        <w:tab/>
      </w:r>
      <m:oMath>
        <m:eqArr>
          <m:eqArrPr>
            <m:ctrlPr>
              <w:rPr>
                <w:rFonts w:ascii="Cambria Math" w:hAnsi="Cambria Math"/>
                <w:sz w:val="19"/>
                <w:szCs w:val="19"/>
              </w:rPr>
            </m:ctrlPr>
          </m:eqArrPr>
          <m:e>
            <m:d>
              <m:dPr>
                <m:begChr m:val="|"/>
                <m:endChr m:val="|"/>
                <m:ctrlPr>
                  <w:rPr>
                    <w:rFonts w:ascii="Cambria Math" w:hAnsi="Cambria Math"/>
                    <w:sz w:val="19"/>
                    <w:szCs w:val="19"/>
                  </w:rPr>
                </m:ctrlPr>
              </m:dPr>
              <m:e>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2</m:t>
                    </m:r>
                  </m:sub>
                </m:sSub>
                <m:r>
                  <w:rPr>
                    <w:rFonts w:ascii="Cambria Math" w:hAnsi="Cambria Math"/>
                    <w:sz w:val="19"/>
                    <w:szCs w:val="19"/>
                  </w:rPr>
                  <m:t>-</m:t>
                </m:r>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1</m:t>
                    </m:r>
                  </m:sub>
                </m:sSub>
              </m:e>
            </m:d>
            <m:r>
              <w:rPr>
                <w:rFonts w:ascii="Cambria Math" w:hAnsi="Cambria Math"/>
                <w:sz w:val="19"/>
                <w:szCs w:val="19"/>
              </w:rPr>
              <m:t xml:space="preserve"> =|</m:t>
            </m:r>
            <m:r>
              <m:rPr>
                <m:lit/>
                <m:nor/>
              </m:rPr>
              <w:rPr>
                <w:rFonts w:ascii="Cambria Math" w:hAnsi="Cambria Math"/>
                <w:sz w:val="19"/>
                <w:szCs w:val="19"/>
              </w:rPr>
              <m:t>sign</m:t>
            </m:r>
            <m:d>
              <m:dPr>
                <m:ctrlPr>
                  <w:rPr>
                    <w:rFonts w:ascii="Cambria Math" w:hAnsi="Cambria Math"/>
                    <w:sz w:val="19"/>
                    <w:szCs w:val="19"/>
                  </w:rPr>
                </m:ctrlPr>
              </m:dPr>
              <m:e>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1</m:t>
                    </m:r>
                  </m:sub>
                </m:sSub>
                <m:r>
                  <w:rPr>
                    <w:rFonts w:ascii="Cambria Math" w:hAnsi="Cambria Math"/>
                    <w:sz w:val="19"/>
                    <w:szCs w:val="19"/>
                  </w:rPr>
                  <m:t>-</m:t>
                </m:r>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2</m:t>
                    </m:r>
                  </m:sub>
                </m:sSub>
              </m:e>
            </m:d>
            <m:sSub>
              <m:sSubPr>
                <m:ctrlPr>
                  <w:rPr>
                    <w:rFonts w:ascii="Cambria Math" w:hAnsi="Cambria Math"/>
                    <w:sz w:val="19"/>
                    <w:szCs w:val="19"/>
                  </w:rPr>
                </m:ctrlPr>
              </m:sSubPr>
              <m:e>
                <m:r>
                  <w:rPr>
                    <w:rFonts w:ascii="Cambria Math" w:hAnsi="Cambria Math"/>
                    <w:sz w:val="19"/>
                    <w:szCs w:val="19"/>
                  </w:rPr>
                  <m:t>μ</m:t>
                </m:r>
              </m:e>
              <m:sub>
                <m:r>
                  <w:rPr>
                    <w:rFonts w:ascii="Cambria Math" w:hAnsi="Cambria Math"/>
                    <w:sz w:val="19"/>
                    <w:szCs w:val="19"/>
                  </w:rPr>
                  <m:t>1</m:t>
                </m:r>
              </m:sub>
            </m:sSub>
            <m:d>
              <m:dPr>
                <m:ctrlPr>
                  <w:rPr>
                    <w:rFonts w:ascii="Cambria Math" w:hAnsi="Cambria Math"/>
                    <w:sz w:val="19"/>
                    <w:szCs w:val="19"/>
                  </w:rPr>
                </m:ctrlPr>
              </m:dPr>
              <m:e>
                <m:r>
                  <w:rPr>
                    <w:rFonts w:ascii="Cambria Math" w:hAnsi="Cambria Math"/>
                    <w:sz w:val="19"/>
                    <w:szCs w:val="19"/>
                  </w:rPr>
                  <m:t>g+</m:t>
                </m:r>
                <m:r>
                  <m:rPr>
                    <m:lit/>
                    <m:nor/>
                  </m:rPr>
                  <w:rPr>
                    <w:rFonts w:ascii="Cambria Math" w:hAnsi="Cambria Math"/>
                    <w:sz w:val="19"/>
                    <w:szCs w:val="19"/>
                  </w:rPr>
                  <m:t>sign</m:t>
                </m:r>
                <m:d>
                  <m:dPr>
                    <m:ctrlPr>
                      <w:rPr>
                        <w:rFonts w:ascii="Cambria Math" w:hAnsi="Cambria Math"/>
                        <w:sz w:val="19"/>
                        <w:szCs w:val="19"/>
                      </w:rPr>
                    </m:ctrlPr>
                  </m:dPr>
                  <m:e>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r</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2</m:t>
                        </m:r>
                      </m:sub>
                    </m:sSub>
                  </m:e>
                </m:d>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2</m:t>
                    </m:r>
                  </m:sub>
                </m:sSub>
                <m:r>
                  <m:rPr>
                    <m:lit/>
                    <m:nor/>
                  </m:rPr>
                  <w:rPr>
                    <w:rFonts w:ascii="Cambria Math" w:hAnsi="Cambria Math"/>
                    <w:sz w:val="19"/>
                    <w:szCs w:val="19"/>
                  </w:rPr>
                  <m:t>tg</m:t>
                </m:r>
                <m:r>
                  <w:rPr>
                    <w:rFonts w:ascii="Cambria Math" w:hAnsi="Cambria Math"/>
                    <w:sz w:val="19"/>
                    <w:szCs w:val="19"/>
                  </w:rPr>
                  <m:t>ϕ</m:t>
                </m:r>
              </m:e>
            </m:d>
            <m:r>
              <w:rPr>
                <w:rFonts w:ascii="Cambria Math" w:hAnsi="Cambria Math"/>
                <w:sz w:val="19"/>
                <w:szCs w:val="19"/>
              </w:rPr>
              <m:t>+</m:t>
            </m:r>
            <m:r>
              <m:rPr>
                <m:lit/>
                <m:nor/>
              </m:rPr>
              <w:rPr>
                <w:rFonts w:ascii="Cambria Math" w:hAnsi="Cambria Math"/>
                <w:sz w:val="19"/>
                <w:szCs w:val="19"/>
              </w:rPr>
              <m:t>sign</m:t>
            </m:r>
            <m:d>
              <m:dPr>
                <m:ctrlPr>
                  <w:rPr>
                    <w:rFonts w:ascii="Cambria Math" w:hAnsi="Cambria Math"/>
                    <w:sz w:val="19"/>
                    <w:szCs w:val="19"/>
                  </w:rPr>
                </m:ctrlPr>
              </m:dPr>
              <m:e>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1</m:t>
                    </m:r>
                  </m:sub>
                </m:sSub>
                <m:r>
                  <w:rPr>
                    <w:rFonts w:ascii="Cambria Math" w:hAnsi="Cambria Math"/>
                    <w:sz w:val="19"/>
                    <w:szCs w:val="19"/>
                  </w:rPr>
                  <m:t>-</m:t>
                </m:r>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2</m:t>
                    </m:r>
                  </m:sub>
                </m:sSub>
              </m:e>
            </m:d>
            <m:sSub>
              <m:sSubPr>
                <m:ctrlPr>
                  <w:rPr>
                    <w:rFonts w:ascii="Cambria Math" w:hAnsi="Cambria Math"/>
                    <w:sz w:val="19"/>
                    <w:szCs w:val="19"/>
                  </w:rPr>
                </m:ctrlPr>
              </m:sSubPr>
              <m:e>
                <m:r>
                  <w:rPr>
                    <w:rFonts w:ascii="Cambria Math" w:hAnsi="Cambria Math"/>
                    <w:sz w:val="19"/>
                    <w:szCs w:val="19"/>
                  </w:rPr>
                  <m:t>μ</m:t>
                </m:r>
              </m:e>
              <m:sub>
                <m:r>
                  <w:rPr>
                    <w:rFonts w:ascii="Cambria Math" w:hAnsi="Cambria Math"/>
                    <w:sz w:val="19"/>
                    <w:szCs w:val="19"/>
                  </w:rPr>
                  <m:t>2</m:t>
                </m:r>
              </m:sub>
            </m:sSub>
            <m:d>
              <m:dPr>
                <m:ctrlPr>
                  <w:rPr>
                    <w:rFonts w:ascii="Cambria Math" w:hAnsi="Cambria Math"/>
                    <w:sz w:val="19"/>
                    <w:szCs w:val="19"/>
                  </w:rPr>
                </m:ctrlPr>
              </m:dPr>
              <m:e>
                <m:r>
                  <w:rPr>
                    <w:rFonts w:ascii="Cambria Math" w:hAnsi="Cambria Math"/>
                    <w:sz w:val="19"/>
                    <w:szCs w:val="19"/>
                  </w:rPr>
                  <m:t>g+</m:t>
                </m:r>
                <m:r>
                  <m:rPr>
                    <m:lit/>
                    <m:nor/>
                  </m:rPr>
                  <w:rPr>
                    <w:rFonts w:ascii="Cambria Math" w:hAnsi="Cambria Math"/>
                    <w:sz w:val="19"/>
                    <w:szCs w:val="19"/>
                  </w:rPr>
                  <m:t>sign</m:t>
                </m:r>
                <m:d>
                  <m:dPr>
                    <m:ctrlPr>
                      <w:rPr>
                        <w:rFonts w:ascii="Cambria Math" w:hAnsi="Cambria Math"/>
                        <w:sz w:val="19"/>
                        <w:szCs w:val="19"/>
                      </w:rPr>
                    </m:ctrlPr>
                  </m:dPr>
                  <m:e>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r</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2</m:t>
                        </m:r>
                      </m:sub>
                    </m:sSub>
                  </m:e>
                </m:d>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2</m:t>
                    </m:r>
                  </m:sub>
                </m:sSub>
                <m:r>
                  <m:rPr>
                    <m:lit/>
                    <m:nor/>
                  </m:rPr>
                  <w:rPr>
                    <w:rFonts w:ascii="Cambria Math" w:hAnsi="Cambria Math"/>
                    <w:sz w:val="19"/>
                    <w:szCs w:val="19"/>
                  </w:rPr>
                  <m:t>tg</m:t>
                </m:r>
                <m:r>
                  <w:rPr>
                    <w:rFonts w:ascii="Cambria Math" w:hAnsi="Cambria Math"/>
                    <w:sz w:val="19"/>
                    <w:szCs w:val="19"/>
                  </w:rPr>
                  <m:t>ϕ</m:t>
                </m:r>
              </m:e>
            </m:d>
            <m:r>
              <m:rPr>
                <m:lit/>
                <m:nor/>
              </m:rPr>
              <w:rPr>
                <w:rFonts w:ascii="Cambria Math" w:hAnsi="Cambria Math"/>
                <w:sz w:val="19"/>
                <w:szCs w:val="19"/>
              </w:rPr>
              <m:t>cos</m:t>
            </m:r>
            <m:d>
              <m:dPr>
                <m:ctrlPr>
                  <w:rPr>
                    <w:rFonts w:ascii="Cambria Math" w:hAnsi="Cambria Math"/>
                    <w:sz w:val="19"/>
                    <w:szCs w:val="19"/>
                  </w:rPr>
                </m:ctrlPr>
              </m:dPr>
              <m:e>
                <m:r>
                  <w:rPr>
                    <w:rFonts w:ascii="Cambria Math" w:hAnsi="Cambria Math"/>
                    <w:sz w:val="19"/>
                    <w:szCs w:val="19"/>
                  </w:rPr>
                  <m:t>ϕ</m:t>
                </m:r>
              </m:e>
            </m:d>
            <m:r>
              <w:rPr>
                <w:rFonts w:ascii="Cambria Math" w:hAnsi="Cambria Math"/>
                <w:sz w:val="19"/>
                <w:szCs w:val="19"/>
              </w:rPr>
              <m:t>-</m:t>
            </m:r>
          </m:e>
          <m:e>
            <m:r>
              <w:rPr>
                <w:rFonts w:ascii="Cambria Math" w:hAnsi="Cambria Math"/>
                <w:sz w:val="19"/>
                <w:szCs w:val="19"/>
              </w:rPr>
              <m:t>-</m:t>
            </m:r>
            <m:r>
              <m:rPr>
                <m:lit/>
                <m:nor/>
              </m:rPr>
              <w:rPr>
                <w:rFonts w:ascii="Cambria Math" w:hAnsi="Cambria Math"/>
                <w:sz w:val="19"/>
                <w:szCs w:val="19"/>
              </w:rPr>
              <m:t>sign</m:t>
            </m:r>
            <m:d>
              <m:dPr>
                <m:ctrlPr>
                  <w:rPr>
                    <w:rFonts w:ascii="Cambria Math" w:hAnsi="Cambria Math"/>
                    <w:sz w:val="19"/>
                    <w:szCs w:val="19"/>
                  </w:rPr>
                </m:ctrlPr>
              </m:dPr>
              <m:e>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1</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2</m:t>
                    </m:r>
                  </m:sub>
                </m:sSub>
              </m:e>
            </m:d>
            <m:f>
              <m:fPr>
                <m:ctrlPr>
                  <w:rPr>
                    <w:rFonts w:ascii="Cambria Math" w:hAnsi="Cambria Math"/>
                    <w:sz w:val="19"/>
                    <w:szCs w:val="19"/>
                  </w:rPr>
                </m:ctrlPr>
              </m:fPr>
              <m:num>
                <m:r>
                  <w:rPr>
                    <w:rFonts w:ascii="Cambria Math" w:hAnsi="Cambria Math"/>
                    <w:sz w:val="19"/>
                    <w:szCs w:val="19"/>
                  </w:rPr>
                  <m:t>1</m:t>
                </m:r>
              </m:num>
              <m:den>
                <m:r>
                  <w:rPr>
                    <w:rFonts w:ascii="Cambria Math" w:hAnsi="Cambria Math"/>
                    <w:sz w:val="19"/>
                    <w:szCs w:val="19"/>
                  </w:rPr>
                  <m:t>2</m:t>
                </m:r>
              </m:den>
            </m:f>
            <m:d>
              <m:dPr>
                <m:ctrlPr>
                  <w:rPr>
                    <w:rFonts w:ascii="Cambria Math" w:hAnsi="Cambria Math"/>
                    <w:sz w:val="19"/>
                    <w:szCs w:val="19"/>
                  </w:rPr>
                </m:ctrlPr>
              </m:dPr>
              <m:e>
                <m:r>
                  <w:rPr>
                    <w:rFonts w:ascii="Cambria Math" w:hAnsi="Cambria Math"/>
                    <w:sz w:val="19"/>
                    <w:szCs w:val="19"/>
                  </w:rPr>
                  <m:t>g+</m:t>
                </m:r>
                <m:r>
                  <m:rPr>
                    <m:lit/>
                    <m:nor/>
                  </m:rPr>
                  <w:rPr>
                    <w:rFonts w:ascii="Cambria Math" w:hAnsi="Cambria Math"/>
                    <w:sz w:val="19"/>
                    <w:szCs w:val="19"/>
                  </w:rPr>
                  <m:t>sign</m:t>
                </m:r>
                <m:d>
                  <m:dPr>
                    <m:ctrlPr>
                      <w:rPr>
                        <w:rFonts w:ascii="Cambria Math" w:hAnsi="Cambria Math"/>
                        <w:sz w:val="19"/>
                        <w:szCs w:val="19"/>
                      </w:rPr>
                    </m:ctrlPr>
                  </m:dPr>
                  <m:e>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r</m:t>
                        </m:r>
                      </m:sub>
                    </m:sSub>
                    <m:r>
                      <w:rPr>
                        <w:rFonts w:ascii="Cambria Math" w:hAnsi="Cambria Math"/>
                        <w:sz w:val="19"/>
                        <w:szCs w:val="19"/>
                      </w:rPr>
                      <m:t>-</m:t>
                    </m:r>
                    <m:sSub>
                      <m:sSubPr>
                        <m:ctrlPr>
                          <w:rPr>
                            <w:rFonts w:ascii="Cambria Math" w:hAnsi="Cambria Math"/>
                            <w:sz w:val="19"/>
                            <w:szCs w:val="19"/>
                          </w:rPr>
                        </m:ctrlPr>
                      </m:sSubPr>
                      <m:e>
                        <m:r>
                          <w:rPr>
                            <w:rFonts w:ascii="Cambria Math" w:hAnsi="Cambria Math"/>
                            <w:sz w:val="19"/>
                            <w:szCs w:val="19"/>
                          </w:rPr>
                          <m:t>u</m:t>
                        </m:r>
                      </m:e>
                      <m:sub>
                        <m:r>
                          <w:rPr>
                            <w:rFonts w:ascii="Cambria Math" w:hAnsi="Cambria Math"/>
                            <w:sz w:val="19"/>
                            <w:szCs w:val="19"/>
                          </w:rPr>
                          <m:t>2</m:t>
                        </m:r>
                      </m:sub>
                    </m:sSub>
                  </m:e>
                </m:d>
                <m:sSub>
                  <m:sSubPr>
                    <m:ctrlPr>
                      <w:rPr>
                        <w:rFonts w:ascii="Cambria Math" w:hAnsi="Cambria Math"/>
                        <w:sz w:val="19"/>
                        <w:szCs w:val="19"/>
                      </w:rPr>
                    </m:ctrlPr>
                  </m:sSubPr>
                  <m:e>
                    <m:acc>
                      <m:accPr>
                        <m:chr m:val="¨"/>
                        <m:ctrlPr>
                          <w:rPr>
                            <w:rFonts w:ascii="Cambria Math" w:hAnsi="Cambria Math"/>
                            <w:sz w:val="19"/>
                            <w:szCs w:val="19"/>
                          </w:rPr>
                        </m:ctrlPr>
                      </m:accPr>
                      <m:e>
                        <m:r>
                          <w:rPr>
                            <w:rFonts w:ascii="Cambria Math" w:hAnsi="Cambria Math"/>
                            <w:sz w:val="19"/>
                            <w:szCs w:val="19"/>
                          </w:rPr>
                          <m:t>u</m:t>
                        </m:r>
                      </m:e>
                    </m:acc>
                  </m:e>
                  <m:sub>
                    <m:r>
                      <w:rPr>
                        <w:rFonts w:ascii="Cambria Math" w:hAnsi="Cambria Math"/>
                        <w:sz w:val="19"/>
                        <w:szCs w:val="19"/>
                      </w:rPr>
                      <m:t>2</m:t>
                    </m:r>
                  </m:sub>
                </m:sSub>
                <m:r>
                  <m:rPr>
                    <m:lit/>
                    <m:nor/>
                  </m:rPr>
                  <w:rPr>
                    <w:rFonts w:ascii="Cambria Math" w:hAnsi="Cambria Math"/>
                    <w:sz w:val="19"/>
                    <w:szCs w:val="19"/>
                  </w:rPr>
                  <m:t>tg</m:t>
                </m:r>
                <m:r>
                  <w:rPr>
                    <w:rFonts w:ascii="Cambria Math" w:hAnsi="Cambria Math"/>
                    <w:sz w:val="19"/>
                    <w:szCs w:val="19"/>
                  </w:rPr>
                  <m:t>ϕ</m:t>
                </m:r>
              </m:e>
            </m:d>
            <m:r>
              <m:rPr>
                <m:lit/>
                <m:nor/>
              </m:rPr>
              <w:rPr>
                <w:rFonts w:ascii="Cambria Math" w:hAnsi="Cambria Math"/>
                <w:sz w:val="19"/>
                <w:szCs w:val="19"/>
              </w:rPr>
              <m:t>sin</m:t>
            </m:r>
            <m:r>
              <w:rPr>
                <w:rFonts w:ascii="Cambria Math" w:hAnsi="Cambria Math"/>
                <w:sz w:val="19"/>
                <w:szCs w:val="19"/>
              </w:rPr>
              <m:t>2ϕ|,</m:t>
            </m:r>
          </m:e>
        </m:eqArr>
      </m:oMath>
      <w:r w:rsidR="00666FB3">
        <w:tab/>
      </w:r>
      <w:r>
        <w:t>(8)</w:t>
      </w:r>
    </w:p>
    <w:p w14:paraId="0FF891A0" w14:textId="77777777" w:rsidR="003A5EDF" w:rsidRDefault="00000000">
      <w:pPr>
        <w:pStyle w:val="Paragraph"/>
        <w:ind w:firstLine="0"/>
      </w:pPr>
      <w:proofErr w:type="gramStart"/>
      <w:r>
        <w:t>then</w:t>
      </w:r>
      <w:proofErr w:type="gramEnd"/>
      <w:r>
        <w:t xml:space="preserve"> the plates begin to move </w:t>
      </w:r>
      <w:proofErr w:type="gramStart"/>
      <w:r>
        <w:t>together</w:t>
      </w:r>
      <w:proofErr w:type="gramEnd"/>
      <w:r>
        <w:t xml:space="preserve"> and the process is determined by the ratio (1).</w:t>
      </w:r>
    </w:p>
    <w:p w14:paraId="4DF759C7" w14:textId="77777777" w:rsidR="003A5EDF" w:rsidRPr="00902A3E" w:rsidRDefault="00000000" w:rsidP="00902A3E">
      <w:pPr>
        <w:pStyle w:val="berschrift1"/>
      </w:pPr>
      <w:r w:rsidRPr="00902A3E">
        <w:t>RESULTS AND DISCUSSION</w:t>
      </w:r>
    </w:p>
    <w:p w14:paraId="253BF90B" w14:textId="77777777" w:rsidR="003A5EDF" w:rsidRDefault="00000000">
      <w:pPr>
        <w:pStyle w:val="Paragraph"/>
        <w:jc w:val="left"/>
      </w:pPr>
      <w:r>
        <w:t xml:space="preserve">First, let us present the results calculated based on the values </w:t>
      </w:r>
      <w:r>
        <w:rPr>
          <w:rFonts w:ascii="Cambria Math" w:hAnsi="Cambria Math" w:cs="Cambria Math"/>
        </w:rPr>
        <w:t>𝜇</w:t>
      </w:r>
      <w:r>
        <w:rPr>
          <w:vertAlign w:val="subscript"/>
        </w:rPr>
        <w:t>1</w:t>
      </w:r>
      <w:r>
        <w:t xml:space="preserve">=0.055, </w:t>
      </w:r>
      <w:r>
        <w:rPr>
          <w:rFonts w:ascii="Cambria Math" w:hAnsi="Cambria Math" w:cs="Cambria Math"/>
        </w:rPr>
        <w:t>𝜇</w:t>
      </w:r>
      <w:r>
        <w:rPr>
          <w:vertAlign w:val="subscript"/>
        </w:rPr>
        <w:t>2</w:t>
      </w:r>
      <w:r>
        <w:t xml:space="preserve">=0.054, </w:t>
      </w:r>
      <w:r>
        <w:rPr>
          <w:rFonts w:ascii="Cambria Math" w:hAnsi="Cambria Math" w:cs="Cambria Math"/>
        </w:rPr>
        <w:t>𝜑</w:t>
      </w:r>
      <w:r>
        <w:t>=0˚, i.e., for flat plates. Let the motion of the lower plate be defined as follows:</w:t>
      </w:r>
    </w:p>
    <w:p w14:paraId="08CDD4FF" w14:textId="77777777" w:rsidR="003A5EDF" w:rsidRDefault="00000000">
      <w:pPr>
        <w:pStyle w:val="Equation"/>
        <w:rPr>
          <w:lang w:val="en-GB"/>
        </w:rPr>
      </w:pPr>
      <w:r>
        <w:tab/>
      </w:r>
      <m:oMath>
        <m:sSub>
          <m:sSubPr>
            <m:ctrlPr>
              <w:rPr>
                <w:rFonts w:ascii="Cambria Math" w:hAnsi="Cambria Math"/>
              </w:rPr>
            </m:ctrlPr>
          </m:sSubPr>
          <m:e>
            <m:r>
              <w:rPr>
                <w:rFonts w:ascii="Cambria Math" w:hAnsi="Cambria Math"/>
              </w:rPr>
              <m:t>u</m:t>
            </m:r>
          </m:e>
          <m:sub>
            <m:r>
              <w:rPr>
                <w:rFonts w:ascii="Cambria Math" w:hAnsi="Cambria Math"/>
              </w:rPr>
              <m:t>2</m:t>
            </m:r>
          </m:sub>
        </m:sSub>
        <m:r>
          <w:rPr>
            <w:rFonts w:ascii="Cambria Math" w:hAnsi="Cambria Math"/>
          </w:rPr>
          <m:t>=</m:t>
        </m:r>
        <m:eqArr>
          <m:eqArrPr>
            <m:ctrlPr>
              <w:rPr>
                <w:rFonts w:ascii="Cambria Math" w:hAnsi="Cambria Math"/>
              </w:rPr>
            </m:ctrlPr>
          </m:eqArrPr>
          <m:e>
            <m:d>
              <m:dPr>
                <m:begChr m:val="{"/>
                <m:endChr m:val=""/>
                <m:ctrlPr>
                  <w:rPr>
                    <w:rFonts w:ascii="Cambria Math" w:hAnsi="Cambria Math"/>
                  </w:rPr>
                </m:ctrlPr>
              </m:dPr>
              <m:e>
                <m:f>
                  <m:fPr>
                    <m:ctrlPr>
                      <w:rPr>
                        <w:rFonts w:ascii="Cambria Math" w:hAnsi="Cambria Math"/>
                      </w:rPr>
                    </m:ctrlPr>
                  </m:fPr>
                  <m:num>
                    <m:r>
                      <m:rPr>
                        <m:lit/>
                        <m:nor/>
                      </m:rPr>
                      <w:rPr>
                        <w:rFonts w:ascii="Cambria Math" w:hAnsi="Cambria Math"/>
                      </w:rPr>
                      <m:t>At</m:t>
                    </m:r>
                  </m:num>
                  <m:den>
                    <m:sSub>
                      <m:sSubPr>
                        <m:ctrlPr>
                          <w:rPr>
                            <w:rFonts w:ascii="Cambria Math" w:hAnsi="Cambria Math"/>
                          </w:rPr>
                        </m:ctrlPr>
                      </m:sSubPr>
                      <m:e>
                        <m:r>
                          <w:rPr>
                            <w:rFonts w:ascii="Cambria Math" w:hAnsi="Cambria Math"/>
                          </w:rPr>
                          <m:t>t</m:t>
                        </m:r>
                      </m:e>
                      <m:sub>
                        <m:r>
                          <w:rPr>
                            <w:rFonts w:ascii="Cambria Math" w:hAnsi="Cambria Math"/>
                          </w:rPr>
                          <m:t>0</m:t>
                        </m:r>
                      </m:sub>
                    </m:sSub>
                  </m:den>
                </m:f>
                <m:r>
                  <m:rPr>
                    <m:lit/>
                    <m:nor/>
                  </m:rPr>
                  <w:rPr>
                    <w:rFonts w:ascii="Cambria Math" w:hAnsi="Cambria Math"/>
                  </w:rPr>
                  <m:t>sin</m:t>
                </m:r>
                <m:d>
                  <m:dPr>
                    <m:ctrlPr>
                      <w:rPr>
                        <w:rFonts w:ascii="Cambria Math" w:hAnsi="Cambria Math"/>
                      </w:rPr>
                    </m:ctrlPr>
                  </m:dPr>
                  <m:e>
                    <m:r>
                      <w:rPr>
                        <w:rFonts w:ascii="Cambria Math" w:hAnsi="Cambria Math"/>
                      </w:rPr>
                      <m:t>ωt</m:t>
                    </m:r>
                  </m:e>
                </m:d>
                <m:r>
                  <w:rPr>
                    <w:rFonts w:ascii="Cambria Math" w:hAnsi="Cambria Math"/>
                  </w:rPr>
                  <m:t>, t≤</m:t>
                </m:r>
                <m:sSub>
                  <m:sSubPr>
                    <m:ctrlPr>
                      <w:rPr>
                        <w:rFonts w:ascii="Cambria Math" w:hAnsi="Cambria Math"/>
                      </w:rPr>
                    </m:ctrlPr>
                  </m:sSubPr>
                  <m:e>
                    <m:r>
                      <w:rPr>
                        <w:rFonts w:ascii="Cambria Math" w:hAnsi="Cambria Math"/>
                      </w:rPr>
                      <m:t>t</m:t>
                    </m:r>
                  </m:e>
                  <m:sub>
                    <m:r>
                      <w:rPr>
                        <w:rFonts w:ascii="Cambria Math" w:hAnsi="Cambria Math"/>
                      </w:rPr>
                      <m:t>0</m:t>
                    </m:r>
                  </m:sub>
                </m:sSub>
              </m:e>
              <m:e/>
            </m:d>
          </m:e>
        </m:eqArr>
      </m:oMath>
      <w:r>
        <w:tab/>
      </w:r>
    </w:p>
    <w:p w14:paraId="5B70DE60" w14:textId="77777777" w:rsidR="003A5EDF" w:rsidRDefault="00000000">
      <w:pPr>
        <w:pStyle w:val="Paragraph"/>
      </w:pPr>
      <w:r>
        <w:t xml:space="preserve">In this case, the maximum displacement amplitude of the lower base is </w:t>
      </w:r>
      <w:r>
        <w:rPr>
          <w:i/>
          <w:iCs/>
        </w:rPr>
        <w:t>A</w:t>
      </w:r>
      <w:r>
        <w:t xml:space="preserve">=0.1 </w:t>
      </w:r>
      <w:r>
        <w:rPr>
          <w:i/>
          <w:iCs/>
        </w:rPr>
        <w:t>m</w:t>
      </w:r>
      <w:r>
        <w:t xml:space="preserve">, the circular oscillation frequency is </w:t>
      </w:r>
      <w:r>
        <w:rPr>
          <w:rFonts w:ascii="Cambria Math" w:hAnsi="Cambria Math" w:cs="Cambria Math"/>
        </w:rPr>
        <w:t>𝜔</w:t>
      </w:r>
      <w:r>
        <w:t>=2</w:t>
      </w:r>
      <w:r>
        <w:rPr>
          <w:rFonts w:ascii="Cambria Math" w:hAnsi="Cambria Math" w:cs="Cambria Math"/>
        </w:rPr>
        <w:t>𝜋</w:t>
      </w:r>
      <w:r>
        <w:t xml:space="preserve"> </w:t>
      </w:r>
      <w:r>
        <w:rPr>
          <w:i/>
          <w:iCs/>
        </w:rPr>
        <w:t>rad/s</w:t>
      </w:r>
      <w:r>
        <w:t xml:space="preserve"> and </w:t>
      </w:r>
      <w:r>
        <w:rPr>
          <w:i/>
        </w:rPr>
        <w:t>t</w:t>
      </w:r>
      <w:r>
        <w:rPr>
          <w:vertAlign w:val="subscript"/>
        </w:rPr>
        <w:t>0</w:t>
      </w:r>
      <w:r>
        <w:t xml:space="preserve">=6 </w:t>
      </w:r>
      <w:r>
        <w:rPr>
          <w:i/>
        </w:rPr>
        <w:t>s</w:t>
      </w:r>
      <w:r>
        <w:t>.</w:t>
      </w:r>
    </w:p>
    <w:p w14:paraId="140FFB5E" w14:textId="402B5706" w:rsidR="003A5EDF" w:rsidRDefault="00000000">
      <w:pPr>
        <w:pStyle w:val="Paragraph"/>
        <w:rPr>
          <w:iCs/>
        </w:rPr>
      </w:pPr>
      <w:r>
        <w:t>Fig</w:t>
      </w:r>
      <w:r w:rsidR="00721D07">
        <w:t>ure</w:t>
      </w:r>
      <w:r>
        <w:t xml:space="preserve"> 4 shows graphs of the displacements, velocities, and accelerations of the upper and lower plates over a period of 15 seconds. In this case </w:t>
      </w:r>
      <w:r>
        <w:rPr>
          <w:i/>
          <w:iCs/>
        </w:rPr>
        <w:t>|u</w:t>
      </w:r>
      <w:r>
        <w:rPr>
          <w:iCs/>
          <w:vertAlign w:val="subscript"/>
        </w:rPr>
        <w:t>1</w:t>
      </w:r>
      <w:r>
        <w:rPr>
          <w:i/>
          <w:iCs/>
        </w:rPr>
        <w:t>|</w:t>
      </w:r>
      <w:r>
        <w:rPr>
          <w:i/>
          <w:iCs/>
          <w:vertAlign w:val="subscript"/>
        </w:rPr>
        <w:t>max</w:t>
      </w:r>
      <w:r>
        <w:t xml:space="preserve">=0.026 </w:t>
      </w:r>
      <w:r>
        <w:rPr>
          <w:i/>
          <w:iCs/>
        </w:rPr>
        <w:t>m</w:t>
      </w:r>
      <w:r>
        <w:t xml:space="preserve">, </w:t>
      </w:r>
      <w:r>
        <w:rPr>
          <w:i/>
          <w:iCs/>
        </w:rPr>
        <w:t>u</w:t>
      </w:r>
      <w:r>
        <w:rPr>
          <w:i/>
          <w:vertAlign w:val="subscript"/>
        </w:rPr>
        <w:t>2</w:t>
      </w:r>
      <w:r>
        <w:rPr>
          <w:i/>
          <w:iCs/>
          <w:vertAlign w:val="subscript"/>
        </w:rPr>
        <w:t>max</w:t>
      </w:r>
      <w:r>
        <w:t xml:space="preserve">=0.1 </w:t>
      </w:r>
      <w:r>
        <w:rPr>
          <w:i/>
          <w:iCs/>
        </w:rPr>
        <w:t>m</w:t>
      </w:r>
      <w:r>
        <w:t>, |</w:t>
      </w:r>
      <w:r>
        <w:rPr>
          <w:i/>
          <w:iCs/>
        </w:rPr>
        <w:t>v</w:t>
      </w:r>
      <w:r>
        <w:rPr>
          <w:vertAlign w:val="subscript"/>
        </w:rPr>
        <w:t>1</w:t>
      </w:r>
      <w:r>
        <w:t>|</w:t>
      </w:r>
      <w:r>
        <w:rPr>
          <w:i/>
          <w:iCs/>
          <w:vertAlign w:val="subscript"/>
        </w:rPr>
        <w:t>max</w:t>
      </w:r>
      <w:r>
        <w:t xml:space="preserve">=0.16 </w:t>
      </w:r>
      <w:r>
        <w:rPr>
          <w:i/>
          <w:iCs/>
        </w:rPr>
        <w:t>m/s</w:t>
      </w:r>
      <w:r>
        <w:t xml:space="preserve">, </w:t>
      </w:r>
      <w:r>
        <w:rPr>
          <w:i/>
          <w:iCs/>
        </w:rPr>
        <w:t>v</w:t>
      </w:r>
      <w:r>
        <w:rPr>
          <w:vertAlign w:val="subscript"/>
        </w:rPr>
        <w:t>2</w:t>
      </w:r>
      <w:r>
        <w:rPr>
          <w:i/>
          <w:iCs/>
          <w:vertAlign w:val="subscript"/>
        </w:rPr>
        <w:t>max</w:t>
      </w:r>
      <w:r>
        <w:t xml:space="preserve">=0.62 </w:t>
      </w:r>
      <w:r>
        <w:rPr>
          <w:i/>
          <w:iCs/>
        </w:rPr>
        <w:t xml:space="preserve">m/s, </w:t>
      </w:r>
      <w:r>
        <w:rPr>
          <w:i/>
          <w:iCs/>
          <w:lang w:val="en-GB"/>
        </w:rPr>
        <w:t>w</w:t>
      </w:r>
      <w:r>
        <w:rPr>
          <w:iCs/>
          <w:vertAlign w:val="subscript"/>
        </w:rPr>
        <w:t>1</w:t>
      </w:r>
      <w:r>
        <w:rPr>
          <w:i/>
          <w:iCs/>
          <w:vertAlign w:val="subscript"/>
          <w:lang w:val="en-GB"/>
        </w:rPr>
        <w:t>max</w:t>
      </w:r>
      <w:r>
        <w:rPr>
          <w:i/>
          <w:iCs/>
        </w:rPr>
        <w:t>=</w:t>
      </w:r>
      <w:r>
        <w:rPr>
          <w:iCs/>
        </w:rPr>
        <w:t>1.08</w:t>
      </w:r>
      <w:r>
        <w:rPr>
          <w:i/>
          <w:iCs/>
        </w:rPr>
        <w:t xml:space="preserve"> </w:t>
      </w:r>
      <w:r>
        <w:rPr>
          <w:i/>
          <w:iCs/>
          <w:lang w:val="en-GB"/>
        </w:rPr>
        <w:t>m</w:t>
      </w:r>
      <w:r>
        <w:rPr>
          <w:i/>
          <w:iCs/>
        </w:rPr>
        <w:t>/</w:t>
      </w:r>
      <w:r>
        <w:rPr>
          <w:i/>
          <w:iCs/>
          <w:lang w:val="en-GB"/>
        </w:rPr>
        <w:t>s</w:t>
      </w:r>
      <w:r>
        <w:rPr>
          <w:i/>
          <w:iCs/>
          <w:vertAlign w:val="superscript"/>
        </w:rPr>
        <w:t>2</w:t>
      </w:r>
      <w:r>
        <w:rPr>
          <w:i/>
          <w:iCs/>
        </w:rPr>
        <w:t xml:space="preserve">, </w:t>
      </w:r>
      <w:r>
        <w:rPr>
          <w:i/>
          <w:iCs/>
          <w:lang w:val="en-GB"/>
        </w:rPr>
        <w:t>w</w:t>
      </w:r>
      <w:r>
        <w:rPr>
          <w:iCs/>
          <w:vertAlign w:val="subscript"/>
        </w:rPr>
        <w:t>2</w:t>
      </w:r>
      <w:r>
        <w:rPr>
          <w:i/>
          <w:iCs/>
          <w:vertAlign w:val="subscript"/>
          <w:lang w:val="en-GB"/>
        </w:rPr>
        <w:t>max</w:t>
      </w:r>
      <w:r>
        <w:rPr>
          <w:i/>
          <w:iCs/>
        </w:rPr>
        <w:t>=</w:t>
      </w:r>
      <w:r>
        <w:rPr>
          <w:iCs/>
        </w:rPr>
        <w:t>3.91</w:t>
      </w:r>
      <w:r>
        <w:rPr>
          <w:i/>
          <w:iCs/>
        </w:rPr>
        <w:t> </w:t>
      </w:r>
      <w:r>
        <w:rPr>
          <w:i/>
          <w:iCs/>
          <w:lang w:val="en-GB"/>
        </w:rPr>
        <w:t>m</w:t>
      </w:r>
      <w:r>
        <w:rPr>
          <w:i/>
          <w:iCs/>
        </w:rPr>
        <w:t>/</w:t>
      </w:r>
      <w:r>
        <w:rPr>
          <w:i/>
          <w:iCs/>
          <w:lang w:val="en-GB"/>
        </w:rPr>
        <w:t>s</w:t>
      </w:r>
      <w:r>
        <w:rPr>
          <w:i/>
          <w:iCs/>
          <w:vertAlign w:val="superscript"/>
        </w:rPr>
        <w:t>2</w:t>
      </w:r>
      <w:r>
        <w:rPr>
          <w:i/>
          <w:iCs/>
        </w:rPr>
        <w:t>.</w:t>
      </w:r>
      <w:r>
        <w:rPr>
          <w:iCs/>
        </w:rPr>
        <w:t xml:space="preserve"> The results show that the maximum displacement values differ by a factor of 3.8, the maximum velocity values by a factor of 3.9, and the maximum acceleration values by a factor of 3.6.</w:t>
      </w:r>
    </w:p>
    <w:p w14:paraId="442B0D9B" w14:textId="77777777" w:rsidR="003A5EDF" w:rsidRDefault="003A5EDF">
      <w:pPr>
        <w:pStyle w:val="Paragraph"/>
      </w:pPr>
    </w:p>
    <w:tbl>
      <w:tblPr>
        <w:tblStyle w:val="Tabellenraster"/>
        <w:tblW w:w="9293" w:type="dxa"/>
        <w:tblLayout w:type="fixed"/>
        <w:tblLook w:val="04A0" w:firstRow="1" w:lastRow="0" w:firstColumn="1" w:lastColumn="0" w:noHBand="0" w:noVBand="1"/>
      </w:tblPr>
      <w:tblGrid>
        <w:gridCol w:w="4687"/>
        <w:gridCol w:w="4606"/>
      </w:tblGrid>
      <w:tr w:rsidR="003A5EDF" w14:paraId="4498CF80" w14:textId="77777777">
        <w:trPr>
          <w:trHeight w:val="1726"/>
        </w:trPr>
        <w:tc>
          <w:tcPr>
            <w:tcW w:w="4686" w:type="dxa"/>
            <w:tcBorders>
              <w:top w:val="nil"/>
              <w:left w:val="nil"/>
              <w:bottom w:val="nil"/>
              <w:right w:val="nil"/>
            </w:tcBorders>
            <w:vAlign w:val="center"/>
          </w:tcPr>
          <w:p w14:paraId="42B5BF96" w14:textId="77777777" w:rsidR="003A5EDF" w:rsidRDefault="00000000">
            <w:pPr>
              <w:pStyle w:val="Paragraph"/>
              <w:ind w:firstLine="0"/>
              <w:jc w:val="center"/>
            </w:pPr>
            <w:r>
              <w:rPr>
                <w:noProof/>
              </w:rPr>
              <w:drawing>
                <wp:inline distT="0" distB="0" distL="0" distR="0" wp14:anchorId="36EB140D" wp14:editId="736CFBCE">
                  <wp:extent cx="2832735" cy="10795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1"/>
                          <a:stretch>
                            <a:fillRect/>
                          </a:stretch>
                        </pic:blipFill>
                        <pic:spPr bwMode="auto">
                          <a:xfrm>
                            <a:off x="0" y="0"/>
                            <a:ext cx="2832735" cy="1079500"/>
                          </a:xfrm>
                          <a:prstGeom prst="rect">
                            <a:avLst/>
                          </a:prstGeom>
                        </pic:spPr>
                      </pic:pic>
                    </a:graphicData>
                  </a:graphic>
                </wp:inline>
              </w:drawing>
            </w:r>
          </w:p>
        </w:tc>
        <w:tc>
          <w:tcPr>
            <w:tcW w:w="4606" w:type="dxa"/>
            <w:tcBorders>
              <w:top w:val="nil"/>
              <w:left w:val="nil"/>
              <w:bottom w:val="nil"/>
              <w:right w:val="nil"/>
            </w:tcBorders>
            <w:vAlign w:val="center"/>
          </w:tcPr>
          <w:p w14:paraId="5183B3E2" w14:textId="77777777" w:rsidR="003A5EDF" w:rsidRDefault="00000000">
            <w:pPr>
              <w:pStyle w:val="Paragraph"/>
              <w:ind w:firstLine="0"/>
              <w:jc w:val="center"/>
            </w:pPr>
            <w:r>
              <w:rPr>
                <w:noProof/>
              </w:rPr>
              <w:drawing>
                <wp:inline distT="0" distB="0" distL="0" distR="0" wp14:anchorId="3704F9CF" wp14:editId="54F04A4C">
                  <wp:extent cx="2788285" cy="10795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2"/>
                          <a:stretch>
                            <a:fillRect/>
                          </a:stretch>
                        </pic:blipFill>
                        <pic:spPr bwMode="auto">
                          <a:xfrm>
                            <a:off x="0" y="0"/>
                            <a:ext cx="2788285" cy="1079500"/>
                          </a:xfrm>
                          <a:prstGeom prst="rect">
                            <a:avLst/>
                          </a:prstGeom>
                        </pic:spPr>
                      </pic:pic>
                    </a:graphicData>
                  </a:graphic>
                </wp:inline>
              </w:drawing>
            </w:r>
          </w:p>
        </w:tc>
      </w:tr>
      <w:tr w:rsidR="003A5EDF" w14:paraId="07D97B1F" w14:textId="77777777">
        <w:trPr>
          <w:trHeight w:val="239"/>
        </w:trPr>
        <w:tc>
          <w:tcPr>
            <w:tcW w:w="4686" w:type="dxa"/>
            <w:tcBorders>
              <w:top w:val="nil"/>
              <w:left w:val="nil"/>
              <w:bottom w:val="nil"/>
              <w:right w:val="nil"/>
            </w:tcBorders>
            <w:vAlign w:val="center"/>
          </w:tcPr>
          <w:p w14:paraId="355D38A5" w14:textId="77777777" w:rsidR="003A5EDF" w:rsidRDefault="00000000">
            <w:pPr>
              <w:pStyle w:val="Paragraph"/>
              <w:ind w:firstLine="0"/>
              <w:jc w:val="center"/>
            </w:pPr>
            <w:r>
              <w:t>(a)</w:t>
            </w:r>
          </w:p>
        </w:tc>
        <w:tc>
          <w:tcPr>
            <w:tcW w:w="4606" w:type="dxa"/>
            <w:tcBorders>
              <w:top w:val="nil"/>
              <w:left w:val="nil"/>
              <w:bottom w:val="nil"/>
              <w:right w:val="nil"/>
            </w:tcBorders>
            <w:vAlign w:val="center"/>
          </w:tcPr>
          <w:p w14:paraId="5452CEEF" w14:textId="77777777" w:rsidR="003A5EDF" w:rsidRDefault="00000000">
            <w:pPr>
              <w:pStyle w:val="Paragraph"/>
              <w:ind w:firstLine="0"/>
              <w:jc w:val="center"/>
            </w:pPr>
            <w:r>
              <w:t>(b)</w:t>
            </w:r>
          </w:p>
        </w:tc>
      </w:tr>
      <w:tr w:rsidR="003A5EDF" w14:paraId="04137872" w14:textId="77777777">
        <w:trPr>
          <w:trHeight w:val="1726"/>
        </w:trPr>
        <w:tc>
          <w:tcPr>
            <w:tcW w:w="9292" w:type="dxa"/>
            <w:gridSpan w:val="2"/>
            <w:tcBorders>
              <w:top w:val="nil"/>
              <w:left w:val="nil"/>
              <w:bottom w:val="nil"/>
              <w:right w:val="nil"/>
            </w:tcBorders>
            <w:vAlign w:val="center"/>
          </w:tcPr>
          <w:p w14:paraId="3D551500" w14:textId="77777777" w:rsidR="003A5EDF" w:rsidRDefault="00000000">
            <w:pPr>
              <w:pStyle w:val="Paragraph"/>
              <w:ind w:firstLine="0"/>
              <w:jc w:val="center"/>
            </w:pPr>
            <w:r>
              <w:rPr>
                <w:noProof/>
              </w:rPr>
              <w:drawing>
                <wp:inline distT="0" distB="0" distL="0" distR="0" wp14:anchorId="215F261F" wp14:editId="5A4624F0">
                  <wp:extent cx="2657475" cy="108013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3"/>
                          <a:stretch>
                            <a:fillRect/>
                          </a:stretch>
                        </pic:blipFill>
                        <pic:spPr bwMode="auto">
                          <a:xfrm>
                            <a:off x="0" y="0"/>
                            <a:ext cx="2657475" cy="1080135"/>
                          </a:xfrm>
                          <a:prstGeom prst="rect">
                            <a:avLst/>
                          </a:prstGeom>
                        </pic:spPr>
                      </pic:pic>
                    </a:graphicData>
                  </a:graphic>
                </wp:inline>
              </w:drawing>
            </w:r>
          </w:p>
        </w:tc>
      </w:tr>
      <w:tr w:rsidR="003A5EDF" w14:paraId="7B6C7E2E" w14:textId="77777777">
        <w:trPr>
          <w:trHeight w:val="239"/>
        </w:trPr>
        <w:tc>
          <w:tcPr>
            <w:tcW w:w="9292" w:type="dxa"/>
            <w:gridSpan w:val="2"/>
            <w:tcBorders>
              <w:top w:val="nil"/>
              <w:left w:val="nil"/>
              <w:bottom w:val="nil"/>
              <w:right w:val="nil"/>
            </w:tcBorders>
            <w:vAlign w:val="center"/>
          </w:tcPr>
          <w:p w14:paraId="7A005FEA" w14:textId="77777777" w:rsidR="003A5EDF" w:rsidRDefault="00000000">
            <w:pPr>
              <w:pStyle w:val="Paragraph"/>
              <w:ind w:firstLine="0"/>
              <w:jc w:val="center"/>
            </w:pPr>
            <w:r>
              <w:t>(c)</w:t>
            </w:r>
          </w:p>
        </w:tc>
      </w:tr>
    </w:tbl>
    <w:p w14:paraId="0C319364" w14:textId="77777777" w:rsidR="003A5EDF" w:rsidRDefault="00000000">
      <w:pPr>
        <w:pStyle w:val="FigureCaption"/>
      </w:pPr>
      <w:bookmarkStart w:id="5" w:name="_Hlk209712459"/>
      <w:bookmarkStart w:id="6" w:name="_Hlk210051402"/>
      <w:bookmarkStart w:id="7" w:name="_Hlk209712485"/>
      <w:bookmarkEnd w:id="5"/>
      <w:r>
        <w:rPr>
          <w:b/>
          <w:caps/>
        </w:rPr>
        <w:t xml:space="preserve">Figure </w:t>
      </w:r>
      <w:bookmarkEnd w:id="6"/>
      <w:r>
        <w:rPr>
          <w:b/>
          <w:caps/>
        </w:rPr>
        <w:t>3.</w:t>
      </w:r>
      <w:r>
        <w:t xml:space="preserve"> </w:t>
      </w:r>
      <w:bookmarkEnd w:id="7"/>
      <w:r>
        <w:t>Displacements (a), velocities (b), and accelerations (c) of the upper (1) and lower (2) plates.</w:t>
      </w:r>
    </w:p>
    <w:p w14:paraId="64F00D5C" w14:textId="77777777" w:rsidR="003A5EDF" w:rsidRDefault="003A5EDF">
      <w:pPr>
        <w:pStyle w:val="Paragraph"/>
      </w:pPr>
    </w:p>
    <w:p w14:paraId="683D7ECD" w14:textId="7620D9C9" w:rsidR="003A5EDF" w:rsidRDefault="00000000">
      <w:pPr>
        <w:pStyle w:val="Paragraph"/>
      </w:pPr>
      <w:r>
        <w:t>Fig</w:t>
      </w:r>
      <w:r w:rsidR="00721D07">
        <w:t>ure</w:t>
      </w:r>
      <w:r>
        <w:t xml:space="preserve"> 3 shows when </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oMath>
      <w:r>
        <w:t xml:space="preserve"> acceleration </w:t>
      </w:r>
      <w:r>
        <w:rPr>
          <w:i/>
        </w:rPr>
        <w:t>w</w:t>
      </w:r>
      <w:r>
        <w:rPr>
          <w:vertAlign w:val="subscript"/>
        </w:rPr>
        <w:t>1</w:t>
      </w:r>
      <w:r>
        <w:t xml:space="preserve"> is determined by the rolling friction forces acting on the contacts between the cylinder and the upper and lower plates.</w:t>
      </w:r>
    </w:p>
    <w:p w14:paraId="1A366C65" w14:textId="0BFB093E" w:rsidR="003A5EDF" w:rsidRDefault="00000000">
      <w:pPr>
        <w:pStyle w:val="Paragraph"/>
      </w:pPr>
      <w:r>
        <w:t>Fig</w:t>
      </w:r>
      <w:r w:rsidR="00721D07">
        <w:t>ure</w:t>
      </w:r>
      <w:r>
        <w:t xml:space="preserve"> 4 shows the results of calculations for lower rolling friction coefficients, i.e., </w:t>
      </w:r>
      <w:r>
        <w:rPr>
          <w:rFonts w:ascii="Cambria Math" w:hAnsi="Cambria Math" w:cs="Cambria Math"/>
        </w:rPr>
        <w:t>𝜇</w:t>
      </w:r>
      <w:r>
        <w:rPr>
          <w:vertAlign w:val="subscript"/>
        </w:rPr>
        <w:t>1</w:t>
      </w:r>
      <w:r>
        <w:t xml:space="preserve">=0.023, </w:t>
      </w:r>
      <w:r>
        <w:rPr>
          <w:rFonts w:ascii="Cambria Math" w:hAnsi="Cambria Math" w:cs="Cambria Math"/>
        </w:rPr>
        <w:t>𝜇</w:t>
      </w:r>
      <w:r>
        <w:rPr>
          <w:vertAlign w:val="subscript"/>
        </w:rPr>
        <w:t>2</w:t>
      </w:r>
      <w:r>
        <w:t>=0.024. In this case |</w:t>
      </w:r>
      <w:r>
        <w:rPr>
          <w:i/>
          <w:iCs/>
        </w:rPr>
        <w:t>u</w:t>
      </w:r>
      <w:r>
        <w:rPr>
          <w:iCs/>
          <w:vertAlign w:val="subscript"/>
        </w:rPr>
        <w:t>1</w:t>
      </w:r>
      <w:r>
        <w:rPr>
          <w:iCs/>
        </w:rPr>
        <w:t>|</w:t>
      </w:r>
      <w:r>
        <w:rPr>
          <w:i/>
          <w:iCs/>
          <w:vertAlign w:val="subscript"/>
        </w:rPr>
        <w:t>max</w:t>
      </w:r>
      <w:r>
        <w:t xml:space="preserve">=0.001 </w:t>
      </w:r>
      <w:r>
        <w:rPr>
          <w:i/>
          <w:iCs/>
        </w:rPr>
        <w:t>m</w:t>
      </w:r>
      <w:r>
        <w:t xml:space="preserve">, </w:t>
      </w:r>
      <w:r>
        <w:rPr>
          <w:i/>
          <w:iCs/>
        </w:rPr>
        <w:t>u</w:t>
      </w:r>
      <w:r>
        <w:rPr>
          <w:vertAlign w:val="subscript"/>
        </w:rPr>
        <w:t>2</w:t>
      </w:r>
      <w:r>
        <w:rPr>
          <w:i/>
          <w:iCs/>
          <w:vertAlign w:val="subscript"/>
        </w:rPr>
        <w:t>max</w:t>
      </w:r>
      <w:r>
        <w:t xml:space="preserve">=0.1 </w:t>
      </w:r>
      <w:r>
        <w:rPr>
          <w:i/>
          <w:iCs/>
        </w:rPr>
        <w:t>m</w:t>
      </w:r>
      <w:r>
        <w:t>, |</w:t>
      </w:r>
      <w:r>
        <w:rPr>
          <w:i/>
          <w:iCs/>
        </w:rPr>
        <w:t>v</w:t>
      </w:r>
      <w:r>
        <w:rPr>
          <w:vertAlign w:val="subscript"/>
        </w:rPr>
        <w:t>1</w:t>
      </w:r>
      <w:r>
        <w:t>|</w:t>
      </w:r>
      <w:r>
        <w:rPr>
          <w:i/>
          <w:iCs/>
          <w:vertAlign w:val="subscript"/>
        </w:rPr>
        <w:t>max</w:t>
      </w:r>
      <w:r>
        <w:t xml:space="preserve">=0.06 </w:t>
      </w:r>
      <w:r>
        <w:rPr>
          <w:i/>
          <w:iCs/>
        </w:rPr>
        <w:t>m/s</w:t>
      </w:r>
      <w:r>
        <w:t xml:space="preserve">, </w:t>
      </w:r>
      <w:r>
        <w:rPr>
          <w:i/>
          <w:iCs/>
        </w:rPr>
        <w:t>v</w:t>
      </w:r>
      <w:r>
        <w:rPr>
          <w:vertAlign w:val="subscript"/>
        </w:rPr>
        <w:t>2</w:t>
      </w:r>
      <w:r>
        <w:rPr>
          <w:i/>
          <w:iCs/>
          <w:vertAlign w:val="subscript"/>
        </w:rPr>
        <w:t>max</w:t>
      </w:r>
      <w:r>
        <w:t xml:space="preserve">=0.62 </w:t>
      </w:r>
      <w:r>
        <w:rPr>
          <w:i/>
          <w:iCs/>
        </w:rPr>
        <w:t xml:space="preserve">m/s, </w:t>
      </w:r>
      <w:r>
        <w:rPr>
          <w:i/>
          <w:iCs/>
          <w:lang w:val="en-GB"/>
        </w:rPr>
        <w:t>w</w:t>
      </w:r>
      <w:r>
        <w:rPr>
          <w:iCs/>
          <w:vertAlign w:val="subscript"/>
        </w:rPr>
        <w:t>1</w:t>
      </w:r>
      <w:r>
        <w:rPr>
          <w:i/>
          <w:iCs/>
          <w:vertAlign w:val="subscript"/>
          <w:lang w:val="en-GB"/>
        </w:rPr>
        <w:t>max</w:t>
      </w:r>
      <w:r>
        <w:rPr>
          <w:i/>
          <w:iCs/>
        </w:rPr>
        <w:t>=</w:t>
      </w:r>
      <w:r>
        <w:rPr>
          <w:iCs/>
        </w:rPr>
        <w:t>0.43</w:t>
      </w:r>
      <w:r>
        <w:rPr>
          <w:i/>
          <w:iCs/>
        </w:rPr>
        <w:t> </w:t>
      </w:r>
      <w:r>
        <w:rPr>
          <w:i/>
          <w:iCs/>
          <w:lang w:val="en-GB"/>
        </w:rPr>
        <w:t>m</w:t>
      </w:r>
      <w:r>
        <w:rPr>
          <w:i/>
          <w:iCs/>
        </w:rPr>
        <w:t>/</w:t>
      </w:r>
      <w:r>
        <w:rPr>
          <w:i/>
          <w:iCs/>
          <w:lang w:val="en-GB"/>
        </w:rPr>
        <w:t>s</w:t>
      </w:r>
      <w:r>
        <w:rPr>
          <w:i/>
          <w:iCs/>
          <w:vertAlign w:val="superscript"/>
        </w:rPr>
        <w:t>2</w:t>
      </w:r>
      <w:r>
        <w:rPr>
          <w:i/>
          <w:iCs/>
        </w:rPr>
        <w:t xml:space="preserve">, </w:t>
      </w:r>
      <w:r>
        <w:rPr>
          <w:i/>
          <w:iCs/>
          <w:lang w:val="en-GB"/>
        </w:rPr>
        <w:t>w</w:t>
      </w:r>
      <w:r>
        <w:rPr>
          <w:iCs/>
          <w:vertAlign w:val="subscript"/>
        </w:rPr>
        <w:t>2</w:t>
      </w:r>
      <w:r>
        <w:rPr>
          <w:i/>
          <w:iCs/>
          <w:vertAlign w:val="subscript"/>
          <w:lang w:val="en-GB"/>
        </w:rPr>
        <w:t>max</w:t>
      </w:r>
      <w:r>
        <w:rPr>
          <w:i/>
          <w:iCs/>
        </w:rPr>
        <w:t>=</w:t>
      </w:r>
      <w:r>
        <w:rPr>
          <w:iCs/>
        </w:rPr>
        <w:t>3.91</w:t>
      </w:r>
      <w:r>
        <w:rPr>
          <w:i/>
          <w:iCs/>
        </w:rPr>
        <w:t> </w:t>
      </w:r>
      <w:r>
        <w:rPr>
          <w:i/>
          <w:iCs/>
          <w:lang w:val="en-GB"/>
        </w:rPr>
        <w:t>m</w:t>
      </w:r>
      <w:r>
        <w:rPr>
          <w:i/>
          <w:iCs/>
        </w:rPr>
        <w:t>/</w:t>
      </w:r>
      <w:r>
        <w:rPr>
          <w:i/>
          <w:iCs/>
          <w:lang w:val="en-GB"/>
        </w:rPr>
        <w:t>s</w:t>
      </w:r>
      <w:r>
        <w:rPr>
          <w:i/>
          <w:iCs/>
          <w:vertAlign w:val="superscript"/>
        </w:rPr>
        <w:t>2</w:t>
      </w:r>
      <w:r>
        <w:rPr>
          <w:i/>
          <w:iCs/>
        </w:rPr>
        <w:t>.</w:t>
      </w:r>
      <w:r>
        <w:rPr>
          <w:iCs/>
        </w:rPr>
        <w:t xml:space="preserve"> The results show that the maximum displacement values differ by a factor of 10, the maximum velocity values by a factor of 10.3, and the maximum acceleration values by a factor of 9.8.</w:t>
      </w:r>
    </w:p>
    <w:p w14:paraId="4EE9D115" w14:textId="77777777" w:rsidR="00721D07" w:rsidRDefault="00721D07" w:rsidP="00721D07">
      <w:pPr>
        <w:pStyle w:val="Paragraph"/>
      </w:pPr>
      <w:r>
        <w:t xml:space="preserve">Figures 3 and 4 show that as the rolling friction coefficients decrease, the maximum values of displacement, velocity, and acceleration of the upper plate are significantly reduced. </w:t>
      </w:r>
    </w:p>
    <w:p w14:paraId="34E92413" w14:textId="77777777" w:rsidR="003A5EDF" w:rsidRDefault="003A5EDF">
      <w:pPr>
        <w:pStyle w:val="Paragraph"/>
      </w:pPr>
    </w:p>
    <w:tbl>
      <w:tblPr>
        <w:tblStyle w:val="Tabellenraster"/>
        <w:tblW w:w="9078" w:type="dxa"/>
        <w:tblLayout w:type="fixed"/>
        <w:tblLook w:val="04A0" w:firstRow="1" w:lastRow="0" w:firstColumn="1" w:lastColumn="0" w:noHBand="0" w:noVBand="1"/>
      </w:tblPr>
      <w:tblGrid>
        <w:gridCol w:w="4511"/>
        <w:gridCol w:w="4567"/>
      </w:tblGrid>
      <w:tr w:rsidR="003A5EDF" w14:paraId="069C0EE8" w14:textId="77777777">
        <w:trPr>
          <w:trHeight w:val="1721"/>
        </w:trPr>
        <w:tc>
          <w:tcPr>
            <w:tcW w:w="4511" w:type="dxa"/>
            <w:tcBorders>
              <w:top w:val="nil"/>
              <w:left w:val="nil"/>
              <w:bottom w:val="nil"/>
              <w:right w:val="nil"/>
            </w:tcBorders>
          </w:tcPr>
          <w:p w14:paraId="6F19CE62" w14:textId="77777777" w:rsidR="003A5EDF" w:rsidRDefault="00000000">
            <w:pPr>
              <w:pStyle w:val="Paragraph"/>
              <w:ind w:firstLine="0"/>
            </w:pPr>
            <w:r>
              <w:rPr>
                <w:noProof/>
              </w:rPr>
              <w:lastRenderedPageBreak/>
              <w:drawing>
                <wp:inline distT="0" distB="0" distL="0" distR="0" wp14:anchorId="5003F56F" wp14:editId="42EB92E5">
                  <wp:extent cx="2728595" cy="1080135"/>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noChangeArrowheads="1"/>
                          </pic:cNvPicPr>
                        </pic:nvPicPr>
                        <pic:blipFill>
                          <a:blip r:embed="rId14"/>
                          <a:stretch>
                            <a:fillRect/>
                          </a:stretch>
                        </pic:blipFill>
                        <pic:spPr bwMode="auto">
                          <a:xfrm>
                            <a:off x="0" y="0"/>
                            <a:ext cx="2728595" cy="1080135"/>
                          </a:xfrm>
                          <a:prstGeom prst="rect">
                            <a:avLst/>
                          </a:prstGeom>
                        </pic:spPr>
                      </pic:pic>
                    </a:graphicData>
                  </a:graphic>
                </wp:inline>
              </w:drawing>
            </w:r>
          </w:p>
        </w:tc>
        <w:tc>
          <w:tcPr>
            <w:tcW w:w="4566" w:type="dxa"/>
            <w:tcBorders>
              <w:top w:val="nil"/>
              <w:left w:val="nil"/>
              <w:bottom w:val="nil"/>
              <w:right w:val="nil"/>
            </w:tcBorders>
          </w:tcPr>
          <w:p w14:paraId="4C0F6B81" w14:textId="77777777" w:rsidR="003A5EDF" w:rsidRDefault="00000000">
            <w:pPr>
              <w:pStyle w:val="Paragraph"/>
              <w:ind w:firstLine="0"/>
            </w:pPr>
            <w:r>
              <w:rPr>
                <w:noProof/>
              </w:rPr>
              <w:drawing>
                <wp:inline distT="0" distB="0" distL="0" distR="0" wp14:anchorId="626F206C" wp14:editId="5C3BC924">
                  <wp:extent cx="2758440" cy="1079500"/>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6"/>
                          <pic:cNvPicPr>
                            <a:picLocks noChangeAspect="1" noChangeArrowheads="1"/>
                          </pic:cNvPicPr>
                        </pic:nvPicPr>
                        <pic:blipFill>
                          <a:blip r:embed="rId15"/>
                          <a:stretch>
                            <a:fillRect/>
                          </a:stretch>
                        </pic:blipFill>
                        <pic:spPr bwMode="auto">
                          <a:xfrm>
                            <a:off x="0" y="0"/>
                            <a:ext cx="2758440" cy="1079500"/>
                          </a:xfrm>
                          <a:prstGeom prst="rect">
                            <a:avLst/>
                          </a:prstGeom>
                        </pic:spPr>
                      </pic:pic>
                    </a:graphicData>
                  </a:graphic>
                </wp:inline>
              </w:drawing>
            </w:r>
          </w:p>
        </w:tc>
      </w:tr>
      <w:tr w:rsidR="003A5EDF" w14:paraId="520F235C" w14:textId="77777777">
        <w:trPr>
          <w:trHeight w:val="231"/>
        </w:trPr>
        <w:tc>
          <w:tcPr>
            <w:tcW w:w="4511" w:type="dxa"/>
            <w:tcBorders>
              <w:top w:val="nil"/>
              <w:left w:val="nil"/>
              <w:bottom w:val="nil"/>
              <w:right w:val="nil"/>
            </w:tcBorders>
          </w:tcPr>
          <w:p w14:paraId="2BF481FF" w14:textId="77777777" w:rsidR="003A5EDF" w:rsidRDefault="00000000">
            <w:pPr>
              <w:pStyle w:val="Paragraph"/>
              <w:ind w:firstLine="0"/>
              <w:jc w:val="center"/>
            </w:pPr>
            <w:r>
              <w:t>(a)</w:t>
            </w:r>
          </w:p>
        </w:tc>
        <w:tc>
          <w:tcPr>
            <w:tcW w:w="4566" w:type="dxa"/>
            <w:tcBorders>
              <w:top w:val="nil"/>
              <w:left w:val="nil"/>
              <w:bottom w:val="nil"/>
              <w:right w:val="nil"/>
            </w:tcBorders>
          </w:tcPr>
          <w:p w14:paraId="5E2BD173" w14:textId="77777777" w:rsidR="003A5EDF" w:rsidRDefault="00000000">
            <w:pPr>
              <w:pStyle w:val="Paragraph"/>
              <w:ind w:firstLine="0"/>
              <w:jc w:val="center"/>
            </w:pPr>
            <w:r>
              <w:t>(b)</w:t>
            </w:r>
          </w:p>
        </w:tc>
      </w:tr>
      <w:tr w:rsidR="003A5EDF" w14:paraId="20A10327" w14:textId="77777777">
        <w:trPr>
          <w:trHeight w:val="1721"/>
        </w:trPr>
        <w:tc>
          <w:tcPr>
            <w:tcW w:w="9077" w:type="dxa"/>
            <w:gridSpan w:val="2"/>
            <w:tcBorders>
              <w:top w:val="nil"/>
              <w:left w:val="nil"/>
              <w:bottom w:val="nil"/>
              <w:right w:val="nil"/>
            </w:tcBorders>
          </w:tcPr>
          <w:p w14:paraId="29CC608E" w14:textId="77777777" w:rsidR="003A5EDF" w:rsidRDefault="00000000">
            <w:pPr>
              <w:pStyle w:val="Paragraph"/>
              <w:ind w:firstLine="0"/>
              <w:jc w:val="center"/>
            </w:pPr>
            <w:r>
              <w:rPr>
                <w:noProof/>
              </w:rPr>
              <w:drawing>
                <wp:inline distT="0" distB="0" distL="0" distR="0" wp14:anchorId="7CA05838" wp14:editId="2E655CFF">
                  <wp:extent cx="2823210" cy="1079500"/>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8"/>
                          <pic:cNvPicPr>
                            <a:picLocks noChangeAspect="1" noChangeArrowheads="1"/>
                          </pic:cNvPicPr>
                        </pic:nvPicPr>
                        <pic:blipFill>
                          <a:blip r:embed="rId16"/>
                          <a:stretch>
                            <a:fillRect/>
                          </a:stretch>
                        </pic:blipFill>
                        <pic:spPr bwMode="auto">
                          <a:xfrm>
                            <a:off x="0" y="0"/>
                            <a:ext cx="2823210" cy="1079500"/>
                          </a:xfrm>
                          <a:prstGeom prst="rect">
                            <a:avLst/>
                          </a:prstGeom>
                        </pic:spPr>
                      </pic:pic>
                    </a:graphicData>
                  </a:graphic>
                </wp:inline>
              </w:drawing>
            </w:r>
          </w:p>
        </w:tc>
      </w:tr>
      <w:tr w:rsidR="003A5EDF" w14:paraId="6BF2A7F0" w14:textId="77777777">
        <w:trPr>
          <w:trHeight w:val="231"/>
        </w:trPr>
        <w:tc>
          <w:tcPr>
            <w:tcW w:w="9077" w:type="dxa"/>
            <w:gridSpan w:val="2"/>
            <w:tcBorders>
              <w:top w:val="nil"/>
              <w:left w:val="nil"/>
              <w:bottom w:val="nil"/>
              <w:right w:val="nil"/>
            </w:tcBorders>
          </w:tcPr>
          <w:p w14:paraId="5C02A14B" w14:textId="77777777" w:rsidR="003A5EDF" w:rsidRDefault="00000000">
            <w:pPr>
              <w:pStyle w:val="Paragraph"/>
              <w:ind w:firstLine="0"/>
              <w:jc w:val="center"/>
            </w:pPr>
            <w:r>
              <w:t>(c)</w:t>
            </w:r>
          </w:p>
        </w:tc>
      </w:tr>
    </w:tbl>
    <w:p w14:paraId="57219F64" w14:textId="77777777" w:rsidR="003A5EDF" w:rsidRDefault="00000000">
      <w:pPr>
        <w:pStyle w:val="FigureCaption"/>
      </w:pPr>
      <w:bookmarkStart w:id="8" w:name="_Hlk209712589"/>
      <w:bookmarkStart w:id="9" w:name="_Hlk209976938"/>
      <w:bookmarkStart w:id="10" w:name="_Hlk209712622"/>
      <w:bookmarkEnd w:id="8"/>
      <w:r>
        <w:rPr>
          <w:b/>
          <w:caps/>
        </w:rPr>
        <w:t>Figure</w:t>
      </w:r>
      <w:bookmarkEnd w:id="9"/>
      <w:r>
        <w:rPr>
          <w:b/>
          <w:caps/>
        </w:rPr>
        <w:t xml:space="preserve"> 4.</w:t>
      </w:r>
      <w:r>
        <w:t xml:space="preserve"> </w:t>
      </w:r>
      <w:bookmarkEnd w:id="10"/>
      <w:r>
        <w:t>Displacements (a), velocities (b), and accelerations (c) of the upper (1) and lower (2) plates.</w:t>
      </w:r>
    </w:p>
    <w:p w14:paraId="3FECAD40" w14:textId="77777777" w:rsidR="003A5EDF" w:rsidRDefault="003A5EDF">
      <w:pPr>
        <w:pStyle w:val="Paragraph"/>
      </w:pPr>
    </w:p>
    <w:p w14:paraId="43796955" w14:textId="77777777" w:rsidR="003A5EDF" w:rsidRDefault="00000000">
      <w:pPr>
        <w:pStyle w:val="Paragraph"/>
      </w:pPr>
      <w:r>
        <w:t xml:space="preserve">Figures 5 and 6 show the results of calculations with a V-shaped bottom plate at </w:t>
      </w:r>
      <w:r>
        <w:rPr>
          <w:rFonts w:ascii="Cambria Math" w:hAnsi="Cambria Math" w:cs="Cambria Math"/>
          <w:i/>
          <w:lang w:val="ru-RU"/>
        </w:rPr>
        <w:t>𝜑</w:t>
      </w:r>
      <w:r>
        <w:t xml:space="preserve">=5˚ with a horizontal section in the middle </w:t>
      </w:r>
      <w:r>
        <w:rPr>
          <w:i/>
        </w:rPr>
        <w:t>l</w:t>
      </w:r>
      <w:r>
        <w:t xml:space="preserve">=0.02 </w:t>
      </w:r>
      <w:r>
        <w:rPr>
          <w:i/>
        </w:rPr>
        <w:t>m</w:t>
      </w:r>
      <w:r>
        <w:t xml:space="preserve">. </w:t>
      </w:r>
    </w:p>
    <w:p w14:paraId="23CAC7DC" w14:textId="3DF3C0EC" w:rsidR="003A5EDF" w:rsidRDefault="00000000">
      <w:pPr>
        <w:pStyle w:val="Paragraph"/>
      </w:pPr>
      <w:r>
        <w:t>Fig</w:t>
      </w:r>
      <w:r w:rsidR="00721D07">
        <w:t>ure</w:t>
      </w:r>
      <w:r>
        <w:t xml:space="preserve"> 5 shows the results for a rolling friction coefficient of </w:t>
      </w:r>
      <w:r>
        <w:rPr>
          <w:rFonts w:ascii="Cambria Math" w:hAnsi="Cambria Math" w:cs="Cambria Math"/>
        </w:rPr>
        <w:t>𝜇</w:t>
      </w:r>
      <w:r>
        <w:rPr>
          <w:vertAlign w:val="subscript"/>
        </w:rPr>
        <w:t>1</w:t>
      </w:r>
      <w:r>
        <w:t xml:space="preserve">=0.055, </w:t>
      </w:r>
      <w:r>
        <w:rPr>
          <w:rFonts w:ascii="Cambria Math" w:hAnsi="Cambria Math" w:cs="Cambria Math"/>
        </w:rPr>
        <w:t>𝜇</w:t>
      </w:r>
      <w:r>
        <w:rPr>
          <w:vertAlign w:val="subscript"/>
        </w:rPr>
        <w:t>2</w:t>
      </w:r>
      <w:r>
        <w:t>=0.054. In this case |</w:t>
      </w:r>
      <w:r>
        <w:rPr>
          <w:i/>
          <w:iCs/>
        </w:rPr>
        <w:t>u</w:t>
      </w:r>
      <w:r>
        <w:rPr>
          <w:iCs/>
          <w:vertAlign w:val="subscript"/>
        </w:rPr>
        <w:t>1</w:t>
      </w:r>
      <w:r>
        <w:rPr>
          <w:iCs/>
        </w:rPr>
        <w:t>|</w:t>
      </w:r>
      <w:r>
        <w:rPr>
          <w:i/>
          <w:iCs/>
          <w:vertAlign w:val="subscript"/>
        </w:rPr>
        <w:t>max</w:t>
      </w:r>
      <w:r>
        <w:t xml:space="preserve">=0.03 </w:t>
      </w:r>
      <w:r>
        <w:rPr>
          <w:i/>
          <w:iCs/>
        </w:rPr>
        <w:t>m</w:t>
      </w:r>
      <w:r>
        <w:t xml:space="preserve">, </w:t>
      </w:r>
      <w:r>
        <w:rPr>
          <w:i/>
          <w:iCs/>
        </w:rPr>
        <w:t>u</w:t>
      </w:r>
      <w:r>
        <w:rPr>
          <w:vertAlign w:val="subscript"/>
        </w:rPr>
        <w:t>2</w:t>
      </w:r>
      <w:r>
        <w:rPr>
          <w:i/>
          <w:iCs/>
          <w:vertAlign w:val="subscript"/>
        </w:rPr>
        <w:t>max</w:t>
      </w:r>
      <w:r>
        <w:t>=0.1 </w:t>
      </w:r>
      <w:r>
        <w:rPr>
          <w:i/>
          <w:iCs/>
        </w:rPr>
        <w:t>m</w:t>
      </w:r>
      <w:r>
        <w:t>, |</w:t>
      </w:r>
      <w:r>
        <w:rPr>
          <w:i/>
          <w:iCs/>
        </w:rPr>
        <w:t>v</w:t>
      </w:r>
      <w:r>
        <w:rPr>
          <w:vertAlign w:val="subscript"/>
        </w:rPr>
        <w:t>1</w:t>
      </w:r>
      <w:r>
        <w:t>|</w:t>
      </w:r>
      <w:r>
        <w:rPr>
          <w:i/>
          <w:iCs/>
          <w:vertAlign w:val="subscript"/>
        </w:rPr>
        <w:t>max</w:t>
      </w:r>
      <w:r>
        <w:t xml:space="preserve">=0.17 </w:t>
      </w:r>
      <w:r>
        <w:rPr>
          <w:i/>
          <w:iCs/>
        </w:rPr>
        <w:t>m/s</w:t>
      </w:r>
      <w:r>
        <w:t xml:space="preserve">, </w:t>
      </w:r>
      <w:r>
        <w:rPr>
          <w:i/>
          <w:iCs/>
        </w:rPr>
        <w:t>v</w:t>
      </w:r>
      <w:r>
        <w:rPr>
          <w:vertAlign w:val="subscript"/>
        </w:rPr>
        <w:t>2</w:t>
      </w:r>
      <w:r>
        <w:rPr>
          <w:i/>
          <w:iCs/>
          <w:vertAlign w:val="subscript"/>
        </w:rPr>
        <w:t>max</w:t>
      </w:r>
      <w:r>
        <w:t xml:space="preserve">=0.62 </w:t>
      </w:r>
      <w:r>
        <w:rPr>
          <w:i/>
          <w:iCs/>
        </w:rPr>
        <w:t xml:space="preserve">m/s, </w:t>
      </w:r>
      <w:r>
        <w:rPr>
          <w:i/>
          <w:iCs/>
          <w:lang w:val="en-GB"/>
        </w:rPr>
        <w:t>w</w:t>
      </w:r>
      <w:r>
        <w:rPr>
          <w:iCs/>
          <w:vertAlign w:val="subscript"/>
        </w:rPr>
        <w:t>1</w:t>
      </w:r>
      <w:r>
        <w:rPr>
          <w:i/>
          <w:iCs/>
          <w:vertAlign w:val="subscript"/>
          <w:lang w:val="en-GB"/>
        </w:rPr>
        <w:t>max</w:t>
      </w:r>
      <w:r>
        <w:rPr>
          <w:i/>
          <w:iCs/>
        </w:rPr>
        <w:t>=</w:t>
      </w:r>
      <w:r>
        <w:rPr>
          <w:iCs/>
        </w:rPr>
        <w:t>1.38</w:t>
      </w:r>
      <w:r>
        <w:rPr>
          <w:i/>
          <w:iCs/>
        </w:rPr>
        <w:t xml:space="preserve"> </w:t>
      </w:r>
      <w:r>
        <w:rPr>
          <w:i/>
          <w:iCs/>
          <w:lang w:val="en-GB"/>
        </w:rPr>
        <w:t>m</w:t>
      </w:r>
      <w:r>
        <w:rPr>
          <w:i/>
          <w:iCs/>
        </w:rPr>
        <w:t>/</w:t>
      </w:r>
      <w:r>
        <w:rPr>
          <w:i/>
          <w:iCs/>
          <w:lang w:val="en-GB"/>
        </w:rPr>
        <w:t>s</w:t>
      </w:r>
      <w:r>
        <w:rPr>
          <w:i/>
          <w:iCs/>
          <w:vertAlign w:val="superscript"/>
        </w:rPr>
        <w:t>2</w:t>
      </w:r>
      <w:r>
        <w:rPr>
          <w:i/>
          <w:iCs/>
        </w:rPr>
        <w:t xml:space="preserve">, </w:t>
      </w:r>
      <w:r>
        <w:rPr>
          <w:i/>
          <w:iCs/>
          <w:lang w:val="en-GB"/>
        </w:rPr>
        <w:t>w</w:t>
      </w:r>
      <w:r>
        <w:rPr>
          <w:iCs/>
          <w:vertAlign w:val="subscript"/>
        </w:rPr>
        <w:t>2</w:t>
      </w:r>
      <w:r>
        <w:rPr>
          <w:i/>
          <w:iCs/>
          <w:vertAlign w:val="subscript"/>
          <w:lang w:val="en-GB"/>
        </w:rPr>
        <w:t>max</w:t>
      </w:r>
      <w:r>
        <w:rPr>
          <w:i/>
          <w:iCs/>
        </w:rPr>
        <w:t>=</w:t>
      </w:r>
      <w:r>
        <w:rPr>
          <w:iCs/>
        </w:rPr>
        <w:t>3.91</w:t>
      </w:r>
      <w:r>
        <w:rPr>
          <w:i/>
          <w:iCs/>
        </w:rPr>
        <w:t xml:space="preserve"> </w:t>
      </w:r>
      <w:r>
        <w:rPr>
          <w:i/>
          <w:iCs/>
          <w:lang w:val="en-GB"/>
        </w:rPr>
        <w:t>m</w:t>
      </w:r>
      <w:r>
        <w:rPr>
          <w:i/>
          <w:iCs/>
        </w:rPr>
        <w:t>/</w:t>
      </w:r>
      <w:r>
        <w:rPr>
          <w:i/>
          <w:iCs/>
          <w:lang w:val="en-GB"/>
        </w:rPr>
        <w:t>s</w:t>
      </w:r>
      <w:r>
        <w:rPr>
          <w:i/>
          <w:iCs/>
          <w:vertAlign w:val="superscript"/>
        </w:rPr>
        <w:t>2</w:t>
      </w:r>
      <w:r>
        <w:rPr>
          <w:i/>
          <w:iCs/>
        </w:rPr>
        <w:t>.</w:t>
      </w:r>
      <w:r>
        <w:rPr>
          <w:iCs/>
        </w:rPr>
        <w:t xml:space="preserve"> The results show that the maximum displacement values differ by a factor of 3.3, the maximum velocity values by a factor of 3.6, and the maximum acceleration values by a factor of 2.8. The V-shaped lower plate causes additional resistance to relative movement, which reduces the effectiveness of the seismic isolator.</w:t>
      </w:r>
    </w:p>
    <w:p w14:paraId="3561FE91" w14:textId="77777777" w:rsidR="003A5EDF" w:rsidRDefault="003A5EDF">
      <w:pPr>
        <w:pStyle w:val="Paragraph"/>
      </w:pPr>
    </w:p>
    <w:tbl>
      <w:tblPr>
        <w:tblStyle w:val="Tabellenraster"/>
        <w:tblW w:w="9350" w:type="dxa"/>
        <w:tblLayout w:type="fixed"/>
        <w:tblLook w:val="04A0" w:firstRow="1" w:lastRow="0" w:firstColumn="1" w:lastColumn="0" w:noHBand="0" w:noVBand="1"/>
      </w:tblPr>
      <w:tblGrid>
        <w:gridCol w:w="4687"/>
        <w:gridCol w:w="4663"/>
      </w:tblGrid>
      <w:tr w:rsidR="003A5EDF" w14:paraId="2F26E1B2" w14:textId="77777777">
        <w:tc>
          <w:tcPr>
            <w:tcW w:w="4686" w:type="dxa"/>
            <w:tcBorders>
              <w:top w:val="nil"/>
              <w:left w:val="nil"/>
              <w:bottom w:val="nil"/>
              <w:right w:val="nil"/>
            </w:tcBorders>
          </w:tcPr>
          <w:p w14:paraId="0B6FCAA2" w14:textId="77777777" w:rsidR="003A5EDF" w:rsidRDefault="00000000">
            <w:pPr>
              <w:pStyle w:val="Paragraph"/>
              <w:ind w:firstLine="0"/>
            </w:pPr>
            <w:r>
              <w:rPr>
                <w:noProof/>
              </w:rPr>
              <w:drawing>
                <wp:inline distT="0" distB="0" distL="0" distR="0" wp14:anchorId="01AD77D6" wp14:editId="76DAEE02">
                  <wp:extent cx="2702560" cy="108013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pic:cNvPicPr>
                            <a:picLocks noChangeAspect="1" noChangeArrowheads="1"/>
                          </pic:cNvPicPr>
                        </pic:nvPicPr>
                        <pic:blipFill>
                          <a:blip r:embed="rId17"/>
                          <a:stretch>
                            <a:fillRect/>
                          </a:stretch>
                        </pic:blipFill>
                        <pic:spPr bwMode="auto">
                          <a:xfrm>
                            <a:off x="0" y="0"/>
                            <a:ext cx="2702560" cy="1080135"/>
                          </a:xfrm>
                          <a:prstGeom prst="rect">
                            <a:avLst/>
                          </a:prstGeom>
                        </pic:spPr>
                      </pic:pic>
                    </a:graphicData>
                  </a:graphic>
                </wp:inline>
              </w:drawing>
            </w:r>
          </w:p>
        </w:tc>
        <w:tc>
          <w:tcPr>
            <w:tcW w:w="4663" w:type="dxa"/>
            <w:tcBorders>
              <w:top w:val="nil"/>
              <w:left w:val="nil"/>
              <w:bottom w:val="nil"/>
              <w:right w:val="nil"/>
            </w:tcBorders>
          </w:tcPr>
          <w:p w14:paraId="5ABD670A" w14:textId="77777777" w:rsidR="003A5EDF" w:rsidRDefault="00000000">
            <w:pPr>
              <w:pStyle w:val="Paragraph"/>
              <w:ind w:firstLine="0"/>
            </w:pPr>
            <w:r>
              <w:rPr>
                <w:noProof/>
              </w:rPr>
              <w:drawing>
                <wp:inline distT="0" distB="0" distL="0" distR="0" wp14:anchorId="47E9B572" wp14:editId="6BE2A469">
                  <wp:extent cx="2726055" cy="1079500"/>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8"/>
                          <a:stretch>
                            <a:fillRect/>
                          </a:stretch>
                        </pic:blipFill>
                        <pic:spPr bwMode="auto">
                          <a:xfrm>
                            <a:off x="0" y="0"/>
                            <a:ext cx="2726055" cy="1079500"/>
                          </a:xfrm>
                          <a:prstGeom prst="rect">
                            <a:avLst/>
                          </a:prstGeom>
                        </pic:spPr>
                      </pic:pic>
                    </a:graphicData>
                  </a:graphic>
                </wp:inline>
              </w:drawing>
            </w:r>
          </w:p>
        </w:tc>
      </w:tr>
      <w:tr w:rsidR="003A5EDF" w14:paraId="2D6AC90C" w14:textId="77777777">
        <w:tc>
          <w:tcPr>
            <w:tcW w:w="4686" w:type="dxa"/>
            <w:tcBorders>
              <w:top w:val="nil"/>
              <w:left w:val="nil"/>
              <w:bottom w:val="nil"/>
              <w:right w:val="nil"/>
            </w:tcBorders>
          </w:tcPr>
          <w:p w14:paraId="01AD3532" w14:textId="77777777" w:rsidR="003A5EDF" w:rsidRDefault="00000000">
            <w:pPr>
              <w:pStyle w:val="Paragraph"/>
              <w:ind w:firstLine="0"/>
              <w:jc w:val="center"/>
            </w:pPr>
            <w:r>
              <w:t>(a)</w:t>
            </w:r>
          </w:p>
        </w:tc>
        <w:tc>
          <w:tcPr>
            <w:tcW w:w="4663" w:type="dxa"/>
            <w:tcBorders>
              <w:top w:val="nil"/>
              <w:left w:val="nil"/>
              <w:bottom w:val="nil"/>
              <w:right w:val="nil"/>
            </w:tcBorders>
          </w:tcPr>
          <w:p w14:paraId="6CDE763C" w14:textId="77777777" w:rsidR="003A5EDF" w:rsidRDefault="00000000">
            <w:pPr>
              <w:pStyle w:val="Paragraph"/>
              <w:ind w:firstLine="0"/>
              <w:jc w:val="center"/>
            </w:pPr>
            <w:r>
              <w:t>(b)</w:t>
            </w:r>
          </w:p>
        </w:tc>
      </w:tr>
      <w:tr w:rsidR="003A5EDF" w14:paraId="0F05FAB5" w14:textId="77777777">
        <w:tc>
          <w:tcPr>
            <w:tcW w:w="9349" w:type="dxa"/>
            <w:gridSpan w:val="2"/>
            <w:tcBorders>
              <w:top w:val="nil"/>
              <w:left w:val="nil"/>
              <w:bottom w:val="nil"/>
              <w:right w:val="nil"/>
            </w:tcBorders>
          </w:tcPr>
          <w:p w14:paraId="74AF9577" w14:textId="77777777" w:rsidR="003A5EDF" w:rsidRDefault="00000000">
            <w:pPr>
              <w:pStyle w:val="Paragraph"/>
              <w:ind w:firstLine="0"/>
              <w:jc w:val="center"/>
            </w:pPr>
            <w:r>
              <w:rPr>
                <w:noProof/>
              </w:rPr>
              <w:drawing>
                <wp:inline distT="0" distB="0" distL="0" distR="0" wp14:anchorId="70CA53B7" wp14:editId="1CFA9230">
                  <wp:extent cx="2819400" cy="107950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19"/>
                          <a:stretch>
                            <a:fillRect/>
                          </a:stretch>
                        </pic:blipFill>
                        <pic:spPr bwMode="auto">
                          <a:xfrm>
                            <a:off x="0" y="0"/>
                            <a:ext cx="2819400" cy="1079500"/>
                          </a:xfrm>
                          <a:prstGeom prst="rect">
                            <a:avLst/>
                          </a:prstGeom>
                        </pic:spPr>
                      </pic:pic>
                    </a:graphicData>
                  </a:graphic>
                </wp:inline>
              </w:drawing>
            </w:r>
          </w:p>
        </w:tc>
      </w:tr>
      <w:tr w:rsidR="003A5EDF" w14:paraId="1DF190CC" w14:textId="77777777">
        <w:tc>
          <w:tcPr>
            <w:tcW w:w="9349" w:type="dxa"/>
            <w:gridSpan w:val="2"/>
            <w:tcBorders>
              <w:top w:val="nil"/>
              <w:left w:val="nil"/>
              <w:bottom w:val="nil"/>
              <w:right w:val="nil"/>
            </w:tcBorders>
          </w:tcPr>
          <w:p w14:paraId="736FAA9F" w14:textId="77777777" w:rsidR="003A5EDF" w:rsidRDefault="00000000">
            <w:pPr>
              <w:pStyle w:val="Paragraph"/>
              <w:ind w:firstLine="0"/>
              <w:jc w:val="center"/>
            </w:pPr>
            <w:r>
              <w:t>(c)</w:t>
            </w:r>
          </w:p>
        </w:tc>
      </w:tr>
    </w:tbl>
    <w:p w14:paraId="574C9F79" w14:textId="77777777" w:rsidR="003A5EDF" w:rsidRDefault="00000000">
      <w:pPr>
        <w:pStyle w:val="FigureCaption"/>
      </w:pPr>
      <w:r>
        <w:rPr>
          <w:b/>
          <w:caps/>
        </w:rPr>
        <w:t>Figure 5.</w:t>
      </w:r>
      <w:r>
        <w:t xml:space="preserve"> </w:t>
      </w:r>
      <w:bookmarkStart w:id="11" w:name="_Hlk210055467"/>
      <w:r>
        <w:t xml:space="preserve">Displacements (a), velocities (b), and accelerations (c) of the upper (1) and lower (2) plates at </w:t>
      </w:r>
      <w:r>
        <w:rPr>
          <w:rFonts w:ascii="Cambria Math" w:hAnsi="Cambria Math" w:cs="Cambria Math"/>
        </w:rPr>
        <w:t>𝜇</w:t>
      </w:r>
      <w:r>
        <w:rPr>
          <w:vertAlign w:val="subscript"/>
        </w:rPr>
        <w:t>1</w:t>
      </w:r>
      <w:r>
        <w:t xml:space="preserve">=0.055, </w:t>
      </w:r>
      <w:r>
        <w:rPr>
          <w:rFonts w:ascii="Cambria Math" w:hAnsi="Cambria Math" w:cs="Cambria Math"/>
        </w:rPr>
        <w:t>𝜇</w:t>
      </w:r>
      <w:r>
        <w:rPr>
          <w:vertAlign w:val="subscript"/>
        </w:rPr>
        <w:t>2</w:t>
      </w:r>
      <w:r>
        <w:t>=0.054</w:t>
      </w:r>
      <w:bookmarkEnd w:id="11"/>
      <w:r>
        <w:t>.</w:t>
      </w:r>
    </w:p>
    <w:p w14:paraId="318EDC18" w14:textId="77777777" w:rsidR="003A5EDF" w:rsidRDefault="003A5EDF">
      <w:pPr>
        <w:pStyle w:val="Paragraph"/>
      </w:pPr>
    </w:p>
    <w:p w14:paraId="509E5737" w14:textId="5A7E6FE0" w:rsidR="003A5EDF" w:rsidRDefault="00000000">
      <w:pPr>
        <w:pStyle w:val="Paragraph"/>
      </w:pPr>
      <w:r>
        <w:t>Fig</w:t>
      </w:r>
      <w:r w:rsidR="00721D07">
        <w:t>ure</w:t>
      </w:r>
      <w:r>
        <w:t xml:space="preserve"> 6 shows the results of calculations for rolling friction </w:t>
      </w:r>
      <w:proofErr w:type="gramStart"/>
      <w:r>
        <w:t xml:space="preserve">coefficients </w:t>
      </w:r>
      <w:r>
        <w:rPr>
          <w:rFonts w:ascii="Cambria Math" w:hAnsi="Cambria Math" w:cs="Cambria Math"/>
        </w:rPr>
        <w:t>𝜇</w:t>
      </w:r>
      <w:r>
        <w:rPr>
          <w:vertAlign w:val="subscript"/>
        </w:rPr>
        <w:t>1</w:t>
      </w:r>
      <w:proofErr w:type="gramEnd"/>
      <w:r>
        <w:t xml:space="preserve">=0.023, </w:t>
      </w:r>
      <w:r>
        <w:rPr>
          <w:rFonts w:ascii="Cambria Math" w:hAnsi="Cambria Math" w:cs="Cambria Math"/>
        </w:rPr>
        <w:t>𝜇</w:t>
      </w:r>
      <w:r>
        <w:rPr>
          <w:vertAlign w:val="subscript"/>
        </w:rPr>
        <w:t>2</w:t>
      </w:r>
      <w:r>
        <w:t>=0.024. In this case |</w:t>
      </w:r>
      <w:r>
        <w:rPr>
          <w:i/>
          <w:iCs/>
        </w:rPr>
        <w:t>u</w:t>
      </w:r>
      <w:r>
        <w:rPr>
          <w:vertAlign w:val="subscript"/>
        </w:rPr>
        <w:t>1</w:t>
      </w:r>
      <w:r>
        <w:t>|</w:t>
      </w:r>
      <w:r>
        <w:rPr>
          <w:i/>
          <w:iCs/>
          <w:vertAlign w:val="subscript"/>
        </w:rPr>
        <w:t>max</w:t>
      </w:r>
      <w:r>
        <w:t>=0.03 </w:t>
      </w:r>
      <w:r>
        <w:rPr>
          <w:i/>
          <w:iCs/>
        </w:rPr>
        <w:t>m</w:t>
      </w:r>
      <w:r>
        <w:t xml:space="preserve">, </w:t>
      </w:r>
      <w:r>
        <w:rPr>
          <w:i/>
          <w:iCs/>
        </w:rPr>
        <w:t>u</w:t>
      </w:r>
      <w:r>
        <w:rPr>
          <w:vertAlign w:val="subscript"/>
        </w:rPr>
        <w:t>2</w:t>
      </w:r>
      <w:r>
        <w:rPr>
          <w:i/>
          <w:iCs/>
          <w:vertAlign w:val="subscript"/>
        </w:rPr>
        <w:t>max</w:t>
      </w:r>
      <w:r>
        <w:t xml:space="preserve">=0.1 </w:t>
      </w:r>
      <w:r>
        <w:rPr>
          <w:i/>
          <w:iCs/>
        </w:rPr>
        <w:t>m</w:t>
      </w:r>
      <w:r>
        <w:t>, |</w:t>
      </w:r>
      <w:r>
        <w:rPr>
          <w:i/>
          <w:iCs/>
        </w:rPr>
        <w:t>v</w:t>
      </w:r>
      <w:r>
        <w:rPr>
          <w:vertAlign w:val="subscript"/>
        </w:rPr>
        <w:t>1</w:t>
      </w:r>
      <w:r>
        <w:t>|</w:t>
      </w:r>
      <w:r>
        <w:rPr>
          <w:i/>
          <w:iCs/>
          <w:vertAlign w:val="subscript"/>
        </w:rPr>
        <w:t>max</w:t>
      </w:r>
      <w:r>
        <w:t xml:space="preserve">=0.19 </w:t>
      </w:r>
      <w:r>
        <w:rPr>
          <w:i/>
          <w:iCs/>
        </w:rPr>
        <w:t>m/s</w:t>
      </w:r>
      <w:r>
        <w:t xml:space="preserve">, </w:t>
      </w:r>
      <w:r>
        <w:rPr>
          <w:i/>
          <w:iCs/>
        </w:rPr>
        <w:t>v</w:t>
      </w:r>
      <w:r>
        <w:rPr>
          <w:vertAlign w:val="subscript"/>
        </w:rPr>
        <w:t>2</w:t>
      </w:r>
      <w:r>
        <w:rPr>
          <w:i/>
          <w:iCs/>
          <w:vertAlign w:val="subscript"/>
        </w:rPr>
        <w:t>max</w:t>
      </w:r>
      <w:r>
        <w:t xml:space="preserve">=0.62 </w:t>
      </w:r>
      <w:r>
        <w:rPr>
          <w:i/>
          <w:iCs/>
        </w:rPr>
        <w:t xml:space="preserve">m/s, </w:t>
      </w:r>
      <w:r>
        <w:rPr>
          <w:i/>
          <w:iCs/>
          <w:lang w:val="en-GB"/>
        </w:rPr>
        <w:t>w</w:t>
      </w:r>
      <w:r>
        <w:rPr>
          <w:iCs/>
          <w:vertAlign w:val="subscript"/>
          <w:lang w:val="en-GB"/>
        </w:rPr>
        <w:t>1</w:t>
      </w:r>
      <w:r>
        <w:rPr>
          <w:i/>
          <w:iCs/>
          <w:vertAlign w:val="subscript"/>
          <w:lang w:val="en-GB"/>
        </w:rPr>
        <w:t>max</w:t>
      </w:r>
      <w:r>
        <w:rPr>
          <w:i/>
          <w:iCs/>
          <w:lang w:val="en-GB"/>
        </w:rPr>
        <w:t>=</w:t>
      </w:r>
      <w:r>
        <w:rPr>
          <w:iCs/>
          <w:lang w:val="en-GB"/>
        </w:rPr>
        <w:t>1.05</w:t>
      </w:r>
      <w:r>
        <w:rPr>
          <w:i/>
          <w:iCs/>
          <w:lang w:val="en-GB"/>
        </w:rPr>
        <w:t xml:space="preserve"> m/s</w:t>
      </w:r>
      <w:r>
        <w:rPr>
          <w:i/>
          <w:iCs/>
          <w:vertAlign w:val="superscript"/>
          <w:lang w:val="en-GB"/>
        </w:rPr>
        <w:t>2</w:t>
      </w:r>
      <w:r>
        <w:rPr>
          <w:i/>
          <w:iCs/>
          <w:lang w:val="en-GB"/>
        </w:rPr>
        <w:t>, w</w:t>
      </w:r>
      <w:r>
        <w:rPr>
          <w:iCs/>
          <w:vertAlign w:val="subscript"/>
          <w:lang w:val="en-GB"/>
        </w:rPr>
        <w:t>2</w:t>
      </w:r>
      <w:r>
        <w:rPr>
          <w:i/>
          <w:iCs/>
          <w:vertAlign w:val="subscript"/>
          <w:lang w:val="en-GB"/>
        </w:rPr>
        <w:t>max</w:t>
      </w:r>
      <w:r>
        <w:rPr>
          <w:i/>
          <w:iCs/>
          <w:lang w:val="en-GB"/>
        </w:rPr>
        <w:t>=</w:t>
      </w:r>
      <w:r>
        <w:rPr>
          <w:iCs/>
          <w:lang w:val="en-GB"/>
        </w:rPr>
        <w:t>3.91</w:t>
      </w:r>
      <w:r>
        <w:rPr>
          <w:i/>
          <w:iCs/>
          <w:lang w:val="en-GB"/>
        </w:rPr>
        <w:t> m/s</w:t>
      </w:r>
      <w:r>
        <w:rPr>
          <w:i/>
          <w:iCs/>
          <w:vertAlign w:val="superscript"/>
          <w:lang w:val="en-GB"/>
        </w:rPr>
        <w:t>2</w:t>
      </w:r>
      <w:r>
        <w:rPr>
          <w:i/>
          <w:iCs/>
          <w:lang w:val="en-GB"/>
        </w:rPr>
        <w:t>.</w:t>
      </w:r>
      <w:r>
        <w:rPr>
          <w:iCs/>
          <w:lang w:val="en-GB"/>
        </w:rPr>
        <w:t xml:space="preserve"> </w:t>
      </w:r>
      <w:r>
        <w:rPr>
          <w:iCs/>
        </w:rPr>
        <w:t>The results show that the maximum displacement values differ by a factor of 3.3, the maximum velocity values by a factor of 3.3, and the maximum acceleration values by a factor of 3.7. The results show that in this case, the maximum values of the speed and acceleration of the upper plate decrease significantly as the friction coefficient decreases, but there are no significant changes in the maximum displacement values.</w:t>
      </w:r>
    </w:p>
    <w:p w14:paraId="6584B24B" w14:textId="77777777" w:rsidR="003A5EDF" w:rsidRDefault="003A5EDF">
      <w:pPr>
        <w:pStyle w:val="Paragraph"/>
      </w:pPr>
    </w:p>
    <w:tbl>
      <w:tblPr>
        <w:tblStyle w:val="Tabellenraster"/>
        <w:tblW w:w="8905" w:type="dxa"/>
        <w:tblLayout w:type="fixed"/>
        <w:tblLook w:val="04A0" w:firstRow="1" w:lastRow="0" w:firstColumn="1" w:lastColumn="0" w:noHBand="0" w:noVBand="1"/>
      </w:tblPr>
      <w:tblGrid>
        <w:gridCol w:w="4449"/>
        <w:gridCol w:w="4456"/>
      </w:tblGrid>
      <w:tr w:rsidR="003A5EDF" w14:paraId="21789849" w14:textId="77777777">
        <w:trPr>
          <w:trHeight w:val="2073"/>
        </w:trPr>
        <w:tc>
          <w:tcPr>
            <w:tcW w:w="4449" w:type="dxa"/>
            <w:tcBorders>
              <w:top w:val="nil"/>
              <w:left w:val="nil"/>
              <w:bottom w:val="nil"/>
              <w:right w:val="nil"/>
            </w:tcBorders>
          </w:tcPr>
          <w:p w14:paraId="2EB8D4DE" w14:textId="77777777" w:rsidR="003A5EDF" w:rsidRDefault="00000000">
            <w:pPr>
              <w:pStyle w:val="Paragraph"/>
              <w:ind w:firstLine="0"/>
            </w:pPr>
            <w:r>
              <w:rPr>
                <w:noProof/>
              </w:rPr>
              <w:lastRenderedPageBreak/>
              <w:drawing>
                <wp:inline distT="0" distB="0" distL="0" distR="0" wp14:anchorId="53C6F4E8" wp14:editId="12AE4E56">
                  <wp:extent cx="2688590" cy="144018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pic:cNvPicPr>
                            <a:picLocks noChangeAspect="1" noChangeArrowheads="1"/>
                          </pic:cNvPicPr>
                        </pic:nvPicPr>
                        <pic:blipFill>
                          <a:blip r:embed="rId20"/>
                          <a:stretch>
                            <a:fillRect/>
                          </a:stretch>
                        </pic:blipFill>
                        <pic:spPr bwMode="auto">
                          <a:xfrm>
                            <a:off x="0" y="0"/>
                            <a:ext cx="2688590" cy="1440180"/>
                          </a:xfrm>
                          <a:prstGeom prst="rect">
                            <a:avLst/>
                          </a:prstGeom>
                        </pic:spPr>
                      </pic:pic>
                    </a:graphicData>
                  </a:graphic>
                </wp:inline>
              </w:drawing>
            </w:r>
          </w:p>
        </w:tc>
        <w:tc>
          <w:tcPr>
            <w:tcW w:w="4455" w:type="dxa"/>
            <w:tcBorders>
              <w:top w:val="nil"/>
              <w:left w:val="nil"/>
              <w:bottom w:val="nil"/>
              <w:right w:val="nil"/>
            </w:tcBorders>
          </w:tcPr>
          <w:p w14:paraId="03CB1887" w14:textId="77777777" w:rsidR="003A5EDF" w:rsidRDefault="00000000">
            <w:pPr>
              <w:pStyle w:val="Paragraph"/>
              <w:ind w:firstLine="0"/>
            </w:pPr>
            <w:r>
              <w:rPr>
                <w:noProof/>
              </w:rPr>
              <w:drawing>
                <wp:inline distT="0" distB="0" distL="0" distR="0" wp14:anchorId="43FFFBDB" wp14:editId="4E6DC664">
                  <wp:extent cx="2691765" cy="1440180"/>
                  <wp:effectExtent l="0" t="0" r="0" b="0"/>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21"/>
                          <a:stretch>
                            <a:fillRect/>
                          </a:stretch>
                        </pic:blipFill>
                        <pic:spPr bwMode="auto">
                          <a:xfrm>
                            <a:off x="0" y="0"/>
                            <a:ext cx="2691765" cy="1440180"/>
                          </a:xfrm>
                          <a:prstGeom prst="rect">
                            <a:avLst/>
                          </a:prstGeom>
                        </pic:spPr>
                      </pic:pic>
                    </a:graphicData>
                  </a:graphic>
                </wp:inline>
              </w:drawing>
            </w:r>
          </w:p>
        </w:tc>
      </w:tr>
      <w:tr w:rsidR="003A5EDF" w14:paraId="489BDDAC" w14:textId="77777777">
        <w:trPr>
          <w:trHeight w:val="206"/>
        </w:trPr>
        <w:tc>
          <w:tcPr>
            <w:tcW w:w="4449" w:type="dxa"/>
            <w:tcBorders>
              <w:top w:val="nil"/>
              <w:left w:val="nil"/>
              <w:bottom w:val="nil"/>
              <w:right w:val="nil"/>
            </w:tcBorders>
          </w:tcPr>
          <w:p w14:paraId="2A76E690" w14:textId="77777777" w:rsidR="003A5EDF" w:rsidRDefault="00000000">
            <w:pPr>
              <w:pStyle w:val="Paragraph"/>
              <w:ind w:firstLine="0"/>
              <w:jc w:val="center"/>
            </w:pPr>
            <w:r>
              <w:t>(a)</w:t>
            </w:r>
          </w:p>
        </w:tc>
        <w:tc>
          <w:tcPr>
            <w:tcW w:w="4455" w:type="dxa"/>
            <w:tcBorders>
              <w:top w:val="nil"/>
              <w:left w:val="nil"/>
              <w:bottom w:val="nil"/>
              <w:right w:val="nil"/>
            </w:tcBorders>
          </w:tcPr>
          <w:p w14:paraId="2E77E513" w14:textId="77777777" w:rsidR="003A5EDF" w:rsidRDefault="00000000">
            <w:pPr>
              <w:pStyle w:val="Paragraph"/>
              <w:ind w:firstLine="0"/>
              <w:jc w:val="center"/>
            </w:pPr>
            <w:r>
              <w:t>(b)</w:t>
            </w:r>
          </w:p>
        </w:tc>
      </w:tr>
      <w:tr w:rsidR="003A5EDF" w14:paraId="2BD821E9" w14:textId="77777777">
        <w:trPr>
          <w:trHeight w:val="2073"/>
        </w:trPr>
        <w:tc>
          <w:tcPr>
            <w:tcW w:w="8904" w:type="dxa"/>
            <w:gridSpan w:val="2"/>
            <w:tcBorders>
              <w:top w:val="nil"/>
              <w:left w:val="nil"/>
              <w:bottom w:val="nil"/>
              <w:right w:val="nil"/>
            </w:tcBorders>
          </w:tcPr>
          <w:p w14:paraId="1E93EC2C" w14:textId="77777777" w:rsidR="003A5EDF" w:rsidRDefault="00000000">
            <w:pPr>
              <w:pStyle w:val="Paragraph"/>
              <w:ind w:firstLine="0"/>
              <w:jc w:val="center"/>
            </w:pPr>
            <w:r>
              <w:rPr>
                <w:noProof/>
              </w:rPr>
              <w:drawing>
                <wp:inline distT="0" distB="0" distL="0" distR="0" wp14:anchorId="6460CF41" wp14:editId="70FBE426">
                  <wp:extent cx="2698115" cy="1440180"/>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pic:cNvPicPr>
                            <a:picLocks noChangeAspect="1" noChangeArrowheads="1"/>
                          </pic:cNvPicPr>
                        </pic:nvPicPr>
                        <pic:blipFill>
                          <a:blip r:embed="rId22"/>
                          <a:stretch>
                            <a:fillRect/>
                          </a:stretch>
                        </pic:blipFill>
                        <pic:spPr bwMode="auto">
                          <a:xfrm>
                            <a:off x="0" y="0"/>
                            <a:ext cx="2698115" cy="1440180"/>
                          </a:xfrm>
                          <a:prstGeom prst="rect">
                            <a:avLst/>
                          </a:prstGeom>
                        </pic:spPr>
                      </pic:pic>
                    </a:graphicData>
                  </a:graphic>
                </wp:inline>
              </w:drawing>
            </w:r>
          </w:p>
        </w:tc>
      </w:tr>
      <w:tr w:rsidR="003A5EDF" w14:paraId="2E1689EE" w14:textId="77777777">
        <w:trPr>
          <w:trHeight w:val="212"/>
        </w:trPr>
        <w:tc>
          <w:tcPr>
            <w:tcW w:w="8904" w:type="dxa"/>
            <w:gridSpan w:val="2"/>
            <w:tcBorders>
              <w:top w:val="nil"/>
              <w:left w:val="nil"/>
              <w:bottom w:val="nil"/>
              <w:right w:val="nil"/>
            </w:tcBorders>
          </w:tcPr>
          <w:p w14:paraId="1D99BDE4" w14:textId="77777777" w:rsidR="003A5EDF" w:rsidRDefault="00000000">
            <w:pPr>
              <w:pStyle w:val="Paragraph"/>
              <w:ind w:firstLine="0"/>
              <w:jc w:val="center"/>
            </w:pPr>
            <w:r>
              <w:t>(c)</w:t>
            </w:r>
          </w:p>
        </w:tc>
      </w:tr>
    </w:tbl>
    <w:p w14:paraId="31B6287C" w14:textId="77777777" w:rsidR="003A5EDF" w:rsidRDefault="00000000">
      <w:pPr>
        <w:pStyle w:val="FigureCaption"/>
      </w:pPr>
      <w:r>
        <w:rPr>
          <w:b/>
          <w:caps/>
        </w:rPr>
        <w:t>Figure 6.</w:t>
      </w:r>
      <w:r>
        <w:t xml:space="preserve"> Displacements (a), velocities (b), and accelerations (c) of the upper (1) and lower (2) plates at </w:t>
      </w:r>
      <w:bookmarkStart w:id="12" w:name="_Hlk210055282"/>
      <w:r>
        <w:rPr>
          <w:rFonts w:ascii="Cambria Math" w:hAnsi="Cambria Math" w:cs="Cambria Math"/>
        </w:rPr>
        <w:t>𝜇</w:t>
      </w:r>
      <w:r>
        <w:rPr>
          <w:vertAlign w:val="subscript"/>
        </w:rPr>
        <w:t>1</w:t>
      </w:r>
      <w:r>
        <w:t xml:space="preserve">=0.023, </w:t>
      </w:r>
      <w:r>
        <w:rPr>
          <w:rFonts w:ascii="Cambria Math" w:hAnsi="Cambria Math" w:cs="Cambria Math"/>
        </w:rPr>
        <w:t>𝜇</w:t>
      </w:r>
      <w:r>
        <w:rPr>
          <w:vertAlign w:val="subscript"/>
        </w:rPr>
        <w:t>2</w:t>
      </w:r>
      <w:r>
        <w:t>=0.024</w:t>
      </w:r>
      <w:bookmarkEnd w:id="12"/>
      <w:r>
        <w:t>.</w:t>
      </w:r>
    </w:p>
    <w:p w14:paraId="343BD94A" w14:textId="77777777" w:rsidR="003A5EDF" w:rsidRDefault="003A5EDF">
      <w:pPr>
        <w:pStyle w:val="Paragraph"/>
      </w:pPr>
    </w:p>
    <w:p w14:paraId="770BC738" w14:textId="6F161CFF" w:rsidR="003A5EDF" w:rsidRDefault="00000000">
      <w:pPr>
        <w:pStyle w:val="Paragraph"/>
      </w:pPr>
      <w:r>
        <w:t>Fig</w:t>
      </w:r>
      <w:r w:rsidR="00721D07">
        <w:t>ure</w:t>
      </w:r>
      <w:r>
        <w:t xml:space="preserve"> 7 shows the results of calculations for </w:t>
      </w:r>
      <w:r>
        <w:rPr>
          <w:rFonts w:ascii="Cambria Math" w:hAnsi="Cambria Math" w:cs="Cambria Math"/>
        </w:rPr>
        <w:t>𝜇</w:t>
      </w:r>
      <w:r>
        <w:rPr>
          <w:vertAlign w:val="subscript"/>
        </w:rPr>
        <w:t>1</w:t>
      </w:r>
      <w:r>
        <w:t xml:space="preserve">=0.055, </w:t>
      </w:r>
      <w:r>
        <w:rPr>
          <w:rFonts w:ascii="Cambria Math" w:hAnsi="Cambria Math" w:cs="Cambria Math"/>
        </w:rPr>
        <w:t>𝜇</w:t>
      </w:r>
      <w:r>
        <w:rPr>
          <w:vertAlign w:val="subscript"/>
        </w:rPr>
        <w:t>2</w:t>
      </w:r>
      <w:r>
        <w:t xml:space="preserve">=0.054 </w:t>
      </w:r>
      <w:bookmarkStart w:id="13" w:name="_Hlk210055507"/>
      <w:r>
        <w:rPr>
          <w:lang w:val="ru-RU"/>
        </w:rPr>
        <w:t>и</w:t>
      </w:r>
      <w:r>
        <w:t xml:space="preserve"> </w:t>
      </w:r>
      <w:r>
        <w:rPr>
          <w:rFonts w:ascii="Cambria Math" w:hAnsi="Cambria Math" w:cs="Cambria Math"/>
          <w:i/>
          <w:iCs/>
        </w:rPr>
        <w:t>𝜑</w:t>
      </w:r>
      <w:r>
        <w:t>=10˚</w:t>
      </w:r>
      <w:bookmarkEnd w:id="13"/>
      <w:r>
        <w:t>. In this case |</w:t>
      </w:r>
      <w:r>
        <w:rPr>
          <w:i/>
          <w:iCs/>
        </w:rPr>
        <w:t>u</w:t>
      </w:r>
      <w:r>
        <w:rPr>
          <w:iCs/>
          <w:vertAlign w:val="subscript"/>
        </w:rPr>
        <w:t>1</w:t>
      </w:r>
      <w:r>
        <w:rPr>
          <w:iCs/>
        </w:rPr>
        <w:t>|</w:t>
      </w:r>
      <w:r>
        <w:rPr>
          <w:i/>
          <w:iCs/>
          <w:vertAlign w:val="subscript"/>
        </w:rPr>
        <w:t>max</w:t>
      </w:r>
      <w:r>
        <w:t>=0.05 </w:t>
      </w:r>
      <w:r>
        <w:rPr>
          <w:i/>
          <w:iCs/>
        </w:rPr>
        <w:t>m</w:t>
      </w:r>
      <w:r>
        <w:t xml:space="preserve">, </w:t>
      </w:r>
      <w:r>
        <w:rPr>
          <w:i/>
          <w:iCs/>
        </w:rPr>
        <w:t>u</w:t>
      </w:r>
      <w:r>
        <w:rPr>
          <w:vertAlign w:val="subscript"/>
        </w:rPr>
        <w:t>2</w:t>
      </w:r>
      <w:r>
        <w:rPr>
          <w:i/>
          <w:iCs/>
          <w:vertAlign w:val="subscript"/>
        </w:rPr>
        <w:t>max</w:t>
      </w:r>
      <w:r>
        <w:t xml:space="preserve">=0.1 </w:t>
      </w:r>
      <w:r>
        <w:rPr>
          <w:i/>
          <w:iCs/>
        </w:rPr>
        <w:t>m</w:t>
      </w:r>
      <w:r>
        <w:t>, |</w:t>
      </w:r>
      <w:r>
        <w:rPr>
          <w:i/>
          <w:iCs/>
        </w:rPr>
        <w:t>v</w:t>
      </w:r>
      <w:r>
        <w:rPr>
          <w:vertAlign w:val="subscript"/>
        </w:rPr>
        <w:t>1</w:t>
      </w:r>
      <w:r>
        <w:t>|</w:t>
      </w:r>
      <w:r>
        <w:rPr>
          <w:i/>
          <w:iCs/>
          <w:vertAlign w:val="subscript"/>
        </w:rPr>
        <w:t>max</w:t>
      </w:r>
      <w:r>
        <w:t xml:space="preserve">=0.37 </w:t>
      </w:r>
      <w:r>
        <w:rPr>
          <w:i/>
          <w:iCs/>
        </w:rPr>
        <w:t>m/s</w:t>
      </w:r>
      <w:r>
        <w:t xml:space="preserve">, </w:t>
      </w:r>
      <w:r>
        <w:rPr>
          <w:i/>
          <w:iCs/>
        </w:rPr>
        <w:t>v</w:t>
      </w:r>
      <w:r>
        <w:rPr>
          <w:vertAlign w:val="subscript"/>
        </w:rPr>
        <w:t>2</w:t>
      </w:r>
      <w:r>
        <w:rPr>
          <w:i/>
          <w:iCs/>
          <w:vertAlign w:val="subscript"/>
        </w:rPr>
        <w:t>max</w:t>
      </w:r>
      <w:r>
        <w:t xml:space="preserve">=0.62 </w:t>
      </w:r>
      <w:r>
        <w:rPr>
          <w:i/>
          <w:iCs/>
        </w:rPr>
        <w:t xml:space="preserve">m/s, </w:t>
      </w:r>
      <w:r>
        <w:rPr>
          <w:i/>
          <w:iCs/>
          <w:lang w:val="en-GB"/>
        </w:rPr>
        <w:t>w</w:t>
      </w:r>
      <w:r>
        <w:rPr>
          <w:iCs/>
          <w:vertAlign w:val="subscript"/>
          <w:lang w:val="en-GB"/>
        </w:rPr>
        <w:t>1</w:t>
      </w:r>
      <w:r>
        <w:rPr>
          <w:i/>
          <w:iCs/>
          <w:vertAlign w:val="subscript"/>
          <w:lang w:val="en-GB"/>
        </w:rPr>
        <w:t>max</w:t>
      </w:r>
      <w:r>
        <w:rPr>
          <w:i/>
          <w:iCs/>
          <w:lang w:val="en-GB"/>
        </w:rPr>
        <w:t>=</w:t>
      </w:r>
      <w:r>
        <w:rPr>
          <w:iCs/>
          <w:lang w:val="en-GB"/>
        </w:rPr>
        <w:t>2.21</w:t>
      </w:r>
      <w:r>
        <w:rPr>
          <w:i/>
          <w:iCs/>
          <w:lang w:val="en-GB"/>
        </w:rPr>
        <w:t xml:space="preserve"> m/s</w:t>
      </w:r>
      <w:r>
        <w:rPr>
          <w:i/>
          <w:iCs/>
          <w:vertAlign w:val="superscript"/>
          <w:lang w:val="en-GB"/>
        </w:rPr>
        <w:t>2</w:t>
      </w:r>
      <w:r>
        <w:rPr>
          <w:i/>
          <w:iCs/>
          <w:lang w:val="en-GB"/>
        </w:rPr>
        <w:t>, w</w:t>
      </w:r>
      <w:r>
        <w:rPr>
          <w:iCs/>
          <w:vertAlign w:val="subscript"/>
          <w:lang w:val="en-GB"/>
        </w:rPr>
        <w:t>2</w:t>
      </w:r>
      <w:r>
        <w:rPr>
          <w:i/>
          <w:iCs/>
          <w:vertAlign w:val="subscript"/>
          <w:lang w:val="en-GB"/>
        </w:rPr>
        <w:t>max</w:t>
      </w:r>
      <w:r>
        <w:rPr>
          <w:i/>
          <w:iCs/>
          <w:lang w:val="en-GB"/>
        </w:rPr>
        <w:t>=</w:t>
      </w:r>
      <w:r>
        <w:rPr>
          <w:iCs/>
          <w:lang w:val="en-GB"/>
        </w:rPr>
        <w:t>3.91</w:t>
      </w:r>
      <w:r>
        <w:rPr>
          <w:i/>
          <w:iCs/>
          <w:lang w:val="en-GB"/>
        </w:rPr>
        <w:t xml:space="preserve"> m/s</w:t>
      </w:r>
      <w:r>
        <w:rPr>
          <w:i/>
          <w:iCs/>
          <w:vertAlign w:val="superscript"/>
          <w:lang w:val="en-GB"/>
        </w:rPr>
        <w:t>2</w:t>
      </w:r>
      <w:r>
        <w:rPr>
          <w:i/>
          <w:iCs/>
          <w:lang w:val="en-GB"/>
        </w:rPr>
        <w:t>.</w:t>
      </w:r>
      <w:r>
        <w:rPr>
          <w:iCs/>
          <w:lang w:val="en-GB"/>
        </w:rPr>
        <w:t xml:space="preserve"> </w:t>
      </w:r>
      <w:r>
        <w:rPr>
          <w:iCs/>
        </w:rPr>
        <w:t>The results show that the maximum displacement values differ by a factor of 2, the maximum velocity values by a factor of 1.6, and the maximum acceleration values by a factor of 1.8. The results show that as the angle of inclination increases, the maximum displacement, velocity, and acceleration values of the upper plate increase proportionally.</w:t>
      </w:r>
    </w:p>
    <w:p w14:paraId="19E6994C" w14:textId="77777777" w:rsidR="003A5EDF" w:rsidRDefault="003A5EDF">
      <w:pPr>
        <w:pStyle w:val="Paragraph"/>
      </w:pPr>
    </w:p>
    <w:tbl>
      <w:tblPr>
        <w:tblStyle w:val="Tabellenraster"/>
        <w:tblW w:w="8997" w:type="dxa"/>
        <w:tblLayout w:type="fixed"/>
        <w:tblLook w:val="04A0" w:firstRow="1" w:lastRow="0" w:firstColumn="1" w:lastColumn="0" w:noHBand="0" w:noVBand="1"/>
      </w:tblPr>
      <w:tblGrid>
        <w:gridCol w:w="4490"/>
        <w:gridCol w:w="4507"/>
      </w:tblGrid>
      <w:tr w:rsidR="003A5EDF" w14:paraId="5A3BD0E5" w14:textId="77777777">
        <w:trPr>
          <w:trHeight w:val="1544"/>
        </w:trPr>
        <w:tc>
          <w:tcPr>
            <w:tcW w:w="4490" w:type="dxa"/>
            <w:tcBorders>
              <w:top w:val="nil"/>
              <w:left w:val="nil"/>
              <w:bottom w:val="nil"/>
              <w:right w:val="nil"/>
            </w:tcBorders>
          </w:tcPr>
          <w:p w14:paraId="3E93A617" w14:textId="77777777" w:rsidR="003A5EDF" w:rsidRDefault="00000000">
            <w:pPr>
              <w:pStyle w:val="Paragraph"/>
              <w:ind w:firstLine="0"/>
            </w:pPr>
            <w:r>
              <w:rPr>
                <w:noProof/>
              </w:rPr>
              <w:drawing>
                <wp:inline distT="0" distB="0" distL="0" distR="0" wp14:anchorId="0A6C8975" wp14:editId="00E20687">
                  <wp:extent cx="2714625" cy="1080135"/>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23"/>
                          <a:stretch>
                            <a:fillRect/>
                          </a:stretch>
                        </pic:blipFill>
                        <pic:spPr bwMode="auto">
                          <a:xfrm>
                            <a:off x="0" y="0"/>
                            <a:ext cx="2714625" cy="1080135"/>
                          </a:xfrm>
                          <a:prstGeom prst="rect">
                            <a:avLst/>
                          </a:prstGeom>
                        </pic:spPr>
                      </pic:pic>
                    </a:graphicData>
                  </a:graphic>
                </wp:inline>
              </w:drawing>
            </w:r>
          </w:p>
        </w:tc>
        <w:tc>
          <w:tcPr>
            <w:tcW w:w="4506" w:type="dxa"/>
            <w:tcBorders>
              <w:top w:val="nil"/>
              <w:left w:val="nil"/>
              <w:bottom w:val="nil"/>
              <w:right w:val="nil"/>
            </w:tcBorders>
          </w:tcPr>
          <w:p w14:paraId="4157A403" w14:textId="77777777" w:rsidR="003A5EDF" w:rsidRDefault="00000000">
            <w:pPr>
              <w:pStyle w:val="Paragraph"/>
              <w:ind w:firstLine="0"/>
            </w:pPr>
            <w:r>
              <w:rPr>
                <w:noProof/>
              </w:rPr>
              <w:drawing>
                <wp:inline distT="0" distB="0" distL="0" distR="0" wp14:anchorId="7A212548" wp14:editId="64A03CDB">
                  <wp:extent cx="2725420" cy="1078865"/>
                  <wp:effectExtent l="0" t="0" r="0" b="0"/>
                  <wp:docPr id="1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pic:cNvPicPr>
                            <a:picLocks noChangeAspect="1" noChangeArrowheads="1"/>
                          </pic:cNvPicPr>
                        </pic:nvPicPr>
                        <pic:blipFill>
                          <a:blip r:embed="rId24"/>
                          <a:stretch>
                            <a:fillRect/>
                          </a:stretch>
                        </pic:blipFill>
                        <pic:spPr bwMode="auto">
                          <a:xfrm>
                            <a:off x="0" y="0"/>
                            <a:ext cx="2725420" cy="1078865"/>
                          </a:xfrm>
                          <a:prstGeom prst="rect">
                            <a:avLst/>
                          </a:prstGeom>
                        </pic:spPr>
                      </pic:pic>
                    </a:graphicData>
                  </a:graphic>
                </wp:inline>
              </w:drawing>
            </w:r>
          </w:p>
        </w:tc>
      </w:tr>
      <w:tr w:rsidR="003A5EDF" w14:paraId="2B7184DC" w14:textId="77777777">
        <w:trPr>
          <w:trHeight w:val="204"/>
        </w:trPr>
        <w:tc>
          <w:tcPr>
            <w:tcW w:w="4490" w:type="dxa"/>
            <w:tcBorders>
              <w:top w:val="nil"/>
              <w:left w:val="nil"/>
              <w:bottom w:val="nil"/>
              <w:right w:val="nil"/>
            </w:tcBorders>
          </w:tcPr>
          <w:p w14:paraId="43C9B7CF" w14:textId="77777777" w:rsidR="003A5EDF" w:rsidRDefault="00000000">
            <w:pPr>
              <w:pStyle w:val="Paragraph"/>
              <w:ind w:firstLine="0"/>
              <w:jc w:val="center"/>
            </w:pPr>
            <w:r>
              <w:t>(a)</w:t>
            </w:r>
          </w:p>
        </w:tc>
        <w:tc>
          <w:tcPr>
            <w:tcW w:w="4506" w:type="dxa"/>
            <w:tcBorders>
              <w:top w:val="nil"/>
              <w:left w:val="nil"/>
              <w:bottom w:val="nil"/>
              <w:right w:val="nil"/>
            </w:tcBorders>
          </w:tcPr>
          <w:p w14:paraId="2C9D5924" w14:textId="77777777" w:rsidR="003A5EDF" w:rsidRDefault="00000000">
            <w:pPr>
              <w:pStyle w:val="Paragraph"/>
              <w:ind w:firstLine="0"/>
              <w:jc w:val="center"/>
            </w:pPr>
            <w:r>
              <w:t>(b)</w:t>
            </w:r>
          </w:p>
        </w:tc>
      </w:tr>
      <w:tr w:rsidR="003A5EDF" w14:paraId="2A420B5D" w14:textId="77777777">
        <w:trPr>
          <w:trHeight w:val="1544"/>
        </w:trPr>
        <w:tc>
          <w:tcPr>
            <w:tcW w:w="8996" w:type="dxa"/>
            <w:gridSpan w:val="2"/>
            <w:tcBorders>
              <w:top w:val="nil"/>
              <w:left w:val="nil"/>
              <w:bottom w:val="nil"/>
              <w:right w:val="nil"/>
            </w:tcBorders>
          </w:tcPr>
          <w:p w14:paraId="3D02AA0A" w14:textId="77777777" w:rsidR="003A5EDF" w:rsidRDefault="00000000">
            <w:pPr>
              <w:pStyle w:val="Paragraph"/>
              <w:ind w:firstLine="0"/>
              <w:jc w:val="center"/>
            </w:pPr>
            <w:r>
              <w:rPr>
                <w:noProof/>
              </w:rPr>
              <w:drawing>
                <wp:inline distT="0" distB="0" distL="0" distR="0" wp14:anchorId="724B931E" wp14:editId="5857E5E0">
                  <wp:extent cx="2806700" cy="1079500"/>
                  <wp:effectExtent l="0" t="0" r="0" b="0"/>
                  <wp:docPr id="1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25"/>
                          <a:stretch>
                            <a:fillRect/>
                          </a:stretch>
                        </pic:blipFill>
                        <pic:spPr bwMode="auto">
                          <a:xfrm>
                            <a:off x="0" y="0"/>
                            <a:ext cx="2806700" cy="1079500"/>
                          </a:xfrm>
                          <a:prstGeom prst="rect">
                            <a:avLst/>
                          </a:prstGeom>
                        </pic:spPr>
                      </pic:pic>
                    </a:graphicData>
                  </a:graphic>
                </wp:inline>
              </w:drawing>
            </w:r>
          </w:p>
        </w:tc>
      </w:tr>
      <w:tr w:rsidR="003A5EDF" w14:paraId="11288563" w14:textId="77777777">
        <w:trPr>
          <w:trHeight w:val="204"/>
        </w:trPr>
        <w:tc>
          <w:tcPr>
            <w:tcW w:w="8996" w:type="dxa"/>
            <w:gridSpan w:val="2"/>
            <w:tcBorders>
              <w:top w:val="nil"/>
              <w:left w:val="nil"/>
              <w:bottom w:val="nil"/>
              <w:right w:val="nil"/>
            </w:tcBorders>
          </w:tcPr>
          <w:p w14:paraId="42BABE6F" w14:textId="77777777" w:rsidR="003A5EDF" w:rsidRDefault="00000000">
            <w:pPr>
              <w:pStyle w:val="Paragraph"/>
              <w:ind w:firstLine="0"/>
              <w:jc w:val="center"/>
            </w:pPr>
            <w:r>
              <w:t>(c)</w:t>
            </w:r>
          </w:p>
        </w:tc>
      </w:tr>
    </w:tbl>
    <w:p w14:paraId="5A91F15E" w14:textId="77777777" w:rsidR="003A5EDF" w:rsidRDefault="00000000">
      <w:pPr>
        <w:pStyle w:val="FigureCaption"/>
      </w:pPr>
      <w:bookmarkStart w:id="14" w:name="_Hlk209714314"/>
      <w:r>
        <w:rPr>
          <w:b/>
          <w:caps/>
        </w:rPr>
        <w:t>Figure 7.</w:t>
      </w:r>
      <w:r>
        <w:t xml:space="preserve"> </w:t>
      </w:r>
      <w:bookmarkEnd w:id="14"/>
      <w:r>
        <w:t xml:space="preserve">Displacements (a), velocities (b), and accelerations (c) of the upper (1) and lower (2) plates at </w:t>
      </w:r>
      <w:r>
        <w:rPr>
          <w:rFonts w:ascii="Cambria Math" w:hAnsi="Cambria Math" w:cs="Cambria Math"/>
        </w:rPr>
        <w:t>𝜇</w:t>
      </w:r>
      <w:r>
        <w:rPr>
          <w:vertAlign w:val="subscript"/>
        </w:rPr>
        <w:t>1</w:t>
      </w:r>
      <w:r>
        <w:t xml:space="preserve">=0.055, </w:t>
      </w:r>
      <w:r>
        <w:rPr>
          <w:rFonts w:ascii="Cambria Math" w:hAnsi="Cambria Math" w:cs="Cambria Math"/>
        </w:rPr>
        <w:t>𝜇</w:t>
      </w:r>
      <w:r>
        <w:rPr>
          <w:vertAlign w:val="subscript"/>
        </w:rPr>
        <w:t>2</w:t>
      </w:r>
      <w:r>
        <w:t xml:space="preserve">=0.054 and </w:t>
      </w:r>
      <w:r>
        <w:rPr>
          <w:rFonts w:ascii="Cambria Math" w:hAnsi="Cambria Math" w:cs="Cambria Math"/>
        </w:rPr>
        <w:t>𝜑</w:t>
      </w:r>
      <w:r>
        <w:t>=10˚.</w:t>
      </w:r>
    </w:p>
    <w:p w14:paraId="2BE58B27" w14:textId="77777777" w:rsidR="003A5EDF" w:rsidRDefault="003A5EDF">
      <w:pPr>
        <w:pStyle w:val="Paragraph"/>
      </w:pPr>
    </w:p>
    <w:p w14:paraId="20180F24" w14:textId="77777777" w:rsidR="003A5EDF" w:rsidRDefault="00000000">
      <w:pPr>
        <w:pStyle w:val="Paragraph"/>
      </w:pPr>
      <w:r>
        <w:t xml:space="preserve">Now let's look at the results calculated based on records of actual earthquakes. We will perform the calculations with </w:t>
      </w:r>
      <w:r>
        <w:rPr>
          <w:rFonts w:ascii="Cambria Math" w:hAnsi="Cambria Math" w:cs="Cambria Math"/>
        </w:rPr>
        <w:t>𝜇</w:t>
      </w:r>
      <w:r>
        <w:rPr>
          <w:vertAlign w:val="subscript"/>
        </w:rPr>
        <w:t>1</w:t>
      </w:r>
      <w:r>
        <w:t xml:space="preserve">=0.055 and </w:t>
      </w:r>
      <w:r>
        <w:rPr>
          <w:rFonts w:ascii="Cambria Math" w:hAnsi="Cambria Math" w:cs="Cambria Math"/>
        </w:rPr>
        <w:t>𝜇</w:t>
      </w:r>
      <w:r>
        <w:rPr>
          <w:vertAlign w:val="subscript"/>
        </w:rPr>
        <w:t>2</w:t>
      </w:r>
      <w:r>
        <w:t>=0.054.</w:t>
      </w:r>
    </w:p>
    <w:p w14:paraId="5609A5DA" w14:textId="77777777" w:rsidR="003A5EDF" w:rsidRDefault="00000000">
      <w:pPr>
        <w:pStyle w:val="Paragraph"/>
      </w:pPr>
      <w:r>
        <w:t xml:space="preserve">Figures 8 and 9 for the Nocera Umbra 2 earthquake, Italy – 000856 (03.04.1998, 9 points on the MSK-64 scale, maximum acceleration – 3.73 </w:t>
      </w:r>
      <w:r>
        <w:rPr>
          <w:i/>
        </w:rPr>
        <w:t>m/s</w:t>
      </w:r>
      <w:r>
        <w:rPr>
          <w:i/>
          <w:vertAlign w:val="superscript"/>
        </w:rPr>
        <w:t>2</w:t>
      </w:r>
      <w:r>
        <w:t xml:space="preserve">, maximum displacement – 0.0054 </w:t>
      </w:r>
      <w:r>
        <w:rPr>
          <w:i/>
        </w:rPr>
        <w:t>m</w:t>
      </w:r>
      <w:r>
        <w:t xml:space="preserve">, digitization step – 0.005 </w:t>
      </w:r>
      <w:r>
        <w:rPr>
          <w:i/>
        </w:rPr>
        <w:t>s</w:t>
      </w:r>
      <w:r>
        <w:t>, duration – 40.990 </w:t>
      </w:r>
      <w:r>
        <w:rPr>
          <w:i/>
        </w:rPr>
        <w:t>s</w:t>
      </w:r>
      <w:r>
        <w:t xml:space="preserve">) the results of the calculations are given. In this case </w:t>
      </w:r>
      <w:r>
        <w:rPr>
          <w:i/>
          <w:iCs/>
          <w:lang w:val="en-GB"/>
        </w:rPr>
        <w:t>u</w:t>
      </w:r>
      <w:r>
        <w:rPr>
          <w:iCs/>
          <w:vertAlign w:val="subscript"/>
          <w:lang w:val="en-GB"/>
        </w:rPr>
        <w:t>1</w:t>
      </w:r>
      <w:r>
        <w:rPr>
          <w:i/>
          <w:iCs/>
          <w:vertAlign w:val="subscript"/>
          <w:lang w:val="en-GB"/>
        </w:rPr>
        <w:t>max</w:t>
      </w:r>
      <w:r>
        <w:rPr>
          <w:i/>
          <w:iCs/>
          <w:lang w:val="en-GB"/>
        </w:rPr>
        <w:t>=</w:t>
      </w:r>
      <w:r>
        <w:rPr>
          <w:iCs/>
          <w:lang w:val="en-GB"/>
        </w:rPr>
        <w:t>0.0019</w:t>
      </w:r>
      <w:r>
        <w:rPr>
          <w:i/>
          <w:iCs/>
          <w:lang w:val="en-GB"/>
        </w:rPr>
        <w:t xml:space="preserve"> m, u</w:t>
      </w:r>
      <w:r>
        <w:rPr>
          <w:iCs/>
          <w:vertAlign w:val="subscript"/>
          <w:lang w:val="en-GB"/>
        </w:rPr>
        <w:t>2</w:t>
      </w:r>
      <w:r>
        <w:rPr>
          <w:i/>
          <w:iCs/>
          <w:vertAlign w:val="subscript"/>
          <w:lang w:val="en-GB"/>
        </w:rPr>
        <w:t>max</w:t>
      </w:r>
      <w:r>
        <w:rPr>
          <w:i/>
          <w:iCs/>
          <w:lang w:val="en-GB"/>
        </w:rPr>
        <w:t>=</w:t>
      </w:r>
      <w:r>
        <w:rPr>
          <w:iCs/>
          <w:lang w:val="en-GB"/>
        </w:rPr>
        <w:t>0.0054</w:t>
      </w:r>
      <w:r>
        <w:rPr>
          <w:i/>
          <w:iCs/>
          <w:lang w:val="en-GB"/>
        </w:rPr>
        <w:t> m</w:t>
      </w:r>
      <w:r>
        <w:t xml:space="preserve">, </w:t>
      </w:r>
      <w:r>
        <w:rPr>
          <w:i/>
          <w:iCs/>
        </w:rPr>
        <w:t>v</w:t>
      </w:r>
      <w:r>
        <w:rPr>
          <w:iCs/>
          <w:vertAlign w:val="subscript"/>
        </w:rPr>
        <w:t>1</w:t>
      </w:r>
      <w:r>
        <w:rPr>
          <w:i/>
          <w:iCs/>
          <w:vertAlign w:val="subscript"/>
        </w:rPr>
        <w:t>max</w:t>
      </w:r>
      <w:r>
        <w:rPr>
          <w:i/>
          <w:iCs/>
        </w:rPr>
        <w:t>=</w:t>
      </w:r>
      <w:r>
        <w:rPr>
          <w:iCs/>
        </w:rPr>
        <w:t xml:space="preserve">0.038 </w:t>
      </w:r>
      <w:r>
        <w:rPr>
          <w:i/>
          <w:iCs/>
        </w:rPr>
        <w:t xml:space="preserve">m/s, </w:t>
      </w:r>
      <w:r>
        <w:rPr>
          <w:i/>
          <w:iCs/>
        </w:rPr>
        <w:lastRenderedPageBreak/>
        <w:t>v</w:t>
      </w:r>
      <w:r>
        <w:rPr>
          <w:iCs/>
          <w:vertAlign w:val="subscript"/>
        </w:rPr>
        <w:t>2</w:t>
      </w:r>
      <w:r>
        <w:rPr>
          <w:i/>
          <w:iCs/>
          <w:vertAlign w:val="subscript"/>
        </w:rPr>
        <w:t>max</w:t>
      </w:r>
      <w:r>
        <w:rPr>
          <w:i/>
          <w:iCs/>
        </w:rPr>
        <w:t>=</w:t>
      </w:r>
      <w:r>
        <w:rPr>
          <w:iCs/>
        </w:rPr>
        <w:t>0.11</w:t>
      </w:r>
      <w:r>
        <w:rPr>
          <w:i/>
          <w:iCs/>
        </w:rPr>
        <w:t xml:space="preserve"> m/s, w</w:t>
      </w:r>
      <w:r>
        <w:rPr>
          <w:iCs/>
          <w:vertAlign w:val="subscript"/>
        </w:rPr>
        <w:t>1</w:t>
      </w:r>
      <w:r>
        <w:rPr>
          <w:i/>
          <w:iCs/>
          <w:vertAlign w:val="subscript"/>
        </w:rPr>
        <w:t>max</w:t>
      </w:r>
      <w:r>
        <w:rPr>
          <w:i/>
          <w:iCs/>
        </w:rPr>
        <w:t>=</w:t>
      </w:r>
      <w:r>
        <w:rPr>
          <w:iCs/>
        </w:rPr>
        <w:t>1.05</w:t>
      </w:r>
      <w:r>
        <w:rPr>
          <w:i/>
          <w:iCs/>
        </w:rPr>
        <w:t xml:space="preserve"> m/s</w:t>
      </w:r>
      <w:r>
        <w:rPr>
          <w:i/>
          <w:iCs/>
          <w:vertAlign w:val="superscript"/>
        </w:rPr>
        <w:t>2</w:t>
      </w:r>
      <w:r>
        <w:rPr>
          <w:i/>
          <w:iCs/>
        </w:rPr>
        <w:t>, w</w:t>
      </w:r>
      <w:r>
        <w:rPr>
          <w:iCs/>
          <w:vertAlign w:val="subscript"/>
        </w:rPr>
        <w:t>2</w:t>
      </w:r>
      <w:r>
        <w:rPr>
          <w:i/>
          <w:iCs/>
          <w:vertAlign w:val="subscript"/>
        </w:rPr>
        <w:t>max</w:t>
      </w:r>
      <w:r>
        <w:rPr>
          <w:i/>
          <w:iCs/>
        </w:rPr>
        <w:t>=</w:t>
      </w:r>
      <w:r>
        <w:rPr>
          <w:iCs/>
        </w:rPr>
        <w:t>3.73</w:t>
      </w:r>
      <w:r>
        <w:rPr>
          <w:i/>
          <w:iCs/>
        </w:rPr>
        <w:t xml:space="preserve"> m/s</w:t>
      </w:r>
      <w:r>
        <w:rPr>
          <w:i/>
          <w:iCs/>
          <w:vertAlign w:val="superscript"/>
        </w:rPr>
        <w:t>2</w:t>
      </w:r>
      <w:r>
        <w:rPr>
          <w:i/>
          <w:iCs/>
          <w:lang w:val="en-GB"/>
        </w:rPr>
        <w:t>.</w:t>
      </w:r>
      <w:r>
        <w:rPr>
          <w:iCs/>
          <w:lang w:val="en-GB"/>
        </w:rPr>
        <w:t xml:space="preserve"> </w:t>
      </w:r>
      <w:r>
        <w:rPr>
          <w:iCs/>
        </w:rPr>
        <w:t xml:space="preserve">The results show that at </w:t>
      </w:r>
      <w:r>
        <w:rPr>
          <w:rFonts w:ascii="Cambria Math" w:hAnsi="Cambria Math" w:cs="Cambria Math"/>
          <w:i/>
          <w:iCs/>
          <w:lang w:val="ru-RU"/>
        </w:rPr>
        <w:t>𝜑</w:t>
      </w:r>
      <w:r>
        <w:rPr>
          <w:iCs/>
        </w:rPr>
        <w:t xml:space="preserve">=5˚, the maximum displacement values differ by a factor of 2.8, the maximum velocity values by a factor of 2.8, and the maximum acceleration values by a factor of 3.6. </w:t>
      </w:r>
    </w:p>
    <w:p w14:paraId="4B2C8ADD" w14:textId="77777777" w:rsidR="003A5EDF" w:rsidRDefault="003A5EDF">
      <w:pPr>
        <w:pStyle w:val="Paragraph"/>
      </w:pPr>
    </w:p>
    <w:tbl>
      <w:tblPr>
        <w:tblStyle w:val="Tabellenraster"/>
        <w:tblW w:w="8532" w:type="dxa"/>
        <w:tblLayout w:type="fixed"/>
        <w:tblLook w:val="04A0" w:firstRow="1" w:lastRow="0" w:firstColumn="1" w:lastColumn="0" w:noHBand="0" w:noVBand="1"/>
      </w:tblPr>
      <w:tblGrid>
        <w:gridCol w:w="4326"/>
        <w:gridCol w:w="4206"/>
      </w:tblGrid>
      <w:tr w:rsidR="003A5EDF" w14:paraId="548CAA25" w14:textId="77777777">
        <w:trPr>
          <w:trHeight w:val="1441"/>
        </w:trPr>
        <w:tc>
          <w:tcPr>
            <w:tcW w:w="4325" w:type="dxa"/>
            <w:tcBorders>
              <w:top w:val="nil"/>
              <w:left w:val="nil"/>
              <w:bottom w:val="nil"/>
              <w:right w:val="nil"/>
            </w:tcBorders>
          </w:tcPr>
          <w:p w14:paraId="06D824FE" w14:textId="77777777" w:rsidR="003A5EDF" w:rsidRDefault="00000000">
            <w:pPr>
              <w:pStyle w:val="Paragraph"/>
              <w:ind w:firstLine="0"/>
              <w:rPr>
                <w:lang w:val="ru-RU"/>
              </w:rPr>
            </w:pPr>
            <w:r>
              <w:rPr>
                <w:noProof/>
              </w:rPr>
              <w:drawing>
                <wp:inline distT="0" distB="0" distL="0" distR="0" wp14:anchorId="3F1AA581" wp14:editId="7C4C2B9D">
                  <wp:extent cx="2609850" cy="1080135"/>
                  <wp:effectExtent l="0" t="0" r="0" b="0"/>
                  <wp:docPr id="1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pic:cNvPicPr>
                            <a:picLocks noChangeAspect="1" noChangeArrowheads="1"/>
                          </pic:cNvPicPr>
                        </pic:nvPicPr>
                        <pic:blipFill>
                          <a:blip r:embed="rId26"/>
                          <a:stretch>
                            <a:fillRect/>
                          </a:stretch>
                        </pic:blipFill>
                        <pic:spPr bwMode="auto">
                          <a:xfrm>
                            <a:off x="0" y="0"/>
                            <a:ext cx="2609850" cy="1080135"/>
                          </a:xfrm>
                          <a:prstGeom prst="rect">
                            <a:avLst/>
                          </a:prstGeom>
                        </pic:spPr>
                      </pic:pic>
                    </a:graphicData>
                  </a:graphic>
                </wp:inline>
              </w:drawing>
            </w:r>
          </w:p>
        </w:tc>
        <w:tc>
          <w:tcPr>
            <w:tcW w:w="4206" w:type="dxa"/>
            <w:tcBorders>
              <w:top w:val="nil"/>
              <w:left w:val="nil"/>
              <w:bottom w:val="nil"/>
              <w:right w:val="nil"/>
            </w:tcBorders>
          </w:tcPr>
          <w:p w14:paraId="2D0FDC8C" w14:textId="77777777" w:rsidR="003A5EDF" w:rsidRDefault="00000000">
            <w:pPr>
              <w:pStyle w:val="Paragraph"/>
              <w:ind w:firstLine="0"/>
              <w:rPr>
                <w:lang w:val="ru-RU"/>
              </w:rPr>
            </w:pPr>
            <w:r>
              <w:rPr>
                <w:noProof/>
              </w:rPr>
              <w:drawing>
                <wp:inline distT="0" distB="0" distL="0" distR="0" wp14:anchorId="11321981" wp14:editId="4A0919E4">
                  <wp:extent cx="2529840" cy="1080135"/>
                  <wp:effectExtent l="0" t="0" r="0" b="0"/>
                  <wp:docPr id="1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pic:cNvPicPr>
                            <a:picLocks noChangeAspect="1" noChangeArrowheads="1"/>
                          </pic:cNvPicPr>
                        </pic:nvPicPr>
                        <pic:blipFill>
                          <a:blip r:embed="rId27"/>
                          <a:stretch>
                            <a:fillRect/>
                          </a:stretch>
                        </pic:blipFill>
                        <pic:spPr bwMode="auto">
                          <a:xfrm>
                            <a:off x="0" y="0"/>
                            <a:ext cx="2529840" cy="1080135"/>
                          </a:xfrm>
                          <a:prstGeom prst="rect">
                            <a:avLst/>
                          </a:prstGeom>
                        </pic:spPr>
                      </pic:pic>
                    </a:graphicData>
                  </a:graphic>
                </wp:inline>
              </w:drawing>
            </w:r>
          </w:p>
        </w:tc>
      </w:tr>
      <w:tr w:rsidR="003A5EDF" w14:paraId="4A478A10" w14:textId="77777777">
        <w:trPr>
          <w:trHeight w:val="191"/>
        </w:trPr>
        <w:tc>
          <w:tcPr>
            <w:tcW w:w="4325" w:type="dxa"/>
            <w:tcBorders>
              <w:top w:val="nil"/>
              <w:left w:val="nil"/>
              <w:bottom w:val="nil"/>
              <w:right w:val="nil"/>
            </w:tcBorders>
          </w:tcPr>
          <w:p w14:paraId="33682BA1" w14:textId="77777777" w:rsidR="003A5EDF" w:rsidRDefault="00000000">
            <w:pPr>
              <w:pStyle w:val="Paragraph"/>
              <w:ind w:firstLine="0"/>
              <w:jc w:val="center"/>
              <w:rPr>
                <w:lang w:val="ru-RU"/>
              </w:rPr>
            </w:pPr>
            <w:r>
              <w:rPr>
                <w:lang w:val="ru-RU"/>
              </w:rPr>
              <w:t>(</w:t>
            </w:r>
            <w:r>
              <w:t>a</w:t>
            </w:r>
            <w:r>
              <w:rPr>
                <w:lang w:val="ru-RU"/>
              </w:rPr>
              <w:t>)</w:t>
            </w:r>
          </w:p>
        </w:tc>
        <w:tc>
          <w:tcPr>
            <w:tcW w:w="4206" w:type="dxa"/>
            <w:tcBorders>
              <w:top w:val="nil"/>
              <w:left w:val="nil"/>
              <w:bottom w:val="nil"/>
              <w:right w:val="nil"/>
            </w:tcBorders>
          </w:tcPr>
          <w:p w14:paraId="3E5E7F54" w14:textId="77777777" w:rsidR="003A5EDF" w:rsidRDefault="00000000">
            <w:pPr>
              <w:pStyle w:val="Paragraph"/>
              <w:ind w:firstLine="0"/>
              <w:jc w:val="center"/>
              <w:rPr>
                <w:lang w:val="ru-RU"/>
              </w:rPr>
            </w:pPr>
            <w:r>
              <w:rPr>
                <w:lang w:val="ru-RU"/>
              </w:rPr>
              <w:t>(</w:t>
            </w:r>
            <w:r>
              <w:t>b</w:t>
            </w:r>
            <w:r>
              <w:rPr>
                <w:lang w:val="ru-RU"/>
              </w:rPr>
              <w:t>)</w:t>
            </w:r>
          </w:p>
        </w:tc>
      </w:tr>
      <w:tr w:rsidR="003A5EDF" w14:paraId="4D9B23E1" w14:textId="77777777">
        <w:trPr>
          <w:trHeight w:val="1447"/>
        </w:trPr>
        <w:tc>
          <w:tcPr>
            <w:tcW w:w="8531" w:type="dxa"/>
            <w:gridSpan w:val="2"/>
            <w:tcBorders>
              <w:top w:val="nil"/>
              <w:left w:val="nil"/>
              <w:bottom w:val="nil"/>
              <w:right w:val="nil"/>
            </w:tcBorders>
          </w:tcPr>
          <w:p w14:paraId="35886BC5" w14:textId="77777777" w:rsidR="003A5EDF" w:rsidRDefault="00000000">
            <w:pPr>
              <w:pStyle w:val="Paragraph"/>
              <w:ind w:firstLine="0"/>
              <w:jc w:val="center"/>
              <w:rPr>
                <w:lang w:val="ru-RU"/>
              </w:rPr>
            </w:pPr>
            <w:r>
              <w:rPr>
                <w:noProof/>
              </w:rPr>
              <w:drawing>
                <wp:inline distT="0" distB="0" distL="0" distR="0" wp14:anchorId="5A332A3A" wp14:editId="77E7CA35">
                  <wp:extent cx="2522220" cy="1080135"/>
                  <wp:effectExtent l="0" t="0" r="0" b="0"/>
                  <wp:docPr id="2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
                          <pic:cNvPicPr>
                            <a:picLocks noChangeAspect="1" noChangeArrowheads="1"/>
                          </pic:cNvPicPr>
                        </pic:nvPicPr>
                        <pic:blipFill>
                          <a:blip r:embed="rId28"/>
                          <a:stretch>
                            <a:fillRect/>
                          </a:stretch>
                        </pic:blipFill>
                        <pic:spPr bwMode="auto">
                          <a:xfrm>
                            <a:off x="0" y="0"/>
                            <a:ext cx="2522220" cy="1080135"/>
                          </a:xfrm>
                          <a:prstGeom prst="rect">
                            <a:avLst/>
                          </a:prstGeom>
                        </pic:spPr>
                      </pic:pic>
                    </a:graphicData>
                  </a:graphic>
                </wp:inline>
              </w:drawing>
            </w:r>
          </w:p>
        </w:tc>
      </w:tr>
      <w:tr w:rsidR="003A5EDF" w14:paraId="7C04E73B" w14:textId="77777777">
        <w:trPr>
          <w:trHeight w:val="186"/>
        </w:trPr>
        <w:tc>
          <w:tcPr>
            <w:tcW w:w="8531" w:type="dxa"/>
            <w:gridSpan w:val="2"/>
            <w:tcBorders>
              <w:top w:val="nil"/>
              <w:left w:val="nil"/>
              <w:bottom w:val="nil"/>
              <w:right w:val="nil"/>
            </w:tcBorders>
          </w:tcPr>
          <w:p w14:paraId="53BC5B3C" w14:textId="77777777" w:rsidR="003A5EDF" w:rsidRDefault="00000000">
            <w:pPr>
              <w:pStyle w:val="Paragraph"/>
              <w:ind w:firstLine="0"/>
              <w:jc w:val="center"/>
              <w:rPr>
                <w:lang w:val="ru-RU"/>
              </w:rPr>
            </w:pPr>
            <w:r>
              <w:rPr>
                <w:lang w:val="ru-RU"/>
              </w:rPr>
              <w:t>(</w:t>
            </w:r>
            <w:r>
              <w:t>c</w:t>
            </w:r>
            <w:r>
              <w:rPr>
                <w:lang w:val="ru-RU"/>
              </w:rPr>
              <w:t>)</w:t>
            </w:r>
            <w:bookmarkStart w:id="15" w:name="_Hlk209714571"/>
            <w:bookmarkEnd w:id="15"/>
          </w:p>
        </w:tc>
      </w:tr>
    </w:tbl>
    <w:p w14:paraId="6327CBDA" w14:textId="77777777" w:rsidR="003A5EDF" w:rsidRDefault="00000000">
      <w:pPr>
        <w:pStyle w:val="FigureCaption"/>
      </w:pPr>
      <w:r>
        <w:rPr>
          <w:b/>
          <w:caps/>
        </w:rPr>
        <w:t>Figure 8.</w:t>
      </w:r>
      <w:r>
        <w:t xml:space="preserve"> Displacements (a), velocities (b), and accelerations (c) of the upper (1) and lower (2) plates at</w:t>
      </w:r>
      <w:r>
        <w:rPr>
          <w:rFonts w:ascii="Cambria Math" w:hAnsi="Cambria Math" w:cs="Cambria Math"/>
        </w:rPr>
        <w:t xml:space="preserve"> 𝜑</w:t>
      </w:r>
      <w:r>
        <w:t xml:space="preserve">=5˚, </w:t>
      </w:r>
      <w:r>
        <w:rPr>
          <w:i/>
          <w:iCs/>
        </w:rPr>
        <w:t>l</w:t>
      </w:r>
      <w:r>
        <w:t xml:space="preserve">=0.02 </w:t>
      </w:r>
      <w:r>
        <w:rPr>
          <w:i/>
          <w:iCs/>
          <w:lang w:val="en-GB"/>
        </w:rPr>
        <w:t>m</w:t>
      </w:r>
      <w:r>
        <w:t>.</w:t>
      </w:r>
    </w:p>
    <w:p w14:paraId="08C44922" w14:textId="77777777" w:rsidR="003A5EDF" w:rsidRDefault="003A5EDF">
      <w:pPr>
        <w:pStyle w:val="Paragraph"/>
      </w:pPr>
    </w:p>
    <w:p w14:paraId="6D365625" w14:textId="060DC2B7" w:rsidR="003A5EDF" w:rsidRDefault="00000000">
      <w:pPr>
        <w:pStyle w:val="Paragraph"/>
      </w:pPr>
      <w:r>
        <w:t>For a clear analysis of the dynamics of the upper plate, Fig</w:t>
      </w:r>
      <w:r w:rsidR="0015233B">
        <w:t>.</w:t>
      </w:r>
      <w:r>
        <w:t xml:space="preserve"> 9 shows the displacement of the plates in the time interval 13-15 s. </w:t>
      </w:r>
      <w:proofErr w:type="gramStart"/>
      <w:r>
        <w:t>It can be seen that in</w:t>
      </w:r>
      <w:proofErr w:type="gramEnd"/>
      <w:r>
        <w:t xml:space="preserve"> the 2-second time interval, the processes of relative and joint motion are observed several times. As a result of the acceleration amplitude reaching high values, the displacement and velocities also reach their maximum values during this </w:t>
      </w:r>
      <w:proofErr w:type="gramStart"/>
      <w:r>
        <w:t>time period</w:t>
      </w:r>
      <w:proofErr w:type="gramEnd"/>
      <w:r>
        <w:t>.</w:t>
      </w:r>
    </w:p>
    <w:p w14:paraId="5893BD81" w14:textId="77777777" w:rsidR="003A5EDF" w:rsidRDefault="003A5EDF">
      <w:pPr>
        <w:pStyle w:val="Paragraph"/>
      </w:pPr>
    </w:p>
    <w:tbl>
      <w:tblPr>
        <w:tblStyle w:val="Tabellenraster"/>
        <w:tblW w:w="8933" w:type="dxa"/>
        <w:jc w:val="center"/>
        <w:tblLayout w:type="fixed"/>
        <w:tblLook w:val="04A0" w:firstRow="1" w:lastRow="0" w:firstColumn="1" w:lastColumn="0" w:noHBand="0" w:noVBand="1"/>
      </w:tblPr>
      <w:tblGrid>
        <w:gridCol w:w="4477"/>
        <w:gridCol w:w="4456"/>
      </w:tblGrid>
      <w:tr w:rsidR="003A5EDF" w14:paraId="4D93BCDD" w14:textId="77777777">
        <w:trPr>
          <w:trHeight w:val="1619"/>
          <w:jc w:val="center"/>
        </w:trPr>
        <w:tc>
          <w:tcPr>
            <w:tcW w:w="4476" w:type="dxa"/>
            <w:tcBorders>
              <w:top w:val="nil"/>
              <w:left w:val="nil"/>
              <w:bottom w:val="nil"/>
              <w:right w:val="nil"/>
            </w:tcBorders>
          </w:tcPr>
          <w:p w14:paraId="36D9E5A4" w14:textId="77777777" w:rsidR="003A5EDF" w:rsidRDefault="00000000">
            <w:pPr>
              <w:pStyle w:val="Paragraph"/>
              <w:ind w:firstLine="0"/>
            </w:pPr>
            <w:r>
              <w:rPr>
                <w:noProof/>
              </w:rPr>
              <w:drawing>
                <wp:inline distT="0" distB="0" distL="0" distR="0" wp14:anchorId="12455CFA" wp14:editId="0A0C90E8">
                  <wp:extent cx="2698115" cy="1440180"/>
                  <wp:effectExtent l="0" t="0" r="0" b="0"/>
                  <wp:docPr id="2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
                          <pic:cNvPicPr>
                            <a:picLocks noChangeAspect="1" noChangeArrowheads="1"/>
                          </pic:cNvPicPr>
                        </pic:nvPicPr>
                        <pic:blipFill>
                          <a:blip r:embed="rId29"/>
                          <a:stretch>
                            <a:fillRect/>
                          </a:stretch>
                        </pic:blipFill>
                        <pic:spPr bwMode="auto">
                          <a:xfrm>
                            <a:off x="0" y="0"/>
                            <a:ext cx="2698115" cy="1440180"/>
                          </a:xfrm>
                          <a:prstGeom prst="rect">
                            <a:avLst/>
                          </a:prstGeom>
                        </pic:spPr>
                      </pic:pic>
                    </a:graphicData>
                  </a:graphic>
                </wp:inline>
              </w:drawing>
            </w:r>
          </w:p>
        </w:tc>
        <w:tc>
          <w:tcPr>
            <w:tcW w:w="4456" w:type="dxa"/>
            <w:tcBorders>
              <w:top w:val="nil"/>
              <w:left w:val="nil"/>
              <w:bottom w:val="nil"/>
              <w:right w:val="nil"/>
            </w:tcBorders>
          </w:tcPr>
          <w:p w14:paraId="604B8E02" w14:textId="77777777" w:rsidR="003A5EDF" w:rsidRDefault="00000000">
            <w:pPr>
              <w:pStyle w:val="Paragraph"/>
              <w:ind w:firstLine="0"/>
            </w:pPr>
            <w:r>
              <w:rPr>
                <w:noProof/>
              </w:rPr>
              <w:drawing>
                <wp:inline distT="0" distB="0" distL="0" distR="0" wp14:anchorId="1F1FBC98" wp14:editId="1F92E26C">
                  <wp:extent cx="2692400" cy="1440180"/>
                  <wp:effectExtent l="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6"/>
                          <pic:cNvPicPr>
                            <a:picLocks noChangeAspect="1" noChangeArrowheads="1"/>
                          </pic:cNvPicPr>
                        </pic:nvPicPr>
                        <pic:blipFill>
                          <a:blip r:embed="rId30"/>
                          <a:stretch>
                            <a:fillRect/>
                          </a:stretch>
                        </pic:blipFill>
                        <pic:spPr bwMode="auto">
                          <a:xfrm>
                            <a:off x="0" y="0"/>
                            <a:ext cx="2692400" cy="1440180"/>
                          </a:xfrm>
                          <a:prstGeom prst="rect">
                            <a:avLst/>
                          </a:prstGeom>
                        </pic:spPr>
                      </pic:pic>
                    </a:graphicData>
                  </a:graphic>
                </wp:inline>
              </w:drawing>
            </w:r>
          </w:p>
        </w:tc>
      </w:tr>
      <w:tr w:rsidR="003A5EDF" w14:paraId="0A15733F" w14:textId="77777777">
        <w:trPr>
          <w:trHeight w:val="215"/>
          <w:jc w:val="center"/>
        </w:trPr>
        <w:tc>
          <w:tcPr>
            <w:tcW w:w="4476" w:type="dxa"/>
            <w:tcBorders>
              <w:top w:val="nil"/>
              <w:left w:val="nil"/>
              <w:bottom w:val="nil"/>
              <w:right w:val="nil"/>
            </w:tcBorders>
          </w:tcPr>
          <w:p w14:paraId="37C157D5" w14:textId="77777777" w:rsidR="003A5EDF" w:rsidRDefault="00000000">
            <w:pPr>
              <w:pStyle w:val="Paragraph"/>
              <w:ind w:firstLine="0"/>
              <w:jc w:val="center"/>
            </w:pPr>
            <w:r>
              <w:t>(a)</w:t>
            </w:r>
          </w:p>
        </w:tc>
        <w:tc>
          <w:tcPr>
            <w:tcW w:w="4456" w:type="dxa"/>
            <w:tcBorders>
              <w:top w:val="nil"/>
              <w:left w:val="nil"/>
              <w:bottom w:val="nil"/>
              <w:right w:val="nil"/>
            </w:tcBorders>
          </w:tcPr>
          <w:p w14:paraId="0F534F4A" w14:textId="77777777" w:rsidR="003A5EDF" w:rsidRDefault="00000000">
            <w:pPr>
              <w:pStyle w:val="Paragraph"/>
              <w:ind w:firstLine="0"/>
              <w:jc w:val="center"/>
            </w:pPr>
            <w:r>
              <w:t>(b)</w:t>
            </w:r>
          </w:p>
        </w:tc>
      </w:tr>
      <w:tr w:rsidR="003A5EDF" w14:paraId="4AC30EDE" w14:textId="77777777">
        <w:trPr>
          <w:trHeight w:val="1626"/>
          <w:jc w:val="center"/>
        </w:trPr>
        <w:tc>
          <w:tcPr>
            <w:tcW w:w="8932" w:type="dxa"/>
            <w:gridSpan w:val="2"/>
            <w:tcBorders>
              <w:top w:val="nil"/>
              <w:left w:val="nil"/>
              <w:bottom w:val="nil"/>
              <w:right w:val="nil"/>
            </w:tcBorders>
          </w:tcPr>
          <w:p w14:paraId="73F2F58D" w14:textId="77777777" w:rsidR="003A5EDF" w:rsidRDefault="00000000">
            <w:pPr>
              <w:pStyle w:val="Paragraph"/>
              <w:ind w:firstLine="0"/>
              <w:jc w:val="center"/>
            </w:pPr>
            <w:r>
              <w:rPr>
                <w:noProof/>
              </w:rPr>
              <w:drawing>
                <wp:inline distT="0" distB="0" distL="0" distR="0" wp14:anchorId="6104FC7C" wp14:editId="1757042E">
                  <wp:extent cx="2692400" cy="1440180"/>
                  <wp:effectExtent l="0" t="0" r="0"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8"/>
                          <pic:cNvPicPr>
                            <a:picLocks noChangeAspect="1" noChangeArrowheads="1"/>
                          </pic:cNvPicPr>
                        </pic:nvPicPr>
                        <pic:blipFill>
                          <a:blip r:embed="rId31"/>
                          <a:stretch>
                            <a:fillRect/>
                          </a:stretch>
                        </pic:blipFill>
                        <pic:spPr bwMode="auto">
                          <a:xfrm>
                            <a:off x="0" y="0"/>
                            <a:ext cx="2692400" cy="1440180"/>
                          </a:xfrm>
                          <a:prstGeom prst="rect">
                            <a:avLst/>
                          </a:prstGeom>
                        </pic:spPr>
                      </pic:pic>
                    </a:graphicData>
                  </a:graphic>
                </wp:inline>
              </w:drawing>
            </w:r>
          </w:p>
        </w:tc>
      </w:tr>
      <w:tr w:rsidR="003A5EDF" w14:paraId="7C03D7BB" w14:textId="77777777">
        <w:trPr>
          <w:trHeight w:val="209"/>
          <w:jc w:val="center"/>
        </w:trPr>
        <w:tc>
          <w:tcPr>
            <w:tcW w:w="8932" w:type="dxa"/>
            <w:gridSpan w:val="2"/>
            <w:tcBorders>
              <w:top w:val="nil"/>
              <w:left w:val="nil"/>
              <w:bottom w:val="nil"/>
              <w:right w:val="nil"/>
            </w:tcBorders>
          </w:tcPr>
          <w:p w14:paraId="381E432D" w14:textId="77777777" w:rsidR="003A5EDF" w:rsidRDefault="00000000">
            <w:pPr>
              <w:pStyle w:val="Paragraph"/>
              <w:ind w:firstLine="0"/>
              <w:jc w:val="center"/>
            </w:pPr>
            <w:r>
              <w:t>(c)</w:t>
            </w:r>
          </w:p>
        </w:tc>
      </w:tr>
    </w:tbl>
    <w:p w14:paraId="3A781E97" w14:textId="77777777" w:rsidR="003A5EDF" w:rsidRDefault="00000000">
      <w:pPr>
        <w:pStyle w:val="FigureCaption"/>
      </w:pPr>
      <w:r>
        <w:rPr>
          <w:b/>
          <w:caps/>
        </w:rPr>
        <w:t>Figure 9.</w:t>
      </w:r>
      <w:r>
        <w:t xml:space="preserve"> Displacements (a), velocities (b), and accelerations (c) of the upper (1) and lower (2) plates at</w:t>
      </w:r>
      <w:r>
        <w:rPr>
          <w:rFonts w:ascii="Cambria Math" w:hAnsi="Cambria Math" w:cs="Cambria Math"/>
        </w:rPr>
        <w:t xml:space="preserve"> 𝜑</w:t>
      </w:r>
      <w:r>
        <w:t xml:space="preserve">=5˚, </w:t>
      </w:r>
      <w:r>
        <w:rPr>
          <w:i/>
          <w:iCs/>
        </w:rPr>
        <w:t>l</w:t>
      </w:r>
      <w:r>
        <w:t>=0.02 </w:t>
      </w:r>
      <w:r>
        <w:rPr>
          <w:i/>
          <w:iCs/>
          <w:lang w:val="en-GB"/>
        </w:rPr>
        <w:t>m</w:t>
      </w:r>
      <w:r>
        <w:t>.</w:t>
      </w:r>
    </w:p>
    <w:p w14:paraId="2D3A51DC" w14:textId="77777777" w:rsidR="003A5EDF" w:rsidRDefault="003A5EDF">
      <w:pPr>
        <w:pStyle w:val="Paragraph"/>
        <w:rPr>
          <w:sz w:val="18"/>
        </w:rPr>
      </w:pPr>
    </w:p>
    <w:p w14:paraId="316337F2" w14:textId="77777777" w:rsidR="003A5EDF" w:rsidRDefault="00000000">
      <w:pPr>
        <w:pStyle w:val="Paragraph"/>
        <w:rPr>
          <w:sz w:val="18"/>
        </w:rPr>
      </w:pPr>
      <w:r>
        <w:rPr>
          <w:sz w:val="18"/>
        </w:rPr>
        <w:t xml:space="preserve">In this case, it can also be seen from the acceleration graphs that in situations where </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1</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rPr>
                  <m:t>2</m:t>
                </m:r>
              </m:sub>
            </m:sSub>
          </m:e>
        </m:d>
      </m:oMath>
      <w:r>
        <w:rPr>
          <w:sz w:val="18"/>
        </w:rPr>
        <w:t>, the acceleration values of the upper plate increase due to the action of two rolling friction forces.</w:t>
      </w:r>
    </w:p>
    <w:p w14:paraId="4665FC48" w14:textId="77777777" w:rsidR="003A5EDF" w:rsidRDefault="00000000">
      <w:pPr>
        <w:pStyle w:val="Paragraph"/>
      </w:pPr>
      <w:r>
        <w:t xml:space="preserve">Figures 10 and 11 show the Tabas earthquake, Iran – 000187 (September 16, 1978, 10 points on the MSK-64 scale, maximum acceleration – 10.17 </w:t>
      </w:r>
      <w:r>
        <w:rPr>
          <w:i/>
        </w:rPr>
        <w:t>m/s</w:t>
      </w:r>
      <w:r>
        <w:rPr>
          <w:i/>
          <w:vertAlign w:val="superscript"/>
        </w:rPr>
        <w:t>2</w:t>
      </w:r>
      <w:r>
        <w:t xml:space="preserve">, maximum displacement – 0.3446 </w:t>
      </w:r>
      <w:r>
        <w:rPr>
          <w:i/>
        </w:rPr>
        <w:t>m</w:t>
      </w:r>
      <w:r>
        <w:t xml:space="preserve">, digitization step – 0.005 </w:t>
      </w:r>
      <w:r>
        <w:rPr>
          <w:i/>
        </w:rPr>
        <w:t>s</w:t>
      </w:r>
      <w:r>
        <w:t xml:space="preserve">, duration </w:t>
      </w:r>
      <w:r>
        <w:lastRenderedPageBreak/>
        <w:t>– 78.395 </w:t>
      </w:r>
      <w:r>
        <w:rPr>
          <w:i/>
        </w:rPr>
        <w:t>s</w:t>
      </w:r>
      <w:r>
        <w:t xml:space="preserve">), the results of the calculations are shown. At </w:t>
      </w:r>
      <w:r>
        <w:rPr>
          <w:rFonts w:ascii="Cambria Math" w:hAnsi="Cambria Math" w:cs="Cambria Math"/>
          <w:i/>
          <w:lang w:val="ru-RU"/>
        </w:rPr>
        <w:t>𝜑</w:t>
      </w:r>
      <w:r>
        <w:t xml:space="preserve">=5˚, the following results were obtained </w:t>
      </w:r>
      <w:r>
        <w:rPr>
          <w:i/>
          <w:iCs/>
        </w:rPr>
        <w:t>u</w:t>
      </w:r>
      <w:r>
        <w:rPr>
          <w:iCs/>
          <w:vertAlign w:val="subscript"/>
        </w:rPr>
        <w:t>1</w:t>
      </w:r>
      <w:r>
        <w:rPr>
          <w:i/>
          <w:iCs/>
          <w:vertAlign w:val="subscript"/>
        </w:rPr>
        <w:t>max</w:t>
      </w:r>
      <w:r>
        <w:rPr>
          <w:i/>
          <w:iCs/>
        </w:rPr>
        <w:t>=</w:t>
      </w:r>
      <w:r>
        <w:rPr>
          <w:iCs/>
        </w:rPr>
        <w:t xml:space="preserve">0.34 </w:t>
      </w:r>
      <w:r>
        <w:rPr>
          <w:i/>
          <w:iCs/>
        </w:rPr>
        <w:t>m, u</w:t>
      </w:r>
      <w:r>
        <w:rPr>
          <w:iCs/>
          <w:vertAlign w:val="subscript"/>
        </w:rPr>
        <w:t>2</w:t>
      </w:r>
      <w:r>
        <w:rPr>
          <w:i/>
          <w:iCs/>
          <w:vertAlign w:val="subscript"/>
        </w:rPr>
        <w:t>max</w:t>
      </w:r>
      <w:r>
        <w:rPr>
          <w:i/>
          <w:iCs/>
        </w:rPr>
        <w:t>=</w:t>
      </w:r>
      <w:r>
        <w:rPr>
          <w:iCs/>
        </w:rPr>
        <w:t>0.34</w:t>
      </w:r>
      <w:r>
        <w:rPr>
          <w:i/>
          <w:iCs/>
        </w:rPr>
        <w:t xml:space="preserve"> m</w:t>
      </w:r>
      <w:r>
        <w:t xml:space="preserve">, </w:t>
      </w:r>
      <w:r>
        <w:rPr>
          <w:i/>
          <w:iCs/>
        </w:rPr>
        <w:t>v</w:t>
      </w:r>
      <w:r>
        <w:rPr>
          <w:iCs/>
          <w:vertAlign w:val="subscript"/>
        </w:rPr>
        <w:t>1</w:t>
      </w:r>
      <w:r>
        <w:rPr>
          <w:i/>
          <w:iCs/>
          <w:vertAlign w:val="subscript"/>
        </w:rPr>
        <w:t>max</w:t>
      </w:r>
      <w:r>
        <w:rPr>
          <w:i/>
          <w:iCs/>
        </w:rPr>
        <w:t>=</w:t>
      </w:r>
      <w:r>
        <w:rPr>
          <w:iCs/>
        </w:rPr>
        <w:t>0.39</w:t>
      </w:r>
      <w:r>
        <w:rPr>
          <w:i/>
          <w:iCs/>
        </w:rPr>
        <w:t xml:space="preserve"> m/s, v</w:t>
      </w:r>
      <w:r>
        <w:rPr>
          <w:iCs/>
          <w:vertAlign w:val="subscript"/>
        </w:rPr>
        <w:t>2</w:t>
      </w:r>
      <w:r>
        <w:rPr>
          <w:i/>
          <w:iCs/>
          <w:vertAlign w:val="subscript"/>
        </w:rPr>
        <w:t>max</w:t>
      </w:r>
      <w:r>
        <w:rPr>
          <w:i/>
          <w:iCs/>
        </w:rPr>
        <w:t>=</w:t>
      </w:r>
      <w:r>
        <w:rPr>
          <w:iCs/>
        </w:rPr>
        <w:t>0.87</w:t>
      </w:r>
      <w:r>
        <w:rPr>
          <w:i/>
          <w:iCs/>
        </w:rPr>
        <w:t xml:space="preserve"> m/s, w</w:t>
      </w:r>
      <w:r>
        <w:rPr>
          <w:iCs/>
          <w:vertAlign w:val="subscript"/>
        </w:rPr>
        <w:t>1</w:t>
      </w:r>
      <w:r>
        <w:rPr>
          <w:i/>
          <w:iCs/>
          <w:vertAlign w:val="subscript"/>
        </w:rPr>
        <w:t>max</w:t>
      </w:r>
      <w:r>
        <w:rPr>
          <w:i/>
          <w:iCs/>
        </w:rPr>
        <w:t>=</w:t>
      </w:r>
      <w:r>
        <w:rPr>
          <w:iCs/>
        </w:rPr>
        <w:t>1.93</w:t>
      </w:r>
      <w:r>
        <w:rPr>
          <w:i/>
          <w:iCs/>
        </w:rPr>
        <w:t> m/s</w:t>
      </w:r>
      <w:r>
        <w:rPr>
          <w:i/>
          <w:iCs/>
          <w:vertAlign w:val="superscript"/>
        </w:rPr>
        <w:t>2</w:t>
      </w:r>
      <w:r>
        <w:rPr>
          <w:i/>
          <w:iCs/>
        </w:rPr>
        <w:t>, w</w:t>
      </w:r>
      <w:r>
        <w:rPr>
          <w:iCs/>
          <w:vertAlign w:val="subscript"/>
        </w:rPr>
        <w:t>2</w:t>
      </w:r>
      <w:r>
        <w:rPr>
          <w:i/>
          <w:iCs/>
          <w:vertAlign w:val="subscript"/>
        </w:rPr>
        <w:t>max</w:t>
      </w:r>
      <w:r>
        <w:rPr>
          <w:i/>
          <w:iCs/>
        </w:rPr>
        <w:t>=</w:t>
      </w:r>
      <w:r>
        <w:rPr>
          <w:iCs/>
        </w:rPr>
        <w:t>10.17</w:t>
      </w:r>
      <w:r>
        <w:rPr>
          <w:i/>
          <w:iCs/>
        </w:rPr>
        <w:t xml:space="preserve"> m/s</w:t>
      </w:r>
      <w:r>
        <w:rPr>
          <w:i/>
          <w:iCs/>
          <w:vertAlign w:val="superscript"/>
        </w:rPr>
        <w:t>2</w:t>
      </w:r>
      <w:r>
        <w:rPr>
          <w:i/>
          <w:iCs/>
        </w:rPr>
        <w:t>.</w:t>
      </w:r>
      <w:r>
        <w:rPr>
          <w:iCs/>
        </w:rPr>
        <w:t xml:space="preserve"> The results show that at </w:t>
      </w:r>
      <w:r>
        <w:rPr>
          <w:rFonts w:ascii="Cambria Math" w:hAnsi="Cambria Math" w:cs="Cambria Math"/>
          <w:iCs/>
          <w:lang w:val="ru-RU"/>
        </w:rPr>
        <w:t>𝜑</w:t>
      </w:r>
      <w:r>
        <w:rPr>
          <w:iCs/>
        </w:rPr>
        <w:t>=5˚, the maximum displacement values do not differ, the maximum velocity values differ by a factor of 2.2, and the maximum acceleration values differ by a factor of 5.3.</w:t>
      </w:r>
    </w:p>
    <w:p w14:paraId="518C26EE" w14:textId="77777777" w:rsidR="003A5EDF" w:rsidRDefault="003A5EDF">
      <w:pPr>
        <w:pStyle w:val="Paragraph"/>
      </w:pPr>
    </w:p>
    <w:tbl>
      <w:tblPr>
        <w:tblStyle w:val="Tabellenraster"/>
        <w:tblW w:w="8906" w:type="dxa"/>
        <w:tblLayout w:type="fixed"/>
        <w:tblLook w:val="04A0" w:firstRow="1" w:lastRow="0" w:firstColumn="1" w:lastColumn="0" w:noHBand="0" w:noVBand="1"/>
      </w:tblPr>
      <w:tblGrid>
        <w:gridCol w:w="4639"/>
        <w:gridCol w:w="4267"/>
      </w:tblGrid>
      <w:tr w:rsidR="003A5EDF" w14:paraId="67847B0B" w14:textId="77777777">
        <w:trPr>
          <w:trHeight w:val="1644"/>
        </w:trPr>
        <w:tc>
          <w:tcPr>
            <w:tcW w:w="4638" w:type="dxa"/>
            <w:tcBorders>
              <w:top w:val="nil"/>
              <w:left w:val="nil"/>
              <w:bottom w:val="nil"/>
              <w:right w:val="nil"/>
            </w:tcBorders>
          </w:tcPr>
          <w:p w14:paraId="08BE4AF6" w14:textId="77777777" w:rsidR="003A5EDF" w:rsidRDefault="00000000">
            <w:pPr>
              <w:pStyle w:val="Paragraph"/>
              <w:ind w:firstLine="0"/>
            </w:pPr>
            <w:r>
              <w:rPr>
                <w:noProof/>
              </w:rPr>
              <w:drawing>
                <wp:inline distT="0" distB="0" distL="0" distR="0" wp14:anchorId="0048181B" wp14:editId="68D16A8B">
                  <wp:extent cx="2807970" cy="1080135"/>
                  <wp:effectExtent l="0" t="0" r="0" b="0"/>
                  <wp:docPr id="2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pic:cNvPicPr>
                            <a:picLocks noChangeAspect="1" noChangeArrowheads="1"/>
                          </pic:cNvPicPr>
                        </pic:nvPicPr>
                        <pic:blipFill>
                          <a:blip r:embed="rId32"/>
                          <a:stretch>
                            <a:fillRect/>
                          </a:stretch>
                        </pic:blipFill>
                        <pic:spPr bwMode="auto">
                          <a:xfrm>
                            <a:off x="0" y="0"/>
                            <a:ext cx="2807970" cy="1080135"/>
                          </a:xfrm>
                          <a:prstGeom prst="rect">
                            <a:avLst/>
                          </a:prstGeom>
                        </pic:spPr>
                      </pic:pic>
                    </a:graphicData>
                  </a:graphic>
                </wp:inline>
              </w:drawing>
            </w:r>
          </w:p>
        </w:tc>
        <w:tc>
          <w:tcPr>
            <w:tcW w:w="4267" w:type="dxa"/>
            <w:tcBorders>
              <w:top w:val="nil"/>
              <w:left w:val="nil"/>
              <w:bottom w:val="nil"/>
              <w:right w:val="nil"/>
            </w:tcBorders>
          </w:tcPr>
          <w:p w14:paraId="074E7252" w14:textId="77777777" w:rsidR="003A5EDF" w:rsidRDefault="00000000">
            <w:pPr>
              <w:pStyle w:val="Paragraph"/>
              <w:ind w:firstLine="0"/>
            </w:pPr>
            <w:r>
              <w:rPr>
                <w:noProof/>
              </w:rPr>
              <w:drawing>
                <wp:inline distT="0" distB="0" distL="0" distR="0" wp14:anchorId="44F1532E" wp14:editId="7910D729">
                  <wp:extent cx="2573655" cy="1080135"/>
                  <wp:effectExtent l="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3"/>
                          <pic:cNvPicPr>
                            <a:picLocks noChangeAspect="1" noChangeArrowheads="1"/>
                          </pic:cNvPicPr>
                        </pic:nvPicPr>
                        <pic:blipFill>
                          <a:blip r:embed="rId33"/>
                          <a:stretch>
                            <a:fillRect/>
                          </a:stretch>
                        </pic:blipFill>
                        <pic:spPr bwMode="auto">
                          <a:xfrm>
                            <a:off x="0" y="0"/>
                            <a:ext cx="2573655" cy="1080135"/>
                          </a:xfrm>
                          <a:prstGeom prst="rect">
                            <a:avLst/>
                          </a:prstGeom>
                        </pic:spPr>
                      </pic:pic>
                    </a:graphicData>
                  </a:graphic>
                </wp:inline>
              </w:drawing>
            </w:r>
          </w:p>
        </w:tc>
      </w:tr>
      <w:tr w:rsidR="003A5EDF" w14:paraId="002F1576" w14:textId="77777777">
        <w:trPr>
          <w:trHeight w:val="218"/>
        </w:trPr>
        <w:tc>
          <w:tcPr>
            <w:tcW w:w="4638" w:type="dxa"/>
            <w:tcBorders>
              <w:top w:val="nil"/>
              <w:left w:val="nil"/>
              <w:bottom w:val="nil"/>
              <w:right w:val="nil"/>
            </w:tcBorders>
          </w:tcPr>
          <w:p w14:paraId="60714B3B" w14:textId="77777777" w:rsidR="003A5EDF" w:rsidRDefault="00000000">
            <w:pPr>
              <w:pStyle w:val="Paragraph"/>
              <w:ind w:firstLine="0"/>
              <w:jc w:val="center"/>
            </w:pPr>
            <w:r>
              <w:t>(a)</w:t>
            </w:r>
          </w:p>
        </w:tc>
        <w:tc>
          <w:tcPr>
            <w:tcW w:w="4267" w:type="dxa"/>
            <w:tcBorders>
              <w:top w:val="nil"/>
              <w:left w:val="nil"/>
              <w:bottom w:val="nil"/>
              <w:right w:val="nil"/>
            </w:tcBorders>
          </w:tcPr>
          <w:p w14:paraId="75600866" w14:textId="77777777" w:rsidR="003A5EDF" w:rsidRDefault="00000000">
            <w:pPr>
              <w:pStyle w:val="Paragraph"/>
              <w:ind w:firstLine="0"/>
              <w:jc w:val="center"/>
            </w:pPr>
            <w:r>
              <w:t>(b)</w:t>
            </w:r>
          </w:p>
        </w:tc>
      </w:tr>
      <w:tr w:rsidR="003A5EDF" w14:paraId="0C727E43" w14:textId="77777777">
        <w:trPr>
          <w:trHeight w:val="1651"/>
        </w:trPr>
        <w:tc>
          <w:tcPr>
            <w:tcW w:w="8905" w:type="dxa"/>
            <w:gridSpan w:val="2"/>
            <w:tcBorders>
              <w:top w:val="nil"/>
              <w:left w:val="nil"/>
              <w:bottom w:val="nil"/>
              <w:right w:val="nil"/>
            </w:tcBorders>
          </w:tcPr>
          <w:p w14:paraId="295712A1" w14:textId="77777777" w:rsidR="003A5EDF" w:rsidRDefault="00000000">
            <w:pPr>
              <w:pStyle w:val="Paragraph"/>
              <w:ind w:firstLine="0"/>
              <w:jc w:val="center"/>
            </w:pPr>
            <w:r>
              <w:rPr>
                <w:noProof/>
              </w:rPr>
              <w:drawing>
                <wp:inline distT="0" distB="0" distL="0" distR="0" wp14:anchorId="161B3CBA" wp14:editId="2DF576BA">
                  <wp:extent cx="2485390" cy="1080135"/>
                  <wp:effectExtent l="0" t="0" r="0" b="0"/>
                  <wp:docPr id="2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
                          <pic:cNvPicPr>
                            <a:picLocks noChangeAspect="1" noChangeArrowheads="1"/>
                          </pic:cNvPicPr>
                        </pic:nvPicPr>
                        <pic:blipFill>
                          <a:blip r:embed="rId34"/>
                          <a:stretch>
                            <a:fillRect/>
                          </a:stretch>
                        </pic:blipFill>
                        <pic:spPr bwMode="auto">
                          <a:xfrm>
                            <a:off x="0" y="0"/>
                            <a:ext cx="2485390" cy="1080135"/>
                          </a:xfrm>
                          <a:prstGeom prst="rect">
                            <a:avLst/>
                          </a:prstGeom>
                        </pic:spPr>
                      </pic:pic>
                    </a:graphicData>
                  </a:graphic>
                </wp:inline>
              </w:drawing>
            </w:r>
          </w:p>
        </w:tc>
      </w:tr>
      <w:tr w:rsidR="003A5EDF" w14:paraId="23FCDCDB" w14:textId="77777777">
        <w:trPr>
          <w:trHeight w:val="213"/>
        </w:trPr>
        <w:tc>
          <w:tcPr>
            <w:tcW w:w="8905" w:type="dxa"/>
            <w:gridSpan w:val="2"/>
            <w:tcBorders>
              <w:top w:val="nil"/>
              <w:left w:val="nil"/>
              <w:bottom w:val="nil"/>
              <w:right w:val="nil"/>
            </w:tcBorders>
          </w:tcPr>
          <w:p w14:paraId="1F62950D" w14:textId="77777777" w:rsidR="003A5EDF" w:rsidRDefault="00000000">
            <w:pPr>
              <w:pStyle w:val="Paragraph"/>
              <w:ind w:firstLine="0"/>
              <w:jc w:val="center"/>
            </w:pPr>
            <w:r>
              <w:t>(c)</w:t>
            </w:r>
          </w:p>
        </w:tc>
      </w:tr>
    </w:tbl>
    <w:p w14:paraId="36B17BD3" w14:textId="77777777" w:rsidR="003A5EDF" w:rsidRDefault="00000000">
      <w:pPr>
        <w:pStyle w:val="FigureCaption"/>
      </w:pPr>
      <w:bookmarkStart w:id="16" w:name="_Hlk209714896"/>
      <w:bookmarkEnd w:id="16"/>
      <w:r>
        <w:rPr>
          <w:b/>
          <w:sz w:val="20"/>
        </w:rPr>
        <w:t>FIGURE 10.</w:t>
      </w:r>
      <w:r>
        <w:rPr>
          <w:sz w:val="20"/>
        </w:rPr>
        <w:t xml:space="preserve"> </w:t>
      </w:r>
      <w:r>
        <w:t>Displacements (a), velocities (b), and accelerations (c) of the upper (1) and lower (2) plates at</w:t>
      </w:r>
      <w:r>
        <w:rPr>
          <w:rFonts w:ascii="Cambria Math" w:hAnsi="Cambria Math" w:cs="Cambria Math"/>
        </w:rPr>
        <w:t xml:space="preserve"> 𝜑</w:t>
      </w:r>
      <w:r>
        <w:t xml:space="preserve">=5˚, </w:t>
      </w:r>
      <w:r>
        <w:rPr>
          <w:i/>
          <w:iCs/>
        </w:rPr>
        <w:t>l</w:t>
      </w:r>
      <w:r>
        <w:t xml:space="preserve">=0.02 </w:t>
      </w:r>
      <w:r>
        <w:rPr>
          <w:i/>
          <w:iCs/>
          <w:lang w:val="en-GB"/>
        </w:rPr>
        <w:t>m</w:t>
      </w:r>
      <w:r>
        <w:t>.</w:t>
      </w:r>
    </w:p>
    <w:p w14:paraId="51E82551" w14:textId="77777777" w:rsidR="003A5EDF" w:rsidRDefault="003A5EDF">
      <w:pPr>
        <w:pStyle w:val="Paragraph"/>
      </w:pPr>
    </w:p>
    <w:p w14:paraId="51EC8232" w14:textId="003C0A00" w:rsidR="003A5EDF" w:rsidRDefault="00000000">
      <w:pPr>
        <w:pStyle w:val="Paragraph"/>
      </w:pPr>
      <w:r>
        <w:t>Fig</w:t>
      </w:r>
      <w:r w:rsidR="00721D07">
        <w:t>ure</w:t>
      </w:r>
      <w:r>
        <w:t xml:space="preserve"> 11 shows the results obtained at </w:t>
      </w:r>
      <w:r>
        <w:rPr>
          <w:rFonts w:ascii="Cambria Math" w:hAnsi="Cambria Math" w:cs="Cambria Math"/>
          <w:lang w:val="ru-RU"/>
        </w:rPr>
        <w:t>𝜑</w:t>
      </w:r>
      <w:r>
        <w:t xml:space="preserve">=0˚. In this case </w:t>
      </w:r>
      <w:r>
        <w:rPr>
          <w:i/>
          <w:iCs/>
        </w:rPr>
        <w:t>u</w:t>
      </w:r>
      <w:r>
        <w:rPr>
          <w:iCs/>
          <w:vertAlign w:val="subscript"/>
        </w:rPr>
        <w:t>1</w:t>
      </w:r>
      <w:r>
        <w:rPr>
          <w:i/>
          <w:iCs/>
          <w:vertAlign w:val="subscript"/>
        </w:rPr>
        <w:t>max</w:t>
      </w:r>
      <w:r>
        <w:rPr>
          <w:i/>
          <w:iCs/>
        </w:rPr>
        <w:t>=</w:t>
      </w:r>
      <w:r>
        <w:rPr>
          <w:iCs/>
        </w:rPr>
        <w:t>0.19</w:t>
      </w:r>
      <w:r>
        <w:rPr>
          <w:i/>
          <w:iCs/>
        </w:rPr>
        <w:t xml:space="preserve"> m, u</w:t>
      </w:r>
      <w:r>
        <w:rPr>
          <w:iCs/>
          <w:vertAlign w:val="subscript"/>
        </w:rPr>
        <w:t>2</w:t>
      </w:r>
      <w:r>
        <w:rPr>
          <w:i/>
          <w:iCs/>
          <w:vertAlign w:val="subscript"/>
        </w:rPr>
        <w:t>max</w:t>
      </w:r>
      <w:r>
        <w:rPr>
          <w:i/>
          <w:iCs/>
        </w:rPr>
        <w:t>=</w:t>
      </w:r>
      <w:r>
        <w:rPr>
          <w:iCs/>
        </w:rPr>
        <w:t>0.34</w:t>
      </w:r>
      <w:r>
        <w:rPr>
          <w:i/>
          <w:iCs/>
        </w:rPr>
        <w:t xml:space="preserve"> m</w:t>
      </w:r>
      <w:r>
        <w:t xml:space="preserve">, </w:t>
      </w:r>
      <w:r>
        <w:rPr>
          <w:i/>
          <w:iCs/>
        </w:rPr>
        <w:t>v</w:t>
      </w:r>
      <w:r>
        <w:rPr>
          <w:iCs/>
          <w:vertAlign w:val="subscript"/>
        </w:rPr>
        <w:t>1</w:t>
      </w:r>
      <w:r>
        <w:rPr>
          <w:i/>
          <w:iCs/>
          <w:vertAlign w:val="subscript"/>
        </w:rPr>
        <w:t>max</w:t>
      </w:r>
      <w:r>
        <w:rPr>
          <w:i/>
          <w:iCs/>
        </w:rPr>
        <w:t>=</w:t>
      </w:r>
      <w:r>
        <w:rPr>
          <w:iCs/>
        </w:rPr>
        <w:t>0.38</w:t>
      </w:r>
      <w:r>
        <w:rPr>
          <w:i/>
          <w:iCs/>
        </w:rPr>
        <w:t xml:space="preserve"> m/s, v</w:t>
      </w:r>
      <w:r>
        <w:rPr>
          <w:iCs/>
          <w:vertAlign w:val="subscript"/>
        </w:rPr>
        <w:t>2</w:t>
      </w:r>
      <w:r>
        <w:rPr>
          <w:i/>
          <w:iCs/>
          <w:vertAlign w:val="subscript"/>
        </w:rPr>
        <w:t>max</w:t>
      </w:r>
      <w:r>
        <w:rPr>
          <w:i/>
          <w:iCs/>
        </w:rPr>
        <w:t>=</w:t>
      </w:r>
      <w:r>
        <w:rPr>
          <w:iCs/>
        </w:rPr>
        <w:t>0.87 </w:t>
      </w:r>
      <w:r>
        <w:rPr>
          <w:i/>
          <w:iCs/>
        </w:rPr>
        <w:t>m/s, w</w:t>
      </w:r>
      <w:r>
        <w:rPr>
          <w:iCs/>
          <w:vertAlign w:val="subscript"/>
        </w:rPr>
        <w:t>1</w:t>
      </w:r>
      <w:r>
        <w:rPr>
          <w:i/>
          <w:iCs/>
          <w:vertAlign w:val="subscript"/>
        </w:rPr>
        <w:t>max</w:t>
      </w:r>
      <w:r>
        <w:rPr>
          <w:i/>
          <w:iCs/>
        </w:rPr>
        <w:t>=</w:t>
      </w:r>
      <w:r>
        <w:rPr>
          <w:iCs/>
        </w:rPr>
        <w:t>1.04</w:t>
      </w:r>
      <w:r>
        <w:rPr>
          <w:i/>
          <w:iCs/>
        </w:rPr>
        <w:t xml:space="preserve"> m/s</w:t>
      </w:r>
      <w:r>
        <w:rPr>
          <w:i/>
          <w:iCs/>
          <w:vertAlign w:val="superscript"/>
        </w:rPr>
        <w:t>2</w:t>
      </w:r>
      <w:r>
        <w:rPr>
          <w:i/>
          <w:iCs/>
        </w:rPr>
        <w:t>, w</w:t>
      </w:r>
      <w:r>
        <w:rPr>
          <w:iCs/>
          <w:vertAlign w:val="subscript"/>
        </w:rPr>
        <w:t>2</w:t>
      </w:r>
      <w:r>
        <w:rPr>
          <w:i/>
          <w:iCs/>
          <w:vertAlign w:val="subscript"/>
        </w:rPr>
        <w:t>max</w:t>
      </w:r>
      <w:r>
        <w:rPr>
          <w:i/>
          <w:iCs/>
        </w:rPr>
        <w:t>=</w:t>
      </w:r>
      <w:r>
        <w:rPr>
          <w:iCs/>
        </w:rPr>
        <w:t>10.17</w:t>
      </w:r>
      <w:r>
        <w:rPr>
          <w:i/>
          <w:iCs/>
        </w:rPr>
        <w:t xml:space="preserve"> m/s</w:t>
      </w:r>
      <w:r>
        <w:rPr>
          <w:i/>
          <w:iCs/>
          <w:vertAlign w:val="superscript"/>
        </w:rPr>
        <w:t>2</w:t>
      </w:r>
      <w:r>
        <w:rPr>
          <w:i/>
          <w:iCs/>
          <w:lang w:val="en-GB"/>
        </w:rPr>
        <w:t>.</w:t>
      </w:r>
      <w:r>
        <w:rPr>
          <w:iCs/>
          <w:lang w:val="en-GB"/>
        </w:rPr>
        <w:t xml:space="preserve"> </w:t>
      </w:r>
      <w:r>
        <w:rPr>
          <w:iCs/>
        </w:rPr>
        <w:t xml:space="preserve">The results show that the maximum displacement values differ by a factor of 1.8, the maximum velocity values by a factor of 2.3, and the maximum acceleration values by a factor of 9.8. </w:t>
      </w:r>
    </w:p>
    <w:p w14:paraId="794B95F9" w14:textId="77777777" w:rsidR="003A5EDF" w:rsidRDefault="003A5EDF">
      <w:pPr>
        <w:pStyle w:val="Paragraph"/>
      </w:pPr>
    </w:p>
    <w:tbl>
      <w:tblPr>
        <w:tblStyle w:val="Tabellenraster"/>
        <w:tblW w:w="9072" w:type="dxa"/>
        <w:tblLayout w:type="fixed"/>
        <w:tblLook w:val="04A0" w:firstRow="1" w:lastRow="0" w:firstColumn="1" w:lastColumn="0" w:noHBand="0" w:noVBand="1"/>
      </w:tblPr>
      <w:tblGrid>
        <w:gridCol w:w="4686"/>
        <w:gridCol w:w="4386"/>
      </w:tblGrid>
      <w:tr w:rsidR="003A5EDF" w14:paraId="505A583C" w14:textId="77777777">
        <w:trPr>
          <w:trHeight w:val="1666"/>
        </w:trPr>
        <w:tc>
          <w:tcPr>
            <w:tcW w:w="4685" w:type="dxa"/>
            <w:tcBorders>
              <w:top w:val="nil"/>
              <w:left w:val="nil"/>
              <w:bottom w:val="nil"/>
              <w:right w:val="nil"/>
            </w:tcBorders>
          </w:tcPr>
          <w:p w14:paraId="63C55B2E" w14:textId="77777777" w:rsidR="003A5EDF" w:rsidRDefault="00000000">
            <w:pPr>
              <w:pStyle w:val="Paragraph"/>
              <w:ind w:firstLine="0"/>
            </w:pPr>
            <w:r>
              <w:rPr>
                <w:noProof/>
              </w:rPr>
              <w:drawing>
                <wp:inline distT="0" distB="0" distL="0" distR="0" wp14:anchorId="3CD8782A" wp14:editId="5786BEBF">
                  <wp:extent cx="2837180" cy="1080135"/>
                  <wp:effectExtent l="0" t="0" r="0" b="0"/>
                  <wp:docPr id="2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
                          <pic:cNvPicPr>
                            <a:picLocks noChangeAspect="1" noChangeArrowheads="1"/>
                          </pic:cNvPicPr>
                        </pic:nvPicPr>
                        <pic:blipFill>
                          <a:blip r:embed="rId35"/>
                          <a:stretch>
                            <a:fillRect/>
                          </a:stretch>
                        </pic:blipFill>
                        <pic:spPr bwMode="auto">
                          <a:xfrm>
                            <a:off x="0" y="0"/>
                            <a:ext cx="2837180" cy="1080135"/>
                          </a:xfrm>
                          <a:prstGeom prst="rect">
                            <a:avLst/>
                          </a:prstGeom>
                        </pic:spPr>
                      </pic:pic>
                    </a:graphicData>
                  </a:graphic>
                </wp:inline>
              </w:drawing>
            </w:r>
          </w:p>
        </w:tc>
        <w:tc>
          <w:tcPr>
            <w:tcW w:w="4386" w:type="dxa"/>
            <w:tcBorders>
              <w:top w:val="nil"/>
              <w:left w:val="nil"/>
              <w:bottom w:val="nil"/>
              <w:right w:val="nil"/>
            </w:tcBorders>
          </w:tcPr>
          <w:p w14:paraId="2547D8F1" w14:textId="77777777" w:rsidR="003A5EDF" w:rsidRDefault="00000000">
            <w:pPr>
              <w:pStyle w:val="Paragraph"/>
              <w:ind w:firstLine="0"/>
            </w:pPr>
            <w:r>
              <w:rPr>
                <w:noProof/>
              </w:rPr>
              <w:drawing>
                <wp:inline distT="0" distB="0" distL="0" distR="0" wp14:anchorId="675076E8" wp14:editId="14EE941A">
                  <wp:extent cx="2643505" cy="1080135"/>
                  <wp:effectExtent l="0" t="0" r="0" b="0"/>
                  <wp:docPr id="2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
                          <pic:cNvPicPr>
                            <a:picLocks noChangeAspect="1" noChangeArrowheads="1"/>
                          </pic:cNvPicPr>
                        </pic:nvPicPr>
                        <pic:blipFill>
                          <a:blip r:embed="rId36"/>
                          <a:stretch>
                            <a:fillRect/>
                          </a:stretch>
                        </pic:blipFill>
                        <pic:spPr bwMode="auto">
                          <a:xfrm>
                            <a:off x="0" y="0"/>
                            <a:ext cx="2643505" cy="1080135"/>
                          </a:xfrm>
                          <a:prstGeom prst="rect">
                            <a:avLst/>
                          </a:prstGeom>
                        </pic:spPr>
                      </pic:pic>
                    </a:graphicData>
                  </a:graphic>
                </wp:inline>
              </w:drawing>
            </w:r>
          </w:p>
        </w:tc>
      </w:tr>
      <w:tr w:rsidR="003A5EDF" w14:paraId="1346B9E7" w14:textId="77777777">
        <w:trPr>
          <w:trHeight w:val="221"/>
        </w:trPr>
        <w:tc>
          <w:tcPr>
            <w:tcW w:w="4685" w:type="dxa"/>
            <w:tcBorders>
              <w:top w:val="nil"/>
              <w:left w:val="nil"/>
              <w:bottom w:val="nil"/>
              <w:right w:val="nil"/>
            </w:tcBorders>
          </w:tcPr>
          <w:p w14:paraId="34F7E8F6" w14:textId="77777777" w:rsidR="003A5EDF" w:rsidRDefault="00000000">
            <w:pPr>
              <w:pStyle w:val="Paragraph"/>
              <w:ind w:firstLine="0"/>
              <w:jc w:val="center"/>
            </w:pPr>
            <w:r>
              <w:t>(a)</w:t>
            </w:r>
          </w:p>
        </w:tc>
        <w:tc>
          <w:tcPr>
            <w:tcW w:w="4386" w:type="dxa"/>
            <w:tcBorders>
              <w:top w:val="nil"/>
              <w:left w:val="nil"/>
              <w:bottom w:val="nil"/>
              <w:right w:val="nil"/>
            </w:tcBorders>
          </w:tcPr>
          <w:p w14:paraId="25B1062D" w14:textId="77777777" w:rsidR="003A5EDF" w:rsidRDefault="00000000">
            <w:pPr>
              <w:pStyle w:val="Paragraph"/>
              <w:ind w:firstLine="0"/>
              <w:jc w:val="center"/>
            </w:pPr>
            <w:r>
              <w:t>(b)</w:t>
            </w:r>
          </w:p>
        </w:tc>
      </w:tr>
      <w:tr w:rsidR="003A5EDF" w14:paraId="616BC27E" w14:textId="77777777">
        <w:trPr>
          <w:trHeight w:val="1673"/>
        </w:trPr>
        <w:tc>
          <w:tcPr>
            <w:tcW w:w="9071" w:type="dxa"/>
            <w:gridSpan w:val="2"/>
            <w:tcBorders>
              <w:top w:val="nil"/>
              <w:left w:val="nil"/>
              <w:bottom w:val="nil"/>
              <w:right w:val="nil"/>
            </w:tcBorders>
          </w:tcPr>
          <w:p w14:paraId="1B568652" w14:textId="77777777" w:rsidR="003A5EDF" w:rsidRDefault="00000000">
            <w:pPr>
              <w:pStyle w:val="Paragraph"/>
              <w:ind w:firstLine="0"/>
              <w:jc w:val="center"/>
            </w:pPr>
            <w:r>
              <w:rPr>
                <w:noProof/>
              </w:rPr>
              <w:drawing>
                <wp:inline distT="0" distB="0" distL="0" distR="0" wp14:anchorId="1FB4598D" wp14:editId="64DC4139">
                  <wp:extent cx="2491105" cy="1080135"/>
                  <wp:effectExtent l="0" t="0" r="0" b="0"/>
                  <wp:docPr id="2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
                          <pic:cNvPicPr>
                            <a:picLocks noChangeAspect="1" noChangeArrowheads="1"/>
                          </pic:cNvPicPr>
                        </pic:nvPicPr>
                        <pic:blipFill>
                          <a:blip r:embed="rId37"/>
                          <a:stretch>
                            <a:fillRect/>
                          </a:stretch>
                        </pic:blipFill>
                        <pic:spPr bwMode="auto">
                          <a:xfrm>
                            <a:off x="0" y="0"/>
                            <a:ext cx="2491105" cy="1080135"/>
                          </a:xfrm>
                          <a:prstGeom prst="rect">
                            <a:avLst/>
                          </a:prstGeom>
                        </pic:spPr>
                      </pic:pic>
                    </a:graphicData>
                  </a:graphic>
                </wp:inline>
              </w:drawing>
            </w:r>
          </w:p>
        </w:tc>
      </w:tr>
      <w:tr w:rsidR="003A5EDF" w14:paraId="75CF735E" w14:textId="77777777">
        <w:trPr>
          <w:trHeight w:val="216"/>
        </w:trPr>
        <w:tc>
          <w:tcPr>
            <w:tcW w:w="9071" w:type="dxa"/>
            <w:gridSpan w:val="2"/>
            <w:tcBorders>
              <w:top w:val="nil"/>
              <w:left w:val="nil"/>
              <w:bottom w:val="nil"/>
              <w:right w:val="nil"/>
            </w:tcBorders>
          </w:tcPr>
          <w:p w14:paraId="7E113948" w14:textId="77777777" w:rsidR="003A5EDF" w:rsidRDefault="00000000">
            <w:pPr>
              <w:pStyle w:val="Paragraph"/>
              <w:ind w:firstLine="0"/>
              <w:jc w:val="center"/>
            </w:pPr>
            <w:r>
              <w:t>(c)</w:t>
            </w:r>
            <w:bookmarkStart w:id="17" w:name="_Hlk209715213"/>
            <w:bookmarkEnd w:id="17"/>
          </w:p>
        </w:tc>
      </w:tr>
    </w:tbl>
    <w:p w14:paraId="3289D2DD" w14:textId="77777777" w:rsidR="003A5EDF" w:rsidRDefault="00000000">
      <w:pPr>
        <w:pStyle w:val="FigureCaption"/>
        <w:rPr>
          <w:sz w:val="20"/>
        </w:rPr>
      </w:pPr>
      <w:r>
        <w:rPr>
          <w:b/>
          <w:sz w:val="20"/>
        </w:rPr>
        <w:t>FIGURE 11.</w:t>
      </w:r>
      <w:r>
        <w:rPr>
          <w:sz w:val="20"/>
        </w:rPr>
        <w:t xml:space="preserve"> </w:t>
      </w:r>
      <w:r>
        <w:t>Displacements (a), velocities (b), and accelerations (c) of the upper (1) and lower (2) plates at</w:t>
      </w:r>
      <w:r>
        <w:rPr>
          <w:rFonts w:ascii="Cambria Math" w:hAnsi="Cambria Math" w:cs="Cambria Math"/>
        </w:rPr>
        <w:t xml:space="preserve"> 𝜑</w:t>
      </w:r>
      <w:r>
        <w:t xml:space="preserve">=0˚, </w:t>
      </w:r>
      <w:r>
        <w:rPr>
          <w:i/>
          <w:iCs/>
        </w:rPr>
        <w:t>l</w:t>
      </w:r>
      <w:r>
        <w:t xml:space="preserve">=0.02 </w:t>
      </w:r>
      <w:r>
        <w:rPr>
          <w:i/>
          <w:iCs/>
          <w:lang w:val="en-GB"/>
        </w:rPr>
        <w:t>m</w:t>
      </w:r>
      <w:r>
        <w:t>.</w:t>
      </w:r>
    </w:p>
    <w:p w14:paraId="6C6B298C" w14:textId="77777777" w:rsidR="003A5EDF" w:rsidRDefault="003A5EDF">
      <w:pPr>
        <w:pStyle w:val="Paragraph"/>
      </w:pPr>
    </w:p>
    <w:p w14:paraId="6625C1B7" w14:textId="77777777" w:rsidR="003A5EDF" w:rsidRDefault="00000000">
      <w:pPr>
        <w:pStyle w:val="Paragraph"/>
      </w:pPr>
      <w:r>
        <w:t xml:space="preserve">Figures 12 and 13 show the Tolmezzo earthquake, Italy – 000055 (May 6, 1976, 9 points on the MSK-64 scale, maximum acceleration – 3.35 </w:t>
      </w:r>
      <w:r>
        <w:rPr>
          <w:i/>
        </w:rPr>
        <w:t>m/s</w:t>
      </w:r>
      <w:r>
        <w:rPr>
          <w:i/>
          <w:vertAlign w:val="superscript"/>
        </w:rPr>
        <w:t>2</w:t>
      </w:r>
      <w:r>
        <w:t xml:space="preserve">, maximum displacement – 0.029 </w:t>
      </w:r>
      <w:r>
        <w:rPr>
          <w:i/>
        </w:rPr>
        <w:t>m</w:t>
      </w:r>
      <w:r>
        <w:t xml:space="preserve">, digitization step –0.005 </w:t>
      </w:r>
      <w:r>
        <w:rPr>
          <w:i/>
        </w:rPr>
        <w:t>s</w:t>
      </w:r>
      <w:r>
        <w:t>, duration – 46.535 </w:t>
      </w:r>
      <w:r>
        <w:rPr>
          <w:i/>
        </w:rPr>
        <w:t>s</w:t>
      </w:r>
      <w:r>
        <w:t>), the results of the calculations are shown.</w:t>
      </w:r>
    </w:p>
    <w:p w14:paraId="51856C03" w14:textId="7000E494" w:rsidR="003A5EDF" w:rsidRDefault="00000000">
      <w:pPr>
        <w:pStyle w:val="Paragraph"/>
      </w:pPr>
      <w:r>
        <w:t>Fig</w:t>
      </w:r>
      <w:r w:rsidR="00721D07">
        <w:t>ure</w:t>
      </w:r>
      <w:r>
        <w:t xml:space="preserve"> 12 shows the results obtained for </w:t>
      </w:r>
      <w:r>
        <w:rPr>
          <w:rFonts w:ascii="Cambria Math" w:hAnsi="Cambria Math" w:cs="Cambria Math"/>
          <w:i/>
          <w:lang w:val="ru-RU"/>
        </w:rPr>
        <w:t>𝜑</w:t>
      </w:r>
      <w:r>
        <w:t xml:space="preserve">=5˚ and </w:t>
      </w:r>
      <w:r>
        <w:rPr>
          <w:i/>
        </w:rPr>
        <w:t>l</w:t>
      </w:r>
      <w:r>
        <w:t xml:space="preserve">=0.02 </w:t>
      </w:r>
      <w:r>
        <w:rPr>
          <w:i/>
        </w:rPr>
        <w:t>m</w:t>
      </w:r>
      <w:r>
        <w:t xml:space="preserve">. In this case </w:t>
      </w:r>
      <w:r>
        <w:rPr>
          <w:i/>
          <w:iCs/>
        </w:rPr>
        <w:t>u</w:t>
      </w:r>
      <w:r>
        <w:rPr>
          <w:iCs/>
          <w:vertAlign w:val="subscript"/>
        </w:rPr>
        <w:t>1</w:t>
      </w:r>
      <w:r>
        <w:rPr>
          <w:i/>
          <w:iCs/>
          <w:vertAlign w:val="subscript"/>
        </w:rPr>
        <w:t>max</w:t>
      </w:r>
      <w:r>
        <w:rPr>
          <w:i/>
          <w:iCs/>
        </w:rPr>
        <w:t>=</w:t>
      </w:r>
      <w:r>
        <w:rPr>
          <w:iCs/>
        </w:rPr>
        <w:t>0.028</w:t>
      </w:r>
      <w:r>
        <w:rPr>
          <w:i/>
          <w:iCs/>
        </w:rPr>
        <w:t xml:space="preserve"> m, u</w:t>
      </w:r>
      <w:r>
        <w:rPr>
          <w:iCs/>
          <w:vertAlign w:val="subscript"/>
        </w:rPr>
        <w:t>2</w:t>
      </w:r>
      <w:r>
        <w:rPr>
          <w:i/>
          <w:iCs/>
          <w:vertAlign w:val="subscript"/>
        </w:rPr>
        <w:t>max</w:t>
      </w:r>
      <w:r>
        <w:rPr>
          <w:i/>
          <w:iCs/>
        </w:rPr>
        <w:t>=</w:t>
      </w:r>
      <w:r>
        <w:rPr>
          <w:iCs/>
        </w:rPr>
        <w:t>0.029</w:t>
      </w:r>
      <w:r>
        <w:rPr>
          <w:i/>
          <w:iCs/>
        </w:rPr>
        <w:t xml:space="preserve"> m</w:t>
      </w:r>
      <w:r>
        <w:t xml:space="preserve">, </w:t>
      </w:r>
      <w:r>
        <w:rPr>
          <w:i/>
          <w:iCs/>
        </w:rPr>
        <w:t>v</w:t>
      </w:r>
      <w:r>
        <w:rPr>
          <w:iCs/>
          <w:vertAlign w:val="subscript"/>
        </w:rPr>
        <w:t>1</w:t>
      </w:r>
      <w:r>
        <w:rPr>
          <w:i/>
          <w:iCs/>
          <w:vertAlign w:val="subscript"/>
        </w:rPr>
        <w:t>max</w:t>
      </w:r>
      <w:r>
        <w:rPr>
          <w:i/>
          <w:iCs/>
        </w:rPr>
        <w:t>=</w:t>
      </w:r>
      <w:r>
        <w:rPr>
          <w:iCs/>
        </w:rPr>
        <w:t>0.18</w:t>
      </w:r>
      <w:r>
        <w:rPr>
          <w:i/>
          <w:iCs/>
        </w:rPr>
        <w:t xml:space="preserve"> m/s, v</w:t>
      </w:r>
      <w:r>
        <w:rPr>
          <w:iCs/>
          <w:vertAlign w:val="subscript"/>
        </w:rPr>
        <w:t>2</w:t>
      </w:r>
      <w:r>
        <w:rPr>
          <w:i/>
          <w:iCs/>
          <w:vertAlign w:val="subscript"/>
        </w:rPr>
        <w:t>max</w:t>
      </w:r>
      <w:r>
        <w:rPr>
          <w:i/>
          <w:iCs/>
        </w:rPr>
        <w:t>=</w:t>
      </w:r>
      <w:r>
        <w:rPr>
          <w:iCs/>
        </w:rPr>
        <w:t>0.2</w:t>
      </w:r>
      <w:r>
        <w:rPr>
          <w:i/>
          <w:iCs/>
        </w:rPr>
        <w:t xml:space="preserve"> m/s, w</w:t>
      </w:r>
      <w:r>
        <w:rPr>
          <w:iCs/>
          <w:vertAlign w:val="subscript"/>
        </w:rPr>
        <w:t>1</w:t>
      </w:r>
      <w:r>
        <w:rPr>
          <w:i/>
          <w:iCs/>
          <w:vertAlign w:val="subscript"/>
        </w:rPr>
        <w:t>max</w:t>
      </w:r>
      <w:r>
        <w:rPr>
          <w:i/>
          <w:iCs/>
        </w:rPr>
        <w:t>=</w:t>
      </w:r>
      <w:r>
        <w:rPr>
          <w:iCs/>
        </w:rPr>
        <w:t>1.93</w:t>
      </w:r>
      <w:r>
        <w:rPr>
          <w:i/>
          <w:iCs/>
        </w:rPr>
        <w:t xml:space="preserve"> m/s</w:t>
      </w:r>
      <w:r>
        <w:rPr>
          <w:i/>
          <w:iCs/>
          <w:vertAlign w:val="superscript"/>
        </w:rPr>
        <w:t>2</w:t>
      </w:r>
      <w:r>
        <w:rPr>
          <w:i/>
          <w:iCs/>
        </w:rPr>
        <w:t>, w</w:t>
      </w:r>
      <w:r>
        <w:rPr>
          <w:iCs/>
          <w:vertAlign w:val="subscript"/>
        </w:rPr>
        <w:t>2</w:t>
      </w:r>
      <w:r>
        <w:rPr>
          <w:i/>
          <w:iCs/>
          <w:vertAlign w:val="subscript"/>
        </w:rPr>
        <w:t>max</w:t>
      </w:r>
      <w:r>
        <w:rPr>
          <w:i/>
          <w:iCs/>
        </w:rPr>
        <w:t>=</w:t>
      </w:r>
      <w:r>
        <w:rPr>
          <w:iCs/>
        </w:rPr>
        <w:t>3.35</w:t>
      </w:r>
      <w:r>
        <w:rPr>
          <w:i/>
          <w:iCs/>
        </w:rPr>
        <w:t xml:space="preserve"> m/s</w:t>
      </w:r>
      <w:r>
        <w:rPr>
          <w:i/>
          <w:iCs/>
          <w:vertAlign w:val="superscript"/>
        </w:rPr>
        <w:t>2</w:t>
      </w:r>
      <w:r>
        <w:rPr>
          <w:i/>
          <w:iCs/>
        </w:rPr>
        <w:t>.</w:t>
      </w:r>
      <w:r>
        <w:rPr>
          <w:iCs/>
        </w:rPr>
        <w:t xml:space="preserve"> The results show that the maximum displacement values differ by a factor of 1.03, the maximum velocity values by a factor of 1.1, and the maximum acceleration values by a factor of 1.7.</w:t>
      </w:r>
    </w:p>
    <w:p w14:paraId="068D8377" w14:textId="77777777" w:rsidR="003A5EDF" w:rsidRDefault="003A5EDF">
      <w:pPr>
        <w:pStyle w:val="Paragraph"/>
      </w:pPr>
    </w:p>
    <w:tbl>
      <w:tblPr>
        <w:tblStyle w:val="Tabellenraster"/>
        <w:tblW w:w="8992" w:type="dxa"/>
        <w:tblLayout w:type="fixed"/>
        <w:tblLook w:val="04A0" w:firstRow="1" w:lastRow="0" w:firstColumn="1" w:lastColumn="0" w:noHBand="0" w:noVBand="1"/>
      </w:tblPr>
      <w:tblGrid>
        <w:gridCol w:w="4486"/>
        <w:gridCol w:w="4506"/>
      </w:tblGrid>
      <w:tr w:rsidR="003A5EDF" w14:paraId="1D51F973" w14:textId="77777777">
        <w:trPr>
          <w:trHeight w:val="1667"/>
        </w:trPr>
        <w:tc>
          <w:tcPr>
            <w:tcW w:w="4486" w:type="dxa"/>
            <w:tcBorders>
              <w:top w:val="nil"/>
              <w:left w:val="nil"/>
              <w:bottom w:val="nil"/>
              <w:right w:val="nil"/>
            </w:tcBorders>
          </w:tcPr>
          <w:p w14:paraId="7DF90D92" w14:textId="77777777" w:rsidR="003A5EDF" w:rsidRDefault="00000000">
            <w:pPr>
              <w:pStyle w:val="Paragraph"/>
              <w:ind w:firstLine="0"/>
            </w:pPr>
            <w:r>
              <w:rPr>
                <w:noProof/>
              </w:rPr>
              <w:drawing>
                <wp:inline distT="0" distB="0" distL="0" distR="0" wp14:anchorId="70BF2117" wp14:editId="6F655315">
                  <wp:extent cx="2712085" cy="1080135"/>
                  <wp:effectExtent l="0" t="0" r="0" b="0"/>
                  <wp:docPr id="3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
                          <pic:cNvPicPr>
                            <a:picLocks noChangeAspect="1" noChangeArrowheads="1"/>
                          </pic:cNvPicPr>
                        </pic:nvPicPr>
                        <pic:blipFill>
                          <a:blip r:embed="rId38"/>
                          <a:stretch>
                            <a:fillRect/>
                          </a:stretch>
                        </pic:blipFill>
                        <pic:spPr bwMode="auto">
                          <a:xfrm>
                            <a:off x="0" y="0"/>
                            <a:ext cx="2712085" cy="1080135"/>
                          </a:xfrm>
                          <a:prstGeom prst="rect">
                            <a:avLst/>
                          </a:prstGeom>
                        </pic:spPr>
                      </pic:pic>
                    </a:graphicData>
                  </a:graphic>
                </wp:inline>
              </w:drawing>
            </w:r>
          </w:p>
        </w:tc>
        <w:tc>
          <w:tcPr>
            <w:tcW w:w="4505" w:type="dxa"/>
            <w:tcBorders>
              <w:top w:val="nil"/>
              <w:left w:val="nil"/>
              <w:bottom w:val="nil"/>
              <w:right w:val="nil"/>
            </w:tcBorders>
          </w:tcPr>
          <w:p w14:paraId="568A93B9" w14:textId="77777777" w:rsidR="003A5EDF" w:rsidRDefault="00000000">
            <w:pPr>
              <w:pStyle w:val="Paragraph"/>
              <w:ind w:firstLine="0"/>
            </w:pPr>
            <w:r>
              <w:rPr>
                <w:noProof/>
              </w:rPr>
              <w:drawing>
                <wp:inline distT="0" distB="0" distL="0" distR="0" wp14:anchorId="1D3143D8" wp14:editId="060468A6">
                  <wp:extent cx="2721610" cy="1080135"/>
                  <wp:effectExtent l="0" t="0" r="0" b="0"/>
                  <wp:docPr id="3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
                          <pic:cNvPicPr>
                            <a:picLocks noChangeAspect="1" noChangeArrowheads="1"/>
                          </pic:cNvPicPr>
                        </pic:nvPicPr>
                        <pic:blipFill>
                          <a:blip r:embed="rId39"/>
                          <a:stretch>
                            <a:fillRect/>
                          </a:stretch>
                        </pic:blipFill>
                        <pic:spPr bwMode="auto">
                          <a:xfrm>
                            <a:off x="0" y="0"/>
                            <a:ext cx="2721610" cy="1080135"/>
                          </a:xfrm>
                          <a:prstGeom prst="rect">
                            <a:avLst/>
                          </a:prstGeom>
                        </pic:spPr>
                      </pic:pic>
                    </a:graphicData>
                  </a:graphic>
                </wp:inline>
              </w:drawing>
            </w:r>
          </w:p>
        </w:tc>
      </w:tr>
      <w:tr w:rsidR="003A5EDF" w14:paraId="01A1FC4B" w14:textId="77777777">
        <w:trPr>
          <w:trHeight w:val="222"/>
        </w:trPr>
        <w:tc>
          <w:tcPr>
            <w:tcW w:w="4486" w:type="dxa"/>
            <w:tcBorders>
              <w:top w:val="nil"/>
              <w:left w:val="nil"/>
              <w:bottom w:val="nil"/>
              <w:right w:val="nil"/>
            </w:tcBorders>
          </w:tcPr>
          <w:p w14:paraId="6CDB7110" w14:textId="77777777" w:rsidR="003A5EDF" w:rsidRDefault="00000000">
            <w:pPr>
              <w:pStyle w:val="Paragraph"/>
              <w:ind w:firstLine="0"/>
              <w:jc w:val="center"/>
            </w:pPr>
            <w:r>
              <w:t>(a)</w:t>
            </w:r>
          </w:p>
        </w:tc>
        <w:tc>
          <w:tcPr>
            <w:tcW w:w="4505" w:type="dxa"/>
            <w:tcBorders>
              <w:top w:val="nil"/>
              <w:left w:val="nil"/>
              <w:bottom w:val="nil"/>
              <w:right w:val="nil"/>
            </w:tcBorders>
          </w:tcPr>
          <w:p w14:paraId="398D6D2C" w14:textId="77777777" w:rsidR="003A5EDF" w:rsidRDefault="00000000">
            <w:pPr>
              <w:pStyle w:val="Paragraph"/>
              <w:ind w:firstLine="0"/>
              <w:jc w:val="center"/>
            </w:pPr>
            <w:r>
              <w:t>(b)</w:t>
            </w:r>
          </w:p>
        </w:tc>
      </w:tr>
      <w:tr w:rsidR="003A5EDF" w14:paraId="611D94C1" w14:textId="77777777">
        <w:trPr>
          <w:trHeight w:val="1667"/>
        </w:trPr>
        <w:tc>
          <w:tcPr>
            <w:tcW w:w="8991" w:type="dxa"/>
            <w:gridSpan w:val="2"/>
            <w:tcBorders>
              <w:top w:val="nil"/>
              <w:left w:val="nil"/>
              <w:bottom w:val="nil"/>
              <w:right w:val="nil"/>
            </w:tcBorders>
          </w:tcPr>
          <w:p w14:paraId="3E586B6A" w14:textId="77777777" w:rsidR="003A5EDF" w:rsidRDefault="00000000">
            <w:pPr>
              <w:pStyle w:val="Paragraph"/>
              <w:ind w:firstLine="0"/>
              <w:jc w:val="center"/>
            </w:pPr>
            <w:r>
              <w:rPr>
                <w:lang w:val="ru-RU" w:eastAsia="ru-RU"/>
              </w:rPr>
              <w:t xml:space="preserve"> </w:t>
            </w:r>
            <w:r>
              <w:rPr>
                <w:noProof/>
              </w:rPr>
              <w:drawing>
                <wp:inline distT="0" distB="0" distL="0" distR="0" wp14:anchorId="722F5E1A" wp14:editId="1E39F552">
                  <wp:extent cx="2531110" cy="1080135"/>
                  <wp:effectExtent l="0" t="0" r="0" b="0"/>
                  <wp:docPr id="3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
                          <pic:cNvPicPr>
                            <a:picLocks noChangeAspect="1" noChangeArrowheads="1"/>
                          </pic:cNvPicPr>
                        </pic:nvPicPr>
                        <pic:blipFill>
                          <a:blip r:embed="rId40"/>
                          <a:stretch>
                            <a:fillRect/>
                          </a:stretch>
                        </pic:blipFill>
                        <pic:spPr bwMode="auto">
                          <a:xfrm>
                            <a:off x="0" y="0"/>
                            <a:ext cx="2531110" cy="1080135"/>
                          </a:xfrm>
                          <a:prstGeom prst="rect">
                            <a:avLst/>
                          </a:prstGeom>
                        </pic:spPr>
                      </pic:pic>
                    </a:graphicData>
                  </a:graphic>
                </wp:inline>
              </w:drawing>
            </w:r>
          </w:p>
        </w:tc>
      </w:tr>
      <w:tr w:rsidR="003A5EDF" w14:paraId="2FAEA097" w14:textId="77777777">
        <w:trPr>
          <w:trHeight w:val="222"/>
        </w:trPr>
        <w:tc>
          <w:tcPr>
            <w:tcW w:w="8991" w:type="dxa"/>
            <w:gridSpan w:val="2"/>
            <w:tcBorders>
              <w:top w:val="nil"/>
              <w:left w:val="nil"/>
              <w:bottom w:val="nil"/>
              <w:right w:val="nil"/>
            </w:tcBorders>
            <w:shd w:val="clear" w:color="auto" w:fill="FFFFFF" w:themeFill="background1"/>
          </w:tcPr>
          <w:p w14:paraId="46E08DD9" w14:textId="77777777" w:rsidR="003A5EDF" w:rsidRDefault="00000000">
            <w:pPr>
              <w:pStyle w:val="Paragraph"/>
              <w:ind w:firstLine="0"/>
              <w:jc w:val="center"/>
            </w:pPr>
            <w:r>
              <w:t>(c)</w:t>
            </w:r>
          </w:p>
        </w:tc>
      </w:tr>
    </w:tbl>
    <w:p w14:paraId="595383C4" w14:textId="77777777" w:rsidR="003A5EDF" w:rsidRDefault="00000000">
      <w:pPr>
        <w:pStyle w:val="FigureCaption"/>
      </w:pPr>
      <w:bookmarkStart w:id="18" w:name="_Hlk209715641"/>
      <w:r>
        <w:rPr>
          <w:b/>
          <w:sz w:val="20"/>
        </w:rPr>
        <w:t>FIGURE 12.</w:t>
      </w:r>
      <w:r>
        <w:rPr>
          <w:sz w:val="20"/>
        </w:rPr>
        <w:t xml:space="preserve"> </w:t>
      </w:r>
      <w:bookmarkEnd w:id="18"/>
      <w:r>
        <w:t>Displacements (a), velocities (b), and accelerations (c) of the upper (1) and lower (2) plates at</w:t>
      </w:r>
      <w:r>
        <w:rPr>
          <w:rFonts w:ascii="Cambria Math" w:hAnsi="Cambria Math" w:cs="Cambria Math"/>
        </w:rPr>
        <w:t xml:space="preserve"> 𝜑</w:t>
      </w:r>
      <w:r>
        <w:t xml:space="preserve">=5˚, </w:t>
      </w:r>
      <w:r>
        <w:rPr>
          <w:i/>
          <w:iCs/>
        </w:rPr>
        <w:t>l</w:t>
      </w:r>
      <w:r>
        <w:t xml:space="preserve">=0.02 </w:t>
      </w:r>
      <w:r>
        <w:rPr>
          <w:i/>
          <w:iCs/>
          <w:lang w:val="en-GB"/>
        </w:rPr>
        <w:t>m</w:t>
      </w:r>
      <w:r>
        <w:t>.</w:t>
      </w:r>
    </w:p>
    <w:p w14:paraId="73F2D7E8" w14:textId="77777777" w:rsidR="003A5EDF" w:rsidRDefault="003A5EDF">
      <w:pPr>
        <w:pStyle w:val="Paragraph"/>
        <w:ind w:firstLine="0"/>
      </w:pPr>
    </w:p>
    <w:p w14:paraId="4651DA17" w14:textId="61E8DC25" w:rsidR="003A5EDF" w:rsidRDefault="00000000">
      <w:pPr>
        <w:pStyle w:val="Paragraph"/>
        <w:rPr>
          <w:iCs/>
        </w:rPr>
      </w:pPr>
      <w:r>
        <w:t>Fig</w:t>
      </w:r>
      <w:r w:rsidR="00721D07">
        <w:t>ure</w:t>
      </w:r>
      <w:r>
        <w:t xml:space="preserve"> 13 shows the results obtained for </w:t>
      </w:r>
      <w:r>
        <w:rPr>
          <w:rFonts w:ascii="Cambria Math" w:hAnsi="Cambria Math" w:cs="Cambria Math"/>
          <w:i/>
          <w:lang w:val="ru-RU"/>
        </w:rPr>
        <w:t>𝜑</w:t>
      </w:r>
      <w:r>
        <w:t xml:space="preserve">=5˚ and </w:t>
      </w:r>
      <w:r>
        <w:rPr>
          <w:i/>
        </w:rPr>
        <w:t>l</w:t>
      </w:r>
      <w:r>
        <w:t xml:space="preserve">=0.01 </w:t>
      </w:r>
      <w:r>
        <w:rPr>
          <w:i/>
        </w:rPr>
        <w:t>m</w:t>
      </w:r>
      <w:r>
        <w:t xml:space="preserve">. In this case </w:t>
      </w:r>
      <w:r>
        <w:rPr>
          <w:i/>
          <w:iCs/>
          <w:lang w:val="en-GB"/>
        </w:rPr>
        <w:t>u</w:t>
      </w:r>
      <w:r>
        <w:rPr>
          <w:iCs/>
          <w:vertAlign w:val="subscript"/>
        </w:rPr>
        <w:t>1</w:t>
      </w:r>
      <w:r>
        <w:rPr>
          <w:i/>
          <w:iCs/>
          <w:vertAlign w:val="subscript"/>
          <w:lang w:val="en-GB"/>
        </w:rPr>
        <w:t>max</w:t>
      </w:r>
      <w:r>
        <w:rPr>
          <w:i/>
          <w:iCs/>
        </w:rPr>
        <w:t>=</w:t>
      </w:r>
      <w:r>
        <w:rPr>
          <w:iCs/>
        </w:rPr>
        <w:t>0.028</w:t>
      </w:r>
      <w:r>
        <w:rPr>
          <w:i/>
          <w:iCs/>
        </w:rPr>
        <w:t> </w:t>
      </w:r>
      <w:r>
        <w:rPr>
          <w:i/>
          <w:iCs/>
          <w:lang w:val="en-GB"/>
        </w:rPr>
        <w:t>m</w:t>
      </w:r>
      <w:r>
        <w:rPr>
          <w:i/>
          <w:iCs/>
        </w:rPr>
        <w:t xml:space="preserve">, </w:t>
      </w:r>
      <w:r>
        <w:rPr>
          <w:i/>
          <w:iCs/>
          <w:lang w:val="en-GB"/>
        </w:rPr>
        <w:t>u</w:t>
      </w:r>
      <w:r>
        <w:rPr>
          <w:iCs/>
          <w:vertAlign w:val="subscript"/>
        </w:rPr>
        <w:t>2</w:t>
      </w:r>
      <w:r>
        <w:rPr>
          <w:i/>
          <w:iCs/>
          <w:vertAlign w:val="subscript"/>
          <w:lang w:val="en-GB"/>
        </w:rPr>
        <w:t>max</w:t>
      </w:r>
      <w:r>
        <w:rPr>
          <w:i/>
          <w:iCs/>
        </w:rPr>
        <w:t>=</w:t>
      </w:r>
      <w:r>
        <w:rPr>
          <w:iCs/>
        </w:rPr>
        <w:t>0.029</w:t>
      </w:r>
      <w:r>
        <w:rPr>
          <w:i/>
          <w:iCs/>
        </w:rPr>
        <w:t xml:space="preserve"> </w:t>
      </w:r>
      <w:r>
        <w:rPr>
          <w:i/>
          <w:iCs/>
          <w:lang w:val="en-GB"/>
        </w:rPr>
        <w:t>m</w:t>
      </w:r>
      <w:r>
        <w:t xml:space="preserve">, </w:t>
      </w:r>
      <w:r>
        <w:rPr>
          <w:i/>
          <w:iCs/>
        </w:rPr>
        <w:t>v</w:t>
      </w:r>
      <w:r>
        <w:rPr>
          <w:iCs/>
          <w:vertAlign w:val="subscript"/>
        </w:rPr>
        <w:t>1</w:t>
      </w:r>
      <w:r>
        <w:rPr>
          <w:i/>
          <w:iCs/>
          <w:vertAlign w:val="subscript"/>
        </w:rPr>
        <w:t>max</w:t>
      </w:r>
      <w:r>
        <w:rPr>
          <w:i/>
          <w:iCs/>
        </w:rPr>
        <w:t>=</w:t>
      </w:r>
      <w:r>
        <w:rPr>
          <w:iCs/>
        </w:rPr>
        <w:t>0.18</w:t>
      </w:r>
      <w:r>
        <w:rPr>
          <w:i/>
          <w:iCs/>
        </w:rPr>
        <w:t xml:space="preserve"> m/s, v</w:t>
      </w:r>
      <w:r>
        <w:rPr>
          <w:iCs/>
          <w:vertAlign w:val="subscript"/>
        </w:rPr>
        <w:t>2</w:t>
      </w:r>
      <w:r>
        <w:rPr>
          <w:i/>
          <w:iCs/>
          <w:vertAlign w:val="subscript"/>
        </w:rPr>
        <w:t>max</w:t>
      </w:r>
      <w:r>
        <w:rPr>
          <w:i/>
          <w:iCs/>
        </w:rPr>
        <w:t>=</w:t>
      </w:r>
      <w:r>
        <w:rPr>
          <w:iCs/>
        </w:rPr>
        <w:t>0.2</w:t>
      </w:r>
      <w:r>
        <w:rPr>
          <w:i/>
          <w:iCs/>
        </w:rPr>
        <w:t xml:space="preserve"> m/s, w</w:t>
      </w:r>
      <w:r>
        <w:rPr>
          <w:iCs/>
          <w:vertAlign w:val="subscript"/>
        </w:rPr>
        <w:t>1</w:t>
      </w:r>
      <w:r>
        <w:rPr>
          <w:i/>
          <w:iCs/>
          <w:vertAlign w:val="subscript"/>
        </w:rPr>
        <w:t>max</w:t>
      </w:r>
      <w:r>
        <w:rPr>
          <w:i/>
          <w:iCs/>
        </w:rPr>
        <w:t>=</w:t>
      </w:r>
      <w:r>
        <w:rPr>
          <w:iCs/>
        </w:rPr>
        <w:t>1.36</w:t>
      </w:r>
      <w:r>
        <w:rPr>
          <w:i/>
          <w:iCs/>
        </w:rPr>
        <w:t xml:space="preserve"> m/s</w:t>
      </w:r>
      <w:r>
        <w:rPr>
          <w:i/>
          <w:iCs/>
          <w:vertAlign w:val="superscript"/>
        </w:rPr>
        <w:t>2</w:t>
      </w:r>
      <w:r>
        <w:rPr>
          <w:i/>
          <w:iCs/>
        </w:rPr>
        <w:t>, w</w:t>
      </w:r>
      <w:r>
        <w:rPr>
          <w:iCs/>
          <w:vertAlign w:val="subscript"/>
        </w:rPr>
        <w:t>2</w:t>
      </w:r>
      <w:r>
        <w:rPr>
          <w:i/>
          <w:iCs/>
          <w:vertAlign w:val="subscript"/>
        </w:rPr>
        <w:t>max</w:t>
      </w:r>
      <w:r>
        <w:rPr>
          <w:i/>
          <w:iCs/>
        </w:rPr>
        <w:t>=</w:t>
      </w:r>
      <w:r>
        <w:rPr>
          <w:iCs/>
        </w:rPr>
        <w:t>3.35</w:t>
      </w:r>
      <w:r>
        <w:rPr>
          <w:i/>
          <w:iCs/>
        </w:rPr>
        <w:t xml:space="preserve"> m/s</w:t>
      </w:r>
      <w:r>
        <w:rPr>
          <w:i/>
          <w:iCs/>
          <w:vertAlign w:val="superscript"/>
        </w:rPr>
        <w:t>2</w:t>
      </w:r>
      <w:r>
        <w:rPr>
          <w:i/>
          <w:iCs/>
        </w:rPr>
        <w:t>.</w:t>
      </w:r>
      <w:r>
        <w:rPr>
          <w:iCs/>
        </w:rPr>
        <w:t xml:space="preserve"> The results show that the maximum displacement values differ by a factor of 1.03, the maximum velocity values by a factor of 1.1, and the maximum acceleration values by a factor of 2.5. The residual displacement after </w:t>
      </w:r>
      <w:r>
        <w:rPr>
          <w:i/>
          <w:iCs/>
        </w:rPr>
        <w:t>t</w:t>
      </w:r>
      <w:r>
        <w:rPr>
          <w:iCs/>
        </w:rPr>
        <w:t xml:space="preserve">=12 </w:t>
      </w:r>
      <w:r>
        <w:rPr>
          <w:i/>
          <w:iCs/>
        </w:rPr>
        <w:t>s</w:t>
      </w:r>
      <w:r>
        <w:rPr>
          <w:iCs/>
        </w:rPr>
        <w:t xml:space="preserve"> does not exceed 0.005 </w:t>
      </w:r>
      <w:r>
        <w:rPr>
          <w:i/>
          <w:iCs/>
        </w:rPr>
        <w:t>m</w:t>
      </w:r>
      <w:r>
        <w:rPr>
          <w:iCs/>
        </w:rPr>
        <w:t xml:space="preserve">, and the parameter </w:t>
      </w:r>
      <w:r>
        <w:rPr>
          <w:i/>
          <w:iCs/>
        </w:rPr>
        <w:t>l</w:t>
      </w:r>
      <w:r>
        <w:rPr>
          <w:iCs/>
        </w:rPr>
        <w:t xml:space="preserve"> allows the residual displacement to be controlled.</w:t>
      </w:r>
    </w:p>
    <w:p w14:paraId="4D28731B" w14:textId="77777777" w:rsidR="003A5EDF" w:rsidRDefault="003A5EDF">
      <w:pPr>
        <w:pStyle w:val="Paragraph"/>
      </w:pPr>
    </w:p>
    <w:tbl>
      <w:tblPr>
        <w:tblStyle w:val="Tabellenraster"/>
        <w:tblW w:w="8990" w:type="dxa"/>
        <w:tblLayout w:type="fixed"/>
        <w:tblLook w:val="04A0" w:firstRow="1" w:lastRow="0" w:firstColumn="1" w:lastColumn="0" w:noHBand="0" w:noVBand="1"/>
      </w:tblPr>
      <w:tblGrid>
        <w:gridCol w:w="4506"/>
        <w:gridCol w:w="4484"/>
      </w:tblGrid>
      <w:tr w:rsidR="003A5EDF" w14:paraId="6DA66491" w14:textId="77777777">
        <w:trPr>
          <w:trHeight w:val="1570"/>
        </w:trPr>
        <w:tc>
          <w:tcPr>
            <w:tcW w:w="4505" w:type="dxa"/>
            <w:tcBorders>
              <w:top w:val="nil"/>
              <w:left w:val="nil"/>
              <w:bottom w:val="nil"/>
              <w:right w:val="nil"/>
            </w:tcBorders>
          </w:tcPr>
          <w:p w14:paraId="23D4A8FA" w14:textId="77777777" w:rsidR="003A5EDF" w:rsidRDefault="00000000">
            <w:pPr>
              <w:pStyle w:val="Paragraph"/>
              <w:ind w:firstLine="0"/>
            </w:pPr>
            <w:r>
              <w:rPr>
                <w:noProof/>
              </w:rPr>
              <w:drawing>
                <wp:inline distT="0" distB="0" distL="0" distR="0" wp14:anchorId="30851798" wp14:editId="7CE6DCA9">
                  <wp:extent cx="2718435" cy="1080135"/>
                  <wp:effectExtent l="0" t="0" r="0" b="0"/>
                  <wp:docPr id="3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
                          <pic:cNvPicPr>
                            <a:picLocks noChangeAspect="1" noChangeArrowheads="1"/>
                          </pic:cNvPicPr>
                        </pic:nvPicPr>
                        <pic:blipFill>
                          <a:blip r:embed="rId41"/>
                          <a:stretch>
                            <a:fillRect/>
                          </a:stretch>
                        </pic:blipFill>
                        <pic:spPr bwMode="auto">
                          <a:xfrm>
                            <a:off x="0" y="0"/>
                            <a:ext cx="2718435" cy="1080135"/>
                          </a:xfrm>
                          <a:prstGeom prst="rect">
                            <a:avLst/>
                          </a:prstGeom>
                        </pic:spPr>
                      </pic:pic>
                    </a:graphicData>
                  </a:graphic>
                </wp:inline>
              </w:drawing>
            </w:r>
          </w:p>
        </w:tc>
        <w:tc>
          <w:tcPr>
            <w:tcW w:w="4484" w:type="dxa"/>
            <w:tcBorders>
              <w:top w:val="nil"/>
              <w:left w:val="nil"/>
              <w:bottom w:val="nil"/>
              <w:right w:val="nil"/>
            </w:tcBorders>
          </w:tcPr>
          <w:p w14:paraId="30635451" w14:textId="77777777" w:rsidR="003A5EDF" w:rsidRDefault="00000000">
            <w:pPr>
              <w:pStyle w:val="Paragraph"/>
              <w:ind w:firstLine="0"/>
            </w:pPr>
            <w:r>
              <w:rPr>
                <w:noProof/>
              </w:rPr>
              <w:drawing>
                <wp:inline distT="0" distB="0" distL="0" distR="0" wp14:anchorId="3FAC334F" wp14:editId="4C39378A">
                  <wp:extent cx="2710815" cy="1080135"/>
                  <wp:effectExtent l="0" t="0" r="0" b="0"/>
                  <wp:docPr id="34"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
                          <pic:cNvPicPr>
                            <a:picLocks noChangeAspect="1" noChangeArrowheads="1"/>
                          </pic:cNvPicPr>
                        </pic:nvPicPr>
                        <pic:blipFill>
                          <a:blip r:embed="rId42"/>
                          <a:stretch>
                            <a:fillRect/>
                          </a:stretch>
                        </pic:blipFill>
                        <pic:spPr bwMode="auto">
                          <a:xfrm>
                            <a:off x="0" y="0"/>
                            <a:ext cx="2710815" cy="1080135"/>
                          </a:xfrm>
                          <a:prstGeom prst="rect">
                            <a:avLst/>
                          </a:prstGeom>
                        </pic:spPr>
                      </pic:pic>
                    </a:graphicData>
                  </a:graphic>
                </wp:inline>
              </w:drawing>
            </w:r>
          </w:p>
        </w:tc>
      </w:tr>
      <w:tr w:rsidR="003A5EDF" w14:paraId="5B4DC423" w14:textId="77777777">
        <w:trPr>
          <w:trHeight w:val="209"/>
        </w:trPr>
        <w:tc>
          <w:tcPr>
            <w:tcW w:w="4505" w:type="dxa"/>
            <w:tcBorders>
              <w:top w:val="nil"/>
              <w:left w:val="nil"/>
              <w:bottom w:val="nil"/>
              <w:right w:val="nil"/>
            </w:tcBorders>
          </w:tcPr>
          <w:p w14:paraId="236CF0E9" w14:textId="77777777" w:rsidR="003A5EDF" w:rsidRDefault="00000000">
            <w:pPr>
              <w:pStyle w:val="Paragraph"/>
              <w:ind w:firstLine="0"/>
              <w:jc w:val="center"/>
            </w:pPr>
            <w:r>
              <w:t>(a)</w:t>
            </w:r>
          </w:p>
        </w:tc>
        <w:tc>
          <w:tcPr>
            <w:tcW w:w="4484" w:type="dxa"/>
            <w:tcBorders>
              <w:top w:val="nil"/>
              <w:left w:val="nil"/>
              <w:bottom w:val="nil"/>
              <w:right w:val="nil"/>
            </w:tcBorders>
          </w:tcPr>
          <w:p w14:paraId="2562D338" w14:textId="77777777" w:rsidR="003A5EDF" w:rsidRDefault="00000000">
            <w:pPr>
              <w:pStyle w:val="Paragraph"/>
              <w:ind w:firstLine="0"/>
              <w:jc w:val="center"/>
            </w:pPr>
            <w:r>
              <w:t>(b)</w:t>
            </w:r>
          </w:p>
        </w:tc>
      </w:tr>
      <w:tr w:rsidR="003A5EDF" w14:paraId="79F5C7FE" w14:textId="77777777">
        <w:trPr>
          <w:trHeight w:val="1577"/>
        </w:trPr>
        <w:tc>
          <w:tcPr>
            <w:tcW w:w="8989" w:type="dxa"/>
            <w:gridSpan w:val="2"/>
            <w:tcBorders>
              <w:top w:val="nil"/>
              <w:left w:val="nil"/>
              <w:bottom w:val="nil"/>
              <w:right w:val="nil"/>
            </w:tcBorders>
          </w:tcPr>
          <w:p w14:paraId="516A66C7" w14:textId="77777777" w:rsidR="003A5EDF" w:rsidRDefault="00000000">
            <w:pPr>
              <w:pStyle w:val="Paragraph"/>
              <w:ind w:firstLine="0"/>
              <w:jc w:val="center"/>
            </w:pPr>
            <w:r>
              <w:rPr>
                <w:noProof/>
              </w:rPr>
              <w:drawing>
                <wp:inline distT="0" distB="0" distL="0" distR="0" wp14:anchorId="4A147ACE" wp14:editId="0EB80A3B">
                  <wp:extent cx="2501900" cy="1080135"/>
                  <wp:effectExtent l="0" t="0" r="0" b="0"/>
                  <wp:docPr id="3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pic:cNvPicPr>
                            <a:picLocks noChangeAspect="1" noChangeArrowheads="1"/>
                          </pic:cNvPicPr>
                        </pic:nvPicPr>
                        <pic:blipFill>
                          <a:blip r:embed="rId43"/>
                          <a:stretch>
                            <a:fillRect/>
                          </a:stretch>
                        </pic:blipFill>
                        <pic:spPr bwMode="auto">
                          <a:xfrm>
                            <a:off x="0" y="0"/>
                            <a:ext cx="2501900" cy="1080135"/>
                          </a:xfrm>
                          <a:prstGeom prst="rect">
                            <a:avLst/>
                          </a:prstGeom>
                        </pic:spPr>
                      </pic:pic>
                    </a:graphicData>
                  </a:graphic>
                </wp:inline>
              </w:drawing>
            </w:r>
          </w:p>
        </w:tc>
      </w:tr>
      <w:tr w:rsidR="003A5EDF" w14:paraId="3C6F516B" w14:textId="77777777">
        <w:trPr>
          <w:trHeight w:val="203"/>
        </w:trPr>
        <w:tc>
          <w:tcPr>
            <w:tcW w:w="8989" w:type="dxa"/>
            <w:gridSpan w:val="2"/>
            <w:tcBorders>
              <w:top w:val="nil"/>
              <w:left w:val="nil"/>
              <w:bottom w:val="nil"/>
              <w:right w:val="nil"/>
            </w:tcBorders>
          </w:tcPr>
          <w:p w14:paraId="65064419" w14:textId="77777777" w:rsidR="003A5EDF" w:rsidRDefault="00000000">
            <w:pPr>
              <w:pStyle w:val="Paragraph"/>
              <w:ind w:firstLine="0"/>
              <w:jc w:val="center"/>
            </w:pPr>
            <w:r>
              <w:t>(c)</w:t>
            </w:r>
          </w:p>
        </w:tc>
      </w:tr>
    </w:tbl>
    <w:p w14:paraId="159343A6" w14:textId="77777777" w:rsidR="003A5EDF" w:rsidRDefault="00000000">
      <w:pPr>
        <w:pStyle w:val="FigureCaption"/>
      </w:pPr>
      <w:r>
        <w:rPr>
          <w:b/>
          <w:sz w:val="20"/>
        </w:rPr>
        <w:t>FIGURE 13.</w:t>
      </w:r>
      <w:r>
        <w:rPr>
          <w:sz w:val="20"/>
        </w:rPr>
        <w:t xml:space="preserve"> </w:t>
      </w:r>
      <w:r>
        <w:t>Displacements (a), velocities (b), and accelerations (c) of the upper (1) and lower (2) plates at</w:t>
      </w:r>
      <w:r>
        <w:rPr>
          <w:rFonts w:ascii="Cambria Math" w:hAnsi="Cambria Math" w:cs="Cambria Math"/>
        </w:rPr>
        <w:t xml:space="preserve"> 𝜑</w:t>
      </w:r>
      <w:r>
        <w:t xml:space="preserve">=5˚, </w:t>
      </w:r>
      <w:bookmarkStart w:id="19" w:name="_Hlk210052840"/>
      <w:r>
        <w:rPr>
          <w:i/>
          <w:iCs/>
        </w:rPr>
        <w:t>l</w:t>
      </w:r>
      <w:r>
        <w:t xml:space="preserve">=0.01 </w:t>
      </w:r>
      <w:r>
        <w:rPr>
          <w:i/>
          <w:iCs/>
          <w:lang w:val="en-GB"/>
        </w:rPr>
        <w:t>m</w:t>
      </w:r>
      <w:bookmarkEnd w:id="19"/>
      <w:r>
        <w:t>.</w:t>
      </w:r>
    </w:p>
    <w:p w14:paraId="4D96FF9C" w14:textId="77777777" w:rsidR="003A5EDF" w:rsidRDefault="003A5EDF">
      <w:pPr>
        <w:pStyle w:val="Paragraph"/>
      </w:pPr>
    </w:p>
    <w:p w14:paraId="34D8E860" w14:textId="4BAB630A" w:rsidR="003A5EDF" w:rsidRDefault="00000000">
      <w:pPr>
        <w:pStyle w:val="Paragraph"/>
        <w:rPr>
          <w:lang w:val="uz-Cyrl-UZ"/>
        </w:rPr>
      </w:pPr>
      <w:r>
        <w:t>Fig</w:t>
      </w:r>
      <w:r w:rsidR="00721D07">
        <w:t>ure</w:t>
      </w:r>
      <w:r>
        <w:t xml:space="preserve"> 14 shows the results obtained for </w:t>
      </w:r>
      <w:r>
        <w:rPr>
          <w:rFonts w:ascii="Cambria Math" w:hAnsi="Cambria Math" w:cs="Cambria Math"/>
          <w:i/>
          <w:lang w:val="ru-RU"/>
        </w:rPr>
        <w:t>𝜑</w:t>
      </w:r>
      <w:r>
        <w:t xml:space="preserve">=5˚ and </w:t>
      </w:r>
      <w:r>
        <w:rPr>
          <w:i/>
        </w:rPr>
        <w:t>l</w:t>
      </w:r>
      <w:r>
        <w:t xml:space="preserve">=0 </w:t>
      </w:r>
      <w:r>
        <w:rPr>
          <w:i/>
        </w:rPr>
        <w:t>m</w:t>
      </w:r>
      <w:r>
        <w:t xml:space="preserve">. In this case </w:t>
      </w:r>
      <w:r>
        <w:rPr>
          <w:i/>
          <w:iCs/>
        </w:rPr>
        <w:t>u</w:t>
      </w:r>
      <w:r>
        <w:rPr>
          <w:iCs/>
          <w:vertAlign w:val="subscript"/>
        </w:rPr>
        <w:t>1</w:t>
      </w:r>
      <w:r>
        <w:rPr>
          <w:i/>
          <w:iCs/>
          <w:vertAlign w:val="subscript"/>
        </w:rPr>
        <w:t>max</w:t>
      </w:r>
      <w:r>
        <w:rPr>
          <w:i/>
          <w:iCs/>
        </w:rPr>
        <w:t>=</w:t>
      </w:r>
      <w:r>
        <w:rPr>
          <w:iCs/>
        </w:rPr>
        <w:t>0.029</w:t>
      </w:r>
      <w:r>
        <w:rPr>
          <w:i/>
          <w:iCs/>
        </w:rPr>
        <w:t xml:space="preserve"> m, u</w:t>
      </w:r>
      <w:r>
        <w:rPr>
          <w:iCs/>
          <w:vertAlign w:val="subscript"/>
        </w:rPr>
        <w:t>2</w:t>
      </w:r>
      <w:r>
        <w:rPr>
          <w:i/>
          <w:iCs/>
          <w:vertAlign w:val="subscript"/>
        </w:rPr>
        <w:t>max</w:t>
      </w:r>
      <w:r>
        <w:rPr>
          <w:i/>
          <w:iCs/>
        </w:rPr>
        <w:t>=</w:t>
      </w:r>
      <w:r>
        <w:rPr>
          <w:iCs/>
        </w:rPr>
        <w:t>0.029</w:t>
      </w:r>
      <w:r>
        <w:rPr>
          <w:i/>
          <w:iCs/>
        </w:rPr>
        <w:t> m</w:t>
      </w:r>
      <w:r>
        <w:t xml:space="preserve">, </w:t>
      </w:r>
      <w:r>
        <w:rPr>
          <w:i/>
          <w:iCs/>
        </w:rPr>
        <w:t>v</w:t>
      </w:r>
      <w:r>
        <w:rPr>
          <w:iCs/>
          <w:vertAlign w:val="subscript"/>
        </w:rPr>
        <w:t>1</w:t>
      </w:r>
      <w:r>
        <w:rPr>
          <w:i/>
          <w:iCs/>
          <w:vertAlign w:val="subscript"/>
        </w:rPr>
        <w:t>max</w:t>
      </w:r>
      <w:r>
        <w:rPr>
          <w:i/>
          <w:iCs/>
        </w:rPr>
        <w:t>=</w:t>
      </w:r>
      <w:r>
        <w:rPr>
          <w:iCs/>
        </w:rPr>
        <w:t>0.19</w:t>
      </w:r>
      <w:r>
        <w:rPr>
          <w:i/>
          <w:iCs/>
        </w:rPr>
        <w:t xml:space="preserve"> m/s, v</w:t>
      </w:r>
      <w:r>
        <w:rPr>
          <w:iCs/>
          <w:vertAlign w:val="subscript"/>
        </w:rPr>
        <w:t>2</w:t>
      </w:r>
      <w:r>
        <w:rPr>
          <w:i/>
          <w:iCs/>
          <w:vertAlign w:val="subscript"/>
        </w:rPr>
        <w:t>max</w:t>
      </w:r>
      <w:r>
        <w:rPr>
          <w:i/>
          <w:iCs/>
        </w:rPr>
        <w:t>=</w:t>
      </w:r>
      <w:r>
        <w:rPr>
          <w:iCs/>
        </w:rPr>
        <w:t>0.2</w:t>
      </w:r>
      <w:r>
        <w:rPr>
          <w:i/>
          <w:iCs/>
        </w:rPr>
        <w:t xml:space="preserve"> m/s, w</w:t>
      </w:r>
      <w:r>
        <w:rPr>
          <w:iCs/>
          <w:vertAlign w:val="subscript"/>
        </w:rPr>
        <w:t>1</w:t>
      </w:r>
      <w:r>
        <w:rPr>
          <w:i/>
          <w:iCs/>
          <w:vertAlign w:val="subscript"/>
        </w:rPr>
        <w:t>max</w:t>
      </w:r>
      <w:r>
        <w:rPr>
          <w:i/>
          <w:iCs/>
        </w:rPr>
        <w:t>=</w:t>
      </w:r>
      <w:r>
        <w:rPr>
          <w:iCs/>
        </w:rPr>
        <w:t>1.9</w:t>
      </w:r>
      <w:r>
        <w:rPr>
          <w:i/>
          <w:iCs/>
        </w:rPr>
        <w:t xml:space="preserve"> m/s</w:t>
      </w:r>
      <w:r>
        <w:rPr>
          <w:i/>
          <w:iCs/>
          <w:vertAlign w:val="superscript"/>
        </w:rPr>
        <w:t>2</w:t>
      </w:r>
      <w:r>
        <w:rPr>
          <w:i/>
          <w:iCs/>
        </w:rPr>
        <w:t>, w</w:t>
      </w:r>
      <w:r>
        <w:rPr>
          <w:iCs/>
          <w:vertAlign w:val="subscript"/>
        </w:rPr>
        <w:t>2</w:t>
      </w:r>
      <w:r>
        <w:rPr>
          <w:i/>
          <w:iCs/>
          <w:vertAlign w:val="subscript"/>
        </w:rPr>
        <w:t>max</w:t>
      </w:r>
      <w:r>
        <w:rPr>
          <w:i/>
          <w:iCs/>
        </w:rPr>
        <w:t>=</w:t>
      </w:r>
      <w:r>
        <w:rPr>
          <w:iCs/>
        </w:rPr>
        <w:t>3.35</w:t>
      </w:r>
      <w:r>
        <w:rPr>
          <w:i/>
          <w:iCs/>
        </w:rPr>
        <w:t xml:space="preserve"> m/s</w:t>
      </w:r>
      <w:r>
        <w:rPr>
          <w:i/>
          <w:iCs/>
          <w:vertAlign w:val="superscript"/>
        </w:rPr>
        <w:t>2</w:t>
      </w:r>
      <w:r>
        <w:rPr>
          <w:i/>
          <w:iCs/>
        </w:rPr>
        <w:t>.</w:t>
      </w:r>
      <w:r>
        <w:rPr>
          <w:iCs/>
        </w:rPr>
        <w:t xml:space="preserve"> The results show that the maximum displacement values are almost identical, the maximum velocity values differ by a factor of 1.1, and the maximum acceleration values differ by a factor of 1.8.</w:t>
      </w:r>
    </w:p>
    <w:p w14:paraId="00578983" w14:textId="77777777" w:rsidR="003A5EDF" w:rsidRDefault="003A5EDF">
      <w:pPr>
        <w:pStyle w:val="Paragraph"/>
        <w:ind w:firstLine="0"/>
      </w:pPr>
    </w:p>
    <w:tbl>
      <w:tblPr>
        <w:tblStyle w:val="Tabellenraster"/>
        <w:tblW w:w="9027" w:type="dxa"/>
        <w:tblLayout w:type="fixed"/>
        <w:tblLook w:val="04A0" w:firstRow="1" w:lastRow="0" w:firstColumn="1" w:lastColumn="0" w:noHBand="0" w:noVBand="1"/>
      </w:tblPr>
      <w:tblGrid>
        <w:gridCol w:w="4521"/>
        <w:gridCol w:w="4506"/>
      </w:tblGrid>
      <w:tr w:rsidR="003A5EDF" w14:paraId="017AE68B" w14:textId="77777777">
        <w:trPr>
          <w:trHeight w:val="1592"/>
        </w:trPr>
        <w:tc>
          <w:tcPr>
            <w:tcW w:w="4520" w:type="dxa"/>
            <w:tcBorders>
              <w:top w:val="nil"/>
              <w:left w:val="nil"/>
              <w:bottom w:val="nil"/>
              <w:right w:val="nil"/>
            </w:tcBorders>
          </w:tcPr>
          <w:p w14:paraId="394329E0" w14:textId="77777777" w:rsidR="003A5EDF" w:rsidRDefault="00000000">
            <w:pPr>
              <w:pStyle w:val="Paragraph"/>
              <w:ind w:firstLine="0"/>
            </w:pPr>
            <w:r>
              <w:rPr>
                <w:noProof/>
              </w:rPr>
              <w:lastRenderedPageBreak/>
              <w:drawing>
                <wp:inline distT="0" distB="0" distL="0" distR="0" wp14:anchorId="456D214C" wp14:editId="06A32C5E">
                  <wp:extent cx="2733675" cy="1080135"/>
                  <wp:effectExtent l="0" t="0" r="0" b="0"/>
                  <wp:docPr id="3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
                          <pic:cNvPicPr>
                            <a:picLocks noChangeAspect="1" noChangeArrowheads="1"/>
                          </pic:cNvPicPr>
                        </pic:nvPicPr>
                        <pic:blipFill>
                          <a:blip r:embed="rId44"/>
                          <a:stretch>
                            <a:fillRect/>
                          </a:stretch>
                        </pic:blipFill>
                        <pic:spPr bwMode="auto">
                          <a:xfrm>
                            <a:off x="0" y="0"/>
                            <a:ext cx="2733675" cy="1080135"/>
                          </a:xfrm>
                          <a:prstGeom prst="rect">
                            <a:avLst/>
                          </a:prstGeom>
                        </pic:spPr>
                      </pic:pic>
                    </a:graphicData>
                  </a:graphic>
                </wp:inline>
              </w:drawing>
            </w:r>
          </w:p>
        </w:tc>
        <w:tc>
          <w:tcPr>
            <w:tcW w:w="4506" w:type="dxa"/>
            <w:tcBorders>
              <w:top w:val="nil"/>
              <w:left w:val="nil"/>
              <w:bottom w:val="nil"/>
              <w:right w:val="nil"/>
            </w:tcBorders>
          </w:tcPr>
          <w:p w14:paraId="60AA548F" w14:textId="77777777" w:rsidR="003A5EDF" w:rsidRDefault="00000000">
            <w:pPr>
              <w:pStyle w:val="Paragraph"/>
              <w:ind w:firstLine="0"/>
            </w:pPr>
            <w:r>
              <w:rPr>
                <w:noProof/>
              </w:rPr>
              <w:drawing>
                <wp:inline distT="0" distB="0" distL="0" distR="0" wp14:anchorId="3CE9B7C3" wp14:editId="6D3B94B8">
                  <wp:extent cx="2724150" cy="1080135"/>
                  <wp:effectExtent l="0" t="0" r="0" b="0"/>
                  <wp:docPr id="3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
                          <pic:cNvPicPr>
                            <a:picLocks noChangeAspect="1" noChangeArrowheads="1"/>
                          </pic:cNvPicPr>
                        </pic:nvPicPr>
                        <pic:blipFill>
                          <a:blip r:embed="rId45"/>
                          <a:stretch>
                            <a:fillRect/>
                          </a:stretch>
                        </pic:blipFill>
                        <pic:spPr bwMode="auto">
                          <a:xfrm>
                            <a:off x="0" y="0"/>
                            <a:ext cx="2724150" cy="1080135"/>
                          </a:xfrm>
                          <a:prstGeom prst="rect">
                            <a:avLst/>
                          </a:prstGeom>
                        </pic:spPr>
                      </pic:pic>
                    </a:graphicData>
                  </a:graphic>
                </wp:inline>
              </w:drawing>
            </w:r>
          </w:p>
        </w:tc>
      </w:tr>
      <w:tr w:rsidR="003A5EDF" w14:paraId="55B2EA65" w14:textId="77777777">
        <w:trPr>
          <w:trHeight w:val="212"/>
        </w:trPr>
        <w:tc>
          <w:tcPr>
            <w:tcW w:w="4520" w:type="dxa"/>
            <w:tcBorders>
              <w:top w:val="nil"/>
              <w:left w:val="nil"/>
              <w:bottom w:val="nil"/>
              <w:right w:val="nil"/>
            </w:tcBorders>
          </w:tcPr>
          <w:p w14:paraId="62EB07E2" w14:textId="77777777" w:rsidR="003A5EDF" w:rsidRDefault="00000000">
            <w:pPr>
              <w:pStyle w:val="Paragraph"/>
              <w:ind w:firstLine="0"/>
              <w:jc w:val="center"/>
            </w:pPr>
            <w:r>
              <w:t>(a)</w:t>
            </w:r>
          </w:p>
        </w:tc>
        <w:tc>
          <w:tcPr>
            <w:tcW w:w="4506" w:type="dxa"/>
            <w:tcBorders>
              <w:top w:val="nil"/>
              <w:left w:val="nil"/>
              <w:bottom w:val="nil"/>
              <w:right w:val="nil"/>
            </w:tcBorders>
          </w:tcPr>
          <w:p w14:paraId="6D9A5B71" w14:textId="77777777" w:rsidR="003A5EDF" w:rsidRDefault="00000000">
            <w:pPr>
              <w:pStyle w:val="Paragraph"/>
              <w:ind w:firstLine="0"/>
              <w:jc w:val="center"/>
            </w:pPr>
            <w:r>
              <w:t>(b)</w:t>
            </w:r>
          </w:p>
        </w:tc>
      </w:tr>
      <w:tr w:rsidR="003A5EDF" w14:paraId="15B54DA1" w14:textId="77777777">
        <w:trPr>
          <w:trHeight w:val="1599"/>
        </w:trPr>
        <w:tc>
          <w:tcPr>
            <w:tcW w:w="9026" w:type="dxa"/>
            <w:gridSpan w:val="2"/>
            <w:tcBorders>
              <w:top w:val="nil"/>
              <w:left w:val="nil"/>
              <w:bottom w:val="nil"/>
              <w:right w:val="nil"/>
            </w:tcBorders>
          </w:tcPr>
          <w:p w14:paraId="4BD717B5" w14:textId="77777777" w:rsidR="003A5EDF" w:rsidRDefault="00000000">
            <w:pPr>
              <w:pStyle w:val="Paragraph"/>
              <w:ind w:firstLine="0"/>
              <w:jc w:val="center"/>
            </w:pPr>
            <w:r>
              <w:rPr>
                <w:noProof/>
              </w:rPr>
              <w:drawing>
                <wp:inline distT="0" distB="0" distL="0" distR="0" wp14:anchorId="21C551BA" wp14:editId="29DD2237">
                  <wp:extent cx="2461895" cy="1080135"/>
                  <wp:effectExtent l="0" t="0" r="0" b="0"/>
                  <wp:docPr id="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7"/>
                          <pic:cNvPicPr>
                            <a:picLocks noChangeAspect="1" noChangeArrowheads="1"/>
                          </pic:cNvPicPr>
                        </pic:nvPicPr>
                        <pic:blipFill>
                          <a:blip r:embed="rId46"/>
                          <a:stretch>
                            <a:fillRect/>
                          </a:stretch>
                        </pic:blipFill>
                        <pic:spPr bwMode="auto">
                          <a:xfrm>
                            <a:off x="0" y="0"/>
                            <a:ext cx="2461895" cy="1080135"/>
                          </a:xfrm>
                          <a:prstGeom prst="rect">
                            <a:avLst/>
                          </a:prstGeom>
                        </pic:spPr>
                      </pic:pic>
                    </a:graphicData>
                  </a:graphic>
                </wp:inline>
              </w:drawing>
            </w:r>
          </w:p>
        </w:tc>
      </w:tr>
      <w:tr w:rsidR="003A5EDF" w14:paraId="467BB863" w14:textId="77777777">
        <w:trPr>
          <w:trHeight w:val="206"/>
        </w:trPr>
        <w:tc>
          <w:tcPr>
            <w:tcW w:w="9026" w:type="dxa"/>
            <w:gridSpan w:val="2"/>
            <w:tcBorders>
              <w:top w:val="nil"/>
              <w:left w:val="nil"/>
              <w:bottom w:val="nil"/>
              <w:right w:val="nil"/>
            </w:tcBorders>
          </w:tcPr>
          <w:p w14:paraId="676FC8EA" w14:textId="77777777" w:rsidR="003A5EDF" w:rsidRDefault="00000000">
            <w:pPr>
              <w:pStyle w:val="Paragraph"/>
              <w:ind w:firstLine="0"/>
              <w:jc w:val="center"/>
            </w:pPr>
            <w:r>
              <w:t>(c)</w:t>
            </w:r>
          </w:p>
        </w:tc>
      </w:tr>
    </w:tbl>
    <w:p w14:paraId="135D7FB7" w14:textId="77777777" w:rsidR="003A5EDF" w:rsidRDefault="00000000">
      <w:pPr>
        <w:pStyle w:val="FigureCaption"/>
      </w:pPr>
      <w:r>
        <w:rPr>
          <w:b/>
          <w:sz w:val="20"/>
        </w:rPr>
        <w:t>FIGURE 14.</w:t>
      </w:r>
      <w:r>
        <w:rPr>
          <w:sz w:val="20"/>
        </w:rPr>
        <w:t xml:space="preserve"> </w:t>
      </w:r>
      <w:r>
        <w:t xml:space="preserve">Displacements (a), velocities (b), and accelerations (c) of the upper (1) and lower (2) plates at </w:t>
      </w:r>
      <w:r>
        <w:rPr>
          <w:rFonts w:ascii="Cambria Math" w:hAnsi="Cambria Math" w:cs="Cambria Math"/>
        </w:rPr>
        <w:t>𝜑</w:t>
      </w:r>
      <w:r>
        <w:t xml:space="preserve">=5˚, </w:t>
      </w:r>
      <w:r>
        <w:rPr>
          <w:i/>
          <w:iCs/>
        </w:rPr>
        <w:t>l</w:t>
      </w:r>
      <w:r>
        <w:t xml:space="preserve">=0 </w:t>
      </w:r>
      <w:r>
        <w:rPr>
          <w:i/>
          <w:lang w:val="en-GB"/>
        </w:rPr>
        <w:t>m</w:t>
      </w:r>
      <w:r>
        <w:t>.</w:t>
      </w:r>
    </w:p>
    <w:p w14:paraId="04F9497B" w14:textId="77777777" w:rsidR="003A5EDF" w:rsidRDefault="003A5EDF">
      <w:pPr>
        <w:pStyle w:val="Paragraph"/>
        <w:rPr>
          <w:iCs/>
        </w:rPr>
      </w:pPr>
    </w:p>
    <w:p w14:paraId="6A84976C" w14:textId="77777777" w:rsidR="003A5EDF" w:rsidRDefault="00000000">
      <w:pPr>
        <w:pStyle w:val="Paragraph"/>
      </w:pPr>
      <w:r>
        <w:rPr>
          <w:iCs/>
        </w:rPr>
        <w:t>The results of the calculations show that the presence of a horizontal section in V-shaped roller isolators significantly reduces the acceleration of the upper plate and, accordingly, increases the effectiveness of the seismic isolator.</w:t>
      </w:r>
    </w:p>
    <w:p w14:paraId="7BB1FCB9" w14:textId="77777777" w:rsidR="003A5EDF" w:rsidRDefault="00000000">
      <w:pPr>
        <w:pStyle w:val="berschrift1"/>
        <w:rPr>
          <w:b w:val="0"/>
          <w:caps w:val="0"/>
          <w:sz w:val="20"/>
        </w:rPr>
      </w:pPr>
      <w:r>
        <w:t>CONCLUSION</w:t>
      </w:r>
    </w:p>
    <w:p w14:paraId="76393406" w14:textId="77777777" w:rsidR="003A5EDF" w:rsidRDefault="00000000">
      <w:pPr>
        <w:pStyle w:val="Paragraph"/>
      </w:pPr>
      <w:r>
        <w:t>The plates begin to roll relative to each other only when the inertial force exceeds the sum of all forces acting in the horizontal direction. The seismic isolator may also undergo stick-slip dynamics.</w:t>
      </w:r>
    </w:p>
    <w:p w14:paraId="0B8DBCE6" w14:textId="77777777" w:rsidR="003A5EDF" w:rsidRDefault="00000000">
      <w:pPr>
        <w:pStyle w:val="Paragraph"/>
      </w:pPr>
      <w:r>
        <w:t xml:space="preserve">Analysis of the processes in roller </w:t>
      </w:r>
      <w:proofErr w:type="gramStart"/>
      <w:r>
        <w:t>sliders</w:t>
      </w:r>
      <w:proofErr w:type="gramEnd"/>
      <w:r>
        <w:t xml:space="preserve"> has shown that the start of relative movement of the plates and the start of joint movement as a solid body cannot be achieved solely by the function of the difference in speed between the upper and lower plates.</w:t>
      </w:r>
    </w:p>
    <w:p w14:paraId="57947AA0" w14:textId="77777777" w:rsidR="003A5EDF" w:rsidRDefault="00000000">
      <w:pPr>
        <w:pStyle w:val="Paragraph"/>
      </w:pPr>
      <w:r>
        <w:t xml:space="preserve">For seismic isolators, it has been established that the presence of a V-shaped bottom plate reduces the effectiveness of the seismic </w:t>
      </w:r>
      <w:proofErr w:type="gramStart"/>
      <w:r>
        <w:t>isolator, but</w:t>
      </w:r>
      <w:proofErr w:type="gramEnd"/>
      <w:r>
        <w:t xml:space="preserve"> allows the top plate to return to its initial position.</w:t>
      </w:r>
    </w:p>
    <w:p w14:paraId="7631395E" w14:textId="77777777" w:rsidR="003A5EDF" w:rsidRDefault="00000000">
      <w:pPr>
        <w:pStyle w:val="Paragraph"/>
      </w:pPr>
      <w:r>
        <w:t xml:space="preserve">The presence of a horizontal flat section in the middle of the V-shaped lower plate of the seismic isolator, which is permissible under the design conditions for buildings and structures, increases its effectiveness. </w:t>
      </w:r>
    </w:p>
    <w:p w14:paraId="5972C4E8" w14:textId="77777777" w:rsidR="003A5EDF" w:rsidRDefault="00000000">
      <w:pPr>
        <w:pStyle w:val="berschrift1"/>
        <w:rPr>
          <w:b w:val="0"/>
          <w:caps w:val="0"/>
          <w:sz w:val="20"/>
          <w:lang w:val="ru-RU"/>
        </w:rPr>
      </w:pPr>
      <w:r>
        <w:t>References</w:t>
      </w:r>
    </w:p>
    <w:p w14:paraId="22F8D891" w14:textId="77777777" w:rsidR="003A5EDF" w:rsidRDefault="00000000">
      <w:pPr>
        <w:pStyle w:val="Reference"/>
      </w:pPr>
      <w:bookmarkStart w:id="20" w:name="_Hlk207027876"/>
      <w:r>
        <w:t xml:space="preserve">P.W. Gordon and L.R. Keri, </w:t>
      </w:r>
      <w:r>
        <w:rPr>
          <w:rStyle w:val="Hervorhebung"/>
          <w:i w:val="0"/>
          <w:iCs w:val="0"/>
        </w:rPr>
        <w:t>Seismic Isolation for Earthquake-Resistant Structures: A State-of-the-Practice Review</w:t>
      </w:r>
      <w:r>
        <w:t xml:space="preserve">. </w:t>
      </w:r>
      <w:r>
        <w:rPr>
          <w:lang w:val="sk-SK"/>
        </w:rPr>
        <w:t xml:space="preserve">Buildings </w:t>
      </w:r>
      <w:r>
        <w:rPr>
          <w:b/>
          <w:bCs/>
          <w:lang w:val="sk-SK"/>
        </w:rPr>
        <w:t>2</w:t>
      </w:r>
      <w:r>
        <w:rPr>
          <w:lang w:val="sk-SK"/>
        </w:rPr>
        <w:t>, 300</w:t>
      </w:r>
      <w:r>
        <w:t>–</w:t>
      </w:r>
      <w:r>
        <w:rPr>
          <w:lang w:val="sk-SK"/>
        </w:rPr>
        <w:t>325 (2012).</w:t>
      </w:r>
      <w:bookmarkEnd w:id="20"/>
      <w:r>
        <w:rPr>
          <w:lang w:val="sk-SK"/>
        </w:rPr>
        <w:t xml:space="preserve"> </w:t>
      </w:r>
      <w:r>
        <w:rPr>
          <w:rStyle w:val="Hyperlink"/>
          <w:lang w:val="sk-SK"/>
        </w:rPr>
        <w:t>https://doi.org/10.3390/buildings2030300</w:t>
      </w:r>
    </w:p>
    <w:p w14:paraId="3F98F5D0" w14:textId="77777777" w:rsidR="003A5EDF" w:rsidRDefault="00000000">
      <w:pPr>
        <w:pStyle w:val="Reference"/>
      </w:pPr>
      <w:r>
        <w:t xml:space="preserve">M. Hosseini and K. Kangarloo, </w:t>
      </w:r>
      <w:r>
        <w:rPr>
          <w:rStyle w:val="Hervorhebung"/>
          <w:i w:val="0"/>
          <w:iCs w:val="0"/>
        </w:rPr>
        <w:t>Introducing Orthogonal Roller Pairs as an Effective Isolating System for Low Rise Buildings</w:t>
      </w:r>
      <w:r>
        <w:rPr>
          <w:i/>
          <w:iCs/>
        </w:rPr>
        <w:t>.</w:t>
      </w:r>
      <w:r>
        <w:t xml:space="preserve"> </w:t>
      </w:r>
      <w:r>
        <w:rPr>
          <w:bCs/>
        </w:rPr>
        <w:t xml:space="preserve">WIT Transactions on The Built Environment, Volume </w:t>
      </w:r>
      <w:r>
        <w:rPr>
          <w:b/>
        </w:rPr>
        <w:t>93</w:t>
      </w:r>
      <w:r>
        <w:rPr>
          <w:bCs/>
        </w:rPr>
        <w:t xml:space="preserve">, 151-161 (2007). </w:t>
      </w:r>
      <w:r>
        <w:rPr>
          <w:rStyle w:val="Hyperlink"/>
          <w:lang w:val="sk-SK"/>
        </w:rPr>
        <w:t>https://doi.org/10.2495/ERES070151</w:t>
      </w:r>
    </w:p>
    <w:p w14:paraId="6A1AFCCF" w14:textId="77777777" w:rsidR="003A5EDF" w:rsidRDefault="00000000">
      <w:pPr>
        <w:pStyle w:val="Reference"/>
      </w:pPr>
      <w:r>
        <w:t xml:space="preserve">M. Hosseini and A. Soroor, Using Orthogonal Pairs of Rollers on Concave Beds (OPRCB) as a Base Isolation System — Part I: Analytical, Experimental and Numerical Studies of OPRCB Isolators. Struct. Design Tall Spec. Build. </w:t>
      </w:r>
      <w:r>
        <w:rPr>
          <w:b/>
          <w:bCs/>
        </w:rPr>
        <w:t>20</w:t>
      </w:r>
      <w:r>
        <w:t xml:space="preserve">, 928–950 (2011). </w:t>
      </w:r>
      <w:r>
        <w:rPr>
          <w:rStyle w:val="Hyperlink"/>
          <w:lang w:val="sk-SK"/>
        </w:rPr>
        <w:t>https://doi.org/10.1002/tal.568</w:t>
      </w:r>
    </w:p>
    <w:p w14:paraId="28617FA5" w14:textId="77777777" w:rsidR="003A5EDF" w:rsidRDefault="00000000">
      <w:pPr>
        <w:pStyle w:val="Reference"/>
      </w:pPr>
      <w:r>
        <w:t xml:space="preserve">A.R. Avinash, A. Krishnamoorthy, K. Kamath and M. Chaithra, Sliding Isolation Systems: Historical Review, Modeling Techniques, and the Contemporary Trends. </w:t>
      </w:r>
      <w:r>
        <w:rPr>
          <w:lang w:val="sk-SK"/>
        </w:rPr>
        <w:t xml:space="preserve">Buildings </w:t>
      </w:r>
      <w:r>
        <w:rPr>
          <w:b/>
          <w:bCs/>
          <w:lang w:val="sk-SK"/>
        </w:rPr>
        <w:t>12</w:t>
      </w:r>
      <w:r>
        <w:rPr>
          <w:lang w:val="sk-SK"/>
        </w:rPr>
        <w:t>, 1</w:t>
      </w:r>
      <w:r>
        <w:t>–</w:t>
      </w:r>
      <w:r>
        <w:rPr>
          <w:lang w:val="sk-SK"/>
        </w:rPr>
        <w:t xml:space="preserve">23 (2022). </w:t>
      </w:r>
      <w:r>
        <w:rPr>
          <w:rStyle w:val="Hyperlink"/>
          <w:lang w:val="sk-SK"/>
        </w:rPr>
        <w:t>https://doi.org/10.3390/buildings12111997</w:t>
      </w:r>
    </w:p>
    <w:p w14:paraId="3F6AACBE" w14:textId="77777777" w:rsidR="003A5EDF" w:rsidRDefault="00000000">
      <w:pPr>
        <w:pStyle w:val="Reference"/>
      </w:pPr>
      <w:r>
        <w:rPr>
          <w:lang w:val="sk-SK"/>
        </w:rPr>
        <w:t xml:space="preserve">A. Kamrava, Seismic Isolators and their Types. Current World Environment, </w:t>
      </w:r>
      <w:r>
        <w:rPr>
          <w:b/>
          <w:bCs/>
          <w:lang w:val="sk-SK"/>
        </w:rPr>
        <w:t>10</w:t>
      </w:r>
      <w:r w:rsidRPr="00721D07">
        <w:rPr>
          <w:lang w:val="sk-SK"/>
        </w:rPr>
        <w:t>(1)</w:t>
      </w:r>
      <w:r>
        <w:rPr>
          <w:lang w:val="sk-SK"/>
        </w:rPr>
        <w:t xml:space="preserve">, 27-32 (2015). </w:t>
      </w:r>
      <w:hyperlink r:id="rId47">
        <w:r w:rsidR="003A5EDF">
          <w:rPr>
            <w:rStyle w:val="Hyperlink"/>
            <w:lang w:val="sk-SK"/>
          </w:rPr>
          <w:t>http://dx.doi.org/10.12944/CWE.10.Special-Issue1.05</w:t>
        </w:r>
      </w:hyperlink>
    </w:p>
    <w:p w14:paraId="7A71B9A8" w14:textId="77777777" w:rsidR="003A5EDF" w:rsidRDefault="00000000">
      <w:pPr>
        <w:pStyle w:val="Reference"/>
      </w:pPr>
      <w:r>
        <w:rPr>
          <w:lang w:val="sk-SK"/>
        </w:rPr>
        <w:t xml:space="preserve">M. Ismail, Seismic isolation of structures. Part I: Concept, review and a recent development. Hormigón y Acero, </w:t>
      </w:r>
      <w:r>
        <w:rPr>
          <w:b/>
          <w:bCs/>
          <w:lang w:val="sk-SK"/>
        </w:rPr>
        <w:t>69</w:t>
      </w:r>
      <w:r w:rsidRPr="00721D07">
        <w:rPr>
          <w:lang w:val="sk-SK"/>
        </w:rPr>
        <w:t>(285)</w:t>
      </w:r>
      <w:r>
        <w:rPr>
          <w:lang w:val="sk-SK"/>
        </w:rPr>
        <w:t xml:space="preserve">, 147–161 (2018). </w:t>
      </w:r>
      <w:hyperlink r:id="rId48">
        <w:r w:rsidR="003A5EDF">
          <w:rPr>
            <w:rStyle w:val="Hyperlink"/>
            <w:lang w:val="sk-SK"/>
          </w:rPr>
          <w:t>https://doi.org/10.1016/j.hya.2017.10.002</w:t>
        </w:r>
      </w:hyperlink>
    </w:p>
    <w:p w14:paraId="77EC4A8E" w14:textId="77777777" w:rsidR="003A5EDF" w:rsidRDefault="00000000">
      <w:pPr>
        <w:pStyle w:val="Reference"/>
      </w:pPr>
      <w:r>
        <w:t xml:space="preserve">A.P. Norman, D.W. Virden, A.J. Crewe, D.J. Wagg and R.T. Severn, Understanding the dynamics of multi-degree-of freedom structures subject to multiple support earthquake excitation. 13thWorld Conference on Earthquake Engineering, </w:t>
      </w:r>
      <w:r>
        <w:rPr>
          <w:b/>
          <w:bCs/>
        </w:rPr>
        <w:t>3324</w:t>
      </w:r>
      <w:r>
        <w:t>, (2004).</w:t>
      </w:r>
    </w:p>
    <w:p w14:paraId="3EF51269" w14:textId="77777777" w:rsidR="003A5EDF" w:rsidRDefault="00000000">
      <w:pPr>
        <w:pStyle w:val="Reference"/>
        <w:rPr>
          <w:rStyle w:val="Hyperlink"/>
          <w:color w:val="auto"/>
          <w:u w:val="none"/>
        </w:rPr>
      </w:pPr>
      <w:r>
        <w:rPr>
          <w:lang w:val="sk-SK"/>
        </w:rPr>
        <w:lastRenderedPageBreak/>
        <w:t xml:space="preserve">A.A. Taflanidis, A. Giaralis, D. Patsialis, Multi-objective optimal design of inerter-based vibration absorbers for earthquake protection of multi-storey building structures. Journal of the Franklin Institute, </w:t>
      </w:r>
      <w:r>
        <w:rPr>
          <w:b/>
          <w:bCs/>
          <w:lang w:val="sk-SK"/>
        </w:rPr>
        <w:t>356</w:t>
      </w:r>
      <w:r w:rsidRPr="00721D07">
        <w:rPr>
          <w:lang w:val="sk-SK"/>
        </w:rPr>
        <w:t>(14)</w:t>
      </w:r>
      <w:r>
        <w:rPr>
          <w:lang w:val="sk-SK"/>
        </w:rPr>
        <w:t xml:space="preserve">, 7754-7784 (2019). </w:t>
      </w:r>
      <w:hyperlink r:id="rId49">
        <w:r w:rsidR="003A5EDF">
          <w:rPr>
            <w:rStyle w:val="Hyperlink"/>
            <w:lang w:val="sk-SK"/>
          </w:rPr>
          <w:t>https://doi.org/10.1016/j.jfranklin.2019.02.022</w:t>
        </w:r>
      </w:hyperlink>
    </w:p>
    <w:p w14:paraId="5AD0247A" w14:textId="77777777" w:rsidR="003A5EDF" w:rsidRDefault="00000000">
      <w:pPr>
        <w:pStyle w:val="Reference"/>
      </w:pPr>
      <w:r>
        <w:rPr>
          <w:lang w:val="sk-SK"/>
        </w:rPr>
        <w:t xml:space="preserve">N.A. Ortiz, C. Maglutaa, N. Roitman, Numerical and experimental studies of a building with roller seismic isolation bearings. Structural Engineering and Mechanics, 54(3), 475–489 (2015). </w:t>
      </w:r>
      <w:hyperlink r:id="rId50">
        <w:r w:rsidR="003A5EDF">
          <w:rPr>
            <w:rStyle w:val="Hyperlink"/>
            <w:lang w:val="sk-SK"/>
          </w:rPr>
          <w:t>https://doi.org/10.12989/sem.2015.54.3.475</w:t>
        </w:r>
      </w:hyperlink>
    </w:p>
    <w:p w14:paraId="7E145075" w14:textId="77777777" w:rsidR="003A5EDF" w:rsidRDefault="00000000">
      <w:pPr>
        <w:pStyle w:val="Reference"/>
      </w:pPr>
      <w:r>
        <w:t xml:space="preserve">G.C. Lee, Y.Ch. Ou, Z. Liang, T. Niu and J. Song, </w:t>
      </w:r>
      <w:r>
        <w:rPr>
          <w:i/>
          <w:iCs/>
        </w:rPr>
        <w:t>Principles and Performance of Roller Seismic Isolation Bearings for Highway Bridges</w:t>
      </w:r>
      <w:r>
        <w:t xml:space="preserve">. Technical Report MCEER-07-0019, 334 p. (2007). </w:t>
      </w:r>
      <w:r>
        <w:rPr>
          <w:rStyle w:val="Hyperlink"/>
          <w:lang w:val="sk-SK"/>
        </w:rPr>
        <w:t>https://doi.org/10.13140/RG.2.2.35091.49447</w:t>
      </w:r>
      <w:r>
        <w:t xml:space="preserve"> </w:t>
      </w:r>
    </w:p>
    <w:p w14:paraId="6C5F872C" w14:textId="77777777" w:rsidR="003A5EDF" w:rsidRDefault="00000000">
      <w:pPr>
        <w:pStyle w:val="Reference"/>
      </w:pPr>
      <w:r>
        <w:t xml:space="preserve">G.C. Lee, Y.Ch. Ou, T. Niu, J. Song and Z. Liang, Characterization of a Roller Seismic Isolation Bearing with Supplemental Energy Dissipation for Highway Bridges. Journal of Structural Engineering, 136(5), (2009). </w:t>
      </w:r>
      <w:r>
        <w:rPr>
          <w:rStyle w:val="Hyperlink"/>
          <w:lang w:val="sk-SK"/>
        </w:rPr>
        <w:t>https://doi.org/10.1061/(ASCE)ST.1943-541X.0000136</w:t>
      </w:r>
    </w:p>
    <w:p w14:paraId="27D187C4" w14:textId="77777777" w:rsidR="003A5EDF" w:rsidRDefault="00000000">
      <w:pPr>
        <w:pStyle w:val="Reference"/>
      </w:pPr>
      <w:r>
        <w:rPr>
          <w:lang w:val="sk-SK"/>
        </w:rPr>
        <w:t xml:space="preserve">I. Mirzaev and M. Turdiev, Seismic Isolation of NPP Turbine Unit Using Dry Friction Devices. Proceedings of MPCPE 2022, Lecture Notes in Civil Engineering </w:t>
      </w:r>
      <w:r>
        <w:rPr>
          <w:b/>
          <w:bCs/>
          <w:lang w:val="sk-SK"/>
        </w:rPr>
        <w:t>335</w:t>
      </w:r>
      <w:r>
        <w:rPr>
          <w:lang w:val="sk-SK"/>
        </w:rPr>
        <w:t xml:space="preserve">, 53-67 (2023). </w:t>
      </w:r>
      <w:hyperlink r:id="rId51">
        <w:r w:rsidR="003A5EDF">
          <w:rPr>
            <w:rStyle w:val="Hyperlink"/>
            <w:lang w:val="sk-SK"/>
          </w:rPr>
          <w:t>https://doi.org/10.1007/978-3-031-30570-2_6</w:t>
        </w:r>
      </w:hyperlink>
    </w:p>
    <w:p w14:paraId="2C522985" w14:textId="77777777" w:rsidR="003A5EDF" w:rsidRDefault="00000000">
      <w:pPr>
        <w:pStyle w:val="Reference"/>
      </w:pPr>
      <w:r>
        <w:rPr>
          <w:lang w:val="sk-SK"/>
        </w:rPr>
        <w:t xml:space="preserve">I. Mirzaev, M.S. Turdiev, The effect of the size of the horizontal gap between the foundation and the sliding grillage on the oscillation of the building during an earthquake. AIP Conference Proceedings </w:t>
      </w:r>
      <w:r>
        <w:rPr>
          <w:b/>
          <w:bCs/>
          <w:lang w:val="sk-SK"/>
        </w:rPr>
        <w:t>2612</w:t>
      </w:r>
      <w:r>
        <w:rPr>
          <w:lang w:val="sk-SK"/>
        </w:rPr>
        <w:t xml:space="preserve">, 040033 (2023). </w:t>
      </w:r>
      <w:hyperlink r:id="rId52">
        <w:r w:rsidR="003A5EDF">
          <w:rPr>
            <w:rStyle w:val="Hyperlink"/>
            <w:lang w:val="sk-SK"/>
          </w:rPr>
          <w:t>https://doi.org/10.1063/5.0113473</w:t>
        </w:r>
      </w:hyperlink>
    </w:p>
    <w:p w14:paraId="670F9972" w14:textId="77777777" w:rsidR="003A5EDF" w:rsidRDefault="00000000">
      <w:pPr>
        <w:pStyle w:val="Reference"/>
      </w:pPr>
      <w:r>
        <w:rPr>
          <w:lang w:val="sk-SK"/>
        </w:rPr>
        <w:t xml:space="preserve">I. Mirzaev, Kh. Sagdiev, A. Yuvmitov, M. Turdiev and B.Egamberdiev, Experimental determination of dynamic coefficient of Amonton-Coulomb dry friction. Facta Universitatis Series Mechanical Engineering, </w:t>
      </w:r>
      <w:r>
        <w:rPr>
          <w:b/>
          <w:bCs/>
          <w:lang w:val="sk-SK"/>
        </w:rPr>
        <w:t>22(3)</w:t>
      </w:r>
      <w:r>
        <w:rPr>
          <w:lang w:val="sk-SK"/>
        </w:rPr>
        <w:t xml:space="preserve">, 503– 512 (2024). </w:t>
      </w:r>
      <w:hyperlink r:id="rId53">
        <w:r w:rsidR="003A5EDF">
          <w:rPr>
            <w:rStyle w:val="Hyperlink"/>
            <w:lang w:val="sk-SK"/>
          </w:rPr>
          <w:t>https://doi.org/10.22190/FUME231225016M</w:t>
        </w:r>
      </w:hyperlink>
    </w:p>
    <w:p w14:paraId="5C7EAB37" w14:textId="77777777" w:rsidR="003A5EDF" w:rsidRDefault="00000000">
      <w:pPr>
        <w:pStyle w:val="Reference"/>
      </w:pPr>
      <w:r>
        <w:t>M. Roozbahan, Ch. Masnata, G. Turan and A. Pirrotta, Efciency evaluation of optimal TLCD and TMD for the seismic response reduction of buildings considering soil</w:t>
      </w:r>
      <w:r>
        <w:noBreakHyphen/>
        <w:t>structure interaction effect.</w:t>
      </w:r>
      <w:r>
        <w:rPr>
          <w:sz w:val="24"/>
        </w:rPr>
        <w:t xml:space="preserve"> </w:t>
      </w:r>
      <w:r>
        <w:t xml:space="preserve">Meccanica, Springer Nature, 11012-025-01981-9, (2025). </w:t>
      </w:r>
      <w:bookmarkStart w:id="21" w:name="_Hlk210083059"/>
      <w:r>
        <w:rPr>
          <w:rStyle w:val="Hyperlink"/>
          <w:lang w:val="sk-SK"/>
        </w:rPr>
        <w:t>https://doi.org/</w:t>
      </w:r>
      <w:bookmarkEnd w:id="21"/>
      <w:r>
        <w:rPr>
          <w:rStyle w:val="Hyperlink"/>
          <w:lang w:val="sk-SK"/>
        </w:rPr>
        <w:t>10.1007/s11012-025-01981-9</w:t>
      </w:r>
    </w:p>
    <w:p w14:paraId="027B400A" w14:textId="77777777" w:rsidR="003A5EDF" w:rsidRDefault="00000000">
      <w:pPr>
        <w:pStyle w:val="Reference"/>
      </w:pPr>
      <w:r>
        <w:t xml:space="preserve">T.W. Lin and Ch.Ch. Hone, </w:t>
      </w:r>
      <w:r>
        <w:rPr>
          <w:rStyle w:val="Hervorhebung"/>
          <w:i w:val="0"/>
          <w:iCs w:val="0"/>
        </w:rPr>
        <w:t>Base Isolation by Free Rolling Rods Under Basement</w:t>
      </w:r>
      <w:r>
        <w:t xml:space="preserve">. Earthquake engineering and structural dynamics, </w:t>
      </w:r>
      <w:r>
        <w:rPr>
          <w:b/>
          <w:bCs/>
        </w:rPr>
        <w:t>22</w:t>
      </w:r>
      <w:r>
        <w:t xml:space="preserve">, 261-273 (1993). </w:t>
      </w:r>
      <w:r>
        <w:rPr>
          <w:rStyle w:val="Hyperlink"/>
          <w:lang w:val="sk-SK"/>
        </w:rPr>
        <w:t>https://doi.org/10.1002/eqe.4290220502</w:t>
      </w:r>
    </w:p>
    <w:p w14:paraId="4D54780E" w14:textId="77777777" w:rsidR="003A5EDF" w:rsidRDefault="00000000">
      <w:pPr>
        <w:pStyle w:val="Reference"/>
        <w:rPr>
          <w:rStyle w:val="Hyperlink"/>
          <w:color w:val="auto"/>
          <w:u w:val="none"/>
        </w:rPr>
      </w:pPr>
      <w:r>
        <w:rPr>
          <w:lang w:val="sk-SK"/>
        </w:rPr>
        <w:t xml:space="preserve">I. Mirzaev J.F. Shomurodov, Wave processes in an extended underground pipeline interacting with soil according to a bilinear model. AIP Conf. Proc </w:t>
      </w:r>
      <w:r>
        <w:rPr>
          <w:b/>
          <w:bCs/>
          <w:lang w:val="sk-SK"/>
        </w:rPr>
        <w:t>2432</w:t>
      </w:r>
      <w:r>
        <w:rPr>
          <w:lang w:val="sk-SK"/>
        </w:rPr>
        <w:t xml:space="preserve">, 030049 (2022). </w:t>
      </w:r>
      <w:hyperlink r:id="rId54">
        <w:r w:rsidR="003A5EDF">
          <w:rPr>
            <w:rStyle w:val="Hyperlink"/>
            <w:lang w:val="sk-SK"/>
          </w:rPr>
          <w:t>https://doi.org/10.1063/5.0089583</w:t>
        </w:r>
      </w:hyperlink>
    </w:p>
    <w:p w14:paraId="3C8E8250" w14:textId="77777777" w:rsidR="003A5EDF" w:rsidRDefault="00000000">
      <w:pPr>
        <w:pStyle w:val="Reference"/>
      </w:pPr>
      <w:r>
        <w:t xml:space="preserve">S.J. Wang, J.S. Hwang, K.C. Chang, C.Y. Shiau, W.C. Lin, M.S. Tsai, J.X. Hong and Y.H. Yang, Sloped multi-roller isolation devices for seismic protection of equipment and facilities. Earthquake Engineering Structural Dynamics, </w:t>
      </w:r>
      <w:r>
        <w:rPr>
          <w:b/>
          <w:bCs/>
        </w:rPr>
        <w:t>43</w:t>
      </w:r>
      <w:r w:rsidRPr="00721D07">
        <w:t>(10)</w:t>
      </w:r>
      <w:r>
        <w:t xml:space="preserve">, 1443-1461 (2014). </w:t>
      </w:r>
      <w:r>
        <w:rPr>
          <w:rStyle w:val="Hyperlink"/>
          <w:lang w:val="sk-SK"/>
        </w:rPr>
        <w:t>https://doi.org/10.1002/eqe.2404</w:t>
      </w:r>
    </w:p>
    <w:p w14:paraId="4229FDA5" w14:textId="77777777" w:rsidR="003A5EDF" w:rsidRDefault="00000000">
      <w:pPr>
        <w:pStyle w:val="Reference"/>
      </w:pPr>
      <w:r>
        <w:t xml:space="preserve">D.N. Nizomov and A.M. Sanginov, </w:t>
      </w:r>
      <w:r>
        <w:rPr>
          <w:rStyle w:val="Hervorhebung"/>
          <w:i w:val="0"/>
          <w:iCs w:val="0"/>
        </w:rPr>
        <w:t>Simulation of the interaction of the structure with the foundation under seismic impacts</w:t>
      </w:r>
      <w:r>
        <w:t xml:space="preserve">. Bulletin of Science and Research Center of Construction, </w:t>
      </w:r>
      <w:r>
        <w:rPr>
          <w:b/>
          <w:bCs/>
        </w:rPr>
        <w:t>3</w:t>
      </w:r>
      <w:r w:rsidRPr="00721D07">
        <w:t>(38),</w:t>
      </w:r>
      <w:r>
        <w:t xml:space="preserve"> 143–154 (2023). </w:t>
      </w:r>
      <w:r>
        <w:rPr>
          <w:rStyle w:val="Hyperlink"/>
          <w:lang w:val="sk-SK"/>
        </w:rPr>
        <w:t>https://doi.org/10.37153/2618-9283-2023-1-29-37</w:t>
      </w:r>
    </w:p>
    <w:p w14:paraId="5FF480D3" w14:textId="77777777" w:rsidR="003A5EDF" w:rsidRDefault="00000000">
      <w:pPr>
        <w:pStyle w:val="Reference"/>
      </w:pPr>
      <w:r>
        <w:t xml:space="preserve">H. Cilsalar and M.C. Constantinou, </w:t>
      </w:r>
      <w:r>
        <w:rPr>
          <w:rStyle w:val="Hervorhebung"/>
        </w:rPr>
        <w:t>Development and Validation of a Seismic Isolation System for Lightweight Residential Construction</w:t>
      </w:r>
      <w:r>
        <w:t>. Technical Report MCEER-19-0001, 566 p (2019).</w:t>
      </w:r>
    </w:p>
    <w:p w14:paraId="41FF0F58" w14:textId="77777777" w:rsidR="003A5EDF" w:rsidRDefault="003A5EDF">
      <w:pPr>
        <w:pStyle w:val="Reference"/>
        <w:numPr>
          <w:ilvl w:val="0"/>
          <w:numId w:val="0"/>
        </w:numPr>
        <w:ind w:left="426" w:hanging="426"/>
      </w:pPr>
    </w:p>
    <w:sectPr w:rsidR="003A5EDF">
      <w:pgSz w:w="12240" w:h="15840"/>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0BF2"/>
    <w:multiLevelType w:val="multilevel"/>
    <w:tmpl w:val="E416D8FC"/>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45870E05"/>
    <w:multiLevelType w:val="multilevel"/>
    <w:tmpl w:val="F4307746"/>
    <w:lvl w:ilvl="0">
      <w:start w:val="1"/>
      <w:numFmt w:val="bullet"/>
      <w:pStyle w:val="Paragraphbulleted"/>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 w15:restartNumberingAfterBreak="0">
    <w:nsid w:val="4D8A7272"/>
    <w:multiLevelType w:val="multilevel"/>
    <w:tmpl w:val="A44685BE"/>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65FC35EB"/>
    <w:multiLevelType w:val="multilevel"/>
    <w:tmpl w:val="643248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123643074">
    <w:abstractNumId w:val="3"/>
  </w:num>
  <w:num w:numId="2" w16cid:durableId="1166239038">
    <w:abstractNumId w:val="0"/>
  </w:num>
  <w:num w:numId="3" w16cid:durableId="819149078">
    <w:abstractNumId w:val="1"/>
  </w:num>
  <w:num w:numId="4" w16cid:durableId="1362510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20"/>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EDF"/>
    <w:rsid w:val="0015233B"/>
    <w:rsid w:val="003A5EDF"/>
    <w:rsid w:val="00666FB3"/>
    <w:rsid w:val="00721D07"/>
    <w:rsid w:val="0084379C"/>
    <w:rsid w:val="00902A3E"/>
    <w:rsid w:val="00960196"/>
    <w:rsid w:val="00CF49CE"/>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5CCC2"/>
  <w15:docId w15:val="{FFC9979B-63C8-48C2-BD54-D6B9318F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37ECC"/>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semiHidden/>
    <w:qFormat/>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qFormat/>
    <w:rsid w:val="00114AB1"/>
    <w:rPr>
      <w:rFonts w:ascii="Tahoma" w:hAnsi="Tahoma" w:cs="Tahoma"/>
      <w:sz w:val="16"/>
      <w:szCs w:val="16"/>
      <w:lang w:val="en-US" w:eastAsia="en-US"/>
    </w:rPr>
  </w:style>
  <w:style w:type="character" w:styleId="Hyperlink">
    <w:name w:val="Hyperlink"/>
    <w:rPr>
      <w:color w:val="0000FF"/>
      <w:u w:val="single"/>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character" w:customStyle="1" w:styleId="1">
    <w:name w:val="Неразрешенное упоминание1"/>
    <w:basedOn w:val="Absatz-Standardschriftart"/>
    <w:uiPriority w:val="99"/>
    <w:semiHidden/>
    <w:unhideWhenUsed/>
    <w:qFormat/>
    <w:rsid w:val="00613B4D"/>
    <w:rPr>
      <w:color w:val="808080"/>
      <w:shd w:val="clear" w:color="auto" w:fill="E6E6E6"/>
    </w:rPr>
  </w:style>
  <w:style w:type="character" w:styleId="Kommentarzeichen">
    <w:name w:val="annotation reference"/>
    <w:basedOn w:val="Absatz-Standardschriftart"/>
    <w:semiHidden/>
    <w:unhideWhenUsed/>
    <w:qFormat/>
    <w:rsid w:val="005E71ED"/>
    <w:rPr>
      <w:sz w:val="16"/>
      <w:szCs w:val="16"/>
    </w:rPr>
  </w:style>
  <w:style w:type="character" w:customStyle="1" w:styleId="KommentartextZchn">
    <w:name w:val="Kommentartext Zchn"/>
    <w:basedOn w:val="Absatz-Standardschriftart"/>
    <w:link w:val="Kommentartext"/>
    <w:semiHidden/>
    <w:qFormat/>
    <w:rsid w:val="005E71ED"/>
    <w:rPr>
      <w:lang w:val="en-US" w:eastAsia="en-US"/>
    </w:rPr>
  </w:style>
  <w:style w:type="character" w:customStyle="1" w:styleId="KommentarthemaZchn">
    <w:name w:val="Kommentarthema Zchn"/>
    <w:basedOn w:val="KommentartextZchn"/>
    <w:link w:val="Kommentarthema"/>
    <w:semiHidden/>
    <w:qFormat/>
    <w:rsid w:val="005E71ED"/>
    <w:rPr>
      <w:b/>
      <w:bCs/>
      <w:lang w:val="en-US" w:eastAsia="en-US"/>
    </w:rPr>
  </w:style>
  <w:style w:type="character" w:styleId="Platzhaltertext">
    <w:name w:val="Placeholder Text"/>
    <w:basedOn w:val="Absatz-Standardschriftart"/>
    <w:uiPriority w:val="99"/>
    <w:semiHidden/>
    <w:qFormat/>
    <w:rsid w:val="00037ECC"/>
    <w:rPr>
      <w:color w:val="666666"/>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semiHidden/>
    <w:rPr>
      <w:sz w:val="16"/>
    </w:rPr>
  </w:style>
  <w:style w:type="paragraph" w:customStyle="1" w:styleId="PaperTitle">
    <w:name w:val="Paper Title"/>
    <w:basedOn w:val="Standard"/>
    <w:next w:val="AuthorName"/>
    <w:qFormat/>
    <w:pPr>
      <w:spacing w:before="1200"/>
      <w:jc w:val="center"/>
    </w:pPr>
    <w:rPr>
      <w:b/>
      <w:sz w:val="36"/>
    </w:rPr>
  </w:style>
  <w:style w:type="paragraph" w:customStyle="1" w:styleId="AuthorName">
    <w:name w:val="Author Name"/>
    <w:basedOn w:val="Standard"/>
    <w:next w:val="AuthorAffiliation"/>
    <w:qFormat/>
    <w:pPr>
      <w:spacing w:before="360" w:after="360"/>
      <w:jc w:val="center"/>
    </w:pPr>
    <w:rPr>
      <w:sz w:val="28"/>
    </w:rPr>
  </w:style>
  <w:style w:type="paragraph" w:customStyle="1" w:styleId="AuthorAffiliation">
    <w:name w:val="Author Affiliation"/>
    <w:basedOn w:val="Standard"/>
    <w:qFormat/>
    <w:pPr>
      <w:jc w:val="center"/>
    </w:pPr>
    <w:rPr>
      <w:i/>
      <w:sz w:val="20"/>
    </w:rPr>
  </w:style>
  <w:style w:type="paragraph" w:customStyle="1" w:styleId="Abstract">
    <w:name w:val="Abstract"/>
    <w:basedOn w:val="Standard"/>
    <w:next w:val="berschrift1"/>
    <w:qFormat/>
    <w:rsid w:val="00F20BFC"/>
    <w:pPr>
      <w:spacing w:before="360" w:after="360"/>
      <w:ind w:left="289" w:right="289"/>
      <w:jc w:val="both"/>
    </w:pPr>
    <w:rPr>
      <w:sz w:val="18"/>
    </w:rPr>
  </w:style>
  <w:style w:type="paragraph" w:customStyle="1" w:styleId="Paragraph">
    <w:name w:val="Paragraph"/>
    <w:basedOn w:val="Standard"/>
    <w:qFormat/>
    <w:rsid w:val="005E415C"/>
    <w:pPr>
      <w:ind w:firstLine="284"/>
      <w:jc w:val="both"/>
    </w:pPr>
    <w:rPr>
      <w:sz w:val="20"/>
    </w:rPr>
  </w:style>
  <w:style w:type="paragraph" w:customStyle="1" w:styleId="Reference">
    <w:name w:val="Reference"/>
    <w:basedOn w:val="Paragraph"/>
    <w:qFormat/>
    <w:rsid w:val="00AE7500"/>
    <w:pPr>
      <w:numPr>
        <w:numId w:val="2"/>
      </w:numPr>
      <w:ind w:left="426" w:hanging="426"/>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Sprechblasentext">
    <w:name w:val="Balloon Text"/>
    <w:basedOn w:val="Standard"/>
    <w:link w:val="SprechblasentextZchn"/>
    <w:qFormat/>
    <w:rsid w:val="00114AB1"/>
    <w:rPr>
      <w:rFonts w:ascii="Tahoma" w:hAnsi="Tahoma" w:cs="Tahoma"/>
      <w:sz w:val="16"/>
      <w:szCs w:val="16"/>
    </w:rPr>
  </w:style>
  <w:style w:type="paragraph" w:customStyle="1" w:styleId="Paragraphbulleted">
    <w:name w:val="Paragraph (bulleted)"/>
    <w:basedOn w:val="Paragraph"/>
    <w:qFormat/>
    <w:rsid w:val="0040225B"/>
    <w:pPr>
      <w:numPr>
        <w:numId w:val="3"/>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numPr>
        <w:numId w:val="4"/>
      </w:numPr>
      <w:jc w:val="both"/>
    </w:pPr>
    <w:rPr>
      <w:lang w:val="en-US" w:eastAsia="en-US"/>
    </w:rPr>
  </w:style>
  <w:style w:type="paragraph" w:styleId="Listenabsatz">
    <w:name w:val="List Paragraph"/>
    <w:basedOn w:val="Standard"/>
    <w:uiPriority w:val="34"/>
    <w:qFormat/>
    <w:rsid w:val="006E4474"/>
    <w:pPr>
      <w:ind w:left="720"/>
      <w:contextualSpacing/>
    </w:pPr>
  </w:style>
  <w:style w:type="paragraph" w:styleId="Kommentartext">
    <w:name w:val="annotation text"/>
    <w:basedOn w:val="Standard"/>
    <w:link w:val="KommentartextZchn"/>
    <w:semiHidden/>
    <w:unhideWhenUsed/>
    <w:rsid w:val="005E71ED"/>
    <w:rPr>
      <w:sz w:val="20"/>
    </w:rPr>
  </w:style>
  <w:style w:type="paragraph" w:styleId="Kommentarthema">
    <w:name w:val="annotation subject"/>
    <w:basedOn w:val="Kommentartext"/>
    <w:next w:val="Kommentartext"/>
    <w:link w:val="KommentarthemaZchn"/>
    <w:semiHidden/>
    <w:unhideWhenUsed/>
    <w:qFormat/>
    <w:rsid w:val="005E71ED"/>
    <w:rPr>
      <w:b/>
      <w:bCs/>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dx.doi.org/10.12944/CWE.10.Special-Issue1.05" TargetMode="External"/><Relationship Id="rId50" Type="http://schemas.openxmlformats.org/officeDocument/2006/relationships/hyperlink" Target="https://doi.org/10.12989/sem.2015.54.3.475"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doi.org/10.22190/FUME231225016M" TargetMode="External"/><Relationship Id="rId5" Type="http://schemas.openxmlformats.org/officeDocument/2006/relationships/numbering" Target="numbering.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doi.org/10.1063/5.0113473"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doi.org/10.1016/j.hya.2017.10.002"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007/978-3-031-30570-2_6"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doi.org/10.1063/5.008958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doi.org/10.1016/j.jfranklin.2019.02.022"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13BE21-F372-453A-9239-AEF4E6876175}">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4985</Words>
  <Characters>28117</Characters>
  <Application>Microsoft Office Word</Application>
  <DocSecurity>0</DocSecurity>
  <Lines>369</Lines>
  <Paragraphs>130</Paragraphs>
  <ScaleCrop>false</ScaleCrop>
  <Company>PPI</Company>
  <LinksUpToDate>false</LinksUpToDate>
  <CharactersWithSpaces>32972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dc:description/>
  <cp:lastModifiedBy>TU-Pseudonym 5300993042411274</cp:lastModifiedBy>
  <cp:revision>9</cp:revision>
  <cp:lastPrinted>2025-09-25T09:29:00Z</cp:lastPrinted>
  <dcterms:created xsi:type="dcterms:W3CDTF">2025-09-30T10:06:00Z</dcterms:created>
  <dcterms:modified xsi:type="dcterms:W3CDTF">2025-11-23T08:06:00Z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