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BBE1F" w14:textId="77777777" w:rsidR="00B33327" w:rsidRPr="002D2299" w:rsidRDefault="00000000" w:rsidP="002D2299">
      <w:pPr>
        <w:pStyle w:val="PaperTitle"/>
      </w:pPr>
      <w:r w:rsidRPr="002D2299">
        <w:t xml:space="preserve">CFD Modeling and Rheological Calibration of Lubricating Grease </w:t>
      </w:r>
    </w:p>
    <w:p w14:paraId="04957D29" w14:textId="77777777" w:rsidR="002D2299" w:rsidRDefault="00000000" w:rsidP="002D2299">
      <w:pPr>
        <w:pStyle w:val="AuthorName"/>
      </w:pPr>
      <w:bookmarkStart w:id="0" w:name="__DdeLink__1490_3359240390"/>
      <w:r w:rsidRPr="002D2299">
        <w:t>Lorenzo Maccioni</w:t>
      </w:r>
      <w:bookmarkEnd w:id="0"/>
      <w:r w:rsidRPr="002D2299">
        <w:rPr>
          <w:vertAlign w:val="superscript"/>
        </w:rPr>
        <w:t>1, a)</w:t>
      </w:r>
      <w:r w:rsidRPr="002D2299">
        <w:t>, Michele Benetti</w:t>
      </w:r>
      <w:r w:rsidRPr="002D2299">
        <w:rPr>
          <w:vertAlign w:val="superscript"/>
        </w:rPr>
        <w:t>1</w:t>
      </w:r>
      <w:r w:rsidRPr="002D2299">
        <w:t>, Michael Plogmann</w:t>
      </w:r>
      <w:r w:rsidRPr="002D2299">
        <w:rPr>
          <w:vertAlign w:val="superscript"/>
        </w:rPr>
        <w:t>2</w:t>
      </w:r>
      <w:r w:rsidRPr="002D2299">
        <w:t>, Kay Juckelandt</w:t>
      </w:r>
      <w:r w:rsidRPr="002D2299">
        <w:rPr>
          <w:vertAlign w:val="superscript"/>
        </w:rPr>
        <w:t>2</w:t>
      </w:r>
      <w:r w:rsidRPr="002D2299">
        <w:t>, Franco Concli</w:t>
      </w:r>
      <w:r w:rsidRPr="002D2299">
        <w:rPr>
          <w:vertAlign w:val="superscript"/>
        </w:rPr>
        <w:t>1</w:t>
      </w:r>
    </w:p>
    <w:p w14:paraId="4416F4AD" w14:textId="77189192" w:rsidR="00B33327" w:rsidRDefault="00000000" w:rsidP="002D2299">
      <w:pPr>
        <w:pStyle w:val="AuthorAffiliation"/>
      </w:pPr>
      <w:r>
        <w:rPr>
          <w:iCs/>
          <w:vertAlign w:val="superscript"/>
        </w:rPr>
        <w:t>1</w:t>
      </w:r>
      <w:bookmarkStart w:id="1" w:name="__DdeLink__1492_3359240390"/>
      <w:r>
        <w:t>Free University of Bozen-Bolzano</w:t>
      </w:r>
      <w:bookmarkEnd w:id="1"/>
      <w:r>
        <w:t xml:space="preserve">, Faculty of Engineering, via Bruno Buozzi 1, 39100, Bolzano, </w:t>
      </w:r>
      <w:bookmarkStart w:id="2" w:name="__DdeLink__1496_3359240390"/>
      <w:r>
        <w:t>Italy</w:t>
      </w:r>
      <w:bookmarkEnd w:id="2"/>
      <w:r>
        <w:t>.</w:t>
      </w:r>
    </w:p>
    <w:p w14:paraId="3FB561D8" w14:textId="086B640A" w:rsidR="00B33327" w:rsidRDefault="00000000">
      <w:pPr>
        <w:pStyle w:val="AuthorAffiliation"/>
        <w:rPr>
          <w:lang w:val="de-DE"/>
        </w:rPr>
      </w:pPr>
      <w:r>
        <w:rPr>
          <w:i w:val="0"/>
          <w:iCs/>
          <w:vertAlign w:val="superscript"/>
          <w:lang w:val="de-DE"/>
        </w:rPr>
        <w:t>2</w:t>
      </w:r>
      <w:r>
        <w:rPr>
          <w:lang w:val="de-DE"/>
        </w:rPr>
        <w:t>Schaeffler Technologies AG &amp; Co. KG, Industriestrasse 1–3, 91074 Herzogenaurach, Germany</w:t>
      </w:r>
    </w:p>
    <w:p w14:paraId="2C7782DF" w14:textId="571489F5" w:rsidR="00B33327" w:rsidRPr="00602094" w:rsidRDefault="00B33327">
      <w:pPr>
        <w:pStyle w:val="AuthorAffiliation"/>
        <w:rPr>
          <w:lang w:val="de-DE"/>
        </w:rPr>
      </w:pPr>
    </w:p>
    <w:p w14:paraId="2FE92B67" w14:textId="728318B4" w:rsidR="002D2299" w:rsidRDefault="002D2299" w:rsidP="002D2299">
      <w:pPr>
        <w:pStyle w:val="AuthorEmail"/>
        <w:ind w:left="720"/>
      </w:pPr>
      <w:r w:rsidRPr="002D2299">
        <w:rPr>
          <w:vertAlign w:val="superscript"/>
        </w:rPr>
        <w:t xml:space="preserve">a) </w:t>
      </w:r>
      <w:r w:rsidRPr="002D2299">
        <w:t xml:space="preserve">Corresponding author: </w:t>
      </w:r>
      <w:bookmarkStart w:id="3" w:name="__DdeLink__1494_3359240390"/>
      <w:r w:rsidRPr="003665CB">
        <w:t>lorenzo.maccioni@unibz.it</w:t>
      </w:r>
      <w:r w:rsidRPr="002D2299">
        <w:t xml:space="preserve"> </w:t>
      </w:r>
      <w:bookmarkEnd w:id="3"/>
    </w:p>
    <w:p w14:paraId="79F4D91C" w14:textId="6FA230F3" w:rsidR="00B33327" w:rsidRDefault="00000000" w:rsidP="002D2299">
      <w:pPr>
        <w:pStyle w:val="Abstract"/>
      </w:pPr>
      <w:r>
        <w:rPr>
          <w:b/>
          <w:bCs/>
        </w:rPr>
        <w:t>Abstract.</w:t>
      </w:r>
      <w:r>
        <w:t xml:space="preserve"> This work presents a methodology to calibrate and verify the Herschel–Bulkley rheological model for lubricating greases in the context of Computational Fluid Dynamics (CFD). The approach combines Cone-on-Plate and Plate-on-Plate rheometry with numerical simulations to derive temperature-dependent model parameters and assess their predictive fidelity. Experimental measurements were conducted on an NLGI 1 grease for bearings application at 25 °C and 80 °C, covering a broad range of shear rates. Multiple regression strategies were tested, showing that the choice of error metric significantly affects model predictions, with logarithmic error minimization providing the most robust results across conditions. CFD validation was first carried out on the Cone-on-Plate configuration, yielding excellent agreement with both analytical Herschel–Bulkley predictions and experiments. The Plate-on-Plate setup introduced additional complexity due to shear rate gradients and higher edge effects. Comparisons demonstrated good agreement at elevated temperatures and small gaps, while larger discrepancies emerged at ambient temperature and wider gaps, with CFD generally overestimating torque. The findings highlight both the strengths and current limitations of the proposed approach for modeling grease-lubricated </w:t>
      </w:r>
      <w:proofErr w:type="gramStart"/>
      <w:r>
        <w:t>systems, and</w:t>
      </w:r>
      <w:proofErr w:type="gramEnd"/>
      <w:r>
        <w:t xml:space="preserve"> underscore the importance of temperature calibration protocols to enhance predictive accuracy in CFD analyses of grease-lubricated components such as rolling element bearings.</w:t>
      </w:r>
    </w:p>
    <w:p w14:paraId="4139F2FE" w14:textId="77777777" w:rsidR="00B33327" w:rsidRDefault="00000000">
      <w:pPr>
        <w:pStyle w:val="berschrift1"/>
      </w:pPr>
      <w:r>
        <w:t>Introduction</w:t>
      </w:r>
    </w:p>
    <w:p w14:paraId="672BE2CC" w14:textId="77777777" w:rsidR="00B33327" w:rsidRDefault="00000000">
      <w:pPr>
        <w:pStyle w:val="Paragraph"/>
      </w:pPr>
      <w:r>
        <w:t>Computational Fluid Dynamics (CFD) has become a fundamental design tool for analyzing lubricated mechanical systems such as bearings and gear trains [1]. Integrating CFD into the design process can significantly reduce the cost and duration of experimental campaigns [2], while enabling quantitative predictions of lubricant fluxes within components [3, 4], load-independent power losses induced by viscous and inertial effects [5, 6], and the static and dynamic forces exerted by the fluids on interacting parts [7].</w:t>
      </w:r>
    </w:p>
    <w:p w14:paraId="19A894DD" w14:textId="77777777" w:rsidR="00B33327" w:rsidRDefault="00000000">
      <w:pPr>
        <w:pStyle w:val="Paragraph"/>
      </w:pPr>
      <w:r>
        <w:t>Although more than 80% of rolling element bearings are grease-lubricated [8, 9], most CFD studies still focus on oil-lubricated bearings [1]. Where grease is considered, it is frequently idealized as a static reservoir that bleeds base oil, and the ensuing oil flow is modeled with Newtonian rheology. Representative examples include the works of Zhang et al. [10-12] and Fischer et al. [13], which simulate the ball–raceway contact to study oil bleeding, replenishment, and starvation, but treat the grease as an oil source and adopt Newtonian models for the fluid phase. Similarly, Wang [14] identified active grease reservoirs in angular-contact bearings by prescribing fixed grease pockets and simulating oil bleeding with Newtonian assumptions. Such approaches sidestep the non-Newtonian character of grease, whose response depends on temperature, pre-shear history, and aging [15-18]; dependencies that are crucial under in-service conditions.</w:t>
      </w:r>
    </w:p>
    <w:p w14:paraId="73639336" w14:textId="77777777" w:rsidR="00B33327" w:rsidRDefault="00000000">
      <w:pPr>
        <w:pStyle w:val="Paragraph"/>
      </w:pPr>
      <w:r>
        <w:t>Grease characterization is often performed with methods that do not reflect operating environments. The solid-like resistance to flow is traditionally assessed via cone penetration tests [19, 20], which yield an NLGI consistency number but not a constitutive model. Yield stress can be estimated with rheometers using computerized evaluation (e.g., CEY by Gow [21]) or stress-crossover techniques (e.g., Couronné et al. [22]), yet these measurements are typically conducted at room temperature and rarely account for in-service temperatures, shear histories, or aging. Several constitutive equations have been proposed to describe grease over a range of shear rates: including Power-</w:t>
      </w:r>
      <w:r>
        <w:lastRenderedPageBreak/>
        <w:t>Law [23], Rhee–Eyring [24], Bingham [25, 26], Papanastasiou [27], and Herschel–Bulkley [28] models. Among the above-mentioned Herschel–Bulkley is particularly suitable for mechanical-component simulations because it combines a yield-stress threshold with a shear-thinning power-law term [29].</w:t>
      </w:r>
    </w:p>
    <w:p w14:paraId="4E136FE9" w14:textId="77777777" w:rsidR="00B33327" w:rsidRDefault="00000000">
      <w:pPr>
        <w:pStyle w:val="Paragraph"/>
      </w:pPr>
      <w:r>
        <w:t>A growing body of research attempts to incorporate non-Newtonian behavior into CFD for bearings, yet key gaps remain. Raj et al. [30] modeled a roller-bearing channel using the Herschel–Bulkley law, calibrated via Plate-on-Plate rheometer. However, the parameters were measured at a single temperature and implicitly assumed to be temperature independent. Moreover, between 2016 and 2020, Noda et al. [31, 32] treated grease as a two-phase fluid governed by the Papanastasiou regularization of a viscoplastic law and complemented simulations with X-ray CT experiments. Nevertheless, the authors did not discuss potential discrepancies arising from differences between calibration and test temperatures. In another study, Wang et al. analyzed coupled thermo-fluid behavior in high-speed angular-contact ball bearings lubricated with grease, modeling the lubricant with the Herschel–Bulkley law [33]. However, the Herschel–Bulkley parameters were taken directly from the literature, with no dedicated experimental calibration and no treatment of temperature dependence. A similar approach was adopted by Fu et al., who performed CFD of grease lubrication in double-row spherical roller bearings using data from the literature [34]. These practices underscore the importance of laboratory protocols that enable in-house calibration of grease rheology and for broader datasets reporting grease properties across multiple temperatures.</w:t>
      </w:r>
    </w:p>
    <w:p w14:paraId="5AB909B2" w14:textId="77777777" w:rsidR="00B33327" w:rsidRDefault="00000000">
      <w:pPr>
        <w:pStyle w:val="Paragraph"/>
      </w:pPr>
      <w:r>
        <w:t>The objective of this paper is to provide a practical methodology to calibrate the Herschel–Bulkley rheological model for bearing greases and to verify its consistency and reliability within CFD analyses. We explicitly examine experimental and numerical considerations — such as temperature dependence, pre-shear, and measurement protocols — and delineate the limitations of common practices. By bridging rheometry and simulation, the proposed framework aims to enable physically grounded, reproducible grease models that improve the predictive fidelity of CFD for grease-lubricated bearings.</w:t>
      </w:r>
    </w:p>
    <w:p w14:paraId="07B5D985" w14:textId="77777777" w:rsidR="00B33327" w:rsidRDefault="00000000">
      <w:pPr>
        <w:pStyle w:val="berschrift1"/>
      </w:pPr>
      <w:r>
        <w:t>Research Methodology</w:t>
      </w:r>
    </w:p>
    <w:p w14:paraId="66666D59" w14:textId="77777777" w:rsidR="00B33327" w:rsidRDefault="00000000">
      <w:pPr>
        <w:pStyle w:val="Paragraph"/>
      </w:pPr>
      <w:r>
        <w:t>This chapter summarizes the methodological framework adopted in the study, which provides the basis for the partial results presented in the subsequent sections. The overall aim of the research is to calibrate the Herschel–Bulkley model for use in CFD, to accurately predict the rheological behavior of lubricating grease under controlled conditions.</w:t>
      </w:r>
    </w:p>
    <w:p w14:paraId="027DEBB8" w14:textId="77777777" w:rsidR="00B33327" w:rsidRDefault="00000000">
      <w:pPr>
        <w:pStyle w:val="Paragraph"/>
      </w:pPr>
      <w:r>
        <w:t>The Herschel–Bulkley constitutive equation is expressed as:</w:t>
      </w:r>
    </w:p>
    <w:p w14:paraId="6B2733BA" w14:textId="5399C379" w:rsidR="00D01362" w:rsidRDefault="00D01362" w:rsidP="00D01362">
      <w:pPr>
        <w:pStyle w:val="Equation"/>
      </w:pPr>
      <w:r>
        <w:tab/>
      </w:r>
      <m:oMath>
        <m:r>
          <w:rPr>
            <w:rFonts w:ascii="Cambria Math" w:hAnsi="Cambria Math"/>
          </w:rPr>
          <m:t>τ</m:t>
        </m:r>
        <m:d>
          <m:dPr>
            <m:ctrlPr>
              <w:rPr>
                <w:rFonts w:ascii="Cambria Math" w:hAnsi="Cambria Math"/>
              </w:rPr>
            </m:ctrlPr>
          </m:dPr>
          <m:e>
            <m:acc>
              <m:accPr>
                <m:chr m:val="˙"/>
                <m:ctrlPr>
                  <w:rPr>
                    <w:rFonts w:ascii="Cambria Math" w:hAnsi="Cambria Math"/>
                  </w:rPr>
                </m:ctrlPr>
              </m:accPr>
              <m:e>
                <m:r>
                  <w:rPr>
                    <w:rFonts w:ascii="Cambria Math" w:hAnsi="Cambria Math"/>
                  </w:rPr>
                  <m:t>γ</m:t>
                </m:r>
              </m:e>
            </m:acc>
          </m:e>
        </m:d>
        <m:r>
          <m:rPr>
            <m:lit/>
            <m:nor/>
          </m:rPr>
          <m:t xml:space="preserve">= </m:t>
        </m:r>
        <m:sSub>
          <m:sSubPr>
            <m:ctrlPr>
              <w:rPr>
                <w:rFonts w:ascii="Cambria Math" w:hAnsi="Cambria Math"/>
              </w:rPr>
            </m:ctrlPr>
          </m:sSubPr>
          <m:e>
            <m:r>
              <w:rPr>
                <w:rFonts w:ascii="Cambria Math" w:hAnsi="Cambria Math"/>
              </w:rPr>
              <m:t>τ</m:t>
            </m:r>
          </m:e>
          <m:sub>
            <m:r>
              <w:rPr>
                <w:rFonts w:ascii="Cambria Math" w:hAnsi="Cambria Math"/>
              </w:rPr>
              <m:t>0</m:t>
            </m:r>
          </m:sub>
        </m:sSub>
        <m:r>
          <m:rPr>
            <m:lit/>
            <m:nor/>
          </m:rPr>
          <m:t>+</m:t>
        </m:r>
        <m:r>
          <w:rPr>
            <w:rFonts w:ascii="Cambria Math" w:hAnsi="Cambria Math"/>
          </w:rPr>
          <m:t>K⋅</m:t>
        </m:r>
        <m:sSup>
          <m:sSupPr>
            <m:ctrlPr>
              <w:rPr>
                <w:rFonts w:ascii="Cambria Math" w:hAnsi="Cambria Math"/>
              </w:rPr>
            </m:ctrlPr>
          </m:sSupPr>
          <m:e>
            <m:acc>
              <m:accPr>
                <m:chr m:val="˙"/>
                <m:ctrlPr>
                  <w:rPr>
                    <w:rFonts w:ascii="Cambria Math" w:hAnsi="Cambria Math"/>
                  </w:rPr>
                </m:ctrlPr>
              </m:accPr>
              <m:e>
                <m:r>
                  <w:rPr>
                    <w:rFonts w:ascii="Cambria Math" w:hAnsi="Cambria Math"/>
                  </w:rPr>
                  <m:t>γ</m:t>
                </m:r>
              </m:e>
            </m:acc>
          </m:e>
          <m:sup>
            <m:r>
              <w:rPr>
                <w:rFonts w:ascii="Cambria Math" w:hAnsi="Cambria Math"/>
              </w:rPr>
              <m:t>n</m:t>
            </m:r>
          </m:sup>
        </m:sSup>
      </m:oMath>
      <w:r>
        <w:t xml:space="preserve">  </w:t>
      </w:r>
      <w:r>
        <w:tab/>
        <w:t xml:space="preserve"> (1)</w:t>
      </w:r>
    </w:p>
    <w:p w14:paraId="120AFB1F" w14:textId="77777777" w:rsidR="00B33327" w:rsidRDefault="00000000">
      <w:pPr>
        <w:pStyle w:val="Paragraph"/>
      </w:pPr>
      <w:r>
        <w:t>where:</w:t>
      </w:r>
    </w:p>
    <w:p w14:paraId="4A5082DE" w14:textId="77777777" w:rsidR="00B33327" w:rsidRDefault="00000000">
      <w:pPr>
        <w:pStyle w:val="Paragraphbulleted"/>
        <w:ind w:left="641" w:hanging="357"/>
      </w:pPr>
      <m:oMath>
        <m:r>
          <w:rPr>
            <w:rFonts w:ascii="Cambria Math" w:hAnsi="Cambria Math"/>
          </w:rPr>
          <m:t>τ</m:t>
        </m:r>
        <m:d>
          <m:dPr>
            <m:ctrlPr>
              <w:rPr>
                <w:rFonts w:ascii="Cambria Math" w:hAnsi="Cambria Math"/>
              </w:rPr>
            </m:ctrlPr>
          </m:dPr>
          <m:e>
            <m:acc>
              <m:accPr>
                <m:chr m:val="˙"/>
                <m:ctrlPr>
                  <w:rPr>
                    <w:rFonts w:ascii="Cambria Math" w:hAnsi="Cambria Math"/>
                  </w:rPr>
                </m:ctrlPr>
              </m:accPr>
              <m:e>
                <m:r>
                  <w:rPr>
                    <w:rFonts w:ascii="Cambria Math" w:hAnsi="Cambria Math"/>
                  </w:rPr>
                  <m:t>γ</m:t>
                </m:r>
              </m:e>
            </m:acc>
          </m:e>
        </m:d>
      </m:oMath>
      <w:r>
        <w:t xml:space="preserve"> = shear stress [Pa]</w:t>
      </w:r>
    </w:p>
    <w:p w14:paraId="0DB957BE" w14:textId="77777777" w:rsidR="00B33327" w:rsidRDefault="00000000">
      <w:pPr>
        <w:pStyle w:val="Paragraphbulleted"/>
        <w:ind w:left="641" w:hanging="357"/>
      </w:pPr>
      <m:oMath>
        <m:acc>
          <m:accPr>
            <m:chr m:val="˙"/>
            <m:ctrlPr>
              <w:rPr>
                <w:rFonts w:ascii="Cambria Math" w:hAnsi="Cambria Math"/>
              </w:rPr>
            </m:ctrlPr>
          </m:accPr>
          <m:e>
            <m:r>
              <w:rPr>
                <w:rFonts w:ascii="Cambria Math" w:hAnsi="Cambria Math"/>
              </w:rPr>
              <m:t>γ</m:t>
            </m:r>
          </m:e>
        </m:acc>
      </m:oMath>
      <w:r>
        <w:t>​ = shear rate [s⁻¹]</w:t>
      </w:r>
    </w:p>
    <w:p w14:paraId="1A67C661" w14:textId="77777777" w:rsidR="00B33327" w:rsidRDefault="00000000">
      <w:pPr>
        <w:pStyle w:val="Paragraphbulleted"/>
        <w:ind w:left="641" w:hanging="357"/>
      </w:pPr>
      <m:oMath>
        <m:sSub>
          <m:sSubPr>
            <m:ctrlPr>
              <w:rPr>
                <w:rFonts w:ascii="Cambria Math" w:hAnsi="Cambria Math"/>
              </w:rPr>
            </m:ctrlPr>
          </m:sSubPr>
          <m:e>
            <m:r>
              <w:rPr>
                <w:rFonts w:ascii="Cambria Math" w:hAnsi="Cambria Math"/>
              </w:rPr>
              <m:t>τ</m:t>
            </m:r>
          </m:e>
          <m:sub>
            <m:r>
              <w:rPr>
                <w:rFonts w:ascii="Cambria Math" w:hAnsi="Cambria Math"/>
              </w:rPr>
              <m:t>0</m:t>
            </m:r>
          </m:sub>
        </m:sSub>
      </m:oMath>
      <w:r>
        <w:t>​ = yield stress [Pa]</w:t>
      </w:r>
    </w:p>
    <w:p w14:paraId="1A322D1D" w14:textId="77777777" w:rsidR="00B33327" w:rsidRDefault="00000000">
      <w:pPr>
        <w:pStyle w:val="Paragraphbulleted"/>
        <w:ind w:left="641" w:hanging="357"/>
      </w:pPr>
      <m:oMath>
        <m:r>
          <w:rPr>
            <w:rFonts w:ascii="Cambria Math" w:hAnsi="Cambria Math"/>
          </w:rPr>
          <m:t>K</m:t>
        </m:r>
      </m:oMath>
      <w:r>
        <w:t xml:space="preserve"> = consistency index [Pa·sⁿ]</w:t>
      </w:r>
    </w:p>
    <w:p w14:paraId="11F97C04" w14:textId="77777777" w:rsidR="00B33327" w:rsidRDefault="00000000">
      <w:pPr>
        <w:pStyle w:val="Paragraphbulleted"/>
        <w:ind w:left="641" w:hanging="357"/>
      </w:pPr>
      <m:oMath>
        <m:r>
          <w:rPr>
            <w:rFonts w:ascii="Cambria Math" w:hAnsi="Cambria Math"/>
          </w:rPr>
          <m:t>n</m:t>
        </m:r>
      </m:oMath>
      <w:r>
        <w:t xml:space="preserve"> = flow index [-]</w:t>
      </w:r>
    </w:p>
    <w:p w14:paraId="2B176E0F" w14:textId="77777777" w:rsidR="00B33327" w:rsidRDefault="00B33327">
      <w:pPr>
        <w:pStyle w:val="Paragraph"/>
      </w:pPr>
    </w:p>
    <w:p w14:paraId="3CE60FAA" w14:textId="77777777" w:rsidR="00B33327" w:rsidRDefault="00000000">
      <w:pPr>
        <w:pStyle w:val="Paragraph"/>
      </w:pPr>
      <w:r>
        <w:t>From this relation, one possible definition of viscosity is given by:</w:t>
      </w:r>
    </w:p>
    <w:p w14:paraId="60F3BAE8" w14:textId="485BA50C" w:rsidR="00B33327" w:rsidRDefault="00D01362" w:rsidP="00D01362">
      <w:pPr>
        <w:pStyle w:val="Equation"/>
      </w:pPr>
      <w:r>
        <w:tab/>
      </w:r>
      <m:oMath>
        <m:r>
          <w:rPr>
            <w:rFonts w:ascii="Cambria Math" w:hAnsi="Cambria Math"/>
          </w:rPr>
          <m:t>μ</m:t>
        </m:r>
        <m:d>
          <m:dPr>
            <m:ctrlPr>
              <w:rPr>
                <w:rFonts w:ascii="Cambria Math" w:hAnsi="Cambria Math"/>
              </w:rPr>
            </m:ctrlPr>
          </m:dPr>
          <m:e>
            <m:acc>
              <m:accPr>
                <m:chr m:val="˙"/>
                <m:ctrlPr>
                  <w:rPr>
                    <w:rFonts w:ascii="Cambria Math" w:hAnsi="Cambria Math"/>
                  </w:rPr>
                </m:ctrlPr>
              </m:accPr>
              <m:e>
                <m:r>
                  <w:rPr>
                    <w:rFonts w:ascii="Cambria Math" w:hAnsi="Cambria Math"/>
                  </w:rPr>
                  <m:t>γ</m:t>
                </m:r>
              </m:e>
            </m:acc>
          </m:e>
        </m:d>
        <m:r>
          <m:rPr>
            <m:lit/>
            <m:nor/>
          </m:rPr>
          <m:t>=</m:t>
        </m:r>
        <m:r>
          <w:rPr>
            <w:rFonts w:ascii="Cambria Math" w:hAnsi="Cambria Math"/>
          </w:rPr>
          <m:t>min</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τ</m:t>
                    </m:r>
                  </m:e>
                  <m:sub>
                    <m:r>
                      <w:rPr>
                        <w:rFonts w:ascii="Cambria Math" w:hAnsi="Cambria Math"/>
                      </w:rPr>
                      <m:t>0</m:t>
                    </m:r>
                  </m:sub>
                </m:sSub>
              </m:num>
              <m:den>
                <m:acc>
                  <m:accPr>
                    <m:chr m:val="˙"/>
                    <m:ctrlPr>
                      <w:rPr>
                        <w:rFonts w:ascii="Cambria Math" w:hAnsi="Cambria Math"/>
                      </w:rPr>
                    </m:ctrlPr>
                  </m:accPr>
                  <m:e>
                    <m:r>
                      <w:rPr>
                        <w:rFonts w:ascii="Cambria Math" w:hAnsi="Cambria Math"/>
                      </w:rPr>
                      <m:t>γ</m:t>
                    </m:r>
                  </m:e>
                </m:acc>
              </m:den>
            </m:f>
            <m:r>
              <m:rPr>
                <m:lit/>
                <m:nor/>
              </m:rPr>
              <m:t>+</m:t>
            </m:r>
            <m:r>
              <w:rPr>
                <w:rFonts w:ascii="Cambria Math" w:hAnsi="Cambria Math"/>
              </w:rPr>
              <m:t>K⋅</m:t>
            </m:r>
            <m:sSup>
              <m:sSupPr>
                <m:ctrlPr>
                  <w:rPr>
                    <w:rFonts w:ascii="Cambria Math" w:hAnsi="Cambria Math"/>
                  </w:rPr>
                </m:ctrlPr>
              </m:sSupPr>
              <m:e>
                <m:acc>
                  <m:accPr>
                    <m:chr m:val="˙"/>
                    <m:ctrlPr>
                      <w:rPr>
                        <w:rFonts w:ascii="Cambria Math" w:hAnsi="Cambria Math"/>
                      </w:rPr>
                    </m:ctrlPr>
                  </m:accPr>
                  <m:e>
                    <m:r>
                      <w:rPr>
                        <w:rFonts w:ascii="Cambria Math" w:hAnsi="Cambria Math"/>
                      </w:rPr>
                      <m:t>γ</m:t>
                    </m:r>
                  </m:e>
                </m:acc>
              </m:e>
              <m:sup>
                <m:r>
                  <w:rPr>
                    <w:rFonts w:ascii="Cambria Math" w:hAnsi="Cambria Math"/>
                  </w:rPr>
                  <m:t>n</m:t>
                </m:r>
                <m:r>
                  <m:rPr>
                    <m:lit/>
                    <m:nor/>
                  </m:rPr>
                  <m:t>-</m:t>
                </m:r>
                <m:r>
                  <w:rPr>
                    <w:rFonts w:ascii="Cambria Math" w:hAnsi="Cambria Math"/>
                  </w:rPr>
                  <m:t>1</m:t>
                </m:r>
              </m:sup>
            </m:sSup>
            <m:r>
              <w:rPr>
                <w:rFonts w:ascii="Cambria Math" w:hAnsi="Cambria Math"/>
              </w:rPr>
              <m:t>,</m:t>
            </m:r>
            <m:r>
              <m:rPr>
                <m:lit/>
                <m:nor/>
              </m:rPr>
              <m:t xml:space="preserve"> </m:t>
            </m:r>
            <m:sSub>
              <m:sSubPr>
                <m:ctrlPr>
                  <w:rPr>
                    <w:rFonts w:ascii="Cambria Math" w:hAnsi="Cambria Math"/>
                  </w:rPr>
                </m:ctrlPr>
              </m:sSubPr>
              <m:e>
                <m:r>
                  <w:rPr>
                    <w:rFonts w:ascii="Cambria Math" w:hAnsi="Cambria Math"/>
                  </w:rPr>
                  <m:t>μ</m:t>
                </m:r>
              </m:e>
              <m:sub>
                <m:r>
                  <w:rPr>
                    <w:rFonts w:ascii="Cambria Math" w:hAnsi="Cambria Math"/>
                  </w:rPr>
                  <m:t>0</m:t>
                </m:r>
              </m:sub>
            </m:sSub>
          </m:e>
        </m:d>
      </m:oMath>
      <w:r>
        <w:tab/>
        <w:t>(2)</w:t>
      </w:r>
    </w:p>
    <w:p w14:paraId="5D483375" w14:textId="77777777" w:rsidR="00B33327" w:rsidRDefault="00000000">
      <w:pPr>
        <w:pStyle w:val="Paragraph"/>
      </w:pPr>
      <w:r>
        <w:t xml:space="preserve">where </w:t>
      </w:r>
      <m:oMath>
        <m:sSub>
          <m:sSubPr>
            <m:ctrlPr>
              <w:rPr>
                <w:rFonts w:ascii="Cambria Math" w:hAnsi="Cambria Math"/>
              </w:rPr>
            </m:ctrlPr>
          </m:sSubPr>
          <m:e>
            <m:r>
              <w:rPr>
                <w:rFonts w:ascii="Cambria Math" w:hAnsi="Cambria Math"/>
              </w:rPr>
              <m:t>μ</m:t>
            </m:r>
          </m:e>
          <m:sub>
            <m:r>
              <w:rPr>
                <w:rFonts w:ascii="Cambria Math" w:hAnsi="Cambria Math"/>
              </w:rPr>
              <m:t>0</m:t>
            </m:r>
          </m:sub>
        </m:sSub>
      </m:oMath>
      <w:r>
        <w:rPr>
          <w:iCs/>
        </w:rPr>
        <w:t xml:space="preserve"> </w:t>
      </w:r>
      <w:r>
        <w:t>represents the zero-shear viscosity of the grease. This modification prevents the model from producing singularities and numerical instabilities at very low shear rates.</w:t>
      </w:r>
    </w:p>
    <w:p w14:paraId="35EAEE5D" w14:textId="77777777" w:rsidR="00B33327" w:rsidRDefault="00000000">
      <w:pPr>
        <w:pStyle w:val="Paragraph"/>
      </w:pPr>
      <w:r>
        <w:t>The experimental calibration was performed at two reference temperatures:</w:t>
      </w:r>
    </w:p>
    <w:p w14:paraId="10C73DFB" w14:textId="77777777" w:rsidR="00B33327" w:rsidRDefault="00B33327">
      <w:pPr>
        <w:pStyle w:val="Paragraph"/>
      </w:pPr>
    </w:p>
    <w:p w14:paraId="46A171A4" w14:textId="77777777" w:rsidR="00B33327" w:rsidRDefault="00000000">
      <w:pPr>
        <w:pStyle w:val="Paragraphbulleted"/>
        <w:ind w:left="641" w:hanging="357"/>
      </w:pPr>
      <w:r>
        <w:t>25 [°C], representing ambient conditions, and</w:t>
      </w:r>
    </w:p>
    <w:p w14:paraId="3A9187E8" w14:textId="77777777" w:rsidR="00B33327" w:rsidRDefault="00000000">
      <w:pPr>
        <w:pStyle w:val="Paragraphbulleted"/>
        <w:ind w:left="641" w:hanging="357"/>
      </w:pPr>
      <w:r>
        <w:t>80 [°C], representative of a possible operating environment.</w:t>
      </w:r>
    </w:p>
    <w:p w14:paraId="7C179543" w14:textId="77777777" w:rsidR="00B33327" w:rsidRDefault="00B33327">
      <w:pPr>
        <w:pStyle w:val="Paragraph"/>
      </w:pPr>
    </w:p>
    <w:p w14:paraId="2FC61E35" w14:textId="77777777" w:rsidR="00B33327" w:rsidRDefault="00000000">
      <w:pPr>
        <w:pStyle w:val="Paragraph"/>
      </w:pPr>
      <w:r>
        <w:t>A Cone-on-Plate rheometer was selected for these measurements, as this configuration allows testing a finite sample volume while maintaining a uniform shear rate throughout the material. Torque (</w:t>
      </w:r>
      <m:oMath>
        <m:r>
          <w:rPr>
            <w:rFonts w:ascii="Cambria Math" w:hAnsi="Cambria Math"/>
          </w:rPr>
          <m:t>T</m:t>
        </m:r>
      </m:oMath>
      <w:r>
        <w:t>) and angular velocity (</w:t>
      </w:r>
      <m:oMath>
        <m:r>
          <w:rPr>
            <w:rFonts w:ascii="Cambria Math" w:hAnsi="Cambria Math"/>
          </w:rPr>
          <m:t>ω</m:t>
        </m:r>
      </m:oMath>
      <w:r>
        <w:t xml:space="preserve">) data collected during the experiments were converted into shear stress </w:t>
      </w:r>
      <m:oMath>
        <m:r>
          <w:rPr>
            <w:rFonts w:ascii="Cambria Math" w:hAnsi="Cambria Math"/>
          </w:rPr>
          <m:t>τ</m:t>
        </m:r>
        <m:d>
          <m:dPr>
            <m:ctrlPr>
              <w:rPr>
                <w:rFonts w:ascii="Cambria Math" w:hAnsi="Cambria Math"/>
              </w:rPr>
            </m:ctrlPr>
          </m:dPr>
          <m:e>
            <m:acc>
              <m:accPr>
                <m:chr m:val="˙"/>
                <m:ctrlPr>
                  <w:rPr>
                    <w:rFonts w:ascii="Cambria Math" w:hAnsi="Cambria Math"/>
                  </w:rPr>
                </m:ctrlPr>
              </m:accPr>
              <m:e>
                <m:r>
                  <w:rPr>
                    <w:rFonts w:ascii="Cambria Math" w:hAnsi="Cambria Math"/>
                  </w:rPr>
                  <m:t>γ</m:t>
                </m:r>
              </m:e>
            </m:acc>
          </m:e>
        </m:d>
      </m:oMath>
      <w:r>
        <w:t xml:space="preserve"> and shear rate </w:t>
      </w:r>
      <m:oMath>
        <m:acc>
          <m:accPr>
            <m:chr m:val="˙"/>
            <m:ctrlPr>
              <w:rPr>
                <w:rFonts w:ascii="Cambria Math" w:hAnsi="Cambria Math"/>
              </w:rPr>
            </m:ctrlPr>
          </m:accPr>
          <m:e>
            <m:r>
              <w:rPr>
                <w:rFonts w:ascii="Cambria Math" w:hAnsi="Cambria Math"/>
              </w:rPr>
              <m:t>γ</m:t>
            </m:r>
          </m:e>
        </m:acc>
      </m:oMath>
      <w:r>
        <w:t xml:space="preserve"> values using the instrument-specific CSS and CSR calibration coefficients, coefficients released by the rheometer producer.</w:t>
      </w:r>
    </w:p>
    <w:p w14:paraId="5E819C43" w14:textId="77777777" w:rsidR="00B33327" w:rsidRDefault="00000000">
      <w:pPr>
        <w:pStyle w:val="Paragraph"/>
      </w:pPr>
      <w:r>
        <w:t xml:space="preserve">Once the experimental </w:t>
      </w:r>
      <m:oMath>
        <m:r>
          <w:rPr>
            <w:rFonts w:ascii="Cambria Math" w:hAnsi="Cambria Math"/>
          </w:rPr>
          <m:t>τ</m:t>
        </m:r>
        <m:r>
          <m:rPr>
            <m:lit/>
            <m:nor/>
          </m:rPr>
          <w:rPr>
            <w:rFonts w:ascii="Cambria Math" w:hAnsi="Cambria Math"/>
          </w:rPr>
          <m:t>-</m:t>
        </m:r>
        <m:acc>
          <m:accPr>
            <m:chr m:val="˙"/>
            <m:ctrlPr>
              <w:rPr>
                <w:rFonts w:ascii="Cambria Math" w:hAnsi="Cambria Math"/>
              </w:rPr>
            </m:ctrlPr>
          </m:accPr>
          <m:e>
            <m:r>
              <w:rPr>
                <w:rFonts w:ascii="Cambria Math" w:hAnsi="Cambria Math"/>
              </w:rPr>
              <m:t>γ</m:t>
            </m:r>
          </m:e>
        </m:acc>
      </m:oMath>
      <w:r>
        <w:t xml:space="preserve"> datasets were obtained, regression techniques were applied to fit the Herschel–Bulkley parameters, i.e. (</w:t>
      </w:r>
      <m:oMath>
        <m:sSub>
          <m:sSubPr>
            <m:ctrlPr>
              <w:rPr>
                <w:rFonts w:ascii="Cambria Math" w:hAnsi="Cambria Math"/>
              </w:rPr>
            </m:ctrlPr>
          </m:sSubPr>
          <m:e>
            <m:r>
              <w:rPr>
                <w:rFonts w:ascii="Cambria Math" w:hAnsi="Cambria Math"/>
              </w:rPr>
              <m:t>τ</m:t>
            </m:r>
          </m:e>
          <m:sub>
            <m:r>
              <w:rPr>
                <w:rFonts w:ascii="Cambria Math" w:hAnsi="Cambria Math"/>
              </w:rPr>
              <m:t>0</m:t>
            </m:r>
          </m:sub>
        </m:sSub>
      </m:oMath>
      <w:r>
        <w:rPr>
          <w:iCs/>
        </w:rPr>
        <w:t xml:space="preserve">, </w:t>
      </w:r>
      <m:oMath>
        <m:r>
          <w:rPr>
            <w:rFonts w:ascii="Cambria Math" w:hAnsi="Cambria Math"/>
          </w:rPr>
          <m:t>K</m:t>
        </m:r>
      </m:oMath>
      <w:r>
        <w:rPr>
          <w:iCs/>
        </w:rPr>
        <w:t xml:space="preserve">, </w:t>
      </w:r>
      <m:oMath>
        <m:r>
          <w:rPr>
            <w:rFonts w:ascii="Cambria Math" w:hAnsi="Cambria Math"/>
          </w:rPr>
          <m:t>n</m:t>
        </m:r>
      </m:oMath>
      <w:r>
        <w:t>). Different regression strategies were tested to minimize various error functions, including:</w:t>
      </w:r>
    </w:p>
    <w:p w14:paraId="2D549B58" w14:textId="77777777" w:rsidR="00B33327" w:rsidRDefault="00B33327">
      <w:pPr>
        <w:pStyle w:val="Paragraph"/>
      </w:pPr>
    </w:p>
    <w:p w14:paraId="21D8531E" w14:textId="77777777" w:rsidR="00B33327" w:rsidRDefault="00000000">
      <w:pPr>
        <w:pStyle w:val="Paragraphbulleted"/>
        <w:ind w:left="641" w:hanging="357"/>
      </w:pPr>
      <w:r>
        <w:t>Mean Squared Error (MSE),</w:t>
      </w:r>
    </w:p>
    <w:p w14:paraId="02F958B4" w14:textId="77777777" w:rsidR="00B33327" w:rsidRDefault="00000000">
      <w:pPr>
        <w:pStyle w:val="Paragraphbulleted"/>
        <w:ind w:left="641" w:hanging="357"/>
      </w:pPr>
      <w:r>
        <w:t>Absolute Error,</w:t>
      </w:r>
    </w:p>
    <w:p w14:paraId="32CCAAB6" w14:textId="77777777" w:rsidR="00B33327" w:rsidRDefault="00000000">
      <w:pPr>
        <w:pStyle w:val="Paragraphbulleted"/>
        <w:ind w:left="641" w:hanging="357"/>
      </w:pPr>
      <w:r>
        <w:t>Percentage Error,</w:t>
      </w:r>
    </w:p>
    <w:p w14:paraId="70BDE03C" w14:textId="77777777" w:rsidR="00B33327" w:rsidRDefault="00000000">
      <w:pPr>
        <w:pStyle w:val="Paragraphbulleted"/>
        <w:ind w:left="641" w:hanging="357"/>
      </w:pPr>
      <w:r>
        <w:t>Logarithmic Error.</w:t>
      </w:r>
    </w:p>
    <w:p w14:paraId="3F503FA7" w14:textId="77777777" w:rsidR="00B33327" w:rsidRDefault="00B33327">
      <w:pPr>
        <w:pStyle w:val="Paragraph"/>
      </w:pPr>
    </w:p>
    <w:p w14:paraId="04A6CC34" w14:textId="77777777" w:rsidR="00B33327" w:rsidRDefault="00000000">
      <w:pPr>
        <w:pStyle w:val="Paragraph"/>
      </w:pPr>
      <w:r>
        <w:t>The comparison of these approaches demonstrated that the choice of error metric influences the final parameter set, yielding slightly different model predictions.</w:t>
      </w:r>
    </w:p>
    <w:p w14:paraId="0DF494E6" w14:textId="77777777" w:rsidR="00B33327" w:rsidRDefault="00000000">
      <w:pPr>
        <w:pStyle w:val="Paragraph"/>
      </w:pPr>
      <w:r>
        <w:t>After calibration, the constitutive model was implemented in a CFD framework. The first step of validation consisted of reproducing the Cone-on-Plate rheometer setup numerically. The model was considered consistent when the CFD results showed:</w:t>
      </w:r>
    </w:p>
    <w:p w14:paraId="7B010342" w14:textId="77777777" w:rsidR="00B33327" w:rsidRDefault="00B33327">
      <w:pPr>
        <w:pStyle w:val="Paragraph"/>
      </w:pPr>
    </w:p>
    <w:p w14:paraId="70E6F4A8" w14:textId="77777777" w:rsidR="00B33327" w:rsidRDefault="00000000">
      <w:pPr>
        <w:pStyle w:val="Paragraphbulleted"/>
        <w:ind w:left="641" w:hanging="357"/>
      </w:pPr>
      <w:r>
        <w:t>an approximately uniform shear rate across the test volume, and</w:t>
      </w:r>
    </w:p>
    <w:p w14:paraId="6744D0A2" w14:textId="77777777" w:rsidR="00B33327" w:rsidRDefault="00000000">
      <w:pPr>
        <w:pStyle w:val="Paragraphbulleted"/>
        <w:ind w:left="641" w:hanging="357"/>
      </w:pPr>
      <w:r>
        <w:t>a torque–angular velocity relationship in agreement with the analytical Herschel–Bulkley formulation.</w:t>
      </w:r>
    </w:p>
    <w:p w14:paraId="5604BD94" w14:textId="77777777" w:rsidR="00B33327" w:rsidRDefault="00B33327">
      <w:pPr>
        <w:pStyle w:val="Paragraph"/>
      </w:pPr>
    </w:p>
    <w:p w14:paraId="0EE9B1BB" w14:textId="77777777" w:rsidR="00B33327" w:rsidRDefault="00000000">
      <w:pPr>
        <w:pStyle w:val="Paragraph"/>
      </w:pPr>
      <w:r>
        <w:t>A second validation stage was conducted using a Plate-on-Plate rheometer, which introduces shear rate gradients that increase radially. An additional experimental campaign was carried out with this geometry, testing the same grease at both reference temperatures and at varying plate gaps and rotation speeds. The Plate-on-Plate configuration was also modeled in CFD using the previously calibrated fluid properties.</w:t>
      </w:r>
    </w:p>
    <w:p w14:paraId="36541A0B" w14:textId="77777777" w:rsidR="00B33327" w:rsidRDefault="00000000">
      <w:pPr>
        <w:pStyle w:val="Paragraph"/>
      </w:pPr>
      <w:r>
        <w:t>Comparisons between the experimentally measured and CFD-predicted torque–angular velocity curves allowed for assessment of the model accuracy, identification of discrepancies, and formulation of hypotheses regarding their possible origins.</w:t>
      </w:r>
    </w:p>
    <w:p w14:paraId="5377D9EF" w14:textId="77777777" w:rsidR="00B33327" w:rsidRDefault="00000000">
      <w:pPr>
        <w:pStyle w:val="berschrift1"/>
      </w:pPr>
      <w:r>
        <w:t>Experimental Campaign and Data Elaboration</w:t>
      </w:r>
    </w:p>
    <w:p w14:paraId="37F079AB" w14:textId="77777777" w:rsidR="00B33327" w:rsidRDefault="00000000">
      <w:pPr>
        <w:pStyle w:val="Paragraph"/>
        <w:rPr>
          <w:lang w:val="en-GB"/>
        </w:rPr>
      </w:pPr>
      <w:r>
        <w:rPr>
          <w:lang w:val="en-GB"/>
        </w:rPr>
        <w:t xml:space="preserve">As outlined in the previous section, the experimental campaign was conducted using the same NLGI 1 grease, tested in two different rheometer configurations: Cone-on-Plate and Plate-on-Plate. Measurements were performed under different temperatures and angular velocities. Specifically, tests were carried out with </w:t>
      </w:r>
      <m:oMath>
        <m:r>
          <w:rPr>
            <w:rFonts w:ascii="Cambria Math" w:hAnsi="Cambria Math"/>
          </w:rPr>
          <m:t>ω</m:t>
        </m:r>
        <m:r>
          <m:rPr>
            <m:lit/>
            <m:nor/>
          </m:rPr>
          <w:rPr>
            <w:rFonts w:ascii="Cambria Math" w:hAnsi="Cambria Math"/>
          </w:rPr>
          <m:t>=</m:t>
        </m:r>
        <m:r>
          <w:rPr>
            <w:rFonts w:ascii="Cambria Math" w:hAnsi="Cambria Math"/>
          </w:rPr>
          <m:t>1.76⋅</m:t>
        </m:r>
        <m:sSup>
          <m:sSupPr>
            <m:ctrlPr>
              <w:rPr>
                <w:rFonts w:ascii="Cambria Math" w:hAnsi="Cambria Math"/>
              </w:rPr>
            </m:ctrlPr>
          </m:sSupPr>
          <m:e>
            <m:r>
              <w:rPr>
                <w:rFonts w:ascii="Cambria Math" w:hAnsi="Cambria Math"/>
              </w:rPr>
              <m:t>10</m:t>
            </m:r>
          </m:e>
          <m:sup>
            <m:r>
              <m:rPr>
                <m:lit/>
                <m:nor/>
              </m:rPr>
              <w:rPr>
                <w:rFonts w:ascii="Cambria Math" w:hAnsi="Cambria Math"/>
              </w:rPr>
              <m:t>-</m:t>
            </m:r>
            <m:r>
              <w:rPr>
                <w:rFonts w:ascii="Cambria Math" w:hAnsi="Cambria Math"/>
              </w:rPr>
              <m:t>3</m:t>
            </m:r>
          </m:sup>
        </m:sSup>
        <m:r>
          <w:rPr>
            <w:rFonts w:ascii="Cambria Math" w:hAnsi="Cambria Math"/>
          </w:rPr>
          <m:t>÷1.76⋅</m:t>
        </m:r>
        <m:sSup>
          <m:sSupPr>
            <m:ctrlPr>
              <w:rPr>
                <w:rFonts w:ascii="Cambria Math" w:hAnsi="Cambria Math"/>
              </w:rPr>
            </m:ctrlPr>
          </m:sSupPr>
          <m:e>
            <m:r>
              <w:rPr>
                <w:rFonts w:ascii="Cambria Math" w:hAnsi="Cambria Math"/>
              </w:rPr>
              <m:t>10</m:t>
            </m:r>
          </m:e>
          <m:sup>
            <m:r>
              <w:rPr>
                <w:rFonts w:ascii="Cambria Math" w:hAnsi="Cambria Math"/>
              </w:rPr>
              <m:t>1</m:t>
            </m:r>
          </m:sup>
        </m:sSup>
        <m:r>
          <m:rPr>
            <m:lit/>
            <m:nor/>
          </m:rPr>
          <w:rPr>
            <w:rFonts w:ascii="Cambria Math" w:hAnsi="Cambria Math"/>
          </w:rPr>
          <m:t xml:space="preserve"> </m:t>
        </m:r>
        <m:d>
          <m:dPr>
            <m:begChr m:val="["/>
            <m:endChr m:val="]"/>
            <m:ctrlPr>
              <w:rPr>
                <w:rFonts w:ascii="Cambria Math" w:hAnsi="Cambria Math"/>
              </w:rPr>
            </m:ctrlPr>
          </m:dPr>
          <m:e>
            <m:r>
              <w:rPr>
                <w:rFonts w:ascii="Cambria Math" w:hAnsi="Cambria Math"/>
              </w:rPr>
              <m:t>rad</m:t>
            </m:r>
            <m:r>
              <m:rPr>
                <m:lit/>
                <m:nor/>
              </m:rPr>
              <w:rPr>
                <w:rFonts w:ascii="Cambria Math" w:hAnsi="Cambria Math"/>
              </w:rPr>
              <m:t>/</m:t>
            </m:r>
            <m:r>
              <w:rPr>
                <w:rFonts w:ascii="Cambria Math" w:hAnsi="Cambria Math"/>
              </w:rPr>
              <m:t>s</m:t>
            </m:r>
          </m:e>
        </m:d>
      </m:oMath>
      <w:r>
        <w:rPr>
          <w:lang w:val="en-GB"/>
        </w:rPr>
        <w:t xml:space="preserve"> in the Cone-on-Plate setup, and </w:t>
      </w:r>
      <m:oMath>
        <m:r>
          <w:rPr>
            <w:rFonts w:ascii="Cambria Math" w:hAnsi="Cambria Math"/>
          </w:rPr>
          <m:t>ω</m:t>
        </m:r>
        <m:r>
          <m:rPr>
            <m:lit/>
            <m:nor/>
          </m:rPr>
          <w:rPr>
            <w:rFonts w:ascii="Cambria Math" w:hAnsi="Cambria Math"/>
          </w:rPr>
          <m:t>=</m:t>
        </m:r>
        <m:r>
          <w:rPr>
            <w:rFonts w:ascii="Cambria Math" w:hAnsi="Cambria Math"/>
          </w:rPr>
          <m:t>6.00⋅</m:t>
        </m:r>
        <m:sSup>
          <m:sSupPr>
            <m:ctrlPr>
              <w:rPr>
                <w:rFonts w:ascii="Cambria Math" w:hAnsi="Cambria Math"/>
              </w:rPr>
            </m:ctrlPr>
          </m:sSupPr>
          <m:e>
            <m:r>
              <w:rPr>
                <w:rFonts w:ascii="Cambria Math" w:hAnsi="Cambria Math"/>
              </w:rPr>
              <m:t>10</m:t>
            </m:r>
          </m:e>
          <m:sup>
            <m:r>
              <m:rPr>
                <m:lit/>
                <m:nor/>
              </m:rPr>
              <w:rPr>
                <w:rFonts w:ascii="Cambria Math" w:hAnsi="Cambria Math"/>
              </w:rPr>
              <m:t>-</m:t>
            </m:r>
            <m:r>
              <w:rPr>
                <w:rFonts w:ascii="Cambria Math" w:hAnsi="Cambria Math"/>
              </w:rPr>
              <m:t>1</m:t>
            </m:r>
          </m:sup>
        </m:sSup>
        <m:r>
          <w:rPr>
            <w:rFonts w:ascii="Cambria Math" w:hAnsi="Cambria Math"/>
          </w:rPr>
          <m:t>÷1.20⋅</m:t>
        </m:r>
        <m:sSup>
          <m:sSupPr>
            <m:ctrlPr>
              <w:rPr>
                <w:rFonts w:ascii="Cambria Math" w:hAnsi="Cambria Math"/>
              </w:rPr>
            </m:ctrlPr>
          </m:sSupPr>
          <m:e>
            <m:r>
              <w:rPr>
                <w:rFonts w:ascii="Cambria Math" w:hAnsi="Cambria Math"/>
              </w:rPr>
              <m:t>10</m:t>
            </m:r>
          </m:e>
          <m:sup>
            <m:r>
              <w:rPr>
                <w:rFonts w:ascii="Cambria Math" w:hAnsi="Cambria Math"/>
              </w:rPr>
              <m:t>2</m:t>
            </m:r>
          </m:sup>
        </m:sSup>
        <m:r>
          <m:rPr>
            <m:lit/>
            <m:nor/>
          </m:rPr>
          <w:rPr>
            <w:rFonts w:ascii="Cambria Math" w:hAnsi="Cambria Math"/>
          </w:rPr>
          <m:t xml:space="preserve"> </m:t>
        </m:r>
        <m:d>
          <m:dPr>
            <m:begChr m:val="["/>
            <m:endChr m:val="]"/>
            <m:ctrlPr>
              <w:rPr>
                <w:rFonts w:ascii="Cambria Math" w:hAnsi="Cambria Math"/>
              </w:rPr>
            </m:ctrlPr>
          </m:dPr>
          <m:e>
            <m:r>
              <w:rPr>
                <w:rFonts w:ascii="Cambria Math" w:hAnsi="Cambria Math"/>
              </w:rPr>
              <m:t>rad</m:t>
            </m:r>
            <m:r>
              <m:rPr>
                <m:lit/>
                <m:nor/>
              </m:rPr>
              <w:rPr>
                <w:rFonts w:ascii="Cambria Math" w:hAnsi="Cambria Math"/>
              </w:rPr>
              <m:t>/</m:t>
            </m:r>
            <m:r>
              <w:rPr>
                <w:rFonts w:ascii="Cambria Math" w:hAnsi="Cambria Math"/>
              </w:rPr>
              <m:t>s</m:t>
            </m:r>
          </m:e>
        </m:d>
      </m:oMath>
      <w:r>
        <w:rPr>
          <w:lang w:val="en-GB"/>
        </w:rPr>
        <w:t xml:space="preserve"> in the Plate-on-Plate setup. These conditions correspond to shear rates spanning from </w:t>
      </w:r>
      <m:oMath>
        <m:acc>
          <m:accPr>
            <m:chr m:val="˙"/>
            <m:ctrlPr>
              <w:rPr>
                <w:rFonts w:ascii="Cambria Math" w:hAnsi="Cambria Math"/>
              </w:rPr>
            </m:ctrlPr>
          </m:accPr>
          <m:e>
            <m:r>
              <w:rPr>
                <w:rFonts w:ascii="Cambria Math" w:hAnsi="Cambria Math"/>
              </w:rPr>
              <m:t>γ</m:t>
            </m:r>
          </m:e>
        </m:acc>
        <m:r>
          <m:rPr>
            <m:lit/>
            <m:nor/>
          </m:rPr>
          <w:rPr>
            <w:rFonts w:ascii="Cambria Math" w:hAnsi="Cambria Math"/>
          </w:rPr>
          <m:t>=</m:t>
        </m:r>
        <m:r>
          <w:rPr>
            <w:rFonts w:ascii="Cambria Math" w:hAnsi="Cambria Math"/>
          </w:rPr>
          <m:t>1⋅</m:t>
        </m:r>
        <m:sSup>
          <m:sSupPr>
            <m:ctrlPr>
              <w:rPr>
                <w:rFonts w:ascii="Cambria Math" w:hAnsi="Cambria Math"/>
              </w:rPr>
            </m:ctrlPr>
          </m:sSupPr>
          <m:e>
            <m:r>
              <w:rPr>
                <w:rFonts w:ascii="Cambria Math" w:hAnsi="Cambria Math"/>
              </w:rPr>
              <m:t>10</m:t>
            </m:r>
          </m:e>
          <m:sup>
            <m:r>
              <m:rPr>
                <m:lit/>
                <m:nor/>
              </m:rPr>
              <w:rPr>
                <w:rFonts w:ascii="Cambria Math" w:hAnsi="Cambria Math"/>
              </w:rPr>
              <m:t>-</m:t>
            </m:r>
            <m:r>
              <w:rPr>
                <w:rFonts w:ascii="Cambria Math" w:hAnsi="Cambria Math"/>
              </w:rPr>
              <m:t>1</m:t>
            </m:r>
          </m:sup>
        </m:sSup>
        <m:r>
          <w:rPr>
            <w:rFonts w:ascii="Cambria Math" w:hAnsi="Cambria Math"/>
          </w:rPr>
          <m:t>÷1⋅</m:t>
        </m:r>
        <m:sSup>
          <m:sSupPr>
            <m:ctrlPr>
              <w:rPr>
                <w:rFonts w:ascii="Cambria Math" w:hAnsi="Cambria Math"/>
              </w:rPr>
            </m:ctrlPr>
          </m:sSupPr>
          <m:e>
            <m:r>
              <w:rPr>
                <w:rFonts w:ascii="Cambria Math" w:hAnsi="Cambria Math"/>
              </w:rPr>
              <m:t>10</m:t>
            </m:r>
          </m:e>
          <m:sup>
            <m:r>
              <w:rPr>
                <w:rFonts w:ascii="Cambria Math" w:hAnsi="Cambria Math"/>
              </w:rPr>
              <m:t>3</m:t>
            </m:r>
          </m:sup>
        </m:sSup>
        <m:r>
          <m:rPr>
            <m:lit/>
            <m:nor/>
          </m:rPr>
          <w:rPr>
            <w:rFonts w:ascii="Cambria Math" w:hAnsi="Cambria Math"/>
          </w:rPr>
          <m:t xml:space="preserve"> </m:t>
        </m:r>
        <m:d>
          <m:dPr>
            <m:begChr m:val="["/>
            <m:endChr m:val="]"/>
            <m:ctrlPr>
              <w:rPr>
                <w:rFonts w:ascii="Cambria Math" w:hAnsi="Cambria Math"/>
              </w:rPr>
            </m:ctrlPr>
          </m:dPr>
          <m:e>
            <m:sSup>
              <m:sSupPr>
                <m:ctrlPr>
                  <w:rPr>
                    <w:rFonts w:ascii="Cambria Math" w:hAnsi="Cambria Math"/>
                  </w:rPr>
                </m:ctrlPr>
              </m:sSupPr>
              <m:e>
                <m:r>
                  <w:rPr>
                    <w:rFonts w:ascii="Cambria Math" w:hAnsi="Cambria Math"/>
                  </w:rPr>
                  <m:t>s</m:t>
                </m:r>
              </m:e>
              <m:sup>
                <m:r>
                  <m:rPr>
                    <m:lit/>
                    <m:nor/>
                  </m:rPr>
                  <w:rPr>
                    <w:rFonts w:ascii="Cambria Math" w:hAnsi="Cambria Math"/>
                  </w:rPr>
                  <m:t>-</m:t>
                </m:r>
                <m:r>
                  <w:rPr>
                    <w:rFonts w:ascii="Cambria Math" w:hAnsi="Cambria Math"/>
                  </w:rPr>
                  <m:t>1</m:t>
                </m:r>
              </m:sup>
            </m:sSup>
          </m:e>
        </m:d>
      </m:oMath>
      <w:r>
        <w:rPr>
          <w:lang w:val="en-GB"/>
        </w:rPr>
        <w:t>. All measurements were carried out in accordance with DIN 51810-1. For the Cone-on-Plate configuration, 41 data points were collected at each velocity following a geometric progression with a ratio of approximately 1.25, whereas in the Plate-on-Plate configuration, 31 measurements were obtained using an arithmetic progression with an increment of about 2 between successive velocities.</w:t>
      </w:r>
    </w:p>
    <w:p w14:paraId="1F7878C7" w14:textId="77777777" w:rsidR="00B33327" w:rsidRDefault="00000000">
      <w:pPr>
        <w:pStyle w:val="Paragraph"/>
        <w:rPr>
          <w:lang w:val="en-GB"/>
        </w:rPr>
      </w:pPr>
      <w:r>
        <w:rPr>
          <w:lang w:val="en-GB"/>
        </w:rPr>
        <w:t xml:space="preserve">The tests were conducted on grease samples that had not been subjected to pre-shearing. Each experiment consisted of three phases: an acceleration </w:t>
      </w:r>
      <w:proofErr w:type="gramStart"/>
      <w:r>
        <w:rPr>
          <w:lang w:val="en-GB"/>
        </w:rPr>
        <w:t>phase</w:t>
      </w:r>
      <w:proofErr w:type="gramEnd"/>
      <w:r>
        <w:rPr>
          <w:lang w:val="en-GB"/>
        </w:rPr>
        <w:t xml:space="preserve"> up to the maximum velocity, a steady-state phase during which the maximum velocity was maintained for 10 minutes, and eventually a deceleration phase. For subsequent data processing, only the acceleration-phase data were considered, </w:t>
      </w:r>
      <w:proofErr w:type="gramStart"/>
      <w:r>
        <w:rPr>
          <w:lang w:val="en-GB"/>
        </w:rPr>
        <w:t>in order to</w:t>
      </w:r>
      <w:proofErr w:type="gramEnd"/>
      <w:r>
        <w:rPr>
          <w:lang w:val="en-GB"/>
        </w:rPr>
        <w:t xml:space="preserve"> analyze the grease without pre-shearing effects. It should be noted, however, that deceleration data differed by up to 15% compared to acceleration, with the latter generally showing a higher resisting torque.</w:t>
      </w:r>
    </w:p>
    <w:p w14:paraId="6BBE3418" w14:textId="65088328" w:rsidR="00B33327" w:rsidRDefault="00000000">
      <w:pPr>
        <w:pStyle w:val="Paragraph"/>
        <w:rPr>
          <w:lang w:val="en-GB"/>
        </w:rPr>
      </w:pPr>
      <w:r>
        <w:rPr>
          <w:lang w:val="en-GB"/>
        </w:rPr>
        <w:t>In the Cone-on-Plate tests, measurements were performed at 25 [°C] and 80 [°C], as well as at intermediate temperatures of 30 [°C] and 70 [°C], in order to assess the influence of small variations in thermal conditions (i.e., +5 [°C] near ambient and −10 [°C] near operating conditions). These tests revealed that even relatively modest temperature shifts could lead to torque–angular velocity deviations exceeding 20%, particularly at high angular velocities (Fig</w:t>
      </w:r>
      <w:r w:rsidR="00444FC7">
        <w:rPr>
          <w:lang w:val="en-GB"/>
        </w:rPr>
        <w:t>.</w:t>
      </w:r>
      <w:r>
        <w:rPr>
          <w:lang w:val="en-GB"/>
        </w:rPr>
        <w:t xml:space="preserve"> 1).</w:t>
      </w:r>
    </w:p>
    <w:p w14:paraId="7AE179B2" w14:textId="77777777" w:rsidR="00B33327" w:rsidRDefault="00B33327">
      <w:pPr>
        <w:pStyle w:val="Paragraph"/>
        <w:rPr>
          <w:lang w:val="en-GB"/>
        </w:rPr>
      </w:pPr>
    </w:p>
    <w:p w14:paraId="3706A0F8" w14:textId="77777777" w:rsidR="00B33327" w:rsidRDefault="00000000" w:rsidP="00D01362">
      <w:pPr>
        <w:pStyle w:val="Figure"/>
        <w:rPr>
          <w:lang w:val="en-GB"/>
        </w:rPr>
      </w:pPr>
      <w:r>
        <w:rPr>
          <w:noProof/>
        </w:rPr>
        <w:lastRenderedPageBreak/>
        <w:drawing>
          <wp:inline distT="0" distB="0" distL="0" distR="0" wp14:anchorId="65C2FCA9" wp14:editId="0463D483">
            <wp:extent cx="2711450" cy="2854960"/>
            <wp:effectExtent l="0" t="0" r="0" b="0"/>
            <wp:docPr id="1" name="Picture 2" descr="A graph of a graph of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graph of a graph of temperature&#10;&#10;AI-generated content may be incorrect."/>
                    <pic:cNvPicPr>
                      <a:picLocks noChangeAspect="1" noChangeArrowheads="1"/>
                    </pic:cNvPicPr>
                  </pic:nvPicPr>
                  <pic:blipFill>
                    <a:blip r:embed="rId11"/>
                    <a:srcRect t="3569"/>
                    <a:stretch>
                      <a:fillRect/>
                    </a:stretch>
                  </pic:blipFill>
                  <pic:spPr bwMode="auto">
                    <a:xfrm>
                      <a:off x="0" y="0"/>
                      <a:ext cx="2711450" cy="2854960"/>
                    </a:xfrm>
                    <a:prstGeom prst="rect">
                      <a:avLst/>
                    </a:prstGeom>
                  </pic:spPr>
                </pic:pic>
              </a:graphicData>
            </a:graphic>
          </wp:inline>
        </w:drawing>
      </w:r>
    </w:p>
    <w:p w14:paraId="145A14F3" w14:textId="77777777" w:rsidR="00B33327" w:rsidRDefault="00000000">
      <w:pPr>
        <w:pStyle w:val="FigureCaption"/>
        <w:rPr>
          <w:sz w:val="20"/>
        </w:rPr>
      </w:pPr>
      <w:r>
        <w:rPr>
          <w:b/>
          <w:caps/>
        </w:rPr>
        <w:t>Figure 1.</w:t>
      </w:r>
      <w:r>
        <w:t xml:space="preserve"> Rotational speed vs Torque for different temperatures in Cone-on-Plate rheometer.</w:t>
      </w:r>
    </w:p>
    <w:p w14:paraId="5EE2735C" w14:textId="77777777" w:rsidR="00B33327" w:rsidRDefault="00B33327">
      <w:pPr>
        <w:pStyle w:val="Paragraph"/>
        <w:rPr>
          <w:lang w:val="en-GB"/>
        </w:rPr>
      </w:pPr>
    </w:p>
    <w:p w14:paraId="6660FEB6" w14:textId="6B080EE5" w:rsidR="00B33327" w:rsidRDefault="00000000">
      <w:pPr>
        <w:pStyle w:val="Paragraph"/>
        <w:rPr>
          <w:lang w:val="en-GB"/>
        </w:rPr>
      </w:pPr>
      <w:r>
        <w:rPr>
          <w:lang w:val="en-GB"/>
        </w:rPr>
        <w:t xml:space="preserve">For the Plate-on-Plate measurements, results were obtained for two different distances between the two plates (H) i.e. H = 0.5 [mm] and H = 1.0 [mm] and the measures were retained in torque–angular velocity format to enable direct comparison with CFD simulations. Conversely, Cone-on-Plate data were converted into shear stress versus shear rate. The experimental results are shown as black dots in Figures 2 (a) (25 [°C]) and 2 (b) (80 [°C]), together with different analytical regressions of the Herschel–Bulkley model, which will be discussed in the following section. As a first observation, at elevated temperatures and for shear rates below </w:t>
      </w:r>
      <m:oMath>
        <m:sSup>
          <m:sSupPr>
            <m:ctrlPr>
              <w:rPr>
                <w:rFonts w:ascii="Cambria Math" w:hAnsi="Cambria Math"/>
              </w:rPr>
            </m:ctrlPr>
          </m:sSupPr>
          <m:e>
            <m:r>
              <w:rPr>
                <w:rFonts w:ascii="Cambria Math" w:hAnsi="Cambria Math"/>
              </w:rPr>
              <m:t>10</m:t>
            </m:r>
          </m:e>
          <m:sup>
            <m:r>
              <w:rPr>
                <w:rFonts w:ascii="Cambria Math" w:hAnsi="Cambria Math"/>
              </w:rPr>
              <m:t>1</m:t>
            </m:r>
          </m:sup>
        </m:sSup>
        <m:r>
          <m:rPr>
            <m:lit/>
            <m:nor/>
          </m:rPr>
          <w:rPr>
            <w:rFonts w:ascii="Cambria Math" w:hAnsi="Cambria Math"/>
          </w:rPr>
          <m:t xml:space="preserve"> </m:t>
        </m:r>
        <m:d>
          <m:dPr>
            <m:begChr m:val="["/>
            <m:endChr m:val="]"/>
            <m:ctrlPr>
              <w:rPr>
                <w:rFonts w:ascii="Cambria Math" w:hAnsi="Cambria Math"/>
              </w:rPr>
            </m:ctrlPr>
          </m:dPr>
          <m:e>
            <m:sSup>
              <m:sSupPr>
                <m:ctrlPr>
                  <w:rPr>
                    <w:rFonts w:ascii="Cambria Math" w:hAnsi="Cambria Math"/>
                  </w:rPr>
                </m:ctrlPr>
              </m:sSupPr>
              <m:e>
                <m:r>
                  <w:rPr>
                    <w:rFonts w:ascii="Cambria Math" w:hAnsi="Cambria Math"/>
                  </w:rPr>
                  <m:t>s</m:t>
                </m:r>
              </m:e>
              <m:sup>
                <m:r>
                  <m:rPr>
                    <m:lit/>
                    <m:nor/>
                  </m:rPr>
                  <w:rPr>
                    <w:rFonts w:ascii="Cambria Math" w:hAnsi="Cambria Math"/>
                  </w:rPr>
                  <m:t>-</m:t>
                </m:r>
                <m:r>
                  <w:rPr>
                    <w:rFonts w:ascii="Cambria Math" w:hAnsi="Cambria Math"/>
                  </w:rPr>
                  <m:t>1</m:t>
                </m:r>
              </m:sup>
            </m:sSup>
          </m:e>
        </m:d>
      </m:oMath>
      <w:r>
        <w:rPr>
          <w:lang w:val="en-GB"/>
        </w:rPr>
        <w:t>, the Herschel–Bulkley model does not adequately capture the grease behavior.</w:t>
      </w:r>
    </w:p>
    <w:p w14:paraId="32188C05" w14:textId="25A26D9F" w:rsidR="00B33327" w:rsidRDefault="00B33327">
      <w:pPr>
        <w:pStyle w:val="Paragraph"/>
        <w:rPr>
          <w:lang w:val="en-GB"/>
        </w:rPr>
      </w:pPr>
    </w:p>
    <w:tbl>
      <w:tblPr>
        <w:tblStyle w:val="Tabellenraster"/>
        <w:tblW w:w="9360" w:type="dxa"/>
        <w:jc w:val="center"/>
        <w:tblLayout w:type="fixed"/>
        <w:tblLook w:val="04A0" w:firstRow="1" w:lastRow="0" w:firstColumn="1" w:lastColumn="0" w:noHBand="0" w:noVBand="1"/>
      </w:tblPr>
      <w:tblGrid>
        <w:gridCol w:w="4681"/>
        <w:gridCol w:w="4679"/>
      </w:tblGrid>
      <w:tr w:rsidR="00C12EE8" w14:paraId="0C93DF80" w14:textId="77777777" w:rsidTr="00827450">
        <w:trPr>
          <w:trHeight w:val="291"/>
          <w:jc w:val="center"/>
        </w:trPr>
        <w:tc>
          <w:tcPr>
            <w:tcW w:w="4681" w:type="dxa"/>
            <w:tcBorders>
              <w:top w:val="nil"/>
              <w:left w:val="nil"/>
              <w:bottom w:val="nil"/>
              <w:right w:val="nil"/>
            </w:tcBorders>
          </w:tcPr>
          <w:p w14:paraId="0713E43D" w14:textId="4CEE6917" w:rsidR="00C12EE8" w:rsidRDefault="00C12EE8" w:rsidP="00C12EE8">
            <w:pPr>
              <w:pStyle w:val="Paragraph"/>
              <w:ind w:firstLine="0"/>
              <w:jc w:val="center"/>
            </w:pPr>
            <w:r>
              <w:rPr>
                <w:noProof/>
              </w:rPr>
              <w:drawing>
                <wp:inline distT="0" distB="0" distL="0" distR="0" wp14:anchorId="7142656E" wp14:editId="1B3A1125">
                  <wp:extent cx="2879725" cy="2938145"/>
                  <wp:effectExtent l="0" t="0" r="0" b="0"/>
                  <wp:docPr id="2" name="Picture 3" descr="A graph of 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graph of a graph of a function&#10;&#10;AI-generated content may be incorrect."/>
                          <pic:cNvPicPr>
                            <a:picLocks noChangeAspect="1" noChangeArrowheads="1"/>
                          </pic:cNvPicPr>
                        </pic:nvPicPr>
                        <pic:blipFill>
                          <a:blip r:embed="rId12"/>
                          <a:srcRect r="89"/>
                          <a:stretch>
                            <a:fillRect/>
                          </a:stretch>
                        </pic:blipFill>
                        <pic:spPr bwMode="auto">
                          <a:xfrm>
                            <a:off x="0" y="0"/>
                            <a:ext cx="2879725" cy="2938145"/>
                          </a:xfrm>
                          <a:prstGeom prst="rect">
                            <a:avLst/>
                          </a:prstGeom>
                        </pic:spPr>
                      </pic:pic>
                    </a:graphicData>
                  </a:graphic>
                </wp:inline>
              </w:drawing>
            </w:r>
          </w:p>
        </w:tc>
        <w:tc>
          <w:tcPr>
            <w:tcW w:w="4679" w:type="dxa"/>
            <w:tcBorders>
              <w:top w:val="nil"/>
              <w:left w:val="nil"/>
              <w:bottom w:val="nil"/>
              <w:right w:val="nil"/>
            </w:tcBorders>
          </w:tcPr>
          <w:p w14:paraId="2127BD3F" w14:textId="15084239" w:rsidR="00C12EE8" w:rsidRDefault="00C12EE8" w:rsidP="00C12EE8">
            <w:pPr>
              <w:pStyle w:val="Paragraph"/>
              <w:ind w:firstLine="0"/>
              <w:jc w:val="center"/>
            </w:pPr>
            <w:r>
              <w:rPr>
                <w:noProof/>
              </w:rPr>
              <w:drawing>
                <wp:inline distT="0" distB="0" distL="0" distR="0" wp14:anchorId="78E13568" wp14:editId="72CAD987">
                  <wp:extent cx="2844165" cy="2948940"/>
                  <wp:effectExtent l="0" t="0" r="0" b="0"/>
                  <wp:docPr id="3" name="Picture 4"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graph of a graph of a graph&#10;&#10;AI-generated content may be incorrect."/>
                          <pic:cNvPicPr>
                            <a:picLocks noChangeAspect="1" noChangeArrowheads="1"/>
                          </pic:cNvPicPr>
                        </pic:nvPicPr>
                        <pic:blipFill>
                          <a:blip r:embed="rId13"/>
                          <a:stretch>
                            <a:fillRect/>
                          </a:stretch>
                        </pic:blipFill>
                        <pic:spPr bwMode="auto">
                          <a:xfrm>
                            <a:off x="0" y="0"/>
                            <a:ext cx="2844165" cy="2948940"/>
                          </a:xfrm>
                          <a:prstGeom prst="rect">
                            <a:avLst/>
                          </a:prstGeom>
                        </pic:spPr>
                      </pic:pic>
                    </a:graphicData>
                  </a:graphic>
                </wp:inline>
              </w:drawing>
            </w:r>
          </w:p>
        </w:tc>
      </w:tr>
      <w:tr w:rsidR="00B33327" w14:paraId="70ACC877" w14:textId="77777777" w:rsidTr="00827450">
        <w:trPr>
          <w:trHeight w:val="291"/>
          <w:jc w:val="center"/>
        </w:trPr>
        <w:tc>
          <w:tcPr>
            <w:tcW w:w="4681" w:type="dxa"/>
            <w:tcBorders>
              <w:top w:val="nil"/>
              <w:left w:val="nil"/>
              <w:bottom w:val="nil"/>
              <w:right w:val="nil"/>
            </w:tcBorders>
          </w:tcPr>
          <w:p w14:paraId="72C077FA" w14:textId="77777777" w:rsidR="00B33327" w:rsidRDefault="00000000" w:rsidP="00C12EE8">
            <w:pPr>
              <w:pStyle w:val="Paragraph"/>
              <w:ind w:firstLine="0"/>
              <w:jc w:val="center"/>
            </w:pPr>
            <w:r>
              <w:t>(a)</w:t>
            </w:r>
          </w:p>
        </w:tc>
        <w:tc>
          <w:tcPr>
            <w:tcW w:w="4679" w:type="dxa"/>
            <w:tcBorders>
              <w:top w:val="nil"/>
              <w:left w:val="nil"/>
              <w:bottom w:val="nil"/>
              <w:right w:val="nil"/>
            </w:tcBorders>
          </w:tcPr>
          <w:p w14:paraId="5CC79BB1" w14:textId="77777777" w:rsidR="00B33327" w:rsidRDefault="00000000" w:rsidP="00C12EE8">
            <w:pPr>
              <w:pStyle w:val="Paragraph"/>
              <w:ind w:firstLine="0"/>
              <w:jc w:val="center"/>
            </w:pPr>
            <w:r>
              <w:t>(b)</w:t>
            </w:r>
          </w:p>
        </w:tc>
      </w:tr>
    </w:tbl>
    <w:p w14:paraId="2F935E0A" w14:textId="77777777" w:rsidR="00B33327" w:rsidRDefault="00000000">
      <w:pPr>
        <w:pStyle w:val="FigureCaption"/>
        <w:rPr>
          <w:sz w:val="20"/>
        </w:rPr>
      </w:pPr>
      <w:r>
        <w:rPr>
          <w:b/>
          <w:caps/>
        </w:rPr>
        <w:t>Figure 2.</w:t>
      </w:r>
      <w:r>
        <w:t xml:space="preserve"> Cone-on-Plate: Experimental vs Analytical for different regression methods and temperatures 25°C (a) and 80°C (b).</w:t>
      </w:r>
    </w:p>
    <w:p w14:paraId="438B732F" w14:textId="77777777" w:rsidR="00B33327" w:rsidRDefault="00B33327">
      <w:pPr>
        <w:pStyle w:val="Paragraph"/>
        <w:rPr>
          <w:lang w:val="en-GB"/>
        </w:rPr>
      </w:pPr>
    </w:p>
    <w:p w14:paraId="57CEABD6" w14:textId="77777777" w:rsidR="00B33327" w:rsidRDefault="00000000">
      <w:pPr>
        <w:pStyle w:val="Paragraph"/>
        <w:rPr>
          <w:lang w:val="en-GB"/>
        </w:rPr>
      </w:pPr>
      <w:r>
        <w:rPr>
          <w:lang w:val="en-GB"/>
        </w:rPr>
        <w:t xml:space="preserve">With respect to regression strategies, four different error minimization approaches were compared. Traditionally, either the mean squared error (MSE, Eq. 3) or the absolute error (Eq. 4) is employed. However, these methods tend </w:t>
      </w:r>
      <w:r>
        <w:rPr>
          <w:lang w:val="en-GB"/>
        </w:rPr>
        <w:lastRenderedPageBreak/>
        <w:t xml:space="preserve">to favor fitting accuracy at high shear rates, often at the expense of correctly representing low shear rate behavior. To overcome this limitation, alternative methods were considered, namely percentage error minimization (Eq. 5) and logarithmic error minimization (Eq. 6), the latter being particularly suitable since the dataset spans several orders of magnitude in shear rate. The results of the regression analyses are summarized in Tables 1 and 2, which also report the corresponding </w:t>
      </w:r>
      <m:oMath>
        <m:sSup>
          <m:sSupPr>
            <m:ctrlPr>
              <w:rPr>
                <w:rFonts w:ascii="Cambria Math" w:hAnsi="Cambria Math"/>
              </w:rPr>
            </m:ctrlPr>
          </m:sSupPr>
          <m:e>
            <m:r>
              <w:rPr>
                <w:rFonts w:ascii="Cambria Math" w:hAnsi="Cambria Math"/>
              </w:rPr>
              <m:t>R</m:t>
            </m:r>
          </m:e>
          <m:sup>
            <m:r>
              <w:rPr>
                <w:rFonts w:ascii="Cambria Math" w:hAnsi="Cambria Math"/>
              </w:rPr>
              <m:t>2</m:t>
            </m:r>
          </m:sup>
        </m:sSup>
      </m:oMath>
      <w:r>
        <w:rPr>
          <w:lang w:val="en-GB"/>
        </w:rPr>
        <w:t xml:space="preserve"> and Mean Absolute Percentage Error (MAPE) values. Based on these comparisons, the parameters obtained via logarithmic error minimization were selected for further analyses, as this approach provided the best overall trade-off between </w:t>
      </w:r>
      <m:oMath>
        <m:sSup>
          <m:sSupPr>
            <m:ctrlPr>
              <w:rPr>
                <w:rFonts w:ascii="Cambria Math" w:hAnsi="Cambria Math"/>
              </w:rPr>
            </m:ctrlPr>
          </m:sSupPr>
          <m:e>
            <m:r>
              <w:rPr>
                <w:rFonts w:ascii="Cambria Math" w:hAnsi="Cambria Math"/>
              </w:rPr>
              <m:t>R</m:t>
            </m:r>
          </m:e>
          <m:sup>
            <m:r>
              <w:rPr>
                <w:rFonts w:ascii="Cambria Math" w:hAnsi="Cambria Math"/>
              </w:rPr>
              <m:t>2</m:t>
            </m:r>
          </m:sup>
        </m:sSup>
      </m:oMath>
      <w:r>
        <w:rPr>
          <w:lang w:val="en-GB"/>
        </w:rPr>
        <w:t xml:space="preserve"> and MAPE. Nevertheless, comparable performance was also achieved with the percentage error minimization approach.</w:t>
      </w:r>
    </w:p>
    <w:p w14:paraId="2EA321CF" w14:textId="42CE7797" w:rsidR="00B33327" w:rsidRDefault="00000000" w:rsidP="006E6199">
      <w:pPr>
        <w:pStyle w:val="Equation"/>
        <w:rPr>
          <w:iCs/>
        </w:rPr>
      </w:pPr>
      <w:r>
        <w:rPr>
          <w:lang w:val="en-GB"/>
        </w:rPr>
        <w:t xml:space="preserve"> </w:t>
      </w:r>
      <w:r w:rsidR="006E6199">
        <w:rPr>
          <w:lang w:val="en-GB"/>
        </w:rPr>
        <w:t xml:space="preserve"> </w:t>
      </w:r>
      <w:r w:rsidR="006E6199" w:rsidRPr="006E6199">
        <w:rPr>
          <w:i/>
        </w:rPr>
        <w:br/>
      </w:r>
      <w:r w:rsidR="006E6199">
        <w:rPr>
          <w:i/>
        </w:rPr>
        <w:tab/>
      </w:r>
      <m:oMath>
        <m:r>
          <w:rPr>
            <w:rFonts w:ascii="Cambria Math" w:hAnsi="Cambria Math"/>
          </w:rPr>
          <m:t>MSE</m:t>
        </m:r>
        <m:r>
          <m:rPr>
            <m:lit/>
            <m:nor/>
          </m:rPr>
          <m:t>=</m:t>
        </m:r>
        <m:nary>
          <m:naryPr>
            <m:chr m:val="∑"/>
            <m:subHide m:val="1"/>
            <m:supHide m:val="1"/>
            <m:ctrlPr>
              <w:rPr>
                <w:rFonts w:ascii="Cambria Math" w:hAnsi="Cambria Math"/>
              </w:rPr>
            </m:ctrlPr>
          </m:naryPr>
          <m:sub/>
          <m:sup/>
          <m:e>
            <m:sSup>
              <m:sSupPr>
                <m:ctrlPr>
                  <w:rPr>
                    <w:rFonts w:ascii="Cambria Math" w:hAnsi="Cambria Math"/>
                  </w:rPr>
                </m:ctrlPr>
              </m:sSupPr>
              <m:e>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τ</m:t>
                            </m:r>
                          </m:e>
                          <m:sub>
                            <m:r>
                              <w:rPr>
                                <w:rFonts w:ascii="Cambria Math" w:hAnsi="Cambria Math"/>
                              </w:rPr>
                              <m:t>0</m:t>
                            </m:r>
                          </m:sub>
                        </m:sSub>
                        <m:r>
                          <m:rPr>
                            <m:lit/>
                            <m:nor/>
                          </m:rPr>
                          <m:t>+</m:t>
                        </m:r>
                        <m:r>
                          <w:rPr>
                            <w:rFonts w:ascii="Cambria Math" w:hAnsi="Cambria Math"/>
                          </w:rPr>
                          <m:t>K⋅</m:t>
                        </m:r>
                        <m:sSup>
                          <m:sSupPr>
                            <m:ctrlPr>
                              <w:rPr>
                                <w:rFonts w:ascii="Cambria Math" w:hAnsi="Cambria Math"/>
                              </w:rPr>
                            </m:ctrlPr>
                          </m:sSupPr>
                          <m:e>
                            <m:acc>
                              <m:accPr>
                                <m:chr m:val="˙"/>
                                <m:ctrlPr>
                                  <w:rPr>
                                    <w:rFonts w:ascii="Cambria Math" w:hAnsi="Cambria Math"/>
                                  </w:rPr>
                                </m:ctrlPr>
                              </m:accPr>
                              <m:e>
                                <m:r>
                                  <w:rPr>
                                    <w:rFonts w:ascii="Cambria Math" w:hAnsi="Cambria Math"/>
                                  </w:rPr>
                                  <m:t>γ</m:t>
                                </m:r>
                              </m:e>
                            </m:acc>
                          </m:e>
                          <m:sup>
                            <m:r>
                              <w:rPr>
                                <w:rFonts w:ascii="Cambria Math" w:hAnsi="Cambria Math"/>
                              </w:rPr>
                              <m:t>n</m:t>
                            </m:r>
                          </m:sup>
                        </m:sSup>
                      </m:e>
                    </m:d>
                    <m:r>
                      <m:rPr>
                        <m:lit/>
                        <m:nor/>
                      </m:rPr>
                      <m:t>-</m:t>
                    </m:r>
                    <m:r>
                      <w:rPr>
                        <w:rFonts w:ascii="Cambria Math" w:hAnsi="Cambria Math"/>
                      </w:rPr>
                      <m:t>τ</m:t>
                    </m:r>
                  </m:e>
                </m:d>
              </m:e>
              <m:sup>
                <m:r>
                  <w:rPr>
                    <w:rFonts w:ascii="Cambria Math" w:hAnsi="Cambria Math"/>
                  </w:rPr>
                  <m:t>2</m:t>
                </m:r>
              </m:sup>
            </m:sSup>
          </m:e>
        </m:nary>
      </m:oMath>
      <w:r w:rsidR="006E6199" w:rsidRPr="006E6199">
        <w:rPr>
          <w:iCs/>
        </w:rPr>
        <w:t xml:space="preserve">   </w:t>
      </w:r>
      <w:r w:rsidR="006E6199">
        <w:rPr>
          <w:iCs/>
        </w:rPr>
        <w:tab/>
        <w:t>(3)</w:t>
      </w:r>
    </w:p>
    <w:p w14:paraId="796C1066" w14:textId="77777777" w:rsidR="006E6199" w:rsidRPr="006E6199" w:rsidRDefault="006E6199" w:rsidP="006E6199">
      <w:pPr>
        <w:pStyle w:val="Equation"/>
        <w:rPr>
          <w:iCs/>
          <w:lang w:val="en-GB"/>
        </w:rPr>
      </w:pPr>
    </w:p>
    <w:p w14:paraId="78AD5155" w14:textId="39E2D5A8" w:rsidR="006E6199" w:rsidRDefault="006E6199" w:rsidP="006E6199">
      <w:pPr>
        <w:pStyle w:val="Equation"/>
      </w:pPr>
      <w:r>
        <w:tab/>
      </w:r>
      <m:oMath>
        <m:d>
          <m:dPr>
            <m:begChr m:val="|"/>
            <m:endChr m:val="|"/>
            <m:ctrlPr>
              <w:rPr>
                <w:rFonts w:ascii="Cambria Math" w:hAnsi="Cambria Math"/>
              </w:rPr>
            </m:ctrlPr>
          </m:dPr>
          <m:e>
            <m:r>
              <w:rPr>
                <w:rFonts w:ascii="Cambria Math" w:hAnsi="Cambria Math"/>
              </w:rPr>
              <m:t>E</m:t>
            </m:r>
          </m:e>
        </m:d>
        <m:r>
          <m:rPr>
            <m:lit/>
            <m:nor/>
          </m:rPr>
          <m:t>=</m:t>
        </m:r>
        <m:nary>
          <m:naryPr>
            <m:chr m:val="∑"/>
            <m:subHide m:val="1"/>
            <m:supHide m:val="1"/>
            <m:ctrlPr>
              <w:rPr>
                <w:rFonts w:ascii="Cambria Math" w:hAnsi="Cambria Math"/>
              </w:rPr>
            </m:ctrlPr>
          </m:naryPr>
          <m:sub/>
          <m:sup/>
          <m:e>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τ</m:t>
                        </m:r>
                      </m:e>
                      <m:sub>
                        <m:r>
                          <w:rPr>
                            <w:rFonts w:ascii="Cambria Math" w:hAnsi="Cambria Math"/>
                          </w:rPr>
                          <m:t>0</m:t>
                        </m:r>
                      </m:sub>
                    </m:sSub>
                    <m:r>
                      <m:rPr>
                        <m:lit/>
                        <m:nor/>
                      </m:rPr>
                      <m:t>+</m:t>
                    </m:r>
                    <m:r>
                      <w:rPr>
                        <w:rFonts w:ascii="Cambria Math" w:hAnsi="Cambria Math"/>
                      </w:rPr>
                      <m:t>K⋅</m:t>
                    </m:r>
                    <m:sSup>
                      <m:sSupPr>
                        <m:ctrlPr>
                          <w:rPr>
                            <w:rFonts w:ascii="Cambria Math" w:hAnsi="Cambria Math"/>
                          </w:rPr>
                        </m:ctrlPr>
                      </m:sSupPr>
                      <m:e>
                        <m:acc>
                          <m:accPr>
                            <m:chr m:val="˙"/>
                            <m:ctrlPr>
                              <w:rPr>
                                <w:rFonts w:ascii="Cambria Math" w:hAnsi="Cambria Math"/>
                              </w:rPr>
                            </m:ctrlPr>
                          </m:accPr>
                          <m:e>
                            <m:r>
                              <w:rPr>
                                <w:rFonts w:ascii="Cambria Math" w:hAnsi="Cambria Math"/>
                              </w:rPr>
                              <m:t>γ</m:t>
                            </m:r>
                          </m:e>
                        </m:acc>
                      </m:e>
                      <m:sup>
                        <m:r>
                          <w:rPr>
                            <w:rFonts w:ascii="Cambria Math" w:hAnsi="Cambria Math"/>
                          </w:rPr>
                          <m:t>n</m:t>
                        </m:r>
                      </m:sup>
                    </m:sSup>
                  </m:e>
                </m:d>
                <m:r>
                  <m:rPr>
                    <m:lit/>
                    <m:nor/>
                  </m:rPr>
                  <m:t>-</m:t>
                </m:r>
                <m:r>
                  <w:rPr>
                    <w:rFonts w:ascii="Cambria Math" w:hAnsi="Cambria Math"/>
                  </w:rPr>
                  <m:t>τ</m:t>
                </m:r>
              </m:e>
            </m:d>
          </m:e>
        </m:nary>
      </m:oMath>
      <w:r>
        <w:tab/>
        <w:t>(4)</w:t>
      </w:r>
    </w:p>
    <w:p w14:paraId="35CD3FDC" w14:textId="77777777" w:rsidR="006E6199" w:rsidRDefault="006E6199" w:rsidP="006E6199">
      <w:pPr>
        <w:pStyle w:val="Equation"/>
      </w:pPr>
    </w:p>
    <w:p w14:paraId="1A952074" w14:textId="031408E2" w:rsidR="006E6199" w:rsidRDefault="006E6199" w:rsidP="006E6199">
      <w:pPr>
        <w:pStyle w:val="Equation"/>
      </w:pPr>
      <w:r>
        <w:tab/>
      </w:r>
      <m:oMath>
        <m:sSub>
          <m:sSubPr>
            <m:ctrlPr>
              <w:rPr>
                <w:rFonts w:ascii="Cambria Math" w:hAnsi="Cambria Math"/>
              </w:rPr>
            </m:ctrlPr>
          </m:sSubPr>
          <m:e>
            <m:r>
              <w:rPr>
                <w:rFonts w:ascii="Cambria Math" w:hAnsi="Cambria Math"/>
              </w:rPr>
              <m:t>E</m:t>
            </m:r>
          </m:e>
          <m:sub>
            <m:r>
              <m:rPr>
                <m:lit/>
                <m:nor/>
              </m:rPr>
              <w:rPr>
                <w:rFonts w:ascii="Cambria Math" w:hAnsi="Cambria Math"/>
              </w:rPr>
              <m:t>%</m:t>
            </m:r>
          </m:sub>
        </m:sSub>
        <m:r>
          <m:rPr>
            <m:lit/>
            <m:nor/>
          </m:rPr>
          <w:rPr>
            <w:rFonts w:ascii="Cambria Math" w:hAnsi="Cambria Math"/>
          </w:rPr>
          <m:t>=</m:t>
        </m:r>
        <m:nary>
          <m:naryPr>
            <m:chr m:val="∑"/>
            <m:subHide m:val="1"/>
            <m:supHide m:val="1"/>
            <m:ctrlPr>
              <w:rPr>
                <w:rFonts w:ascii="Cambria Math" w:hAnsi="Cambria Math"/>
              </w:rPr>
            </m:ctrlPr>
          </m:naryPr>
          <m:sub/>
          <m:sup/>
          <m:e>
            <m:d>
              <m:dPr>
                <m:begChr m:val="|"/>
                <m:endChr m:val="|"/>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τ</m:t>
                            </m:r>
                          </m:e>
                          <m:sub>
                            <m:r>
                              <w:rPr>
                                <w:rFonts w:ascii="Cambria Math" w:hAnsi="Cambria Math"/>
                              </w:rPr>
                              <m:t>0</m:t>
                            </m:r>
                          </m:sub>
                        </m:sSub>
                        <m:r>
                          <m:rPr>
                            <m:lit/>
                            <m:nor/>
                          </m:rPr>
                          <w:rPr>
                            <w:rFonts w:ascii="Cambria Math" w:hAnsi="Cambria Math"/>
                          </w:rPr>
                          <m:t>+</m:t>
                        </m:r>
                        <m:r>
                          <w:rPr>
                            <w:rFonts w:ascii="Cambria Math" w:hAnsi="Cambria Math"/>
                          </w:rPr>
                          <m:t>K⋅</m:t>
                        </m:r>
                        <m:sSup>
                          <m:sSupPr>
                            <m:ctrlPr>
                              <w:rPr>
                                <w:rFonts w:ascii="Cambria Math" w:hAnsi="Cambria Math"/>
                              </w:rPr>
                            </m:ctrlPr>
                          </m:sSupPr>
                          <m:e>
                            <m:acc>
                              <m:accPr>
                                <m:chr m:val="˙"/>
                                <m:ctrlPr>
                                  <w:rPr>
                                    <w:rFonts w:ascii="Cambria Math" w:hAnsi="Cambria Math"/>
                                  </w:rPr>
                                </m:ctrlPr>
                              </m:accPr>
                              <m:e>
                                <m:r>
                                  <w:rPr>
                                    <w:rFonts w:ascii="Cambria Math" w:hAnsi="Cambria Math"/>
                                  </w:rPr>
                                  <m:t>γ</m:t>
                                </m:r>
                              </m:e>
                            </m:acc>
                          </m:e>
                          <m:sup>
                            <m:r>
                              <w:rPr>
                                <w:rFonts w:ascii="Cambria Math" w:hAnsi="Cambria Math"/>
                              </w:rPr>
                              <m:t>n</m:t>
                            </m:r>
                          </m:sup>
                        </m:sSup>
                      </m:e>
                    </m:d>
                    <m:r>
                      <m:rPr>
                        <m:lit/>
                        <m:nor/>
                      </m:rPr>
                      <w:rPr>
                        <w:rFonts w:ascii="Cambria Math" w:hAnsi="Cambria Math"/>
                      </w:rPr>
                      <m:t>-</m:t>
                    </m:r>
                    <m:r>
                      <w:rPr>
                        <w:rFonts w:ascii="Cambria Math" w:hAnsi="Cambria Math"/>
                      </w:rPr>
                      <m:t>τ</m:t>
                    </m:r>
                  </m:num>
                  <m:den>
                    <m:r>
                      <w:rPr>
                        <w:rFonts w:ascii="Cambria Math" w:hAnsi="Cambria Math"/>
                      </w:rPr>
                      <m:t>τ</m:t>
                    </m:r>
                  </m:den>
                </m:f>
              </m:e>
            </m:d>
          </m:e>
        </m:nary>
      </m:oMath>
      <w:r>
        <w:tab/>
        <w:t>(5)</w:t>
      </w:r>
    </w:p>
    <w:p w14:paraId="13DC55EC" w14:textId="77777777" w:rsidR="006E6199" w:rsidRDefault="006E6199" w:rsidP="006E6199">
      <w:pPr>
        <w:pStyle w:val="Equation"/>
      </w:pPr>
    </w:p>
    <w:p w14:paraId="4D2CA3A4" w14:textId="1184B032" w:rsidR="006E6199" w:rsidRDefault="006E6199" w:rsidP="006E6199">
      <w:pPr>
        <w:pStyle w:val="Equation"/>
        <w:rPr>
          <w:lang w:val="en-GB"/>
        </w:rPr>
      </w:pPr>
      <w:r>
        <w:tab/>
      </w:r>
      <m:oMath>
        <m:sSub>
          <m:sSubPr>
            <m:ctrlPr>
              <w:rPr>
                <w:rFonts w:ascii="Cambria Math" w:hAnsi="Cambria Math"/>
              </w:rPr>
            </m:ctrlPr>
          </m:sSubPr>
          <m:e>
            <m:r>
              <w:rPr>
                <w:rFonts w:ascii="Cambria Math" w:hAnsi="Cambria Math"/>
              </w:rPr>
              <m:t>E</m:t>
            </m:r>
          </m:e>
          <m:sub>
            <m:r>
              <w:rPr>
                <w:rFonts w:ascii="Cambria Math" w:hAnsi="Cambria Math"/>
              </w:rPr>
              <m:t>log</m:t>
            </m:r>
          </m:sub>
        </m:sSub>
        <m:r>
          <m:rPr>
            <m:lit/>
            <m:nor/>
          </m:rPr>
          <w:rPr>
            <w:rFonts w:ascii="Cambria Math" w:hAnsi="Cambria Math"/>
          </w:rPr>
          <m:t>=</m:t>
        </m:r>
        <m:nary>
          <m:naryPr>
            <m:chr m:val="∑"/>
            <m:subHide m:val="1"/>
            <m:supHide m:val="1"/>
            <m:ctrlPr>
              <w:rPr>
                <w:rFonts w:ascii="Cambria Math" w:hAnsi="Cambria Math"/>
              </w:rPr>
            </m:ctrlPr>
          </m:naryPr>
          <m:sub/>
          <m:sup/>
          <m:e>
            <m:sSup>
              <m:sSupPr>
                <m:ctrlPr>
                  <w:rPr>
                    <w:rFonts w:ascii="Cambria Math" w:hAnsi="Cambria Math"/>
                  </w:rPr>
                </m:ctrlPr>
              </m:sSupPr>
              <m:e>
                <m:d>
                  <m:dPr>
                    <m:begChr m:val="["/>
                    <m:endChr m:val="]"/>
                    <m:ctrlPr>
                      <w:rPr>
                        <w:rFonts w:ascii="Cambria Math" w:hAnsi="Cambria Math"/>
                      </w:rPr>
                    </m:ctrlPr>
                  </m:dPr>
                  <m:e>
                    <m:r>
                      <w:rPr>
                        <w:rFonts w:ascii="Cambria Math" w:hAnsi="Cambria Math"/>
                      </w:rPr>
                      <m:t>log</m:t>
                    </m:r>
                    <m:d>
                      <m:dPr>
                        <m:ctrlPr>
                          <w:rPr>
                            <w:rFonts w:ascii="Cambria Math" w:hAnsi="Cambria Math"/>
                          </w:rPr>
                        </m:ctrlPr>
                      </m:dPr>
                      <m:e>
                        <m:sSub>
                          <m:sSubPr>
                            <m:ctrlPr>
                              <w:rPr>
                                <w:rFonts w:ascii="Cambria Math" w:hAnsi="Cambria Math"/>
                              </w:rPr>
                            </m:ctrlPr>
                          </m:sSubPr>
                          <m:e>
                            <m:r>
                              <w:rPr>
                                <w:rFonts w:ascii="Cambria Math" w:hAnsi="Cambria Math"/>
                              </w:rPr>
                              <m:t>τ</m:t>
                            </m:r>
                          </m:e>
                          <m:sub>
                            <m:r>
                              <w:rPr>
                                <w:rFonts w:ascii="Cambria Math" w:hAnsi="Cambria Math"/>
                              </w:rPr>
                              <m:t>0</m:t>
                            </m:r>
                          </m:sub>
                        </m:sSub>
                        <m:r>
                          <m:rPr>
                            <m:lit/>
                            <m:nor/>
                          </m:rPr>
                          <w:rPr>
                            <w:rFonts w:ascii="Cambria Math" w:hAnsi="Cambria Math"/>
                          </w:rPr>
                          <m:t>+</m:t>
                        </m:r>
                        <m:r>
                          <w:rPr>
                            <w:rFonts w:ascii="Cambria Math" w:hAnsi="Cambria Math"/>
                          </w:rPr>
                          <m:t>K⋅</m:t>
                        </m:r>
                        <m:sSup>
                          <m:sSupPr>
                            <m:ctrlPr>
                              <w:rPr>
                                <w:rFonts w:ascii="Cambria Math" w:hAnsi="Cambria Math"/>
                              </w:rPr>
                            </m:ctrlPr>
                          </m:sSupPr>
                          <m:e>
                            <m:acc>
                              <m:accPr>
                                <m:chr m:val="˙"/>
                                <m:ctrlPr>
                                  <w:rPr>
                                    <w:rFonts w:ascii="Cambria Math" w:hAnsi="Cambria Math"/>
                                  </w:rPr>
                                </m:ctrlPr>
                              </m:accPr>
                              <m:e>
                                <m:r>
                                  <w:rPr>
                                    <w:rFonts w:ascii="Cambria Math" w:hAnsi="Cambria Math"/>
                                  </w:rPr>
                                  <m:t>γ</m:t>
                                </m:r>
                              </m:e>
                            </m:acc>
                          </m:e>
                          <m:sup>
                            <m:r>
                              <w:rPr>
                                <w:rFonts w:ascii="Cambria Math" w:hAnsi="Cambria Math"/>
                              </w:rPr>
                              <m:t>n</m:t>
                            </m:r>
                          </m:sup>
                        </m:sSup>
                      </m:e>
                    </m:d>
                    <m:r>
                      <m:rPr>
                        <m:lit/>
                        <m:nor/>
                      </m:rPr>
                      <w:rPr>
                        <w:rFonts w:ascii="Cambria Math" w:hAnsi="Cambria Math"/>
                      </w:rPr>
                      <m:t>-</m:t>
                    </m:r>
                    <m:r>
                      <w:rPr>
                        <w:rFonts w:ascii="Cambria Math" w:hAnsi="Cambria Math"/>
                      </w:rPr>
                      <m:t>log</m:t>
                    </m:r>
                    <m:d>
                      <m:dPr>
                        <m:ctrlPr>
                          <w:rPr>
                            <w:rFonts w:ascii="Cambria Math" w:hAnsi="Cambria Math"/>
                          </w:rPr>
                        </m:ctrlPr>
                      </m:dPr>
                      <m:e>
                        <m:r>
                          <w:rPr>
                            <w:rFonts w:ascii="Cambria Math" w:hAnsi="Cambria Math"/>
                          </w:rPr>
                          <m:t>τ</m:t>
                        </m:r>
                      </m:e>
                    </m:d>
                  </m:e>
                </m:d>
              </m:e>
              <m:sup>
                <m:r>
                  <w:rPr>
                    <w:rFonts w:ascii="Cambria Math" w:hAnsi="Cambria Math"/>
                  </w:rPr>
                  <m:t>2</m:t>
                </m:r>
              </m:sup>
            </m:sSup>
          </m:e>
        </m:nary>
      </m:oMath>
      <w:r>
        <w:tab/>
        <w:t>(6)</w:t>
      </w:r>
    </w:p>
    <w:p w14:paraId="2F285B01" w14:textId="2F44A01B" w:rsidR="00B33327" w:rsidRDefault="006E6199" w:rsidP="006E6199">
      <w:pPr>
        <w:pStyle w:val="TableCaption"/>
        <w:rPr>
          <w:lang w:val="en-GB"/>
        </w:rPr>
      </w:pPr>
      <w:r>
        <w:rPr>
          <w:b/>
        </w:rPr>
        <w:t xml:space="preserve">TABLE 1. </w:t>
      </w:r>
      <w:r>
        <w:t>Herschel-Bulkley Parameters at 25°C for Different Regression Method</w:t>
      </w:r>
    </w:p>
    <w:tbl>
      <w:tblPr>
        <w:tblW w:w="7656" w:type="dxa"/>
        <w:jc w:val="center"/>
        <w:tblLayout w:type="fixed"/>
        <w:tblLook w:val="0000" w:firstRow="0" w:lastRow="0" w:firstColumn="0" w:lastColumn="0" w:noHBand="0" w:noVBand="0"/>
      </w:tblPr>
      <w:tblGrid>
        <w:gridCol w:w="1277"/>
        <w:gridCol w:w="1275"/>
        <w:gridCol w:w="1277"/>
        <w:gridCol w:w="1276"/>
        <w:gridCol w:w="1275"/>
        <w:gridCol w:w="1276"/>
      </w:tblGrid>
      <w:tr w:rsidR="00B33327" w14:paraId="5210BB08" w14:textId="77777777" w:rsidTr="006E6199">
        <w:trPr>
          <w:cantSplit/>
          <w:trHeight w:val="382"/>
          <w:jc w:val="center"/>
        </w:trPr>
        <w:tc>
          <w:tcPr>
            <w:tcW w:w="1277" w:type="dxa"/>
            <w:tcBorders>
              <w:top w:val="single" w:sz="4" w:space="0" w:color="000000"/>
              <w:bottom w:val="single" w:sz="4" w:space="0" w:color="000000"/>
            </w:tcBorders>
            <w:vAlign w:val="center"/>
          </w:tcPr>
          <w:p w14:paraId="35291765" w14:textId="77777777" w:rsidR="00B33327" w:rsidRDefault="00000000">
            <w:pPr>
              <w:jc w:val="center"/>
              <w:rPr>
                <w:b/>
                <w:sz w:val="18"/>
                <w:szCs w:val="18"/>
              </w:rPr>
            </w:pPr>
            <w:r>
              <w:rPr>
                <w:b/>
                <w:sz w:val="18"/>
                <w:szCs w:val="18"/>
              </w:rPr>
              <w:t>Method</w:t>
            </w:r>
          </w:p>
        </w:tc>
        <w:tc>
          <w:tcPr>
            <w:tcW w:w="1275" w:type="dxa"/>
            <w:tcBorders>
              <w:top w:val="single" w:sz="4" w:space="0" w:color="000000"/>
              <w:bottom w:val="single" w:sz="4" w:space="0" w:color="000000"/>
            </w:tcBorders>
            <w:vAlign w:val="center"/>
          </w:tcPr>
          <w:p w14:paraId="047356A3" w14:textId="77777777" w:rsidR="00B33327" w:rsidRDefault="00000000">
            <w:pPr>
              <w:jc w:val="center"/>
              <w:rPr>
                <w:b/>
                <w:sz w:val="18"/>
                <w:szCs w:val="18"/>
              </w:rPr>
            </w:pPr>
            <m:oMath>
              <m:sSub>
                <m:sSubPr>
                  <m:ctrlPr>
                    <w:rPr>
                      <w:rFonts w:ascii="Cambria Math" w:hAnsi="Cambria Math"/>
                    </w:rPr>
                  </m:ctrlPr>
                </m:sSubPr>
                <m:e>
                  <m:r>
                    <w:rPr>
                      <w:rFonts w:ascii="Cambria Math" w:hAnsi="Cambria Math"/>
                    </w:rPr>
                    <m:t>τ</m:t>
                  </m:r>
                </m:e>
                <m:sub>
                  <m:r>
                    <w:rPr>
                      <w:rFonts w:ascii="Cambria Math" w:hAnsi="Cambria Math"/>
                    </w:rPr>
                    <m:t>0</m:t>
                  </m:r>
                </m:sub>
              </m:sSub>
            </m:oMath>
            <w:r>
              <w:rPr>
                <w:b/>
                <w:sz w:val="18"/>
                <w:szCs w:val="18"/>
              </w:rPr>
              <w:t xml:space="preserve"> [Pa]</w:t>
            </w:r>
          </w:p>
        </w:tc>
        <w:tc>
          <w:tcPr>
            <w:tcW w:w="1277" w:type="dxa"/>
            <w:tcBorders>
              <w:top w:val="single" w:sz="4" w:space="0" w:color="000000"/>
              <w:bottom w:val="single" w:sz="4" w:space="0" w:color="000000"/>
            </w:tcBorders>
            <w:vAlign w:val="center"/>
          </w:tcPr>
          <w:p w14:paraId="57CF4FA1" w14:textId="77777777" w:rsidR="00B33327" w:rsidRDefault="00000000">
            <w:pPr>
              <w:jc w:val="center"/>
              <w:rPr>
                <w:b/>
                <w:sz w:val="18"/>
                <w:szCs w:val="18"/>
              </w:rPr>
            </w:pPr>
            <m:oMath>
              <m:r>
                <w:rPr>
                  <w:rFonts w:ascii="Cambria Math" w:hAnsi="Cambria Math"/>
                </w:rPr>
                <m:t>K</m:t>
              </m:r>
            </m:oMath>
            <w:r>
              <w:rPr>
                <w:b/>
                <w:sz w:val="18"/>
                <w:szCs w:val="18"/>
              </w:rPr>
              <w:t xml:space="preserve"> [Pa·sⁿ]</w:t>
            </w:r>
          </w:p>
        </w:tc>
        <w:tc>
          <w:tcPr>
            <w:tcW w:w="1276" w:type="dxa"/>
            <w:tcBorders>
              <w:top w:val="single" w:sz="4" w:space="0" w:color="000000"/>
              <w:bottom w:val="single" w:sz="4" w:space="0" w:color="000000"/>
            </w:tcBorders>
            <w:vAlign w:val="center"/>
          </w:tcPr>
          <w:p w14:paraId="472EB7F8" w14:textId="77777777" w:rsidR="00B33327" w:rsidRDefault="00000000">
            <w:pPr>
              <w:jc w:val="center"/>
              <w:rPr>
                <w:b/>
                <w:sz w:val="18"/>
                <w:szCs w:val="18"/>
              </w:rPr>
            </w:pPr>
            <m:oMath>
              <m:r>
                <w:rPr>
                  <w:rFonts w:ascii="Cambria Math" w:hAnsi="Cambria Math"/>
                </w:rPr>
                <m:t>n</m:t>
              </m:r>
            </m:oMath>
            <w:r>
              <w:rPr>
                <w:b/>
                <w:iCs/>
                <w:sz w:val="18"/>
                <w:szCs w:val="18"/>
                <w:lang w:val="it-IT"/>
              </w:rPr>
              <w:t xml:space="preserve"> [-]</w:t>
            </w:r>
          </w:p>
        </w:tc>
        <w:tc>
          <w:tcPr>
            <w:tcW w:w="1275" w:type="dxa"/>
            <w:tcBorders>
              <w:top w:val="single" w:sz="4" w:space="0" w:color="000000"/>
              <w:bottom w:val="single" w:sz="4" w:space="0" w:color="000000"/>
            </w:tcBorders>
            <w:vAlign w:val="center"/>
          </w:tcPr>
          <w:p w14:paraId="66546ED2" w14:textId="77777777" w:rsidR="00B33327" w:rsidRDefault="00000000">
            <w:pPr>
              <w:jc w:val="center"/>
              <w:rPr>
                <w:b/>
                <w:sz w:val="18"/>
                <w:szCs w:val="18"/>
              </w:rPr>
            </w:pPr>
            <m:oMath>
              <m:sSup>
                <m:sSupPr>
                  <m:ctrlPr>
                    <w:rPr>
                      <w:rFonts w:ascii="Cambria Math" w:hAnsi="Cambria Math"/>
                    </w:rPr>
                  </m:ctrlPr>
                </m:sSupPr>
                <m:e>
                  <m:r>
                    <w:rPr>
                      <w:rFonts w:ascii="Cambria Math" w:hAnsi="Cambria Math"/>
                    </w:rPr>
                    <m:t>R</m:t>
                  </m:r>
                </m:e>
                <m:sup>
                  <m:r>
                    <w:rPr>
                      <w:rFonts w:ascii="Cambria Math" w:hAnsi="Cambria Math"/>
                    </w:rPr>
                    <m:t>2</m:t>
                  </m:r>
                </m:sup>
              </m:sSup>
            </m:oMath>
            <w:r>
              <w:rPr>
                <w:b/>
                <w:iCs/>
                <w:sz w:val="18"/>
                <w:szCs w:val="18"/>
                <w:lang w:val="it-IT"/>
              </w:rPr>
              <w:t xml:space="preserve"> [-]</w:t>
            </w:r>
          </w:p>
        </w:tc>
        <w:tc>
          <w:tcPr>
            <w:tcW w:w="1276" w:type="dxa"/>
            <w:tcBorders>
              <w:top w:val="single" w:sz="4" w:space="0" w:color="000000"/>
              <w:bottom w:val="single" w:sz="4" w:space="0" w:color="000000"/>
            </w:tcBorders>
            <w:vAlign w:val="center"/>
          </w:tcPr>
          <w:p w14:paraId="502C644D" w14:textId="77777777" w:rsidR="00B33327" w:rsidRDefault="00000000">
            <w:pPr>
              <w:jc w:val="center"/>
              <w:rPr>
                <w:b/>
                <w:sz w:val="18"/>
                <w:szCs w:val="18"/>
              </w:rPr>
            </w:pPr>
            <w:r>
              <w:rPr>
                <w:b/>
                <w:sz w:val="18"/>
                <w:szCs w:val="18"/>
              </w:rPr>
              <w:t>MAPE</w:t>
            </w:r>
          </w:p>
        </w:tc>
      </w:tr>
      <w:tr w:rsidR="00B33327" w14:paraId="11AA7D2A" w14:textId="77777777" w:rsidTr="006E6199">
        <w:trPr>
          <w:cantSplit/>
          <w:trHeight w:val="382"/>
          <w:jc w:val="center"/>
        </w:trPr>
        <w:tc>
          <w:tcPr>
            <w:tcW w:w="1277" w:type="dxa"/>
            <w:vAlign w:val="center"/>
          </w:tcPr>
          <w:p w14:paraId="66E412AC" w14:textId="77777777" w:rsidR="00B33327" w:rsidRDefault="00000000">
            <w:pPr>
              <w:pStyle w:val="Paragraph"/>
              <w:jc w:val="center"/>
              <w:rPr>
                <w:sz w:val="18"/>
                <w:szCs w:val="18"/>
              </w:rPr>
            </w:pPr>
            <m:oMathPara>
              <m:oMathParaPr>
                <m:jc m:val="center"/>
              </m:oMathParaPr>
              <m:oMath>
                <m:r>
                  <w:rPr>
                    <w:rFonts w:ascii="Cambria Math" w:hAnsi="Cambria Math"/>
                  </w:rPr>
                  <m:t>MSE</m:t>
                </m:r>
              </m:oMath>
            </m:oMathPara>
          </w:p>
        </w:tc>
        <w:tc>
          <w:tcPr>
            <w:tcW w:w="1275" w:type="dxa"/>
            <w:vAlign w:val="center"/>
          </w:tcPr>
          <w:p w14:paraId="56AD387C" w14:textId="77777777" w:rsidR="00B33327" w:rsidRDefault="00000000">
            <w:pPr>
              <w:jc w:val="center"/>
              <w:rPr>
                <w:sz w:val="18"/>
                <w:szCs w:val="18"/>
              </w:rPr>
            </w:pPr>
            <w:r>
              <w:rPr>
                <w:sz w:val="18"/>
                <w:szCs w:val="18"/>
              </w:rPr>
              <w:t>211</w:t>
            </w:r>
          </w:p>
        </w:tc>
        <w:tc>
          <w:tcPr>
            <w:tcW w:w="1277" w:type="dxa"/>
            <w:vAlign w:val="center"/>
          </w:tcPr>
          <w:p w14:paraId="4E5CCB62" w14:textId="77777777" w:rsidR="00B33327" w:rsidRDefault="00000000">
            <w:pPr>
              <w:jc w:val="center"/>
              <w:rPr>
                <w:sz w:val="18"/>
                <w:szCs w:val="18"/>
              </w:rPr>
            </w:pPr>
            <w:r>
              <w:rPr>
                <w:sz w:val="18"/>
                <w:szCs w:val="18"/>
              </w:rPr>
              <w:t>25.9</w:t>
            </w:r>
          </w:p>
        </w:tc>
        <w:tc>
          <w:tcPr>
            <w:tcW w:w="1276" w:type="dxa"/>
            <w:vAlign w:val="center"/>
          </w:tcPr>
          <w:p w14:paraId="58F33C60" w14:textId="77777777" w:rsidR="00B33327" w:rsidRDefault="00000000">
            <w:pPr>
              <w:jc w:val="center"/>
              <w:rPr>
                <w:sz w:val="18"/>
                <w:szCs w:val="18"/>
              </w:rPr>
            </w:pPr>
            <w:r>
              <w:rPr>
                <w:sz w:val="18"/>
                <w:szCs w:val="18"/>
              </w:rPr>
              <w:t>0.73</w:t>
            </w:r>
          </w:p>
        </w:tc>
        <w:tc>
          <w:tcPr>
            <w:tcW w:w="1275" w:type="dxa"/>
            <w:vAlign w:val="center"/>
          </w:tcPr>
          <w:p w14:paraId="06601D8C" w14:textId="77777777" w:rsidR="00B33327" w:rsidRDefault="00000000">
            <w:pPr>
              <w:jc w:val="center"/>
              <w:rPr>
                <w:sz w:val="18"/>
                <w:szCs w:val="18"/>
              </w:rPr>
            </w:pPr>
            <w:r>
              <w:rPr>
                <w:sz w:val="18"/>
                <w:szCs w:val="18"/>
              </w:rPr>
              <w:t>0.9988</w:t>
            </w:r>
          </w:p>
        </w:tc>
        <w:tc>
          <w:tcPr>
            <w:tcW w:w="1276" w:type="dxa"/>
            <w:vAlign w:val="center"/>
          </w:tcPr>
          <w:p w14:paraId="305A4233" w14:textId="77777777" w:rsidR="00B33327" w:rsidRDefault="00000000">
            <w:pPr>
              <w:jc w:val="center"/>
              <w:rPr>
                <w:sz w:val="18"/>
                <w:szCs w:val="18"/>
              </w:rPr>
            </w:pPr>
            <w:r>
              <w:rPr>
                <w:sz w:val="18"/>
                <w:szCs w:val="18"/>
              </w:rPr>
              <w:t>9.69</w:t>
            </w:r>
          </w:p>
        </w:tc>
      </w:tr>
      <w:tr w:rsidR="00B33327" w14:paraId="68FC4A31" w14:textId="77777777" w:rsidTr="006E6199">
        <w:trPr>
          <w:cantSplit/>
          <w:trHeight w:val="382"/>
          <w:jc w:val="center"/>
        </w:trPr>
        <w:tc>
          <w:tcPr>
            <w:tcW w:w="1277" w:type="dxa"/>
            <w:vAlign w:val="center"/>
          </w:tcPr>
          <w:p w14:paraId="5490778B" w14:textId="77777777" w:rsidR="00B33327" w:rsidRDefault="00000000">
            <w:pPr>
              <w:pStyle w:val="Paragraph"/>
              <w:jc w:val="center"/>
              <w:rPr>
                <w:sz w:val="18"/>
                <w:szCs w:val="18"/>
              </w:rPr>
            </w:pPr>
            <m:oMathPara>
              <m:oMathParaPr>
                <m:jc m:val="center"/>
              </m:oMathParaPr>
              <m:oMath>
                <m:d>
                  <m:dPr>
                    <m:begChr m:val="|"/>
                    <m:endChr m:val="|"/>
                    <m:ctrlPr>
                      <w:rPr>
                        <w:rFonts w:ascii="Cambria Math" w:hAnsi="Cambria Math"/>
                      </w:rPr>
                    </m:ctrlPr>
                  </m:dPr>
                  <m:e>
                    <m:r>
                      <w:rPr>
                        <w:rFonts w:ascii="Cambria Math" w:hAnsi="Cambria Math"/>
                      </w:rPr>
                      <m:t>E</m:t>
                    </m:r>
                  </m:e>
                </m:d>
              </m:oMath>
            </m:oMathPara>
          </w:p>
        </w:tc>
        <w:tc>
          <w:tcPr>
            <w:tcW w:w="1275" w:type="dxa"/>
            <w:vAlign w:val="center"/>
          </w:tcPr>
          <w:p w14:paraId="4546EDAE" w14:textId="77777777" w:rsidR="00B33327" w:rsidRDefault="00000000">
            <w:pPr>
              <w:jc w:val="center"/>
              <w:rPr>
                <w:sz w:val="18"/>
                <w:szCs w:val="18"/>
              </w:rPr>
            </w:pPr>
            <w:r>
              <w:rPr>
                <w:sz w:val="18"/>
                <w:szCs w:val="18"/>
              </w:rPr>
              <w:t>220</w:t>
            </w:r>
          </w:p>
        </w:tc>
        <w:tc>
          <w:tcPr>
            <w:tcW w:w="1277" w:type="dxa"/>
            <w:vAlign w:val="center"/>
          </w:tcPr>
          <w:p w14:paraId="4D19126A" w14:textId="77777777" w:rsidR="00B33327" w:rsidRDefault="00000000">
            <w:pPr>
              <w:jc w:val="center"/>
              <w:rPr>
                <w:sz w:val="18"/>
                <w:szCs w:val="18"/>
              </w:rPr>
            </w:pPr>
            <w:r>
              <w:rPr>
                <w:sz w:val="18"/>
                <w:szCs w:val="18"/>
              </w:rPr>
              <w:t>23.6</w:t>
            </w:r>
          </w:p>
        </w:tc>
        <w:tc>
          <w:tcPr>
            <w:tcW w:w="1276" w:type="dxa"/>
            <w:vAlign w:val="center"/>
          </w:tcPr>
          <w:p w14:paraId="55E43D0E" w14:textId="77777777" w:rsidR="00B33327" w:rsidRDefault="00000000">
            <w:pPr>
              <w:jc w:val="center"/>
              <w:rPr>
                <w:sz w:val="18"/>
                <w:szCs w:val="18"/>
              </w:rPr>
            </w:pPr>
            <w:r>
              <w:rPr>
                <w:sz w:val="18"/>
                <w:szCs w:val="18"/>
              </w:rPr>
              <w:t>0.75</w:t>
            </w:r>
          </w:p>
        </w:tc>
        <w:tc>
          <w:tcPr>
            <w:tcW w:w="1275" w:type="dxa"/>
            <w:vAlign w:val="center"/>
          </w:tcPr>
          <w:p w14:paraId="3007260B" w14:textId="77777777" w:rsidR="00B33327" w:rsidRDefault="00000000">
            <w:pPr>
              <w:jc w:val="center"/>
              <w:rPr>
                <w:sz w:val="18"/>
                <w:szCs w:val="18"/>
              </w:rPr>
            </w:pPr>
            <w:r>
              <w:rPr>
                <w:sz w:val="18"/>
                <w:szCs w:val="18"/>
              </w:rPr>
              <w:t>0.9988</w:t>
            </w:r>
          </w:p>
        </w:tc>
        <w:tc>
          <w:tcPr>
            <w:tcW w:w="1276" w:type="dxa"/>
            <w:vAlign w:val="center"/>
          </w:tcPr>
          <w:p w14:paraId="1D4B3350" w14:textId="77777777" w:rsidR="00B33327" w:rsidRDefault="00000000">
            <w:pPr>
              <w:jc w:val="center"/>
              <w:rPr>
                <w:sz w:val="18"/>
                <w:szCs w:val="18"/>
              </w:rPr>
            </w:pPr>
            <w:r>
              <w:rPr>
                <w:sz w:val="18"/>
                <w:szCs w:val="18"/>
              </w:rPr>
              <w:t>10.3</w:t>
            </w:r>
          </w:p>
        </w:tc>
      </w:tr>
      <w:tr w:rsidR="00B33327" w14:paraId="2D0383BB" w14:textId="77777777" w:rsidTr="006E6199">
        <w:trPr>
          <w:cantSplit/>
          <w:trHeight w:val="382"/>
          <w:jc w:val="center"/>
        </w:trPr>
        <w:tc>
          <w:tcPr>
            <w:tcW w:w="1277" w:type="dxa"/>
            <w:vAlign w:val="center"/>
          </w:tcPr>
          <w:p w14:paraId="31B73A9B" w14:textId="77777777" w:rsidR="00B33327" w:rsidRDefault="00000000">
            <w:pPr>
              <w:pStyle w:val="Paragraph"/>
              <w:jc w:val="center"/>
              <w:rPr>
                <w:sz w:val="18"/>
                <w:szCs w:val="18"/>
              </w:rPr>
            </w:pPr>
            <m:oMathPara>
              <m:oMathParaPr>
                <m:jc m:val="center"/>
              </m:oMathParaPr>
              <m:oMath>
                <m:sSub>
                  <m:sSubPr>
                    <m:ctrlPr>
                      <w:rPr>
                        <w:rFonts w:ascii="Cambria Math" w:hAnsi="Cambria Math"/>
                      </w:rPr>
                    </m:ctrlPr>
                  </m:sSubPr>
                  <m:e>
                    <m:r>
                      <w:rPr>
                        <w:rFonts w:ascii="Cambria Math" w:hAnsi="Cambria Math"/>
                      </w:rPr>
                      <m:t>E</m:t>
                    </m:r>
                  </m:e>
                  <m:sub>
                    <m:r>
                      <m:rPr>
                        <m:lit/>
                        <m:nor/>
                      </m:rPr>
                      <w:rPr>
                        <w:rFonts w:ascii="Cambria Math" w:hAnsi="Cambria Math"/>
                      </w:rPr>
                      <m:t>%</m:t>
                    </m:r>
                  </m:sub>
                </m:sSub>
              </m:oMath>
            </m:oMathPara>
          </w:p>
        </w:tc>
        <w:tc>
          <w:tcPr>
            <w:tcW w:w="1275" w:type="dxa"/>
            <w:vAlign w:val="center"/>
          </w:tcPr>
          <w:p w14:paraId="5D500900" w14:textId="77777777" w:rsidR="00B33327" w:rsidRDefault="00000000">
            <w:pPr>
              <w:jc w:val="center"/>
              <w:rPr>
                <w:sz w:val="18"/>
                <w:szCs w:val="18"/>
              </w:rPr>
            </w:pPr>
            <w:r>
              <w:rPr>
                <w:sz w:val="18"/>
                <w:szCs w:val="18"/>
              </w:rPr>
              <w:t>180</w:t>
            </w:r>
          </w:p>
        </w:tc>
        <w:tc>
          <w:tcPr>
            <w:tcW w:w="1277" w:type="dxa"/>
            <w:vAlign w:val="center"/>
          </w:tcPr>
          <w:p w14:paraId="627623C8" w14:textId="77777777" w:rsidR="00B33327" w:rsidRDefault="00000000">
            <w:pPr>
              <w:jc w:val="center"/>
              <w:rPr>
                <w:sz w:val="18"/>
                <w:szCs w:val="18"/>
              </w:rPr>
            </w:pPr>
            <w:r>
              <w:rPr>
                <w:sz w:val="18"/>
                <w:szCs w:val="18"/>
              </w:rPr>
              <w:t>48.9</w:t>
            </w:r>
          </w:p>
        </w:tc>
        <w:tc>
          <w:tcPr>
            <w:tcW w:w="1276" w:type="dxa"/>
            <w:vAlign w:val="center"/>
          </w:tcPr>
          <w:p w14:paraId="6947A73D" w14:textId="77777777" w:rsidR="00B33327" w:rsidRDefault="00000000">
            <w:pPr>
              <w:jc w:val="center"/>
              <w:rPr>
                <w:sz w:val="18"/>
                <w:szCs w:val="18"/>
              </w:rPr>
            </w:pPr>
            <w:r>
              <w:rPr>
                <w:sz w:val="18"/>
                <w:szCs w:val="18"/>
              </w:rPr>
              <w:t>0.62</w:t>
            </w:r>
          </w:p>
        </w:tc>
        <w:tc>
          <w:tcPr>
            <w:tcW w:w="1275" w:type="dxa"/>
            <w:vAlign w:val="center"/>
          </w:tcPr>
          <w:p w14:paraId="7CE7CB76" w14:textId="77777777" w:rsidR="00B33327" w:rsidRDefault="00000000">
            <w:pPr>
              <w:jc w:val="center"/>
              <w:rPr>
                <w:sz w:val="18"/>
                <w:szCs w:val="18"/>
              </w:rPr>
            </w:pPr>
            <w:r>
              <w:rPr>
                <w:sz w:val="18"/>
                <w:szCs w:val="18"/>
              </w:rPr>
              <w:t>0.9787</w:t>
            </w:r>
          </w:p>
        </w:tc>
        <w:tc>
          <w:tcPr>
            <w:tcW w:w="1276" w:type="dxa"/>
            <w:vAlign w:val="center"/>
          </w:tcPr>
          <w:p w14:paraId="63757B2E" w14:textId="77777777" w:rsidR="00B33327" w:rsidRDefault="00000000">
            <w:pPr>
              <w:jc w:val="center"/>
              <w:rPr>
                <w:sz w:val="18"/>
                <w:szCs w:val="18"/>
              </w:rPr>
            </w:pPr>
            <w:r>
              <w:rPr>
                <w:sz w:val="18"/>
                <w:szCs w:val="18"/>
              </w:rPr>
              <w:t>8.19</w:t>
            </w:r>
          </w:p>
        </w:tc>
      </w:tr>
      <w:tr w:rsidR="00B33327" w14:paraId="464775BB" w14:textId="77777777" w:rsidTr="006E6199">
        <w:trPr>
          <w:cantSplit/>
          <w:trHeight w:val="382"/>
          <w:jc w:val="center"/>
        </w:trPr>
        <w:tc>
          <w:tcPr>
            <w:tcW w:w="1277" w:type="dxa"/>
            <w:tcBorders>
              <w:bottom w:val="single" w:sz="4" w:space="0" w:color="000000"/>
            </w:tcBorders>
            <w:vAlign w:val="center"/>
          </w:tcPr>
          <w:p w14:paraId="7AE1659C" w14:textId="77777777" w:rsidR="00B33327" w:rsidRDefault="00000000">
            <w:pPr>
              <w:pStyle w:val="Paragraph"/>
              <w:jc w:val="center"/>
              <w:rPr>
                <w:sz w:val="18"/>
                <w:szCs w:val="18"/>
              </w:rPr>
            </w:pPr>
            <m:oMathPara>
              <m:oMathParaPr>
                <m:jc m:val="center"/>
              </m:oMathParaPr>
              <m:oMath>
                <m:sSub>
                  <m:sSubPr>
                    <m:ctrlPr>
                      <w:rPr>
                        <w:rFonts w:ascii="Cambria Math" w:hAnsi="Cambria Math"/>
                      </w:rPr>
                    </m:ctrlPr>
                  </m:sSubPr>
                  <m:e>
                    <m:r>
                      <w:rPr>
                        <w:rFonts w:ascii="Cambria Math" w:hAnsi="Cambria Math"/>
                      </w:rPr>
                      <m:t>E</m:t>
                    </m:r>
                  </m:e>
                  <m:sub>
                    <m:r>
                      <w:rPr>
                        <w:rFonts w:ascii="Cambria Math" w:hAnsi="Cambria Math"/>
                      </w:rPr>
                      <m:t>log</m:t>
                    </m:r>
                  </m:sub>
                </m:sSub>
              </m:oMath>
            </m:oMathPara>
          </w:p>
        </w:tc>
        <w:tc>
          <w:tcPr>
            <w:tcW w:w="1275" w:type="dxa"/>
            <w:tcBorders>
              <w:bottom w:val="single" w:sz="4" w:space="0" w:color="000000"/>
            </w:tcBorders>
            <w:vAlign w:val="center"/>
          </w:tcPr>
          <w:p w14:paraId="34041938" w14:textId="77777777" w:rsidR="00B33327" w:rsidRDefault="00000000">
            <w:pPr>
              <w:jc w:val="center"/>
              <w:rPr>
                <w:sz w:val="18"/>
                <w:szCs w:val="18"/>
              </w:rPr>
            </w:pPr>
            <w:r>
              <w:rPr>
                <w:sz w:val="18"/>
                <w:szCs w:val="18"/>
              </w:rPr>
              <w:t>160</w:t>
            </w:r>
          </w:p>
        </w:tc>
        <w:tc>
          <w:tcPr>
            <w:tcW w:w="1277" w:type="dxa"/>
            <w:tcBorders>
              <w:bottom w:val="single" w:sz="4" w:space="0" w:color="000000"/>
            </w:tcBorders>
            <w:vAlign w:val="center"/>
          </w:tcPr>
          <w:p w14:paraId="1C484373" w14:textId="77777777" w:rsidR="00B33327" w:rsidRDefault="00000000">
            <w:pPr>
              <w:jc w:val="center"/>
              <w:rPr>
                <w:sz w:val="18"/>
                <w:szCs w:val="18"/>
              </w:rPr>
            </w:pPr>
            <w:r>
              <w:rPr>
                <w:sz w:val="18"/>
                <w:szCs w:val="18"/>
              </w:rPr>
              <w:t>57.3</w:t>
            </w:r>
          </w:p>
        </w:tc>
        <w:tc>
          <w:tcPr>
            <w:tcW w:w="1276" w:type="dxa"/>
            <w:tcBorders>
              <w:bottom w:val="single" w:sz="4" w:space="0" w:color="000000"/>
            </w:tcBorders>
            <w:vAlign w:val="center"/>
          </w:tcPr>
          <w:p w14:paraId="1B505EE8" w14:textId="77777777" w:rsidR="00B33327" w:rsidRDefault="00000000">
            <w:pPr>
              <w:jc w:val="center"/>
              <w:rPr>
                <w:sz w:val="18"/>
                <w:szCs w:val="18"/>
              </w:rPr>
            </w:pPr>
            <w:r>
              <w:rPr>
                <w:sz w:val="18"/>
                <w:szCs w:val="18"/>
              </w:rPr>
              <w:t>0.60</w:t>
            </w:r>
          </w:p>
        </w:tc>
        <w:tc>
          <w:tcPr>
            <w:tcW w:w="1275" w:type="dxa"/>
            <w:tcBorders>
              <w:bottom w:val="single" w:sz="4" w:space="0" w:color="000000"/>
            </w:tcBorders>
            <w:vAlign w:val="center"/>
          </w:tcPr>
          <w:p w14:paraId="7555B2BC" w14:textId="77777777" w:rsidR="00B33327" w:rsidRDefault="00000000">
            <w:pPr>
              <w:jc w:val="center"/>
              <w:rPr>
                <w:sz w:val="18"/>
                <w:szCs w:val="18"/>
              </w:rPr>
            </w:pPr>
            <w:r>
              <w:rPr>
                <w:sz w:val="18"/>
                <w:szCs w:val="18"/>
              </w:rPr>
              <w:t>0.9810</w:t>
            </w:r>
          </w:p>
        </w:tc>
        <w:tc>
          <w:tcPr>
            <w:tcW w:w="1276" w:type="dxa"/>
            <w:tcBorders>
              <w:bottom w:val="single" w:sz="4" w:space="0" w:color="000000"/>
            </w:tcBorders>
            <w:vAlign w:val="center"/>
          </w:tcPr>
          <w:p w14:paraId="73B6C8EF" w14:textId="77777777" w:rsidR="00B33327" w:rsidRDefault="00000000">
            <w:pPr>
              <w:jc w:val="center"/>
              <w:rPr>
                <w:sz w:val="18"/>
                <w:szCs w:val="18"/>
              </w:rPr>
            </w:pPr>
            <w:r>
              <w:rPr>
                <w:sz w:val="18"/>
                <w:szCs w:val="18"/>
              </w:rPr>
              <w:t>8.72</w:t>
            </w:r>
          </w:p>
        </w:tc>
      </w:tr>
    </w:tbl>
    <w:p w14:paraId="75AF6B74" w14:textId="77777777" w:rsidR="00602094" w:rsidRDefault="00602094" w:rsidP="006E6199">
      <w:pPr>
        <w:pStyle w:val="TableCaption"/>
        <w:rPr>
          <w:b/>
        </w:rPr>
      </w:pPr>
    </w:p>
    <w:p w14:paraId="62E5D740" w14:textId="31C1DFB2" w:rsidR="006E6199" w:rsidRDefault="006E6199" w:rsidP="006E6199">
      <w:pPr>
        <w:pStyle w:val="TableCaption"/>
        <w:rPr>
          <w:lang w:val="it-IT"/>
        </w:rPr>
      </w:pPr>
      <w:r>
        <w:rPr>
          <w:b/>
        </w:rPr>
        <w:t xml:space="preserve">TABLE 2. </w:t>
      </w:r>
      <w:r>
        <w:t>Herschel-Bulkley Parameters at 80°C for Different Regression Method</w:t>
      </w:r>
    </w:p>
    <w:tbl>
      <w:tblPr>
        <w:tblW w:w="7656" w:type="dxa"/>
        <w:jc w:val="center"/>
        <w:tblLayout w:type="fixed"/>
        <w:tblLook w:val="0000" w:firstRow="0" w:lastRow="0" w:firstColumn="0" w:lastColumn="0" w:noHBand="0" w:noVBand="0"/>
      </w:tblPr>
      <w:tblGrid>
        <w:gridCol w:w="1277"/>
        <w:gridCol w:w="1275"/>
        <w:gridCol w:w="1277"/>
        <w:gridCol w:w="1276"/>
        <w:gridCol w:w="1275"/>
        <w:gridCol w:w="1276"/>
      </w:tblGrid>
      <w:tr w:rsidR="00B33327" w14:paraId="689D0850" w14:textId="77777777" w:rsidTr="006E6199">
        <w:trPr>
          <w:cantSplit/>
          <w:trHeight w:val="382"/>
          <w:jc w:val="center"/>
        </w:trPr>
        <w:tc>
          <w:tcPr>
            <w:tcW w:w="1277" w:type="dxa"/>
            <w:tcBorders>
              <w:top w:val="single" w:sz="4" w:space="0" w:color="000000"/>
              <w:bottom w:val="single" w:sz="4" w:space="0" w:color="000000"/>
            </w:tcBorders>
            <w:vAlign w:val="center"/>
          </w:tcPr>
          <w:p w14:paraId="09377BF9" w14:textId="77777777" w:rsidR="00B33327" w:rsidRDefault="00000000">
            <w:pPr>
              <w:jc w:val="center"/>
              <w:rPr>
                <w:b/>
                <w:sz w:val="18"/>
                <w:szCs w:val="18"/>
              </w:rPr>
            </w:pPr>
            <w:r>
              <w:rPr>
                <w:b/>
                <w:sz w:val="18"/>
                <w:szCs w:val="18"/>
              </w:rPr>
              <w:t>Method</w:t>
            </w:r>
          </w:p>
        </w:tc>
        <w:tc>
          <w:tcPr>
            <w:tcW w:w="1275" w:type="dxa"/>
            <w:tcBorders>
              <w:top w:val="single" w:sz="4" w:space="0" w:color="000000"/>
              <w:bottom w:val="single" w:sz="4" w:space="0" w:color="000000"/>
            </w:tcBorders>
            <w:vAlign w:val="center"/>
          </w:tcPr>
          <w:p w14:paraId="309BC61E" w14:textId="77777777" w:rsidR="00B33327" w:rsidRDefault="00000000">
            <w:pPr>
              <w:jc w:val="center"/>
              <w:rPr>
                <w:b/>
                <w:sz w:val="18"/>
                <w:szCs w:val="18"/>
              </w:rPr>
            </w:pPr>
            <m:oMath>
              <m:sSub>
                <m:sSubPr>
                  <m:ctrlPr>
                    <w:rPr>
                      <w:rFonts w:ascii="Cambria Math" w:hAnsi="Cambria Math"/>
                    </w:rPr>
                  </m:ctrlPr>
                </m:sSubPr>
                <m:e>
                  <m:r>
                    <w:rPr>
                      <w:rFonts w:ascii="Cambria Math" w:hAnsi="Cambria Math"/>
                    </w:rPr>
                    <m:t>τ</m:t>
                  </m:r>
                </m:e>
                <m:sub>
                  <m:r>
                    <w:rPr>
                      <w:rFonts w:ascii="Cambria Math" w:hAnsi="Cambria Math"/>
                    </w:rPr>
                    <m:t>0</m:t>
                  </m:r>
                </m:sub>
              </m:sSub>
            </m:oMath>
            <w:r>
              <w:rPr>
                <w:b/>
                <w:sz w:val="18"/>
                <w:szCs w:val="18"/>
              </w:rPr>
              <w:t xml:space="preserve"> [Pa]</w:t>
            </w:r>
          </w:p>
        </w:tc>
        <w:tc>
          <w:tcPr>
            <w:tcW w:w="1277" w:type="dxa"/>
            <w:tcBorders>
              <w:top w:val="single" w:sz="4" w:space="0" w:color="000000"/>
              <w:bottom w:val="single" w:sz="4" w:space="0" w:color="000000"/>
            </w:tcBorders>
            <w:vAlign w:val="center"/>
          </w:tcPr>
          <w:p w14:paraId="630C2B63" w14:textId="77777777" w:rsidR="00B33327" w:rsidRDefault="00000000">
            <w:pPr>
              <w:jc w:val="center"/>
              <w:rPr>
                <w:b/>
                <w:sz w:val="18"/>
                <w:szCs w:val="18"/>
              </w:rPr>
            </w:pPr>
            <m:oMath>
              <m:r>
                <w:rPr>
                  <w:rFonts w:ascii="Cambria Math" w:hAnsi="Cambria Math"/>
                </w:rPr>
                <m:t>K</m:t>
              </m:r>
            </m:oMath>
            <w:r>
              <w:rPr>
                <w:b/>
                <w:sz w:val="18"/>
                <w:szCs w:val="18"/>
              </w:rPr>
              <w:t xml:space="preserve"> [Pa·sⁿ]</w:t>
            </w:r>
          </w:p>
        </w:tc>
        <w:tc>
          <w:tcPr>
            <w:tcW w:w="1276" w:type="dxa"/>
            <w:tcBorders>
              <w:top w:val="single" w:sz="4" w:space="0" w:color="000000"/>
              <w:bottom w:val="single" w:sz="4" w:space="0" w:color="000000"/>
            </w:tcBorders>
            <w:vAlign w:val="center"/>
          </w:tcPr>
          <w:p w14:paraId="64E96189" w14:textId="77777777" w:rsidR="00B33327" w:rsidRDefault="00000000">
            <w:pPr>
              <w:jc w:val="center"/>
              <w:rPr>
                <w:b/>
                <w:sz w:val="18"/>
                <w:szCs w:val="18"/>
              </w:rPr>
            </w:pPr>
            <m:oMath>
              <m:r>
                <w:rPr>
                  <w:rFonts w:ascii="Cambria Math" w:hAnsi="Cambria Math"/>
                </w:rPr>
                <m:t>n</m:t>
              </m:r>
            </m:oMath>
            <w:r>
              <w:rPr>
                <w:b/>
                <w:iCs/>
                <w:sz w:val="18"/>
                <w:szCs w:val="18"/>
                <w:lang w:val="it-IT"/>
              </w:rPr>
              <w:t xml:space="preserve"> [-]</w:t>
            </w:r>
          </w:p>
        </w:tc>
        <w:tc>
          <w:tcPr>
            <w:tcW w:w="1275" w:type="dxa"/>
            <w:tcBorders>
              <w:top w:val="single" w:sz="4" w:space="0" w:color="000000"/>
              <w:bottom w:val="single" w:sz="4" w:space="0" w:color="000000"/>
            </w:tcBorders>
            <w:vAlign w:val="center"/>
          </w:tcPr>
          <w:p w14:paraId="684FA62D" w14:textId="77777777" w:rsidR="00B33327" w:rsidRDefault="00000000">
            <w:pPr>
              <w:jc w:val="center"/>
              <w:rPr>
                <w:b/>
                <w:sz w:val="18"/>
                <w:szCs w:val="18"/>
              </w:rPr>
            </w:pPr>
            <m:oMath>
              <m:sSup>
                <m:sSupPr>
                  <m:ctrlPr>
                    <w:rPr>
                      <w:rFonts w:ascii="Cambria Math" w:hAnsi="Cambria Math"/>
                    </w:rPr>
                  </m:ctrlPr>
                </m:sSupPr>
                <m:e>
                  <m:r>
                    <w:rPr>
                      <w:rFonts w:ascii="Cambria Math" w:hAnsi="Cambria Math"/>
                    </w:rPr>
                    <m:t>R</m:t>
                  </m:r>
                </m:e>
                <m:sup>
                  <m:r>
                    <w:rPr>
                      <w:rFonts w:ascii="Cambria Math" w:hAnsi="Cambria Math"/>
                    </w:rPr>
                    <m:t>2</m:t>
                  </m:r>
                </m:sup>
              </m:sSup>
            </m:oMath>
            <w:r>
              <w:rPr>
                <w:b/>
                <w:iCs/>
                <w:sz w:val="18"/>
                <w:szCs w:val="18"/>
                <w:lang w:val="it-IT"/>
              </w:rPr>
              <w:t xml:space="preserve"> [-]</w:t>
            </w:r>
          </w:p>
        </w:tc>
        <w:tc>
          <w:tcPr>
            <w:tcW w:w="1276" w:type="dxa"/>
            <w:tcBorders>
              <w:top w:val="single" w:sz="4" w:space="0" w:color="000000"/>
              <w:bottom w:val="single" w:sz="4" w:space="0" w:color="000000"/>
            </w:tcBorders>
            <w:vAlign w:val="center"/>
          </w:tcPr>
          <w:p w14:paraId="52A6EB48" w14:textId="77777777" w:rsidR="00B33327" w:rsidRDefault="00000000">
            <w:pPr>
              <w:jc w:val="center"/>
              <w:rPr>
                <w:b/>
                <w:sz w:val="18"/>
                <w:szCs w:val="18"/>
              </w:rPr>
            </w:pPr>
            <w:r>
              <w:rPr>
                <w:b/>
                <w:sz w:val="18"/>
                <w:szCs w:val="18"/>
              </w:rPr>
              <w:t>MAPE</w:t>
            </w:r>
          </w:p>
        </w:tc>
      </w:tr>
      <w:tr w:rsidR="00B33327" w14:paraId="0A9712DE" w14:textId="77777777" w:rsidTr="006E6199">
        <w:trPr>
          <w:cantSplit/>
          <w:trHeight w:val="382"/>
          <w:jc w:val="center"/>
        </w:trPr>
        <w:tc>
          <w:tcPr>
            <w:tcW w:w="1277" w:type="dxa"/>
            <w:vAlign w:val="center"/>
          </w:tcPr>
          <w:p w14:paraId="6B54D920" w14:textId="77777777" w:rsidR="00B33327" w:rsidRDefault="00000000">
            <w:pPr>
              <w:pStyle w:val="Paragraph"/>
              <w:jc w:val="center"/>
              <w:rPr>
                <w:sz w:val="18"/>
                <w:szCs w:val="18"/>
              </w:rPr>
            </w:pPr>
            <m:oMathPara>
              <m:oMathParaPr>
                <m:jc m:val="center"/>
              </m:oMathParaPr>
              <m:oMath>
                <m:r>
                  <w:rPr>
                    <w:rFonts w:ascii="Cambria Math" w:hAnsi="Cambria Math"/>
                  </w:rPr>
                  <m:t>MSE</m:t>
                </m:r>
              </m:oMath>
            </m:oMathPara>
          </w:p>
        </w:tc>
        <w:tc>
          <w:tcPr>
            <w:tcW w:w="1275" w:type="dxa"/>
            <w:vAlign w:val="center"/>
          </w:tcPr>
          <w:p w14:paraId="311A8854" w14:textId="77777777" w:rsidR="00B33327" w:rsidRDefault="00000000">
            <w:pPr>
              <w:jc w:val="center"/>
              <w:rPr>
                <w:sz w:val="18"/>
                <w:szCs w:val="18"/>
              </w:rPr>
            </w:pPr>
            <w:r>
              <w:rPr>
                <w:sz w:val="18"/>
                <w:szCs w:val="18"/>
              </w:rPr>
              <w:t>10.0</w:t>
            </w:r>
          </w:p>
        </w:tc>
        <w:tc>
          <w:tcPr>
            <w:tcW w:w="1277" w:type="dxa"/>
            <w:vAlign w:val="center"/>
          </w:tcPr>
          <w:p w14:paraId="61ECC0FA" w14:textId="77777777" w:rsidR="00B33327" w:rsidRDefault="00000000">
            <w:pPr>
              <w:jc w:val="center"/>
              <w:rPr>
                <w:sz w:val="18"/>
                <w:szCs w:val="18"/>
              </w:rPr>
            </w:pPr>
            <w:r>
              <w:rPr>
                <w:sz w:val="18"/>
                <w:szCs w:val="18"/>
              </w:rPr>
              <w:t>61.9</w:t>
            </w:r>
          </w:p>
        </w:tc>
        <w:tc>
          <w:tcPr>
            <w:tcW w:w="1276" w:type="dxa"/>
            <w:vAlign w:val="center"/>
          </w:tcPr>
          <w:p w14:paraId="52B41514" w14:textId="77777777" w:rsidR="00B33327" w:rsidRDefault="00000000">
            <w:pPr>
              <w:jc w:val="center"/>
              <w:rPr>
                <w:sz w:val="18"/>
                <w:szCs w:val="18"/>
              </w:rPr>
            </w:pPr>
            <w:r>
              <w:rPr>
                <w:sz w:val="18"/>
                <w:szCs w:val="18"/>
              </w:rPr>
              <w:t>0.27</w:t>
            </w:r>
          </w:p>
        </w:tc>
        <w:tc>
          <w:tcPr>
            <w:tcW w:w="1275" w:type="dxa"/>
            <w:vAlign w:val="center"/>
          </w:tcPr>
          <w:p w14:paraId="61998D6F" w14:textId="77777777" w:rsidR="00B33327" w:rsidRDefault="00000000">
            <w:pPr>
              <w:jc w:val="center"/>
              <w:rPr>
                <w:sz w:val="18"/>
                <w:szCs w:val="18"/>
              </w:rPr>
            </w:pPr>
            <w:r>
              <w:rPr>
                <w:sz w:val="18"/>
                <w:szCs w:val="18"/>
              </w:rPr>
              <w:t>0.9770</w:t>
            </w:r>
          </w:p>
        </w:tc>
        <w:tc>
          <w:tcPr>
            <w:tcW w:w="1276" w:type="dxa"/>
            <w:vAlign w:val="center"/>
          </w:tcPr>
          <w:p w14:paraId="5AD3CE1D" w14:textId="77777777" w:rsidR="00B33327" w:rsidRDefault="00000000">
            <w:pPr>
              <w:jc w:val="center"/>
              <w:rPr>
                <w:sz w:val="18"/>
                <w:szCs w:val="18"/>
              </w:rPr>
            </w:pPr>
            <w:r>
              <w:rPr>
                <w:sz w:val="18"/>
                <w:szCs w:val="18"/>
              </w:rPr>
              <w:t>16.9</w:t>
            </w:r>
          </w:p>
        </w:tc>
      </w:tr>
      <w:tr w:rsidR="00B33327" w14:paraId="707C0E83" w14:textId="77777777" w:rsidTr="006E6199">
        <w:trPr>
          <w:cantSplit/>
          <w:trHeight w:val="382"/>
          <w:jc w:val="center"/>
        </w:trPr>
        <w:tc>
          <w:tcPr>
            <w:tcW w:w="1277" w:type="dxa"/>
            <w:vAlign w:val="center"/>
          </w:tcPr>
          <w:p w14:paraId="60BB8A71" w14:textId="77777777" w:rsidR="00B33327" w:rsidRDefault="00000000">
            <w:pPr>
              <w:pStyle w:val="Paragraph"/>
              <w:jc w:val="center"/>
              <w:rPr>
                <w:sz w:val="18"/>
                <w:szCs w:val="18"/>
              </w:rPr>
            </w:pPr>
            <m:oMathPara>
              <m:oMathParaPr>
                <m:jc m:val="center"/>
              </m:oMathParaPr>
              <m:oMath>
                <m:d>
                  <m:dPr>
                    <m:begChr m:val="|"/>
                    <m:endChr m:val="|"/>
                    <m:ctrlPr>
                      <w:rPr>
                        <w:rFonts w:ascii="Cambria Math" w:hAnsi="Cambria Math"/>
                      </w:rPr>
                    </m:ctrlPr>
                  </m:dPr>
                  <m:e>
                    <m:r>
                      <w:rPr>
                        <w:rFonts w:ascii="Cambria Math" w:hAnsi="Cambria Math"/>
                      </w:rPr>
                      <m:t>E</m:t>
                    </m:r>
                  </m:e>
                </m:d>
              </m:oMath>
            </m:oMathPara>
          </w:p>
        </w:tc>
        <w:tc>
          <w:tcPr>
            <w:tcW w:w="1275" w:type="dxa"/>
            <w:vAlign w:val="center"/>
          </w:tcPr>
          <w:p w14:paraId="15BAE8F2" w14:textId="77777777" w:rsidR="00B33327" w:rsidRDefault="00000000">
            <w:pPr>
              <w:jc w:val="center"/>
              <w:rPr>
                <w:sz w:val="18"/>
                <w:szCs w:val="18"/>
              </w:rPr>
            </w:pPr>
            <w:r>
              <w:rPr>
                <w:sz w:val="18"/>
                <w:szCs w:val="18"/>
              </w:rPr>
              <w:t>10.2</w:t>
            </w:r>
          </w:p>
        </w:tc>
        <w:tc>
          <w:tcPr>
            <w:tcW w:w="1277" w:type="dxa"/>
            <w:vAlign w:val="center"/>
          </w:tcPr>
          <w:p w14:paraId="3E8741DD" w14:textId="77777777" w:rsidR="00B33327" w:rsidRDefault="00000000">
            <w:pPr>
              <w:jc w:val="center"/>
              <w:rPr>
                <w:sz w:val="18"/>
                <w:szCs w:val="18"/>
              </w:rPr>
            </w:pPr>
            <w:r>
              <w:rPr>
                <w:sz w:val="18"/>
                <w:szCs w:val="18"/>
              </w:rPr>
              <w:t>63.2</w:t>
            </w:r>
          </w:p>
        </w:tc>
        <w:tc>
          <w:tcPr>
            <w:tcW w:w="1276" w:type="dxa"/>
            <w:vAlign w:val="center"/>
          </w:tcPr>
          <w:p w14:paraId="65F68CBB" w14:textId="77777777" w:rsidR="00B33327" w:rsidRDefault="00000000">
            <w:pPr>
              <w:jc w:val="center"/>
              <w:rPr>
                <w:sz w:val="18"/>
                <w:szCs w:val="18"/>
              </w:rPr>
            </w:pPr>
            <w:r>
              <w:rPr>
                <w:sz w:val="18"/>
                <w:szCs w:val="18"/>
              </w:rPr>
              <w:t>0.27</w:t>
            </w:r>
          </w:p>
        </w:tc>
        <w:tc>
          <w:tcPr>
            <w:tcW w:w="1275" w:type="dxa"/>
            <w:vAlign w:val="center"/>
          </w:tcPr>
          <w:p w14:paraId="3E81CCC8" w14:textId="77777777" w:rsidR="00B33327" w:rsidRDefault="00000000">
            <w:pPr>
              <w:jc w:val="center"/>
              <w:rPr>
                <w:sz w:val="18"/>
                <w:szCs w:val="18"/>
              </w:rPr>
            </w:pPr>
            <w:r>
              <w:rPr>
                <w:sz w:val="18"/>
                <w:szCs w:val="18"/>
              </w:rPr>
              <w:t>0.9761</w:t>
            </w:r>
          </w:p>
        </w:tc>
        <w:tc>
          <w:tcPr>
            <w:tcW w:w="1276" w:type="dxa"/>
            <w:vAlign w:val="center"/>
          </w:tcPr>
          <w:p w14:paraId="1499EF3F" w14:textId="77777777" w:rsidR="00B33327" w:rsidRDefault="00000000">
            <w:pPr>
              <w:jc w:val="center"/>
              <w:rPr>
                <w:sz w:val="18"/>
                <w:szCs w:val="18"/>
              </w:rPr>
            </w:pPr>
            <w:r>
              <w:rPr>
                <w:sz w:val="18"/>
                <w:szCs w:val="18"/>
              </w:rPr>
              <w:t>17.3</w:t>
            </w:r>
          </w:p>
        </w:tc>
      </w:tr>
      <w:tr w:rsidR="00B33327" w14:paraId="4B43272E" w14:textId="77777777" w:rsidTr="006E6199">
        <w:trPr>
          <w:cantSplit/>
          <w:trHeight w:val="382"/>
          <w:jc w:val="center"/>
        </w:trPr>
        <w:tc>
          <w:tcPr>
            <w:tcW w:w="1277" w:type="dxa"/>
            <w:vAlign w:val="center"/>
          </w:tcPr>
          <w:p w14:paraId="6245B47E" w14:textId="77777777" w:rsidR="00B33327" w:rsidRDefault="00000000">
            <w:pPr>
              <w:pStyle w:val="Paragraph"/>
              <w:jc w:val="center"/>
              <w:rPr>
                <w:sz w:val="18"/>
                <w:szCs w:val="18"/>
              </w:rPr>
            </w:pPr>
            <m:oMathPara>
              <m:oMathParaPr>
                <m:jc m:val="center"/>
              </m:oMathParaPr>
              <m:oMath>
                <m:sSub>
                  <m:sSubPr>
                    <m:ctrlPr>
                      <w:rPr>
                        <w:rFonts w:ascii="Cambria Math" w:hAnsi="Cambria Math"/>
                      </w:rPr>
                    </m:ctrlPr>
                  </m:sSubPr>
                  <m:e>
                    <m:r>
                      <w:rPr>
                        <w:rFonts w:ascii="Cambria Math" w:hAnsi="Cambria Math"/>
                      </w:rPr>
                      <m:t>E</m:t>
                    </m:r>
                  </m:e>
                  <m:sub>
                    <m:r>
                      <m:rPr>
                        <m:lit/>
                        <m:nor/>
                      </m:rPr>
                      <w:rPr>
                        <w:rFonts w:ascii="Cambria Math" w:hAnsi="Cambria Math"/>
                      </w:rPr>
                      <m:t>%</m:t>
                    </m:r>
                  </m:sub>
                </m:sSub>
              </m:oMath>
            </m:oMathPara>
          </w:p>
        </w:tc>
        <w:tc>
          <w:tcPr>
            <w:tcW w:w="1275" w:type="dxa"/>
            <w:vAlign w:val="center"/>
          </w:tcPr>
          <w:p w14:paraId="272A3E2F" w14:textId="77777777" w:rsidR="00B33327" w:rsidRDefault="00000000">
            <w:pPr>
              <w:jc w:val="center"/>
              <w:rPr>
                <w:sz w:val="18"/>
                <w:szCs w:val="18"/>
              </w:rPr>
            </w:pPr>
            <w:r>
              <w:rPr>
                <w:sz w:val="18"/>
                <w:szCs w:val="18"/>
              </w:rPr>
              <w:t>12.8</w:t>
            </w:r>
          </w:p>
        </w:tc>
        <w:tc>
          <w:tcPr>
            <w:tcW w:w="1277" w:type="dxa"/>
            <w:vAlign w:val="center"/>
          </w:tcPr>
          <w:p w14:paraId="1AA066F2" w14:textId="77777777" w:rsidR="00B33327" w:rsidRDefault="00000000">
            <w:pPr>
              <w:jc w:val="center"/>
              <w:rPr>
                <w:sz w:val="18"/>
                <w:szCs w:val="18"/>
              </w:rPr>
            </w:pPr>
            <w:r>
              <w:rPr>
                <w:sz w:val="18"/>
                <w:szCs w:val="18"/>
              </w:rPr>
              <w:t>50.2</w:t>
            </w:r>
          </w:p>
        </w:tc>
        <w:tc>
          <w:tcPr>
            <w:tcW w:w="1276" w:type="dxa"/>
            <w:vAlign w:val="center"/>
          </w:tcPr>
          <w:p w14:paraId="169A0B89" w14:textId="77777777" w:rsidR="00B33327" w:rsidRDefault="00000000">
            <w:pPr>
              <w:jc w:val="center"/>
              <w:rPr>
                <w:sz w:val="18"/>
                <w:szCs w:val="18"/>
              </w:rPr>
            </w:pPr>
            <w:r>
              <w:rPr>
                <w:sz w:val="18"/>
                <w:szCs w:val="18"/>
              </w:rPr>
              <w:t>0.31</w:t>
            </w:r>
          </w:p>
        </w:tc>
        <w:tc>
          <w:tcPr>
            <w:tcW w:w="1275" w:type="dxa"/>
            <w:vAlign w:val="center"/>
          </w:tcPr>
          <w:p w14:paraId="2EB95466" w14:textId="77777777" w:rsidR="00B33327" w:rsidRDefault="00000000">
            <w:pPr>
              <w:jc w:val="center"/>
              <w:rPr>
                <w:sz w:val="18"/>
                <w:szCs w:val="18"/>
              </w:rPr>
            </w:pPr>
            <w:r>
              <w:rPr>
                <w:sz w:val="18"/>
                <w:szCs w:val="18"/>
              </w:rPr>
              <w:t>0.9699</w:t>
            </w:r>
          </w:p>
        </w:tc>
        <w:tc>
          <w:tcPr>
            <w:tcW w:w="1276" w:type="dxa"/>
            <w:vAlign w:val="center"/>
          </w:tcPr>
          <w:p w14:paraId="16E7876D" w14:textId="77777777" w:rsidR="00B33327" w:rsidRDefault="00000000">
            <w:pPr>
              <w:jc w:val="center"/>
              <w:rPr>
                <w:sz w:val="18"/>
                <w:szCs w:val="18"/>
              </w:rPr>
            </w:pPr>
            <w:r>
              <w:rPr>
                <w:sz w:val="18"/>
                <w:szCs w:val="18"/>
              </w:rPr>
              <w:t>15.6</w:t>
            </w:r>
          </w:p>
        </w:tc>
      </w:tr>
      <w:tr w:rsidR="00B33327" w14:paraId="6F4FA301" w14:textId="77777777" w:rsidTr="006E6199">
        <w:trPr>
          <w:cantSplit/>
          <w:trHeight w:val="382"/>
          <w:jc w:val="center"/>
        </w:trPr>
        <w:tc>
          <w:tcPr>
            <w:tcW w:w="1277" w:type="dxa"/>
            <w:tcBorders>
              <w:bottom w:val="single" w:sz="4" w:space="0" w:color="000000"/>
            </w:tcBorders>
            <w:vAlign w:val="center"/>
          </w:tcPr>
          <w:p w14:paraId="6A42ED98" w14:textId="77777777" w:rsidR="00B33327" w:rsidRDefault="00000000">
            <w:pPr>
              <w:pStyle w:val="Paragraph"/>
              <w:jc w:val="center"/>
              <w:rPr>
                <w:sz w:val="18"/>
                <w:szCs w:val="18"/>
              </w:rPr>
            </w:pPr>
            <m:oMathPara>
              <m:oMathParaPr>
                <m:jc m:val="center"/>
              </m:oMathParaPr>
              <m:oMath>
                <m:sSub>
                  <m:sSubPr>
                    <m:ctrlPr>
                      <w:rPr>
                        <w:rFonts w:ascii="Cambria Math" w:hAnsi="Cambria Math"/>
                      </w:rPr>
                    </m:ctrlPr>
                  </m:sSubPr>
                  <m:e>
                    <m:r>
                      <w:rPr>
                        <w:rFonts w:ascii="Cambria Math" w:hAnsi="Cambria Math"/>
                      </w:rPr>
                      <m:t>E</m:t>
                    </m:r>
                  </m:e>
                  <m:sub>
                    <m:r>
                      <w:rPr>
                        <w:rFonts w:ascii="Cambria Math" w:hAnsi="Cambria Math"/>
                      </w:rPr>
                      <m:t>log</m:t>
                    </m:r>
                  </m:sub>
                </m:sSub>
              </m:oMath>
            </m:oMathPara>
          </w:p>
        </w:tc>
        <w:tc>
          <w:tcPr>
            <w:tcW w:w="1275" w:type="dxa"/>
            <w:tcBorders>
              <w:bottom w:val="single" w:sz="4" w:space="0" w:color="000000"/>
            </w:tcBorders>
            <w:vAlign w:val="center"/>
          </w:tcPr>
          <w:p w14:paraId="24A1D0EA" w14:textId="77777777" w:rsidR="00B33327" w:rsidRDefault="00000000">
            <w:pPr>
              <w:jc w:val="center"/>
              <w:rPr>
                <w:sz w:val="18"/>
                <w:szCs w:val="18"/>
              </w:rPr>
            </w:pPr>
            <w:r>
              <w:rPr>
                <w:sz w:val="18"/>
                <w:szCs w:val="18"/>
              </w:rPr>
              <w:t>10.7</w:t>
            </w:r>
          </w:p>
        </w:tc>
        <w:tc>
          <w:tcPr>
            <w:tcW w:w="1277" w:type="dxa"/>
            <w:tcBorders>
              <w:bottom w:val="single" w:sz="4" w:space="0" w:color="000000"/>
            </w:tcBorders>
            <w:vAlign w:val="center"/>
          </w:tcPr>
          <w:p w14:paraId="6ED85BAD" w14:textId="77777777" w:rsidR="00B33327" w:rsidRDefault="00000000">
            <w:pPr>
              <w:jc w:val="center"/>
              <w:rPr>
                <w:sz w:val="18"/>
                <w:szCs w:val="18"/>
              </w:rPr>
            </w:pPr>
            <w:r>
              <w:rPr>
                <w:sz w:val="18"/>
                <w:szCs w:val="18"/>
              </w:rPr>
              <w:t>55.4</w:t>
            </w:r>
          </w:p>
        </w:tc>
        <w:tc>
          <w:tcPr>
            <w:tcW w:w="1276" w:type="dxa"/>
            <w:tcBorders>
              <w:bottom w:val="single" w:sz="4" w:space="0" w:color="000000"/>
            </w:tcBorders>
            <w:vAlign w:val="center"/>
          </w:tcPr>
          <w:p w14:paraId="7D41DE4D" w14:textId="77777777" w:rsidR="00B33327" w:rsidRDefault="00000000">
            <w:pPr>
              <w:jc w:val="center"/>
              <w:rPr>
                <w:sz w:val="18"/>
                <w:szCs w:val="18"/>
              </w:rPr>
            </w:pPr>
            <w:r>
              <w:rPr>
                <w:sz w:val="18"/>
                <w:szCs w:val="18"/>
              </w:rPr>
              <w:t>0.30</w:t>
            </w:r>
          </w:p>
        </w:tc>
        <w:tc>
          <w:tcPr>
            <w:tcW w:w="1275" w:type="dxa"/>
            <w:tcBorders>
              <w:bottom w:val="single" w:sz="4" w:space="0" w:color="000000"/>
            </w:tcBorders>
            <w:vAlign w:val="center"/>
          </w:tcPr>
          <w:p w14:paraId="62FA23E3" w14:textId="77777777" w:rsidR="00B33327" w:rsidRDefault="00000000">
            <w:pPr>
              <w:jc w:val="center"/>
              <w:rPr>
                <w:sz w:val="18"/>
                <w:szCs w:val="18"/>
              </w:rPr>
            </w:pPr>
            <w:r>
              <w:rPr>
                <w:sz w:val="18"/>
                <w:szCs w:val="18"/>
              </w:rPr>
              <w:t>0.9718</w:t>
            </w:r>
          </w:p>
        </w:tc>
        <w:tc>
          <w:tcPr>
            <w:tcW w:w="1276" w:type="dxa"/>
            <w:tcBorders>
              <w:bottom w:val="single" w:sz="4" w:space="0" w:color="000000"/>
            </w:tcBorders>
            <w:vAlign w:val="center"/>
          </w:tcPr>
          <w:p w14:paraId="313F954E" w14:textId="77777777" w:rsidR="00B33327" w:rsidRDefault="00000000">
            <w:pPr>
              <w:jc w:val="center"/>
              <w:rPr>
                <w:sz w:val="18"/>
                <w:szCs w:val="18"/>
              </w:rPr>
            </w:pPr>
            <w:r>
              <w:rPr>
                <w:sz w:val="18"/>
                <w:szCs w:val="18"/>
              </w:rPr>
              <w:t>15.9</w:t>
            </w:r>
          </w:p>
        </w:tc>
      </w:tr>
    </w:tbl>
    <w:p w14:paraId="305A1633" w14:textId="77777777" w:rsidR="00B33327" w:rsidRDefault="00000000">
      <w:pPr>
        <w:pStyle w:val="berschrift1"/>
        <w:rPr>
          <w:lang w:val="it-IT"/>
        </w:rPr>
      </w:pPr>
      <w:r>
        <w:rPr>
          <w:lang w:val="it-IT"/>
        </w:rPr>
        <w:t>CFD Modeling</w:t>
      </w:r>
    </w:p>
    <w:p w14:paraId="0B127540" w14:textId="77777777" w:rsidR="00B33327" w:rsidRDefault="00000000">
      <w:pPr>
        <w:pStyle w:val="Paragraph"/>
        <w:rPr>
          <w:lang w:val="en-GB"/>
        </w:rPr>
      </w:pPr>
      <w:r>
        <w:rPr>
          <w:lang w:val="en-GB"/>
        </w:rPr>
        <w:t xml:space="preserve">The CFD modeling of both the Cone-on-Plate and Plate-on-Plate configurations, at gap heights of H = 0.5 [mm] and H = 1.0 [mm], was performed using the open-source finite volume software OpenFOAM®. In total, six models were developed, combining three geometries with two operating temperatures. Each model was simulated under the angular velocities as those employed in the experimental campaign, providing as outputs not only the torque exerted by the grease on the rotating surface of the rheometer but also the full distribution of pressure, velocity, shear rate, and other relevant fields within the computational domain. Fluid properties were defined according to the calibration data obtained for the two temperatures under investigation. </w:t>
      </w:r>
      <w:r>
        <w:t xml:space="preserve">Regarding the viscosity at zero shear rate, this parameter was set to 10,000 [Pa·s] </w:t>
      </w:r>
      <w:proofErr w:type="gramStart"/>
      <w:r>
        <w:t>in order to</w:t>
      </w:r>
      <w:proofErr w:type="gramEnd"/>
      <w:r>
        <w:t xml:space="preserve"> ensure that the Herschel–Bulkley model was effectively applied across the entire domain. With this value, it can be readily verified that for shear rates higher than </w:t>
      </w:r>
      <m:oMath>
        <m:sSup>
          <m:sSupPr>
            <m:ctrlPr>
              <w:rPr>
                <w:rFonts w:ascii="Cambria Math" w:hAnsi="Cambria Math"/>
              </w:rPr>
            </m:ctrlPr>
          </m:sSupPr>
          <m:e>
            <m:r>
              <w:rPr>
                <w:rFonts w:ascii="Cambria Math" w:hAnsi="Cambria Math"/>
              </w:rPr>
              <m:t>10</m:t>
            </m:r>
          </m:e>
          <m:sup>
            <m:r>
              <m:rPr>
                <m:lit/>
                <m:nor/>
              </m:rPr>
              <w:rPr>
                <w:rFonts w:ascii="Cambria Math" w:hAnsi="Cambria Math"/>
              </w:rPr>
              <m:t>-</m:t>
            </m:r>
            <m:r>
              <w:rPr>
                <w:rFonts w:ascii="Cambria Math" w:hAnsi="Cambria Math"/>
              </w:rPr>
              <m:t>2</m:t>
            </m:r>
          </m:sup>
        </m:sSup>
        <m:r>
          <m:rPr>
            <m:lit/>
            <m:nor/>
          </m:rPr>
          <w:rPr>
            <w:rFonts w:ascii="Cambria Math" w:hAnsi="Cambria Math"/>
          </w:rPr>
          <m:t xml:space="preserve"> </m:t>
        </m:r>
        <m:d>
          <m:dPr>
            <m:begChr m:val="["/>
            <m:endChr m:val="]"/>
            <m:ctrlPr>
              <w:rPr>
                <w:rFonts w:ascii="Cambria Math" w:hAnsi="Cambria Math"/>
              </w:rPr>
            </m:ctrlPr>
          </m:dPr>
          <m:e>
            <m:sSup>
              <m:sSupPr>
                <m:ctrlPr>
                  <w:rPr>
                    <w:rFonts w:ascii="Cambria Math" w:hAnsi="Cambria Math"/>
                  </w:rPr>
                </m:ctrlPr>
              </m:sSupPr>
              <m:e>
                <m:r>
                  <w:rPr>
                    <w:rFonts w:ascii="Cambria Math" w:hAnsi="Cambria Math"/>
                  </w:rPr>
                  <m:t>s</m:t>
                </m:r>
              </m:e>
              <m:sup>
                <m:r>
                  <m:rPr>
                    <m:lit/>
                    <m:nor/>
                  </m:rPr>
                  <w:rPr>
                    <w:rFonts w:ascii="Cambria Math" w:hAnsi="Cambria Math"/>
                  </w:rPr>
                  <m:t>-</m:t>
                </m:r>
                <m:r>
                  <w:rPr>
                    <w:rFonts w:ascii="Cambria Math" w:hAnsi="Cambria Math"/>
                  </w:rPr>
                  <m:t>1</m:t>
                </m:r>
              </m:sup>
            </m:sSup>
          </m:e>
        </m:d>
      </m:oMath>
      <w:r>
        <w:t xml:space="preserve">, the Herschel–Bulkley model predicts lower viscosities since the viscosity calculated via the Herschel–Bulkley is always lower then </w:t>
      </w:r>
      <m:oMath>
        <m:sSub>
          <m:sSubPr>
            <m:ctrlPr>
              <w:rPr>
                <w:rFonts w:ascii="Cambria Math" w:hAnsi="Cambria Math"/>
              </w:rPr>
            </m:ctrlPr>
          </m:sSubPr>
          <m:e>
            <m:r>
              <w:rPr>
                <w:rFonts w:ascii="Cambria Math" w:hAnsi="Cambria Math"/>
              </w:rPr>
              <m:t>μ</m:t>
            </m:r>
          </m:e>
          <m:sub>
            <m:r>
              <w:rPr>
                <w:rFonts w:ascii="Cambria Math" w:hAnsi="Cambria Math"/>
              </w:rPr>
              <m:t>0</m:t>
            </m:r>
          </m:sub>
        </m:sSub>
      </m:oMath>
      <w:r>
        <w:t xml:space="preserve"> in the modeled volume.</w:t>
      </w:r>
    </w:p>
    <w:p w14:paraId="5E28E01B" w14:textId="1ADE8DD8" w:rsidR="00B33327" w:rsidRDefault="00000000">
      <w:pPr>
        <w:pStyle w:val="Paragraph"/>
        <w:rPr>
          <w:lang w:val="en-GB"/>
        </w:rPr>
      </w:pPr>
      <w:r>
        <w:rPr>
          <w:lang w:val="en-GB"/>
        </w:rPr>
        <w:t xml:space="preserve">To reduce computational effort while preserving accuracy, the domain was modeled as a 2° sector, exploiting the cyclic symmetry of the system. A small central portion was removed to avoid the use of triangular elements, a simplification justified by its negligible influence on the resulting torque. The modeled domain included both the volume beneath the rotating element and an external region, thus accounting for the realistic grease behavior near </w:t>
      </w:r>
      <w:r>
        <w:rPr>
          <w:lang w:val="en-GB"/>
        </w:rPr>
        <w:lastRenderedPageBreak/>
        <w:t>the instrument’s edge (Fig</w:t>
      </w:r>
      <w:r w:rsidR="00444FC7">
        <w:rPr>
          <w:lang w:val="en-GB"/>
        </w:rPr>
        <w:t>.</w:t>
      </w:r>
      <w:r>
        <w:rPr>
          <w:lang w:val="en-GB"/>
        </w:rPr>
        <w:t xml:space="preserve"> 3). This strategy also enabled the use of a two-phase (grease–air) solver, which offers two main advantages: first, it allows validation of a solver that can later be extended to practical cases, e.g. bearings, where grease is often studied in the presence of air; second, it improves the accuracy of flow predictions near the rheometer boundaries.</w:t>
      </w:r>
    </w:p>
    <w:p w14:paraId="612A4D10" w14:textId="77777777" w:rsidR="00B33327" w:rsidRDefault="00000000">
      <w:pPr>
        <w:pStyle w:val="Paragraph"/>
        <w:rPr>
          <w:lang w:val="en-GB"/>
        </w:rPr>
      </w:pPr>
      <w:r>
        <w:rPr>
          <w:lang w:val="en-GB"/>
        </w:rPr>
        <w:t>All computational grids were composed exclusively of hexahedral cells. Mesh quality was ensured by checking an aspect ratio below 6, a maximum skewness lower than 0.65, and a maximum non-orthogonality below 33. The cell count was determined through mesh sensitivity analyses. In the Cone-on-Plate model, the grid consisted of 5,175 cells, including 10 cells across the grease thickness and three cells in the angular discretization. For the Plate-on-Plate configuration, 29,795 cells were used for H = 0.5 [mm] and 65,180 cells for H =1.0 [mm], with angular discretization of five cells in both cases. The grease layer was modeled with consistent element sizes, resulting in 15 cells for the smaller gap and 30 cells for the larger one.</w:t>
      </w:r>
    </w:p>
    <w:p w14:paraId="2EDB562D" w14:textId="77777777" w:rsidR="00B33327" w:rsidRDefault="00B33327">
      <w:pPr>
        <w:pStyle w:val="Paragraph"/>
        <w:rPr>
          <w:lang w:val="en-GB"/>
        </w:rPr>
      </w:pPr>
    </w:p>
    <w:p w14:paraId="2F85BD63" w14:textId="77777777" w:rsidR="00B33327" w:rsidRDefault="00000000" w:rsidP="006E6199">
      <w:pPr>
        <w:pStyle w:val="Figure"/>
        <w:rPr>
          <w:lang w:val="en-GB"/>
        </w:rPr>
      </w:pPr>
      <w:r>
        <w:rPr>
          <w:noProof/>
        </w:rPr>
        <w:drawing>
          <wp:inline distT="0" distB="0" distL="0" distR="0" wp14:anchorId="3DE5A380" wp14:editId="2DBE2E55">
            <wp:extent cx="5084445" cy="2759075"/>
            <wp:effectExtent l="0" t="0" r="0" b="0"/>
            <wp:docPr id="4" name="Picture 1" descr="A different types of plaid fabr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different types of plaid fabric&#10;&#10;AI-generated content may be incorrect."/>
                    <pic:cNvPicPr>
                      <a:picLocks noChangeAspect="1" noChangeArrowheads="1"/>
                    </pic:cNvPicPr>
                  </pic:nvPicPr>
                  <pic:blipFill>
                    <a:blip r:embed="rId14"/>
                    <a:stretch>
                      <a:fillRect/>
                    </a:stretch>
                  </pic:blipFill>
                  <pic:spPr bwMode="auto">
                    <a:xfrm>
                      <a:off x="0" y="0"/>
                      <a:ext cx="5084445" cy="2759075"/>
                    </a:xfrm>
                    <a:prstGeom prst="rect">
                      <a:avLst/>
                    </a:prstGeom>
                  </pic:spPr>
                </pic:pic>
              </a:graphicData>
            </a:graphic>
          </wp:inline>
        </w:drawing>
      </w:r>
    </w:p>
    <w:p w14:paraId="1DD03EC1" w14:textId="77777777" w:rsidR="00B33327" w:rsidRDefault="00000000" w:rsidP="006E6199">
      <w:pPr>
        <w:pStyle w:val="FigureCaption"/>
        <w:rPr>
          <w:lang w:val="en-GB"/>
        </w:rPr>
      </w:pPr>
      <w:r>
        <w:rPr>
          <w:b/>
          <w:caps/>
        </w:rPr>
        <w:t>Figure 3.</w:t>
      </w:r>
      <w:r>
        <w:t xml:space="preserve"> Mesh and Initial Conditions (red = grease, blue = air) of the Computational Domain</w:t>
      </w:r>
    </w:p>
    <w:p w14:paraId="5904376C" w14:textId="77777777" w:rsidR="00B33327" w:rsidRDefault="00B33327">
      <w:pPr>
        <w:pStyle w:val="Paragraph"/>
        <w:rPr>
          <w:lang w:val="en-GB"/>
        </w:rPr>
      </w:pPr>
    </w:p>
    <w:p w14:paraId="11CF04C0" w14:textId="46E300F4" w:rsidR="00B33327" w:rsidRDefault="00000000">
      <w:pPr>
        <w:pStyle w:val="Paragraph"/>
        <w:rPr>
          <w:lang w:val="en-GB"/>
        </w:rPr>
      </w:pPr>
      <w:r>
        <w:rPr>
          <w:lang w:val="en-GB"/>
        </w:rPr>
        <w:t>Boundary conditions included cyclic symmetry on the lateral sides, a prescribed rotational velocity on the moving surfaces, and a no-slip condition on the stationary plates (Fig</w:t>
      </w:r>
      <w:r w:rsidR="00444FC7">
        <w:rPr>
          <w:lang w:val="en-GB"/>
        </w:rPr>
        <w:t>.</w:t>
      </w:r>
      <w:r>
        <w:rPr>
          <w:lang w:val="en-GB"/>
        </w:rPr>
        <w:t xml:space="preserve"> 4). At the outer boundary, atmospheric pressure was imposed, allowing for fluids inlet and outlet. The initial phase distribution was set according to the experimental observations. The torque acting on the upper cylindrical surface was not included in the post-processing.</w:t>
      </w:r>
    </w:p>
    <w:p w14:paraId="4DF5FD69" w14:textId="77777777" w:rsidR="00B33327" w:rsidRDefault="00000000">
      <w:pPr>
        <w:pStyle w:val="Paragraph"/>
        <w:rPr>
          <w:lang w:val="en-GB"/>
        </w:rPr>
      </w:pPr>
      <w:r>
        <w:rPr>
          <w:lang w:val="en-GB"/>
        </w:rPr>
        <w:t>The two-phase solver was defined as incompressible, due to the low velocities and forces involved, and laminar, as the high viscosity of the grease dominated over inertial effects. The system was treated as isothermal, with temperature controlled externally by the rheometer, and transient, to enable application to future simulations of bearing geometries. Although a steady-state solver could have been employed, it was deemed less useful for subsequent studies. The governing equations—continuity, momentum conservation, and volume fraction transport—were solved within this framework.</w:t>
      </w:r>
    </w:p>
    <w:p w14:paraId="71077FCE" w14:textId="77777777" w:rsidR="00B33327" w:rsidRDefault="00000000">
      <w:pPr>
        <w:pStyle w:val="Paragraph"/>
        <w:rPr>
          <w:lang w:val="en-GB"/>
        </w:rPr>
      </w:pPr>
      <w:r>
        <w:rPr>
          <w:lang w:val="en-GB"/>
        </w:rPr>
        <w:t>Simulations were conducted under the same operating conditions as in the experimental campaign. A variable time step was adopted, with the Courant number limited to 0.5 to ensure both high computational efficiency and numerical stability. Convergence was considered achieved either after 10 seconds of simulated physical time, corresponding to the duration of the experimental measurements, or when the torque variation over fifty consecutive time steps fell below 0.1%.</w:t>
      </w:r>
    </w:p>
    <w:p w14:paraId="47BEF9CC" w14:textId="77777777" w:rsidR="00B33327" w:rsidRDefault="00000000" w:rsidP="006E6199">
      <w:pPr>
        <w:pStyle w:val="Figure"/>
        <w:rPr>
          <w:lang w:val="en-GB"/>
        </w:rPr>
      </w:pPr>
      <w:r>
        <w:rPr>
          <w:noProof/>
        </w:rPr>
        <w:lastRenderedPageBreak/>
        <w:drawing>
          <wp:inline distT="0" distB="0" distL="0" distR="0" wp14:anchorId="74043BA2" wp14:editId="61709E00">
            <wp:extent cx="5228590" cy="2070100"/>
            <wp:effectExtent l="0" t="0" r="0" b="0"/>
            <wp:docPr id="5" name="Image2" descr="A diagram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A diagram of a structure&#10;&#10;AI-generated content may be incorrect."/>
                    <pic:cNvPicPr>
                      <a:picLocks noChangeAspect="1" noChangeArrowheads="1"/>
                    </pic:cNvPicPr>
                  </pic:nvPicPr>
                  <pic:blipFill>
                    <a:blip r:embed="rId15"/>
                    <a:stretch>
                      <a:fillRect/>
                    </a:stretch>
                  </pic:blipFill>
                  <pic:spPr bwMode="auto">
                    <a:xfrm>
                      <a:off x="0" y="0"/>
                      <a:ext cx="5228590" cy="2070100"/>
                    </a:xfrm>
                    <a:prstGeom prst="rect">
                      <a:avLst/>
                    </a:prstGeom>
                  </pic:spPr>
                </pic:pic>
              </a:graphicData>
            </a:graphic>
          </wp:inline>
        </w:drawing>
      </w:r>
    </w:p>
    <w:p w14:paraId="0481D99C" w14:textId="77777777" w:rsidR="00B33327" w:rsidRDefault="00000000" w:rsidP="006E6199">
      <w:pPr>
        <w:pStyle w:val="FigureCaption"/>
        <w:rPr>
          <w:lang w:val="en-GB"/>
        </w:rPr>
      </w:pPr>
      <w:r>
        <w:rPr>
          <w:b/>
          <w:caps/>
        </w:rPr>
        <w:t>Figure 4.</w:t>
      </w:r>
      <w:r>
        <w:t xml:space="preserve"> Boundary Conditions for Different Configurations</w:t>
      </w:r>
    </w:p>
    <w:p w14:paraId="0485E8A1" w14:textId="77777777" w:rsidR="00B33327" w:rsidRPr="006E6199" w:rsidRDefault="00000000" w:rsidP="006E6199">
      <w:pPr>
        <w:pStyle w:val="berschrift1"/>
      </w:pPr>
      <w:r w:rsidRPr="006E6199">
        <w:t>Results AND DISCUSSIONS</w:t>
      </w:r>
    </w:p>
    <w:p w14:paraId="203A0962" w14:textId="77777777" w:rsidR="00B33327" w:rsidRDefault="00000000">
      <w:pPr>
        <w:pStyle w:val="berschrift3"/>
      </w:pPr>
      <w:r>
        <w:t>Cone-on-Plate Results</w:t>
      </w:r>
    </w:p>
    <w:p w14:paraId="6D86C479" w14:textId="77777777" w:rsidR="00B33327" w:rsidRDefault="00000000">
      <w:pPr>
        <w:pStyle w:val="Paragraph"/>
        <w:rPr>
          <w:lang w:val="en-GB"/>
        </w:rPr>
      </w:pPr>
      <w:r>
        <w:rPr>
          <w:lang w:val="en-GB"/>
        </w:rPr>
        <w:t xml:space="preserve">In this section, the results of the Cone-on-Plate model are presented to assess its consistency. Two validation checks were performed: the first concerned the shear rate within the fluid volume beneath the cone, and the second compared the torque predicted by CFD with both analytical and experimental values. </w:t>
      </w:r>
      <w:proofErr w:type="gramStart"/>
      <w:r>
        <w:rPr>
          <w:lang w:val="en-GB"/>
        </w:rPr>
        <w:t>With regard to</w:t>
      </w:r>
      <w:proofErr w:type="gramEnd"/>
      <w:r>
        <w:rPr>
          <w:lang w:val="en-GB"/>
        </w:rPr>
        <w:t xml:space="preserve"> the first check, the simulations showed that the variation of shear rate within the region of interest remained below 1% with respect to the theoretical value. Minor deviations were observed near the central area (close to the rotational axis), where the cone approaches a flat geometry, and at the outer edge due to boundary effects; however, these had only a negligible influence on the overall torque. This indicates that the model is highly consistent with the calibration conditions. </w:t>
      </w:r>
    </w:p>
    <w:p w14:paraId="0FC43908" w14:textId="122095D0" w:rsidR="006E6199" w:rsidRDefault="00000000">
      <w:pPr>
        <w:pStyle w:val="Paragraph"/>
      </w:pPr>
      <w:r>
        <w:rPr>
          <w:lang w:val="en-GB"/>
        </w:rPr>
        <w:t>Such consistency is further supported by the second check, shown in Fig</w:t>
      </w:r>
      <w:r w:rsidR="00444FC7">
        <w:rPr>
          <w:lang w:val="en-GB"/>
        </w:rPr>
        <w:t>.</w:t>
      </w:r>
      <w:r>
        <w:rPr>
          <w:lang w:val="en-GB"/>
        </w:rPr>
        <w:t xml:space="preserve"> 5, where the CFD torque results (red square markers) align almost perfectly with the analytical predictions of the Herschel–Bulkley equations (blue line). This confirms that the closer the analytical model matches the experimental data, the lower the errors expected in the CFD calculations.</w:t>
      </w:r>
    </w:p>
    <w:tbl>
      <w:tblPr>
        <w:tblStyle w:val="Tabellenraster"/>
        <w:tblW w:w="9360" w:type="dxa"/>
        <w:jc w:val="center"/>
        <w:tblLayout w:type="fixed"/>
        <w:tblLook w:val="04A0" w:firstRow="1" w:lastRow="0" w:firstColumn="1" w:lastColumn="0" w:noHBand="0" w:noVBand="1"/>
      </w:tblPr>
      <w:tblGrid>
        <w:gridCol w:w="4681"/>
        <w:gridCol w:w="4679"/>
      </w:tblGrid>
      <w:tr w:rsidR="006E6199" w14:paraId="2152508E" w14:textId="77777777" w:rsidTr="00827450">
        <w:trPr>
          <w:trHeight w:val="291"/>
          <w:jc w:val="center"/>
        </w:trPr>
        <w:tc>
          <w:tcPr>
            <w:tcW w:w="4681" w:type="dxa"/>
            <w:tcBorders>
              <w:top w:val="nil"/>
              <w:left w:val="nil"/>
              <w:bottom w:val="nil"/>
              <w:right w:val="nil"/>
            </w:tcBorders>
          </w:tcPr>
          <w:p w14:paraId="50582587" w14:textId="54293E3C" w:rsidR="006E6199" w:rsidRDefault="006E6199">
            <w:pPr>
              <w:pStyle w:val="Paragraph"/>
              <w:ind w:firstLine="0"/>
              <w:jc w:val="center"/>
            </w:pPr>
            <w:r>
              <w:rPr>
                <w:noProof/>
              </w:rPr>
              <w:drawing>
                <wp:inline distT="0" distB="0" distL="0" distR="0" wp14:anchorId="4D455A1D" wp14:editId="789EEDF6">
                  <wp:extent cx="2879090" cy="3061970"/>
                  <wp:effectExtent l="0" t="0" r="0" b="0"/>
                  <wp:docPr id="6" name="Picture 20"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0" descr="A graph of a function&#10;&#10;AI-generated content may be incorrect."/>
                          <pic:cNvPicPr>
                            <a:picLocks noChangeAspect="1" noChangeArrowheads="1"/>
                          </pic:cNvPicPr>
                        </pic:nvPicPr>
                        <pic:blipFill>
                          <a:blip r:embed="rId16"/>
                          <a:srcRect t="3442"/>
                          <a:stretch>
                            <a:fillRect/>
                          </a:stretch>
                        </pic:blipFill>
                        <pic:spPr bwMode="auto">
                          <a:xfrm>
                            <a:off x="0" y="0"/>
                            <a:ext cx="2879090" cy="3061970"/>
                          </a:xfrm>
                          <a:prstGeom prst="rect">
                            <a:avLst/>
                          </a:prstGeom>
                        </pic:spPr>
                      </pic:pic>
                    </a:graphicData>
                  </a:graphic>
                </wp:inline>
              </w:drawing>
            </w:r>
          </w:p>
        </w:tc>
        <w:tc>
          <w:tcPr>
            <w:tcW w:w="4679" w:type="dxa"/>
            <w:tcBorders>
              <w:top w:val="nil"/>
              <w:left w:val="nil"/>
              <w:bottom w:val="nil"/>
              <w:right w:val="nil"/>
            </w:tcBorders>
          </w:tcPr>
          <w:p w14:paraId="60A47CBD" w14:textId="0467F656" w:rsidR="006E6199" w:rsidRDefault="006E6199">
            <w:pPr>
              <w:pStyle w:val="Paragraph"/>
              <w:ind w:firstLine="0"/>
              <w:jc w:val="center"/>
            </w:pPr>
            <w:r>
              <w:rPr>
                <w:noProof/>
              </w:rPr>
              <w:drawing>
                <wp:inline distT="0" distB="0" distL="0" distR="0" wp14:anchorId="2361ECC7" wp14:editId="7EC55638">
                  <wp:extent cx="2879725" cy="3030855"/>
                  <wp:effectExtent l="0" t="0" r="0" b="0"/>
                  <wp:docPr id="7" name="Picture 22"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2" descr="A graph of a function&#10;&#10;AI-generated content may be incorrect."/>
                          <pic:cNvPicPr>
                            <a:picLocks noChangeAspect="1" noChangeArrowheads="1"/>
                          </pic:cNvPicPr>
                        </pic:nvPicPr>
                        <pic:blipFill>
                          <a:blip r:embed="rId17"/>
                          <a:srcRect t="3478"/>
                          <a:stretch>
                            <a:fillRect/>
                          </a:stretch>
                        </pic:blipFill>
                        <pic:spPr bwMode="auto">
                          <a:xfrm>
                            <a:off x="0" y="0"/>
                            <a:ext cx="2879725" cy="3030855"/>
                          </a:xfrm>
                          <a:prstGeom prst="rect">
                            <a:avLst/>
                          </a:prstGeom>
                        </pic:spPr>
                      </pic:pic>
                    </a:graphicData>
                  </a:graphic>
                </wp:inline>
              </w:drawing>
            </w:r>
          </w:p>
        </w:tc>
      </w:tr>
      <w:tr w:rsidR="00B33327" w14:paraId="4747041B" w14:textId="77777777" w:rsidTr="00827450">
        <w:trPr>
          <w:trHeight w:val="291"/>
          <w:jc w:val="center"/>
        </w:trPr>
        <w:tc>
          <w:tcPr>
            <w:tcW w:w="4681" w:type="dxa"/>
            <w:tcBorders>
              <w:top w:val="nil"/>
              <w:left w:val="nil"/>
              <w:bottom w:val="nil"/>
              <w:right w:val="nil"/>
            </w:tcBorders>
          </w:tcPr>
          <w:p w14:paraId="63C8D5C4" w14:textId="77777777" w:rsidR="00B33327" w:rsidRDefault="00000000">
            <w:pPr>
              <w:pStyle w:val="Paragraph"/>
              <w:ind w:firstLine="0"/>
              <w:jc w:val="center"/>
            </w:pPr>
            <w:r>
              <w:t>(a)</w:t>
            </w:r>
          </w:p>
        </w:tc>
        <w:tc>
          <w:tcPr>
            <w:tcW w:w="4679" w:type="dxa"/>
            <w:tcBorders>
              <w:top w:val="nil"/>
              <w:left w:val="nil"/>
              <w:bottom w:val="nil"/>
              <w:right w:val="nil"/>
            </w:tcBorders>
          </w:tcPr>
          <w:p w14:paraId="2ABD9D44" w14:textId="77777777" w:rsidR="00B33327" w:rsidRDefault="00000000">
            <w:pPr>
              <w:pStyle w:val="Paragraph"/>
              <w:ind w:firstLine="0"/>
              <w:jc w:val="center"/>
            </w:pPr>
            <w:r>
              <w:t>(b)</w:t>
            </w:r>
          </w:p>
        </w:tc>
      </w:tr>
    </w:tbl>
    <w:p w14:paraId="0A7567D0" w14:textId="77777777" w:rsidR="00B33327" w:rsidRDefault="00000000">
      <w:pPr>
        <w:pStyle w:val="FigureCaption"/>
        <w:rPr>
          <w:sz w:val="20"/>
        </w:rPr>
      </w:pPr>
      <w:r>
        <w:rPr>
          <w:b/>
          <w:caps/>
        </w:rPr>
        <w:t>Figure 5.</w:t>
      </w:r>
      <w:r>
        <w:t xml:space="preserve"> Experimental vs Analytical vs CFD results for 25°C (a) and 80°C (b) for Cone-on-Plate</w:t>
      </w:r>
    </w:p>
    <w:p w14:paraId="551C4E88" w14:textId="77777777" w:rsidR="00B33327" w:rsidRDefault="00000000">
      <w:pPr>
        <w:pStyle w:val="berschrift3"/>
      </w:pPr>
      <w:r>
        <w:lastRenderedPageBreak/>
        <w:t>Plate-on-Plate Results</w:t>
      </w:r>
    </w:p>
    <w:p w14:paraId="39FDAB8C" w14:textId="77777777" w:rsidR="00B33327" w:rsidRDefault="00000000">
      <w:pPr>
        <w:pStyle w:val="Paragraph"/>
        <w:rPr>
          <w:lang w:val="en-GB"/>
        </w:rPr>
      </w:pPr>
      <w:r>
        <w:rPr>
          <w:lang w:val="en-GB"/>
        </w:rPr>
        <w:t>In this section, the results obtained for the Plate-on-Plate configuration are presented. Figure 6 illustrates, as an example, the shear rate distribution within the investigated domain for the same rotational speed (</w:t>
      </w:r>
      <m:oMath>
        <m:r>
          <w:rPr>
            <w:rFonts w:ascii="Cambria Math" w:hAnsi="Cambria Math"/>
          </w:rPr>
          <m:t>ω</m:t>
        </m:r>
        <m:r>
          <m:rPr>
            <m:lit/>
            <m:nor/>
          </m:rPr>
          <w:rPr>
            <w:rFonts w:ascii="Cambria Math" w:hAnsi="Cambria Math"/>
          </w:rPr>
          <m:t>=</m:t>
        </m:r>
        <m:r>
          <w:rPr>
            <w:rFonts w:ascii="Cambria Math" w:hAnsi="Cambria Math"/>
          </w:rPr>
          <m:t>53.93</m:t>
        </m:r>
        <m:r>
          <m:rPr>
            <m:lit/>
            <m:nor/>
          </m:rPr>
          <w:rPr>
            <w:rFonts w:ascii="Cambria Math" w:hAnsi="Cambria Math"/>
          </w:rPr>
          <m:t xml:space="preserve"> </m:t>
        </m:r>
        <m:d>
          <m:dPr>
            <m:begChr m:val="["/>
            <m:endChr m:val="]"/>
            <m:ctrlPr>
              <w:rPr>
                <w:rFonts w:ascii="Cambria Math" w:hAnsi="Cambria Math"/>
              </w:rPr>
            </m:ctrlPr>
          </m:dPr>
          <m:e>
            <m:r>
              <w:rPr>
                <w:rFonts w:ascii="Cambria Math" w:hAnsi="Cambria Math"/>
              </w:rPr>
              <m:t>rad</m:t>
            </m:r>
            <m:r>
              <m:rPr>
                <m:lit/>
                <m:nor/>
              </m:rPr>
              <w:rPr>
                <w:rFonts w:ascii="Cambria Math" w:hAnsi="Cambria Math"/>
              </w:rPr>
              <m:t>/</m:t>
            </m:r>
            <m:r>
              <w:rPr>
                <w:rFonts w:ascii="Cambria Math" w:hAnsi="Cambria Math"/>
              </w:rPr>
              <m:t>s</m:t>
            </m:r>
          </m:e>
        </m:d>
      </m:oMath>
      <w:r>
        <w:rPr>
          <w:lang w:val="en-GB"/>
        </w:rPr>
        <w:t>) and temperature (25 [°C]), but with two different gap heights: H = 0.5 [mm] and H = 1.0 [mm]. The figure clearly shows that the shear rate varies linearly with both radius and height. Indeed, when using a vertical scale corresponding to half the gap thickness (H = 0.5 [mm]), the results are very similar to those obtained with H = 1.0 [mm]. An edge effect near the outer boundary is also evident in both cases.</w:t>
      </w:r>
    </w:p>
    <w:p w14:paraId="53AAE22A" w14:textId="77777777" w:rsidR="00B33327" w:rsidRDefault="00B33327">
      <w:pPr>
        <w:pStyle w:val="Paragraph"/>
        <w:rPr>
          <w:lang w:val="en-GB"/>
        </w:rPr>
      </w:pPr>
    </w:p>
    <w:p w14:paraId="42294100" w14:textId="02E6CED3" w:rsidR="00B33327" w:rsidRDefault="00000000" w:rsidP="00827450">
      <w:pPr>
        <w:pStyle w:val="Figure"/>
      </w:pPr>
      <w:r>
        <w:rPr>
          <w:noProof/>
        </w:rPr>
        <w:drawing>
          <wp:inline distT="0" distB="0" distL="0" distR="0" wp14:anchorId="68F291BC" wp14:editId="3CCDC3D8">
            <wp:extent cx="5083810" cy="1708150"/>
            <wp:effectExtent l="0" t="0" r="0" b="0"/>
            <wp:docPr id="8" name="Picture 10"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A close-up of a graph&#10;&#10;AI-generated content may be incorrect."/>
                    <pic:cNvPicPr>
                      <a:picLocks noChangeAspect="1" noChangeArrowheads="1"/>
                    </pic:cNvPicPr>
                  </pic:nvPicPr>
                  <pic:blipFill>
                    <a:blip r:embed="rId18"/>
                    <a:stretch>
                      <a:fillRect/>
                    </a:stretch>
                  </pic:blipFill>
                  <pic:spPr bwMode="auto">
                    <a:xfrm>
                      <a:off x="0" y="0"/>
                      <a:ext cx="5083810" cy="1708150"/>
                    </a:xfrm>
                    <a:prstGeom prst="rect">
                      <a:avLst/>
                    </a:prstGeom>
                  </pic:spPr>
                </pic:pic>
              </a:graphicData>
            </a:graphic>
          </wp:inline>
        </w:drawing>
      </w:r>
    </w:p>
    <w:p w14:paraId="43AF86A6" w14:textId="77777777" w:rsidR="00B33327" w:rsidRDefault="00000000">
      <w:pPr>
        <w:pStyle w:val="Paragraph"/>
        <w:jc w:val="center"/>
      </w:pPr>
      <w:r>
        <w:rPr>
          <w:b/>
          <w:caps/>
        </w:rPr>
        <w:t>Figure 6.</w:t>
      </w:r>
      <w:r>
        <w:t xml:space="preserve"> </w:t>
      </w:r>
      <w:r>
        <w:rPr>
          <w:sz w:val="18"/>
          <w:szCs w:val="18"/>
        </w:rPr>
        <w:t xml:space="preserve">Example of shear rate field at </w:t>
      </w:r>
      <m:oMath>
        <m:r>
          <w:rPr>
            <w:rFonts w:ascii="Cambria Math" w:hAnsi="Cambria Math"/>
          </w:rPr>
          <m:t>ω</m:t>
        </m:r>
        <m:r>
          <m:rPr>
            <m:lit/>
            <m:nor/>
          </m:rPr>
          <w:rPr>
            <w:rFonts w:ascii="Cambria Math" w:hAnsi="Cambria Math"/>
          </w:rPr>
          <m:t>=</m:t>
        </m:r>
        <m:r>
          <w:rPr>
            <w:rFonts w:ascii="Cambria Math" w:hAnsi="Cambria Math"/>
          </w:rPr>
          <m:t>53.93</m:t>
        </m:r>
        <m:d>
          <m:dPr>
            <m:begChr m:val="["/>
            <m:endChr m:val="]"/>
            <m:ctrlPr>
              <w:rPr>
                <w:rFonts w:ascii="Cambria Math" w:hAnsi="Cambria Math"/>
              </w:rPr>
            </m:ctrlPr>
          </m:dPr>
          <m:e>
            <m:r>
              <w:rPr>
                <w:rFonts w:ascii="Cambria Math" w:hAnsi="Cambria Math"/>
              </w:rPr>
              <m:t>rad</m:t>
            </m:r>
            <m:r>
              <m:rPr>
                <m:lit/>
                <m:nor/>
              </m:rPr>
              <w:rPr>
                <w:rFonts w:ascii="Cambria Math" w:hAnsi="Cambria Math"/>
              </w:rPr>
              <m:t>/</m:t>
            </m:r>
            <m:r>
              <w:rPr>
                <w:rFonts w:ascii="Cambria Math" w:hAnsi="Cambria Math"/>
              </w:rPr>
              <m:t>s</m:t>
            </m:r>
          </m:e>
        </m:d>
      </m:oMath>
      <w:r>
        <w:rPr>
          <w:sz w:val="18"/>
          <w:szCs w:val="18"/>
        </w:rPr>
        <w:t xml:space="preserve"> and temperature of 25 </w:t>
      </w:r>
      <w:r>
        <w:rPr>
          <w:sz w:val="18"/>
          <w:szCs w:val="18"/>
          <w:lang w:val="en-GB"/>
        </w:rPr>
        <w:t xml:space="preserve">[°C] </w:t>
      </w:r>
      <w:r>
        <w:rPr>
          <w:sz w:val="18"/>
          <w:szCs w:val="18"/>
        </w:rPr>
        <w:t xml:space="preserve">in Plate-on-Plate configuration H = 0.5 </w:t>
      </w:r>
      <w:r>
        <w:rPr>
          <w:sz w:val="18"/>
          <w:szCs w:val="18"/>
          <w:lang w:val="en-GB"/>
        </w:rPr>
        <w:t>[mm]</w:t>
      </w:r>
      <w:r>
        <w:rPr>
          <w:sz w:val="18"/>
          <w:szCs w:val="18"/>
        </w:rPr>
        <w:t xml:space="preserve"> (upper), H = 1.0 </w:t>
      </w:r>
      <w:r>
        <w:rPr>
          <w:sz w:val="18"/>
          <w:szCs w:val="18"/>
          <w:lang w:val="en-GB"/>
        </w:rPr>
        <w:t>[mm]</w:t>
      </w:r>
      <w:r>
        <w:rPr>
          <w:sz w:val="18"/>
          <w:szCs w:val="18"/>
        </w:rPr>
        <w:t xml:space="preserve"> (lower)</w:t>
      </w:r>
    </w:p>
    <w:p w14:paraId="3FCD6C7D" w14:textId="77777777" w:rsidR="00B33327" w:rsidRDefault="00B33327">
      <w:pPr>
        <w:pStyle w:val="Paragraph"/>
      </w:pPr>
    </w:p>
    <w:p w14:paraId="46C7DD9D" w14:textId="77777777" w:rsidR="00B33327" w:rsidRDefault="00000000">
      <w:pPr>
        <w:pStyle w:val="Paragraph"/>
        <w:rPr>
          <w:lang w:val="en-GB"/>
        </w:rPr>
      </w:pPr>
      <w:r>
        <w:rPr>
          <w:lang w:val="en-GB"/>
        </w:rPr>
        <w:t>Figures 7 and 8 compare the CFD predictions with experimental results in terms of rotational speed versus torque. Figure 7 reports the results for H = 0.5 [mm], while Figure 8 refers to H = 1.0 [mm]. In both cases, the results are presented at two different temperatures: 25 [°C] (a) and 80 [°C] (b).</w:t>
      </w:r>
    </w:p>
    <w:p w14:paraId="7C8DA094" w14:textId="17145192" w:rsidR="00B33327" w:rsidRDefault="00000000">
      <w:pPr>
        <w:pStyle w:val="Paragraph"/>
        <w:rPr>
          <w:lang w:val="en-GB"/>
        </w:rPr>
      </w:pPr>
      <w:r>
        <w:rPr>
          <w:lang w:val="en-GB"/>
        </w:rPr>
        <w:t>For H = 0.5 [mm] at 25 [°C] (Fig</w:t>
      </w:r>
      <w:r w:rsidR="00444FC7">
        <w:rPr>
          <w:lang w:val="en-GB"/>
        </w:rPr>
        <w:t>.</w:t>
      </w:r>
      <w:r>
        <w:rPr>
          <w:lang w:val="en-GB"/>
        </w:rPr>
        <w:t xml:space="preserve"> 7 (a)), the agreement between CFD and experiments is very good. The curves show similar trends, and the numerical values differ by less than 8% for rotational speeds above 25 [rad/s]. The mean percentage error is 6%, with a maximum error of 16% at the lowest speed. In general, CFD tends to overestimate torque at higher angular velocities. At 80 [°C] (Fig</w:t>
      </w:r>
      <w:r w:rsidR="007001B7">
        <w:rPr>
          <w:lang w:val="en-GB"/>
        </w:rPr>
        <w:t>.</w:t>
      </w:r>
      <w:r>
        <w:rPr>
          <w:lang w:val="en-GB"/>
        </w:rPr>
        <w:t xml:space="preserve"> 7 (b)), the agreement remains satisfactory, with a mean error of 3.3% and a maximum error of 14% at the lowest speed, although the CFD and experimental trends deviate slightly.</w:t>
      </w:r>
    </w:p>
    <w:p w14:paraId="60565815" w14:textId="6DCF2171" w:rsidR="00B33327" w:rsidRDefault="00000000">
      <w:pPr>
        <w:pStyle w:val="Paragraph"/>
        <w:rPr>
          <w:lang w:val="en-GB"/>
        </w:rPr>
      </w:pPr>
      <w:r>
        <w:rPr>
          <w:lang w:val="en-GB"/>
        </w:rPr>
        <w:t>For the larger gap (H = 1.0 [mm]), similar considerations apply. At 80 [°C] (Fig</w:t>
      </w:r>
      <w:r w:rsidR="00444FC7">
        <w:rPr>
          <w:lang w:val="en-GB"/>
        </w:rPr>
        <w:t>.</w:t>
      </w:r>
      <w:r>
        <w:rPr>
          <w:lang w:val="en-GB"/>
        </w:rPr>
        <w:t xml:space="preserve"> 8 (b)), the mean error is 4.6%, with a maximum error of 10.9% at the lowest speed, again with CFD generally overestimating torque. However, at 25 [°C] (Fig</w:t>
      </w:r>
      <w:r w:rsidR="00444FC7">
        <w:rPr>
          <w:lang w:val="en-GB"/>
        </w:rPr>
        <w:t>.</w:t>
      </w:r>
      <w:r>
        <w:rPr>
          <w:lang w:val="en-GB"/>
        </w:rPr>
        <w:t xml:space="preserve"> 8a), the CFD results deviate more significantly from the experiments. In this case, the CFD torque increases more rapidly than the experimental measurements, leading to larger discrepancies at higher rotational speeds. The mean error is 15.8%, with a maximum error of 18.5% at the highest speed.</w:t>
      </w:r>
    </w:p>
    <w:p w14:paraId="6B7E0374" w14:textId="77777777" w:rsidR="00B33327" w:rsidRDefault="00000000">
      <w:pPr>
        <w:pStyle w:val="Paragraph"/>
        <w:rPr>
          <w:lang w:val="en-GB"/>
        </w:rPr>
      </w:pPr>
      <w:r>
        <w:rPr>
          <w:lang w:val="en-GB"/>
        </w:rPr>
        <w:t xml:space="preserve">This discrepancy prompted the authors to perform additional numerical tests. Specifically, CFD simulations were carried out using a sector model without the upper dome present in the original geometry, </w:t>
      </w:r>
      <w:proofErr w:type="gramStart"/>
      <w:r>
        <w:rPr>
          <w:lang w:val="en-GB"/>
        </w:rPr>
        <w:t>in order to</w:t>
      </w:r>
      <w:proofErr w:type="gramEnd"/>
      <w:r>
        <w:rPr>
          <w:lang w:val="en-GB"/>
        </w:rPr>
        <w:t xml:space="preserve"> minimize edge effects. These tests produced slightly improved results, but the mean error was reduced by no more than 3%, remaining around 12%. Furthermore, alternative Herschel–Bulkley models obtained through different regression strategies were also implemented. As expected, since the current regression strategy already underestimated torque at high rotational speeds compared to the others, these additional models produced even larger errors. The larger gap thickness may introduce temperature gradients, uncontrolled shearing effects, or a non-uniform distribution of the base oil. These hypotheses will need to be verified in future studies.</w:t>
      </w:r>
    </w:p>
    <w:p w14:paraId="5C577392" w14:textId="3CA3013B" w:rsidR="00B33327" w:rsidRDefault="00B33327">
      <w:pPr>
        <w:pStyle w:val="Paragraph"/>
      </w:pPr>
    </w:p>
    <w:p w14:paraId="21F9A0C0" w14:textId="77777777" w:rsidR="00B33327" w:rsidRDefault="00B33327">
      <w:pPr>
        <w:pStyle w:val="Paragraph"/>
      </w:pPr>
    </w:p>
    <w:tbl>
      <w:tblPr>
        <w:tblStyle w:val="Tabellenraster"/>
        <w:tblW w:w="9360" w:type="dxa"/>
        <w:jc w:val="center"/>
        <w:tblLayout w:type="fixed"/>
        <w:tblLook w:val="04A0" w:firstRow="1" w:lastRow="0" w:firstColumn="1" w:lastColumn="0" w:noHBand="0" w:noVBand="1"/>
      </w:tblPr>
      <w:tblGrid>
        <w:gridCol w:w="4681"/>
        <w:gridCol w:w="4679"/>
      </w:tblGrid>
      <w:tr w:rsidR="00827450" w14:paraId="7CCCEB5D" w14:textId="77777777" w:rsidTr="00827450">
        <w:trPr>
          <w:trHeight w:val="291"/>
          <w:jc w:val="center"/>
        </w:trPr>
        <w:tc>
          <w:tcPr>
            <w:tcW w:w="4681" w:type="dxa"/>
            <w:tcBorders>
              <w:top w:val="nil"/>
              <w:left w:val="nil"/>
              <w:bottom w:val="nil"/>
              <w:right w:val="nil"/>
            </w:tcBorders>
          </w:tcPr>
          <w:p w14:paraId="62055DAB" w14:textId="7CD5FC5E" w:rsidR="00827450" w:rsidRDefault="00827450">
            <w:pPr>
              <w:pStyle w:val="Paragraph"/>
              <w:ind w:firstLine="0"/>
              <w:jc w:val="center"/>
            </w:pPr>
            <w:r>
              <w:rPr>
                <w:noProof/>
              </w:rPr>
              <w:lastRenderedPageBreak/>
              <w:drawing>
                <wp:inline distT="0" distB="0" distL="0" distR="0" wp14:anchorId="383FAE6A" wp14:editId="7E12F38B">
                  <wp:extent cx="2879725" cy="3067050"/>
                  <wp:effectExtent l="0" t="0" r="0" b="0"/>
                  <wp:docPr id="9" name="Picture 6"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 graph of a function&#10;&#10;AI-generated content may be incorrect."/>
                          <pic:cNvPicPr>
                            <a:picLocks noChangeAspect="1" noChangeArrowheads="1"/>
                          </pic:cNvPicPr>
                        </pic:nvPicPr>
                        <pic:blipFill>
                          <a:blip r:embed="rId19"/>
                          <a:srcRect t="3435"/>
                          <a:stretch>
                            <a:fillRect/>
                          </a:stretch>
                        </pic:blipFill>
                        <pic:spPr bwMode="auto">
                          <a:xfrm>
                            <a:off x="0" y="0"/>
                            <a:ext cx="2879725" cy="3067050"/>
                          </a:xfrm>
                          <a:prstGeom prst="rect">
                            <a:avLst/>
                          </a:prstGeom>
                        </pic:spPr>
                      </pic:pic>
                    </a:graphicData>
                  </a:graphic>
                </wp:inline>
              </w:drawing>
            </w:r>
          </w:p>
        </w:tc>
        <w:tc>
          <w:tcPr>
            <w:tcW w:w="4679" w:type="dxa"/>
            <w:tcBorders>
              <w:top w:val="nil"/>
              <w:left w:val="nil"/>
              <w:bottom w:val="nil"/>
              <w:right w:val="nil"/>
            </w:tcBorders>
          </w:tcPr>
          <w:p w14:paraId="02E7419E" w14:textId="1A6B8D40" w:rsidR="00827450" w:rsidRDefault="00827450">
            <w:pPr>
              <w:pStyle w:val="Paragraph"/>
              <w:ind w:firstLine="0"/>
              <w:jc w:val="center"/>
            </w:pPr>
            <w:r>
              <w:rPr>
                <w:noProof/>
              </w:rPr>
              <w:drawing>
                <wp:inline distT="0" distB="0" distL="0" distR="0" wp14:anchorId="2B168C6B" wp14:editId="1B15B93E">
                  <wp:extent cx="2879725" cy="3048000"/>
                  <wp:effectExtent l="0" t="0" r="0" b="0"/>
                  <wp:docPr id="10" name="Picture 7" descr="A graph of a graph showing the number of the same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A graph of a graph showing the number of the same number&#10;&#10;AI-generated content may be incorrect."/>
                          <pic:cNvPicPr>
                            <a:picLocks noChangeAspect="1" noChangeArrowheads="1"/>
                          </pic:cNvPicPr>
                        </pic:nvPicPr>
                        <pic:blipFill>
                          <a:blip r:embed="rId20"/>
                          <a:srcRect t="3037"/>
                          <a:stretch>
                            <a:fillRect/>
                          </a:stretch>
                        </pic:blipFill>
                        <pic:spPr bwMode="auto">
                          <a:xfrm>
                            <a:off x="0" y="0"/>
                            <a:ext cx="2879725" cy="3048000"/>
                          </a:xfrm>
                          <a:prstGeom prst="rect">
                            <a:avLst/>
                          </a:prstGeom>
                        </pic:spPr>
                      </pic:pic>
                    </a:graphicData>
                  </a:graphic>
                </wp:inline>
              </w:drawing>
            </w:r>
          </w:p>
        </w:tc>
      </w:tr>
      <w:tr w:rsidR="00B33327" w14:paraId="54C8A089" w14:textId="77777777" w:rsidTr="00827450">
        <w:trPr>
          <w:trHeight w:val="291"/>
          <w:jc w:val="center"/>
        </w:trPr>
        <w:tc>
          <w:tcPr>
            <w:tcW w:w="4681" w:type="dxa"/>
            <w:tcBorders>
              <w:top w:val="nil"/>
              <w:left w:val="nil"/>
              <w:bottom w:val="nil"/>
              <w:right w:val="nil"/>
            </w:tcBorders>
          </w:tcPr>
          <w:p w14:paraId="0098B122" w14:textId="77777777" w:rsidR="00B33327" w:rsidRDefault="00000000">
            <w:pPr>
              <w:pStyle w:val="Paragraph"/>
              <w:ind w:firstLine="0"/>
              <w:jc w:val="center"/>
            </w:pPr>
            <w:r>
              <w:t>(a)</w:t>
            </w:r>
          </w:p>
        </w:tc>
        <w:tc>
          <w:tcPr>
            <w:tcW w:w="4679" w:type="dxa"/>
            <w:tcBorders>
              <w:top w:val="nil"/>
              <w:left w:val="nil"/>
              <w:bottom w:val="nil"/>
              <w:right w:val="nil"/>
            </w:tcBorders>
          </w:tcPr>
          <w:p w14:paraId="7CD00E7C" w14:textId="77777777" w:rsidR="00B33327" w:rsidRDefault="00000000">
            <w:pPr>
              <w:pStyle w:val="Paragraph"/>
              <w:ind w:firstLine="0"/>
              <w:jc w:val="center"/>
            </w:pPr>
            <w:r>
              <w:t>(b)</w:t>
            </w:r>
          </w:p>
        </w:tc>
      </w:tr>
    </w:tbl>
    <w:p w14:paraId="2FC385F5" w14:textId="77777777" w:rsidR="00B33327" w:rsidRDefault="00000000">
      <w:pPr>
        <w:pStyle w:val="FigureCaption"/>
      </w:pPr>
      <w:r>
        <w:rPr>
          <w:b/>
          <w:caps/>
        </w:rPr>
        <w:t>Figure 7.</w:t>
      </w:r>
      <w:r>
        <w:t xml:space="preserve"> Experimental vs CFD results for 25°C (a) and 80°C (b) for Plate-on-Plate, H=0.5 mm</w:t>
      </w:r>
    </w:p>
    <w:p w14:paraId="651ECF7B" w14:textId="3B1A0A08" w:rsidR="00B33327" w:rsidRDefault="00B33327">
      <w:pPr>
        <w:pStyle w:val="Paragraph"/>
      </w:pPr>
    </w:p>
    <w:tbl>
      <w:tblPr>
        <w:tblStyle w:val="Tabellenraster"/>
        <w:tblW w:w="9360" w:type="dxa"/>
        <w:jc w:val="center"/>
        <w:tblLayout w:type="fixed"/>
        <w:tblLook w:val="04A0" w:firstRow="1" w:lastRow="0" w:firstColumn="1" w:lastColumn="0" w:noHBand="0" w:noVBand="1"/>
      </w:tblPr>
      <w:tblGrid>
        <w:gridCol w:w="4681"/>
        <w:gridCol w:w="4679"/>
      </w:tblGrid>
      <w:tr w:rsidR="00827450" w14:paraId="19161754" w14:textId="77777777" w:rsidTr="00827450">
        <w:trPr>
          <w:trHeight w:val="291"/>
          <w:jc w:val="center"/>
        </w:trPr>
        <w:tc>
          <w:tcPr>
            <w:tcW w:w="4681" w:type="dxa"/>
            <w:tcBorders>
              <w:top w:val="nil"/>
              <w:left w:val="nil"/>
              <w:bottom w:val="nil"/>
              <w:right w:val="nil"/>
            </w:tcBorders>
          </w:tcPr>
          <w:p w14:paraId="21D7465B" w14:textId="17DF28CA" w:rsidR="00827450" w:rsidRDefault="00827450">
            <w:pPr>
              <w:pStyle w:val="Paragraph"/>
              <w:ind w:firstLine="0"/>
              <w:jc w:val="center"/>
            </w:pPr>
            <w:r>
              <w:rPr>
                <w:noProof/>
              </w:rPr>
              <w:drawing>
                <wp:inline distT="0" distB="0" distL="0" distR="0" wp14:anchorId="672C8A39" wp14:editId="32BFA4EE">
                  <wp:extent cx="2879725" cy="3067050"/>
                  <wp:effectExtent l="0" t="0" r="0" b="0"/>
                  <wp:docPr id="11" name="Picture 8"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A graph of a graph&#10;&#10;AI-generated content may be incorrect."/>
                          <pic:cNvPicPr>
                            <a:picLocks noChangeAspect="1" noChangeArrowheads="1"/>
                          </pic:cNvPicPr>
                        </pic:nvPicPr>
                        <pic:blipFill>
                          <a:blip r:embed="rId21"/>
                          <a:srcRect t="3435"/>
                          <a:stretch>
                            <a:fillRect/>
                          </a:stretch>
                        </pic:blipFill>
                        <pic:spPr bwMode="auto">
                          <a:xfrm>
                            <a:off x="0" y="0"/>
                            <a:ext cx="2879725" cy="3067050"/>
                          </a:xfrm>
                          <a:prstGeom prst="rect">
                            <a:avLst/>
                          </a:prstGeom>
                        </pic:spPr>
                      </pic:pic>
                    </a:graphicData>
                  </a:graphic>
                </wp:inline>
              </w:drawing>
            </w:r>
          </w:p>
        </w:tc>
        <w:tc>
          <w:tcPr>
            <w:tcW w:w="4679" w:type="dxa"/>
            <w:tcBorders>
              <w:top w:val="nil"/>
              <w:left w:val="nil"/>
              <w:bottom w:val="nil"/>
              <w:right w:val="nil"/>
            </w:tcBorders>
          </w:tcPr>
          <w:p w14:paraId="5AB2D159" w14:textId="231E670F" w:rsidR="00827450" w:rsidRDefault="00827450">
            <w:pPr>
              <w:pStyle w:val="Paragraph"/>
              <w:ind w:firstLine="0"/>
              <w:jc w:val="center"/>
            </w:pPr>
            <w:r>
              <w:rPr>
                <w:noProof/>
              </w:rPr>
              <w:drawing>
                <wp:inline distT="0" distB="0" distL="0" distR="0" wp14:anchorId="6064826A" wp14:editId="0AEBFFCB">
                  <wp:extent cx="2879725" cy="3041015"/>
                  <wp:effectExtent l="0" t="0" r="0" b="0"/>
                  <wp:docPr id="12" name="Picture 9"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A graph of a function&#10;&#10;AI-generated content may be incorrect."/>
                          <pic:cNvPicPr>
                            <a:picLocks noChangeAspect="1" noChangeArrowheads="1"/>
                          </pic:cNvPicPr>
                        </pic:nvPicPr>
                        <pic:blipFill>
                          <a:blip r:embed="rId22"/>
                          <a:srcRect t="3256"/>
                          <a:stretch>
                            <a:fillRect/>
                          </a:stretch>
                        </pic:blipFill>
                        <pic:spPr bwMode="auto">
                          <a:xfrm>
                            <a:off x="0" y="0"/>
                            <a:ext cx="2879725" cy="3041015"/>
                          </a:xfrm>
                          <a:prstGeom prst="rect">
                            <a:avLst/>
                          </a:prstGeom>
                        </pic:spPr>
                      </pic:pic>
                    </a:graphicData>
                  </a:graphic>
                </wp:inline>
              </w:drawing>
            </w:r>
          </w:p>
        </w:tc>
      </w:tr>
      <w:tr w:rsidR="00B33327" w14:paraId="3B4549A4" w14:textId="77777777" w:rsidTr="00827450">
        <w:trPr>
          <w:trHeight w:val="291"/>
          <w:jc w:val="center"/>
        </w:trPr>
        <w:tc>
          <w:tcPr>
            <w:tcW w:w="4681" w:type="dxa"/>
            <w:tcBorders>
              <w:top w:val="nil"/>
              <w:left w:val="nil"/>
              <w:bottom w:val="nil"/>
              <w:right w:val="nil"/>
            </w:tcBorders>
          </w:tcPr>
          <w:p w14:paraId="6A0A8E54" w14:textId="77777777" w:rsidR="00B33327" w:rsidRDefault="00000000">
            <w:pPr>
              <w:pStyle w:val="Paragraph"/>
              <w:ind w:firstLine="0"/>
              <w:jc w:val="center"/>
            </w:pPr>
            <w:r>
              <w:t>(a)</w:t>
            </w:r>
          </w:p>
        </w:tc>
        <w:tc>
          <w:tcPr>
            <w:tcW w:w="4679" w:type="dxa"/>
            <w:tcBorders>
              <w:top w:val="nil"/>
              <w:left w:val="nil"/>
              <w:bottom w:val="nil"/>
              <w:right w:val="nil"/>
            </w:tcBorders>
          </w:tcPr>
          <w:p w14:paraId="320314E4" w14:textId="77777777" w:rsidR="00B33327" w:rsidRDefault="00000000">
            <w:pPr>
              <w:pStyle w:val="Paragraph"/>
              <w:ind w:firstLine="0"/>
              <w:jc w:val="center"/>
            </w:pPr>
            <w:r>
              <w:t>(b)</w:t>
            </w:r>
          </w:p>
        </w:tc>
      </w:tr>
    </w:tbl>
    <w:p w14:paraId="6C26F81C" w14:textId="77777777" w:rsidR="00B33327" w:rsidRDefault="00000000">
      <w:pPr>
        <w:pStyle w:val="FigureCaption"/>
      </w:pPr>
      <w:r>
        <w:rPr>
          <w:b/>
          <w:caps/>
        </w:rPr>
        <w:t>Figure 8.</w:t>
      </w:r>
      <w:r>
        <w:t xml:space="preserve"> Experimental vs CFD results for 25°C (a) and 80°C (b) for Plate-on-Plate, H=1.0 mm</w:t>
      </w:r>
    </w:p>
    <w:p w14:paraId="2E093AB7" w14:textId="77777777" w:rsidR="00B33327" w:rsidRDefault="00B33327">
      <w:pPr>
        <w:pStyle w:val="Paragraph"/>
      </w:pPr>
    </w:p>
    <w:p w14:paraId="331E51BA" w14:textId="77777777" w:rsidR="00B33327" w:rsidRDefault="00000000">
      <w:pPr>
        <w:pStyle w:val="berschrift1"/>
      </w:pPr>
      <w:r>
        <w:t>Conclusions</w:t>
      </w:r>
    </w:p>
    <w:p w14:paraId="2D321ED8" w14:textId="77777777" w:rsidR="00B33327" w:rsidRDefault="00000000">
      <w:pPr>
        <w:pStyle w:val="Paragraph"/>
      </w:pPr>
      <w:r>
        <w:t xml:space="preserve">This study developed and applied a systematic methodology to calibrate the Herschel–Bulkley model for lubricating greases and to verify its implementation in CFD simulations. The results demonstrated that the choice of regression strategy plays a crucial role in determining the model parameters: among the different approaches tested, </w:t>
      </w:r>
      <w:r>
        <w:lastRenderedPageBreak/>
        <w:t>logarithmic error minimization provided the best overall balance across the explored shear rate range, while percentage-error-based regression also produced comparable results. Verification with the Cone-on-Plate configuration confirmed the internal consistency of the methodology, as CFD predictions closely matched the analytical Herschel–Bulkley formulation. The Plate-on-Plate configuration, on the other hand, introduced additional complexities due to shear rate gradients and edge effects. At elevated temperature and smaller gap thickness, the agreement between CFD and experiments was very good, with mean errors below 5%. However, at ambient temperature and larger gaps, significant discrepancies emerged, with CFD generally overestimating torque and mean errors exceeding 15%. These differences may be related to the presence of temperature gradients, uncontrolled shearing effects, or a non-uniform distribution of the base oil, hypotheses that will need to be examined in future studies.</w:t>
      </w:r>
    </w:p>
    <w:p w14:paraId="76D608E0" w14:textId="77777777" w:rsidR="00B33327" w:rsidRDefault="00000000">
      <w:pPr>
        <w:pStyle w:val="Paragraph"/>
      </w:pPr>
      <w:r>
        <w:t>The numerical analyses also showed that simplified CFD domains, in which the upper dome was removed, slightly reduced the discrepancies but were not sufficient to fully eliminate them, suggesting that boundary effects linked to geometry remain significant. Another important aspect concerns the choice of the zero-shear viscosity μ₀. In this study, the value selected did not strongly influence the results because the investigated volume was characterized by relatively high shear rates. Nonetheless, a robust methodology for defining μ₀ is required, as this parameter is fundamental for describing grease motion at very low shear rates, which are particularly relevant for reservoir effects in practical applications.</w:t>
      </w:r>
    </w:p>
    <w:p w14:paraId="0C1F735D" w14:textId="77777777" w:rsidR="00B33327" w:rsidRDefault="00000000">
      <w:pPr>
        <w:pStyle w:val="Paragraph"/>
      </w:pPr>
      <w:r>
        <w:t>In conclusion, the proposed framework provides a reproducible link between rheometry and CFD through temperature-calibrated Herschel–Bulkley models. While the approach demonstrated promising predictive capability, especially at high shear rates and elevated temperatures, further refinements and modifications are needed to address pre-shear history, extended temperature dependence, aging effects, and low-shear rheology. Addressing these aspects will be essential to enable more reliable, service-oriented simulations of grease-lubricated rolling bearings.</w:t>
      </w:r>
    </w:p>
    <w:p w14:paraId="2D995F2C" w14:textId="77777777" w:rsidR="00B33327" w:rsidRDefault="00000000">
      <w:pPr>
        <w:pStyle w:val="berschrift1"/>
      </w:pPr>
      <w:r>
        <w:t>acknowledgement</w:t>
      </w:r>
    </w:p>
    <w:p w14:paraId="6FE4F126" w14:textId="77777777" w:rsidR="00B33327" w:rsidRDefault="00000000">
      <w:pPr>
        <w:pStyle w:val="Paragraph"/>
      </w:pPr>
      <w:r>
        <w:rPr>
          <w:lang w:val="en-GB"/>
        </w:rPr>
        <w:t>This work was developed within the framework of the</w:t>
      </w:r>
      <w:r>
        <w:t xml:space="preserve"> HyperCUBE project, financed by Schaeffler Technologies AG &amp; Co. KG, PI F. Concli and the </w:t>
      </w:r>
      <w:r>
        <w:rPr>
          <w:lang w:val="en-GB"/>
        </w:rPr>
        <w:t>SaveLUBE project, funded by the FSE+ program, ESF2_f3_0006 CUP: B56FF24000090001.</w:t>
      </w:r>
    </w:p>
    <w:p w14:paraId="18D295D6" w14:textId="77777777" w:rsidR="00185661" w:rsidRDefault="00000000">
      <w:pPr>
        <w:pStyle w:val="berschrift1"/>
        <w:rPr>
          <w:rFonts w:cstheme="majorBidi"/>
        </w:rPr>
      </w:pPr>
      <w:r>
        <w:rPr>
          <w:rFonts w:cstheme="majorBidi"/>
        </w:rPr>
        <w:t>References</w:t>
      </w:r>
    </w:p>
    <w:p w14:paraId="664B48F9" w14:textId="77777777" w:rsidR="00B33327" w:rsidRDefault="00000000">
      <w:pPr>
        <w:pStyle w:val="Reference"/>
      </w:pPr>
      <w:r>
        <w:t xml:space="preserve">F. Sadeghi, U. Arya, S. Aamer, and A. Meinel, “A review of computational fluid dynamics approaches used to investigate lubrication of rolling element bearings,” </w:t>
      </w:r>
      <w:r>
        <w:rPr>
          <w:i/>
          <w:iCs/>
        </w:rPr>
        <w:t>J. Tribol.</w:t>
      </w:r>
      <w:r>
        <w:t xml:space="preserve">, 2024, vol. 146, no. 10, pp. 100801. </w:t>
      </w:r>
      <w:hyperlink r:id="rId23">
        <w:r w:rsidR="00B33327">
          <w:rPr>
            <w:rStyle w:val="Hyperlink"/>
          </w:rPr>
          <w:t>https://doi.org/10.1115/1.4065663</w:t>
        </w:r>
      </w:hyperlink>
    </w:p>
    <w:p w14:paraId="713B61A7" w14:textId="77777777" w:rsidR="00B33327" w:rsidRDefault="00000000">
      <w:pPr>
        <w:pStyle w:val="Reference"/>
      </w:pPr>
      <w:r>
        <w:t xml:space="preserve">A. Chronis, A. Dubor, E. Cabay, M. S. Roudsari, “Integration of CFD in computational design,” Proceedings of eCAADe 2017, pp. 601-610. </w:t>
      </w:r>
    </w:p>
    <w:p w14:paraId="0E1E44C6" w14:textId="77777777" w:rsidR="00B33327" w:rsidRDefault="00000000">
      <w:pPr>
        <w:pStyle w:val="Reference"/>
      </w:pPr>
      <w:r>
        <w:rPr>
          <w:lang w:val="it-IT"/>
        </w:rPr>
        <w:t xml:space="preserve">L. Maccioni, V. G. Chernoray, F. Concli. </w:t>
      </w:r>
      <w:r>
        <w:t>“Investigating lubricant behavior in a partially flooded tapered roller bearing: Validation of a multiphase CFD solver for aerated oil sump via particle image velocimetry studies and high-speed camera acquisitions,” </w:t>
      </w:r>
      <w:r>
        <w:rPr>
          <w:i/>
          <w:iCs/>
        </w:rPr>
        <w:t>Tribology International</w:t>
      </w:r>
      <w:r>
        <w:t xml:space="preserve">, 2025, vol. 201, pp. 110274. </w:t>
      </w:r>
      <w:hyperlink r:id="rId24">
        <w:r w:rsidR="00B33327">
          <w:rPr>
            <w:rStyle w:val="Hyperlink"/>
          </w:rPr>
          <w:t>https://doi.org/10.1016/j.triboint.2024.110274</w:t>
        </w:r>
      </w:hyperlink>
    </w:p>
    <w:p w14:paraId="3A411235" w14:textId="77777777" w:rsidR="00B33327" w:rsidRDefault="00000000">
      <w:pPr>
        <w:pStyle w:val="Reference"/>
      </w:pPr>
      <w:r>
        <w:t xml:space="preserve">S. Aamer, F. Sadeghi, T. Russell, W. Peterson, A. Meinel, and H. Grillenberger, “Lubrication, flow visualization, and multiphase CFD modeling of ball bearing cage,” </w:t>
      </w:r>
      <w:r>
        <w:rPr>
          <w:i/>
          <w:iCs/>
        </w:rPr>
        <w:t>Tribol. Trans.</w:t>
      </w:r>
      <w:r>
        <w:t xml:space="preserve">, 2022, vol. 65, no. 6, pp. 1088–1098. </w:t>
      </w:r>
      <w:hyperlink r:id="rId25">
        <w:r w:rsidR="00B33327">
          <w:rPr>
            <w:rStyle w:val="Hyperlink"/>
          </w:rPr>
          <w:t>https://doi.org/10.1080/10402004.2022.2123420</w:t>
        </w:r>
      </w:hyperlink>
    </w:p>
    <w:p w14:paraId="6D645085" w14:textId="77777777" w:rsidR="00B33327" w:rsidRDefault="00000000">
      <w:pPr>
        <w:pStyle w:val="Reference"/>
      </w:pPr>
      <w:r>
        <w:t xml:space="preserve">L. Maccioni, L. Rüth, O. Koch, and F. Concli, “Load-independent power losses of fully flooded lubricated tapered roller bearings: Numerical and experimental investigation of the effect of operating temperature and housing wall distances,” </w:t>
      </w:r>
      <w:r>
        <w:rPr>
          <w:i/>
          <w:iCs/>
        </w:rPr>
        <w:t>Tribol. Trans.</w:t>
      </w:r>
      <w:r>
        <w:t xml:space="preserve">, 2023, vol. 66, no. 6, pp. 1078–1094. </w:t>
      </w:r>
      <w:hyperlink r:id="rId26">
        <w:r w:rsidR="00B33327">
          <w:rPr>
            <w:rStyle w:val="Hyperlink"/>
          </w:rPr>
          <w:t>https://doi.org/10.1080/10402004.2023.2254957</w:t>
        </w:r>
      </w:hyperlink>
    </w:p>
    <w:p w14:paraId="3C71F348" w14:textId="77777777" w:rsidR="00B33327" w:rsidRDefault="00000000">
      <w:pPr>
        <w:pStyle w:val="Reference"/>
      </w:pPr>
      <w:r>
        <w:t xml:space="preserve">A. Gonda, D. Großberndt, B. Sauer, and H. Schwarze, “Experimental and numerical investigations of hydraulic losses in rolling bearings under practice-oriented conditions,” </w:t>
      </w:r>
      <w:r>
        <w:rPr>
          <w:i/>
          <w:iCs/>
        </w:rPr>
        <w:t>Tribol. Schmier</w:t>
      </w:r>
      <w:r>
        <w:t>., 2018, vol. 65, pp. 7–13.</w:t>
      </w:r>
    </w:p>
    <w:p w14:paraId="7A8ED975" w14:textId="77777777" w:rsidR="00B33327" w:rsidRDefault="00000000">
      <w:pPr>
        <w:pStyle w:val="Reference"/>
      </w:pPr>
      <w:r>
        <w:t>H. Kamat, C. R. Kini, S. B. Shenoy. “Effect of cavitation and temperature on fluid film bearing using CFD and FSI technique: A review”. </w:t>
      </w:r>
      <w:r>
        <w:rPr>
          <w:i/>
          <w:iCs/>
        </w:rPr>
        <w:t>Archives of Computational Methods in Engineering</w:t>
      </w:r>
      <w:r>
        <w:t xml:space="preserve">, 2023, vol. 30, no. 3, pp. 1623-1636. </w:t>
      </w:r>
      <w:hyperlink r:id="rId27">
        <w:r w:rsidR="00B33327">
          <w:rPr>
            <w:rStyle w:val="Hyperlink"/>
          </w:rPr>
          <w:t>https://doi.org/10.1007/s11831-022-09847-z</w:t>
        </w:r>
      </w:hyperlink>
    </w:p>
    <w:p w14:paraId="55396892" w14:textId="77777777" w:rsidR="00B33327" w:rsidRDefault="00000000">
      <w:pPr>
        <w:pStyle w:val="Reference"/>
      </w:pPr>
      <w:r>
        <w:t xml:space="preserve">P. M. Lugt. “A review on grease lubrication in rolling bearings”. </w:t>
      </w:r>
      <w:r>
        <w:rPr>
          <w:i/>
          <w:iCs/>
        </w:rPr>
        <w:t>Tribol. Trans.</w:t>
      </w:r>
      <w:r>
        <w:t xml:space="preserve">, 2009, vol. 52, no. 4, pp. 470-480. </w:t>
      </w:r>
      <w:hyperlink r:id="rId28">
        <w:r w:rsidR="00B33327">
          <w:rPr>
            <w:rStyle w:val="Hyperlink"/>
          </w:rPr>
          <w:t>https://doi.org/10.1080/10402000802687940</w:t>
        </w:r>
      </w:hyperlink>
    </w:p>
    <w:p w14:paraId="166D87AD" w14:textId="77777777" w:rsidR="00B33327" w:rsidRDefault="00000000">
      <w:pPr>
        <w:pStyle w:val="Reference"/>
      </w:pPr>
      <w:r>
        <w:lastRenderedPageBreak/>
        <w:t xml:space="preserve">P. M. Lugt, “Modern advancements in lubricating grease technology,” </w:t>
      </w:r>
      <w:r>
        <w:rPr>
          <w:i/>
          <w:iCs/>
        </w:rPr>
        <w:t>Tribol. Int.</w:t>
      </w:r>
      <w:r>
        <w:t xml:space="preserve">, 2016, vol. 97, pp. 467–477. </w:t>
      </w:r>
      <w:hyperlink r:id="rId29">
        <w:r w:rsidR="00B33327">
          <w:rPr>
            <w:rStyle w:val="Hyperlink"/>
          </w:rPr>
          <w:t>https://doi.org/10.1016/j.triboint.2016.01.045</w:t>
        </w:r>
      </w:hyperlink>
    </w:p>
    <w:p w14:paraId="02FABB23" w14:textId="77777777" w:rsidR="00B33327" w:rsidRDefault="00000000">
      <w:pPr>
        <w:pStyle w:val="Reference"/>
      </w:pPr>
      <w:r>
        <w:t xml:space="preserve">S. Zhang, G. Jacobs, S. Vafaei, S. von Goeldel, and F. König, “CFD investigation of starvation behaviors in a grease lubricated EHL rolling contact,” </w:t>
      </w:r>
      <w:r>
        <w:rPr>
          <w:i/>
          <w:iCs/>
        </w:rPr>
        <w:t>Forsch. Im Ingenieurwesen</w:t>
      </w:r>
      <w:r>
        <w:t xml:space="preserve">, 2023, vol. 87, no. 1, pp. 353–362. </w:t>
      </w:r>
      <w:hyperlink r:id="rId30">
        <w:r w:rsidR="00B33327">
          <w:rPr>
            <w:rStyle w:val="Hyperlink"/>
          </w:rPr>
          <w:t>https://doi.org/10.1007/s10010-023-00633-2</w:t>
        </w:r>
      </w:hyperlink>
    </w:p>
    <w:p w14:paraId="67E9E589" w14:textId="77777777" w:rsidR="00B33327" w:rsidRDefault="00000000">
      <w:pPr>
        <w:pStyle w:val="Reference"/>
      </w:pPr>
      <w:r>
        <w:t xml:space="preserve">S. Zhang, G. Jacobs, S. von Goeldel, S. Vafaei, and F. König, “Prediction of film thickness in starved EHL point contacts using two-phase flow CFD model,” </w:t>
      </w:r>
      <w:r>
        <w:rPr>
          <w:i/>
          <w:iCs/>
        </w:rPr>
        <w:t>Tribol. Int.</w:t>
      </w:r>
      <w:r>
        <w:t xml:space="preserve">, 2023, vol. 178, p. 108103. </w:t>
      </w:r>
      <w:hyperlink r:id="rId31">
        <w:r w:rsidR="00B33327">
          <w:rPr>
            <w:rStyle w:val="Hyperlink"/>
          </w:rPr>
          <w:t>https://doi.org/10.1016/j.triboint.2022.108103</w:t>
        </w:r>
      </w:hyperlink>
    </w:p>
    <w:p w14:paraId="13179EFA" w14:textId="77777777" w:rsidR="00B33327" w:rsidRDefault="00000000">
      <w:pPr>
        <w:pStyle w:val="Reference"/>
      </w:pPr>
      <w:r>
        <w:t xml:space="preserve">S. Zhang, B. Klinghart, G. Jacobs, S. von Goeldel, and F. König, “Prediction of bleeding behavior and film thickness evolution in grease lubricated rolling contacts,” </w:t>
      </w:r>
      <w:r>
        <w:rPr>
          <w:i/>
          <w:iCs/>
        </w:rPr>
        <w:t>Tribol. Int.</w:t>
      </w:r>
      <w:r>
        <w:t xml:space="preserve">, 2024, vol. 193, p. 109369. </w:t>
      </w:r>
      <w:hyperlink r:id="rId32">
        <w:r w:rsidR="00B33327">
          <w:rPr>
            <w:rStyle w:val="Hyperlink"/>
          </w:rPr>
          <w:t>https://doi.org/10.1016/j.triboint.2024.109369</w:t>
        </w:r>
      </w:hyperlink>
    </w:p>
    <w:p w14:paraId="0C3A9E03" w14:textId="77777777" w:rsidR="00B33327" w:rsidRDefault="00000000">
      <w:pPr>
        <w:pStyle w:val="Reference"/>
      </w:pPr>
      <w:r>
        <w:t xml:space="preserve">D. Fischer, S. von Goeldel, G. Jacobs, and A. Stratmann, “Numerical investigation of effects on replenishment in rolling point contacts using CFD simulations,” </w:t>
      </w:r>
      <w:r>
        <w:rPr>
          <w:i/>
          <w:iCs/>
        </w:rPr>
        <w:t>Tribol. Int.</w:t>
      </w:r>
      <w:r>
        <w:t xml:space="preserve">, 2021, vol. 157, p. 106858. </w:t>
      </w:r>
      <w:hyperlink r:id="rId33">
        <w:r w:rsidR="00B33327">
          <w:rPr>
            <w:rStyle w:val="Hyperlink"/>
          </w:rPr>
          <w:t>https://doi.org/10.1016/j.triboint.2021.106858</w:t>
        </w:r>
      </w:hyperlink>
    </w:p>
    <w:p w14:paraId="3FCC8D9D" w14:textId="77777777" w:rsidR="00B33327" w:rsidRDefault="00000000">
      <w:pPr>
        <w:pStyle w:val="Reference"/>
      </w:pPr>
      <w:r>
        <w:t xml:space="preserve">J. Wang, M. P. Pandya, and F. Greco, “Detection of active grease reservoirs in bearings by CFD,” </w:t>
      </w:r>
      <w:r>
        <w:rPr>
          <w:i/>
          <w:iCs/>
        </w:rPr>
        <w:t>Tribol. Int.</w:t>
      </w:r>
      <w:r>
        <w:t xml:space="preserve">, 2023, vol. 179, p. 108146. </w:t>
      </w:r>
      <w:hyperlink r:id="rId34">
        <w:r w:rsidR="00B33327">
          <w:rPr>
            <w:rStyle w:val="Hyperlink"/>
          </w:rPr>
          <w:t>https://doi.org/10.1016/j.triboint.2022.108146</w:t>
        </w:r>
      </w:hyperlink>
    </w:p>
    <w:p w14:paraId="2561A68A" w14:textId="77777777" w:rsidR="00B33327" w:rsidRDefault="00000000">
      <w:pPr>
        <w:pStyle w:val="Reference"/>
      </w:pPr>
      <w:r>
        <w:rPr>
          <w:lang w:val="en-GB"/>
        </w:rPr>
        <w:t xml:space="preserve">P. M. Lugt and S. </w:t>
      </w:r>
      <w:proofErr w:type="gramStart"/>
      <w:r>
        <w:rPr>
          <w:lang w:val="en-GB"/>
        </w:rPr>
        <w:t>Velickov,  J.</w:t>
      </w:r>
      <w:proofErr w:type="gramEnd"/>
      <w:r>
        <w:rPr>
          <w:lang w:val="en-GB"/>
        </w:rPr>
        <w:t xml:space="preserve"> H. Tripp. “</w:t>
      </w:r>
      <w:r>
        <w:t xml:space="preserve">On the chaotic behavior of grease lubrication in rolling bearings”. </w:t>
      </w:r>
      <w:r>
        <w:rPr>
          <w:i/>
          <w:iCs/>
        </w:rPr>
        <w:t>Tribol. Trans.</w:t>
      </w:r>
      <w:r>
        <w:t xml:space="preserve">, 2009, vol. 52, no. 5, pp. 581-590. </w:t>
      </w:r>
      <w:hyperlink r:id="rId35">
        <w:r w:rsidR="00B33327">
          <w:rPr>
            <w:rStyle w:val="Hyperlink"/>
          </w:rPr>
          <w:t>https://doi.org/10.1080/10402000902825713</w:t>
        </w:r>
      </w:hyperlink>
    </w:p>
    <w:p w14:paraId="2E3EC231" w14:textId="77777777" w:rsidR="00B33327" w:rsidRDefault="00000000">
      <w:pPr>
        <w:pStyle w:val="Reference"/>
      </w:pPr>
      <w:r>
        <w:t xml:space="preserve">K.R. Sathwik Chatra and P. M. Lugt. The process of churning in a grease lubricated rolling bearing: Channeling and clearing. </w:t>
      </w:r>
      <w:r>
        <w:rPr>
          <w:i/>
          <w:iCs/>
        </w:rPr>
        <w:t>Tribol. Int.</w:t>
      </w:r>
      <w:r>
        <w:t xml:space="preserve">, 2021, vol. 153, pp. 106661. </w:t>
      </w:r>
      <w:hyperlink r:id="rId36" w:tgtFrame="Persistent link using digital object identifier">
        <w:r w:rsidR="00B33327">
          <w:rPr>
            <w:rStyle w:val="Hyperlink"/>
          </w:rPr>
          <w:t>https://doi.org/10.1016/j.triboint.2020.106661</w:t>
        </w:r>
      </w:hyperlink>
    </w:p>
    <w:p w14:paraId="38ACA546" w14:textId="77777777" w:rsidR="00B33327" w:rsidRDefault="00000000">
      <w:pPr>
        <w:pStyle w:val="Reference"/>
      </w:pPr>
      <w:r>
        <w:rPr>
          <w:lang w:val="it-IT"/>
        </w:rPr>
        <w:t xml:space="preserve">K. S. Chatra, J. A. Osara, P. M. Lugt. </w:t>
      </w:r>
      <w:r>
        <w:t xml:space="preserve">Impact of grease churning on grease leakage, oil bleeding and grease rheology. </w:t>
      </w:r>
      <w:r>
        <w:rPr>
          <w:i/>
          <w:iCs/>
        </w:rPr>
        <w:t>Tribol. Int.</w:t>
      </w:r>
      <w:r>
        <w:t xml:space="preserve">, 2022, vol. 176, pp. 107926. </w:t>
      </w:r>
      <w:hyperlink r:id="rId37" w:tgtFrame="Persistent link using digital object identifier">
        <w:r w:rsidR="00B33327">
          <w:rPr>
            <w:rStyle w:val="Hyperlink"/>
          </w:rPr>
          <w:t>https://doi.org/10.1016/j.triboint.2022.107926</w:t>
        </w:r>
      </w:hyperlink>
    </w:p>
    <w:p w14:paraId="524D2F3E" w14:textId="77777777" w:rsidR="00B33327" w:rsidRDefault="00000000">
      <w:pPr>
        <w:pStyle w:val="Reference"/>
      </w:pPr>
      <w:r>
        <w:rPr>
          <w:lang w:val="it-IT"/>
        </w:rPr>
        <w:t xml:space="preserve">K. S. Chatra, J. A. Osara, P. M. Lugt. </w:t>
      </w:r>
      <w:r>
        <w:t xml:space="preserve">The lubrication mechanism behind the transition from churning to bleeding in grease lubricated bearings–Experimental characterization. </w:t>
      </w:r>
      <w:r>
        <w:rPr>
          <w:i/>
          <w:iCs/>
        </w:rPr>
        <w:t>Tribol. Int.</w:t>
      </w:r>
      <w:r>
        <w:t xml:space="preserve">, 2023, vol. 183, pp. 108375. </w:t>
      </w:r>
      <w:hyperlink r:id="rId38" w:tgtFrame="Persistent link using digital object identifier">
        <w:r w:rsidR="00B33327">
          <w:rPr>
            <w:rStyle w:val="Hyperlink"/>
          </w:rPr>
          <w:t>https://doi.org/10.1016/j.triboint.2023.108375</w:t>
        </w:r>
      </w:hyperlink>
    </w:p>
    <w:p w14:paraId="761A3BEE" w14:textId="77777777" w:rsidR="00B33327" w:rsidRDefault="00000000">
      <w:pPr>
        <w:pStyle w:val="Reference"/>
      </w:pPr>
      <w:r>
        <w:t>ISO 2137:2007, Petroleum products — Lubricating greases and petrolatum — Determination of cone penetration, ISO, Geneva.</w:t>
      </w:r>
    </w:p>
    <w:p w14:paraId="677A1491" w14:textId="77777777" w:rsidR="00B33327" w:rsidRDefault="00000000">
      <w:pPr>
        <w:pStyle w:val="Reference"/>
      </w:pPr>
      <w:r>
        <w:t>ASTM D217-21, Standard Test Methods for Cone Penetration of Lubricating Grease, ASTM International, West Conshohocken, PA.</w:t>
      </w:r>
    </w:p>
    <w:p w14:paraId="5173E94C" w14:textId="77777777" w:rsidR="00B33327" w:rsidRDefault="00000000">
      <w:pPr>
        <w:pStyle w:val="Reference"/>
      </w:pPr>
      <w:r>
        <w:t xml:space="preserve">G. M. Gow. “The CEY to grease rheology,” </w:t>
      </w:r>
      <w:r>
        <w:rPr>
          <w:i/>
          <w:iCs/>
        </w:rPr>
        <w:t>Trans. Mech. Eng.</w:t>
      </w:r>
      <w:r>
        <w:t>, The Institution of Engineers, Australia, Special Issue Tribology, vol. ME16, no. 3, pp. 202–205, 1991.</w:t>
      </w:r>
    </w:p>
    <w:p w14:paraId="66C9F4A7" w14:textId="77777777" w:rsidR="00B33327" w:rsidRDefault="00000000">
      <w:pPr>
        <w:pStyle w:val="Reference"/>
      </w:pPr>
      <w:r>
        <w:t xml:space="preserve">I. Couronné, G. Blettner, and P. Vergne, “Rheological behavior of greases: Part I—Effects of composition and structure,” </w:t>
      </w:r>
      <w:r>
        <w:rPr>
          <w:i/>
          <w:iCs/>
        </w:rPr>
        <w:t>Tribol. Trans.</w:t>
      </w:r>
      <w:r>
        <w:t xml:space="preserve">, vol. 43, no. 4, pp. 619–626, 2000. </w:t>
      </w:r>
      <w:hyperlink r:id="rId39">
        <w:r w:rsidR="00B33327">
          <w:rPr>
            <w:rStyle w:val="Hyperlink"/>
          </w:rPr>
          <w:t>https://doi.org/10.1080/10402000008982386</w:t>
        </w:r>
      </w:hyperlink>
    </w:p>
    <w:p w14:paraId="6CBBA805" w14:textId="77777777" w:rsidR="00B33327" w:rsidRPr="002D2299" w:rsidRDefault="00000000">
      <w:pPr>
        <w:pStyle w:val="Reference"/>
        <w:rPr>
          <w:lang w:val="de-DE"/>
        </w:rPr>
      </w:pPr>
      <w:r>
        <w:t xml:space="preserve">A. W. Sisko, “The flow of lubricating greases,” </w:t>
      </w:r>
      <w:r>
        <w:rPr>
          <w:i/>
          <w:iCs/>
        </w:rPr>
        <w:t xml:space="preserve">Ind. Eng. </w:t>
      </w:r>
      <w:r w:rsidRPr="002D2299">
        <w:rPr>
          <w:i/>
          <w:iCs/>
          <w:lang w:val="de-DE"/>
        </w:rPr>
        <w:t>Chem.</w:t>
      </w:r>
      <w:r w:rsidRPr="002D2299">
        <w:rPr>
          <w:lang w:val="de-DE"/>
        </w:rPr>
        <w:t xml:space="preserve">, 1958, vol. 50, pp. 1789–1792. </w:t>
      </w:r>
      <w:hyperlink r:id="rId40">
        <w:r w:rsidR="00B33327" w:rsidRPr="002D2299">
          <w:rPr>
            <w:rStyle w:val="Hyperlink"/>
            <w:lang w:val="de-DE"/>
          </w:rPr>
          <w:t>https://doi.org/10.1021/ie50588a042</w:t>
        </w:r>
      </w:hyperlink>
      <w:r w:rsidRPr="002D2299">
        <w:rPr>
          <w:lang w:val="de-DE"/>
        </w:rPr>
        <w:t xml:space="preserve"> </w:t>
      </w:r>
    </w:p>
    <w:p w14:paraId="7629C398" w14:textId="77777777" w:rsidR="00B33327" w:rsidRDefault="00000000">
      <w:pPr>
        <w:pStyle w:val="Reference"/>
        <w:rPr>
          <w:lang w:val="it-IT"/>
        </w:rPr>
      </w:pPr>
      <w:r>
        <w:t xml:space="preserve">K. D. Bogie and J. Harris, “The rheology of greases,” </w:t>
      </w:r>
      <w:r>
        <w:rPr>
          <w:i/>
          <w:iCs/>
        </w:rPr>
        <w:t xml:space="preserve">Rheol. </w:t>
      </w:r>
      <w:r>
        <w:rPr>
          <w:i/>
          <w:iCs/>
          <w:lang w:val="it-IT"/>
        </w:rPr>
        <w:t>Acta</w:t>
      </w:r>
      <w:r>
        <w:rPr>
          <w:lang w:val="it-IT"/>
        </w:rPr>
        <w:t xml:space="preserve">, 1968, vol. 7, pp. 255. </w:t>
      </w:r>
      <w:hyperlink r:id="rId41">
        <w:r w:rsidR="00B33327">
          <w:rPr>
            <w:rStyle w:val="Hyperlink"/>
            <w:lang w:val="it-IT"/>
          </w:rPr>
          <w:t>https://doi.org/10.1007/bf01985786</w:t>
        </w:r>
      </w:hyperlink>
    </w:p>
    <w:p w14:paraId="3B41A11E" w14:textId="77777777" w:rsidR="00B33327" w:rsidRDefault="00000000">
      <w:pPr>
        <w:pStyle w:val="Reference"/>
      </w:pPr>
      <w:r>
        <w:t xml:space="preserve">H. E. Mahncke and W. Tabor, “A simple demonstration of flow type greases,” </w:t>
      </w:r>
      <w:r>
        <w:rPr>
          <w:i/>
          <w:iCs/>
        </w:rPr>
        <w:t>Lubr. Eng.</w:t>
      </w:r>
      <w:r>
        <w:t xml:space="preserve">, 1955, vol. 11, pp. 22.    </w:t>
      </w:r>
    </w:p>
    <w:p w14:paraId="5FCEE253" w14:textId="77777777" w:rsidR="00B33327" w:rsidRDefault="00000000">
      <w:pPr>
        <w:pStyle w:val="Reference"/>
      </w:pPr>
      <w:r>
        <w:t xml:space="preserve">C. R. Singleterry and E. E. Stane, “Rheological properties of lubricating greases,” </w:t>
      </w:r>
      <w:r>
        <w:rPr>
          <w:i/>
          <w:iCs/>
        </w:rPr>
        <w:t>Colloid. Sci.</w:t>
      </w:r>
      <w:r>
        <w:t xml:space="preserve">, 1951, vol. 6, pp. 171. </w:t>
      </w:r>
      <w:hyperlink r:id="rId42">
        <w:r w:rsidR="00B33327">
          <w:rPr>
            <w:rStyle w:val="Hyperlink"/>
          </w:rPr>
          <w:t>https://doi.org/10.1016/0095-8522(51)90037-2</w:t>
        </w:r>
      </w:hyperlink>
    </w:p>
    <w:p w14:paraId="1ECD6F9C" w14:textId="77777777" w:rsidR="00B33327" w:rsidRDefault="00000000">
      <w:pPr>
        <w:pStyle w:val="Reference"/>
      </w:pPr>
      <w:r>
        <w:t xml:space="preserve">T. C. Papanastasiou. “Flows of materials with yield”. </w:t>
      </w:r>
      <w:r>
        <w:rPr>
          <w:i/>
          <w:iCs/>
        </w:rPr>
        <w:t>Journal of rheology</w:t>
      </w:r>
      <w:r>
        <w:t xml:space="preserve">, 1987, vol. 31, no. 5, pp. 385-404. </w:t>
      </w:r>
      <w:hyperlink r:id="rId43">
        <w:r w:rsidR="00B33327">
          <w:rPr>
            <w:rStyle w:val="Hyperlink"/>
          </w:rPr>
          <w:t>https://doi.org/10.1122/1.549926</w:t>
        </w:r>
      </w:hyperlink>
      <w:r>
        <w:t xml:space="preserve"> </w:t>
      </w:r>
    </w:p>
    <w:p w14:paraId="4A3F64E6" w14:textId="77777777" w:rsidR="00B33327" w:rsidRDefault="00000000">
      <w:pPr>
        <w:pStyle w:val="Reference"/>
      </w:pPr>
      <w:r>
        <w:t xml:space="preserve">W. Herschel and R. Bulkley, “Measurement of consistency as applied to rubber-benzene solutions,” </w:t>
      </w:r>
      <w:r>
        <w:rPr>
          <w:i/>
          <w:iCs/>
        </w:rPr>
        <w:t>Am. Soc. Test. Mater.</w:t>
      </w:r>
      <w:r>
        <w:t xml:space="preserve">, Proc., 1926, vol. 26, pp. 621–633.  </w:t>
      </w:r>
    </w:p>
    <w:p w14:paraId="7D0EB25A" w14:textId="77777777" w:rsidR="00B33327" w:rsidRDefault="00000000">
      <w:pPr>
        <w:pStyle w:val="Reference"/>
      </w:pPr>
      <w:r>
        <w:t xml:space="preserve">M. N. Mastrone and F. Concli, “CFD simulation of grease lubrication: Analysis of the power losses and lubricant flows inside a back-to-back test rig gearbox,” </w:t>
      </w:r>
      <w:r>
        <w:rPr>
          <w:i/>
          <w:iCs/>
        </w:rPr>
        <w:t>J. Non-Newtonian Fluid Mech.</w:t>
      </w:r>
      <w:r>
        <w:t xml:space="preserve">, 2021, vol. 297, pp. 104652. </w:t>
      </w:r>
      <w:hyperlink r:id="rId44">
        <w:r w:rsidR="00B33327">
          <w:rPr>
            <w:rStyle w:val="Hyperlink"/>
          </w:rPr>
          <w:t>https://doi.org/10.1016/j.jnnfm.2021.104652</w:t>
        </w:r>
      </w:hyperlink>
    </w:p>
    <w:p w14:paraId="37DD2EFE" w14:textId="77777777" w:rsidR="00B33327" w:rsidRDefault="00000000">
      <w:pPr>
        <w:pStyle w:val="Reference"/>
      </w:pPr>
      <w:r>
        <w:t xml:space="preserve">A. Raj, C. Sarkar, and M. Pathak, “Thermal and multiphase flow simulations of polytetrafluoroethylene-based grease flow in restricted geometry,” Proc. Inst. Mech. Eng. </w:t>
      </w:r>
      <w:r>
        <w:rPr>
          <w:i/>
          <w:iCs/>
        </w:rPr>
        <w:t>J: Eng. Tribol.</w:t>
      </w:r>
      <w:r>
        <w:t xml:space="preserve">, 2022, vol. 236, no. 1, pp. 80–89. </w:t>
      </w:r>
      <w:hyperlink r:id="rId45">
        <w:r w:rsidR="00B33327">
          <w:rPr>
            <w:rStyle w:val="Hyperlink"/>
          </w:rPr>
          <w:t>https://doi.org/10.1177/13506501211009406</w:t>
        </w:r>
      </w:hyperlink>
    </w:p>
    <w:p w14:paraId="3B608956" w14:textId="77777777" w:rsidR="00B33327" w:rsidRDefault="00000000">
      <w:pPr>
        <w:pStyle w:val="Reference"/>
      </w:pPr>
      <w:r>
        <w:t xml:space="preserve">T. Noda, K. Shibasaki, Q. J. Wang. “X-ray ct imaging of grease behavior in ball bearing and multi-scale grease flows simulation.” In Proceedings of the Society of Tribologists and Lubrication Engineers Annual Meeting and Exhibition, pp. 361-362. </w:t>
      </w:r>
    </w:p>
    <w:p w14:paraId="01817187" w14:textId="77777777" w:rsidR="00B33327" w:rsidRDefault="00000000">
      <w:pPr>
        <w:pStyle w:val="Reference"/>
      </w:pPr>
      <w:r>
        <w:lastRenderedPageBreak/>
        <w:t xml:space="preserve">T. Noda, K. Shibasaki, S. Miyata, and M. Taniguchi, “X-ray CT imaging of grease behavior in ball bearing and numerical validation of multi-phase flows simulation,” </w:t>
      </w:r>
      <w:r>
        <w:rPr>
          <w:i/>
          <w:iCs/>
        </w:rPr>
        <w:t>Tribol. Online</w:t>
      </w:r>
      <w:r>
        <w:t xml:space="preserve">, 2020, vol. 15, no. 1, pp. 36–44. </w:t>
      </w:r>
      <w:hyperlink r:id="rId46">
        <w:r w:rsidR="00B33327">
          <w:rPr>
            <w:rStyle w:val="Hyperlink"/>
          </w:rPr>
          <w:t>https://doi.org/10.2474/trol.15.36</w:t>
        </w:r>
      </w:hyperlink>
    </w:p>
    <w:p w14:paraId="5DECEDE1" w14:textId="77777777" w:rsidR="00B33327" w:rsidRDefault="00000000">
      <w:pPr>
        <w:pStyle w:val="Reference"/>
      </w:pPr>
      <w:r>
        <w:t xml:space="preserve">B. Wang, Z. Wang, C. Sun, and Y. Wu, “Numerical investigation of the heat-fluid characteristic inside high-speed angular contact ball bearing lubricated with grease,” </w:t>
      </w:r>
      <w:r>
        <w:rPr>
          <w:i/>
          <w:iCs/>
        </w:rPr>
        <w:t>Int. J. Eng.</w:t>
      </w:r>
      <w:r>
        <w:t xml:space="preserve">, 2021, vol. 34, no. 5, pp. 1313–1320. </w:t>
      </w:r>
      <w:hyperlink r:id="rId47">
        <w:r w:rsidR="00B33327">
          <w:rPr>
            <w:rStyle w:val="Hyperlink"/>
          </w:rPr>
          <w:t>https://doi.org/10.5829/ije.2021.34.05b.26</w:t>
        </w:r>
      </w:hyperlink>
    </w:p>
    <w:p w14:paraId="656EC686" w14:textId="77777777" w:rsidR="00B33327" w:rsidRDefault="00000000">
      <w:pPr>
        <w:pStyle w:val="Reference"/>
      </w:pPr>
      <w:r>
        <w:rPr>
          <w:lang w:val="it-IT"/>
        </w:rPr>
        <w:t xml:space="preserve">C. Fu, T. Chen, H. Yang, H. Li, Y. Li, Y. Zhang, W. He, H. Cong. </w:t>
      </w:r>
      <w:r>
        <w:rPr>
          <w:lang w:val="en-GB"/>
        </w:rPr>
        <w:t>“</w:t>
      </w:r>
      <w:r>
        <w:t xml:space="preserve">Analysis of Temperature Characteristics of Double-Row Spherical Roller Bearings Based on CFD.” Lubricants, 2025, vol. 13, no. 2, pp. 85. </w:t>
      </w:r>
      <w:hyperlink r:id="rId48">
        <w:r w:rsidR="00B33327">
          <w:rPr>
            <w:rStyle w:val="Hyperlink"/>
          </w:rPr>
          <w:t>https://doi.org/10.3390/lubricants13020085</w:t>
        </w:r>
      </w:hyperlink>
    </w:p>
    <w:sectPr w:rsidR="00B33327">
      <w:footerReference w:type="even" r:id="rId49"/>
      <w:footerReference w:type="default" r:id="rId50"/>
      <w:footerReference w:type="first" r:id="rId51"/>
      <w:pgSz w:w="12240" w:h="15840"/>
      <w:pgMar w:top="1440" w:right="1440" w:bottom="1440" w:left="1440" w:header="0" w:footer="720"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F31A3" w14:textId="77777777" w:rsidR="00531040" w:rsidRDefault="00531040">
      <w:r>
        <w:separator/>
      </w:r>
    </w:p>
  </w:endnote>
  <w:endnote w:type="continuationSeparator" w:id="0">
    <w:p w14:paraId="6CA8796B" w14:textId="77777777" w:rsidR="00531040" w:rsidRDefault="00531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rlito">
    <w:altName w:val="Calibri"/>
    <w:charset w:val="01"/>
    <w:family w:val="swiss"/>
    <w:pitch w:val="variable"/>
  </w:font>
  <w:font w:name="Noto Sans SC Regular">
    <w:panose1 w:val="00000000000000000000"/>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EBBA1" w14:textId="17394740" w:rsidR="00B33327" w:rsidRDefault="00000000">
    <w:pPr>
      <w:pStyle w:val="Fuzeile"/>
    </w:pPr>
    <w:r>
      <w:rPr>
        <w:noProof/>
      </w:rPr>
      <w:pict w14:anchorId="67914440">
        <v:rect id="Textfeld 2" o:spid="_x0000_s1027" alt="INTERNAL" style="position:absolute;margin-left:0;margin-top:0;width:32.5pt;height:24.75pt;z-index:-251659776;visibility:visible;mso-wrap-style:square;mso-wrap-distance-left:0;mso-wrap-distance-top:0;mso-wrap-distance-right:.5pt;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" o:allowincell="f" filled="f" stroked="f" strokeweight="0">
          <v:textbox style="mso-fit-shape-to-text:t" inset="0,0,0,5.29mm">
            <w:txbxContent>
              <w:p w14:paraId="7403F448" w14:textId="77777777" w:rsidR="00B33327" w:rsidRDefault="00000000">
                <w:pPr>
                  <w:pStyle w:val="FrameContents"/>
                  <w:rPr>
                    <w:rFonts w:ascii="Calibri" w:eastAsia="Calibri" w:hAnsi="Calibri" w:cs="Calibri"/>
                    <w:color w:val="000000"/>
                    <w:sz w:val="16"/>
                    <w:szCs w:val="16"/>
                  </w:rPr>
                </w:pPr>
                <w:r>
                  <w:rPr>
                    <w:rFonts w:ascii="Calibri" w:eastAsia="Calibri" w:hAnsi="Calibri" w:cs="Calibri"/>
                    <w:color w:val="000000"/>
                    <w:sz w:val="16"/>
                    <w:szCs w:val="16"/>
                  </w:rPr>
                  <w:t>INTERNAL</w:t>
                </w:r>
              </w:p>
            </w:txbxContent>
          </v:textbox>
          <w10:wrap anchorx="page" anchory="page"/>
        </v:rec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4329F" w14:textId="6A9D3E2C" w:rsidR="00B33327" w:rsidRDefault="00000000">
    <w:pPr>
      <w:pStyle w:val="Fuzeile"/>
    </w:pPr>
    <w:r>
      <w:rPr>
        <w:noProof/>
      </w:rPr>
      <w:pict w14:anchorId="139C1ECB">
        <v:rect id="Textfeld 3" o:spid="_x0000_s1026" alt="INTERNAL" style="position:absolute;margin-left:0;margin-top:0;width:32.5pt;height:24.65pt;z-index:-251658752;visibility:visible;mso-wrap-style:square;mso-wrap-distance-left:0;mso-wrap-distance-top:0;mso-wrap-distance-right:.5pt;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" o:allowincell="f" filled="f" stroked="f" strokeweight="0">
          <v:textbox style="mso-fit-shape-to-text:t" inset="0,0,0,5.29mm">
            <w:txbxContent>
              <w:p w14:paraId="074D4484" w14:textId="77777777" w:rsidR="00B33327" w:rsidRDefault="00B33327">
                <w:pPr>
                  <w:pStyle w:val="FrameContents"/>
                  <w:rPr>
                    <w:rFonts w:ascii="Calibri" w:eastAsia="Calibri" w:hAnsi="Calibri" w:cs="Calibri"/>
                    <w:color w:val="000000"/>
                    <w:sz w:val="16"/>
                    <w:szCs w:val="16"/>
                  </w:rPr>
                </w:pPr>
              </w:p>
            </w:txbxContent>
          </v:textbox>
          <w10:wrap anchorx="page" anchory="page"/>
        </v:rect>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65DE6" w14:textId="19ED74C5" w:rsidR="00B33327" w:rsidRDefault="00000000">
    <w:pPr>
      <w:pStyle w:val="Fuzeile"/>
    </w:pPr>
    <w:r>
      <w:rPr>
        <w:noProof/>
      </w:rPr>
      <w:pict w14:anchorId="426B00B7">
        <v:rect id="_x0000_s1025" alt="INTERNAL" style="position:absolute;margin-left:0;margin-top:0;width:32.5pt;height:24.65pt;z-index:-251657728;visibility:visible;mso-wrap-style:square;mso-wrap-distance-left:0;mso-wrap-distance-top:0;mso-wrap-distance-right:.5pt;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" o:allowincell="f" filled="f" stroked="f" strokeweight="0">
          <v:textbox style="mso-fit-shape-to-text:t" inset="0,0,0,5.29mm">
            <w:txbxContent>
              <w:p w14:paraId="4D1868F7" w14:textId="77777777" w:rsidR="00B33327" w:rsidRDefault="00B33327">
                <w:pPr>
                  <w:pStyle w:val="FrameContents"/>
                  <w:rPr>
                    <w:rFonts w:ascii="Calibri" w:eastAsia="Calibri" w:hAnsi="Calibri" w:cs="Calibri"/>
                    <w:color w:val="000000"/>
                    <w:sz w:val="16"/>
                    <w:szCs w:val="16"/>
                  </w:rPr>
                </w:pPr>
              </w:p>
            </w:txbxContent>
          </v:textbox>
          <w10:wrap anchorx="page" anchory="page"/>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6838F" w14:textId="77777777" w:rsidR="00531040" w:rsidRDefault="00531040">
      <w:r>
        <w:separator/>
      </w:r>
    </w:p>
  </w:footnote>
  <w:footnote w:type="continuationSeparator" w:id="0">
    <w:p w14:paraId="73408707" w14:textId="77777777" w:rsidR="00531040" w:rsidRDefault="005310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834C9"/>
    <w:multiLevelType w:val="multilevel"/>
    <w:tmpl w:val="7E62D45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2C6311C"/>
    <w:multiLevelType w:val="multilevel"/>
    <w:tmpl w:val="945898FC"/>
    <w:lvl w:ilvl="0">
      <w:start w:val="1"/>
      <w:numFmt w:val="decimal"/>
      <w:pStyle w:val="Paragraphnumbered"/>
      <w:lvlText w:val="%1."/>
      <w:lvlJc w:val="left"/>
      <w:pPr>
        <w:tabs>
          <w:tab w:val="num" w:pos="0"/>
        </w:tabs>
        <w:ind w:left="644"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 w15:restartNumberingAfterBreak="0">
    <w:nsid w:val="39FD661E"/>
    <w:multiLevelType w:val="hybridMultilevel"/>
    <w:tmpl w:val="790C25A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58B0242"/>
    <w:multiLevelType w:val="multilevel"/>
    <w:tmpl w:val="B9349592"/>
    <w:lvl w:ilvl="0">
      <w:start w:val="1"/>
      <w:numFmt w:val="decimal"/>
      <w:pStyle w:val="Reference"/>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6FE45838"/>
    <w:multiLevelType w:val="multilevel"/>
    <w:tmpl w:val="4F3C37D0"/>
    <w:lvl w:ilvl="0">
      <w:start w:val="1"/>
      <w:numFmt w:val="bullet"/>
      <w:pStyle w:val="Paragraphbulleted"/>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num w:numId="1" w16cid:durableId="587888071">
    <w:abstractNumId w:val="0"/>
  </w:num>
  <w:num w:numId="2" w16cid:durableId="1114667432">
    <w:abstractNumId w:val="3"/>
  </w:num>
  <w:num w:numId="3" w16cid:durableId="992830502">
    <w:abstractNumId w:val="4"/>
  </w:num>
  <w:num w:numId="4" w16cid:durableId="1315987538">
    <w:abstractNumId w:val="1"/>
  </w:num>
  <w:num w:numId="5" w16cid:durableId="7669286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defaultTabStop w:val="720"/>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33327"/>
    <w:rsid w:val="00185661"/>
    <w:rsid w:val="00206769"/>
    <w:rsid w:val="002D2299"/>
    <w:rsid w:val="003665CB"/>
    <w:rsid w:val="00444FC7"/>
    <w:rsid w:val="00475459"/>
    <w:rsid w:val="00531040"/>
    <w:rsid w:val="00602094"/>
    <w:rsid w:val="006E6199"/>
    <w:rsid w:val="007001B7"/>
    <w:rsid w:val="00730DFE"/>
    <w:rsid w:val="00815740"/>
    <w:rsid w:val="00827450"/>
    <w:rsid w:val="00834E7D"/>
    <w:rsid w:val="00B33327"/>
    <w:rsid w:val="00BB3C8A"/>
    <w:rsid w:val="00C12EE8"/>
    <w:rsid w:val="00D01362"/>
    <w:rsid w:val="00F47888"/>
  </w:rsids>
  <m:mathPr>
    <m:mathFont m:val="Cambria Math"/>
    <m:brkBin m:val="before"/>
    <m:brkBinSub m:val="--"/>
    <m:smallFrac m:val="0"/>
    <m:dispDef/>
    <m:lMargin m:val="0"/>
    <m:rMargin m:val="0"/>
    <m:defJc m:val="centerGroup"/>
    <m:wrapIndent m:val="1440"/>
    <m:intLim m:val="subSup"/>
    <m:naryLim m:val="undOvr"/>
  </m:mathPr>
  <w:themeFontLang w:val="en-GB" w:eastAsi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BC79B8"/>
  <w15:docId w15:val="{52AA4C36-3F2F-47C0-96E1-6BA28107E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8027F"/>
    <w:rPr>
      <w:sz w:val="24"/>
      <w:lang w:val="en-US" w:eastAsia="en-US"/>
    </w:rPr>
  </w:style>
  <w:style w:type="paragraph" w:styleId="berschrift1">
    <w:name w:val="heading 1"/>
    <w:basedOn w:val="Standard"/>
    <w:next w:val="Paragraph"/>
    <w:link w:val="berschrift1Zchn"/>
    <w:qFormat/>
    <w:pPr>
      <w:keepNext/>
      <w:spacing w:before="240" w:after="240"/>
      <w:jc w:val="center"/>
      <w:outlineLvl w:val="0"/>
    </w:pPr>
    <w:rPr>
      <w:b/>
      <w:caps/>
    </w:rPr>
  </w:style>
  <w:style w:type="paragraph" w:styleId="berschrift2">
    <w:name w:val="heading 2"/>
    <w:basedOn w:val="Standard"/>
    <w:next w:val="Paragraph"/>
    <w:qFormat/>
    <w:pPr>
      <w:keepNext/>
      <w:spacing w:before="240" w:after="240"/>
      <w:jc w:val="center"/>
      <w:outlineLvl w:val="1"/>
    </w:pPr>
    <w:rPr>
      <w:b/>
    </w:rPr>
  </w:style>
  <w:style w:type="paragraph" w:styleId="berschrift3">
    <w:name w:val="heading 3"/>
    <w:basedOn w:val="Standard"/>
    <w:next w:val="Standard"/>
    <w:qFormat/>
    <w:rsid w:val="005854B0"/>
    <w:pPr>
      <w:keepNext/>
      <w:spacing w:before="240" w:after="240"/>
      <w:jc w:val="center"/>
      <w:outlineLvl w:val="2"/>
    </w:pPr>
    <w:rPr>
      <w:i/>
      <w:iCs/>
      <w:sz w:val="20"/>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otnoteCharacters">
    <w:name w:val="Footnote Characters"/>
    <w:semiHidden/>
    <w:qFormat/>
    <w:rPr>
      <w:vertAlign w:val="superscript"/>
    </w:rPr>
  </w:style>
  <w:style w:type="character" w:styleId="Funotenzeichen">
    <w:name w:val="footnote reference"/>
    <w:rPr>
      <w:vertAlign w:val="superscript"/>
    </w:rPr>
  </w:style>
  <w:style w:type="character" w:customStyle="1" w:styleId="SprechblasentextZchn">
    <w:name w:val="Sprechblasentext Zchn"/>
    <w:basedOn w:val="Absatz-Standardschriftart"/>
    <w:link w:val="Sprechblasentext"/>
    <w:qFormat/>
    <w:rsid w:val="00114AB1"/>
    <w:rPr>
      <w:rFonts w:ascii="Tahoma" w:hAnsi="Tahoma" w:cs="Tahoma"/>
      <w:sz w:val="16"/>
      <w:szCs w:val="16"/>
      <w:lang w:val="en-US" w:eastAsia="en-US"/>
    </w:rPr>
  </w:style>
  <w:style w:type="character" w:styleId="Hyperlink">
    <w:name w:val="Hyperlink"/>
    <w:rPr>
      <w:color w:val="0000FF"/>
      <w:u w:val="single"/>
    </w:rPr>
  </w:style>
  <w:style w:type="character" w:styleId="Fett">
    <w:name w:val="Strong"/>
    <w:basedOn w:val="Absatz-Standardschriftart"/>
    <w:uiPriority w:val="22"/>
    <w:qFormat/>
    <w:rsid w:val="005F7475"/>
    <w:rPr>
      <w:b/>
      <w:bCs/>
    </w:rPr>
  </w:style>
  <w:style w:type="character" w:styleId="Hervorhebung">
    <w:name w:val="Emphasis"/>
    <w:basedOn w:val="Absatz-Standardschriftart"/>
    <w:uiPriority w:val="20"/>
    <w:qFormat/>
    <w:rsid w:val="005F7475"/>
    <w:rPr>
      <w:i/>
      <w:iCs/>
    </w:rPr>
  </w:style>
  <w:style w:type="character" w:styleId="NichtaufgelsteErwhnung">
    <w:name w:val="Unresolved Mention"/>
    <w:basedOn w:val="Absatz-Standardschriftart"/>
    <w:uiPriority w:val="99"/>
    <w:semiHidden/>
    <w:unhideWhenUsed/>
    <w:qFormat/>
    <w:rsid w:val="00613B4D"/>
    <w:rPr>
      <w:color w:val="808080"/>
      <w:shd w:val="clear" w:color="auto" w:fill="E6E6E6"/>
    </w:rPr>
  </w:style>
  <w:style w:type="character" w:styleId="Kommentarzeichen">
    <w:name w:val="annotation reference"/>
    <w:basedOn w:val="Absatz-Standardschriftart"/>
    <w:semiHidden/>
    <w:unhideWhenUsed/>
    <w:qFormat/>
    <w:rsid w:val="005E71ED"/>
    <w:rPr>
      <w:sz w:val="16"/>
      <w:szCs w:val="16"/>
    </w:rPr>
  </w:style>
  <w:style w:type="character" w:customStyle="1" w:styleId="KommentartextZchn">
    <w:name w:val="Kommentartext Zchn"/>
    <w:basedOn w:val="Absatz-Standardschriftart"/>
    <w:link w:val="Kommentartext"/>
    <w:qFormat/>
    <w:rsid w:val="005E71ED"/>
    <w:rPr>
      <w:lang w:val="en-US" w:eastAsia="en-US"/>
    </w:rPr>
  </w:style>
  <w:style w:type="character" w:customStyle="1" w:styleId="KommentarthemaZchn">
    <w:name w:val="Kommentarthema Zchn"/>
    <w:basedOn w:val="KommentartextZchn"/>
    <w:link w:val="Kommentarthema"/>
    <w:semiHidden/>
    <w:qFormat/>
    <w:rsid w:val="005E71ED"/>
    <w:rPr>
      <w:b/>
      <w:bCs/>
      <w:lang w:val="en-US" w:eastAsia="en-US"/>
    </w:rPr>
  </w:style>
  <w:style w:type="character" w:styleId="Platzhaltertext">
    <w:name w:val="Placeholder Text"/>
    <w:basedOn w:val="Absatz-Standardschriftart"/>
    <w:uiPriority w:val="99"/>
    <w:semiHidden/>
    <w:qFormat/>
    <w:rsid w:val="00997ECD"/>
    <w:rPr>
      <w:color w:val="666666"/>
    </w:rPr>
  </w:style>
  <w:style w:type="character" w:customStyle="1" w:styleId="FuzeileZchn">
    <w:name w:val="Fußzeile Zchn"/>
    <w:basedOn w:val="Absatz-Standardschriftart"/>
    <w:link w:val="Fuzeile"/>
    <w:qFormat/>
    <w:rsid w:val="00F5502F"/>
    <w:rPr>
      <w:sz w:val="24"/>
      <w:lang w:val="en-US" w:eastAsia="en-US"/>
    </w:rPr>
  </w:style>
  <w:style w:type="character" w:customStyle="1" w:styleId="KopfzeileZchn">
    <w:name w:val="Kopfzeile Zchn"/>
    <w:basedOn w:val="Absatz-Standardschriftart"/>
    <w:link w:val="Kopfzeile"/>
    <w:qFormat/>
    <w:rsid w:val="00864D6D"/>
    <w:rPr>
      <w:sz w:val="24"/>
      <w:lang w:val="en-US" w:eastAsia="en-US"/>
    </w:rPr>
  </w:style>
  <w:style w:type="character" w:customStyle="1" w:styleId="berschrift1Zchn">
    <w:name w:val="Überschrift 1 Zchn"/>
    <w:basedOn w:val="Absatz-Standardschriftart"/>
    <w:link w:val="berschrift1"/>
    <w:qFormat/>
    <w:rsid w:val="00864D6D"/>
    <w:rPr>
      <w:b/>
      <w:caps/>
      <w:sz w:val="24"/>
      <w:lang w:val="en-US" w:eastAsia="en-US"/>
    </w:rPr>
  </w:style>
  <w:style w:type="paragraph" w:customStyle="1" w:styleId="Heading">
    <w:name w:val="Heading"/>
    <w:basedOn w:val="Standard"/>
    <w:next w:val="Textkrper"/>
    <w:qFormat/>
    <w:pPr>
      <w:keepNext/>
      <w:spacing w:before="240" w:after="120"/>
    </w:pPr>
    <w:rPr>
      <w:rFonts w:ascii="Carlito" w:eastAsia="Noto Sans SC Regular" w:hAnsi="Carlito" w:cs="Noto Sans"/>
      <w:sz w:val="28"/>
      <w:szCs w:val="28"/>
    </w:rPr>
  </w:style>
  <w:style w:type="paragraph" w:styleId="Textkrper">
    <w:name w:val="Body Text"/>
    <w:basedOn w:val="Standard"/>
    <w:pPr>
      <w:spacing w:after="140" w:line="276" w:lineRule="auto"/>
    </w:pPr>
  </w:style>
  <w:style w:type="paragraph" w:styleId="Liste">
    <w:name w:val="List"/>
    <w:basedOn w:val="Textkrper"/>
    <w:rPr>
      <w:rFonts w:cs="Noto Sans"/>
    </w:rPr>
  </w:style>
  <w:style w:type="paragraph" w:styleId="Beschriftung">
    <w:name w:val="caption"/>
    <w:basedOn w:val="Standard"/>
    <w:qFormat/>
    <w:pPr>
      <w:suppressLineNumbers/>
      <w:spacing w:before="120" w:after="120"/>
    </w:pPr>
    <w:rPr>
      <w:rFonts w:cs="Noto Sans"/>
      <w:i/>
      <w:iCs/>
      <w:szCs w:val="24"/>
    </w:rPr>
  </w:style>
  <w:style w:type="paragraph" w:customStyle="1" w:styleId="Index">
    <w:name w:val="Index"/>
    <w:basedOn w:val="Standard"/>
    <w:qFormat/>
    <w:pPr>
      <w:suppressLineNumbers/>
    </w:pPr>
    <w:rPr>
      <w:rFonts w:cs="Noto Sans"/>
    </w:rPr>
  </w:style>
  <w:style w:type="paragraph" w:styleId="Funotentext">
    <w:name w:val="footnote text"/>
    <w:basedOn w:val="Standard"/>
    <w:semiHidden/>
    <w:rPr>
      <w:sz w:val="16"/>
    </w:rPr>
  </w:style>
  <w:style w:type="paragraph" w:customStyle="1" w:styleId="PaperTitle">
    <w:name w:val="Paper Title"/>
    <w:basedOn w:val="Standard"/>
    <w:next w:val="AuthorName"/>
    <w:qFormat/>
    <w:pPr>
      <w:spacing w:before="1200"/>
      <w:jc w:val="center"/>
    </w:pPr>
    <w:rPr>
      <w:b/>
      <w:sz w:val="36"/>
    </w:rPr>
  </w:style>
  <w:style w:type="paragraph" w:customStyle="1" w:styleId="AuthorName">
    <w:name w:val="Author Name"/>
    <w:basedOn w:val="Standard"/>
    <w:next w:val="AuthorAffiliation"/>
    <w:qFormat/>
    <w:pPr>
      <w:spacing w:before="360" w:after="360"/>
      <w:jc w:val="center"/>
    </w:pPr>
    <w:rPr>
      <w:sz w:val="28"/>
    </w:rPr>
  </w:style>
  <w:style w:type="paragraph" w:customStyle="1" w:styleId="AuthorAffiliation">
    <w:name w:val="Author Affiliation"/>
    <w:basedOn w:val="Standard"/>
    <w:qFormat/>
    <w:pPr>
      <w:jc w:val="center"/>
    </w:pPr>
    <w:rPr>
      <w:i/>
      <w:sz w:val="20"/>
    </w:rPr>
  </w:style>
  <w:style w:type="paragraph" w:customStyle="1" w:styleId="Abstract">
    <w:name w:val="Abstract"/>
    <w:basedOn w:val="Standard"/>
    <w:next w:val="berschrift1"/>
    <w:qFormat/>
    <w:rsid w:val="00F20BFC"/>
    <w:pPr>
      <w:spacing w:before="360" w:after="360"/>
      <w:ind w:left="289" w:right="289"/>
      <w:jc w:val="both"/>
    </w:pPr>
    <w:rPr>
      <w:sz w:val="18"/>
    </w:rPr>
  </w:style>
  <w:style w:type="paragraph" w:customStyle="1" w:styleId="Paragraph">
    <w:name w:val="Paragraph"/>
    <w:basedOn w:val="Standard"/>
    <w:qFormat/>
    <w:rsid w:val="005E415C"/>
    <w:pPr>
      <w:ind w:firstLine="284"/>
      <w:jc w:val="both"/>
    </w:pPr>
    <w:rPr>
      <w:sz w:val="20"/>
    </w:rPr>
  </w:style>
  <w:style w:type="paragraph" w:customStyle="1" w:styleId="Reference">
    <w:name w:val="Reference"/>
    <w:basedOn w:val="Paragraph"/>
    <w:qFormat/>
    <w:rsid w:val="00AE7500"/>
    <w:pPr>
      <w:numPr>
        <w:numId w:val="2"/>
      </w:numPr>
      <w:ind w:left="426" w:hanging="426"/>
    </w:pPr>
  </w:style>
  <w:style w:type="paragraph" w:customStyle="1" w:styleId="FigureCaption">
    <w:name w:val="Figure Caption"/>
    <w:next w:val="Paragraph"/>
    <w:qFormat/>
    <w:rsid w:val="00161A5B"/>
    <w:pPr>
      <w:spacing w:before="120"/>
      <w:jc w:val="center"/>
    </w:pPr>
    <w:rPr>
      <w:sz w:val="18"/>
      <w:lang w:val="en-US" w:eastAsia="en-US"/>
    </w:rPr>
  </w:style>
  <w:style w:type="paragraph" w:customStyle="1" w:styleId="Figure">
    <w:name w:val="Figure"/>
    <w:basedOn w:val="Paragraph"/>
    <w:qFormat/>
    <w:pPr>
      <w:keepNext/>
      <w:ind w:firstLine="0"/>
      <w:jc w:val="center"/>
    </w:pPr>
  </w:style>
  <w:style w:type="paragraph" w:customStyle="1" w:styleId="Equation">
    <w:name w:val="Equation"/>
    <w:basedOn w:val="Paragraph"/>
    <w:qFormat/>
    <w:rsid w:val="001146DC"/>
    <w:pPr>
      <w:tabs>
        <w:tab w:val="center" w:pos="4320"/>
        <w:tab w:val="right" w:pos="9242"/>
      </w:tabs>
      <w:ind w:firstLine="0"/>
      <w:jc w:val="center"/>
    </w:pPr>
  </w:style>
  <w:style w:type="paragraph" w:styleId="Sprechblasentext">
    <w:name w:val="Balloon Text"/>
    <w:basedOn w:val="Standard"/>
    <w:link w:val="SprechblasentextZchn"/>
    <w:qFormat/>
    <w:rsid w:val="00114AB1"/>
    <w:rPr>
      <w:rFonts w:ascii="Tahoma" w:hAnsi="Tahoma" w:cs="Tahoma"/>
      <w:sz w:val="16"/>
      <w:szCs w:val="16"/>
    </w:rPr>
  </w:style>
  <w:style w:type="paragraph" w:customStyle="1" w:styleId="Paragraphbulleted">
    <w:name w:val="Paragraph (bulleted)"/>
    <w:basedOn w:val="Paragraph"/>
    <w:qFormat/>
    <w:rsid w:val="0040225B"/>
    <w:pPr>
      <w:numPr>
        <w:numId w:val="3"/>
      </w:numPr>
    </w:pPr>
  </w:style>
  <w:style w:type="paragraph" w:customStyle="1" w:styleId="AuthorEmail">
    <w:name w:val="Author Email"/>
    <w:basedOn w:val="Standard"/>
    <w:qFormat/>
    <w:rsid w:val="001D469C"/>
    <w:pPr>
      <w:jc w:val="center"/>
    </w:pPr>
    <w:rPr>
      <w:sz w:val="20"/>
    </w:rPr>
  </w:style>
  <w:style w:type="paragraph" w:styleId="StandardWeb">
    <w:name w:val="Normal (Web)"/>
    <w:basedOn w:val="Standard"/>
    <w:uiPriority w:val="99"/>
    <w:unhideWhenUsed/>
    <w:qFormat/>
    <w:rsid w:val="005F7475"/>
    <w:pPr>
      <w:spacing w:beforeAutospacing="1" w:afterAutospacing="1"/>
    </w:pPr>
    <w:rPr>
      <w:szCs w:val="24"/>
      <w:lang w:val="en-GB" w:eastAsia="en-GB"/>
    </w:rPr>
  </w:style>
  <w:style w:type="paragraph" w:customStyle="1" w:styleId="TableCaption">
    <w:name w:val="Table Caption"/>
    <w:basedOn w:val="FigureCaption"/>
    <w:qFormat/>
    <w:rsid w:val="005A0E21"/>
    <w:rPr>
      <w:szCs w:val="18"/>
    </w:rPr>
  </w:style>
  <w:style w:type="paragraph" w:customStyle="1" w:styleId="Paragraphnumbered">
    <w:name w:val="Paragraph (numbered)"/>
    <w:qFormat/>
    <w:rsid w:val="000B49C0"/>
    <w:pPr>
      <w:numPr>
        <w:numId w:val="4"/>
      </w:numPr>
      <w:jc w:val="both"/>
    </w:pPr>
    <w:rPr>
      <w:lang w:val="en-US" w:eastAsia="en-US"/>
    </w:rPr>
  </w:style>
  <w:style w:type="paragraph" w:styleId="Listenabsatz">
    <w:name w:val="List Paragraph"/>
    <w:basedOn w:val="Standard"/>
    <w:uiPriority w:val="34"/>
    <w:qFormat/>
    <w:rsid w:val="006E4474"/>
    <w:pPr>
      <w:ind w:left="720"/>
      <w:contextualSpacing/>
    </w:pPr>
  </w:style>
  <w:style w:type="paragraph" w:styleId="Kommentartext">
    <w:name w:val="annotation text"/>
    <w:basedOn w:val="Standard"/>
    <w:link w:val="KommentartextZchn"/>
    <w:unhideWhenUsed/>
    <w:rsid w:val="005E71ED"/>
    <w:rPr>
      <w:sz w:val="20"/>
    </w:rPr>
  </w:style>
  <w:style w:type="paragraph" w:styleId="Kommentarthema">
    <w:name w:val="annotation subject"/>
    <w:basedOn w:val="Kommentartext"/>
    <w:next w:val="Kommentartext"/>
    <w:link w:val="KommentarthemaZchn"/>
    <w:semiHidden/>
    <w:unhideWhenUsed/>
    <w:qFormat/>
    <w:rsid w:val="005E71ED"/>
    <w:rPr>
      <w:b/>
      <w:bCs/>
    </w:rPr>
  </w:style>
  <w:style w:type="paragraph" w:customStyle="1" w:styleId="HeaderandFooter">
    <w:name w:val="Header and Footer"/>
    <w:basedOn w:val="Standard"/>
    <w:qFormat/>
  </w:style>
  <w:style w:type="paragraph" w:styleId="Fuzeile">
    <w:name w:val="footer"/>
    <w:basedOn w:val="Standard"/>
    <w:link w:val="FuzeileZchn"/>
    <w:unhideWhenUsed/>
    <w:rsid w:val="00F5502F"/>
    <w:pPr>
      <w:tabs>
        <w:tab w:val="center" w:pos="4536"/>
        <w:tab w:val="right" w:pos="9072"/>
      </w:tabs>
    </w:pPr>
  </w:style>
  <w:style w:type="paragraph" w:styleId="Kopfzeile">
    <w:name w:val="header"/>
    <w:basedOn w:val="Standard"/>
    <w:link w:val="KopfzeileZchn"/>
    <w:unhideWhenUsed/>
    <w:rsid w:val="00864D6D"/>
    <w:pPr>
      <w:tabs>
        <w:tab w:val="center" w:pos="4513"/>
        <w:tab w:val="right" w:pos="9026"/>
      </w:tabs>
    </w:pPr>
  </w:style>
  <w:style w:type="paragraph" w:customStyle="1" w:styleId="FrameContents">
    <w:name w:val="Frame Contents"/>
    <w:basedOn w:val="Standard"/>
    <w:qFormat/>
  </w:style>
  <w:style w:type="table" w:styleId="Tabellenraster">
    <w:name w:val="Table Grid"/>
    <w:basedOn w:val="NormaleTabelle"/>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1080/10402004.2023.2254957" TargetMode="External"/><Relationship Id="rId39" Type="http://schemas.openxmlformats.org/officeDocument/2006/relationships/hyperlink" Target="https://doi.org/10.1080/10402000008982386" TargetMode="External"/><Relationship Id="rId21" Type="http://schemas.openxmlformats.org/officeDocument/2006/relationships/image" Target="media/image11.png"/><Relationship Id="rId34" Type="http://schemas.openxmlformats.org/officeDocument/2006/relationships/hyperlink" Target="https://doi.org/10.1016/j.triboint.2022.108146" TargetMode="External"/><Relationship Id="rId42" Type="http://schemas.openxmlformats.org/officeDocument/2006/relationships/hyperlink" Target="https://doi.org/10.1016/0095-8522(51)90037-2" TargetMode="External"/><Relationship Id="rId47" Type="http://schemas.openxmlformats.org/officeDocument/2006/relationships/hyperlink" Target="https://doi.org/10.5829/ije.2021.34.05b.26" TargetMode="Externa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oi.org/10.1016/j.triboint.2016.01.045" TargetMode="External"/><Relationship Id="rId11" Type="http://schemas.openxmlformats.org/officeDocument/2006/relationships/image" Target="media/image1.png"/><Relationship Id="rId24" Type="http://schemas.openxmlformats.org/officeDocument/2006/relationships/hyperlink" Target="https://doi.org/10.1016/j.triboint.2024.110274" TargetMode="External"/><Relationship Id="rId32" Type="http://schemas.openxmlformats.org/officeDocument/2006/relationships/hyperlink" Target="https://doi.org/10.1016/j.triboint.2024.109369" TargetMode="External"/><Relationship Id="rId37" Type="http://schemas.openxmlformats.org/officeDocument/2006/relationships/hyperlink" Target="https://doi.org/10.1016/j.triboint.2022.107926" TargetMode="External"/><Relationship Id="rId40" Type="http://schemas.openxmlformats.org/officeDocument/2006/relationships/hyperlink" Target="https://doi.org/10.1021/ie50588a042" TargetMode="External"/><Relationship Id="rId45" Type="http://schemas.openxmlformats.org/officeDocument/2006/relationships/hyperlink" Target="https://doi.org/10.1177/13506501211009406"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doi.org/10.1016/j.triboint.2022.108103" TargetMode="External"/><Relationship Id="rId44" Type="http://schemas.openxmlformats.org/officeDocument/2006/relationships/hyperlink" Target="https://doi.org/10.1016/j.jnnfm.2021.104652"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doi.org/10.1007/s11831-022-09847-z" TargetMode="External"/><Relationship Id="rId30" Type="http://schemas.openxmlformats.org/officeDocument/2006/relationships/hyperlink" Target="https://doi.org/10.1007/s10010-023-00633-2" TargetMode="External"/><Relationship Id="rId35" Type="http://schemas.openxmlformats.org/officeDocument/2006/relationships/hyperlink" Target="https://doi.org/10.1080/10402000902825713" TargetMode="External"/><Relationship Id="rId43" Type="http://schemas.openxmlformats.org/officeDocument/2006/relationships/hyperlink" Target="https://doi.org/10.1122/1.549926" TargetMode="External"/><Relationship Id="rId48" Type="http://schemas.openxmlformats.org/officeDocument/2006/relationships/hyperlink" Target="https://doi.org/10.3390/lubricants13020085" TargetMode="Externa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080/10402004.2022.2123420" TargetMode="External"/><Relationship Id="rId33" Type="http://schemas.openxmlformats.org/officeDocument/2006/relationships/hyperlink" Target="https://doi.org/10.1016/j.triboint.2021.106858" TargetMode="External"/><Relationship Id="rId38" Type="http://schemas.openxmlformats.org/officeDocument/2006/relationships/hyperlink" Target="https://doi.org/10.1016/j.triboint.2023.108375" TargetMode="External"/><Relationship Id="rId46" Type="http://schemas.openxmlformats.org/officeDocument/2006/relationships/hyperlink" Target="https://doi.org/10.2474/trol.15.36" TargetMode="External"/><Relationship Id="rId20" Type="http://schemas.openxmlformats.org/officeDocument/2006/relationships/image" Target="media/image10.png"/><Relationship Id="rId41" Type="http://schemas.openxmlformats.org/officeDocument/2006/relationships/hyperlink" Target="https://doi.org/10.1007/bf01985786"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doi.org/10.1115/1.4065663" TargetMode="External"/><Relationship Id="rId28" Type="http://schemas.openxmlformats.org/officeDocument/2006/relationships/hyperlink" Target="https://doi.org/10.1080/10402000802687940" TargetMode="External"/><Relationship Id="rId36" Type="http://schemas.openxmlformats.org/officeDocument/2006/relationships/hyperlink" Target="https://doi.org/10.1016/j.triboint.2020.106661" TargetMode="External"/><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2.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44FC6D-7350-442F-8936-25B8D55E2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4833</Words>
  <Characters>30453</Characters>
  <Application>Microsoft Office Word</Application>
  <DocSecurity>0</DocSecurity>
  <Lines>253</Lines>
  <Paragraphs>70</Paragraphs>
  <ScaleCrop>false</ScaleCrop>
  <HeadingPairs>
    <vt:vector size="2" baseType="variant">
      <vt:variant>
        <vt:lpstr>Titel</vt:lpstr>
      </vt:variant>
      <vt:variant>
        <vt:i4>1</vt:i4>
      </vt:variant>
    </vt:vector>
  </HeadingPairs>
  <TitlesOfParts>
    <vt:vector size="1" baseType="lpstr">
      <vt:lpstr>Title Goes Here</vt:lpstr>
    </vt:vector>
  </TitlesOfParts>
  <Company>PPI</Company>
  <LinksUpToDate>false</LinksUpToDate>
  <CharactersWithSpaces>35216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Ruth Levins</dc:creator>
  <dc:description/>
  <cp:lastModifiedBy>TU-Pseudonym 5300993042411274</cp:lastModifiedBy>
  <cp:revision>21</cp:revision>
  <cp:lastPrinted>2011-03-03T08:29:00Z</cp:lastPrinted>
  <dcterms:created xsi:type="dcterms:W3CDTF">2025-09-22T12:41:00Z</dcterms:created>
  <dcterms:modified xsi:type="dcterms:W3CDTF">2025-11-29T10:09:00Z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43b072f0-0f82-4aac-be1e-8abeffc32f66">
    <vt:bool>false</vt:bool>
  </property>
  <property fmtid="{D5CDD505-2E9C-101B-9397-08002B2CF9AE}" pid="3" name="ClassificationContentMarkingFooterFontProps">
    <vt:lpwstr>#000000,8,Calibri</vt:lpwstr>
  </property>
  <property fmtid="{D5CDD505-2E9C-101B-9397-08002B2CF9AE}" pid="4" name="ClassificationContentMarkingFooterShapeIds">
    <vt:lpwstr>27305827,789f607c,12e40e19</vt:lpwstr>
  </property>
  <property fmtid="{D5CDD505-2E9C-101B-9397-08002B2CF9AE}" pid="5" name="ClassificationContentMarkingFooterText">
    <vt:lpwstr>INTERNAL</vt:lpwstr>
  </property>
  <property fmtid="{D5CDD505-2E9C-101B-9397-08002B2CF9AE}" pid="6" name="ContentTypeId">
    <vt:lpwstr>0x010100846995F60857E14C80FE53F9695AA2C6</vt:lpwstr>
  </property>
  <property fmtid="{D5CDD505-2E9C-101B-9397-08002B2CF9AE}" pid="7" name="MSIP_Label_f33c2d95-ffb8-4f09-8d49-eacb0a6220f7_ActionId">
    <vt:lpwstr>c6f7fb3b-754a-490d-a0cb-55a222ff3059</vt:lpwstr>
  </property>
  <property fmtid="{D5CDD505-2E9C-101B-9397-08002B2CF9AE}" pid="8" name="MSIP_Label_f33c2d95-ffb8-4f09-8d49-eacb0a6220f7_ContentBits">
    <vt:lpwstr>2</vt:lpwstr>
  </property>
  <property fmtid="{D5CDD505-2E9C-101B-9397-08002B2CF9AE}" pid="9" name="MSIP_Label_f33c2d95-ffb8-4f09-8d49-eacb0a6220f7_Enabled">
    <vt:lpwstr>true</vt:lpwstr>
  </property>
  <property fmtid="{D5CDD505-2E9C-101B-9397-08002B2CF9AE}" pid="10" name="MSIP_Label_f33c2d95-ffb8-4f09-8d49-eacb0a6220f7_Method">
    <vt:lpwstr>Standard</vt:lpwstr>
  </property>
  <property fmtid="{D5CDD505-2E9C-101B-9397-08002B2CF9AE}" pid="11" name="MSIP_Label_f33c2d95-ffb8-4f09-8d49-eacb0a6220f7_Name">
    <vt:lpwstr>Internal</vt:lpwstr>
  </property>
  <property fmtid="{D5CDD505-2E9C-101B-9397-08002B2CF9AE}" pid="12" name="MSIP_Label_f33c2d95-ffb8-4f09-8d49-eacb0a6220f7_SetDate">
    <vt:lpwstr>2025-09-18T16:53:59Z</vt:lpwstr>
  </property>
  <property fmtid="{D5CDD505-2E9C-101B-9397-08002B2CF9AE}" pid="13" name="MSIP_Label_f33c2d95-ffb8-4f09-8d49-eacb0a6220f7_SiteId">
    <vt:lpwstr>67416604-6509-4014-9859-45e709f53d3f</vt:lpwstr>
  </property>
  <property fmtid="{D5CDD505-2E9C-101B-9397-08002B2CF9AE}" pid="14" name="MSIP_Label_f33c2d95-ffb8-4f09-8d49-eacb0a6220f7_Tag">
    <vt:lpwstr>10, 3, 0, 1</vt:lpwstr>
  </property>
</Properties>
</file>