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446F3" w14:textId="1EA5691F" w:rsidR="00DE2760" w:rsidRDefault="007B0EA0" w:rsidP="00FC23C6">
      <w:pPr>
        <w:pStyle w:val="PaperTitle"/>
      </w:pPr>
      <w:r w:rsidRPr="007B0EA0">
        <w:t>Modeling of Laser Strengthening Processes for α Ti Alloy Using the Laser Shock Peening Method</w:t>
      </w:r>
    </w:p>
    <w:p w14:paraId="548D96A3" w14:textId="0E99B282" w:rsidR="00C14B14" w:rsidRPr="00DE2760" w:rsidRDefault="007B0EA0" w:rsidP="2F830975">
      <w:pPr>
        <w:pStyle w:val="AuthorName"/>
        <w:rPr>
          <w:sz w:val="20"/>
          <w:lang w:val="en-GB" w:eastAsia="en-GB"/>
        </w:rPr>
      </w:pPr>
      <w:r>
        <w:rPr>
          <w:rFonts w:eastAsia="Times New Roman"/>
          <w:szCs w:val="28"/>
          <w:lang w:eastAsia="en-GB"/>
        </w:rPr>
        <w:t>Jasur</w:t>
      </w:r>
      <w:r>
        <w:rPr>
          <w:rFonts w:eastAsia="Times New Roman"/>
          <w:szCs w:val="28"/>
          <w:lang w:val="en-GB" w:eastAsia="en-GB"/>
        </w:rPr>
        <w:t xml:space="preserve"> </w:t>
      </w:r>
      <w:r>
        <w:rPr>
          <w:rFonts w:eastAsia="Times New Roman"/>
          <w:szCs w:val="28"/>
          <w:lang w:eastAsia="en-GB"/>
        </w:rPr>
        <w:t>Erkin</w:t>
      </w:r>
      <w:r>
        <w:rPr>
          <w:rFonts w:eastAsia="Times New Roman"/>
          <w:szCs w:val="28"/>
          <w:lang w:val="en-GB" w:eastAsia="en-GB"/>
        </w:rPr>
        <w:t>ov</w:t>
      </w:r>
      <w:r>
        <w:rPr>
          <w:rFonts w:eastAsia="Times New Roman"/>
          <w:szCs w:val="28"/>
          <w:vertAlign w:val="superscript"/>
          <w:lang w:val="en-GB" w:eastAsia="en-GB"/>
        </w:rPr>
        <w:t xml:space="preserve">1, </w:t>
      </w:r>
      <w:r>
        <w:rPr>
          <w:rFonts w:eastAsia="Times New Roman"/>
          <w:szCs w:val="28"/>
          <w:vertAlign w:val="superscript"/>
          <w:lang w:eastAsia="en-GB"/>
        </w:rPr>
        <w:t>a</w:t>
      </w:r>
      <w:r>
        <w:rPr>
          <w:rFonts w:eastAsia="Times New Roman"/>
          <w:szCs w:val="28"/>
          <w:vertAlign w:val="superscript"/>
          <w:lang w:val="en-GB" w:eastAsia="en-GB"/>
        </w:rPr>
        <w:t>)</w:t>
      </w:r>
      <w:r>
        <w:rPr>
          <w:rFonts w:eastAsia="Times New Roman"/>
          <w:szCs w:val="28"/>
          <w:lang w:val="en-GB" w:eastAsia="en-GB"/>
        </w:rPr>
        <w:t xml:space="preserve">, </w:t>
      </w:r>
      <w:r w:rsidRPr="00DD7C9F">
        <w:rPr>
          <w:lang w:val="en-GB"/>
        </w:rPr>
        <w:t>Abdunabi</w:t>
      </w:r>
      <w:r>
        <w:rPr>
          <w:rFonts w:eastAsia="Times New Roman"/>
          <w:szCs w:val="28"/>
          <w:lang w:val="en-GB" w:eastAsia="en-GB"/>
        </w:rPr>
        <w:t xml:space="preserve"> Abdukarimov</w:t>
      </w:r>
      <w:r>
        <w:rPr>
          <w:rFonts w:eastAsia="Times New Roman"/>
          <w:szCs w:val="28"/>
          <w:vertAlign w:val="superscript"/>
          <w:lang w:eastAsia="en-GB"/>
        </w:rPr>
        <w:t>1, b)</w:t>
      </w:r>
      <w:r>
        <w:rPr>
          <w:rFonts w:eastAsia="Times New Roman"/>
          <w:szCs w:val="28"/>
          <w:lang w:val="en-GB" w:eastAsia="en-GB"/>
        </w:rPr>
        <w:t>, Nodira Shamsutdinova</w:t>
      </w:r>
      <w:r>
        <w:rPr>
          <w:rFonts w:eastAsia="Times New Roman"/>
          <w:szCs w:val="28"/>
          <w:vertAlign w:val="superscript"/>
          <w:lang w:eastAsia="en-GB"/>
        </w:rPr>
        <w:t>2</w:t>
      </w:r>
      <w:r>
        <w:rPr>
          <w:rFonts w:eastAsia="Times New Roman"/>
          <w:szCs w:val="28"/>
          <w:vertAlign w:val="superscript"/>
          <w:lang w:val="en-GB" w:eastAsia="en-GB"/>
        </w:rPr>
        <w:t xml:space="preserve">, </w:t>
      </w:r>
      <w:r>
        <w:rPr>
          <w:rFonts w:eastAsia="Times New Roman"/>
          <w:szCs w:val="28"/>
          <w:vertAlign w:val="superscript"/>
          <w:lang w:eastAsia="en-GB"/>
        </w:rPr>
        <w:t>c</w:t>
      </w:r>
      <w:r>
        <w:rPr>
          <w:rFonts w:eastAsia="Times New Roman"/>
          <w:szCs w:val="28"/>
          <w:vertAlign w:val="superscript"/>
          <w:lang w:val="en-GB" w:eastAsia="en-GB"/>
        </w:rPr>
        <w:t>)</w:t>
      </w:r>
      <w:r>
        <w:rPr>
          <w:rFonts w:eastAsia="Times New Roman"/>
          <w:i/>
          <w:sz w:val="20"/>
          <w:lang w:val="en-GB" w:eastAsia="en-GB"/>
        </w:rPr>
        <w:t xml:space="preserve"> </w:t>
      </w:r>
      <w:r w:rsidRPr="00CE1906">
        <w:rPr>
          <w:bCs/>
          <w:szCs w:val="28"/>
        </w:rPr>
        <w:t>Dilshod Kholikov</w:t>
      </w:r>
      <w:r>
        <w:rPr>
          <w:bCs/>
          <w:szCs w:val="28"/>
          <w:vertAlign w:val="superscript"/>
        </w:rPr>
        <w:t>2</w:t>
      </w:r>
      <w:r w:rsidRPr="00CE1906">
        <w:rPr>
          <w:bCs/>
          <w:szCs w:val="28"/>
          <w:vertAlign w:val="superscript"/>
        </w:rPr>
        <w:t>,</w:t>
      </w:r>
      <w:r w:rsidR="001C3132">
        <w:rPr>
          <w:bCs/>
          <w:szCs w:val="28"/>
          <w:vertAlign w:val="superscript"/>
        </w:rPr>
        <w:t xml:space="preserve"> </w:t>
      </w:r>
      <w:r>
        <w:rPr>
          <w:bCs/>
          <w:szCs w:val="28"/>
          <w:vertAlign w:val="superscript"/>
        </w:rPr>
        <w:t>d</w:t>
      </w:r>
      <w:r w:rsidRPr="00CE1906">
        <w:rPr>
          <w:bCs/>
          <w:szCs w:val="28"/>
          <w:vertAlign w:val="superscript"/>
        </w:rPr>
        <w:t>)</w:t>
      </w:r>
      <w:r w:rsidRPr="00CE1906">
        <w:rPr>
          <w:bCs/>
          <w:szCs w:val="28"/>
        </w:rPr>
        <w:t>,</w:t>
      </w:r>
      <w:r>
        <w:rPr>
          <w:bCs/>
          <w:szCs w:val="28"/>
        </w:rPr>
        <w:t xml:space="preserve"> </w:t>
      </w:r>
      <w:r>
        <w:rPr>
          <w:szCs w:val="28"/>
          <w:lang w:val="en-AU"/>
        </w:rPr>
        <w:t xml:space="preserve">Ibrokhim Madatov </w:t>
      </w:r>
      <w:r>
        <w:rPr>
          <w:szCs w:val="28"/>
          <w:vertAlign w:val="superscript"/>
          <w:lang w:val="en-AU"/>
        </w:rPr>
        <w:t>3, e)</w:t>
      </w:r>
    </w:p>
    <w:p w14:paraId="2745C294" w14:textId="553DAA6A" w:rsidR="00DE2760" w:rsidRPr="007B0EA0" w:rsidRDefault="00A62A20" w:rsidP="00DE2760">
      <w:pPr>
        <w:pStyle w:val="AuthorAffiliation"/>
        <w:rPr>
          <w:lang w:val="en-GB" w:eastAsia="en-GB"/>
        </w:rPr>
      </w:pPr>
      <w:r w:rsidRPr="007B0EA0">
        <w:rPr>
          <w:i w:val="0"/>
          <w:iCs/>
          <w:vertAlign w:val="superscript"/>
          <w:lang w:val="en-GB" w:eastAsia="en-GB"/>
        </w:rPr>
        <w:t>1</w:t>
      </w:r>
      <w:r w:rsidR="007B0EA0">
        <w:rPr>
          <w:i w:val="0"/>
          <w:iCs/>
          <w:vertAlign w:val="superscript"/>
          <w:lang w:val="en-GB" w:eastAsia="en-GB"/>
        </w:rPr>
        <w:t xml:space="preserve"> </w:t>
      </w:r>
      <w:r w:rsidR="007B0EA0" w:rsidRPr="007B0EA0">
        <w:rPr>
          <w:lang w:val="en-GB" w:eastAsia="en-GB"/>
        </w:rPr>
        <w:t>Samarkand branch of the Tashkent University of Information Technologies, Samarkand, Uzbekistan</w:t>
      </w:r>
    </w:p>
    <w:p w14:paraId="771D6B6C" w14:textId="70E0BB82" w:rsidR="00C14B14" w:rsidRDefault="00A62A20" w:rsidP="00DE2760">
      <w:pPr>
        <w:pStyle w:val="AuthorAffiliation"/>
        <w:rPr>
          <w:lang w:val="en-GB"/>
        </w:rPr>
      </w:pPr>
      <w:r>
        <w:rPr>
          <w:i w:val="0"/>
          <w:iCs/>
          <w:vertAlign w:val="superscript"/>
          <w:lang w:val="en-GB" w:eastAsia="en-GB"/>
        </w:rPr>
        <w:t>2</w:t>
      </w:r>
      <w:r w:rsidR="00DE2760" w:rsidRPr="00DE2760">
        <w:rPr>
          <w:lang w:val="en-GB" w:eastAsia="en-GB"/>
        </w:rPr>
        <w:t xml:space="preserve"> </w:t>
      </w:r>
      <w:r w:rsidR="007B0EA0" w:rsidRPr="007B0EA0">
        <w:rPr>
          <w:lang w:val="en-GB"/>
        </w:rPr>
        <w:t>"ZARMED" Samarkand Campus, Samarkand, Uzbekistan</w:t>
      </w:r>
    </w:p>
    <w:p w14:paraId="78866C00" w14:textId="4DCA0305" w:rsidR="007B0EA0" w:rsidRPr="00DE2760" w:rsidRDefault="007B0EA0" w:rsidP="00DE2760">
      <w:pPr>
        <w:pStyle w:val="AuthorAffiliation"/>
        <w:rPr>
          <w:lang w:val="en-GB"/>
        </w:rPr>
      </w:pPr>
      <w:r w:rsidRPr="00DD7C9F">
        <w:rPr>
          <w:vertAlign w:val="superscript"/>
        </w:rPr>
        <w:t>3</w:t>
      </w:r>
      <w:r>
        <w:rPr>
          <w:vertAlign w:val="superscript"/>
        </w:rPr>
        <w:t xml:space="preserve"> </w:t>
      </w:r>
      <w:r w:rsidRPr="00C623BA">
        <w:rPr>
          <w:iCs/>
          <w:color w:val="000000"/>
          <w:lang w:val="en-AU"/>
        </w:rPr>
        <w:t xml:space="preserve">Samarkand State University, </w:t>
      </w:r>
      <w:r w:rsidRPr="00C623BA">
        <w:t>140104, University blv. 15, Samarkand, Uzbekistan</w:t>
      </w:r>
    </w:p>
    <w:p w14:paraId="49761849" w14:textId="6AF2629B" w:rsidR="00A62A20" w:rsidRDefault="00C14B14" w:rsidP="00FC23C6">
      <w:pPr>
        <w:pStyle w:val="AuthorEmail"/>
      </w:pPr>
      <w:r w:rsidRPr="00DE2760">
        <w:rPr>
          <w:lang w:val="en-GB"/>
        </w:rPr>
        <w:br/>
      </w:r>
      <w:r w:rsidR="00A62A20" w:rsidRPr="00503CDF">
        <w:rPr>
          <w:vertAlign w:val="superscript"/>
        </w:rPr>
        <w:t>a)</w:t>
      </w:r>
      <w:r w:rsidR="00A62A20">
        <w:t xml:space="preserve"> </w:t>
      </w:r>
      <w:r w:rsidR="007B0EA0" w:rsidRPr="007B0EA0">
        <w:t>erkinovj110@gmail.com</w:t>
      </w:r>
    </w:p>
    <w:p w14:paraId="632BF9D0" w14:textId="77777777" w:rsidR="007B0EA0" w:rsidRDefault="007B0EA0" w:rsidP="00FC23C6">
      <w:pPr>
        <w:pStyle w:val="AuthorEmail"/>
        <w:rPr>
          <w:rFonts w:eastAsia="Times New Roman"/>
          <w:i/>
          <w:lang w:val="en-GB" w:eastAsia="en-GB"/>
        </w:rPr>
      </w:pPr>
      <w:r w:rsidRPr="00FC23C6">
        <w:rPr>
          <w:rFonts w:eastAsia="Times New Roman"/>
          <w:iCs/>
          <w:vertAlign w:val="superscript"/>
          <w:lang w:val="en-GB" w:eastAsia="en-GB"/>
        </w:rPr>
        <w:t>b)</w:t>
      </w:r>
      <w:r>
        <w:rPr>
          <w:rFonts w:eastAsia="Times New Roman"/>
          <w:i/>
          <w:vertAlign w:val="superscript"/>
          <w:lang w:val="en-GB" w:eastAsia="en-GB"/>
        </w:rPr>
        <w:t xml:space="preserve"> </w:t>
      </w:r>
      <w:r>
        <w:rPr>
          <w:rFonts w:eastAsia="Times New Roman"/>
          <w:i/>
          <w:lang w:val="en-GB" w:eastAsia="en-GB"/>
        </w:rPr>
        <w:t>abdukarimov54@mail.ru</w:t>
      </w:r>
    </w:p>
    <w:p w14:paraId="291B9C0C" w14:textId="77777777" w:rsidR="007B0EA0" w:rsidRDefault="007B0EA0" w:rsidP="00FC23C6">
      <w:pPr>
        <w:pStyle w:val="AuthorEmail"/>
        <w:rPr>
          <w:rFonts w:eastAsia="Times New Roman"/>
          <w:i/>
          <w:lang w:val="en-GB" w:eastAsia="en-GB"/>
        </w:rPr>
      </w:pPr>
      <w:r w:rsidRPr="00FC23C6">
        <w:rPr>
          <w:rFonts w:eastAsia="Times New Roman"/>
          <w:iCs/>
          <w:vertAlign w:val="superscript"/>
          <w:lang w:val="en-GB" w:eastAsia="en-GB"/>
        </w:rPr>
        <w:t>c)</w:t>
      </w:r>
      <w:r>
        <w:rPr>
          <w:rFonts w:eastAsia="Times New Roman"/>
          <w:i/>
          <w:lang w:val="en-GB" w:eastAsia="en-GB"/>
        </w:rPr>
        <w:t xml:space="preserve"> </w:t>
      </w:r>
      <w:hyperlink r:id="rId9" w:history="1">
        <w:r>
          <w:rPr>
            <w:rFonts w:eastAsia="Times New Roman"/>
            <w:i/>
            <w:lang w:eastAsia="en-GB"/>
          </w:rPr>
          <w:t>nodira237</w:t>
        </w:r>
        <w:r>
          <w:rPr>
            <w:rFonts w:eastAsia="Times New Roman"/>
            <w:i/>
            <w:lang w:val="en-GB" w:eastAsia="en-GB"/>
          </w:rPr>
          <w:t>@gmail.com</w:t>
        </w:r>
      </w:hyperlink>
    </w:p>
    <w:p w14:paraId="233E3906" w14:textId="77777777" w:rsidR="007B0EA0" w:rsidRDefault="007B0EA0" w:rsidP="00FC23C6">
      <w:pPr>
        <w:pStyle w:val="AuthorEmail"/>
        <w:rPr>
          <w:i/>
        </w:rPr>
      </w:pPr>
      <w:r w:rsidRPr="00FC23C6">
        <w:rPr>
          <w:iCs/>
          <w:vertAlign w:val="superscript"/>
        </w:rPr>
        <w:t xml:space="preserve">d) </w:t>
      </w:r>
      <w:r w:rsidRPr="00CF3D0D">
        <w:rPr>
          <w:i/>
        </w:rPr>
        <w:t>Dilshodxoliqov2587gmail.com</w:t>
      </w:r>
    </w:p>
    <w:p w14:paraId="07B26FD0" w14:textId="251E6BA8" w:rsidR="007B0EA0" w:rsidRPr="007B0EA0" w:rsidRDefault="007B0EA0" w:rsidP="00FC23C6">
      <w:pPr>
        <w:pStyle w:val="AuthorEmail"/>
      </w:pPr>
      <w:r w:rsidRPr="007B0EA0">
        <w:rPr>
          <w:vertAlign w:val="superscript"/>
          <w:lang w:val="uz-Latn-UZ"/>
        </w:rPr>
        <w:t>e)</w:t>
      </w:r>
      <w:r w:rsidRPr="007B0EA0">
        <w:rPr>
          <w:rFonts w:eastAsia="Times New Roman"/>
          <w:lang w:val="en-GB" w:eastAsia="en-GB"/>
        </w:rPr>
        <w:t xml:space="preserve"> Corresponding author: </w:t>
      </w:r>
      <w:r w:rsidRPr="007B0EA0">
        <w:rPr>
          <w:lang w:val="uz-Latn-UZ"/>
        </w:rPr>
        <w:t>ibrokhimmadatov@gmail.com</w:t>
      </w:r>
    </w:p>
    <w:p w14:paraId="22C3F2A8" w14:textId="199D4ABD" w:rsidR="0016385D" w:rsidRPr="00075EA6" w:rsidRDefault="0016385D" w:rsidP="00C14B14">
      <w:pPr>
        <w:pStyle w:val="Abstract"/>
        <w:rPr>
          <w:lang w:eastAsia="zh-CN"/>
        </w:rPr>
      </w:pPr>
      <w:r w:rsidRPr="00075EA6">
        <w:rPr>
          <w:b/>
          <w:bCs/>
        </w:rPr>
        <w:t>Abstract.</w:t>
      </w:r>
      <w:r w:rsidRPr="00075EA6">
        <w:t xml:space="preserve"> </w:t>
      </w:r>
      <w:r w:rsidR="007B0EA0" w:rsidRPr="007B0EA0">
        <w:t>This paper presents a numerical study of the processes occurring during laser shock peening (LSP) of α-titanium alloy. Based on the Fabbri model, the shock wave pressure distribution and its temporal evolution are calculated for different laser radiation intensities (10–25 Gwt/sm²). Using the finite element method (FEM), the dynamic deformation and thermal response of the material under the influence of a 15 ns laser pulse were simulated. It was shown that the formation of high-energy plasma leads to the emergence of shock waves with peak pressures of up to 20 GPa and the formation of residual compressive stresses (CRS) to a depth of up to 1.8 mm. Microstructural changes, including grain refinement, subgrain formation, and nanocrystalline structure, are caused by high-density dislocation processes. The results of the study confirm the effectiveness of LSP as a promising method for increasing the fatigue strength and wear resistance of titanium parts for aerospace applications.</w:t>
      </w:r>
    </w:p>
    <w:p w14:paraId="5240E3FB" w14:textId="5B0BA275" w:rsidR="003A287B" w:rsidRPr="00F52411" w:rsidRDefault="00047971" w:rsidP="007B0EA0">
      <w:pPr>
        <w:pStyle w:val="berschrift1"/>
        <w:rPr>
          <w:b w:val="0"/>
          <w:caps w:val="0"/>
        </w:rPr>
      </w:pPr>
      <w:r w:rsidRPr="007B0EA0">
        <w:t>Introduction</w:t>
      </w:r>
    </w:p>
    <w:p w14:paraId="71BFD375" w14:textId="5480B923" w:rsidR="00DE2760" w:rsidRPr="00DE2760" w:rsidRDefault="007B0EA0" w:rsidP="00DE2760">
      <w:pPr>
        <w:pStyle w:val="Paragraph"/>
      </w:pPr>
      <w:r w:rsidRPr="007B0EA0">
        <w:t xml:space="preserve">Laser Shock Peening (LSP) technology is a modern method of surface metal treatment based on the generation of high-energy shock waves during the interaction of short-pulse laser radiation with the material surface. Compared to conventional mechanical Shot Peening (SP), LSP provides deeper penetration of residual compressive stresses (up to 2 </w:t>
      </w:r>
      <w:r w:rsidRPr="007B0EA0">
        <w:rPr>
          <w:i/>
        </w:rPr>
        <w:t>mm</w:t>
      </w:r>
      <w:r w:rsidRPr="007B0EA0">
        <w:t>) and minimizes thermal damage. Of particular interest are α-titanium alloys, widely used in the aerospace and energy industries due to their high strength-to-density ratio and corrosion resistance. The main objective of this study is to numerically evaluate the dynamics of shock waves and microstructural effects induced by high-power laser pulses [</w:t>
      </w:r>
      <w:r w:rsidR="00BF78AA">
        <w:fldChar w:fldCharType="begin"/>
      </w:r>
      <w:r w:rsidR="00BF78AA">
        <w:instrText xml:space="preserve"> REF _Ref215047458 \r \h </w:instrText>
      </w:r>
      <w:r w:rsidR="00BF78AA">
        <w:fldChar w:fldCharType="separate"/>
      </w:r>
      <w:r w:rsidR="00BF78AA">
        <w:t>1</w:t>
      </w:r>
      <w:r w:rsidR="00BF78AA">
        <w:fldChar w:fldCharType="end"/>
      </w:r>
      <w:r w:rsidRPr="007B0EA0">
        <w:t>].</w:t>
      </w:r>
    </w:p>
    <w:p w14:paraId="25B83C8D" w14:textId="104CA41E" w:rsidR="0003119D" w:rsidRPr="00075EA6" w:rsidRDefault="007B0EA0" w:rsidP="0003119D">
      <w:pPr>
        <w:pStyle w:val="berschrift1"/>
        <w:rPr>
          <w:b w:val="0"/>
          <w:caps w:val="0"/>
          <w:sz w:val="20"/>
        </w:rPr>
      </w:pPr>
      <w:r>
        <w:t>Methodology</w:t>
      </w:r>
    </w:p>
    <w:p w14:paraId="0F1815CD" w14:textId="52B37312" w:rsidR="00DE2760" w:rsidRDefault="007B0EA0" w:rsidP="00DE2760">
      <w:pPr>
        <w:pStyle w:val="Paragraph"/>
      </w:pPr>
      <w:r w:rsidRPr="007B0EA0">
        <w:t>In numerical modeling, the laser-induced shock wave is typically simplified to a time-varying load applied directly to the target surface. To evaluate the peak pressure of the laser shock wave, the formula derived by Fabbro et al. [</w:t>
      </w:r>
      <w:r w:rsidR="00BF78AA">
        <w:fldChar w:fldCharType="begin"/>
      </w:r>
      <w:r w:rsidR="00BF78AA">
        <w:instrText xml:space="preserve"> REF _Ref215047465 \r \h </w:instrText>
      </w:r>
      <w:r w:rsidR="00BF78AA">
        <w:fldChar w:fldCharType="separate"/>
      </w:r>
      <w:r w:rsidR="00BF78AA">
        <w:t>2</w:t>
      </w:r>
      <w:r w:rsidR="00BF78AA">
        <w:fldChar w:fldCharType="end"/>
      </w:r>
      <w:r w:rsidR="00BF78AA">
        <w:t>-</w:t>
      </w:r>
      <w:r w:rsidR="00BF78AA">
        <w:fldChar w:fldCharType="begin"/>
      </w:r>
      <w:r w:rsidR="00BF78AA">
        <w:instrText xml:space="preserve"> REF _Ref215047469 \r \h </w:instrText>
      </w:r>
      <w:r w:rsidR="00BF78AA">
        <w:fldChar w:fldCharType="separate"/>
      </w:r>
      <w:r w:rsidR="00BF78AA">
        <w:t>5</w:t>
      </w:r>
      <w:r w:rsidR="00BF78AA">
        <w:fldChar w:fldCharType="end"/>
      </w:r>
      <w:r w:rsidRPr="007B0EA0">
        <w:t>] was used, and the corresponding maximum pressure can be obtained as follows:</w:t>
      </w:r>
    </w:p>
    <w:p w14:paraId="7671D4C2" w14:textId="633847F3" w:rsidR="007B0EA0" w:rsidRPr="001146DC" w:rsidRDefault="007B0EA0" w:rsidP="007B0EA0">
      <w:pPr>
        <w:pStyle w:val="Equation"/>
      </w:pPr>
      <w:r>
        <w:tab/>
      </w:r>
      <w:r w:rsidRPr="007B0EA0">
        <w:rPr>
          <w:position w:val="-22"/>
        </w:rPr>
        <w:object w:dxaOrig="1540" w:dyaOrig="600" w14:anchorId="1C6F5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30.5pt" o:ole="">
            <v:imagedata r:id="rId10" o:title=""/>
          </v:shape>
          <o:OLEObject Type="Embed" ProgID="Equation.DSMT4" ShapeID="_x0000_i1025" DrawAspect="Content" ObjectID="_1825668669" r:id="rId11"/>
        </w:object>
      </w:r>
      <w:r>
        <w:tab/>
      </w:r>
      <w:r>
        <w:fldChar w:fldCharType="begin"/>
      </w:r>
      <w:r>
        <w:instrText xml:space="preserve"> LISTNUM  Equations </w:instrText>
      </w:r>
      <w:r>
        <w:fldChar w:fldCharType="end"/>
      </w:r>
    </w:p>
    <w:p w14:paraId="5CF0C982" w14:textId="552CB1B2" w:rsidR="007B0EA0" w:rsidRDefault="007B0EA0" w:rsidP="007B0EA0">
      <w:pPr>
        <w:pStyle w:val="Paragraph"/>
        <w:ind w:firstLine="0"/>
      </w:pPr>
      <w:r>
        <w:t xml:space="preserve">where </w:t>
      </w:r>
      <w:r w:rsidRPr="00946E5B">
        <w:rPr>
          <w:i/>
        </w:rPr>
        <w:t>P</w:t>
      </w:r>
      <w:r>
        <w:t xml:space="preserve"> is the maximum pressure of the LSP, </w:t>
      </w:r>
      <w:r w:rsidRPr="00946E5B">
        <w:rPr>
          <w:i/>
        </w:rPr>
        <w:t>a</w:t>
      </w:r>
      <w:r>
        <w:t xml:space="preserve"> is the coefficient of conversion of internal energy into thermal energy, typically 0.1, </w:t>
      </w:r>
      <w:r w:rsidRPr="00946E5B">
        <w:rPr>
          <w:i/>
        </w:rPr>
        <w:t>Z</w:t>
      </w:r>
      <w:r>
        <w:t xml:space="preserve"> is the equivalent acoustic impedance, which is determined by the following formula:</w:t>
      </w:r>
    </w:p>
    <w:p w14:paraId="2587F549" w14:textId="5A195FE5" w:rsidR="007B0EA0" w:rsidRDefault="007B0EA0" w:rsidP="007B0EA0">
      <w:pPr>
        <w:pStyle w:val="Equation"/>
      </w:pPr>
      <w:r>
        <w:lastRenderedPageBreak/>
        <w:tab/>
      </w:r>
      <w:r w:rsidRPr="007B0EA0">
        <w:rPr>
          <w:position w:val="-26"/>
        </w:rPr>
        <w:object w:dxaOrig="1440" w:dyaOrig="600" w14:anchorId="47F53891">
          <v:shape id="_x0000_i1026" type="#_x0000_t75" style="width:1in;height:30.5pt" o:ole="">
            <v:imagedata r:id="rId12" o:title=""/>
          </v:shape>
          <o:OLEObject Type="Embed" ProgID="Equation.DSMT4" ShapeID="_x0000_i1026" DrawAspect="Content" ObjectID="_1825668670" r:id="rId13"/>
        </w:object>
      </w:r>
      <w:r>
        <w:tab/>
      </w:r>
      <w:r>
        <w:fldChar w:fldCharType="begin"/>
      </w:r>
      <w:r>
        <w:instrText xml:space="preserve"> LISTNUM  Equations </w:instrText>
      </w:r>
      <w:r>
        <w:fldChar w:fldCharType="end"/>
      </w:r>
    </w:p>
    <w:p w14:paraId="1A80B00E" w14:textId="5A8400E2" w:rsidR="007B0EA0" w:rsidRDefault="007B0EA0" w:rsidP="007B0EA0">
      <w:pPr>
        <w:pStyle w:val="Paragraph"/>
        <w:ind w:firstLine="0"/>
      </w:pPr>
      <w:r>
        <w:t xml:space="preserve">where </w:t>
      </w:r>
      <w:r w:rsidRPr="00946E5B">
        <w:rPr>
          <w:i/>
        </w:rPr>
        <w:t>Z</w:t>
      </w:r>
      <w:r w:rsidRPr="00946E5B">
        <w:rPr>
          <w:vertAlign w:val="subscript"/>
        </w:rPr>
        <w:t>1</w:t>
      </w:r>
      <w:r>
        <w:t xml:space="preserve"> and </w:t>
      </w:r>
      <w:r w:rsidRPr="00946E5B">
        <w:rPr>
          <w:i/>
        </w:rPr>
        <w:t>Z</w:t>
      </w:r>
      <w:r>
        <w:rPr>
          <w:vertAlign w:val="subscript"/>
        </w:rPr>
        <w:t>2</w:t>
      </w:r>
      <w:r>
        <w:t xml:space="preserve"> are the shock-wave impedances of the target material and the retaining medium respectively, and </w:t>
      </w:r>
      <w:r>
        <w:rPr>
          <w:i/>
          <w:iCs/>
        </w:rPr>
        <w:t>α</w:t>
      </w:r>
      <w:r>
        <w:t xml:space="preserve"> is the power density of the laser radiation, which can be calculated using the formula:</w:t>
      </w:r>
    </w:p>
    <w:p w14:paraId="366333FF" w14:textId="4C61EA51" w:rsidR="007B0EA0" w:rsidRDefault="007B0EA0" w:rsidP="007B0EA0">
      <w:pPr>
        <w:pStyle w:val="Equation"/>
      </w:pPr>
      <w:r>
        <w:tab/>
      </w:r>
      <w:r w:rsidRPr="007B0EA0">
        <w:rPr>
          <w:position w:val="-26"/>
        </w:rPr>
        <w:object w:dxaOrig="999" w:dyaOrig="600" w14:anchorId="72DA28FC">
          <v:shape id="_x0000_i1027" type="#_x0000_t75" style="width:50pt;height:30.5pt" o:ole="">
            <v:imagedata r:id="rId14" o:title=""/>
          </v:shape>
          <o:OLEObject Type="Embed" ProgID="Equation.DSMT4" ShapeID="_x0000_i1027" DrawAspect="Content" ObjectID="_1825668671" r:id="rId15"/>
        </w:object>
      </w:r>
      <w:r>
        <w:tab/>
      </w:r>
      <w:r>
        <w:fldChar w:fldCharType="begin"/>
      </w:r>
      <w:r>
        <w:instrText xml:space="preserve"> LISTNUM  Equations </w:instrText>
      </w:r>
      <w:r>
        <w:fldChar w:fldCharType="end"/>
      </w:r>
    </w:p>
    <w:p w14:paraId="6E0C7DFF" w14:textId="77777777" w:rsidR="007B0EA0" w:rsidRDefault="007B0EA0" w:rsidP="007B0EA0">
      <w:pPr>
        <w:jc w:val="both"/>
        <w:rPr>
          <w:rFonts w:eastAsia="Calibri"/>
          <w:sz w:val="20"/>
        </w:rPr>
      </w:pPr>
      <w:r>
        <w:rPr>
          <w:sz w:val="20"/>
        </w:rPr>
        <w:t xml:space="preserve">where </w:t>
      </w:r>
      <w:r w:rsidRPr="00946E5B">
        <w:rPr>
          <w:i/>
          <w:sz w:val="20"/>
        </w:rPr>
        <w:t>γ</w:t>
      </w:r>
      <w:r>
        <w:rPr>
          <w:sz w:val="20"/>
        </w:rPr>
        <w:t xml:space="preserve"> </w:t>
      </w:r>
      <w:r>
        <w:rPr>
          <w:sz w:val="28"/>
          <w:szCs w:val="28"/>
        </w:rPr>
        <w:t xml:space="preserve">– </w:t>
      </w:r>
      <w:r>
        <w:rPr>
          <w:rFonts w:eastAsia="Calibri"/>
          <w:sz w:val="20"/>
        </w:rPr>
        <w:t xml:space="preserve">is the absorption coefficient, </w:t>
      </w:r>
      <w:r w:rsidRPr="00946E5B">
        <w:rPr>
          <w:rFonts w:eastAsia="Calibri"/>
          <w:i/>
          <w:sz w:val="20"/>
        </w:rPr>
        <w:t>E</w:t>
      </w:r>
      <w:r>
        <w:rPr>
          <w:rFonts w:eastAsia="Calibri"/>
          <w:sz w:val="20"/>
        </w:rPr>
        <w:t xml:space="preserve"> is the laser pulse energy, usually taking a value of 0.7; </w:t>
      </w:r>
      <w:r>
        <w:rPr>
          <w:rFonts w:eastAsia="Calibri"/>
          <w:i/>
          <w:iCs/>
          <w:sz w:val="20"/>
        </w:rPr>
        <w:t>τ</w:t>
      </w:r>
      <w:r>
        <w:rPr>
          <w:rFonts w:eastAsia="Calibri"/>
          <w:sz w:val="20"/>
        </w:rPr>
        <w:t xml:space="preserve"> is</w:t>
      </w:r>
      <w:r>
        <w:rPr>
          <w:sz w:val="28"/>
          <w:szCs w:val="28"/>
        </w:rPr>
        <w:t xml:space="preserve"> t</w:t>
      </w:r>
      <w:r>
        <w:rPr>
          <w:rFonts w:eastAsia="Calibri"/>
          <w:sz w:val="20"/>
        </w:rPr>
        <w:t xml:space="preserve">he pulse duration, and </w:t>
      </w:r>
      <w:r w:rsidRPr="00946E5B">
        <w:rPr>
          <w:rFonts w:eastAsia="Calibri"/>
          <w:i/>
          <w:sz w:val="20"/>
        </w:rPr>
        <w:t>D</w:t>
      </w:r>
      <w:r>
        <w:rPr>
          <w:rFonts w:eastAsia="Calibri"/>
          <w:sz w:val="20"/>
        </w:rPr>
        <w:t xml:space="preserve"> is the spot diameter.</w:t>
      </w:r>
    </w:p>
    <w:p w14:paraId="1522CB33" w14:textId="2C063E5C" w:rsidR="007B0EA0" w:rsidRDefault="007B0EA0" w:rsidP="007B0EA0">
      <w:pPr>
        <w:pStyle w:val="Paragraph"/>
        <w:ind w:firstLine="0"/>
        <w:rPr>
          <w:rFonts w:eastAsia="Calibri"/>
        </w:rPr>
      </w:pPr>
      <w:r>
        <w:rPr>
          <w:rFonts w:eastAsia="Calibri"/>
        </w:rPr>
        <w:t>In the laser shock peening (LSP) process, a high-energy (</w:t>
      </w:r>
      <w:r>
        <w:rPr>
          <w:rFonts w:eastAsia="Calibri"/>
          <w:i/>
          <w:iCs/>
        </w:rPr>
        <w:t>Gwt/sm</w:t>
      </w:r>
      <w:r>
        <w:rPr>
          <w:rFonts w:eastAsia="Calibri"/>
          <w:i/>
          <w:iCs/>
          <w:vertAlign w:val="superscript"/>
        </w:rPr>
        <w:t>2</w:t>
      </w:r>
      <w:r>
        <w:rPr>
          <w:rFonts w:eastAsia="Calibri"/>
        </w:rPr>
        <w:t>) short-pulse (</w:t>
      </w:r>
      <w:r>
        <w:rPr>
          <w:rFonts w:eastAsia="Calibri"/>
          <w:i/>
          <w:iCs/>
        </w:rPr>
        <w:t>ns</w:t>
      </w:r>
      <w:r>
        <w:rPr>
          <w:rFonts w:eastAsia="Calibri"/>
        </w:rPr>
        <w:t>) laser beam passes through a transparent overlay and irradiates the ablative coating, resulting in instantaneous evaporation and ionization of the coating layer. This leads to the formation of high-temperature, high-pressure plasma, which rapidly expands from the target surface, as shown in Figure 1 (a). Due to the presence of the transparent overlay, the expanding plasma is confined and redirected towards the surface, resulting in a high-pressure (</w:t>
      </w:r>
      <w:r>
        <w:rPr>
          <w:rFonts w:eastAsia="Calibri"/>
          <w:i/>
          <w:iCs/>
        </w:rPr>
        <w:t>GPa</w:t>
      </w:r>
      <w:r>
        <w:rPr>
          <w:rFonts w:eastAsia="Calibri"/>
        </w:rPr>
        <w:t xml:space="preserve">) shock wave propagating within the target material. Based on the widely accepted Fabbro LSP model, the peak pressure </w:t>
      </w:r>
      <w:r>
        <w:rPr>
          <w:rFonts w:eastAsia="Calibri"/>
          <w:i/>
          <w:iCs/>
        </w:rPr>
        <w:t>P</w:t>
      </w:r>
      <w:r>
        <w:rPr>
          <w:rFonts w:eastAsia="Calibri"/>
        </w:rPr>
        <w:t xml:space="preserve"> of the shock wave induced by the laser plasma is determined by the shock impedance </w:t>
      </w:r>
      <w:r>
        <w:rPr>
          <w:rFonts w:eastAsia="Calibri"/>
          <w:position w:val="-10"/>
        </w:rPr>
        <w:object w:dxaOrig="259" w:dyaOrig="279" w14:anchorId="09E9EBEC">
          <v:shape id="Object 199" o:spid="_x0000_i1028" type="#_x0000_t75" alt="" style="width:13pt;height:14pt" o:ole="">
            <v:fill o:detectmouseclick="t"/>
            <v:imagedata r:id="rId16" o:title=""/>
          </v:shape>
          <o:OLEObject Type="Embed" ProgID="Equation.3" ShapeID="Object 199" DrawAspect="Content" ObjectID="_1825668672" r:id="rId17">
            <o:FieldCodes>\* MERGEFORMAT</o:FieldCodes>
          </o:OLEObject>
        </w:object>
      </w:r>
      <w:r>
        <w:rPr>
          <w:rFonts w:eastAsia="Calibri"/>
        </w:rPr>
        <w:t xml:space="preserve"> (of the confining medium and target material) and the laser intensity </w:t>
      </w:r>
      <w:r w:rsidRPr="00946E5B">
        <w:rPr>
          <w:rFonts w:eastAsia="Calibri"/>
          <w:i/>
        </w:rPr>
        <w:t>I</w:t>
      </w:r>
      <w:r>
        <w:rPr>
          <w:rFonts w:eastAsia="Calibri"/>
        </w:rPr>
        <w:t>(</w:t>
      </w:r>
      <w:r w:rsidRPr="00946E5B">
        <w:rPr>
          <w:rFonts w:eastAsia="Calibri"/>
          <w:i/>
        </w:rPr>
        <w:t>t</w:t>
      </w:r>
      <w:r>
        <w:rPr>
          <w:rFonts w:eastAsia="Calibri"/>
        </w:rPr>
        <w:t>) [</w:t>
      </w:r>
      <w:r w:rsidR="00BF78AA">
        <w:rPr>
          <w:rFonts w:eastAsia="Calibri"/>
        </w:rPr>
        <w:fldChar w:fldCharType="begin"/>
      </w:r>
      <w:r w:rsidR="00BF78AA">
        <w:rPr>
          <w:rFonts w:eastAsia="Calibri"/>
        </w:rPr>
        <w:instrText xml:space="preserve"> REF _Ref215047480 \r \h </w:instrText>
      </w:r>
      <w:r w:rsidR="00BF78AA">
        <w:rPr>
          <w:rFonts w:eastAsia="Calibri"/>
        </w:rPr>
      </w:r>
      <w:r w:rsidR="00BF78AA">
        <w:rPr>
          <w:rFonts w:eastAsia="Calibri"/>
        </w:rPr>
        <w:fldChar w:fldCharType="separate"/>
      </w:r>
      <w:r w:rsidR="00155654">
        <w:rPr>
          <w:rFonts w:eastAsia="Calibri"/>
        </w:rPr>
        <w:t>6</w:t>
      </w:r>
      <w:r w:rsidR="00BF78AA">
        <w:rPr>
          <w:rFonts w:eastAsia="Calibri"/>
        </w:rPr>
        <w:fldChar w:fldCharType="end"/>
      </w:r>
      <w:r>
        <w:rPr>
          <w:rFonts w:eastAsia="Calibri"/>
        </w:rPr>
        <w:t>]:</w:t>
      </w:r>
    </w:p>
    <w:p w14:paraId="18A75439" w14:textId="39C53BE7" w:rsidR="007B0EA0" w:rsidRDefault="007B0EA0" w:rsidP="007B0EA0">
      <w:pPr>
        <w:pStyle w:val="Equation"/>
      </w:pPr>
      <w:r>
        <w:tab/>
      </w:r>
      <w:r w:rsidRPr="007B0EA0">
        <w:rPr>
          <w:position w:val="-26"/>
        </w:rPr>
        <w:object w:dxaOrig="1200" w:dyaOrig="600" w14:anchorId="4D7EE86C">
          <v:shape id="_x0000_i1029" type="#_x0000_t75" style="width:60pt;height:30.5pt" o:ole="">
            <v:imagedata r:id="rId18" o:title=""/>
          </v:shape>
          <o:OLEObject Type="Embed" ProgID="Equation.DSMT4" ShapeID="_x0000_i1029" DrawAspect="Content" ObjectID="_1825668673" r:id="rId19"/>
        </w:object>
      </w:r>
      <w:r>
        <w:tab/>
      </w:r>
      <w:r>
        <w:fldChar w:fldCharType="begin"/>
      </w:r>
      <w:r>
        <w:instrText xml:space="preserve"> LISTNUM  Equations </w:instrText>
      </w:r>
      <w:r>
        <w:fldChar w:fldCharType="end"/>
      </w:r>
    </w:p>
    <w:p w14:paraId="07B28BA5" w14:textId="5E7D4041" w:rsidR="007B0EA0" w:rsidRDefault="007B0EA0" w:rsidP="007B0EA0">
      <w:pPr>
        <w:pStyle w:val="Equation"/>
      </w:pPr>
      <w:r>
        <w:tab/>
      </w:r>
      <w:r w:rsidRPr="007B0EA0">
        <w:rPr>
          <w:position w:val="-22"/>
        </w:rPr>
        <w:object w:dxaOrig="1260" w:dyaOrig="560" w14:anchorId="6CA16BD4">
          <v:shape id="_x0000_i1030" type="#_x0000_t75" style="width:63pt;height:28pt" o:ole="">
            <v:imagedata r:id="rId20" o:title=""/>
          </v:shape>
          <o:OLEObject Type="Embed" ProgID="Equation.DSMT4" ShapeID="_x0000_i1030" DrawAspect="Content" ObjectID="_1825668674" r:id="rId21"/>
        </w:object>
      </w:r>
      <w:r>
        <w:tab/>
      </w:r>
      <w:r>
        <w:fldChar w:fldCharType="begin"/>
      </w:r>
      <w:r>
        <w:instrText xml:space="preserve"> LISTNUM  Equations </w:instrText>
      </w:r>
      <w:r>
        <w:fldChar w:fldCharType="end"/>
      </w:r>
    </w:p>
    <w:p w14:paraId="17E80894" w14:textId="4E9E0A42" w:rsidR="007B0EA0" w:rsidRDefault="007B0EA0" w:rsidP="007B0EA0">
      <w:pPr>
        <w:pStyle w:val="Equation"/>
      </w:pPr>
      <w:r>
        <w:tab/>
      </w:r>
      <w:r w:rsidRPr="007B0EA0">
        <w:rPr>
          <w:position w:val="-22"/>
        </w:rPr>
        <w:object w:dxaOrig="2980" w:dyaOrig="560" w14:anchorId="67A3F482">
          <v:shape id="_x0000_i1031" type="#_x0000_t75" style="width:149pt;height:28pt" o:ole="">
            <v:imagedata r:id="rId22" o:title=""/>
          </v:shape>
          <o:OLEObject Type="Embed" ProgID="Equation.DSMT4" ShapeID="_x0000_i1031" DrawAspect="Content" ObjectID="_1825668675" r:id="rId23"/>
        </w:object>
      </w:r>
      <w:r>
        <w:tab/>
      </w:r>
      <w:r>
        <w:fldChar w:fldCharType="begin"/>
      </w:r>
      <w:r>
        <w:instrText xml:space="preserve"> LISTNUM  Equations </w:instrText>
      </w:r>
      <w:r>
        <w:fldChar w:fldCharType="end"/>
      </w:r>
    </w:p>
    <w:p w14:paraId="02234283" w14:textId="1FE8F227" w:rsidR="007B0EA0" w:rsidRDefault="007B0EA0" w:rsidP="001C3132">
      <w:pPr>
        <w:pStyle w:val="Paragraph"/>
        <w:ind w:firstLine="0"/>
      </w:pPr>
      <w:r>
        <w:t xml:space="preserve">where </w:t>
      </w:r>
      <w:r w:rsidRPr="007B0EA0">
        <w:rPr>
          <w:i/>
        </w:rPr>
        <w:t>L</w:t>
      </w:r>
      <w:r>
        <w:t xml:space="preserve"> – is the length of the plasma interface, and </w:t>
      </w:r>
      <w:r w:rsidRPr="007B0EA0">
        <w:rPr>
          <w:i/>
        </w:rPr>
        <w:t>a</w:t>
      </w:r>
      <w:r>
        <w:t xml:space="preserve"> - is the ratio of thermal energy to internal energy of the plasma (ranging from 0.3 to 0.5).</w:t>
      </w:r>
      <w:r>
        <w:rPr>
          <w:position w:val="-10"/>
        </w:rPr>
        <w:object w:dxaOrig="5740" w:dyaOrig="379" w14:anchorId="67C816E5">
          <v:shape id="Object 179" o:spid="_x0000_i1032" type="#_x0000_t75" style="width:286.5pt;height:19pt;mso-position-horizontal-relative:page;mso-position-vertical-relative:page" o:ole="">
            <v:fill o:detectmouseclick="t"/>
            <v:imagedata r:id="rId24" o:title=""/>
          </v:shape>
          <o:OLEObject Type="Embed" ProgID="Equation.3" ShapeID="Object 179" DrawAspect="Content" ObjectID="_1825668676" r:id="rId25">
            <o:FieldCodes>\* MERGEFORMAT</o:FieldCodes>
          </o:OLEObject>
        </w:object>
      </w:r>
      <w:r>
        <w:t xml:space="preserve"> [</w:t>
      </w:r>
      <w:r w:rsidR="00BF78AA">
        <w:fldChar w:fldCharType="begin"/>
      </w:r>
      <w:r w:rsidR="00BF78AA">
        <w:instrText xml:space="preserve"> REF _Ref215047469 \r \h </w:instrText>
      </w:r>
      <w:r w:rsidR="00BF78AA">
        <w:fldChar w:fldCharType="separate"/>
      </w:r>
      <w:r w:rsidR="00155654">
        <w:t>5</w:t>
      </w:r>
      <w:r w:rsidR="00BF78AA">
        <w:fldChar w:fldCharType="end"/>
      </w:r>
      <w:r>
        <w:t xml:space="preserve">]. </w:t>
      </w:r>
      <w:r>
        <w:rPr>
          <w:i/>
          <w:iCs/>
        </w:rPr>
        <w:t>I</w:t>
      </w:r>
      <w:r w:rsidRPr="007B0EA0">
        <w:rPr>
          <w:iCs/>
        </w:rPr>
        <w:t>(</w:t>
      </w:r>
      <w:r>
        <w:rPr>
          <w:i/>
          <w:iCs/>
        </w:rPr>
        <w:t>t</w:t>
      </w:r>
      <w:r w:rsidRPr="007B0EA0">
        <w:rPr>
          <w:iCs/>
        </w:rPr>
        <w:t>)</w:t>
      </w:r>
      <w:r>
        <w:t xml:space="preserve"> is determined by equations (3) and (6):</w:t>
      </w:r>
    </w:p>
    <w:p w14:paraId="7BBCAA2E" w14:textId="2172E5BD" w:rsidR="007B0EA0" w:rsidRDefault="007B0EA0" w:rsidP="007B0EA0">
      <w:pPr>
        <w:pStyle w:val="Equation"/>
      </w:pPr>
      <w:r>
        <w:tab/>
      </w:r>
      <w:r w:rsidRPr="007B0EA0">
        <w:rPr>
          <w:position w:val="-26"/>
        </w:rPr>
        <w:object w:dxaOrig="3400" w:dyaOrig="620" w14:anchorId="3A9B87FC">
          <v:shape id="_x0000_i1033" type="#_x0000_t75" style="width:170pt;height:31pt" o:ole="">
            <v:imagedata r:id="rId26" o:title=""/>
          </v:shape>
          <o:OLEObject Type="Embed" ProgID="Equation.DSMT4" ShapeID="_x0000_i1033" DrawAspect="Content" ObjectID="_1825668677" r:id="rId27"/>
        </w:object>
      </w:r>
      <w:r>
        <w:tab/>
      </w:r>
      <w:r>
        <w:fldChar w:fldCharType="begin"/>
      </w:r>
      <w:r>
        <w:instrText xml:space="preserve"> LISTNUM  Equations </w:instrText>
      </w:r>
      <w:r>
        <w:fldChar w:fldCharType="end"/>
      </w:r>
    </w:p>
    <w:p w14:paraId="72C4178B" w14:textId="57EBD825" w:rsidR="007B0EA0" w:rsidRDefault="007B0EA0" w:rsidP="007B0EA0">
      <w:pPr>
        <w:pStyle w:val="Paragraph"/>
        <w:ind w:firstLine="0"/>
        <w:rPr>
          <w:rFonts w:eastAsia="Calibri"/>
        </w:rPr>
      </w:pPr>
      <w:r>
        <w:rPr>
          <w:rFonts w:eastAsia="Calibri"/>
        </w:rPr>
        <w:t xml:space="preserve">where </w:t>
      </w:r>
      <w:r w:rsidRPr="007B0EA0">
        <w:rPr>
          <w:rFonts w:eastAsia="Calibri"/>
          <w:i/>
        </w:rPr>
        <w:t>I</w:t>
      </w:r>
      <w:r w:rsidRPr="007B0EA0">
        <w:rPr>
          <w:rFonts w:eastAsia="Calibri"/>
          <w:vertAlign w:val="subscript"/>
        </w:rPr>
        <w:t>0</w:t>
      </w:r>
      <w:r>
        <w:rPr>
          <w:rFonts w:eastAsia="Calibri"/>
        </w:rPr>
        <w:t xml:space="preserve"> – max is the maximum laser intensity, </w:t>
      </w:r>
      <w:r w:rsidRPr="007B0EA0">
        <w:rPr>
          <w:rFonts w:eastAsia="Calibri"/>
          <w:i/>
        </w:rPr>
        <w:t>Q</w:t>
      </w:r>
      <w:r>
        <w:rPr>
          <w:rFonts w:eastAsia="Calibri"/>
        </w:rPr>
        <w:t xml:space="preserve"> - is the pulsed laser energy, </w:t>
      </w:r>
      <w:r w:rsidRPr="007B0EA0">
        <w:rPr>
          <w:rFonts w:eastAsia="Calibri"/>
          <w:i/>
        </w:rPr>
        <w:t>d</w:t>
      </w:r>
      <w:r>
        <w:rPr>
          <w:rFonts w:eastAsia="Calibri"/>
        </w:rPr>
        <w:t xml:space="preserve">- is the beam diameter, and </w:t>
      </w:r>
      <w:r w:rsidRPr="007B0EA0">
        <w:rPr>
          <w:rFonts w:eastAsia="Calibri"/>
          <w:i/>
        </w:rPr>
        <w:t>t</w:t>
      </w:r>
      <w:r>
        <w:rPr>
          <w:rFonts w:eastAsia="Calibri"/>
        </w:rPr>
        <w:t xml:space="preserve"> is the laser pulse duration.</w:t>
      </w:r>
    </w:p>
    <w:p w14:paraId="6132E849" w14:textId="7D50B32C" w:rsidR="007B0EA0" w:rsidRDefault="007B0EA0" w:rsidP="007B0EA0">
      <w:pPr>
        <w:pStyle w:val="Paragraph"/>
      </w:pPr>
      <w:r>
        <w:t xml:space="preserve">The value of </w:t>
      </w:r>
      <w:r w:rsidRPr="007B0EA0">
        <w:rPr>
          <w:i/>
        </w:rPr>
        <w:t>σ</w:t>
      </w:r>
      <w:r>
        <w:t xml:space="preserve"> can be estimated from the effective duration of the laser FWHM (full width at half maximum), where FWHM is in </w:t>
      </w:r>
      <w:r>
        <w:rPr>
          <w:i/>
          <w:iCs/>
        </w:rPr>
        <w:t>ns</w:t>
      </w:r>
      <w:r>
        <w:t xml:space="preserve">, and FWHM = </w:t>
      </w:r>
      <w:r>
        <w:rPr>
          <w:position w:val="-10"/>
        </w:rPr>
        <w:object w:dxaOrig="1179" w:dyaOrig="359" w14:anchorId="4DE9F37F">
          <v:shape id="Object 202" o:spid="_x0000_i1034" type="#_x0000_t75" alt="" style="width:59pt;height:18pt" o:ole="">
            <v:fill o:detectmouseclick="t"/>
            <v:imagedata r:id="rId28" o:title=""/>
          </v:shape>
          <o:OLEObject Type="Embed" ProgID="Equation.3" ShapeID="Object 202" DrawAspect="Content" ObjectID="_1825668678" r:id="rId29">
            <o:FieldCodes>\* MERGEFORMAT</o:FieldCodes>
          </o:OLEObject>
        </w:object>
      </w:r>
      <w:r>
        <w:t xml:space="preserve"> </w:t>
      </w:r>
      <w:r>
        <w:rPr>
          <w:i/>
          <w:iCs/>
        </w:rPr>
        <w:t xml:space="preserve">ns, </w:t>
      </w:r>
      <w:r>
        <w:rPr>
          <w:i/>
          <w:iCs/>
          <w:position w:val="-10"/>
        </w:rPr>
        <w:object w:dxaOrig="659" w:dyaOrig="279" w14:anchorId="232F1B31">
          <v:shape id="Object 203" o:spid="_x0000_i1035" type="#_x0000_t75" alt="" style="width:33pt;height:14pt" o:ole="">
            <v:fill o:detectmouseclick="t"/>
            <v:imagedata r:id="rId30" o:title=""/>
          </v:shape>
          <o:OLEObject Type="Embed" ProgID="Equation.3" ShapeID="Object 203" DrawAspect="Content" ObjectID="_1825668679" r:id="rId31">
            <o:FieldCodes>\* MERGEFORMAT</o:FieldCodes>
          </o:OLEObject>
        </w:object>
      </w:r>
      <w:r>
        <w:t>.</w:t>
      </w:r>
    </w:p>
    <w:p w14:paraId="5B4ADF3B" w14:textId="21A12FFA" w:rsidR="007B0EA0" w:rsidRDefault="007B0EA0" w:rsidP="007B0EA0">
      <w:pPr>
        <w:pStyle w:val="Paragraph"/>
      </w:pPr>
      <w:r>
        <w:t>Based on equations (4) - (7), the temporal evolution of shock wave pressure for different laser intensities is calculated as shown in Figure 1 (b). It can be seen that the shock wave pressure in CRS experiments rapidly reaches its peak value (</w:t>
      </w:r>
      <w:r w:rsidRPr="001C3132">
        <w:rPr>
          <w:iCs/>
        </w:rPr>
        <w:t>GPa</w:t>
      </w:r>
      <w:r>
        <w:t xml:space="preserve">) within 20 </w:t>
      </w:r>
      <w:r>
        <w:rPr>
          <w:i/>
          <w:iCs/>
        </w:rPr>
        <w:t>ns</w:t>
      </w:r>
      <w:r>
        <w:t>, and then gradually decreases over time. As the shock wave propagates into the Ti block, the effective pressure decreases with increasing depth [</w:t>
      </w:r>
      <w:r w:rsidR="00BF78AA">
        <w:fldChar w:fldCharType="begin"/>
      </w:r>
      <w:r w:rsidR="00BF78AA">
        <w:instrText xml:space="preserve"> REF _Ref215047498 \r \h </w:instrText>
      </w:r>
      <w:r w:rsidR="00BF78AA">
        <w:fldChar w:fldCharType="separate"/>
      </w:r>
      <w:r w:rsidR="004E2DB8">
        <w:t>4</w:t>
      </w:r>
      <w:r w:rsidR="00BF78AA">
        <w:fldChar w:fldCharType="end"/>
      </w:r>
      <w:r>
        <w:t>].</w:t>
      </w:r>
    </w:p>
    <w:p w14:paraId="0DCFF3D6" w14:textId="2867525D" w:rsidR="007B0EA0" w:rsidRDefault="007B0EA0" w:rsidP="007B0EA0">
      <w:pPr>
        <w:pStyle w:val="Paragraph"/>
        <w:ind w:firstLine="0"/>
        <w:rPr>
          <w:rFonts w:eastAsia="Calibri"/>
        </w:rPr>
      </w:pPr>
      <w:r>
        <w:rPr>
          <w:rFonts w:eastAsia="Calibri"/>
        </w:rPr>
        <w:t>Once the shock wave pressure exceeds the Hugoniot elastic limit (</w:t>
      </w:r>
      <w:r w:rsidRPr="007B0EA0">
        <w:rPr>
          <w:rFonts w:eastAsia="Calibri"/>
          <w:i/>
        </w:rPr>
        <w:t>σ</w:t>
      </w:r>
      <w:r>
        <w:rPr>
          <w:rFonts w:eastAsia="Calibri"/>
          <w:i/>
          <w:vertAlign w:val="subscript"/>
        </w:rPr>
        <w:t>HEL</w:t>
      </w:r>
      <w:r>
        <w:rPr>
          <w:rFonts w:eastAsia="Calibri"/>
        </w:rPr>
        <w:t xml:space="preserve">) of the metal, which is determined by the magnitude of the elastic precursor of the shock wave and is related to the yield strength </w:t>
      </w:r>
      <w:r w:rsidRPr="007B0EA0">
        <w:rPr>
          <w:rFonts w:eastAsia="Calibri"/>
          <w:i/>
        </w:rPr>
        <w:t>σ</w:t>
      </w:r>
      <w:r w:rsidRPr="007B0EA0">
        <w:rPr>
          <w:rFonts w:eastAsia="Calibri"/>
          <w:i/>
          <w:vertAlign w:val="subscript"/>
        </w:rPr>
        <w:t>y</w:t>
      </w:r>
      <w:r>
        <w:rPr>
          <w:rFonts w:eastAsia="Calibri"/>
        </w:rPr>
        <w:t xml:space="preserve"> and Poisson's ratio </w:t>
      </w:r>
      <w:r w:rsidRPr="007B0EA0">
        <w:rPr>
          <w:rFonts w:eastAsia="Calibri"/>
          <w:i/>
        </w:rPr>
        <w:t>ν</w:t>
      </w:r>
      <w:r>
        <w:rPr>
          <w:rFonts w:eastAsia="Calibri"/>
        </w:rPr>
        <w:t xml:space="preserve"> of the material by equation (8), high-speed plastic deformation occurs beneath the irradiated area, accompanied by grain refinement and CRS induction.</w:t>
      </w:r>
    </w:p>
    <w:p w14:paraId="6AEC96EE" w14:textId="4541A594" w:rsidR="007B0EA0" w:rsidRDefault="007B0EA0" w:rsidP="007B0EA0">
      <w:pPr>
        <w:pStyle w:val="Equation"/>
      </w:pPr>
      <w:r>
        <w:tab/>
      </w:r>
      <w:r w:rsidRPr="007B0EA0">
        <w:rPr>
          <w:position w:val="-12"/>
        </w:rPr>
        <w:object w:dxaOrig="2079" w:dyaOrig="320" w14:anchorId="70042AD8">
          <v:shape id="_x0000_i1036" type="#_x0000_t75" style="width:103.5pt;height:16pt" o:ole="">
            <v:imagedata r:id="rId32" o:title=""/>
          </v:shape>
          <o:OLEObject Type="Embed" ProgID="Equation.DSMT4" ShapeID="_x0000_i1036" DrawAspect="Content" ObjectID="_1825668680" r:id="rId33"/>
        </w:object>
      </w:r>
      <w:r>
        <w:tab/>
      </w:r>
      <w:r>
        <w:fldChar w:fldCharType="begin"/>
      </w:r>
      <w:r>
        <w:instrText xml:space="preserve"> LISTNUM  Equations </w:instrText>
      </w:r>
      <w:r>
        <w:fldChar w:fldCharType="end"/>
      </w:r>
    </w:p>
    <w:p w14:paraId="1CA48EBA" w14:textId="77777777" w:rsidR="007B0EA0" w:rsidRDefault="007B0EA0" w:rsidP="007B0EA0">
      <w:pPr>
        <w:pStyle w:val="Paragraph"/>
        <w:ind w:firstLine="0"/>
      </w:pPr>
    </w:p>
    <w:p w14:paraId="06940313" w14:textId="7746ABC4" w:rsidR="007B0EA0" w:rsidRDefault="007B0EA0" w:rsidP="007B0EA0">
      <w:pPr>
        <w:pStyle w:val="Paragraph"/>
        <w:ind w:firstLine="0"/>
      </w:pPr>
    </w:p>
    <w:p w14:paraId="6D38836C" w14:textId="2C16C4F1" w:rsidR="007B0EA0" w:rsidRDefault="007B0EA0" w:rsidP="007B0EA0">
      <w:pPr>
        <w:pStyle w:val="Paragraph"/>
        <w:ind w:firstLine="0"/>
      </w:pPr>
    </w:p>
    <w:p w14:paraId="008E0B06" w14:textId="6449A4DE" w:rsidR="007B0EA0" w:rsidRDefault="007B0EA0" w:rsidP="007B0EA0">
      <w:pPr>
        <w:pStyle w:val="Paragraph"/>
        <w:ind w:firstLine="0"/>
      </w:pPr>
    </w:p>
    <w:p w14:paraId="7846C19F" w14:textId="77777777" w:rsidR="007B0EA0" w:rsidRPr="007B0EA0" w:rsidRDefault="007B0EA0" w:rsidP="007B0EA0">
      <w:pPr>
        <w:pStyle w:val="Paragraph"/>
        <w:ind w:firstLine="0"/>
      </w:pPr>
    </w:p>
    <w:p w14:paraId="2EA9ECFC" w14:textId="77777777" w:rsidR="007B0EA0" w:rsidRPr="00DE2760" w:rsidRDefault="007B0EA0" w:rsidP="007B0EA0">
      <w:pPr>
        <w:pStyle w:val="Paragraph"/>
        <w:ind w:firstLine="0"/>
      </w:pPr>
    </w:p>
    <w:p w14:paraId="5057CAE8" w14:textId="77AAFBB0" w:rsidR="00DE2760" w:rsidRPr="00DE2760" w:rsidRDefault="007B0EA0" w:rsidP="007B0EA0">
      <w:pPr>
        <w:pStyle w:val="Figure"/>
        <w:rPr>
          <w:kern w:val="2"/>
          <w:szCs w:val="24"/>
          <w:lang w:eastAsia="zh-CN"/>
        </w:rPr>
      </w:pPr>
      <w:r>
        <w:rPr>
          <w:noProof/>
        </w:rPr>
        <w:lastRenderedPageBreak/>
        <w:drawing>
          <wp:inline distT="0" distB="0" distL="0" distR="0" wp14:anchorId="11E76044" wp14:editId="632BF2A3">
            <wp:extent cx="5297684" cy="216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86"/>
                    <pic:cNvPicPr>
                      <a:picLocks noChangeAspect="1" noChangeArrowheads="1"/>
                    </pic:cNvPicPr>
                  </pic:nvPicPr>
                  <pic:blipFill>
                    <a:blip r:embed="rId34">
                      <a:extLst>
                        <a:ext uri="{28A0092B-C50C-407E-A947-70E740481C1C}">
                          <a14:useLocalDpi xmlns:a14="http://schemas.microsoft.com/office/drawing/2010/main" val="0"/>
                        </a:ext>
                      </a:extLst>
                    </a:blip>
                    <a:srcRect b="1782"/>
                    <a:stretch>
                      <a:fillRect/>
                    </a:stretch>
                  </pic:blipFill>
                  <pic:spPr bwMode="auto">
                    <a:xfrm>
                      <a:off x="0" y="0"/>
                      <a:ext cx="5297684" cy="2160000"/>
                    </a:xfrm>
                    <a:prstGeom prst="rect">
                      <a:avLst/>
                    </a:prstGeom>
                    <a:noFill/>
                    <a:ln>
                      <a:noFill/>
                    </a:ln>
                    <a:effectLst/>
                  </pic:spPr>
                </pic:pic>
              </a:graphicData>
            </a:graphic>
          </wp:inline>
        </w:drawing>
      </w:r>
    </w:p>
    <w:p w14:paraId="53101420" w14:textId="56D58312" w:rsidR="00DE2760" w:rsidRDefault="00DE2760" w:rsidP="00DE2760">
      <w:pPr>
        <w:pStyle w:val="FigureCaption"/>
        <w:rPr>
          <w:lang w:eastAsia="zh-CN"/>
        </w:rPr>
      </w:pPr>
      <w:r>
        <w:rPr>
          <w:b/>
          <w:caps/>
        </w:rPr>
        <w:t>Figure 1.</w:t>
      </w:r>
      <w:r w:rsidRPr="00DE2760">
        <w:rPr>
          <w:kern w:val="2"/>
          <w:sz w:val="20"/>
          <w:lang w:eastAsia="zh-CN"/>
        </w:rPr>
        <w:t xml:space="preserve"> </w:t>
      </w:r>
      <w:r w:rsidR="007B0EA0" w:rsidRPr="007B0EA0">
        <w:t>Temporal evolution of shock wave pressure for various laser intensities</w:t>
      </w:r>
      <w:r w:rsidR="00FC2BD5">
        <w:rPr>
          <w:lang w:eastAsia="zh-CN"/>
        </w:rPr>
        <w:t>.</w:t>
      </w:r>
      <w:r w:rsidR="00FC2BD5">
        <w:rPr>
          <w:rFonts w:hint="eastAsia"/>
          <w:lang w:eastAsia="zh-CN"/>
        </w:rPr>
        <w:t xml:space="preserve"> </w:t>
      </w:r>
    </w:p>
    <w:p w14:paraId="6B7535D9" w14:textId="77777777" w:rsidR="000C555B" w:rsidRPr="00DE2760" w:rsidRDefault="000C555B" w:rsidP="000C555B">
      <w:pPr>
        <w:pStyle w:val="Paragraph"/>
        <w:rPr>
          <w:lang w:eastAsia="zh-CN"/>
        </w:rPr>
      </w:pPr>
    </w:p>
    <w:p w14:paraId="42CB25BD" w14:textId="594F2E79" w:rsidR="0084223E" w:rsidRPr="00DE2760" w:rsidRDefault="007B0EA0" w:rsidP="007B0EA0">
      <w:pPr>
        <w:pStyle w:val="Figure"/>
        <w:rPr>
          <w:kern w:val="2"/>
          <w:szCs w:val="24"/>
          <w:lang w:eastAsia="zh-CN"/>
        </w:rPr>
      </w:pPr>
      <w:r>
        <w:rPr>
          <w:noProof/>
        </w:rPr>
        <w:drawing>
          <wp:inline distT="0" distB="0" distL="0" distR="0" wp14:anchorId="2AE5822F" wp14:editId="30F8B48D">
            <wp:extent cx="3797300" cy="47307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0"/>
                    <pic:cNvPicPr>
                      <a:picLocks noChangeAspect="1" noChangeArrowheads="1"/>
                    </pic:cNvPicPr>
                  </pic:nvPicPr>
                  <pic:blipFill>
                    <a:blip r:embed="rId35">
                      <a:extLst>
                        <a:ext uri="{28A0092B-C50C-407E-A947-70E740481C1C}">
                          <a14:useLocalDpi xmlns:a14="http://schemas.microsoft.com/office/drawing/2010/main" val="0"/>
                        </a:ext>
                      </a:extLst>
                    </a:blip>
                    <a:srcRect t="4050"/>
                    <a:stretch>
                      <a:fillRect/>
                    </a:stretch>
                  </pic:blipFill>
                  <pic:spPr bwMode="auto">
                    <a:xfrm>
                      <a:off x="0" y="0"/>
                      <a:ext cx="3797300" cy="4730750"/>
                    </a:xfrm>
                    <a:prstGeom prst="rect">
                      <a:avLst/>
                    </a:prstGeom>
                    <a:noFill/>
                    <a:ln>
                      <a:noFill/>
                    </a:ln>
                    <a:effectLst/>
                  </pic:spPr>
                </pic:pic>
              </a:graphicData>
            </a:graphic>
          </wp:inline>
        </w:drawing>
      </w:r>
    </w:p>
    <w:p w14:paraId="2B3574E5" w14:textId="3892E70C" w:rsidR="00DE2760" w:rsidRDefault="00DE2760" w:rsidP="00AF49E6">
      <w:pPr>
        <w:pStyle w:val="FigureCaption"/>
      </w:pPr>
      <w:r>
        <w:rPr>
          <w:b/>
          <w:caps/>
        </w:rPr>
        <w:t>Figure 2.</w:t>
      </w:r>
      <w:r w:rsidRPr="00DE2760">
        <w:rPr>
          <w:kern w:val="2"/>
          <w:sz w:val="20"/>
          <w:lang w:eastAsia="zh-CN"/>
        </w:rPr>
        <w:t xml:space="preserve"> </w:t>
      </w:r>
      <w:r w:rsidR="007B0EA0">
        <w:t xml:space="preserve">Finite element model for laser shock impact simulation. (a) mesh model for LSI modeling, sample thickness </w:t>
      </w:r>
      <w:r w:rsidR="007B0EA0" w:rsidRPr="007B0EA0">
        <w:rPr>
          <w:i/>
        </w:rPr>
        <w:t>x</w:t>
      </w:r>
      <w:r w:rsidR="007B0EA0" w:rsidRPr="007B0EA0">
        <w:rPr>
          <w:vertAlign w:val="subscript"/>
        </w:rPr>
        <w:t>2</w:t>
      </w:r>
      <w:r w:rsidR="007B0EA0">
        <w:t xml:space="preserve"> </w:t>
      </w:r>
      <w:r w:rsidR="007B0EA0">
        <w:rPr>
          <w:i/>
          <w:iCs/>
        </w:rPr>
        <w:t>mm</w:t>
      </w:r>
      <w:r w:rsidR="007B0EA0">
        <w:t xml:space="preserve">, loading area </w:t>
      </w:r>
      <w:r w:rsidR="007B0EA0" w:rsidRPr="00AF49E6">
        <w:t>height</w:t>
      </w:r>
      <w:r w:rsidR="007B0EA0">
        <w:t xml:space="preserve"> </w:t>
      </w:r>
      <w:r w:rsidR="007B0EA0" w:rsidRPr="007B0EA0">
        <w:rPr>
          <w:i/>
        </w:rPr>
        <w:t>y</w:t>
      </w:r>
      <w:r w:rsidR="007B0EA0" w:rsidRPr="007B0EA0">
        <w:rPr>
          <w:vertAlign w:val="subscript"/>
        </w:rPr>
        <w:t>2</w:t>
      </w:r>
      <w:r w:rsidR="007B0EA0">
        <w:t xml:space="preserve">= 2 </w:t>
      </w:r>
      <w:r w:rsidR="007B0EA0">
        <w:rPr>
          <w:i/>
          <w:iCs/>
        </w:rPr>
        <w:t>mm</w:t>
      </w:r>
      <w:r w:rsidR="007B0EA0">
        <w:t xml:space="preserve"> (b) laser wave propagation (c) shock wave pressure. </w:t>
      </w:r>
    </w:p>
    <w:p w14:paraId="7DFE2EE6" w14:textId="77777777" w:rsidR="000C555B" w:rsidRPr="000C555B" w:rsidRDefault="000C555B" w:rsidP="000C555B">
      <w:pPr>
        <w:pStyle w:val="Paragraph"/>
        <w:rPr>
          <w:lang w:eastAsia="zh-CN"/>
        </w:rPr>
      </w:pPr>
    </w:p>
    <w:p w14:paraId="6F591F0C" w14:textId="6532448E" w:rsidR="00AF49E6" w:rsidRDefault="00AF49E6" w:rsidP="00AF49E6">
      <w:pPr>
        <w:pStyle w:val="Paragraph"/>
        <w:rPr>
          <w:lang w:eastAsia="zh-CN"/>
        </w:rPr>
      </w:pPr>
      <w:r>
        <w:rPr>
          <w:lang w:eastAsia="zh-CN"/>
        </w:rPr>
        <w:lastRenderedPageBreak/>
        <w:t>The degree of grain refinement from the matrix to the surface includes low-density dislocations, dense dislocations (or entanglement of dislocation lines), DW (dislocation walls), DC (dislocation cells), subgrain boundaries, and nanocrystals. The gradient movement of dislocations led to the formation of a gradient structure [</w:t>
      </w:r>
      <w:r w:rsidR="00BF78AA">
        <w:rPr>
          <w:lang w:eastAsia="zh-CN"/>
        </w:rPr>
        <w:fldChar w:fldCharType="begin"/>
      </w:r>
      <w:r w:rsidR="00BF78AA">
        <w:rPr>
          <w:lang w:eastAsia="zh-CN"/>
        </w:rPr>
        <w:instrText xml:space="preserve"> REF _Ref215047516 \r \h </w:instrText>
      </w:r>
      <w:r w:rsidR="00BF78AA">
        <w:rPr>
          <w:lang w:eastAsia="zh-CN"/>
        </w:rPr>
      </w:r>
      <w:r w:rsidR="00BF78AA">
        <w:rPr>
          <w:lang w:eastAsia="zh-CN"/>
        </w:rPr>
        <w:fldChar w:fldCharType="separate"/>
      </w:r>
      <w:r w:rsidR="004E2DB8">
        <w:rPr>
          <w:lang w:eastAsia="zh-CN"/>
        </w:rPr>
        <w:t>7</w:t>
      </w:r>
      <w:r w:rsidR="00BF78AA">
        <w:rPr>
          <w:lang w:eastAsia="zh-CN"/>
        </w:rPr>
        <w:fldChar w:fldCharType="end"/>
      </w:r>
      <w:r>
        <w:rPr>
          <w:lang w:eastAsia="zh-CN"/>
        </w:rPr>
        <w:t>].</w:t>
      </w:r>
    </w:p>
    <w:p w14:paraId="026F2FC3" w14:textId="56257079" w:rsidR="00AF49E6" w:rsidRDefault="00AF49E6" w:rsidP="00AF49E6">
      <w:pPr>
        <w:pStyle w:val="Paragraph"/>
        <w:rPr>
          <w:lang w:eastAsia="zh-CN"/>
        </w:rPr>
      </w:pPr>
      <w:r>
        <w:rPr>
          <w:lang w:eastAsia="zh-CN"/>
        </w:rPr>
        <w:t>Notably, the thickness of the field formed during laser shock processing (LSP) can reach 1-2 mm, which is almost 5-10 times deeper than that of SP [</w:t>
      </w:r>
      <w:r w:rsidR="00BF78AA">
        <w:rPr>
          <w:lang w:eastAsia="zh-CN"/>
        </w:rPr>
        <w:fldChar w:fldCharType="begin"/>
      </w:r>
      <w:r w:rsidR="00BF78AA">
        <w:rPr>
          <w:lang w:eastAsia="zh-CN"/>
        </w:rPr>
        <w:instrText xml:space="preserve"> REF _Ref215047523 \r \h </w:instrText>
      </w:r>
      <w:r w:rsidR="00BF78AA">
        <w:rPr>
          <w:lang w:eastAsia="zh-CN"/>
        </w:rPr>
      </w:r>
      <w:r w:rsidR="00BF78AA">
        <w:rPr>
          <w:lang w:eastAsia="zh-CN"/>
        </w:rPr>
        <w:fldChar w:fldCharType="separate"/>
      </w:r>
      <w:r w:rsidR="004E2DB8">
        <w:rPr>
          <w:lang w:eastAsia="zh-CN"/>
        </w:rPr>
        <w:t>8</w:t>
      </w:r>
      <w:r w:rsidR="00BF78AA">
        <w:rPr>
          <w:lang w:eastAsia="zh-CN"/>
        </w:rPr>
        <w:fldChar w:fldCharType="end"/>
      </w:r>
      <w:r>
        <w:rPr>
          <w:lang w:eastAsia="zh-CN"/>
        </w:rPr>
        <w:t>].</w:t>
      </w:r>
    </w:p>
    <w:p w14:paraId="43BEBC08" w14:textId="77777777" w:rsidR="00AF49E6" w:rsidRDefault="00AF49E6" w:rsidP="00AF49E6">
      <w:pPr>
        <w:pStyle w:val="berschrift2"/>
      </w:pPr>
      <w:r>
        <w:t>Modeling the impact of shock impulse on titanium alloy plates</w:t>
      </w:r>
    </w:p>
    <w:p w14:paraId="3F63BA3E" w14:textId="7E2EF777" w:rsidR="00AF49E6" w:rsidRDefault="00AF49E6" w:rsidP="00AF49E6">
      <w:pPr>
        <w:pStyle w:val="Paragraph"/>
        <w:rPr>
          <w:lang w:eastAsia="zh-CN"/>
        </w:rPr>
      </w:pPr>
      <w:r w:rsidRPr="00AF49E6">
        <w:rPr>
          <w:lang w:eastAsia="zh-CN"/>
        </w:rPr>
        <w:t>A study on the deformation of alpha titanium alloy under the impact of a shock pulse with an amplitude of 20 GPa was conducted.</w:t>
      </w:r>
    </w:p>
    <w:p w14:paraId="66D222D1" w14:textId="77777777" w:rsidR="00AF49E6" w:rsidRDefault="00AF49E6" w:rsidP="00AF49E6">
      <w:pPr>
        <w:pStyle w:val="Paragraph"/>
        <w:rPr>
          <w:lang w:eastAsia="zh-CN"/>
        </w:rPr>
      </w:pPr>
    </w:p>
    <w:p w14:paraId="24FCCA7E" w14:textId="17189AE8" w:rsidR="008413B5" w:rsidRPr="008413B5" w:rsidRDefault="00AF49E6" w:rsidP="00AF49E6">
      <w:pPr>
        <w:pStyle w:val="Figure"/>
        <w:rPr>
          <w:kern w:val="2"/>
          <w:lang w:val="en-GB" w:eastAsia="zh-CN"/>
        </w:rPr>
      </w:pPr>
      <w:r>
        <w:rPr>
          <w:noProof/>
        </w:rPr>
        <w:drawing>
          <wp:inline distT="0" distB="0" distL="0" distR="0" wp14:anchorId="2B4BF3F7" wp14:editId="76A0CEF0">
            <wp:extent cx="2142000" cy="252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2000" cy="2520000"/>
                    </a:xfrm>
                    <a:prstGeom prst="rect">
                      <a:avLst/>
                    </a:prstGeom>
                    <a:noFill/>
                    <a:ln>
                      <a:noFill/>
                    </a:ln>
                    <a:effectLst/>
                  </pic:spPr>
                </pic:pic>
              </a:graphicData>
            </a:graphic>
          </wp:inline>
        </w:drawing>
      </w:r>
    </w:p>
    <w:p w14:paraId="10F11107" w14:textId="65099FE8" w:rsidR="008413B5" w:rsidRPr="00527806" w:rsidRDefault="008413B5" w:rsidP="008413B5">
      <w:pPr>
        <w:pStyle w:val="FigureCaption"/>
        <w:rPr>
          <w:kern w:val="2"/>
          <w:sz w:val="20"/>
          <w:szCs w:val="24"/>
          <w:lang w:eastAsia="zh-CN"/>
        </w:rPr>
      </w:pPr>
      <w:r>
        <w:rPr>
          <w:b/>
          <w:caps/>
        </w:rPr>
        <w:t>Figure 3.</w:t>
      </w:r>
      <w:r w:rsidRPr="00DE2760">
        <w:rPr>
          <w:kern w:val="2"/>
          <w:sz w:val="20"/>
          <w:lang w:eastAsia="zh-CN"/>
        </w:rPr>
        <w:t xml:space="preserve"> </w:t>
      </w:r>
      <w:r w:rsidR="00AF49E6" w:rsidRPr="00AF49E6">
        <w:rPr>
          <w:kern w:val="2"/>
          <w:sz w:val="20"/>
          <w:lang w:eastAsia="zh-CN"/>
        </w:rPr>
        <w:t>Initial pressure in the area of impact impulse application</w:t>
      </w:r>
      <w:r w:rsidR="00527806">
        <w:rPr>
          <w:kern w:val="2"/>
          <w:sz w:val="20"/>
          <w:szCs w:val="24"/>
          <w:lang w:eastAsia="zh-CN"/>
        </w:rPr>
        <w:t xml:space="preserve">. </w:t>
      </w:r>
    </w:p>
    <w:p w14:paraId="3641DFBC" w14:textId="77777777" w:rsidR="0033774F" w:rsidRPr="0033774F" w:rsidRDefault="0033774F" w:rsidP="0033774F">
      <w:pPr>
        <w:pStyle w:val="Paragraph"/>
        <w:rPr>
          <w:lang w:eastAsia="zh-CN"/>
        </w:rPr>
      </w:pPr>
    </w:p>
    <w:p w14:paraId="2B9BAB30" w14:textId="2A0CC573" w:rsidR="00AF49E6" w:rsidRPr="008413B5" w:rsidRDefault="00AF49E6" w:rsidP="00AF49E6">
      <w:pPr>
        <w:pStyle w:val="Figure"/>
        <w:rPr>
          <w:kern w:val="2"/>
          <w:lang w:val="en-GB" w:eastAsia="zh-CN"/>
        </w:rPr>
      </w:pPr>
      <w:r>
        <w:rPr>
          <w:rFonts w:eastAsia="Times New Roman"/>
          <w:i/>
          <w:noProof/>
          <w:sz w:val="24"/>
          <w:szCs w:val="24"/>
          <w:lang w:val="en-GB"/>
        </w:rPr>
        <w:drawing>
          <wp:inline distT="0" distB="0" distL="0" distR="0" wp14:anchorId="50D575BD" wp14:editId="1DC6C3D7">
            <wp:extent cx="2234227" cy="252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4227" cy="2520000"/>
                    </a:xfrm>
                    <a:prstGeom prst="rect">
                      <a:avLst/>
                    </a:prstGeom>
                    <a:noFill/>
                    <a:ln>
                      <a:noFill/>
                    </a:ln>
                    <a:effectLst/>
                  </pic:spPr>
                </pic:pic>
              </a:graphicData>
            </a:graphic>
          </wp:inline>
        </w:drawing>
      </w:r>
      <w:r>
        <w:rPr>
          <w:rFonts w:eastAsia="Times New Roman"/>
          <w:i/>
          <w:noProof/>
          <w:sz w:val="24"/>
          <w:szCs w:val="24"/>
          <w:lang w:val="en-GB"/>
        </w:rPr>
        <w:drawing>
          <wp:inline distT="0" distB="0" distL="0" distR="0" wp14:anchorId="75CDA5FB" wp14:editId="03486518">
            <wp:extent cx="2076030" cy="2520000"/>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6030" cy="2520000"/>
                    </a:xfrm>
                    <a:prstGeom prst="rect">
                      <a:avLst/>
                    </a:prstGeom>
                    <a:noFill/>
                    <a:ln>
                      <a:noFill/>
                    </a:ln>
                    <a:effectLst/>
                  </pic:spPr>
                </pic:pic>
              </a:graphicData>
            </a:graphic>
          </wp:inline>
        </w:drawing>
      </w:r>
    </w:p>
    <w:p w14:paraId="0E0316CC" w14:textId="3BE1CCAD" w:rsidR="00AF49E6" w:rsidRPr="00527806" w:rsidRDefault="00AF49E6" w:rsidP="00AF49E6">
      <w:pPr>
        <w:pStyle w:val="FigureCaption"/>
        <w:rPr>
          <w:kern w:val="2"/>
          <w:sz w:val="20"/>
          <w:szCs w:val="24"/>
          <w:lang w:eastAsia="zh-CN"/>
        </w:rPr>
      </w:pPr>
      <w:r>
        <w:rPr>
          <w:b/>
          <w:caps/>
        </w:rPr>
        <w:t>Figure 4.</w:t>
      </w:r>
      <w:r w:rsidRPr="00DE2760">
        <w:rPr>
          <w:kern w:val="2"/>
          <w:sz w:val="20"/>
          <w:lang w:eastAsia="zh-CN"/>
        </w:rPr>
        <w:t xml:space="preserve"> </w:t>
      </w:r>
      <w:r w:rsidR="00F51087" w:rsidRPr="00F51087">
        <w:rPr>
          <w:kern w:val="2"/>
          <w:sz w:val="20"/>
          <w:lang w:eastAsia="zh-CN"/>
        </w:rPr>
        <w:t>Initial distributions of equivalent plastic strain and temperature in the alpha titanium alloy region exposed to a shock pulse.</w:t>
      </w:r>
      <w:r>
        <w:rPr>
          <w:kern w:val="2"/>
          <w:sz w:val="20"/>
          <w:szCs w:val="24"/>
          <w:lang w:eastAsia="zh-CN"/>
        </w:rPr>
        <w:t xml:space="preserve"> </w:t>
      </w:r>
    </w:p>
    <w:p w14:paraId="48FAF371" w14:textId="77777777" w:rsidR="00AF49E6" w:rsidRDefault="00AF49E6" w:rsidP="008413B5">
      <w:pPr>
        <w:pStyle w:val="Paragraph"/>
      </w:pPr>
    </w:p>
    <w:p w14:paraId="29FCF808" w14:textId="1F334A16" w:rsidR="00AF49E6" w:rsidRPr="008413B5" w:rsidRDefault="00AF49E6" w:rsidP="00AF49E6">
      <w:pPr>
        <w:pStyle w:val="Figure"/>
        <w:rPr>
          <w:kern w:val="2"/>
          <w:lang w:val="en-GB" w:eastAsia="zh-CN"/>
        </w:rPr>
      </w:pPr>
      <w:r>
        <w:rPr>
          <w:noProof/>
        </w:rPr>
        <w:lastRenderedPageBreak/>
        <w:drawing>
          <wp:inline distT="0" distB="0" distL="0" distR="0" wp14:anchorId="6A71C78B" wp14:editId="0288FE2E">
            <wp:extent cx="4221782" cy="2520000"/>
            <wp:effectExtent l="0" t="0" r="762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1782" cy="2520000"/>
                    </a:xfrm>
                    <a:prstGeom prst="rect">
                      <a:avLst/>
                    </a:prstGeom>
                    <a:noFill/>
                    <a:ln>
                      <a:noFill/>
                    </a:ln>
                  </pic:spPr>
                </pic:pic>
              </a:graphicData>
            </a:graphic>
          </wp:inline>
        </w:drawing>
      </w:r>
    </w:p>
    <w:p w14:paraId="68C422DF" w14:textId="7F8AD176" w:rsidR="00AF49E6" w:rsidRPr="00527806" w:rsidRDefault="00AF49E6" w:rsidP="00AF49E6">
      <w:pPr>
        <w:pStyle w:val="FigureCaption"/>
        <w:rPr>
          <w:kern w:val="2"/>
          <w:sz w:val="20"/>
          <w:szCs w:val="24"/>
          <w:lang w:eastAsia="zh-CN"/>
        </w:rPr>
      </w:pPr>
      <w:r>
        <w:rPr>
          <w:b/>
          <w:caps/>
        </w:rPr>
        <w:t>Figure 5.</w:t>
      </w:r>
      <w:r w:rsidRPr="00DE2760">
        <w:rPr>
          <w:kern w:val="2"/>
          <w:sz w:val="20"/>
          <w:lang w:eastAsia="zh-CN"/>
        </w:rPr>
        <w:t xml:space="preserve"> </w:t>
      </w:r>
      <w:r>
        <w:t>a) Temperature distribution in the alpha titanium alloy at 200</w:t>
      </w:r>
      <w:r>
        <w:rPr>
          <w:i/>
          <w:iCs/>
        </w:rPr>
        <w:t xml:space="preserve"> ns</w:t>
      </w:r>
      <w:r>
        <w:t xml:space="preserve"> after exposure to a shock impulse b) Pressure distribution in the </w:t>
      </w:r>
      <w:r w:rsidRPr="00AF49E6">
        <w:t>alpha</w:t>
      </w:r>
      <w:r>
        <w:t xml:space="preserve"> titanium alloy plate at 200 </w:t>
      </w:r>
      <w:r>
        <w:rPr>
          <w:i/>
          <w:iCs/>
        </w:rPr>
        <w:t>ns</w:t>
      </w:r>
      <w:r>
        <w:t xml:space="preserve"> after exposure to a shock impulse</w:t>
      </w:r>
      <w:r>
        <w:rPr>
          <w:kern w:val="2"/>
          <w:sz w:val="20"/>
          <w:szCs w:val="24"/>
          <w:lang w:eastAsia="zh-CN"/>
        </w:rPr>
        <w:t xml:space="preserve">. </w:t>
      </w:r>
    </w:p>
    <w:p w14:paraId="3FE41237" w14:textId="77777777" w:rsidR="00AF49E6" w:rsidRDefault="00AF49E6" w:rsidP="008413B5">
      <w:pPr>
        <w:pStyle w:val="Paragraph"/>
      </w:pPr>
    </w:p>
    <w:p w14:paraId="69736556" w14:textId="521F7254" w:rsidR="00AF49E6" w:rsidRPr="008413B5" w:rsidRDefault="00AF49E6" w:rsidP="00AF49E6">
      <w:pPr>
        <w:pStyle w:val="Figure"/>
        <w:rPr>
          <w:kern w:val="2"/>
          <w:lang w:val="en-GB" w:eastAsia="zh-CN"/>
        </w:rPr>
      </w:pPr>
      <w:r>
        <w:rPr>
          <w:noProof/>
        </w:rPr>
        <w:drawing>
          <wp:inline distT="0" distB="0" distL="0" distR="0" wp14:anchorId="2FD14398" wp14:editId="70B628D0">
            <wp:extent cx="3152360" cy="2520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2360" cy="2520000"/>
                    </a:xfrm>
                    <a:prstGeom prst="rect">
                      <a:avLst/>
                    </a:prstGeom>
                    <a:noFill/>
                    <a:ln>
                      <a:noFill/>
                    </a:ln>
                  </pic:spPr>
                </pic:pic>
              </a:graphicData>
            </a:graphic>
          </wp:inline>
        </w:drawing>
      </w:r>
    </w:p>
    <w:p w14:paraId="0B03774D" w14:textId="1776BA20" w:rsidR="00AF49E6" w:rsidRPr="00527806" w:rsidRDefault="00AF49E6" w:rsidP="00AF49E6">
      <w:pPr>
        <w:pStyle w:val="FigureCaption"/>
        <w:rPr>
          <w:kern w:val="2"/>
          <w:sz w:val="20"/>
          <w:szCs w:val="24"/>
          <w:lang w:eastAsia="zh-CN"/>
        </w:rPr>
      </w:pPr>
      <w:r>
        <w:rPr>
          <w:b/>
          <w:caps/>
        </w:rPr>
        <w:t>Figure 6.</w:t>
      </w:r>
      <w:r w:rsidRPr="00DE2760">
        <w:rPr>
          <w:kern w:val="2"/>
          <w:sz w:val="20"/>
          <w:lang w:eastAsia="zh-CN"/>
        </w:rPr>
        <w:t xml:space="preserve"> </w:t>
      </w:r>
      <w:r w:rsidR="00F51087" w:rsidRPr="00F51087">
        <w:t xml:space="preserve">Pressure distribution in an alpha titanium alloy in a melt at a time of 200 </w:t>
      </w:r>
      <w:r w:rsidR="00F51087" w:rsidRPr="00F51087">
        <w:rPr>
          <w:i/>
        </w:rPr>
        <w:t>ns</w:t>
      </w:r>
      <w:r w:rsidR="00F51087" w:rsidRPr="00F51087">
        <w:t xml:space="preserve"> when exposed to a shock pulse.</w:t>
      </w:r>
      <w:r>
        <w:rPr>
          <w:kern w:val="2"/>
          <w:sz w:val="20"/>
          <w:szCs w:val="24"/>
          <w:lang w:eastAsia="zh-CN"/>
        </w:rPr>
        <w:t xml:space="preserve"> </w:t>
      </w:r>
    </w:p>
    <w:p w14:paraId="37C06A4F" w14:textId="3D20368B" w:rsidR="007D4028" w:rsidRPr="00075EA6" w:rsidRDefault="008413B5" w:rsidP="007D4028">
      <w:pPr>
        <w:pStyle w:val="berschrift1"/>
        <w:rPr>
          <w:b w:val="0"/>
          <w:caps w:val="0"/>
          <w:sz w:val="20"/>
        </w:rPr>
      </w:pPr>
      <w:r>
        <w:t>conclusion</w:t>
      </w:r>
    </w:p>
    <w:p w14:paraId="17712E03" w14:textId="77777777" w:rsidR="00AF49E6" w:rsidRDefault="00AF49E6" w:rsidP="00AF49E6">
      <w:pPr>
        <w:pStyle w:val="Paragraph"/>
      </w:pPr>
      <w:r>
        <w:t>Computational experiments were conducted to model shock impulses on thin CP-Ti Grade1 and Ti-6AI-4V plates. It was established that increasing the initial temperature of the plates to 450 K leads to a significant change in plastic deformation amplitudes. It has been shown that in the near-surface layers of materials, when exposed to shock impulses with an amplitude of 20 GPa, the temperature increases by several hundred K.</w:t>
      </w:r>
    </w:p>
    <w:p w14:paraId="6BFEF25E" w14:textId="77777777" w:rsidR="00AF49E6" w:rsidRDefault="00AF49E6" w:rsidP="00AF49E6">
      <w:pPr>
        <w:pStyle w:val="Paragraph"/>
      </w:pPr>
      <w:r>
        <w:t xml:space="preserve">The calculated pressure distribution of the shock wave over time demonstrates a characteristic non-stationary peak - the pressure sharply increases to ~20 GPa during the first 18-22 </w:t>
      </w:r>
      <w:r w:rsidRPr="00AF49E6">
        <w:rPr>
          <w:i/>
        </w:rPr>
        <w:t>ns</w:t>
      </w:r>
      <w:r>
        <w:t>, after which it decreases exponentially with a time constant of about 40 ns. The pressure dynamics agrees well with the predictions of the Fabbro model, which confirms the correctness of the selected laser pulse parameters and the geometry of the confining medium.</w:t>
      </w:r>
    </w:p>
    <w:p w14:paraId="2EA4F2B7" w14:textId="77777777" w:rsidR="00AF49E6" w:rsidRDefault="00AF49E6" w:rsidP="00AF49E6">
      <w:pPr>
        <w:pStyle w:val="Paragraph"/>
      </w:pPr>
      <w:r>
        <w:t xml:space="preserve">Numerical modeling showed that during laser-induced shock treatment, a pronounced stress gradient forms: maximum compressive stresses are observed near the surface (-0.7 GPa), gradually decreasing with depth to zero at a level of 1.8-2.0 </w:t>
      </w:r>
      <w:r w:rsidRPr="00AF49E6">
        <w:rPr>
          <w:i/>
        </w:rPr>
        <w:t>mm</w:t>
      </w:r>
      <w:r>
        <w:t>. In this zone, a local temperature increase to 680-720 K is recorded, at which no melting of the material occurs, but thermoelastic and plastic relaxation processes are activated.</w:t>
      </w:r>
    </w:p>
    <w:p w14:paraId="090025FC" w14:textId="77777777" w:rsidR="00AF49E6" w:rsidRDefault="00AF49E6" w:rsidP="00AF49E6">
      <w:pPr>
        <w:pStyle w:val="Paragraph"/>
      </w:pPr>
      <w:r>
        <w:lastRenderedPageBreak/>
        <w:t>As a result of the interaction of high-energy plasma with the surface of the α-titanium alloy, a significant increase in dislocation density (up to 10</w:t>
      </w:r>
      <w:r w:rsidRPr="00AF49E6">
        <w:rPr>
          <w:vertAlign w:val="superscript"/>
        </w:rPr>
        <w:t>14</w:t>
      </w:r>
      <w:r>
        <w:t xml:space="preserve"> m</w:t>
      </w:r>
      <w:r w:rsidRPr="00AF49E6">
        <w:rPr>
          <w:vertAlign w:val="superscript"/>
        </w:rPr>
        <w:t>−2</w:t>
      </w:r>
      <w:r>
        <w:t>) and the formation of a substructure consisting of cells and subgrains with sizes of 100-300 nm are observed. This indicates the implementation of a dynamic recrystallization refinement mechanism. Plastic deformation modeling shows that the region of maximum plasticity accumulation coincides with the peak pressure zone, which confirms the correlation between pressure and the degree of nanostructuring.</w:t>
      </w:r>
    </w:p>
    <w:p w14:paraId="65BDDD4E" w14:textId="4771F712" w:rsidR="00AF49E6" w:rsidRDefault="00AF49E6" w:rsidP="00AF49E6">
      <w:pPr>
        <w:pStyle w:val="Paragraph"/>
      </w:pPr>
      <w:r>
        <w:t>Comparison of numerical data with available experimental results [</w:t>
      </w:r>
      <w:r w:rsidR="00BF78AA">
        <w:fldChar w:fldCharType="begin"/>
      </w:r>
      <w:r w:rsidR="00BF78AA">
        <w:instrText xml:space="preserve"> REF _Ref215047498 \r \h </w:instrText>
      </w:r>
      <w:r w:rsidR="00BF78AA">
        <w:fldChar w:fldCharType="separate"/>
      </w:r>
      <w:r w:rsidR="00BF78AA">
        <w:t>4</w:t>
      </w:r>
      <w:r w:rsidR="00BF78AA">
        <w:fldChar w:fldCharType="end"/>
      </w:r>
      <w:r w:rsidR="00BF78AA">
        <w:t>,</w:t>
      </w:r>
      <w:r w:rsidR="00BF78AA">
        <w:fldChar w:fldCharType="begin"/>
      </w:r>
      <w:r w:rsidR="00BF78AA">
        <w:instrText xml:space="preserve"> REF _Ref215047523 \r \h </w:instrText>
      </w:r>
      <w:r w:rsidR="00BF78AA">
        <w:fldChar w:fldCharType="separate"/>
      </w:r>
      <w:r w:rsidR="00BF78AA">
        <w:t>6</w:t>
      </w:r>
      <w:r w:rsidR="00BF78AA">
        <w:fldChar w:fldCharType="end"/>
      </w:r>
      <w:r>
        <w:t>] shows good agreement both in peak pressure values (difference less than 6.5%) and in the depth of the induced plastic zone. Thus, the developed numerical model can be used to predict residual stresses and select optimal LSP parameters for processing titanium alloys of various compositions [</w:t>
      </w:r>
      <w:r w:rsidR="00BF78AA">
        <w:fldChar w:fldCharType="begin"/>
      </w:r>
      <w:r w:rsidR="00BF78AA">
        <w:instrText xml:space="preserve"> REF _Ref215047557 \r \h </w:instrText>
      </w:r>
      <w:r w:rsidR="00BF78AA">
        <w:fldChar w:fldCharType="separate"/>
      </w:r>
      <w:r w:rsidR="00BF78AA">
        <w:t>9</w:t>
      </w:r>
      <w:r w:rsidR="00BF78AA">
        <w:fldChar w:fldCharType="end"/>
      </w:r>
      <w:r w:rsidR="001C3132">
        <w:t>-</w:t>
      </w:r>
      <w:r w:rsidR="00BF78AA">
        <w:fldChar w:fldCharType="begin"/>
      </w:r>
      <w:r w:rsidR="00BF78AA">
        <w:instrText xml:space="preserve"> REF _Ref215047563 \r \h </w:instrText>
      </w:r>
      <w:r w:rsidR="00BF78AA">
        <w:fldChar w:fldCharType="separate"/>
      </w:r>
      <w:r w:rsidR="00BF78AA">
        <w:t>11</w:t>
      </w:r>
      <w:r w:rsidR="00BF78AA">
        <w:fldChar w:fldCharType="end"/>
      </w:r>
      <w:r>
        <w:t>].</w:t>
      </w:r>
    </w:p>
    <w:p w14:paraId="3FDFF258" w14:textId="77777777" w:rsidR="00AF49E6" w:rsidRDefault="00AF49E6" w:rsidP="00AF49E6">
      <w:pPr>
        <w:pStyle w:val="Paragraph"/>
      </w:pPr>
      <w:r>
        <w:t>As a result of numerical modeling, it was established that laser-induced shock hardening of an α-titanium alloy forms stable residual compressive stresses up to 1.8 mm deep and causes intensive dislocation-plastic deformation while preserving the structural integrity of the material.</w:t>
      </w:r>
    </w:p>
    <w:p w14:paraId="0D610139" w14:textId="77777777" w:rsidR="00AF49E6" w:rsidRDefault="00AF49E6" w:rsidP="00AF49E6">
      <w:pPr>
        <w:pStyle w:val="Paragraph"/>
      </w:pPr>
      <w:r>
        <w:t xml:space="preserve">It has been shown that using the Fabbro model to describe plasma pressure allows for adequate prediction of the shock wave amplitude and its temporal evolution. At laser radiation intensities above 20 </w:t>
      </w:r>
      <w:r w:rsidRPr="00AF49E6">
        <w:rPr>
          <w:i/>
        </w:rPr>
        <w:t>Gwt/sm</w:t>
      </w:r>
      <w:r w:rsidRPr="00AF49E6">
        <w:rPr>
          <w:vertAlign w:val="superscript"/>
        </w:rPr>
        <w:t>2</w:t>
      </w:r>
      <w:r>
        <w:t>, an optimal balance between the hardened layer depth, the CRS value, and the minimization of thermal effects is ensured.</w:t>
      </w:r>
    </w:p>
    <w:p w14:paraId="4D84CAF0" w14:textId="6BE90790" w:rsidR="00AF49E6" w:rsidRDefault="00AF49E6" w:rsidP="00AF49E6">
      <w:pPr>
        <w:pStyle w:val="Paragraph"/>
      </w:pPr>
      <w:r>
        <w:t>Further development of the model involves including phase transformation phenomena and anisotropy of α-titanium properties in the calculation, which will increase the accuracy of residual stress prediction and expand the possibilities for practical application of LSP in the treatment of aviation, energy, and biomedical structural elements operating under cyclic and shock loads.</w:t>
      </w:r>
    </w:p>
    <w:p w14:paraId="16F21B4D" w14:textId="2A4E786C" w:rsidR="00613B4D" w:rsidRDefault="0016385D" w:rsidP="00613B4D">
      <w:pPr>
        <w:pStyle w:val="berschrift1"/>
        <w:rPr>
          <w:b w:val="0"/>
          <w:caps w:val="0"/>
          <w:sz w:val="20"/>
        </w:rPr>
      </w:pPr>
      <w:r w:rsidRPr="00075EA6">
        <w:rPr>
          <w:rFonts w:asciiTheme="majorBidi" w:hAnsiTheme="majorBidi" w:cstheme="majorBidi"/>
        </w:rPr>
        <w:t>References</w:t>
      </w:r>
    </w:p>
    <w:p w14:paraId="48CF14F9" w14:textId="58955C81" w:rsidR="00F52411" w:rsidRDefault="00AF49E6" w:rsidP="00F52411">
      <w:pPr>
        <w:pStyle w:val="Reference"/>
        <w:ind w:left="425" w:hanging="425"/>
      </w:pPr>
      <w:bookmarkStart w:id="0" w:name="_Ref215047458"/>
      <w:r>
        <w:t xml:space="preserve">L. </w:t>
      </w:r>
      <w:r w:rsidRPr="00AF49E6">
        <w:t xml:space="preserve">Berthe, </w:t>
      </w:r>
      <w:r>
        <w:t xml:space="preserve">R. </w:t>
      </w:r>
      <w:r w:rsidRPr="00AF49E6">
        <w:t xml:space="preserve">Fabbro, </w:t>
      </w:r>
      <w:r>
        <w:t xml:space="preserve">P. </w:t>
      </w:r>
      <w:r w:rsidRPr="00AF49E6">
        <w:t xml:space="preserve">Peyre, </w:t>
      </w:r>
      <w:r>
        <w:t xml:space="preserve">L. </w:t>
      </w:r>
      <w:r w:rsidRPr="00AF49E6">
        <w:t xml:space="preserve">Tollier, </w:t>
      </w:r>
      <w:r>
        <w:t xml:space="preserve">E. </w:t>
      </w:r>
      <w:r w:rsidRPr="00AF49E6">
        <w:t>Bartnicki</w:t>
      </w:r>
      <w:r>
        <w:t>,</w:t>
      </w:r>
      <w:r w:rsidRPr="00AF49E6">
        <w:t xml:space="preserve"> Shock waves from a water-confined laser-generated plasma</w:t>
      </w:r>
      <w:r w:rsidR="00AB1128">
        <w:t>,</w:t>
      </w:r>
      <w:r w:rsidRPr="00AF49E6">
        <w:t xml:space="preserve"> J</w:t>
      </w:r>
      <w:r w:rsidR="00BF78AA">
        <w:t xml:space="preserve">ournal of </w:t>
      </w:r>
      <w:r w:rsidRPr="00AF49E6">
        <w:t>Appl</w:t>
      </w:r>
      <w:r w:rsidR="00BF78AA">
        <w:t xml:space="preserve">ied </w:t>
      </w:r>
      <w:r w:rsidRPr="00AF49E6">
        <w:t>Phys</w:t>
      </w:r>
      <w:r w:rsidR="00BF78AA">
        <w:t>ics</w:t>
      </w:r>
      <w:r w:rsidR="00AB1128">
        <w:t>,</w:t>
      </w:r>
      <w:r w:rsidRPr="00AF49E6">
        <w:t xml:space="preserve"> </w:t>
      </w:r>
      <w:r w:rsidRPr="00AB1128">
        <w:rPr>
          <w:b/>
        </w:rPr>
        <w:t>82</w:t>
      </w:r>
      <w:r w:rsidR="00AB1128">
        <w:t xml:space="preserve">, </w:t>
      </w:r>
      <w:r w:rsidRPr="00AF49E6">
        <w:t>2826–2832</w:t>
      </w:r>
      <w:r w:rsidR="00AB1128">
        <w:t xml:space="preserve"> (1997)</w:t>
      </w:r>
      <w:r w:rsidR="00F52411">
        <w:t>.</w:t>
      </w:r>
      <w:r w:rsidR="0059694C">
        <w:t xml:space="preserve"> </w:t>
      </w:r>
      <w:hyperlink r:id="rId41" w:history="1">
        <w:r w:rsidR="00BF78AA" w:rsidRPr="0077176E">
          <w:rPr>
            <w:rStyle w:val="Hyperlink"/>
          </w:rPr>
          <w:t>https://doi.org/10.1063/1.366113</w:t>
        </w:r>
      </w:hyperlink>
      <w:bookmarkEnd w:id="0"/>
      <w:r w:rsidR="00BF78AA">
        <w:t xml:space="preserve"> </w:t>
      </w:r>
    </w:p>
    <w:p w14:paraId="5CAF59DA" w14:textId="77777777" w:rsidR="00BF78AA" w:rsidRDefault="00AB1128" w:rsidP="00AF49E6">
      <w:pPr>
        <w:pStyle w:val="Reference"/>
        <w:ind w:left="425" w:hanging="425"/>
      </w:pPr>
      <w:bookmarkStart w:id="1" w:name="_Ref215047465"/>
      <w:r>
        <w:t xml:space="preserve">M. </w:t>
      </w:r>
      <w:r w:rsidR="00AF49E6">
        <w:t xml:space="preserve">Cai, </w:t>
      </w:r>
      <w:r>
        <w:t xml:space="preserve">H. </w:t>
      </w:r>
      <w:r w:rsidR="00AF49E6">
        <w:t xml:space="preserve">Li, </w:t>
      </w:r>
      <w:r>
        <w:t xml:space="preserve">H. </w:t>
      </w:r>
      <w:r w:rsidR="00AF49E6">
        <w:t xml:space="preserve">Li, </w:t>
      </w:r>
      <w:r>
        <w:t xml:space="preserve">S. </w:t>
      </w:r>
      <w:r w:rsidR="00AF49E6">
        <w:t xml:space="preserve">Shen, </w:t>
      </w:r>
      <w:r>
        <w:t xml:space="preserve">J. </w:t>
      </w:r>
      <w:r w:rsidR="00AF49E6">
        <w:t xml:space="preserve">Lu, </w:t>
      </w:r>
      <w:r>
        <w:t xml:space="preserve">B. </w:t>
      </w:r>
      <w:r w:rsidR="00AF49E6">
        <w:t>Zheng</w:t>
      </w:r>
      <w:r>
        <w:t>,</w:t>
      </w:r>
      <w:r w:rsidR="00AF49E6">
        <w:t xml:space="preserve"> Laser shock peening induced mechanical properties enhancement of 50CrVA alloy</w:t>
      </w:r>
      <w:r>
        <w:t>,</w:t>
      </w:r>
      <w:r w:rsidR="00AF49E6">
        <w:t xml:space="preserve"> Optics &amp; Laser Technology</w:t>
      </w:r>
      <w:r>
        <w:t xml:space="preserve">, </w:t>
      </w:r>
      <w:r w:rsidR="00AF49E6" w:rsidRPr="00AB1128">
        <w:rPr>
          <w:b/>
        </w:rPr>
        <w:t>169</w:t>
      </w:r>
      <w:r>
        <w:t xml:space="preserve">, </w:t>
      </w:r>
      <w:r w:rsidR="00AF49E6">
        <w:t>110180</w:t>
      </w:r>
      <w:r>
        <w:t xml:space="preserve"> (2024)</w:t>
      </w:r>
      <w:r w:rsidR="00AF49E6">
        <w:t>.</w:t>
      </w:r>
      <w:bookmarkEnd w:id="1"/>
      <w:r w:rsidR="00BF78AA">
        <w:t xml:space="preserve"> </w:t>
      </w:r>
    </w:p>
    <w:p w14:paraId="34EB1A16" w14:textId="2A747783" w:rsidR="00AF49E6" w:rsidRDefault="00BF78AA" w:rsidP="00BF78AA">
      <w:pPr>
        <w:pStyle w:val="Reference"/>
        <w:numPr>
          <w:ilvl w:val="0"/>
          <w:numId w:val="0"/>
        </w:numPr>
        <w:ind w:left="425"/>
      </w:pPr>
      <w:hyperlink r:id="rId42" w:history="1">
        <w:r w:rsidRPr="0077176E">
          <w:rPr>
            <w:rStyle w:val="Hyperlink"/>
          </w:rPr>
          <w:t>https://doi.org/10.1016/j.optlastec.2023.110180</w:t>
        </w:r>
      </w:hyperlink>
      <w:r>
        <w:t xml:space="preserve"> </w:t>
      </w:r>
    </w:p>
    <w:p w14:paraId="3A549CDA" w14:textId="55C5DF6E" w:rsidR="00AF49E6" w:rsidRDefault="00BF78AA" w:rsidP="00AF49E6">
      <w:pPr>
        <w:pStyle w:val="Reference"/>
        <w:ind w:left="425" w:hanging="425"/>
      </w:pPr>
      <w:r>
        <w:t xml:space="preserve">D.R. </w:t>
      </w:r>
      <w:r w:rsidR="00AF49E6">
        <w:t>Chichilli</w:t>
      </w:r>
      <w:r>
        <w:t>, K.T.</w:t>
      </w:r>
      <w:r w:rsidR="00AF49E6">
        <w:t xml:space="preserve"> Ramesh, </w:t>
      </w:r>
      <w:r>
        <w:t xml:space="preserve">K.J. </w:t>
      </w:r>
      <w:r w:rsidR="00AF49E6">
        <w:t>Hemker</w:t>
      </w:r>
      <w:r>
        <w:t>,</w:t>
      </w:r>
      <w:r w:rsidR="00AF49E6">
        <w:t xml:space="preserve"> The high-strain-rate response of alpha-titanium: experiments deformation mechanisms and modeling</w:t>
      </w:r>
      <w:r>
        <w:t>,</w:t>
      </w:r>
      <w:r w:rsidR="00AF49E6">
        <w:t xml:space="preserve"> Acta Materialia</w:t>
      </w:r>
      <w:r>
        <w:t xml:space="preserve">, </w:t>
      </w:r>
      <w:r w:rsidR="00AF49E6" w:rsidRPr="004E2DB8">
        <w:rPr>
          <w:b/>
        </w:rPr>
        <w:t>46</w:t>
      </w:r>
      <w:r>
        <w:t>,</w:t>
      </w:r>
      <w:r w:rsidR="00AF49E6">
        <w:t xml:space="preserve"> 1025–1043</w:t>
      </w:r>
      <w:r>
        <w:t xml:space="preserve"> (1998)</w:t>
      </w:r>
      <w:r w:rsidR="00AF49E6">
        <w:t>.</w:t>
      </w:r>
    </w:p>
    <w:p w14:paraId="23196192" w14:textId="6686BD3D" w:rsidR="00BF78AA" w:rsidRDefault="00BF78AA" w:rsidP="00BF78AA">
      <w:pPr>
        <w:pStyle w:val="Reference"/>
        <w:numPr>
          <w:ilvl w:val="0"/>
          <w:numId w:val="0"/>
        </w:numPr>
        <w:ind w:left="425"/>
      </w:pPr>
      <w:hyperlink r:id="rId43" w:history="1">
        <w:r w:rsidRPr="0077176E">
          <w:rPr>
            <w:rStyle w:val="Hyperlink"/>
          </w:rPr>
          <w:t>https://doi.org/10.1016/S1359-6454(97)00287-5</w:t>
        </w:r>
      </w:hyperlink>
      <w:r>
        <w:t xml:space="preserve"> </w:t>
      </w:r>
    </w:p>
    <w:p w14:paraId="5B122F62" w14:textId="0A01768B" w:rsidR="00AF49E6" w:rsidRDefault="00BF78AA" w:rsidP="00BF78AA">
      <w:pPr>
        <w:pStyle w:val="Reference"/>
        <w:ind w:left="425" w:hanging="425"/>
      </w:pPr>
      <w:bookmarkStart w:id="2" w:name="_Ref215047498"/>
      <w:r>
        <w:t xml:space="preserve">J.R. </w:t>
      </w:r>
      <w:r w:rsidR="00AF49E6">
        <w:t>Davis</w:t>
      </w:r>
      <w:r>
        <w:t>,</w:t>
      </w:r>
      <w:r w:rsidR="00AF49E6">
        <w:t xml:space="preserve"> Properties and selection: nonferrous alloys and special-purpose materials</w:t>
      </w:r>
      <w:r>
        <w:t>,</w:t>
      </w:r>
      <w:r w:rsidR="00AF49E6">
        <w:t xml:space="preserve"> </w:t>
      </w:r>
      <w:r w:rsidRPr="00BF78AA">
        <w:t xml:space="preserve">ASM </w:t>
      </w:r>
      <w:proofErr w:type="gramStart"/>
      <w:r w:rsidRPr="00BF78AA">
        <w:t>International</w:t>
      </w:r>
      <w:r>
        <w:t>,</w:t>
      </w:r>
      <w:r w:rsidR="00AF49E6">
        <w:t xml:space="preserve"> </w:t>
      </w:r>
      <w:r w:rsidR="00FC23C6">
        <w:t>(</w:t>
      </w:r>
      <w:proofErr w:type="gramEnd"/>
      <w:r w:rsidR="00AF49E6">
        <w:t>1990</w:t>
      </w:r>
      <w:r w:rsidR="00FC23C6">
        <w:t>)</w:t>
      </w:r>
      <w:r w:rsidR="00AF49E6">
        <w:t>.</w:t>
      </w:r>
      <w:r>
        <w:t xml:space="preserve"> </w:t>
      </w:r>
      <w:hyperlink r:id="rId44" w:history="1">
        <w:r w:rsidRPr="0077176E">
          <w:rPr>
            <w:rStyle w:val="Hyperlink"/>
          </w:rPr>
          <w:t>https://doi.org/10.31399/asm.hb.v02.9781627081627</w:t>
        </w:r>
      </w:hyperlink>
      <w:bookmarkEnd w:id="2"/>
      <w:r>
        <w:t xml:space="preserve"> </w:t>
      </w:r>
    </w:p>
    <w:p w14:paraId="63B0BAC9" w14:textId="7ED5744C" w:rsidR="00AF49E6" w:rsidRDefault="004E2DB8" w:rsidP="00BF78AA">
      <w:pPr>
        <w:pStyle w:val="Reference"/>
        <w:ind w:left="425" w:hanging="425"/>
      </w:pPr>
      <w:bookmarkStart w:id="3" w:name="_Ref215047469"/>
      <w:r>
        <w:t xml:space="preserve">D. </w:t>
      </w:r>
      <w:r w:rsidR="00AF49E6">
        <w:t xml:space="preserve">Devaux, </w:t>
      </w:r>
      <w:r>
        <w:t xml:space="preserve">R. </w:t>
      </w:r>
      <w:r w:rsidR="00AF49E6">
        <w:t xml:space="preserve">Fabbro, </w:t>
      </w:r>
      <w:r>
        <w:t xml:space="preserve">L. </w:t>
      </w:r>
      <w:r w:rsidR="00AF49E6">
        <w:t xml:space="preserve">Tollier, </w:t>
      </w:r>
      <w:r>
        <w:t xml:space="preserve">E. </w:t>
      </w:r>
      <w:r w:rsidR="00AF49E6">
        <w:t>Bartnicki</w:t>
      </w:r>
      <w:r>
        <w:t>,</w:t>
      </w:r>
      <w:r w:rsidR="00AF49E6">
        <w:t xml:space="preserve"> Generation of shock waves by laser-induced plasma in confined geometry</w:t>
      </w:r>
      <w:r>
        <w:t xml:space="preserve">, </w:t>
      </w:r>
      <w:r w:rsidRPr="00AF49E6">
        <w:t>J</w:t>
      </w:r>
      <w:r>
        <w:t xml:space="preserve">ournal of </w:t>
      </w:r>
      <w:r w:rsidRPr="00AF49E6">
        <w:t>Appl</w:t>
      </w:r>
      <w:r>
        <w:t xml:space="preserve">ied </w:t>
      </w:r>
      <w:r w:rsidRPr="00AF49E6">
        <w:t>Phys</w:t>
      </w:r>
      <w:r>
        <w:t xml:space="preserve">ics, </w:t>
      </w:r>
      <w:r w:rsidRPr="004E2DB8">
        <w:rPr>
          <w:b/>
        </w:rPr>
        <w:t>7</w:t>
      </w:r>
      <w:r w:rsidR="00AF49E6" w:rsidRPr="004E2DB8">
        <w:rPr>
          <w:b/>
        </w:rPr>
        <w:t>4</w:t>
      </w:r>
      <w:r>
        <w:t>,</w:t>
      </w:r>
      <w:r w:rsidR="00AF49E6">
        <w:t xml:space="preserve"> 2268–2273</w:t>
      </w:r>
      <w:r>
        <w:t xml:space="preserve"> (1993)</w:t>
      </w:r>
      <w:r w:rsidR="00AF49E6">
        <w:t>.</w:t>
      </w:r>
      <w:bookmarkEnd w:id="3"/>
      <w:r>
        <w:t xml:space="preserve"> </w:t>
      </w:r>
      <w:hyperlink r:id="rId45" w:history="1">
        <w:r w:rsidRPr="0077176E">
          <w:rPr>
            <w:rStyle w:val="Hyperlink"/>
          </w:rPr>
          <w:t>https://doi.org/10.1063/1.354710</w:t>
        </w:r>
      </w:hyperlink>
      <w:r>
        <w:t xml:space="preserve"> </w:t>
      </w:r>
    </w:p>
    <w:p w14:paraId="547BC1BE" w14:textId="67916B71" w:rsidR="00155654" w:rsidRDefault="004E2DB8" w:rsidP="00DE6998">
      <w:pPr>
        <w:pStyle w:val="Reference"/>
        <w:ind w:left="425" w:hanging="425"/>
      </w:pPr>
      <w:bookmarkStart w:id="4" w:name="_Ref215047480"/>
      <w:r>
        <w:t xml:space="preserve">J. </w:t>
      </w:r>
      <w:r w:rsidR="00155654">
        <w:t xml:space="preserve">Williams, </w:t>
      </w:r>
      <w:r>
        <w:t xml:space="preserve">J. </w:t>
      </w:r>
      <w:r w:rsidR="00155654">
        <w:t>Chesnutt</w:t>
      </w:r>
      <w:r>
        <w:t>,</w:t>
      </w:r>
      <w:r w:rsidR="00155654">
        <w:t xml:space="preserve"> Titanium Alloys. Thermomechanical Treatment. Pergamon Press Ltd, Encyclopedia of Materials Science and Engineering. </w:t>
      </w:r>
      <w:r w:rsidR="00FC23C6">
        <w:t>(</w:t>
      </w:r>
      <w:r w:rsidR="00155654">
        <w:t>1986</w:t>
      </w:r>
      <w:r w:rsidR="00FC23C6">
        <w:t>)</w:t>
      </w:r>
      <w:r w:rsidR="00155654">
        <w:t>.</w:t>
      </w:r>
      <w:bookmarkEnd w:id="4"/>
      <w:r w:rsidR="00155654">
        <w:t xml:space="preserve"> </w:t>
      </w:r>
    </w:p>
    <w:p w14:paraId="61B35450" w14:textId="26C7868A" w:rsidR="00AF49E6" w:rsidRDefault="004E2DB8" w:rsidP="00BF78AA">
      <w:pPr>
        <w:pStyle w:val="Reference"/>
        <w:ind w:left="425" w:hanging="425"/>
      </w:pPr>
      <w:bookmarkStart w:id="5" w:name="_Ref215047516"/>
      <w:r>
        <w:t xml:space="preserve">R. </w:t>
      </w:r>
      <w:r w:rsidR="00AF49E6">
        <w:t xml:space="preserve">Ding, </w:t>
      </w:r>
      <w:r>
        <w:t xml:space="preserve">Z. </w:t>
      </w:r>
      <w:r w:rsidR="00AF49E6">
        <w:t>Guo,</w:t>
      </w:r>
      <w:r>
        <w:t xml:space="preserve"> A.</w:t>
      </w:r>
      <w:r w:rsidR="00AF49E6">
        <w:t xml:space="preserve"> Wilson</w:t>
      </w:r>
      <w:r>
        <w:t>,</w:t>
      </w:r>
      <w:r w:rsidR="00AF49E6">
        <w:t xml:space="preserve"> Microstructural evolution of a Ti–6Al–4V alloy during thermomechanical processing</w:t>
      </w:r>
      <w:r>
        <w:t>,</w:t>
      </w:r>
      <w:r w:rsidR="00AF49E6">
        <w:t xml:space="preserve"> Materials Science and Engineering: A</w:t>
      </w:r>
      <w:r>
        <w:t xml:space="preserve">, </w:t>
      </w:r>
      <w:r w:rsidR="00AF49E6" w:rsidRPr="004E2DB8">
        <w:rPr>
          <w:b/>
        </w:rPr>
        <w:t>327</w:t>
      </w:r>
      <w:r>
        <w:t xml:space="preserve">, </w:t>
      </w:r>
      <w:r w:rsidR="00AF49E6">
        <w:t>233-245</w:t>
      </w:r>
      <w:r>
        <w:t xml:space="preserve"> (2002)</w:t>
      </w:r>
      <w:r w:rsidR="00AF49E6">
        <w:t>.</w:t>
      </w:r>
      <w:bookmarkEnd w:id="5"/>
      <w:r>
        <w:t xml:space="preserve"> </w:t>
      </w:r>
      <w:hyperlink r:id="rId46" w:history="1">
        <w:r w:rsidRPr="0077176E">
          <w:rPr>
            <w:rStyle w:val="Hyperlink"/>
          </w:rPr>
          <w:t>https://doi.org/10.1016/S0921-5093(01)01531-3</w:t>
        </w:r>
      </w:hyperlink>
      <w:r>
        <w:t xml:space="preserve"> </w:t>
      </w:r>
    </w:p>
    <w:p w14:paraId="7DF12DFB" w14:textId="55728DC9" w:rsidR="004E2DB8" w:rsidRDefault="004E2DB8" w:rsidP="00753FD5">
      <w:pPr>
        <w:pStyle w:val="Reference"/>
        <w:ind w:left="425" w:hanging="425"/>
      </w:pPr>
      <w:bookmarkStart w:id="6" w:name="_Ref215047523"/>
      <w:r>
        <w:t>G. Lutjering, J.C. Williams, Titanium, Springer, Berlin, 2003.</w:t>
      </w:r>
      <w:bookmarkEnd w:id="6"/>
      <w:r>
        <w:t xml:space="preserve"> </w:t>
      </w:r>
      <w:hyperlink r:id="rId47" w:history="1">
        <w:r w:rsidRPr="0077176E">
          <w:rPr>
            <w:rStyle w:val="Hyperlink"/>
          </w:rPr>
          <w:t>https://doi.org/10.1007/978-3-540-71398-2</w:t>
        </w:r>
      </w:hyperlink>
      <w:r>
        <w:t xml:space="preserve"> </w:t>
      </w:r>
    </w:p>
    <w:p w14:paraId="6D8A3664" w14:textId="3C527288" w:rsidR="00AF49E6" w:rsidRDefault="004E2DB8" w:rsidP="004E2DB8">
      <w:pPr>
        <w:pStyle w:val="Reference"/>
        <w:ind w:left="425" w:hanging="425"/>
      </w:pPr>
      <w:bookmarkStart w:id="7" w:name="_Ref215047557"/>
      <w:r>
        <w:t xml:space="preserve">S. </w:t>
      </w:r>
      <w:r w:rsidR="00AF49E6">
        <w:t xml:space="preserve">Malinov, </w:t>
      </w:r>
      <w:r>
        <w:t xml:space="preserve">W. </w:t>
      </w:r>
      <w:r w:rsidR="00AF49E6">
        <w:t>Sha,</w:t>
      </w:r>
      <w:r>
        <w:t xml:space="preserve"> Z.</w:t>
      </w:r>
      <w:r w:rsidR="00AF49E6">
        <w:t xml:space="preserve"> Guo,</w:t>
      </w:r>
      <w:r>
        <w:t xml:space="preserve"> C.</w:t>
      </w:r>
      <w:r w:rsidR="00AF49E6">
        <w:t xml:space="preserve"> Tang,</w:t>
      </w:r>
      <w:r>
        <w:t xml:space="preserve"> A.</w:t>
      </w:r>
      <w:r w:rsidR="00AF49E6">
        <w:t xml:space="preserve"> Long</w:t>
      </w:r>
      <w:r>
        <w:t>,</w:t>
      </w:r>
      <w:r w:rsidR="00AF49E6">
        <w:t xml:space="preserve"> Synchrotron X-ray diffraction study of the phase transformations in titanium alloys</w:t>
      </w:r>
      <w:r>
        <w:t>,</w:t>
      </w:r>
      <w:r w:rsidR="00AF49E6">
        <w:t xml:space="preserve"> Materials Characterization</w:t>
      </w:r>
      <w:r>
        <w:t>,</w:t>
      </w:r>
      <w:r w:rsidR="00AF49E6">
        <w:t xml:space="preserve"> </w:t>
      </w:r>
      <w:r w:rsidR="00AF49E6" w:rsidRPr="004E2DB8">
        <w:rPr>
          <w:b/>
        </w:rPr>
        <w:t>48</w:t>
      </w:r>
      <w:r>
        <w:t xml:space="preserve">, </w:t>
      </w:r>
      <w:r w:rsidR="00AF49E6">
        <w:t>279-95</w:t>
      </w:r>
      <w:r>
        <w:t xml:space="preserve"> (2002)</w:t>
      </w:r>
      <w:r w:rsidR="00AF49E6">
        <w:t>.</w:t>
      </w:r>
      <w:bookmarkEnd w:id="7"/>
      <w:r w:rsidR="00AF49E6">
        <w:t xml:space="preserve"> </w:t>
      </w:r>
      <w:hyperlink r:id="rId48" w:history="1">
        <w:r w:rsidRPr="0077176E">
          <w:rPr>
            <w:rStyle w:val="Hyperlink"/>
          </w:rPr>
          <w:t>https://doi.org/10.1016/S1044-5803(02)00286-3</w:t>
        </w:r>
      </w:hyperlink>
      <w:r>
        <w:t xml:space="preserve"> </w:t>
      </w:r>
    </w:p>
    <w:p w14:paraId="6A559EB9" w14:textId="781E10AE" w:rsidR="00AF49E6" w:rsidRDefault="004E2DB8" w:rsidP="004E2DB8">
      <w:pPr>
        <w:pStyle w:val="Reference"/>
        <w:ind w:left="425" w:hanging="425"/>
      </w:pPr>
      <w:bookmarkStart w:id="8" w:name="_Ref215047560"/>
      <w:r>
        <w:t xml:space="preserve">J. </w:t>
      </w:r>
      <w:r w:rsidR="00AF49E6">
        <w:t>Tiley,</w:t>
      </w:r>
      <w:r>
        <w:t xml:space="preserve"> T.</w:t>
      </w:r>
      <w:r w:rsidR="00AF49E6">
        <w:t xml:space="preserve"> Searles, </w:t>
      </w:r>
      <w:r>
        <w:t xml:space="preserve">E. </w:t>
      </w:r>
      <w:r w:rsidR="00AF49E6">
        <w:t>Lee,</w:t>
      </w:r>
      <w:r>
        <w:t xml:space="preserve"> S.</w:t>
      </w:r>
      <w:r w:rsidR="00AF49E6">
        <w:t xml:space="preserve"> Kar, </w:t>
      </w:r>
      <w:r>
        <w:t xml:space="preserve">R. </w:t>
      </w:r>
      <w:r w:rsidR="00AF49E6">
        <w:t>Banerjee,</w:t>
      </w:r>
      <w:r>
        <w:t xml:space="preserve"> J.</w:t>
      </w:r>
      <w:r w:rsidR="00AF49E6">
        <w:t xml:space="preserve"> Russ</w:t>
      </w:r>
      <w:r>
        <w:t>,</w:t>
      </w:r>
      <w:r w:rsidR="00AF49E6">
        <w:t xml:space="preserve"> Quantification of microstructural features in α/β titanium alloys</w:t>
      </w:r>
      <w:r>
        <w:t>,</w:t>
      </w:r>
      <w:r w:rsidR="00AF49E6">
        <w:t xml:space="preserve"> Materials Science and Engineering: A</w:t>
      </w:r>
      <w:r>
        <w:t xml:space="preserve">, </w:t>
      </w:r>
      <w:r w:rsidR="00AF49E6" w:rsidRPr="004E2DB8">
        <w:rPr>
          <w:b/>
        </w:rPr>
        <w:t>372</w:t>
      </w:r>
      <w:r>
        <w:t xml:space="preserve">, </w:t>
      </w:r>
      <w:r w:rsidR="00AF49E6">
        <w:t>191-198</w:t>
      </w:r>
      <w:r>
        <w:t xml:space="preserve"> (2004)</w:t>
      </w:r>
      <w:r w:rsidR="00AF49E6">
        <w:t>.</w:t>
      </w:r>
      <w:bookmarkEnd w:id="8"/>
      <w:r w:rsidR="00AF49E6">
        <w:t xml:space="preserve"> </w:t>
      </w:r>
      <w:hyperlink r:id="rId49" w:history="1">
        <w:r w:rsidRPr="0077176E">
          <w:rPr>
            <w:rStyle w:val="Hyperlink"/>
          </w:rPr>
          <w:t>https://doi.org/10.1016/j.msea.2003.12.008</w:t>
        </w:r>
      </w:hyperlink>
      <w:r>
        <w:t xml:space="preserve"> </w:t>
      </w:r>
    </w:p>
    <w:p w14:paraId="71B71DE8" w14:textId="4475D2AD" w:rsidR="00AF49E6" w:rsidRDefault="004E2DB8" w:rsidP="004E2DB8">
      <w:pPr>
        <w:pStyle w:val="Reference"/>
        <w:ind w:left="425" w:hanging="425"/>
      </w:pPr>
      <w:bookmarkStart w:id="9" w:name="_Ref215047563"/>
      <w:r>
        <w:t xml:space="preserve">F.J. </w:t>
      </w:r>
      <w:r w:rsidR="00AF49E6">
        <w:t>Gil,</w:t>
      </w:r>
      <w:r>
        <w:t xml:space="preserve"> M.P. </w:t>
      </w:r>
      <w:r w:rsidR="00AF49E6">
        <w:t>Ginebra,</w:t>
      </w:r>
      <w:r>
        <w:t xml:space="preserve"> J.M.</w:t>
      </w:r>
      <w:r w:rsidR="00AF49E6">
        <w:t xml:space="preserve"> Manero,</w:t>
      </w:r>
      <w:r>
        <w:t xml:space="preserve"> J.A.</w:t>
      </w:r>
      <w:r w:rsidR="00AF49E6">
        <w:t xml:space="preserve"> Planell</w:t>
      </w:r>
      <w:r>
        <w:t>,</w:t>
      </w:r>
      <w:r w:rsidR="00AF49E6">
        <w:t xml:space="preserve"> Formation of α-Widmanstätten structure: effects of grain size and cooling rate on the Widmanstätten morphologies and on the mechanical properties in Ti6Al4V alloy</w:t>
      </w:r>
      <w:r w:rsidR="00F51087">
        <w:t>,</w:t>
      </w:r>
      <w:r w:rsidR="00AF49E6">
        <w:t xml:space="preserve"> Journal of Alloys and Compounds</w:t>
      </w:r>
      <w:r w:rsidR="00F51087">
        <w:t>,</w:t>
      </w:r>
      <w:r w:rsidR="00AF49E6">
        <w:t xml:space="preserve"> </w:t>
      </w:r>
      <w:r w:rsidR="00AF49E6" w:rsidRPr="00F51087">
        <w:rPr>
          <w:b/>
        </w:rPr>
        <w:t>329</w:t>
      </w:r>
      <w:r w:rsidR="00F51087">
        <w:t xml:space="preserve">, </w:t>
      </w:r>
      <w:r w:rsidR="00AF49E6">
        <w:t>142-52</w:t>
      </w:r>
      <w:r w:rsidR="00F51087">
        <w:t xml:space="preserve"> (2001)</w:t>
      </w:r>
      <w:r w:rsidR="00AF49E6">
        <w:t>.</w:t>
      </w:r>
      <w:bookmarkEnd w:id="9"/>
      <w:r w:rsidR="00F51087">
        <w:t xml:space="preserve"> </w:t>
      </w:r>
      <w:hyperlink r:id="rId50" w:history="1">
        <w:r w:rsidR="00F51087" w:rsidRPr="0077176E">
          <w:rPr>
            <w:rStyle w:val="Hyperlink"/>
          </w:rPr>
          <w:t>https://doi.org/10.1016/S0925-8388(01)01571-7</w:t>
        </w:r>
      </w:hyperlink>
      <w:r w:rsidR="00F51087">
        <w:t xml:space="preserve"> </w:t>
      </w:r>
    </w:p>
    <w:sectPr w:rsidR="00AF49E6" w:rsidSect="00D00441">
      <w:pgSz w:w="12240" w:h="15840" w:code="1"/>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2A7"/>
    <w:multiLevelType w:val="multilevel"/>
    <w:tmpl w:val="EA4E4BB0"/>
    <w:name w:val="Equations"/>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06926274"/>
    <w:lvl w:ilvl="0" w:tplc="6290CB50">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880388921">
    <w:abstractNumId w:val="3"/>
  </w:num>
  <w:num w:numId="2" w16cid:durableId="2145080045">
    <w:abstractNumId w:val="2"/>
  </w:num>
  <w:num w:numId="3" w16cid:durableId="1378898825">
    <w:abstractNumId w:val="4"/>
  </w:num>
  <w:num w:numId="4" w16cid:durableId="51191933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bordersDoNotSurroundHeader/>
  <w:bordersDoNotSurroundFooter/>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hysics Report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5z0xx9tyedwx7exw0p559pof5p99v2tzv5e&quot;&gt;My EndNote Library&lt;record-ids&gt;&lt;item&gt;332&lt;/item&gt;&lt;item&gt;333&lt;/item&gt;&lt;item&gt;334&lt;/item&gt;&lt;item&gt;335&lt;/item&gt;&lt;item&gt;336&lt;/item&gt;&lt;item&gt;337&lt;/item&gt;&lt;item&gt;339&lt;/item&gt;&lt;item&gt;340&lt;/item&gt;&lt;item&gt;341&lt;/item&gt;&lt;item&gt;342&lt;/item&gt;&lt;item&gt;343&lt;/item&gt;&lt;item&gt;348&lt;/item&gt;&lt;item&gt;349&lt;/item&gt;&lt;item&gt;351&lt;/item&gt;&lt;item&gt;352&lt;/item&gt;&lt;item&gt;358&lt;/item&gt;&lt;item&gt;375&lt;/item&gt;&lt;/record-ids&gt;&lt;/item&gt;&lt;/Libraries&gt;"/>
  </w:docVars>
  <w:rsids>
    <w:rsidRoot w:val="00C14B14"/>
    <w:rsid w:val="00003D7C"/>
    <w:rsid w:val="00014140"/>
    <w:rsid w:val="00027428"/>
    <w:rsid w:val="0003119D"/>
    <w:rsid w:val="00031EC9"/>
    <w:rsid w:val="00032388"/>
    <w:rsid w:val="00047907"/>
    <w:rsid w:val="00047971"/>
    <w:rsid w:val="00061F38"/>
    <w:rsid w:val="00066FED"/>
    <w:rsid w:val="00075EA6"/>
    <w:rsid w:val="0007709F"/>
    <w:rsid w:val="00086F62"/>
    <w:rsid w:val="00090674"/>
    <w:rsid w:val="0009320B"/>
    <w:rsid w:val="000949FC"/>
    <w:rsid w:val="00096AE0"/>
    <w:rsid w:val="000A37AC"/>
    <w:rsid w:val="000B1B74"/>
    <w:rsid w:val="000B33E9"/>
    <w:rsid w:val="000B3A2D"/>
    <w:rsid w:val="000B49C0"/>
    <w:rsid w:val="000C147E"/>
    <w:rsid w:val="000C555B"/>
    <w:rsid w:val="000E382F"/>
    <w:rsid w:val="000E75CD"/>
    <w:rsid w:val="001036BA"/>
    <w:rsid w:val="00113772"/>
    <w:rsid w:val="001146DC"/>
    <w:rsid w:val="00114AB1"/>
    <w:rsid w:val="001230FF"/>
    <w:rsid w:val="00130BD7"/>
    <w:rsid w:val="00131012"/>
    <w:rsid w:val="00150207"/>
    <w:rsid w:val="0015430F"/>
    <w:rsid w:val="00155654"/>
    <w:rsid w:val="00155B67"/>
    <w:rsid w:val="001562AF"/>
    <w:rsid w:val="00157C8E"/>
    <w:rsid w:val="00161A5B"/>
    <w:rsid w:val="0016366B"/>
    <w:rsid w:val="0016385D"/>
    <w:rsid w:val="0016782F"/>
    <w:rsid w:val="001937E9"/>
    <w:rsid w:val="001964E5"/>
    <w:rsid w:val="001B263B"/>
    <w:rsid w:val="001B476A"/>
    <w:rsid w:val="001C3132"/>
    <w:rsid w:val="001C496E"/>
    <w:rsid w:val="001C764F"/>
    <w:rsid w:val="001C7BB3"/>
    <w:rsid w:val="001D469C"/>
    <w:rsid w:val="001E3156"/>
    <w:rsid w:val="0021619E"/>
    <w:rsid w:val="00225A07"/>
    <w:rsid w:val="0023171B"/>
    <w:rsid w:val="00236BFC"/>
    <w:rsid w:val="00237437"/>
    <w:rsid w:val="00241F5B"/>
    <w:rsid w:val="002502FD"/>
    <w:rsid w:val="00262DE7"/>
    <w:rsid w:val="00267BC4"/>
    <w:rsid w:val="00270AED"/>
    <w:rsid w:val="002719C6"/>
    <w:rsid w:val="00274622"/>
    <w:rsid w:val="00277B96"/>
    <w:rsid w:val="00285D24"/>
    <w:rsid w:val="00290390"/>
    <w:rsid w:val="002915D3"/>
    <w:rsid w:val="002924DB"/>
    <w:rsid w:val="002941DA"/>
    <w:rsid w:val="002B5648"/>
    <w:rsid w:val="002C3924"/>
    <w:rsid w:val="002D3676"/>
    <w:rsid w:val="002D4F09"/>
    <w:rsid w:val="002E001A"/>
    <w:rsid w:val="002E3C35"/>
    <w:rsid w:val="002E426B"/>
    <w:rsid w:val="002F5298"/>
    <w:rsid w:val="003118F1"/>
    <w:rsid w:val="0032045C"/>
    <w:rsid w:val="00322DEE"/>
    <w:rsid w:val="00324129"/>
    <w:rsid w:val="00326AE0"/>
    <w:rsid w:val="00334082"/>
    <w:rsid w:val="0033774F"/>
    <w:rsid w:val="00337E4F"/>
    <w:rsid w:val="00340C36"/>
    <w:rsid w:val="0034493D"/>
    <w:rsid w:val="0034536F"/>
    <w:rsid w:val="00346A9D"/>
    <w:rsid w:val="00356DB4"/>
    <w:rsid w:val="003804DC"/>
    <w:rsid w:val="003902E3"/>
    <w:rsid w:val="00392C0A"/>
    <w:rsid w:val="0039376F"/>
    <w:rsid w:val="003A287B"/>
    <w:rsid w:val="003A5C85"/>
    <w:rsid w:val="003A61B1"/>
    <w:rsid w:val="003B0050"/>
    <w:rsid w:val="003D05C4"/>
    <w:rsid w:val="003D6312"/>
    <w:rsid w:val="003E330E"/>
    <w:rsid w:val="003E7C74"/>
    <w:rsid w:val="003F31C6"/>
    <w:rsid w:val="0040225B"/>
    <w:rsid w:val="00402581"/>
    <w:rsid w:val="00402DA2"/>
    <w:rsid w:val="0041437F"/>
    <w:rsid w:val="00425AC2"/>
    <w:rsid w:val="004475F9"/>
    <w:rsid w:val="0044771F"/>
    <w:rsid w:val="00456EDE"/>
    <w:rsid w:val="00464CB7"/>
    <w:rsid w:val="00486D63"/>
    <w:rsid w:val="004B151D"/>
    <w:rsid w:val="004C6E84"/>
    <w:rsid w:val="004C7243"/>
    <w:rsid w:val="004C7537"/>
    <w:rsid w:val="004D0810"/>
    <w:rsid w:val="004D5C86"/>
    <w:rsid w:val="004E1042"/>
    <w:rsid w:val="004E21DE"/>
    <w:rsid w:val="004E2DB8"/>
    <w:rsid w:val="004E3C57"/>
    <w:rsid w:val="004E3CB2"/>
    <w:rsid w:val="004F59EB"/>
    <w:rsid w:val="00503CDF"/>
    <w:rsid w:val="00505420"/>
    <w:rsid w:val="00525813"/>
    <w:rsid w:val="00527806"/>
    <w:rsid w:val="00532D12"/>
    <w:rsid w:val="0053513F"/>
    <w:rsid w:val="00574405"/>
    <w:rsid w:val="005854B0"/>
    <w:rsid w:val="0059694C"/>
    <w:rsid w:val="005A0E21"/>
    <w:rsid w:val="005B3A34"/>
    <w:rsid w:val="005D49AF"/>
    <w:rsid w:val="005D63A8"/>
    <w:rsid w:val="005E2DE8"/>
    <w:rsid w:val="005E415C"/>
    <w:rsid w:val="005E71ED"/>
    <w:rsid w:val="005E7946"/>
    <w:rsid w:val="005F7475"/>
    <w:rsid w:val="006007CF"/>
    <w:rsid w:val="00611299"/>
    <w:rsid w:val="00613B4D"/>
    <w:rsid w:val="00616365"/>
    <w:rsid w:val="00616F3B"/>
    <w:rsid w:val="006249A7"/>
    <w:rsid w:val="0064225B"/>
    <w:rsid w:val="00646047"/>
    <w:rsid w:val="00652A6C"/>
    <w:rsid w:val="006763F9"/>
    <w:rsid w:val="006949BC"/>
    <w:rsid w:val="006A40FD"/>
    <w:rsid w:val="006B189D"/>
    <w:rsid w:val="006D1229"/>
    <w:rsid w:val="006D372F"/>
    <w:rsid w:val="006D7A18"/>
    <w:rsid w:val="006E4474"/>
    <w:rsid w:val="00701388"/>
    <w:rsid w:val="00721A30"/>
    <w:rsid w:val="00723B7F"/>
    <w:rsid w:val="00725861"/>
    <w:rsid w:val="0073393A"/>
    <w:rsid w:val="0073539D"/>
    <w:rsid w:val="00747626"/>
    <w:rsid w:val="007523BB"/>
    <w:rsid w:val="00767B8A"/>
    <w:rsid w:val="00775481"/>
    <w:rsid w:val="00795695"/>
    <w:rsid w:val="007A233B"/>
    <w:rsid w:val="007A5862"/>
    <w:rsid w:val="007B0EA0"/>
    <w:rsid w:val="007B4863"/>
    <w:rsid w:val="007B7B4A"/>
    <w:rsid w:val="007C65E6"/>
    <w:rsid w:val="007D12F6"/>
    <w:rsid w:val="007D4028"/>
    <w:rsid w:val="007D406B"/>
    <w:rsid w:val="007D4407"/>
    <w:rsid w:val="007E1CA3"/>
    <w:rsid w:val="00812D62"/>
    <w:rsid w:val="00812F29"/>
    <w:rsid w:val="00821713"/>
    <w:rsid w:val="00827050"/>
    <w:rsid w:val="0083278B"/>
    <w:rsid w:val="00834538"/>
    <w:rsid w:val="008413B5"/>
    <w:rsid w:val="0084223E"/>
    <w:rsid w:val="00850E89"/>
    <w:rsid w:val="00853617"/>
    <w:rsid w:val="00862BA8"/>
    <w:rsid w:val="00892543"/>
    <w:rsid w:val="008930E4"/>
    <w:rsid w:val="00893821"/>
    <w:rsid w:val="008A170F"/>
    <w:rsid w:val="008A7B9C"/>
    <w:rsid w:val="008B39FA"/>
    <w:rsid w:val="008B4754"/>
    <w:rsid w:val="008C38E9"/>
    <w:rsid w:val="008E6A7A"/>
    <w:rsid w:val="008F1038"/>
    <w:rsid w:val="008F7046"/>
    <w:rsid w:val="009005FC"/>
    <w:rsid w:val="00922E5A"/>
    <w:rsid w:val="009302DB"/>
    <w:rsid w:val="009374CF"/>
    <w:rsid w:val="00943315"/>
    <w:rsid w:val="00946C27"/>
    <w:rsid w:val="00951468"/>
    <w:rsid w:val="009772FD"/>
    <w:rsid w:val="009A4F3D"/>
    <w:rsid w:val="009B34BF"/>
    <w:rsid w:val="009B4244"/>
    <w:rsid w:val="009B696B"/>
    <w:rsid w:val="009B7671"/>
    <w:rsid w:val="009C26A9"/>
    <w:rsid w:val="009E5BA1"/>
    <w:rsid w:val="009E6B05"/>
    <w:rsid w:val="009F056E"/>
    <w:rsid w:val="009F7FD8"/>
    <w:rsid w:val="00A01452"/>
    <w:rsid w:val="00A24F3D"/>
    <w:rsid w:val="00A26DCD"/>
    <w:rsid w:val="00A314BB"/>
    <w:rsid w:val="00A32B7D"/>
    <w:rsid w:val="00A5596B"/>
    <w:rsid w:val="00A62A20"/>
    <w:rsid w:val="00A646B3"/>
    <w:rsid w:val="00A6739B"/>
    <w:rsid w:val="00A83793"/>
    <w:rsid w:val="00A90413"/>
    <w:rsid w:val="00AA5C66"/>
    <w:rsid w:val="00AA728C"/>
    <w:rsid w:val="00AB0A9C"/>
    <w:rsid w:val="00AB1128"/>
    <w:rsid w:val="00AB3C82"/>
    <w:rsid w:val="00AB5ECB"/>
    <w:rsid w:val="00AB67B0"/>
    <w:rsid w:val="00AB7119"/>
    <w:rsid w:val="00AD47EC"/>
    <w:rsid w:val="00AD5855"/>
    <w:rsid w:val="00AE022B"/>
    <w:rsid w:val="00AE02C5"/>
    <w:rsid w:val="00AE7500"/>
    <w:rsid w:val="00AE7F87"/>
    <w:rsid w:val="00AF3542"/>
    <w:rsid w:val="00AF49E6"/>
    <w:rsid w:val="00AF5ABE"/>
    <w:rsid w:val="00B00415"/>
    <w:rsid w:val="00B03759"/>
    <w:rsid w:val="00B03C2A"/>
    <w:rsid w:val="00B1000D"/>
    <w:rsid w:val="00B10134"/>
    <w:rsid w:val="00B14D35"/>
    <w:rsid w:val="00B16BFE"/>
    <w:rsid w:val="00B500E5"/>
    <w:rsid w:val="00B647ED"/>
    <w:rsid w:val="00B76554"/>
    <w:rsid w:val="00B843CC"/>
    <w:rsid w:val="00B97335"/>
    <w:rsid w:val="00BA39BB"/>
    <w:rsid w:val="00BA3B3D"/>
    <w:rsid w:val="00BB7EEA"/>
    <w:rsid w:val="00BC2F7C"/>
    <w:rsid w:val="00BD1909"/>
    <w:rsid w:val="00BE5E16"/>
    <w:rsid w:val="00BE5FD1"/>
    <w:rsid w:val="00BF78AA"/>
    <w:rsid w:val="00C06E05"/>
    <w:rsid w:val="00C07DE9"/>
    <w:rsid w:val="00C14B14"/>
    <w:rsid w:val="00C169F8"/>
    <w:rsid w:val="00C17370"/>
    <w:rsid w:val="00C2054D"/>
    <w:rsid w:val="00C252EB"/>
    <w:rsid w:val="00C26EC0"/>
    <w:rsid w:val="00C520FA"/>
    <w:rsid w:val="00C56C77"/>
    <w:rsid w:val="00C84923"/>
    <w:rsid w:val="00CB0BCC"/>
    <w:rsid w:val="00CB7B3E"/>
    <w:rsid w:val="00CC739D"/>
    <w:rsid w:val="00D00441"/>
    <w:rsid w:val="00D04468"/>
    <w:rsid w:val="00D2440F"/>
    <w:rsid w:val="00D30640"/>
    <w:rsid w:val="00D36257"/>
    <w:rsid w:val="00D4687E"/>
    <w:rsid w:val="00D53A12"/>
    <w:rsid w:val="00D5483D"/>
    <w:rsid w:val="00D5645B"/>
    <w:rsid w:val="00D60878"/>
    <w:rsid w:val="00D66320"/>
    <w:rsid w:val="00D87E2A"/>
    <w:rsid w:val="00D92FBC"/>
    <w:rsid w:val="00DB0C43"/>
    <w:rsid w:val="00DE2760"/>
    <w:rsid w:val="00DE3354"/>
    <w:rsid w:val="00DF7DCD"/>
    <w:rsid w:val="00E0724B"/>
    <w:rsid w:val="00E11263"/>
    <w:rsid w:val="00E30B3A"/>
    <w:rsid w:val="00E50B7D"/>
    <w:rsid w:val="00E55D22"/>
    <w:rsid w:val="00E6272D"/>
    <w:rsid w:val="00E8438C"/>
    <w:rsid w:val="00E904A1"/>
    <w:rsid w:val="00E91277"/>
    <w:rsid w:val="00E97738"/>
    <w:rsid w:val="00EA1D88"/>
    <w:rsid w:val="00EA2146"/>
    <w:rsid w:val="00EB7D28"/>
    <w:rsid w:val="00EC0D0C"/>
    <w:rsid w:val="00EC24B6"/>
    <w:rsid w:val="00ED4A2C"/>
    <w:rsid w:val="00ED7452"/>
    <w:rsid w:val="00EE6036"/>
    <w:rsid w:val="00EF6940"/>
    <w:rsid w:val="00F03D54"/>
    <w:rsid w:val="00F2044A"/>
    <w:rsid w:val="00F20BFC"/>
    <w:rsid w:val="00F24D5F"/>
    <w:rsid w:val="00F51087"/>
    <w:rsid w:val="00F52411"/>
    <w:rsid w:val="00F541AB"/>
    <w:rsid w:val="00F627BC"/>
    <w:rsid w:val="00F726C3"/>
    <w:rsid w:val="00F820CA"/>
    <w:rsid w:val="00F82A4F"/>
    <w:rsid w:val="00F8554C"/>
    <w:rsid w:val="00F95F82"/>
    <w:rsid w:val="00F97A90"/>
    <w:rsid w:val="00FC21E0"/>
    <w:rsid w:val="00FC23C6"/>
    <w:rsid w:val="00FC2BD5"/>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7DAFF2"/>
  <w14:defaultImageDpi w14:val="32767"/>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DE2760"/>
    <w:rPr>
      <w:sz w:val="24"/>
      <w:lang w:val="en-US" w:eastAsia="en-US"/>
    </w:rPr>
  </w:style>
  <w:style w:type="paragraph" w:styleId="berschrift1">
    <w:name w:val="heading 1"/>
    <w:basedOn w:val="Standard"/>
    <w:next w:val="Paragraph"/>
    <w:qFormat/>
    <w:pPr>
      <w:keepNext/>
      <w:spacing w:before="240" w:after="240"/>
      <w:jc w:val="center"/>
      <w:outlineLvl w:val="0"/>
    </w:pPr>
    <w:rPr>
      <w:b/>
      <w:caps/>
    </w:rPr>
  </w:style>
  <w:style w:type="paragraph" w:styleId="berschrift2">
    <w:name w:val="heading 2"/>
    <w:basedOn w:val="Standard"/>
    <w:next w:val="Paragraph"/>
    <w:qFormat/>
    <w:pPr>
      <w:keepNext/>
      <w:spacing w:before="240" w:after="240"/>
      <w:jc w:val="center"/>
      <w:outlineLvl w:val="1"/>
    </w:pPr>
    <w:rPr>
      <w:b/>
    </w:rPr>
  </w:style>
  <w:style w:type="paragraph" w:styleId="berschrift3">
    <w:name w:val="heading 3"/>
    <w:basedOn w:val="Standard"/>
    <w:next w:val="Standard"/>
    <w:qFormat/>
    <w:rsid w:val="005854B0"/>
    <w:pPr>
      <w:keepNext/>
      <w:spacing w:before="240" w:after="240"/>
      <w:jc w:val="center"/>
      <w:outlineLvl w:val="2"/>
    </w:pPr>
    <w:rPr>
      <w:i/>
      <w:iCs/>
      <w:sz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16"/>
    </w:rPr>
  </w:style>
  <w:style w:type="paragraph" w:customStyle="1" w:styleId="PaperTitle">
    <w:name w:val="Paper Title"/>
    <w:basedOn w:val="Standard"/>
    <w:next w:val="AuthorName"/>
    <w:pPr>
      <w:spacing w:before="1200"/>
      <w:jc w:val="center"/>
    </w:pPr>
    <w:rPr>
      <w:b/>
      <w:sz w:val="36"/>
    </w:rPr>
  </w:style>
  <w:style w:type="paragraph" w:customStyle="1" w:styleId="AuthorName">
    <w:name w:val="Author Name"/>
    <w:basedOn w:val="Standard"/>
    <w:next w:val="AuthorAffiliation"/>
    <w:pPr>
      <w:spacing w:before="360" w:after="360"/>
      <w:jc w:val="center"/>
    </w:pPr>
    <w:rPr>
      <w:sz w:val="28"/>
    </w:rPr>
  </w:style>
  <w:style w:type="paragraph" w:customStyle="1" w:styleId="AuthorAffiliation">
    <w:name w:val="Author Affiliation"/>
    <w:basedOn w:val="Standard"/>
    <w:pPr>
      <w:jc w:val="center"/>
    </w:pPr>
    <w:rPr>
      <w:i/>
      <w:sz w:val="20"/>
    </w:rPr>
  </w:style>
  <w:style w:type="paragraph" w:customStyle="1" w:styleId="Abstract">
    <w:name w:val="Abstract"/>
    <w:basedOn w:val="Standard"/>
    <w:next w:val="berschrift1"/>
    <w:rsid w:val="00F20BFC"/>
    <w:pPr>
      <w:spacing w:before="360" w:after="360"/>
      <w:ind w:left="289" w:right="289"/>
      <w:jc w:val="both"/>
    </w:pPr>
    <w:rPr>
      <w:sz w:val="18"/>
    </w:rPr>
  </w:style>
  <w:style w:type="paragraph" w:customStyle="1" w:styleId="Paragraph">
    <w:name w:val="Paragraph"/>
    <w:basedOn w:val="Standard"/>
    <w:link w:val="Paragraph0"/>
    <w:rsid w:val="005E415C"/>
    <w:pPr>
      <w:ind w:firstLine="284"/>
      <w:jc w:val="both"/>
    </w:pPr>
    <w:rPr>
      <w:sz w:val="20"/>
    </w:rPr>
  </w:style>
  <w:style w:type="character" w:styleId="Funotenzeichen">
    <w:name w:val="footnote reference"/>
    <w:semiHidden/>
    <w:rPr>
      <w:vertAlign w:val="superscript"/>
    </w:rPr>
  </w:style>
  <w:style w:type="paragraph" w:customStyle="1" w:styleId="Reference">
    <w:name w:val="Reference"/>
    <w:basedOn w:val="Paragraph"/>
    <w:link w:val="Reference0"/>
    <w:rsid w:val="00AE7500"/>
    <w:pPr>
      <w:numPr>
        <w:numId w:val="1"/>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Sprechblasentext">
    <w:name w:val="Balloon Text"/>
    <w:basedOn w:val="Standard"/>
    <w:link w:val="SprechblasentextZchn"/>
    <w:rsid w:val="00114AB1"/>
    <w:rPr>
      <w:rFonts w:ascii="Tahoma" w:hAnsi="Tahoma" w:cs="Tahoma"/>
      <w:sz w:val="16"/>
      <w:szCs w:val="16"/>
    </w:rPr>
  </w:style>
  <w:style w:type="character" w:customStyle="1" w:styleId="SprechblasentextZchn">
    <w:name w:val="Sprechblasentext Zchn"/>
    <w:basedOn w:val="Absatz-Standardschriftart"/>
    <w:link w:val="Sprechblasentext"/>
    <w:rsid w:val="00114AB1"/>
    <w:rPr>
      <w:rFonts w:ascii="Tahoma" w:hAnsi="Tahoma" w:cs="Tahoma"/>
      <w:sz w:val="16"/>
      <w:szCs w:val="16"/>
      <w:lang w:val="en-US" w:eastAsia="en-US"/>
    </w:rPr>
  </w:style>
  <w:style w:type="character" w:styleId="Hyperlink">
    <w:name w:val="Hyperlink"/>
    <w:rPr>
      <w:color w:val="0000FF"/>
      <w:u w:val="single"/>
    </w:rPr>
  </w:style>
  <w:style w:type="table" w:styleId="Tabellenraster">
    <w:name w:val="Table Grid"/>
    <w:basedOn w:val="NormaleTabelle"/>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Standard"/>
    <w:qFormat/>
    <w:rsid w:val="001D469C"/>
    <w:pPr>
      <w:jc w:val="center"/>
    </w:pPr>
    <w:rPr>
      <w:sz w:val="20"/>
    </w:rPr>
  </w:style>
  <w:style w:type="paragraph" w:styleId="StandardWeb">
    <w:name w:val="Normal (Web)"/>
    <w:basedOn w:val="Standard"/>
    <w:uiPriority w:val="99"/>
    <w:unhideWhenUsed/>
    <w:rsid w:val="005F7475"/>
    <w:pPr>
      <w:spacing w:before="100" w:beforeAutospacing="1" w:after="100" w:afterAutospacing="1"/>
    </w:pPr>
    <w:rPr>
      <w:szCs w:val="24"/>
      <w:lang w:val="en-GB" w:eastAsia="en-GB"/>
    </w:rPr>
  </w:style>
  <w:style w:type="character" w:styleId="Fett">
    <w:name w:val="Strong"/>
    <w:basedOn w:val="Absatz-Standardschriftart"/>
    <w:uiPriority w:val="22"/>
    <w:qFormat/>
    <w:rsid w:val="005F7475"/>
    <w:rPr>
      <w:b/>
      <w:bCs/>
    </w:rPr>
  </w:style>
  <w:style w:type="character" w:styleId="Hervorhebung">
    <w:name w:val="Emphasis"/>
    <w:basedOn w:val="Absatz-Standardschriftar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NichtaufgelsteErwhnung1">
    <w:name w:val="Nicht aufgelöste Erwähnung1"/>
    <w:basedOn w:val="Absatz-Standardschriftart"/>
    <w:uiPriority w:val="99"/>
    <w:semiHidden/>
    <w:unhideWhenUsed/>
    <w:rsid w:val="00613B4D"/>
    <w:rPr>
      <w:color w:val="808080"/>
      <w:shd w:val="clear" w:color="auto" w:fill="E6E6E6"/>
    </w:rPr>
  </w:style>
  <w:style w:type="paragraph" w:styleId="Listenabsatz">
    <w:name w:val="List Paragraph"/>
    <w:basedOn w:val="Standard"/>
    <w:uiPriority w:val="34"/>
    <w:qFormat/>
    <w:rsid w:val="006E4474"/>
    <w:pPr>
      <w:ind w:left="720"/>
      <w:contextualSpacing/>
    </w:pPr>
  </w:style>
  <w:style w:type="character" w:styleId="Kommentarzeichen">
    <w:name w:val="annotation reference"/>
    <w:basedOn w:val="Absatz-Standardschriftart"/>
    <w:semiHidden/>
    <w:unhideWhenUsed/>
    <w:rsid w:val="005E71ED"/>
    <w:rPr>
      <w:sz w:val="16"/>
      <w:szCs w:val="16"/>
    </w:rPr>
  </w:style>
  <w:style w:type="paragraph" w:styleId="Kommentartext">
    <w:name w:val="annotation text"/>
    <w:basedOn w:val="Standard"/>
    <w:link w:val="KommentartextZchn"/>
    <w:semiHidden/>
    <w:unhideWhenUsed/>
    <w:rsid w:val="005E71ED"/>
    <w:rPr>
      <w:sz w:val="20"/>
    </w:rPr>
  </w:style>
  <w:style w:type="character" w:customStyle="1" w:styleId="KommentartextZchn">
    <w:name w:val="Kommentartext Zchn"/>
    <w:basedOn w:val="Absatz-Standardschriftart"/>
    <w:link w:val="Kommentartext"/>
    <w:semiHidden/>
    <w:rsid w:val="005E71ED"/>
    <w:rPr>
      <w:lang w:val="en-US" w:eastAsia="en-US"/>
    </w:rPr>
  </w:style>
  <w:style w:type="paragraph" w:styleId="Kommentarthema">
    <w:name w:val="annotation subject"/>
    <w:basedOn w:val="Kommentartext"/>
    <w:next w:val="Kommentartext"/>
    <w:link w:val="KommentarthemaZchn"/>
    <w:semiHidden/>
    <w:unhideWhenUsed/>
    <w:rsid w:val="005E71ED"/>
    <w:rPr>
      <w:b/>
      <w:bCs/>
    </w:rPr>
  </w:style>
  <w:style w:type="character" w:customStyle="1" w:styleId="KommentarthemaZchn">
    <w:name w:val="Kommentarthema Zchn"/>
    <w:basedOn w:val="KommentartextZchn"/>
    <w:link w:val="Kommentarthema"/>
    <w:semiHidden/>
    <w:rsid w:val="005E71ED"/>
    <w:rPr>
      <w:b/>
      <w:bCs/>
      <w:lang w:val="en-US" w:eastAsia="en-US"/>
    </w:rPr>
  </w:style>
  <w:style w:type="paragraph" w:customStyle="1" w:styleId="EndNoteBibliographyTitle">
    <w:name w:val="EndNote Bibliography Title"/>
    <w:basedOn w:val="Standard"/>
    <w:link w:val="EndNoteBibliographyTitle0"/>
    <w:rsid w:val="008413B5"/>
    <w:pPr>
      <w:jc w:val="center"/>
    </w:pPr>
    <w:rPr>
      <w:noProof/>
      <w:sz w:val="20"/>
    </w:rPr>
  </w:style>
  <w:style w:type="character" w:customStyle="1" w:styleId="Paragraph0">
    <w:name w:val="Paragraph 字符"/>
    <w:basedOn w:val="Absatz-Standardschriftart"/>
    <w:link w:val="Paragraph"/>
    <w:rsid w:val="008413B5"/>
    <w:rPr>
      <w:lang w:val="en-US" w:eastAsia="en-US"/>
    </w:rPr>
  </w:style>
  <w:style w:type="character" w:customStyle="1" w:styleId="Reference0">
    <w:name w:val="Reference 字符"/>
    <w:basedOn w:val="Paragraph0"/>
    <w:link w:val="Reference"/>
    <w:rsid w:val="008413B5"/>
    <w:rPr>
      <w:lang w:val="en-US" w:eastAsia="en-US"/>
    </w:rPr>
  </w:style>
  <w:style w:type="character" w:customStyle="1" w:styleId="EndNoteBibliographyTitle0">
    <w:name w:val="EndNote Bibliography Title 字符"/>
    <w:basedOn w:val="Reference0"/>
    <w:link w:val="EndNoteBibliographyTitle"/>
    <w:rsid w:val="008413B5"/>
    <w:rPr>
      <w:noProof/>
      <w:lang w:val="en-US" w:eastAsia="en-US"/>
    </w:rPr>
  </w:style>
  <w:style w:type="paragraph" w:customStyle="1" w:styleId="EndNoteBibliography">
    <w:name w:val="EndNote Bibliography"/>
    <w:basedOn w:val="Standard"/>
    <w:link w:val="EndNoteBibliography0"/>
    <w:rsid w:val="008413B5"/>
    <w:pPr>
      <w:jc w:val="both"/>
    </w:pPr>
    <w:rPr>
      <w:noProof/>
      <w:sz w:val="20"/>
    </w:rPr>
  </w:style>
  <w:style w:type="character" w:customStyle="1" w:styleId="EndNoteBibliography0">
    <w:name w:val="EndNote Bibliography 字符"/>
    <w:basedOn w:val="Reference0"/>
    <w:link w:val="EndNoteBibliography"/>
    <w:rsid w:val="008413B5"/>
    <w:rPr>
      <w:noProof/>
      <w:lang w:val="en-US" w:eastAsia="en-US"/>
    </w:rPr>
  </w:style>
  <w:style w:type="character" w:styleId="NichtaufgelsteErwhnung">
    <w:name w:val="Unresolved Mention"/>
    <w:basedOn w:val="Absatz-Standardschriftart"/>
    <w:uiPriority w:val="99"/>
    <w:semiHidden/>
    <w:unhideWhenUsed/>
    <w:rsid w:val="008413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714910">
      <w:bodyDiv w:val="1"/>
      <w:marLeft w:val="0"/>
      <w:marRight w:val="0"/>
      <w:marTop w:val="0"/>
      <w:marBottom w:val="0"/>
      <w:divBdr>
        <w:top w:val="none" w:sz="0" w:space="0" w:color="auto"/>
        <w:left w:val="none" w:sz="0" w:space="0" w:color="auto"/>
        <w:bottom w:val="none" w:sz="0" w:space="0" w:color="auto"/>
        <w:right w:val="none" w:sz="0" w:space="0" w:color="auto"/>
      </w:divBdr>
    </w:div>
    <w:div w:id="379941909">
      <w:bodyDiv w:val="1"/>
      <w:marLeft w:val="0"/>
      <w:marRight w:val="0"/>
      <w:marTop w:val="0"/>
      <w:marBottom w:val="0"/>
      <w:divBdr>
        <w:top w:val="none" w:sz="0" w:space="0" w:color="auto"/>
        <w:left w:val="none" w:sz="0" w:space="0" w:color="auto"/>
        <w:bottom w:val="none" w:sz="0" w:space="0" w:color="auto"/>
        <w:right w:val="none" w:sz="0" w:space="0" w:color="auto"/>
      </w:divBdr>
    </w:div>
    <w:div w:id="410196052">
      <w:bodyDiv w:val="1"/>
      <w:marLeft w:val="0"/>
      <w:marRight w:val="0"/>
      <w:marTop w:val="0"/>
      <w:marBottom w:val="0"/>
      <w:divBdr>
        <w:top w:val="none" w:sz="0" w:space="0" w:color="auto"/>
        <w:left w:val="none" w:sz="0" w:space="0" w:color="auto"/>
        <w:bottom w:val="none" w:sz="0" w:space="0" w:color="auto"/>
        <w:right w:val="none" w:sz="0" w:space="0" w:color="auto"/>
      </w:divBdr>
    </w:div>
    <w:div w:id="651953019">
      <w:bodyDiv w:val="1"/>
      <w:marLeft w:val="0"/>
      <w:marRight w:val="0"/>
      <w:marTop w:val="0"/>
      <w:marBottom w:val="0"/>
      <w:divBdr>
        <w:top w:val="none" w:sz="0" w:space="0" w:color="auto"/>
        <w:left w:val="none" w:sz="0" w:space="0" w:color="auto"/>
        <w:bottom w:val="none" w:sz="0" w:space="0" w:color="auto"/>
        <w:right w:val="none" w:sz="0" w:space="0" w:color="auto"/>
      </w:divBdr>
    </w:div>
    <w:div w:id="674918146">
      <w:bodyDiv w:val="1"/>
      <w:marLeft w:val="0"/>
      <w:marRight w:val="0"/>
      <w:marTop w:val="0"/>
      <w:marBottom w:val="0"/>
      <w:divBdr>
        <w:top w:val="none" w:sz="0" w:space="0" w:color="auto"/>
        <w:left w:val="none" w:sz="0" w:space="0" w:color="auto"/>
        <w:bottom w:val="none" w:sz="0" w:space="0" w:color="auto"/>
        <w:right w:val="none" w:sz="0" w:space="0" w:color="auto"/>
      </w:divBdr>
    </w:div>
    <w:div w:id="702362994">
      <w:bodyDiv w:val="1"/>
      <w:marLeft w:val="0"/>
      <w:marRight w:val="0"/>
      <w:marTop w:val="0"/>
      <w:marBottom w:val="0"/>
      <w:divBdr>
        <w:top w:val="none" w:sz="0" w:space="0" w:color="auto"/>
        <w:left w:val="none" w:sz="0" w:space="0" w:color="auto"/>
        <w:bottom w:val="none" w:sz="0" w:space="0" w:color="auto"/>
        <w:right w:val="none" w:sz="0" w:space="0" w:color="auto"/>
      </w:divBdr>
    </w:div>
    <w:div w:id="785083318">
      <w:bodyDiv w:val="1"/>
      <w:marLeft w:val="0"/>
      <w:marRight w:val="0"/>
      <w:marTop w:val="0"/>
      <w:marBottom w:val="0"/>
      <w:divBdr>
        <w:top w:val="none" w:sz="0" w:space="0" w:color="auto"/>
        <w:left w:val="none" w:sz="0" w:space="0" w:color="auto"/>
        <w:bottom w:val="none" w:sz="0" w:space="0" w:color="auto"/>
        <w:right w:val="none" w:sz="0" w:space="0" w:color="auto"/>
      </w:divBdr>
    </w:div>
    <w:div w:id="988704687">
      <w:bodyDiv w:val="1"/>
      <w:marLeft w:val="0"/>
      <w:marRight w:val="0"/>
      <w:marTop w:val="0"/>
      <w:marBottom w:val="0"/>
      <w:divBdr>
        <w:top w:val="none" w:sz="0" w:space="0" w:color="auto"/>
        <w:left w:val="none" w:sz="0" w:space="0" w:color="auto"/>
        <w:bottom w:val="none" w:sz="0" w:space="0" w:color="auto"/>
        <w:right w:val="none" w:sz="0" w:space="0" w:color="auto"/>
      </w:divBdr>
    </w:div>
    <w:div w:id="1128816077">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08392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550071126">
      <w:bodyDiv w:val="1"/>
      <w:marLeft w:val="0"/>
      <w:marRight w:val="0"/>
      <w:marTop w:val="0"/>
      <w:marBottom w:val="0"/>
      <w:divBdr>
        <w:top w:val="none" w:sz="0" w:space="0" w:color="auto"/>
        <w:left w:val="none" w:sz="0" w:space="0" w:color="auto"/>
        <w:bottom w:val="none" w:sz="0" w:space="0" w:color="auto"/>
        <w:right w:val="none" w:sz="0" w:space="0" w:color="auto"/>
      </w:divBdr>
    </w:div>
    <w:div w:id="1597788392">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2034500438">
      <w:bodyDiv w:val="1"/>
      <w:marLeft w:val="0"/>
      <w:marRight w:val="0"/>
      <w:marTop w:val="0"/>
      <w:marBottom w:val="0"/>
      <w:divBdr>
        <w:top w:val="none" w:sz="0" w:space="0" w:color="auto"/>
        <w:left w:val="none" w:sz="0" w:space="0" w:color="auto"/>
        <w:bottom w:val="none" w:sz="0" w:space="0" w:color="auto"/>
        <w:right w:val="none" w:sz="0" w:space="0" w:color="auto"/>
      </w:divBdr>
    </w:div>
    <w:div w:id="2069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8.png"/><Relationship Id="rId21" Type="http://schemas.openxmlformats.org/officeDocument/2006/relationships/oleObject" Target="embeddings/oleObject6.bin"/><Relationship Id="rId34" Type="http://schemas.openxmlformats.org/officeDocument/2006/relationships/image" Target="media/image13.jpeg"/><Relationship Id="rId42" Type="http://schemas.openxmlformats.org/officeDocument/2006/relationships/hyperlink" Target="https://doi.org/10.1016/j.optlastec.2023.110180" TargetMode="External"/><Relationship Id="rId47" Type="http://schemas.openxmlformats.org/officeDocument/2006/relationships/hyperlink" Target="https://doi.org/10.1007/978-3-540-71398-2" TargetMode="External"/><Relationship Id="rId50" Type="http://schemas.openxmlformats.org/officeDocument/2006/relationships/hyperlink" Target="https://doi.org/10.1016/S0925-8388(01)01571-7"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doi.org/10.1063/1.354710" TargetMode="External"/><Relationship Id="rId5" Type="http://schemas.openxmlformats.org/officeDocument/2006/relationships/numbering" Target="numbering.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5.png"/><Relationship Id="rId49" Type="http://schemas.openxmlformats.org/officeDocument/2006/relationships/hyperlink" Target="https://doi.org/10.1016/j.msea.2003.12.008" TargetMode="Externa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hyperlink" Target="https://doi.org/10.31399/asm.hb.v02.9781627081627"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mailto:shaimovkomiljon@gmail.com"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image" Target="media/image14.png"/><Relationship Id="rId43" Type="http://schemas.openxmlformats.org/officeDocument/2006/relationships/hyperlink" Target="https://doi.org/10.1016/S1359-6454(97)00287-5" TargetMode="External"/><Relationship Id="rId48" Type="http://schemas.openxmlformats.org/officeDocument/2006/relationships/hyperlink" Target="https://doi.org/10.1016/S1044-5803(02)00286-3"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png"/><Relationship Id="rId46" Type="http://schemas.openxmlformats.org/officeDocument/2006/relationships/hyperlink" Target="https://doi.org/10.1016/S0921-5093(01)01531-3" TargetMode="External"/><Relationship Id="rId20" Type="http://schemas.openxmlformats.org/officeDocument/2006/relationships/image" Target="media/image6.wmf"/><Relationship Id="rId41" Type="http://schemas.openxmlformats.org/officeDocument/2006/relationships/hyperlink" Target="https://doi.org/10.1063/1.366113" TargetMode="Externa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A8431E-2775-42E7-A50F-800CAB9FB2C2}">
  <ds:schemaRefs>
    <ds:schemaRef ds:uri="http://schemas.openxmlformats.org/officeDocument/2006/bibliography"/>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6</Pages>
  <Words>1861</Words>
  <Characters>12026</Characters>
  <Application>Microsoft Office Word</Application>
  <DocSecurity>0</DocSecurity>
  <Lines>214</Lines>
  <Paragraphs>154</Paragraphs>
  <ScaleCrop>false</ScaleCrop>
  <HeadingPairs>
    <vt:vector size="6" baseType="variant">
      <vt:variant>
        <vt:lpstr>Titel</vt:lpstr>
      </vt:variant>
      <vt:variant>
        <vt:i4>1</vt:i4>
      </vt:variant>
      <vt:variant>
        <vt:lpstr>Title</vt:lpstr>
      </vt:variant>
      <vt:variant>
        <vt:i4>1</vt:i4>
      </vt:variant>
      <vt:variant>
        <vt:lpstr>Название</vt:lpstr>
      </vt:variant>
      <vt:variant>
        <vt:i4>1</vt:i4>
      </vt:variant>
    </vt:vector>
  </HeadingPairs>
  <TitlesOfParts>
    <vt:vector size="3" baseType="lpstr">
      <vt:lpstr>Title Goes Here</vt:lpstr>
      <vt:lpstr>Title Goes Here</vt:lpstr>
      <vt:lpstr>Title Goes Here</vt:lpstr>
    </vt:vector>
  </TitlesOfParts>
  <Company>PPI</Company>
  <LinksUpToDate>false</LinksUpToDate>
  <CharactersWithSpaces>13733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TU-Pseudonym 5300993042411274</cp:lastModifiedBy>
  <cp:revision>84</cp:revision>
  <cp:lastPrinted>2011-03-03T08:29:00Z</cp:lastPrinted>
  <dcterms:created xsi:type="dcterms:W3CDTF">2024-10-07T13:15:00Z</dcterms:created>
  <dcterms:modified xsi:type="dcterms:W3CDTF">2025-11-26T12:06:00Z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MTWinEqns">
    <vt:bool>true</vt:bool>
  </property>
</Properties>
</file>