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D4D27" w14:textId="77777777" w:rsidR="00A434AC" w:rsidRPr="0001358E" w:rsidRDefault="00000000" w:rsidP="0001358E">
      <w:pPr>
        <w:pStyle w:val="PaperTitle"/>
      </w:pPr>
      <w:bookmarkStart w:id="0" w:name="__DdeLink__1208_2813654527"/>
      <w:r w:rsidRPr="0001358E">
        <w:t>Deformation Instability of Light Alloys under Dynamic Compression</w:t>
      </w:r>
      <w:bookmarkEnd w:id="0"/>
    </w:p>
    <w:p w14:paraId="7345B6EB" w14:textId="77777777" w:rsidR="00A434AC" w:rsidRDefault="00000000" w:rsidP="00753EB8">
      <w:pPr>
        <w:pStyle w:val="AuthorName"/>
        <w:rPr>
          <w:b/>
        </w:rPr>
      </w:pPr>
      <w:r>
        <w:t>Vladimir V. Skripnyak</w:t>
      </w:r>
      <w:r>
        <w:rPr>
          <w:vertAlign w:val="superscript"/>
        </w:rPr>
        <w:t>1, a)</w:t>
      </w:r>
      <w:r>
        <w:t>, Natalia V. Skripnyak</w:t>
      </w:r>
      <w:r>
        <w:rPr>
          <w:vertAlign w:val="superscript"/>
        </w:rPr>
        <w:t>1, b)</w:t>
      </w:r>
      <w:r>
        <w:rPr>
          <w:lang w:eastAsia="ru-RU"/>
        </w:rPr>
        <w:t>, Alexander E. Kiryushkin</w:t>
      </w:r>
      <w:proofErr w:type="gramStart"/>
      <w:r>
        <w:rPr>
          <w:vertAlign w:val="superscript"/>
          <w:lang w:eastAsia="ru-RU"/>
        </w:rPr>
        <w:t>1,c</w:t>
      </w:r>
      <w:proofErr w:type="gramEnd"/>
      <w:r>
        <w:rPr>
          <w:vertAlign w:val="superscript"/>
          <w:lang w:eastAsia="ru-RU"/>
        </w:rPr>
        <w:t>)</w:t>
      </w:r>
      <w:r>
        <w:rPr>
          <w:lang w:eastAsia="ru-RU"/>
        </w:rPr>
        <w:t>, and Vladimir A. Skripnyak</w:t>
      </w:r>
      <w:proofErr w:type="gramStart"/>
      <w:r>
        <w:rPr>
          <w:vertAlign w:val="superscript"/>
          <w:lang w:eastAsia="ru-RU"/>
        </w:rPr>
        <w:t>1,d</w:t>
      </w:r>
      <w:proofErr w:type="gramEnd"/>
      <w:r>
        <w:rPr>
          <w:vertAlign w:val="superscript"/>
          <w:lang w:eastAsia="ru-RU"/>
        </w:rPr>
        <w:t xml:space="preserve">) </w:t>
      </w:r>
    </w:p>
    <w:p w14:paraId="548748D6" w14:textId="77777777" w:rsidR="00A434AC" w:rsidRDefault="00000000">
      <w:pPr>
        <w:pStyle w:val="AuthorAffiliation"/>
        <w:rPr>
          <w:lang w:val="en-GB" w:eastAsia="en-GB"/>
        </w:rPr>
      </w:pPr>
      <w:r>
        <w:rPr>
          <w:b/>
          <w:vertAlign w:val="superscript"/>
        </w:rPr>
        <w:t xml:space="preserve"> </w:t>
      </w:r>
      <w:r>
        <w:rPr>
          <w:iCs/>
          <w:color w:val="000000" w:themeColor="text1"/>
          <w:vertAlign w:val="superscript"/>
        </w:rPr>
        <w:t>1</w:t>
      </w:r>
      <w:r>
        <w:rPr>
          <w:color w:val="000000" w:themeColor="text1"/>
        </w:rPr>
        <w:t>National Research Tomsk State University, 36 Lenin Avenue, Tomsk, Russia, 634050</w:t>
      </w:r>
    </w:p>
    <w:p w14:paraId="65021022" w14:textId="77777777" w:rsidR="00A434AC" w:rsidRDefault="00A434AC">
      <w:pPr>
        <w:pStyle w:val="AuthorAffiliation"/>
        <w:rPr>
          <w:szCs w:val="28"/>
          <w:vertAlign w:val="superscript"/>
        </w:rPr>
      </w:pPr>
    </w:p>
    <w:p w14:paraId="1B31D2C1" w14:textId="31A1F30E" w:rsidR="00A434AC" w:rsidRPr="00753EB8" w:rsidRDefault="00000000" w:rsidP="00753EB8">
      <w:pPr>
        <w:pStyle w:val="AuthorEmail"/>
        <w:rPr>
          <w:rStyle w:val="Hyperlink"/>
          <w:color w:val="auto"/>
          <w:u w:val="none"/>
        </w:rPr>
      </w:pPr>
      <w:r w:rsidRPr="00753EB8">
        <w:rPr>
          <w:vertAlign w:val="superscript"/>
        </w:rPr>
        <w:t>a)</w:t>
      </w:r>
      <w:r w:rsidR="00C31D2B" w:rsidRPr="00C31D2B">
        <w:t xml:space="preserve"> </w:t>
      </w:r>
      <w:r w:rsidR="00C31D2B" w:rsidRPr="00075EA6">
        <w:t>Corresponding author:</w:t>
      </w:r>
      <w:r w:rsidR="00C31D2B">
        <w:t xml:space="preserve"> </w:t>
      </w:r>
      <w:r w:rsidR="005845DD" w:rsidRPr="008B6003">
        <w:t>skrp2012@yandex.ru</w:t>
      </w:r>
    </w:p>
    <w:p w14:paraId="616EE6E4" w14:textId="0E56B78F" w:rsidR="00A434AC" w:rsidRPr="00753EB8" w:rsidRDefault="00000000" w:rsidP="00753EB8">
      <w:pPr>
        <w:pStyle w:val="AuthorEmail"/>
      </w:pPr>
      <w:r w:rsidRPr="00753EB8">
        <w:rPr>
          <w:vertAlign w:val="superscript"/>
        </w:rPr>
        <w:t>b)</w:t>
      </w:r>
      <w:r w:rsidR="008B6003">
        <w:rPr>
          <w:vertAlign w:val="superscript"/>
        </w:rPr>
        <w:t xml:space="preserve"> </w:t>
      </w:r>
      <w:r w:rsidRPr="00753EB8">
        <w:t>natali.skrp@mail.ru,</w:t>
      </w:r>
    </w:p>
    <w:p w14:paraId="769C9C2E" w14:textId="2FCCA6B1" w:rsidR="00A434AC" w:rsidRPr="00753EB8" w:rsidRDefault="00000000" w:rsidP="00753EB8">
      <w:pPr>
        <w:pStyle w:val="AuthorEmail"/>
      </w:pPr>
      <w:r w:rsidRPr="00753EB8">
        <w:rPr>
          <w:vertAlign w:val="superscript"/>
        </w:rPr>
        <w:t>c)</w:t>
      </w:r>
      <w:r w:rsidR="008B6003">
        <w:rPr>
          <w:vertAlign w:val="superscript"/>
        </w:rPr>
        <w:t xml:space="preserve"> </w:t>
      </w:r>
      <w:r w:rsidRPr="00753EB8">
        <w:t>sashakir94@mail.ru,</w:t>
      </w:r>
    </w:p>
    <w:p w14:paraId="71208B5E" w14:textId="5923A18D" w:rsidR="00A434AC" w:rsidRPr="00753EB8" w:rsidRDefault="00000000" w:rsidP="00753EB8">
      <w:pPr>
        <w:pStyle w:val="AuthorEmail"/>
      </w:pPr>
      <w:r w:rsidRPr="00753EB8">
        <w:rPr>
          <w:vertAlign w:val="superscript"/>
        </w:rPr>
        <w:t>d)</w:t>
      </w:r>
      <w:r w:rsidR="008B6003">
        <w:rPr>
          <w:vertAlign w:val="superscript"/>
        </w:rPr>
        <w:t xml:space="preserve"> </w:t>
      </w:r>
      <w:hyperlink r:id="rId9">
        <w:r w:rsidR="00A434AC" w:rsidRPr="00753EB8">
          <w:t>skrp2006@yandex.ru</w:t>
        </w:r>
      </w:hyperlink>
    </w:p>
    <w:p w14:paraId="088F7C54" w14:textId="77777777" w:rsidR="00A434AC" w:rsidRDefault="00000000">
      <w:pPr>
        <w:pStyle w:val="AuthorEmail"/>
        <w:spacing w:before="360" w:after="360"/>
        <w:ind w:left="289" w:right="289"/>
        <w:jc w:val="both"/>
      </w:pPr>
      <w:r>
        <w:rPr>
          <w:b/>
          <w:bCs/>
          <w:sz w:val="18"/>
          <w:szCs w:val="18"/>
        </w:rPr>
        <w:t>Abstract.</w:t>
      </w:r>
      <w:r>
        <w:rPr>
          <w:sz w:val="18"/>
          <w:szCs w:val="18"/>
        </w:rPr>
        <w:t xml:space="preserve"> The instability formation of plastic deformation of aluminum and magnesium alloys under tension or compression at strain rates from 0.1 up to 1000 s</w:t>
      </w:r>
      <w:r>
        <w:rPr>
          <w:sz w:val="18"/>
          <w:szCs w:val="18"/>
          <w:vertAlign w:val="superscript"/>
        </w:rPr>
        <w:t>-1</w:t>
      </w:r>
      <w:r>
        <w:rPr>
          <w:sz w:val="18"/>
          <w:szCs w:val="18"/>
        </w:rPr>
        <w:t xml:space="preserve"> was investigated by experimental tests and numerical simulation. The experimental results of the study of the processes of development of plastic deformations in samples of AMg3, AMg6 and MA2-1 alloys under uniaxial tension and uniaxial compression were obtained during tests on the Instron VHS 40/50-20 servo hydraulic stand. It was found that the studied alloys exhibit asymmetry in the true stress versus true strain curves under uniaxial compression or tension. The ratio values of plastic flow stress under uniaxial tension and compression at the same initial temperatures and equivalent plastic strains depends on the strain rate. Predictions of macroscopic instability of plastic flow of the studied alloys in accordance with the Considere criterion are consistent with the obtained experimental data. It is shown that the onset of macroscopic instability of plastic flow in aluminum and magnesium alloys occurs at various equivalent plastic deformations under conditions of high strain rates uniaxial compression or tension. At a </w:t>
      </w:r>
      <w:proofErr w:type="gramStart"/>
      <w:r>
        <w:rPr>
          <w:sz w:val="18"/>
          <w:szCs w:val="18"/>
        </w:rPr>
        <w:t>strain rates</w:t>
      </w:r>
      <w:proofErr w:type="gramEnd"/>
      <w:r>
        <w:rPr>
          <w:sz w:val="18"/>
          <w:szCs w:val="18"/>
        </w:rPr>
        <w:t xml:space="preserve"> higher than 100 s</w:t>
      </w:r>
      <w:r>
        <w:rPr>
          <w:sz w:val="18"/>
          <w:szCs w:val="18"/>
          <w:vertAlign w:val="superscript"/>
        </w:rPr>
        <w:t>-1</w:t>
      </w:r>
      <w:r>
        <w:rPr>
          <w:sz w:val="18"/>
          <w:szCs w:val="18"/>
        </w:rPr>
        <w:t xml:space="preserve"> Strain localization in the magnesium alloy MA2-1 starts under compression at essentially low values of equivalent plastic strain than at tension with similar strain rates. It was established that during uniaxial compression of aluminum alloys AMg3 and AMg6 in the range of deformation rates from 0.1 to 1000 s</w:t>
      </w:r>
      <w:r>
        <w:rPr>
          <w:sz w:val="18"/>
          <w:szCs w:val="18"/>
          <w:vertAlign w:val="superscript"/>
        </w:rPr>
        <w:t>-1</w:t>
      </w:r>
      <w:r>
        <w:rPr>
          <w:sz w:val="18"/>
          <w:szCs w:val="18"/>
        </w:rPr>
        <w:t>, the instability of the macroscopic plastic flow process does not occur</w:t>
      </w:r>
      <w:r>
        <w:t>.</w:t>
      </w:r>
    </w:p>
    <w:p w14:paraId="03A15AA4" w14:textId="77777777" w:rsidR="00A434AC" w:rsidRDefault="00000000">
      <w:pPr>
        <w:pStyle w:val="berschrift1"/>
      </w:pPr>
      <w:r>
        <w:t>Introduction</w:t>
      </w:r>
    </w:p>
    <w:p w14:paraId="601EFAED" w14:textId="77777777" w:rsidR="00A434AC" w:rsidRDefault="00000000">
      <w:pPr>
        <w:shd w:val="clear" w:color="auto" w:fill="FFFFFF"/>
        <w:ind w:firstLine="289"/>
        <w:jc w:val="both"/>
        <w:rPr>
          <w:bCs/>
          <w:iCs/>
          <w:sz w:val="20"/>
          <w:lang w:eastAsia="ru-RU"/>
        </w:rPr>
      </w:pPr>
      <w:r>
        <w:rPr>
          <w:bCs/>
          <w:iCs/>
          <w:sz w:val="20"/>
          <w:lang w:eastAsia="ru-RU"/>
        </w:rPr>
        <w:t>Application extensions of dynamic forming technologies for rolled aluminum and magnesium alloys without preheating for the manufacture of structural elements for aerospace, automotive required an increasing in the accuracy of describing the patterns of plastic deformation of alloys in the computer designing of pressing process modes [1, 2]. In this regard, an important task is to obtain information on the mechanical behavior of structural light alloys in a wide range of loading conditions, including dynamic effects.</w:t>
      </w:r>
    </w:p>
    <w:p w14:paraId="1F8D3C87" w14:textId="77777777" w:rsidR="00A434AC" w:rsidRDefault="00000000">
      <w:pPr>
        <w:ind w:firstLine="289"/>
        <w:jc w:val="both"/>
        <w:rPr>
          <w:bCs/>
          <w:iCs/>
          <w:sz w:val="20"/>
          <w:lang w:eastAsia="ru-RU"/>
        </w:rPr>
      </w:pPr>
      <w:r>
        <w:rPr>
          <w:bCs/>
          <w:iCs/>
          <w:sz w:val="20"/>
          <w:lang w:eastAsia="ru-RU"/>
        </w:rPr>
        <w:t xml:space="preserve">Aluminum and magnesium alloys have similar melting </w:t>
      </w:r>
      <w:proofErr w:type="gramStart"/>
      <w:r>
        <w:rPr>
          <w:bCs/>
          <w:iCs/>
          <w:sz w:val="20"/>
          <w:lang w:eastAsia="ru-RU"/>
        </w:rPr>
        <w:t>points, but</w:t>
      </w:r>
      <w:proofErr w:type="gramEnd"/>
      <w:r>
        <w:rPr>
          <w:bCs/>
          <w:iCs/>
          <w:sz w:val="20"/>
          <w:lang w:eastAsia="ru-RU"/>
        </w:rPr>
        <w:t xml:space="preserve"> belong to different isomechanical groups of materials [3].</w:t>
      </w:r>
    </w:p>
    <w:p w14:paraId="0857C623" w14:textId="77777777" w:rsidR="00A434AC" w:rsidRDefault="00000000">
      <w:pPr>
        <w:ind w:firstLine="289"/>
        <w:jc w:val="both"/>
        <w:rPr>
          <w:bCs/>
          <w:iCs/>
          <w:sz w:val="20"/>
          <w:lang w:eastAsia="ru-RU"/>
        </w:rPr>
      </w:pPr>
      <w:r>
        <w:rPr>
          <w:bCs/>
          <w:iCs/>
          <w:sz w:val="20"/>
          <w:lang w:eastAsia="ru-RU"/>
        </w:rPr>
        <w:t xml:space="preserve">Increasing the accuracy of predicting the formability of light alloys under complex loading conditions is associated with </w:t>
      </w:r>
      <w:proofErr w:type="gramStart"/>
      <w:r>
        <w:rPr>
          <w:bCs/>
          <w:iCs/>
          <w:sz w:val="20"/>
          <w:lang w:eastAsia="ru-RU"/>
        </w:rPr>
        <w:t>taking into account</w:t>
      </w:r>
      <w:proofErr w:type="gramEnd"/>
      <w:r>
        <w:rPr>
          <w:bCs/>
          <w:iCs/>
          <w:sz w:val="20"/>
          <w:lang w:eastAsia="ru-RU"/>
        </w:rPr>
        <w:t xml:space="preserve"> the difference in resistance to plastic deformation under tension and compression [4-6].</w:t>
      </w:r>
    </w:p>
    <w:p w14:paraId="2A58DDF2" w14:textId="77777777" w:rsidR="00A434AC" w:rsidRDefault="00000000">
      <w:pPr>
        <w:ind w:firstLine="289"/>
        <w:jc w:val="both"/>
        <w:rPr>
          <w:bCs/>
          <w:iCs/>
          <w:sz w:val="20"/>
          <w:lang w:eastAsia="ru-RU"/>
        </w:rPr>
      </w:pPr>
      <w:r>
        <w:rPr>
          <w:bCs/>
          <w:iCs/>
          <w:sz w:val="20"/>
          <w:lang w:eastAsia="ru-RU"/>
        </w:rPr>
        <w:t>One of the important aspects of describing the mechanical behavior of deformable magnesium alloys under high-speed deformation of products is predicting the localization of plastic deformation and the development of damage. Studies have shown that both the equivalent strain rate and the stress state triaxiality parameter (ƞ= – p/</w:t>
      </w:r>
      <w:r>
        <w:rPr>
          <w:bCs/>
          <w:iCs/>
          <w:sz w:val="20"/>
          <w:lang w:val="ru-RU" w:eastAsia="ru-RU"/>
        </w:rPr>
        <w:t>σ</w:t>
      </w:r>
      <w:r>
        <w:rPr>
          <w:bCs/>
          <w:iCs/>
          <w:sz w:val="20"/>
          <w:vertAlign w:val="subscript"/>
          <w:lang w:eastAsia="ru-RU"/>
        </w:rPr>
        <w:t>eq</w:t>
      </w:r>
      <w:r>
        <w:rPr>
          <w:bCs/>
          <w:iCs/>
          <w:sz w:val="20"/>
          <w:lang w:eastAsia="ru-RU"/>
        </w:rPr>
        <w:t xml:space="preserve">, where p is the pressure and </w:t>
      </w:r>
      <w:r>
        <w:rPr>
          <w:bCs/>
          <w:iCs/>
          <w:sz w:val="20"/>
          <w:lang w:val="ru-RU" w:eastAsia="ru-RU"/>
        </w:rPr>
        <w:t>σ</w:t>
      </w:r>
      <w:r>
        <w:rPr>
          <w:bCs/>
          <w:iCs/>
          <w:sz w:val="20"/>
          <w:vertAlign w:val="subscript"/>
          <w:lang w:eastAsia="ru-RU"/>
        </w:rPr>
        <w:t>eq</w:t>
      </w:r>
      <w:r>
        <w:rPr>
          <w:bCs/>
          <w:iCs/>
          <w:sz w:val="20"/>
          <w:lang w:eastAsia="ru-RU"/>
        </w:rPr>
        <w:t xml:space="preserve"> is the equivalent von Mises stress) have a significant effect on the conditions of damage and fracture of magnesium and aluminum alloys during dynamic punching [7, 8]. </w:t>
      </w:r>
    </w:p>
    <w:p w14:paraId="2E474D5B" w14:textId="77777777" w:rsidR="00A434AC" w:rsidRDefault="00000000">
      <w:pPr>
        <w:ind w:firstLine="289"/>
        <w:jc w:val="both"/>
        <w:rPr>
          <w:bCs/>
          <w:iCs/>
          <w:sz w:val="20"/>
          <w:lang w:eastAsia="ru-RU"/>
        </w:rPr>
      </w:pPr>
      <w:r>
        <w:rPr>
          <w:bCs/>
          <w:iCs/>
          <w:sz w:val="20"/>
          <w:lang w:eastAsia="ru-RU"/>
        </w:rPr>
        <w:t>The aim of this work was to study the plastic flow instability</w:t>
      </w:r>
      <w:r>
        <w:rPr>
          <w:szCs w:val="36"/>
        </w:rPr>
        <w:t xml:space="preserve"> </w:t>
      </w:r>
      <w:r>
        <w:rPr>
          <w:bCs/>
          <w:iCs/>
          <w:sz w:val="20"/>
          <w:lang w:eastAsia="ru-RU"/>
        </w:rPr>
        <w:t>of AMg3, AMg6 and MA2-1 alloys under tension and compression in strain rate range from 0.1 to 1000 s</w:t>
      </w:r>
      <w:r>
        <w:rPr>
          <w:bCs/>
          <w:iCs/>
          <w:sz w:val="20"/>
          <w:vertAlign w:val="superscript"/>
          <w:lang w:eastAsia="ru-RU"/>
        </w:rPr>
        <w:t>-1</w:t>
      </w:r>
      <w:r>
        <w:rPr>
          <w:bCs/>
          <w:iCs/>
          <w:sz w:val="20"/>
          <w:lang w:eastAsia="ru-RU"/>
        </w:rPr>
        <w:t>.</w:t>
      </w:r>
    </w:p>
    <w:p w14:paraId="4A817E79" w14:textId="7803CB43" w:rsidR="00A434AC" w:rsidRDefault="00000000">
      <w:pPr>
        <w:ind w:firstLine="289"/>
        <w:jc w:val="both"/>
        <w:rPr>
          <w:bCs/>
          <w:iCs/>
          <w:sz w:val="20"/>
          <w:lang w:eastAsia="ru-RU"/>
        </w:rPr>
      </w:pPr>
      <w:r>
        <w:rPr>
          <w:bCs/>
          <w:iCs/>
          <w:sz w:val="20"/>
          <w:lang w:eastAsia="ru-RU"/>
        </w:rPr>
        <w:lastRenderedPageBreak/>
        <w:t>The results of experimental and theoretical studies of the mechanical behavior of magnesium and aluminum alloys at high strain rates obtained in the work complement the data obtained earlier.</w:t>
      </w:r>
    </w:p>
    <w:p w14:paraId="64DDD0A2" w14:textId="77777777" w:rsidR="00A434AC" w:rsidRDefault="00000000">
      <w:pPr>
        <w:pStyle w:val="berschrift1"/>
      </w:pPr>
      <w:r>
        <w:t>M</w:t>
      </w:r>
      <w:r w:rsidRPr="00AC06D3">
        <w:t>aterials and Testing Method</w:t>
      </w:r>
    </w:p>
    <w:p w14:paraId="2C99B2A4" w14:textId="77777777" w:rsidR="00A434AC" w:rsidRDefault="00000000">
      <w:pPr>
        <w:ind w:firstLine="289"/>
        <w:jc w:val="both"/>
        <w:rPr>
          <w:bCs/>
          <w:iCs/>
          <w:sz w:val="20"/>
          <w:lang w:eastAsia="ru-RU"/>
        </w:rPr>
      </w:pPr>
      <w:r>
        <w:rPr>
          <w:bCs/>
          <w:iCs/>
          <w:sz w:val="20"/>
          <w:lang w:eastAsia="ru-RU"/>
        </w:rPr>
        <w:t xml:space="preserve">Tension and compression tests at various constant strain rates were carried out using an Instron VHS 40/50-20 high-speed test bench (Instron Corporation, High Wycombe, UK) with a 50 kN load cell. </w:t>
      </w:r>
    </w:p>
    <w:p w14:paraId="1F67049D" w14:textId="77777777" w:rsidR="00A434AC" w:rsidRDefault="00000000">
      <w:pPr>
        <w:ind w:firstLine="289"/>
        <w:jc w:val="both"/>
        <w:rPr>
          <w:bCs/>
          <w:iCs/>
          <w:sz w:val="20"/>
          <w:lang w:eastAsia="ru-RU"/>
        </w:rPr>
      </w:pPr>
      <w:r>
        <w:rPr>
          <w:bCs/>
          <w:iCs/>
          <w:sz w:val="20"/>
          <w:lang w:eastAsia="ru-RU"/>
        </w:rPr>
        <w:t xml:space="preserve">The dog bone shape specimens with initial gauge length of 20 ± 0.1 mm and thickness of 1.05 ± 0.05 mm were used for tension tests in accordance with the requirements of standards ISO 26203-2-2011, ASTM E8/E8M, GOST 1497-84. </w:t>
      </w:r>
    </w:p>
    <w:p w14:paraId="4E28B601" w14:textId="77777777" w:rsidR="00A434AC" w:rsidRDefault="00000000">
      <w:pPr>
        <w:ind w:firstLine="289"/>
        <w:jc w:val="both"/>
        <w:rPr>
          <w:bCs/>
          <w:iCs/>
          <w:sz w:val="20"/>
          <w:lang w:eastAsia="ru-RU"/>
        </w:rPr>
      </w:pPr>
      <w:r>
        <w:rPr>
          <w:bCs/>
          <w:iCs/>
          <w:sz w:val="20"/>
          <w:lang w:eastAsia="ru-RU"/>
        </w:rPr>
        <w:t xml:space="preserve">The alloy's resistance to uniaxial compression of alloys in accordance </w:t>
      </w:r>
      <w:proofErr w:type="gramStart"/>
      <w:r>
        <w:rPr>
          <w:bCs/>
          <w:iCs/>
          <w:sz w:val="20"/>
          <w:lang w:eastAsia="ru-RU"/>
        </w:rPr>
        <w:t>of</w:t>
      </w:r>
      <w:proofErr w:type="gramEnd"/>
      <w:r>
        <w:rPr>
          <w:bCs/>
          <w:iCs/>
          <w:sz w:val="20"/>
          <w:lang w:eastAsia="ru-RU"/>
        </w:rPr>
        <w:t xml:space="preserve"> ASTM E9.09 and GOST 25.503-97 standards were obtained at strain rates of 0.1, 1, 100, 1000 1/s. </w:t>
      </w:r>
    </w:p>
    <w:p w14:paraId="12DAA5CC" w14:textId="60228694" w:rsidR="00A434AC" w:rsidRDefault="00000000">
      <w:pPr>
        <w:ind w:firstLine="289"/>
        <w:jc w:val="both"/>
        <w:rPr>
          <w:bCs/>
          <w:iCs/>
          <w:sz w:val="20"/>
          <w:lang w:eastAsia="ru-RU"/>
        </w:rPr>
      </w:pPr>
      <w:r>
        <w:rPr>
          <w:bCs/>
          <w:iCs/>
          <w:sz w:val="20"/>
          <w:lang w:eastAsia="ru-RU"/>
        </w:rPr>
        <w:t xml:space="preserve">The cylindrical specimens were used for uniaxial compression tests. The samples had a diameter-to-height ratio of </w:t>
      </w:r>
      <w:proofErr w:type="gramStart"/>
      <w:r>
        <w:rPr>
          <w:bCs/>
          <w:iCs/>
          <w:sz w:val="20"/>
          <w:lang w:eastAsia="ru-RU"/>
        </w:rPr>
        <w:t>1.The</w:t>
      </w:r>
      <w:proofErr w:type="gramEnd"/>
      <w:r>
        <w:rPr>
          <w:bCs/>
          <w:iCs/>
          <w:sz w:val="20"/>
          <w:lang w:eastAsia="ru-RU"/>
        </w:rPr>
        <w:t xml:space="preserve"> ends of the specimens were ground and polished after being cut from the rod. The specimens before testing are shown </w:t>
      </w:r>
      <w:proofErr w:type="gramStart"/>
      <w:r>
        <w:rPr>
          <w:bCs/>
          <w:iCs/>
          <w:sz w:val="20"/>
          <w:lang w:eastAsia="ru-RU"/>
        </w:rPr>
        <w:t>in</w:t>
      </w:r>
      <w:proofErr w:type="gramEnd"/>
      <w:r>
        <w:rPr>
          <w:bCs/>
          <w:iCs/>
          <w:sz w:val="20"/>
          <w:lang w:eastAsia="ru-RU"/>
        </w:rPr>
        <w:t xml:space="preserve"> Fig.1. </w:t>
      </w:r>
    </w:p>
    <w:p w14:paraId="1EBF6CA7" w14:textId="77777777" w:rsidR="005845DD" w:rsidRDefault="005845DD">
      <w:pPr>
        <w:ind w:firstLine="289"/>
        <w:jc w:val="both"/>
        <w:rPr>
          <w:bCs/>
          <w:iCs/>
          <w:sz w:val="20"/>
          <w:lang w:eastAsia="ru-RU"/>
        </w:rPr>
      </w:pPr>
    </w:p>
    <w:tbl>
      <w:tblPr>
        <w:tblStyle w:val="Tabellenraster"/>
        <w:tblW w:w="9576" w:type="dxa"/>
        <w:tblLayout w:type="fixed"/>
        <w:tblLook w:val="04A0" w:firstRow="1" w:lastRow="0" w:firstColumn="1" w:lastColumn="0" w:noHBand="0" w:noVBand="1"/>
      </w:tblPr>
      <w:tblGrid>
        <w:gridCol w:w="3192"/>
        <w:gridCol w:w="3192"/>
        <w:gridCol w:w="3192"/>
      </w:tblGrid>
      <w:tr w:rsidR="00A434AC" w14:paraId="1BCFFC55" w14:textId="77777777" w:rsidTr="005845DD">
        <w:trPr>
          <w:trHeight w:val="2481"/>
        </w:trPr>
        <w:tc>
          <w:tcPr>
            <w:tcW w:w="3192" w:type="dxa"/>
            <w:tcBorders>
              <w:top w:val="nil"/>
              <w:left w:val="nil"/>
              <w:bottom w:val="nil"/>
              <w:right w:val="nil"/>
            </w:tcBorders>
          </w:tcPr>
          <w:p w14:paraId="6917506F" w14:textId="77777777" w:rsidR="00A434AC" w:rsidRDefault="00000000">
            <w:pPr>
              <w:jc w:val="center"/>
              <w:rPr>
                <w:bCs/>
                <w:iCs/>
                <w:sz w:val="20"/>
                <w:lang w:eastAsia="ru-RU"/>
              </w:rPr>
            </w:pPr>
            <w:r>
              <w:pict w14:anchorId="2195A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4" o:spid="_x0000_s1053" type="#_x0000_t75" style="position:absolute;left:0;text-align:left;margin-left:0;margin-top:0;width:50pt;height:50pt;z-index:251651072;visibility:hidden">
                  <o:lock v:ext="edit" selection="t"/>
                </v:shape>
              </w:pict>
            </w:r>
            <w:r>
              <w:object w:dxaOrig="1128" w:dyaOrig="2160" w14:anchorId="04B6E3D3">
                <v:shape id="ole_rId4" o:spid="_x0000_i1025" type="#_x0000_t75" style="width:56.5pt;height:108pt;visibility:visible;mso-wrap-distance-right:0" o:ole="">
                  <v:imagedata r:id="rId10" o:title=""/>
                </v:shape>
                <o:OLEObject Type="Embed" ProgID="PBrush" ShapeID="ole_rId4" DrawAspect="Content" ObjectID="_1825922784" r:id="rId11"/>
              </w:object>
            </w:r>
          </w:p>
          <w:p w14:paraId="3E759D8C" w14:textId="77777777" w:rsidR="00A434AC" w:rsidRDefault="00000000">
            <w:pPr>
              <w:jc w:val="center"/>
              <w:rPr>
                <w:bCs/>
                <w:iCs/>
                <w:sz w:val="20"/>
                <w:lang w:eastAsia="ru-RU"/>
              </w:rPr>
            </w:pPr>
            <w:r>
              <w:rPr>
                <w:bCs/>
                <w:iCs/>
                <w:sz w:val="20"/>
                <w:lang w:eastAsia="ru-RU"/>
              </w:rPr>
              <w:t>(a)</w:t>
            </w:r>
          </w:p>
        </w:tc>
        <w:tc>
          <w:tcPr>
            <w:tcW w:w="3192" w:type="dxa"/>
            <w:tcBorders>
              <w:top w:val="nil"/>
              <w:left w:val="nil"/>
              <w:bottom w:val="nil"/>
              <w:right w:val="nil"/>
            </w:tcBorders>
          </w:tcPr>
          <w:p w14:paraId="4129DAED" w14:textId="77777777" w:rsidR="00A434AC" w:rsidRDefault="00000000">
            <w:pPr>
              <w:jc w:val="center"/>
              <w:rPr>
                <w:bCs/>
                <w:iCs/>
                <w:sz w:val="20"/>
                <w:lang w:eastAsia="ru-RU"/>
              </w:rPr>
            </w:pPr>
            <w:r>
              <w:pict w14:anchorId="774ED38A">
                <v:shape id="_x0000_tole_rId6" o:spid="_x0000_s1051" type="#_x0000_t75" style="position:absolute;left:0;text-align:left;margin-left:0;margin-top:0;width:50pt;height:50pt;z-index:251652096;visibility:hidden;mso-position-horizontal-relative:text;mso-position-vertical-relative:text">
                  <o:lock v:ext="edit" selection="t"/>
                </v:shape>
              </w:pict>
            </w:r>
            <w:r>
              <w:object w:dxaOrig="1320" w:dyaOrig="2172" w14:anchorId="261656B0">
                <v:shape id="ole_rId6" o:spid="_x0000_i1026" type="#_x0000_t75" style="width:66pt;height:108.5pt;visibility:visible;mso-wrap-distance-right:0" o:ole="">
                  <v:imagedata r:id="rId12" o:title=""/>
                </v:shape>
                <o:OLEObject Type="Embed" ProgID="PBrush" ShapeID="ole_rId6" DrawAspect="Content" ObjectID="_1825922785" r:id="rId13"/>
              </w:object>
            </w:r>
          </w:p>
          <w:p w14:paraId="7DC0927B" w14:textId="77777777" w:rsidR="00A434AC" w:rsidRDefault="00000000">
            <w:pPr>
              <w:jc w:val="center"/>
              <w:rPr>
                <w:bCs/>
                <w:iCs/>
                <w:sz w:val="20"/>
                <w:lang w:eastAsia="ru-RU"/>
              </w:rPr>
            </w:pPr>
            <w:r>
              <w:rPr>
                <w:bCs/>
                <w:iCs/>
                <w:sz w:val="20"/>
                <w:lang w:eastAsia="ru-RU"/>
              </w:rPr>
              <w:t>(b)</w:t>
            </w:r>
          </w:p>
        </w:tc>
        <w:tc>
          <w:tcPr>
            <w:tcW w:w="3192" w:type="dxa"/>
            <w:tcBorders>
              <w:top w:val="nil"/>
              <w:left w:val="nil"/>
              <w:bottom w:val="nil"/>
              <w:right w:val="nil"/>
            </w:tcBorders>
          </w:tcPr>
          <w:p w14:paraId="5FC07776" w14:textId="77777777" w:rsidR="00A434AC" w:rsidRDefault="00000000">
            <w:pPr>
              <w:jc w:val="center"/>
              <w:rPr>
                <w:bCs/>
                <w:iCs/>
                <w:sz w:val="20"/>
                <w:lang w:eastAsia="ru-RU"/>
              </w:rPr>
            </w:pPr>
            <w:r>
              <w:pict w14:anchorId="420853A9">
                <v:shape id="_x0000_tole_rId8" o:spid="_x0000_s1049" type="#_x0000_t75" style="position:absolute;left:0;text-align:left;margin-left:0;margin-top:0;width:50pt;height:50pt;z-index:251653120;visibility:hidden;mso-position-horizontal-relative:text;mso-position-vertical-relative:text">
                  <o:lock v:ext="edit" selection="t"/>
                </v:shape>
              </w:pict>
            </w:r>
            <w:r>
              <w:object w:dxaOrig="1356" w:dyaOrig="2232" w14:anchorId="547E5D4D">
                <v:shape id="ole_rId8" o:spid="_x0000_i1027" type="#_x0000_t75" style="width:68pt;height:111.5pt;visibility:visible;mso-wrap-distance-right:0" o:ole="">
                  <v:imagedata r:id="rId14" o:title=""/>
                </v:shape>
                <o:OLEObject Type="Embed" ProgID="PBrush" ShapeID="ole_rId8" DrawAspect="Content" ObjectID="_1825922786" r:id="rId15"/>
              </w:object>
            </w:r>
          </w:p>
          <w:p w14:paraId="0E56322F" w14:textId="3CCB5902" w:rsidR="00A434AC" w:rsidRDefault="00000000" w:rsidP="005845DD">
            <w:pPr>
              <w:jc w:val="center"/>
              <w:rPr>
                <w:bCs/>
                <w:iCs/>
                <w:sz w:val="20"/>
                <w:lang w:eastAsia="ru-RU"/>
              </w:rPr>
            </w:pPr>
            <w:r>
              <w:rPr>
                <w:bCs/>
                <w:iCs/>
                <w:sz w:val="20"/>
                <w:lang w:eastAsia="ru-RU"/>
              </w:rPr>
              <w:t>(c)</w:t>
            </w:r>
          </w:p>
        </w:tc>
      </w:tr>
    </w:tbl>
    <w:p w14:paraId="151018C1" w14:textId="77777777" w:rsidR="00A434AC" w:rsidRDefault="00000000" w:rsidP="00753EB8">
      <w:pPr>
        <w:pStyle w:val="FigureCaption"/>
        <w:rPr>
          <w:bCs/>
          <w:iCs/>
          <w:lang w:eastAsia="ru-RU"/>
        </w:rPr>
      </w:pPr>
      <w:r>
        <w:rPr>
          <w:b/>
          <w:caps/>
        </w:rPr>
        <w:t>Figure 1.</w:t>
      </w:r>
      <w:r>
        <w:t xml:space="preserve"> Photograph of samples before testing (a) MA2-1, (b) AMg6, (c) AMg3</w:t>
      </w:r>
    </w:p>
    <w:p w14:paraId="25926FB8" w14:textId="77777777" w:rsidR="00A434AC" w:rsidRDefault="00A434AC">
      <w:pPr>
        <w:ind w:firstLine="284"/>
        <w:jc w:val="both"/>
        <w:rPr>
          <w:bCs/>
          <w:iCs/>
          <w:sz w:val="20"/>
          <w:lang w:eastAsia="ru-RU"/>
        </w:rPr>
      </w:pPr>
    </w:p>
    <w:p w14:paraId="7DD4A3E2" w14:textId="77777777" w:rsidR="00A434AC" w:rsidRDefault="00000000">
      <w:pPr>
        <w:ind w:firstLine="289"/>
        <w:jc w:val="both"/>
        <w:rPr>
          <w:bCs/>
          <w:iCs/>
          <w:sz w:val="20"/>
          <w:lang w:eastAsia="ru-RU"/>
        </w:rPr>
      </w:pPr>
      <w:r>
        <w:rPr>
          <w:bCs/>
          <w:iCs/>
          <w:sz w:val="20"/>
          <w:lang w:eastAsia="ru-RU"/>
        </w:rPr>
        <w:t xml:space="preserve">All samples were cut out from cylindrical rolled bars alloys using electrical erosion method. Compression testing of the cylindrical specimens on the VHS 40/50-20 rig yielded data on specimen loading forces and changing of their height over time. The tests were performed in the velocity control mode at the initial values of the compression velocity of 0.002 ± 0.00001, 2 ± 0.01, and 10 ± 0.02 m/s. </w:t>
      </w:r>
    </w:p>
    <w:p w14:paraId="619FFE39" w14:textId="77777777" w:rsidR="00A434AC" w:rsidRDefault="00000000">
      <w:pPr>
        <w:ind w:firstLine="289"/>
        <w:jc w:val="both"/>
        <w:rPr>
          <w:bCs/>
          <w:iCs/>
          <w:sz w:val="20"/>
          <w:lang w:eastAsia="ru-RU"/>
        </w:rPr>
      </w:pPr>
      <w:r>
        <w:rPr>
          <w:bCs/>
          <w:iCs/>
          <w:sz w:val="20"/>
          <w:lang w:eastAsia="ru-RU"/>
        </w:rPr>
        <w:t>Reducing the coefficient of friction between the samples and punch was achieving by IPF ER-3 lubricant (OOO Gazpromneft - lubricant, Moscow, Russia) oil lubricant.</w:t>
      </w:r>
    </w:p>
    <w:p w14:paraId="51E8CAEA" w14:textId="77777777" w:rsidR="00A434AC" w:rsidRDefault="00000000">
      <w:pPr>
        <w:ind w:firstLine="289"/>
        <w:jc w:val="both"/>
        <w:rPr>
          <w:bCs/>
          <w:iCs/>
          <w:sz w:val="20"/>
          <w:lang w:eastAsia="ru-RU"/>
        </w:rPr>
      </w:pPr>
      <w:r>
        <w:rPr>
          <w:bCs/>
          <w:iCs/>
          <w:sz w:val="20"/>
          <w:lang w:eastAsia="ru-RU"/>
        </w:rPr>
        <w:t xml:space="preserve">The initial temperature of the sample was measured using an ADA TemPro 900 infrared pyrometer with a response time of 0.5 s and an accuracy of 1.5 K. </w:t>
      </w:r>
    </w:p>
    <w:p w14:paraId="6ABD56A9" w14:textId="77777777" w:rsidR="00A434AC" w:rsidRDefault="00000000">
      <w:pPr>
        <w:ind w:firstLine="289"/>
        <w:jc w:val="both"/>
        <w:rPr>
          <w:bCs/>
          <w:iCs/>
          <w:sz w:val="20"/>
          <w:lang w:eastAsia="ru-RU"/>
        </w:rPr>
      </w:pPr>
      <w:r>
        <w:rPr>
          <w:bCs/>
          <w:iCs/>
          <w:sz w:val="20"/>
          <w:lang w:eastAsia="ru-RU"/>
        </w:rPr>
        <w:t>Samples for compression tests were made from round rolled products of industrial alloys AMg3, AMg6, MA-2. AMg3 (Al 1530), AMg6 (Al 1560) polycrystalline aluminum alloys were manufacturing accordingly of GOST 4784–97.</w:t>
      </w:r>
    </w:p>
    <w:p w14:paraId="7CB2818F" w14:textId="77777777" w:rsidR="00A434AC" w:rsidRDefault="00000000">
      <w:pPr>
        <w:ind w:firstLine="289"/>
        <w:jc w:val="both"/>
        <w:rPr>
          <w:bCs/>
          <w:iCs/>
          <w:sz w:val="20"/>
          <w:lang w:eastAsia="ru-RU"/>
        </w:rPr>
      </w:pPr>
      <w:r>
        <w:rPr>
          <w:bCs/>
          <w:iCs/>
          <w:sz w:val="20"/>
          <w:lang w:eastAsia="ru-RU"/>
        </w:rPr>
        <w:t>The AMg3 had a chemical composition in wt. %: 3.42 % Mg, 0.06 % Mn, 0.4 % Fe, 0.31 % Si, 0.05 % Cu, 0.203% Zn, 0.0843 %Ti, 0,086 % Cu, Al is the balance.</w:t>
      </w:r>
    </w:p>
    <w:p w14:paraId="672147ED" w14:textId="77777777" w:rsidR="00A434AC" w:rsidRDefault="00000000">
      <w:pPr>
        <w:ind w:firstLine="289"/>
        <w:jc w:val="both"/>
        <w:rPr>
          <w:bCs/>
          <w:iCs/>
          <w:sz w:val="20"/>
          <w:lang w:eastAsia="ru-RU"/>
        </w:rPr>
      </w:pPr>
      <w:r>
        <w:rPr>
          <w:bCs/>
          <w:iCs/>
          <w:sz w:val="20"/>
          <w:lang w:eastAsia="ru-RU"/>
        </w:rPr>
        <w:t>The AMg6 had a chemical composition in wt. %: 6,124 % Mg, 5.977 % Mn, 0,351 % Fe, 0,610 % Si, 0,183 % Zn, 0,083 % Ti, 0.076 % Cu, Al is the balance.</w:t>
      </w:r>
    </w:p>
    <w:p w14:paraId="02D14E68" w14:textId="77777777" w:rsidR="00A434AC" w:rsidRDefault="00000000">
      <w:pPr>
        <w:ind w:firstLine="289"/>
        <w:jc w:val="both"/>
        <w:rPr>
          <w:bCs/>
          <w:iCs/>
          <w:sz w:val="20"/>
          <w:lang w:eastAsia="ru-RU"/>
        </w:rPr>
      </w:pPr>
      <w:r>
        <w:rPr>
          <w:bCs/>
          <w:iCs/>
          <w:sz w:val="20"/>
          <w:lang w:eastAsia="ru-RU"/>
        </w:rPr>
        <w:t>The MA2-1 alloy had a chemical composition in wt. %: 93.7% Mg, 4.36% Al, 1.34% Zn and 0.39% Mn, and a mass density of 1.79 ± 0.02 g/cm</w:t>
      </w:r>
      <w:r>
        <w:rPr>
          <w:bCs/>
          <w:iCs/>
          <w:sz w:val="20"/>
          <w:vertAlign w:val="superscript"/>
          <w:lang w:eastAsia="ru-RU"/>
        </w:rPr>
        <w:t>3</w:t>
      </w:r>
      <w:r>
        <w:rPr>
          <w:bCs/>
          <w:iCs/>
          <w:sz w:val="20"/>
          <w:lang w:eastAsia="ru-RU"/>
        </w:rPr>
        <w:t>. The alloy was in a polycrystalline state with an average grain size of ~ 40 μm.</w:t>
      </w:r>
    </w:p>
    <w:p w14:paraId="32B99033" w14:textId="77777777" w:rsidR="00A434AC" w:rsidRDefault="00000000">
      <w:pPr>
        <w:ind w:firstLine="289"/>
        <w:jc w:val="both"/>
        <w:rPr>
          <w:bCs/>
          <w:iCs/>
          <w:sz w:val="20"/>
          <w:lang w:eastAsia="ru-RU"/>
        </w:rPr>
      </w:pPr>
      <w:r>
        <w:rPr>
          <w:bCs/>
          <w:iCs/>
          <w:sz w:val="20"/>
          <w:lang w:eastAsia="ru-RU"/>
        </w:rPr>
        <w:t xml:space="preserve">At the room temperature AMg3 alloy has the yield strength </w:t>
      </w:r>
      <w:r>
        <w:rPr>
          <w:bCs/>
          <w:i/>
          <w:iCs/>
          <w:sz w:val="20"/>
          <w:lang w:eastAsia="ru-RU"/>
        </w:rPr>
        <w:t>σ</w:t>
      </w:r>
      <w:r>
        <w:rPr>
          <w:bCs/>
          <w:iCs/>
          <w:sz w:val="20"/>
          <w:vertAlign w:val="subscript"/>
          <w:lang w:eastAsia="ru-RU"/>
        </w:rPr>
        <w:t>0.2</w:t>
      </w:r>
      <w:r>
        <w:rPr>
          <w:bCs/>
          <w:iCs/>
          <w:sz w:val="20"/>
          <w:lang w:eastAsia="ru-RU"/>
        </w:rPr>
        <w:t xml:space="preserve"> of ~80 MPa and the uniaxial tensile strength </w:t>
      </w:r>
      <w:r>
        <w:rPr>
          <w:bCs/>
          <w:i/>
          <w:iCs/>
          <w:sz w:val="20"/>
          <w:lang w:eastAsia="ru-RU"/>
        </w:rPr>
        <w:t>σ</w:t>
      </w:r>
      <w:r>
        <w:rPr>
          <w:bCs/>
          <w:iCs/>
          <w:sz w:val="20"/>
          <w:vertAlign w:val="subscript"/>
          <w:lang w:eastAsia="ru-RU"/>
        </w:rPr>
        <w:t>UTS</w:t>
      </w:r>
      <w:r>
        <w:rPr>
          <w:bCs/>
          <w:iCs/>
          <w:sz w:val="20"/>
          <w:lang w:eastAsia="ru-RU"/>
        </w:rPr>
        <w:t xml:space="preserve"> of 175 MPa under quasi static tension. The Young's modulus E is 71 GPa, the shear modulus is 26.69 GPa, and Poisson's ratio is ν = 0.33, specific heat capacity C</w:t>
      </w:r>
      <w:r>
        <w:rPr>
          <w:bCs/>
          <w:iCs/>
          <w:sz w:val="20"/>
          <w:vertAlign w:val="subscript"/>
          <w:lang w:eastAsia="ru-RU"/>
        </w:rPr>
        <w:t>p</w:t>
      </w:r>
      <w:r>
        <w:rPr>
          <w:bCs/>
          <w:iCs/>
          <w:sz w:val="20"/>
          <w:lang w:eastAsia="ru-RU"/>
        </w:rPr>
        <w:t>= 880 J/(kg•K), Taylor-Quinney coefficient β ≈ 0.9.</w:t>
      </w:r>
    </w:p>
    <w:p w14:paraId="13DDB2A6" w14:textId="77777777" w:rsidR="00A434AC" w:rsidRDefault="00000000">
      <w:pPr>
        <w:ind w:firstLine="289"/>
        <w:jc w:val="both"/>
        <w:rPr>
          <w:bCs/>
          <w:iCs/>
          <w:sz w:val="20"/>
          <w:lang w:eastAsia="ru-RU"/>
        </w:rPr>
      </w:pPr>
      <w:r>
        <w:rPr>
          <w:bCs/>
          <w:iCs/>
          <w:sz w:val="20"/>
          <w:lang w:eastAsia="ru-RU"/>
        </w:rPr>
        <w:t>At the room temperature AMg6 alloy has the yield strength of ~190 MPa and a tensile strength of 355 MPa. The Young's modulus is 71 GPa, the shear modulus is 26.7 GPa, and Poisson's ratio is</w:t>
      </w:r>
      <w:r>
        <w:rPr>
          <w:bCs/>
          <w:i/>
          <w:iCs/>
          <w:sz w:val="20"/>
          <w:lang w:eastAsia="ru-RU"/>
        </w:rPr>
        <w:t xml:space="preserve"> ν</w:t>
      </w:r>
      <w:r>
        <w:rPr>
          <w:bCs/>
          <w:iCs/>
          <w:sz w:val="20"/>
          <w:lang w:eastAsia="ru-RU"/>
        </w:rPr>
        <w:t xml:space="preserve"> = 0.33, specific heat capacity C</w:t>
      </w:r>
      <w:r>
        <w:rPr>
          <w:bCs/>
          <w:iCs/>
          <w:sz w:val="20"/>
          <w:vertAlign w:val="subscript"/>
          <w:lang w:eastAsia="ru-RU"/>
        </w:rPr>
        <w:t>p</w:t>
      </w:r>
      <w:r>
        <w:rPr>
          <w:bCs/>
          <w:iCs/>
          <w:sz w:val="20"/>
          <w:lang w:eastAsia="ru-RU"/>
        </w:rPr>
        <w:t xml:space="preserve">= 992 J/(kg•K), Taylor-Quinney coefficient </w:t>
      </w:r>
      <w:r>
        <w:rPr>
          <w:bCs/>
          <w:i/>
          <w:iCs/>
          <w:sz w:val="20"/>
          <w:lang w:eastAsia="ru-RU"/>
        </w:rPr>
        <w:t>β</w:t>
      </w:r>
      <w:r>
        <w:rPr>
          <w:bCs/>
          <w:iCs/>
          <w:sz w:val="20"/>
          <w:lang w:eastAsia="ru-RU"/>
        </w:rPr>
        <w:t xml:space="preserve"> ≈ 0.9.</w:t>
      </w:r>
    </w:p>
    <w:p w14:paraId="3B1B44AD" w14:textId="77777777" w:rsidR="00A434AC" w:rsidRDefault="00000000">
      <w:pPr>
        <w:ind w:firstLine="289"/>
        <w:jc w:val="both"/>
        <w:rPr>
          <w:bCs/>
          <w:iCs/>
          <w:sz w:val="20"/>
          <w:lang w:eastAsia="ru-RU"/>
        </w:rPr>
      </w:pPr>
      <w:r>
        <w:rPr>
          <w:bCs/>
          <w:iCs/>
          <w:sz w:val="20"/>
          <w:lang w:eastAsia="ru-RU"/>
        </w:rPr>
        <w:t>Industrial rolled polycrystalline MA2-1 alloy have the chemical composition (wt. %): 93.7 % Mg, 4.36 % Al, 1.34 % Zn and 0.39 % Mn, and the average grain size was equal to 80 ± 10 μm.</w:t>
      </w:r>
    </w:p>
    <w:p w14:paraId="2026676F" w14:textId="77777777" w:rsidR="00A434AC" w:rsidRDefault="00000000">
      <w:pPr>
        <w:ind w:firstLine="289"/>
        <w:jc w:val="both"/>
        <w:rPr>
          <w:bCs/>
          <w:iCs/>
          <w:sz w:val="20"/>
          <w:lang w:eastAsia="ru-RU"/>
        </w:rPr>
      </w:pPr>
      <w:r>
        <w:rPr>
          <w:bCs/>
          <w:iCs/>
          <w:sz w:val="20"/>
          <w:lang w:eastAsia="ru-RU"/>
        </w:rPr>
        <w:lastRenderedPageBreak/>
        <w:t>The mass density of MA2-1 alloy was 1.79 g/cm</w:t>
      </w:r>
      <w:r>
        <w:rPr>
          <w:bCs/>
          <w:iCs/>
          <w:sz w:val="20"/>
          <w:vertAlign w:val="superscript"/>
          <w:lang w:eastAsia="ru-RU"/>
        </w:rPr>
        <w:t>3</w:t>
      </w:r>
      <w:r>
        <w:rPr>
          <w:bCs/>
          <w:iCs/>
          <w:sz w:val="20"/>
          <w:lang w:eastAsia="ru-RU"/>
        </w:rPr>
        <w:t xml:space="preserve"> under quasi-static loads at a temperature of 295 K, the alloy with an average grain size of 40 μm had the yield strength of </w:t>
      </w:r>
      <w:r>
        <w:rPr>
          <w:bCs/>
          <w:i/>
          <w:iCs/>
          <w:sz w:val="20"/>
          <w:lang w:eastAsia="ru-RU"/>
        </w:rPr>
        <w:t>σ</w:t>
      </w:r>
      <w:r>
        <w:rPr>
          <w:bCs/>
          <w:iCs/>
          <w:sz w:val="20"/>
          <w:vertAlign w:val="subscript"/>
          <w:lang w:eastAsia="ru-RU"/>
        </w:rPr>
        <w:t>0.2</w:t>
      </w:r>
      <w:r>
        <w:rPr>
          <w:bCs/>
          <w:iCs/>
          <w:sz w:val="20"/>
          <w:lang w:eastAsia="ru-RU"/>
        </w:rPr>
        <w:t xml:space="preserve"> = 150 MPa, tensile strength </w:t>
      </w:r>
      <w:r>
        <w:rPr>
          <w:bCs/>
          <w:i/>
          <w:iCs/>
          <w:sz w:val="20"/>
          <w:lang w:eastAsia="ru-RU"/>
        </w:rPr>
        <w:t>σ</w:t>
      </w:r>
      <w:r>
        <w:rPr>
          <w:bCs/>
          <w:iCs/>
          <w:sz w:val="20"/>
          <w:vertAlign w:val="subscript"/>
          <w:lang w:eastAsia="ru-RU"/>
        </w:rPr>
        <w:t>UTS</w:t>
      </w:r>
      <w:r>
        <w:rPr>
          <w:bCs/>
          <w:iCs/>
          <w:sz w:val="20"/>
          <w:lang w:eastAsia="ru-RU"/>
        </w:rPr>
        <w:t xml:space="preserve"> = 260–280 MPa, elongation before failure δ ~ 5…12%.</w:t>
      </w:r>
    </w:p>
    <w:p w14:paraId="7C5AC4D8" w14:textId="77777777" w:rsidR="00A434AC" w:rsidRPr="00AC06D3" w:rsidRDefault="00000000">
      <w:pPr>
        <w:ind w:firstLine="289"/>
        <w:jc w:val="both"/>
        <w:rPr>
          <w:bCs/>
          <w:iCs/>
          <w:sz w:val="20"/>
          <w:lang w:eastAsia="ru-RU"/>
        </w:rPr>
      </w:pPr>
      <w:r>
        <w:rPr>
          <w:bCs/>
          <w:iCs/>
          <w:sz w:val="20"/>
          <w:lang w:eastAsia="ru-RU"/>
        </w:rPr>
        <w:t xml:space="preserve">At the room temperature MA2-1 alloy have the shear modulus µ = 16.5 GPa, the Young's modulus E = 44.55 GPa, the Poisson's ratio υ = 0.35, the quasi static yield strength </w:t>
      </w:r>
      <w:r>
        <w:rPr>
          <w:bCs/>
          <w:i/>
          <w:iCs/>
          <w:sz w:val="20"/>
          <w:lang w:eastAsia="ru-RU"/>
        </w:rPr>
        <w:t>σ</w:t>
      </w:r>
      <w:r>
        <w:rPr>
          <w:bCs/>
          <w:iCs/>
          <w:sz w:val="20"/>
          <w:vertAlign w:val="subscript"/>
          <w:lang w:eastAsia="ru-RU"/>
        </w:rPr>
        <w:t>0.2</w:t>
      </w:r>
      <w:r>
        <w:rPr>
          <w:bCs/>
          <w:iCs/>
          <w:sz w:val="20"/>
          <w:lang w:eastAsia="ru-RU"/>
        </w:rPr>
        <w:t xml:space="preserve"> = 150 ±5 MPa, the tensile strength </w:t>
      </w:r>
      <w:r>
        <w:rPr>
          <w:bCs/>
          <w:i/>
          <w:iCs/>
          <w:sz w:val="20"/>
          <w:lang w:eastAsia="ru-RU"/>
        </w:rPr>
        <w:t>σ</w:t>
      </w:r>
      <w:r>
        <w:rPr>
          <w:bCs/>
          <w:iCs/>
          <w:sz w:val="20"/>
          <w:vertAlign w:val="subscript"/>
          <w:lang w:eastAsia="ru-RU"/>
        </w:rPr>
        <w:t>UTS</w:t>
      </w:r>
      <w:r>
        <w:rPr>
          <w:bCs/>
          <w:iCs/>
          <w:sz w:val="20"/>
          <w:lang w:eastAsia="ru-RU"/>
        </w:rPr>
        <w:t xml:space="preserve"> = 250±10 MPa, the linear thermal expansion coefficient 26•10</w:t>
      </w:r>
      <w:r>
        <w:rPr>
          <w:bCs/>
          <w:iCs/>
          <w:sz w:val="20"/>
          <w:vertAlign w:val="superscript"/>
          <w:lang w:eastAsia="ru-RU"/>
        </w:rPr>
        <w:t>-6</w:t>
      </w:r>
      <w:r>
        <w:rPr>
          <w:bCs/>
          <w:iCs/>
          <w:sz w:val="20"/>
          <w:lang w:eastAsia="ru-RU"/>
        </w:rPr>
        <w:t xml:space="preserve"> K</w:t>
      </w:r>
      <w:r>
        <w:rPr>
          <w:bCs/>
          <w:iCs/>
          <w:sz w:val="20"/>
          <w:vertAlign w:val="superscript"/>
          <w:lang w:eastAsia="ru-RU"/>
        </w:rPr>
        <w:t>-1</w:t>
      </w:r>
      <w:r>
        <w:rPr>
          <w:bCs/>
          <w:iCs/>
          <w:sz w:val="20"/>
          <w:lang w:eastAsia="ru-RU"/>
        </w:rPr>
        <w:t>, specific heat capacity C</w:t>
      </w:r>
      <w:r>
        <w:rPr>
          <w:bCs/>
          <w:iCs/>
          <w:sz w:val="20"/>
          <w:vertAlign w:val="subscript"/>
          <w:lang w:eastAsia="ru-RU"/>
        </w:rPr>
        <w:t>p</w:t>
      </w:r>
      <w:r>
        <w:rPr>
          <w:bCs/>
          <w:iCs/>
          <w:sz w:val="20"/>
          <w:lang w:eastAsia="ru-RU"/>
        </w:rPr>
        <w:t xml:space="preserve">= 1088.5 J/(kg•K), and Taylor-Quinney coefficient </w:t>
      </w:r>
      <w:r>
        <w:rPr>
          <w:bCs/>
          <w:i/>
          <w:iCs/>
          <w:sz w:val="20"/>
          <w:lang w:eastAsia="ru-RU"/>
        </w:rPr>
        <w:t>β</w:t>
      </w:r>
      <w:r>
        <w:rPr>
          <w:bCs/>
          <w:iCs/>
          <w:sz w:val="20"/>
          <w:lang w:eastAsia="ru-RU"/>
        </w:rPr>
        <w:t xml:space="preserve"> ≈ 0.4…0.6 [9].</w:t>
      </w:r>
    </w:p>
    <w:p w14:paraId="413E8329" w14:textId="77777777" w:rsidR="00A434AC" w:rsidRDefault="00000000">
      <w:pPr>
        <w:ind w:firstLine="289"/>
        <w:jc w:val="both"/>
        <w:rPr>
          <w:bCs/>
          <w:iCs/>
          <w:sz w:val="20"/>
          <w:lang w:eastAsia="ru-RU"/>
        </w:rPr>
      </w:pPr>
      <w:r>
        <w:rPr>
          <w:bCs/>
          <w:iCs/>
          <w:sz w:val="20"/>
          <w:lang w:eastAsia="ru-RU"/>
        </w:rPr>
        <w:t>It should be noted that the melting temperatures T</w:t>
      </w:r>
      <w:r>
        <w:rPr>
          <w:bCs/>
          <w:iCs/>
          <w:sz w:val="20"/>
          <w:vertAlign w:val="subscript"/>
          <w:lang w:eastAsia="ru-RU"/>
        </w:rPr>
        <w:t>m</w:t>
      </w:r>
      <w:r>
        <w:rPr>
          <w:bCs/>
          <w:iCs/>
          <w:sz w:val="20"/>
          <w:lang w:eastAsia="ru-RU"/>
        </w:rPr>
        <w:t xml:space="preserve"> of AMg3 (858 K…928 K), AMg6 (883 K …923 K) and MA2-1 (903 K…923 K) alloys are close. Therefore, the homologous temperature T/T</w:t>
      </w:r>
      <w:r>
        <w:rPr>
          <w:bCs/>
          <w:iCs/>
          <w:sz w:val="20"/>
          <w:vertAlign w:val="subscript"/>
          <w:lang w:eastAsia="ru-RU"/>
        </w:rPr>
        <w:t>m</w:t>
      </w:r>
      <w:r>
        <w:rPr>
          <w:bCs/>
          <w:iCs/>
          <w:sz w:val="20"/>
          <w:lang w:eastAsia="ru-RU"/>
        </w:rPr>
        <w:t xml:space="preserve"> corresponding to room temperature, is approximately the same for all the alloys studied in this work </w:t>
      </w:r>
      <w:proofErr w:type="gramStart"/>
      <w:r>
        <w:rPr>
          <w:bCs/>
          <w:iCs/>
          <w:sz w:val="20"/>
          <w:lang w:eastAsia="ru-RU"/>
        </w:rPr>
        <w:t>tests</w:t>
      </w:r>
      <w:proofErr w:type="gramEnd"/>
      <w:r>
        <w:rPr>
          <w:bCs/>
          <w:iCs/>
          <w:sz w:val="20"/>
          <w:lang w:eastAsia="ru-RU"/>
        </w:rPr>
        <w:t>.</w:t>
      </w:r>
    </w:p>
    <w:p w14:paraId="163A9CEE" w14:textId="77777777" w:rsidR="00A434AC" w:rsidRDefault="00000000" w:rsidP="005845DD">
      <w:pPr>
        <w:pStyle w:val="Paragraph"/>
        <w:rPr>
          <w:bCs/>
          <w:iCs/>
          <w:lang w:eastAsia="ru-RU"/>
        </w:rPr>
      </w:pPr>
      <w:r>
        <w:t>The tensile force and displacement of specimens were recorded at high temporal resolution up to complete</w:t>
      </w:r>
      <w:r>
        <w:br/>
        <w:t xml:space="preserve">fracture of the specimen using the VHS 40/50‐20. True stress versus true strain curves were determined using obtained tensile force and displacement of alloys specimens under tension and compression </w:t>
      </w:r>
      <w:proofErr w:type="gramStart"/>
      <w:r>
        <w:t>tests in</w:t>
      </w:r>
      <w:proofErr w:type="gramEnd"/>
      <w:r>
        <w:t xml:space="preserve"> in accordance </w:t>
      </w:r>
      <w:proofErr w:type="gramStart"/>
      <w:r>
        <w:t>of</w:t>
      </w:r>
      <w:proofErr w:type="gramEnd"/>
      <w:r>
        <w:t xml:space="preserve"> standards ISO 26203-2-2011, ASTM E8/E8M and recommendation of [10].</w:t>
      </w:r>
    </w:p>
    <w:p w14:paraId="61A3128D" w14:textId="77777777" w:rsidR="00A434AC" w:rsidRDefault="00000000">
      <w:pPr>
        <w:pStyle w:val="berschrift1"/>
      </w:pPr>
      <w:r>
        <w:t>D</w:t>
      </w:r>
      <w:r w:rsidRPr="005A5CF5">
        <w:t>eformation Instability Criterion for Light Alloys under Dynamic Compression</w:t>
      </w:r>
    </w:p>
    <w:p w14:paraId="480B9EFD" w14:textId="77777777" w:rsidR="00A434AC" w:rsidRDefault="00000000">
      <w:pPr>
        <w:ind w:firstLine="289"/>
        <w:jc w:val="both"/>
        <w:rPr>
          <w:bCs/>
          <w:iCs/>
          <w:sz w:val="20"/>
          <w:lang w:eastAsia="ru-RU"/>
        </w:rPr>
      </w:pPr>
      <w:r>
        <w:rPr>
          <w:bCs/>
          <w:iCs/>
          <w:sz w:val="20"/>
          <w:lang w:eastAsia="ru-RU"/>
        </w:rPr>
        <w:t>The Considere criterion [11] was used as a criterion for the origin of plastic deformation instability leading to the formation of macro localization bands</w:t>
      </w:r>
    </w:p>
    <w:p w14:paraId="0A37F49C" w14:textId="77777777" w:rsidR="00A434AC" w:rsidRDefault="00000000">
      <w:pPr>
        <w:pStyle w:val="Equation"/>
      </w:pPr>
      <w:r>
        <w:tab/>
      </w:r>
      <m:oMath>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s</m:t>
                </m:r>
              </m:sub>
            </m:sSub>
          </m:num>
          <m:den>
            <m:r>
              <w:rPr>
                <w:rFonts w:ascii="Cambria Math" w:hAnsi="Cambria Math"/>
              </w:rPr>
              <m:t>∂</m:t>
            </m:r>
            <m:sSubSup>
              <m:sSubSupPr>
                <m:ctrlPr>
                  <w:rPr>
                    <w:rFonts w:ascii="Cambria Math" w:hAnsi="Cambria Math"/>
                  </w:rPr>
                </m:ctrlPr>
              </m:sSubSupPr>
              <m:e>
                <m:r>
                  <w:rPr>
                    <w:rFonts w:ascii="Cambria Math" w:hAnsi="Cambria Math"/>
                  </w:rPr>
                  <m:t>ε</m:t>
                </m:r>
              </m:e>
              <m:sub>
                <m:r>
                  <m:rPr>
                    <m:lit/>
                    <m:nor/>
                  </m:rPr>
                  <w:rPr>
                    <w:rFonts w:ascii="Cambria Math" w:hAnsi="Cambria Math"/>
                  </w:rPr>
                  <m:t>eq</m:t>
                </m:r>
              </m:sub>
              <m:sup>
                <m:r>
                  <w:rPr>
                    <w:rFonts w:ascii="Cambria Math" w:hAnsi="Cambria Math"/>
                  </w:rPr>
                  <m:t>p</m:t>
                </m:r>
              </m:sup>
            </m:sSubSup>
          </m:den>
        </m:f>
        <m:r>
          <w:rPr>
            <w:rFonts w:ascii="Cambria Math" w:hAnsi="Cambria Math"/>
          </w:rPr>
          <m:t xml:space="preserve"> +</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s</m:t>
                </m:r>
              </m:sub>
            </m:sSub>
          </m:num>
          <m:den>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ε</m:t>
                    </m:r>
                  </m:e>
                </m:acc>
              </m:e>
              <m:sub>
                <m:r>
                  <m:rPr>
                    <m:lit/>
                    <m:nor/>
                  </m:rPr>
                  <w:rPr>
                    <w:rFonts w:ascii="Cambria Math" w:hAnsi="Cambria Math"/>
                  </w:rPr>
                  <m:t>eq</m:t>
                </m:r>
              </m:sub>
              <m:sup>
                <m:r>
                  <w:rPr>
                    <w:rFonts w:ascii="Cambria Math" w:hAnsi="Cambria Math"/>
                  </w:rPr>
                  <m:t>p</m:t>
                </m:r>
              </m:sup>
            </m:sSubSup>
          </m:den>
        </m:f>
        <m:f>
          <m:fPr>
            <m:ctrlPr>
              <w:rPr>
                <w:rFonts w:ascii="Cambria Math" w:hAnsi="Cambria Math"/>
              </w:rPr>
            </m:ctrlPr>
          </m:fPr>
          <m:num>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ε</m:t>
                    </m:r>
                  </m:e>
                </m:acc>
              </m:e>
              <m:sub>
                <m:r>
                  <m:rPr>
                    <m:lit/>
                    <m:nor/>
                  </m:rPr>
                  <w:rPr>
                    <w:rFonts w:ascii="Cambria Math" w:hAnsi="Cambria Math"/>
                  </w:rPr>
                  <m:t>eq</m:t>
                </m:r>
              </m:sub>
              <m:sup>
                <m:r>
                  <w:rPr>
                    <w:rFonts w:ascii="Cambria Math" w:hAnsi="Cambria Math"/>
                  </w:rPr>
                  <m:t>p</m:t>
                </m:r>
              </m:sup>
            </m:sSubSup>
          </m:num>
          <m:den>
            <m:r>
              <w:rPr>
                <w:rFonts w:ascii="Cambria Math" w:hAnsi="Cambria Math"/>
              </w:rPr>
              <m:t>∂</m:t>
            </m:r>
            <m:sSubSup>
              <m:sSubSupPr>
                <m:ctrlPr>
                  <w:rPr>
                    <w:rFonts w:ascii="Cambria Math" w:hAnsi="Cambria Math"/>
                  </w:rPr>
                </m:ctrlPr>
              </m:sSubSupPr>
              <m:e>
                <m:r>
                  <w:rPr>
                    <w:rFonts w:ascii="Cambria Math" w:hAnsi="Cambria Math"/>
                  </w:rPr>
                  <m:t>ε</m:t>
                </m:r>
              </m:e>
              <m:sub>
                <m:r>
                  <m:rPr>
                    <m:lit/>
                    <m:nor/>
                  </m:rPr>
                  <w:rPr>
                    <w:rFonts w:ascii="Cambria Math" w:hAnsi="Cambria Math"/>
                  </w:rPr>
                  <m:t>eq</m:t>
                </m:r>
              </m:sub>
              <m:sup>
                <m:r>
                  <w:rPr>
                    <w:rFonts w:ascii="Cambria Math" w:hAnsi="Cambria Math"/>
                  </w:rPr>
                  <m:t>p</m:t>
                </m:r>
              </m:sup>
            </m:sSubSup>
          </m:den>
        </m:f>
        <m:r>
          <w:rPr>
            <w:rFonts w:ascii="Cambria Math" w:hAnsi="Cambria Math"/>
          </w:rPr>
          <m:t xml:space="preserve"> + </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s</m:t>
                </m:r>
              </m:sub>
            </m:sSub>
          </m:num>
          <m:den>
            <m:r>
              <w:rPr>
                <w:rFonts w:ascii="Cambria Math" w:hAnsi="Cambria Math"/>
              </w:rPr>
              <m:t>∂T</m:t>
            </m:r>
          </m:den>
        </m:f>
        <m:f>
          <m:fPr>
            <m:ctrlPr>
              <w:rPr>
                <w:rFonts w:ascii="Cambria Math" w:hAnsi="Cambria Math"/>
              </w:rPr>
            </m:ctrlPr>
          </m:fPr>
          <m:num>
            <m:r>
              <w:rPr>
                <w:rFonts w:ascii="Cambria Math" w:hAnsi="Cambria Math"/>
              </w:rPr>
              <m:t>∂T</m:t>
            </m:r>
          </m:num>
          <m:den>
            <m:r>
              <w:rPr>
                <w:rFonts w:ascii="Cambria Math" w:hAnsi="Cambria Math"/>
              </w:rPr>
              <m:t>∂</m:t>
            </m:r>
            <m:sSubSup>
              <m:sSubSupPr>
                <m:ctrlPr>
                  <w:rPr>
                    <w:rFonts w:ascii="Cambria Math" w:hAnsi="Cambria Math"/>
                  </w:rPr>
                </m:ctrlPr>
              </m:sSubSupPr>
              <m:e>
                <m:r>
                  <w:rPr>
                    <w:rFonts w:ascii="Cambria Math" w:hAnsi="Cambria Math"/>
                  </w:rPr>
                  <m:t>ε</m:t>
                </m:r>
              </m:e>
              <m:sub>
                <m:r>
                  <m:rPr>
                    <m:lit/>
                    <m:nor/>
                  </m:rPr>
                  <w:rPr>
                    <w:rFonts w:ascii="Cambria Math" w:hAnsi="Cambria Math"/>
                  </w:rPr>
                  <m:t>eq</m:t>
                </m:r>
              </m:sub>
              <m:sup>
                <m:r>
                  <w:rPr>
                    <w:rFonts w:ascii="Cambria Math" w:hAnsi="Cambria Math"/>
                  </w:rPr>
                  <m:t>p</m:t>
                </m:r>
              </m:sup>
            </m:sSubSup>
          </m:den>
        </m:f>
        <m:r>
          <w:rPr>
            <w:rFonts w:ascii="Cambria Math" w:hAnsi="Cambria Math"/>
          </w:rPr>
          <m:t xml:space="preserve"> +</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s</m:t>
                </m:r>
              </m:sub>
            </m:sSub>
          </m:num>
          <m:den>
            <m:r>
              <w:rPr>
                <w:rFonts w:ascii="Cambria Math" w:hAnsi="Cambria Math"/>
              </w:rPr>
              <m:t>∂ g*</m:t>
            </m:r>
          </m:den>
        </m:f>
        <m:r>
          <w:rPr>
            <w:rFonts w:ascii="Cambria Math" w:hAnsi="Cambria Math"/>
          </w:rPr>
          <m:t>∂</m:t>
        </m:r>
        <m:f>
          <m:fPr>
            <m:ctrlPr>
              <w:rPr>
                <w:rFonts w:ascii="Cambria Math" w:hAnsi="Cambria Math"/>
              </w:rPr>
            </m:ctrlPr>
          </m:fPr>
          <m:num>
            <m:r>
              <w:rPr>
                <w:rFonts w:ascii="Cambria Math" w:hAnsi="Cambria Math"/>
              </w:rPr>
              <m:t>g*</m:t>
            </m:r>
          </m:num>
          <m:den>
            <m:r>
              <w:rPr>
                <w:rFonts w:ascii="Cambria Math" w:hAnsi="Cambria Math"/>
              </w:rPr>
              <m:t>∂</m:t>
            </m:r>
            <m:sSubSup>
              <m:sSubSupPr>
                <m:ctrlPr>
                  <w:rPr>
                    <w:rFonts w:ascii="Cambria Math" w:hAnsi="Cambria Math"/>
                  </w:rPr>
                </m:ctrlPr>
              </m:sSubSupPr>
              <m:e>
                <m:r>
                  <w:rPr>
                    <w:rFonts w:ascii="Cambria Math" w:hAnsi="Cambria Math"/>
                  </w:rPr>
                  <m:t>ε</m:t>
                </m:r>
              </m:e>
              <m:sub>
                <m:r>
                  <m:rPr>
                    <m:lit/>
                    <m:nor/>
                  </m:rPr>
                  <w:rPr>
                    <w:rFonts w:ascii="Cambria Math" w:hAnsi="Cambria Math"/>
                  </w:rPr>
                  <m:t>eq</m:t>
                </m:r>
              </m:sub>
              <m:sup>
                <m:r>
                  <w:rPr>
                    <w:rFonts w:ascii="Cambria Math" w:hAnsi="Cambria Math"/>
                  </w:rPr>
                  <m:t>p</m:t>
                </m:r>
              </m:sup>
            </m:sSubSup>
          </m:den>
        </m:f>
        <m:r>
          <w:rPr>
            <w:rFonts w:ascii="Cambria Math" w:hAnsi="Cambria Math"/>
          </w:rPr>
          <m:t xml:space="preserve"> =</m:t>
        </m:r>
        <m:sSub>
          <m:sSubPr>
            <m:ctrlPr>
              <w:rPr>
                <w:rFonts w:ascii="Cambria Math" w:hAnsi="Cambria Math"/>
              </w:rPr>
            </m:ctrlPr>
          </m:sSubPr>
          <m:e>
            <m:r>
              <w:rPr>
                <w:rFonts w:ascii="Cambria Math" w:hAnsi="Cambria Math"/>
              </w:rPr>
              <m:t>σ</m:t>
            </m:r>
          </m:e>
          <m:sub>
            <m:r>
              <w:rPr>
                <w:rFonts w:ascii="Cambria Math" w:hAnsi="Cambria Math"/>
              </w:rPr>
              <m:t>s</m:t>
            </m:r>
          </m:sub>
        </m:sSub>
      </m:oMath>
      <w:r>
        <w:tab/>
        <w:t>(1)</w:t>
      </w:r>
    </w:p>
    <w:p w14:paraId="1FAFBB13" w14:textId="77777777" w:rsidR="00A434AC" w:rsidRDefault="00000000" w:rsidP="001966C6">
      <w:pPr>
        <w:pStyle w:val="Paragraph"/>
      </w:pPr>
      <w:r>
        <w:rPr>
          <w:lang w:eastAsia="ru-RU"/>
        </w:rPr>
        <w:t>w</w:t>
      </w:r>
      <w:r>
        <w:rPr>
          <w:iCs/>
          <w:lang w:eastAsia="ru-RU"/>
        </w:rPr>
        <w:t xml:space="preserve">here </w:t>
      </w:r>
      <w:r>
        <w:rPr>
          <w:i/>
          <w:iCs/>
          <w:lang w:eastAsia="ru-RU"/>
        </w:rPr>
        <w:t>σ</w:t>
      </w:r>
      <w:r>
        <w:rPr>
          <w:iCs/>
          <w:vertAlign w:val="subscript"/>
          <w:lang w:eastAsia="ru-RU"/>
        </w:rPr>
        <w:t>eq</w:t>
      </w:r>
      <w:r>
        <w:rPr>
          <w:iCs/>
          <w:lang w:eastAsia="ru-RU"/>
        </w:rPr>
        <w:t>= [(3/2)</w:t>
      </w:r>
      <w:r>
        <w:rPr>
          <w:i/>
          <w:iCs/>
          <w:lang w:eastAsia="ru-RU"/>
        </w:rPr>
        <w:t>σ</w:t>
      </w:r>
      <w:r>
        <w:rPr>
          <w:i/>
          <w:iCs/>
          <w:vertAlign w:val="subscript"/>
          <w:lang w:eastAsia="ru-RU"/>
        </w:rPr>
        <w:t>ij</w:t>
      </w:r>
      <w:r>
        <w:rPr>
          <w:i/>
          <w:iCs/>
          <w:lang w:eastAsia="ru-RU"/>
        </w:rPr>
        <w:t xml:space="preserve"> σ</w:t>
      </w:r>
      <w:r>
        <w:rPr>
          <w:i/>
          <w:iCs/>
          <w:vertAlign w:val="subscript"/>
          <w:lang w:eastAsia="ru-RU"/>
        </w:rPr>
        <w:t>ij</w:t>
      </w:r>
      <w:r>
        <w:rPr>
          <w:iCs/>
          <w:lang w:eastAsia="ru-RU"/>
        </w:rPr>
        <w:t xml:space="preserve"> – 0.5 </w:t>
      </w:r>
      <w:r>
        <w:rPr>
          <w:i/>
          <w:iCs/>
          <w:lang w:eastAsia="ru-RU"/>
        </w:rPr>
        <w:t>σ</w:t>
      </w:r>
      <w:r>
        <w:rPr>
          <w:iCs/>
          <w:vertAlign w:val="superscript"/>
          <w:lang w:eastAsia="ru-RU"/>
        </w:rPr>
        <w:t>2</w:t>
      </w:r>
      <w:r>
        <w:rPr>
          <w:i/>
          <w:iCs/>
          <w:vertAlign w:val="subscript"/>
          <w:lang w:eastAsia="ru-RU"/>
        </w:rPr>
        <w:t>kk</w:t>
      </w:r>
      <w:r>
        <w:rPr>
          <w:iCs/>
          <w:lang w:eastAsia="ru-RU"/>
        </w:rPr>
        <w:t>]</w:t>
      </w:r>
      <w:r>
        <w:rPr>
          <w:iCs/>
          <w:vertAlign w:val="superscript"/>
          <w:lang w:eastAsia="ru-RU"/>
        </w:rPr>
        <w:t>1/2</w:t>
      </w:r>
      <w:r>
        <w:rPr>
          <w:iCs/>
          <w:lang w:eastAsia="ru-RU"/>
        </w:rPr>
        <w:t xml:space="preserve">, is the Mises equivalent stress, </w:t>
      </w:r>
      <w:r>
        <w:rPr>
          <w:i/>
          <w:iCs/>
          <w:lang w:eastAsia="ru-RU"/>
        </w:rPr>
        <w:t>σ</w:t>
      </w:r>
      <w:r>
        <w:rPr>
          <w:i/>
          <w:iCs/>
          <w:vertAlign w:val="subscript"/>
          <w:lang w:eastAsia="ru-RU"/>
        </w:rPr>
        <w:t>ij</w:t>
      </w:r>
      <w:r>
        <w:rPr>
          <w:i/>
          <w:iCs/>
          <w:lang w:eastAsia="ru-RU"/>
        </w:rPr>
        <w:t xml:space="preserve"> </w:t>
      </w:r>
      <w:r>
        <w:rPr>
          <w:iCs/>
          <w:lang w:eastAsia="ru-RU"/>
        </w:rPr>
        <w:t xml:space="preserve">are the stress tensor components, </w:t>
      </w:r>
      <w:r>
        <w:rPr>
          <w:iCs/>
          <w:vertAlign w:val="subscript"/>
          <w:lang w:eastAsia="ru-RU"/>
        </w:rPr>
        <w:t xml:space="preserve"> </w:t>
      </w:r>
      <w:r>
        <w:pict w14:anchorId="0ECE23D3">
          <v:shape id="_x0000_tole_rId10" o:spid="_x0000_s1047" type="#_x0000_t75" style="position:absolute;left:0;text-align:left;margin-left:0;margin-top:0;width:50pt;height:50pt;z-index:251654144;visibility:hidden;mso-position-horizontal-relative:text;mso-position-vertical-relative:text">
            <o:lock v:ext="edit" selection="t"/>
          </v:shape>
        </w:pict>
      </w:r>
      <w:r>
        <w:object w:dxaOrig="1728" w:dyaOrig="348" w14:anchorId="154108C2">
          <v:shape id="ole_rId10" o:spid="_x0000_i1028" type="#_x0000_t75" style="width:86.5pt;height:17.5pt;visibility:visible;mso-wrap-distance-right:0;mso-wrap-distance-bottom:10pt" o:ole="">
            <v:imagedata r:id="rId16" o:title=""/>
          </v:shape>
          <o:OLEObject Type="Embed" ProgID="Equation.DSMT4" ShapeID="ole_rId10" DrawAspect="Content" ObjectID="_1825922787" r:id="rId17"/>
        </w:object>
      </w:r>
      <w:r>
        <w:rPr>
          <w:iCs/>
          <w:lang w:eastAsia="ru-RU"/>
        </w:rPr>
        <w:t xml:space="preserve"> is equivalent plastic strain, </w:t>
      </w:r>
      <w:r>
        <w:rPr>
          <w:i/>
          <w:iCs/>
          <w:lang w:eastAsia="ru-RU"/>
        </w:rPr>
        <w:t>T</w:t>
      </w:r>
      <w:r>
        <w:rPr>
          <w:iCs/>
          <w:lang w:eastAsia="ru-RU"/>
        </w:rPr>
        <w:t xml:space="preserve"> is the temperature in K, </w:t>
      </w:r>
      <w:r>
        <w:rPr>
          <w:lang w:eastAsia="ru-RU"/>
        </w:rPr>
        <w:t>g</w:t>
      </w:r>
      <w:r>
        <w:rPr>
          <w:iCs/>
          <w:lang w:eastAsia="ru-RU"/>
        </w:rPr>
        <w:t>* is the damage parameter of the alloy.</w:t>
      </w:r>
    </w:p>
    <w:p w14:paraId="33A881EF" w14:textId="77777777" w:rsidR="00A434AC" w:rsidRDefault="00000000">
      <w:pPr>
        <w:ind w:firstLine="284"/>
        <w:jc w:val="both"/>
        <w:rPr>
          <w:bCs/>
          <w:iCs/>
          <w:sz w:val="20"/>
          <w:lang w:eastAsia="ru-RU"/>
        </w:rPr>
      </w:pPr>
      <w:r>
        <w:rPr>
          <w:lang w:val="en-GB" w:eastAsia="en-GB"/>
        </w:rPr>
        <w:t xml:space="preserve"> </w:t>
      </w:r>
      <w:r>
        <w:rPr>
          <w:bCs/>
          <w:iCs/>
          <w:sz w:val="20"/>
          <w:lang w:eastAsia="ru-RU"/>
        </w:rPr>
        <w:t>Criterion (1) takes the form (2) under loading at a high constant strain rate, and absence of damage in the initial alloy state</w:t>
      </w:r>
    </w:p>
    <w:p w14:paraId="6BA43A77" w14:textId="77777777" w:rsidR="00A434AC" w:rsidRDefault="00000000">
      <w:pPr>
        <w:pStyle w:val="Equation"/>
      </w:pPr>
      <w:r>
        <w:tab/>
      </w:r>
      <m:oMath>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s</m:t>
                </m:r>
              </m:sub>
            </m:sSub>
          </m:num>
          <m:den>
            <m:r>
              <w:rPr>
                <w:rFonts w:ascii="Cambria Math" w:hAnsi="Cambria Math"/>
              </w:rPr>
              <m:t>∂</m:t>
            </m:r>
            <m:sSubSup>
              <m:sSubSupPr>
                <m:ctrlPr>
                  <w:rPr>
                    <w:rFonts w:ascii="Cambria Math" w:hAnsi="Cambria Math"/>
                  </w:rPr>
                </m:ctrlPr>
              </m:sSubSupPr>
              <m:e>
                <m:r>
                  <w:rPr>
                    <w:rFonts w:ascii="Cambria Math" w:hAnsi="Cambria Math"/>
                  </w:rPr>
                  <m:t>ε</m:t>
                </m:r>
              </m:e>
              <m:sub>
                <m:r>
                  <m:rPr>
                    <m:lit/>
                    <m:nor/>
                  </m:rPr>
                  <w:rPr>
                    <w:rFonts w:ascii="Cambria Math" w:hAnsi="Cambria Math"/>
                  </w:rPr>
                  <m:t>eq</m:t>
                </m:r>
              </m:sub>
              <m:sup>
                <m:r>
                  <w:rPr>
                    <w:rFonts w:ascii="Cambria Math" w:hAnsi="Cambria Math"/>
                  </w:rPr>
                  <m:t>p</m:t>
                </m:r>
              </m:sup>
            </m:sSubSup>
          </m:den>
        </m:f>
        <m:r>
          <w:rPr>
            <w:rFonts w:ascii="Cambria Math" w:hAnsi="Cambria Math"/>
          </w:rPr>
          <m:t xml:space="preserve"> =(</m:t>
        </m:r>
        <m:r>
          <m:rPr>
            <m:lit/>
            <m:nor/>
          </m:rPr>
          <w:rPr>
            <w:rFonts w:ascii="Cambria Math" w:hAnsi="Cambria Math"/>
          </w:rPr>
          <m:t xml:space="preserve">1- </m:t>
        </m:r>
        <m:r>
          <w:rPr>
            <w:rFonts w:ascii="Cambria Math" w:hAnsi="Cambria Math"/>
          </w:rPr>
          <m:t xml:space="preserve"> </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s</m:t>
                </m:r>
              </m:sub>
            </m:sSub>
          </m:num>
          <m:den>
            <m:r>
              <w:rPr>
                <w:rFonts w:ascii="Cambria Math" w:hAnsi="Cambria Math"/>
              </w:rPr>
              <m:t>∂T</m:t>
            </m:r>
          </m:den>
        </m:f>
        <m:f>
          <m:fPr>
            <m:ctrlPr>
              <w:rPr>
                <w:rFonts w:ascii="Cambria Math" w:hAnsi="Cambria Math"/>
              </w:rPr>
            </m:ctrlPr>
          </m:fPr>
          <m:num>
            <m:r>
              <w:rPr>
                <w:rFonts w:ascii="Cambria Math" w:hAnsi="Cambria Math"/>
              </w:rPr>
              <m:t>β</m:t>
            </m:r>
          </m:num>
          <m:den>
            <m:sSub>
              <m:sSubPr>
                <m:ctrlPr>
                  <w:rPr>
                    <w:rFonts w:ascii="Cambria Math" w:hAnsi="Cambria Math"/>
                  </w:rPr>
                </m:ctrlPr>
              </m:sSubPr>
              <m:e>
                <m:r>
                  <w:rPr>
                    <w:rFonts w:ascii="Cambria Math" w:hAnsi="Cambria Math"/>
                  </w:rPr>
                  <m:t>ρC</m:t>
                </m:r>
              </m:e>
              <m:sub>
                <m:r>
                  <w:rPr>
                    <w:rFonts w:ascii="Cambria Math" w:hAnsi="Cambria Math"/>
                  </w:rPr>
                  <m:t>p</m:t>
                </m:r>
              </m:sub>
            </m:sSub>
          </m:den>
        </m:f>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s</m:t>
            </m:r>
          </m:sub>
        </m:sSub>
      </m:oMath>
      <w:r>
        <w:tab/>
        <w:t>(2)</w:t>
      </w:r>
    </w:p>
    <w:p w14:paraId="7B35C18C" w14:textId="77777777" w:rsidR="001966C6" w:rsidRDefault="00000000" w:rsidP="001966C6">
      <w:pPr>
        <w:pStyle w:val="Paragraph"/>
        <w:rPr>
          <w:lang w:eastAsia="ru-RU"/>
        </w:rPr>
      </w:pPr>
      <w:r>
        <w:rPr>
          <w:position w:val="-14"/>
        </w:rPr>
        <w:t xml:space="preserve">where </w:t>
      </w:r>
      <w:r>
        <w:rPr>
          <w:i/>
          <w:position w:val="-14"/>
        </w:rPr>
        <w:t>β</w:t>
      </w:r>
      <w:r>
        <w:rPr>
          <w:position w:val="-14"/>
        </w:rPr>
        <w:t xml:space="preserve"> is the Taylor – Quinney coefficient, ρ is the mass density, </w:t>
      </w:r>
      <w:r>
        <w:rPr>
          <w:i/>
          <w:position w:val="-14"/>
        </w:rPr>
        <w:t>Cp</w:t>
      </w:r>
      <w:r>
        <w:rPr>
          <w:position w:val="-14"/>
        </w:rPr>
        <w:t xml:space="preserve"> is the specific heat capacity.</w:t>
      </w:r>
      <w:r>
        <w:rPr>
          <w:lang w:eastAsia="ru-RU"/>
        </w:rPr>
        <w:t xml:space="preserve"> </w:t>
      </w:r>
    </w:p>
    <w:p w14:paraId="6B21C92A" w14:textId="77777777" w:rsidR="001966C6" w:rsidRDefault="001966C6" w:rsidP="001966C6">
      <w:pPr>
        <w:pStyle w:val="Paragraph"/>
        <w:rPr>
          <w:lang w:eastAsia="ru-RU"/>
        </w:rPr>
      </w:pPr>
    </w:p>
    <w:p w14:paraId="30B58E1E" w14:textId="584F093A" w:rsidR="00A434AC" w:rsidRDefault="00000000" w:rsidP="001966C6">
      <w:pPr>
        <w:pStyle w:val="Paragraph"/>
        <w:rPr>
          <w:bCs/>
          <w:iCs/>
          <w:lang w:eastAsia="ru-RU"/>
        </w:rPr>
      </w:pPr>
      <w:r>
        <w:rPr>
          <w:bCs/>
          <w:iCs/>
          <w:lang w:eastAsia="ru-RU"/>
        </w:rPr>
        <w:t>The temperature increment during plastic flow due to energy dissipation was determined in the adiabatic approximation [3]</w:t>
      </w:r>
    </w:p>
    <w:p w14:paraId="4019E23A" w14:textId="77777777" w:rsidR="00A434AC" w:rsidRDefault="00000000">
      <w:pPr>
        <w:pStyle w:val="Equation"/>
      </w:pPr>
      <w:r>
        <w:tab/>
      </w:r>
      <m:oMath>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0</m:t>
            </m:r>
          </m:sub>
        </m:sSub>
        <m:r>
          <w:rPr>
            <w:rFonts w:ascii="Cambria Math" w:hAnsi="Cambria Math"/>
          </w:rPr>
          <m:t>+</m:t>
        </m:r>
        <m:nary>
          <m:naryPr>
            <m:ctrlPr>
              <w:rPr>
                <w:rFonts w:ascii="Cambria Math" w:hAnsi="Cambria Math"/>
              </w:rPr>
            </m:ctrlPr>
          </m:naryPr>
          <m:sub>
            <m:r>
              <w:rPr>
                <w:rFonts w:ascii="Cambria Math" w:hAnsi="Cambria Math"/>
              </w:rPr>
              <m:t>0</m:t>
            </m:r>
          </m:sub>
          <m:sup>
            <m:sSubSup>
              <m:sSubSupPr>
                <m:ctrlPr>
                  <w:rPr>
                    <w:rFonts w:ascii="Cambria Math" w:hAnsi="Cambria Math"/>
                  </w:rPr>
                </m:ctrlPr>
              </m:sSubSupPr>
              <m:e>
                <m:r>
                  <w:rPr>
                    <w:rFonts w:ascii="Cambria Math" w:hAnsi="Cambria Math"/>
                  </w:rPr>
                  <m:t>ε</m:t>
                </m:r>
              </m:e>
              <m:sub>
                <m:r>
                  <m:rPr>
                    <m:lit/>
                    <m:nor/>
                  </m:rPr>
                  <w:rPr>
                    <w:rFonts w:ascii="Cambria Math" w:hAnsi="Cambria Math"/>
                  </w:rPr>
                  <m:t>eq</m:t>
                </m:r>
              </m:sub>
              <m:sup>
                <m:r>
                  <w:rPr>
                    <w:rFonts w:ascii="Cambria Math" w:hAnsi="Cambria Math"/>
                  </w:rPr>
                  <m:t>p</m:t>
                </m:r>
              </m:sup>
            </m:sSubSup>
          </m:sup>
          <m:e>
            <m:r>
              <w:rPr>
                <w:rFonts w:ascii="Cambria Math" w:hAnsi="Cambria Math"/>
              </w:rPr>
              <m:t>(</m:t>
            </m:r>
            <m:f>
              <m:fPr>
                <m:type m:val="lin"/>
                <m:ctrlPr>
                  <w:rPr>
                    <w:rFonts w:ascii="Cambria Math" w:hAnsi="Cambria Math"/>
                  </w:rPr>
                </m:ctrlPr>
              </m:fPr>
              <m:num>
                <m:r>
                  <w:rPr>
                    <w:rFonts w:ascii="Cambria Math" w:hAnsi="Cambria Math"/>
                  </w:rPr>
                  <m:t>β</m:t>
                </m:r>
              </m:num>
              <m:den>
                <m:r>
                  <w:rPr>
                    <w:rFonts w:ascii="Cambria Math" w:hAnsi="Cambria Math"/>
                  </w:rPr>
                  <m:t>ρ</m:t>
                </m:r>
              </m:den>
            </m:f>
            <m: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p</m:t>
                </m:r>
              </m:sub>
            </m:sSub>
            <m:r>
              <w:rPr>
                <w:rFonts w:ascii="Cambria Math" w:hAnsi="Cambria Math"/>
              </w:rPr>
              <m:t xml:space="preserve">) </m:t>
            </m:r>
          </m:e>
        </m:nary>
        <m:sSub>
          <m:sSubPr>
            <m:ctrlPr>
              <w:rPr>
                <w:rFonts w:ascii="Cambria Math" w:hAnsi="Cambria Math"/>
              </w:rPr>
            </m:ctrlPr>
          </m:sSubPr>
          <m:e>
            <m:r>
              <w:rPr>
                <w:rFonts w:ascii="Cambria Math" w:hAnsi="Cambria Math"/>
              </w:rPr>
              <m:t>σ</m:t>
            </m:r>
          </m:e>
          <m:sub>
            <m:r>
              <m:rPr>
                <m:lit/>
                <m:nor/>
              </m:rPr>
              <w:rPr>
                <w:rFonts w:ascii="Cambria Math" w:hAnsi="Cambria Math"/>
              </w:rPr>
              <m:t>eq</m:t>
            </m:r>
          </m:sub>
        </m:sSub>
        <m:r>
          <w:rPr>
            <w:rFonts w:ascii="Cambria Math" w:hAnsi="Cambria Math"/>
          </w:rPr>
          <m:t xml:space="preserve"> d </m:t>
        </m:r>
        <m:sSubSup>
          <m:sSubSupPr>
            <m:ctrlPr>
              <w:rPr>
                <w:rFonts w:ascii="Cambria Math" w:hAnsi="Cambria Math"/>
              </w:rPr>
            </m:ctrlPr>
          </m:sSubSupPr>
          <m:e>
            <m:r>
              <w:rPr>
                <w:rFonts w:ascii="Cambria Math" w:hAnsi="Cambria Math"/>
              </w:rPr>
              <m:t>ε</m:t>
            </m:r>
          </m:e>
          <m:sub>
            <m:r>
              <m:rPr>
                <m:lit/>
                <m:nor/>
              </m:rPr>
              <w:rPr>
                <w:rFonts w:ascii="Cambria Math" w:hAnsi="Cambria Math"/>
              </w:rPr>
              <m:t>eq</m:t>
            </m:r>
          </m:sub>
          <m:sup>
            <m:r>
              <w:rPr>
                <w:rFonts w:ascii="Cambria Math" w:hAnsi="Cambria Math"/>
              </w:rPr>
              <m:t>p</m:t>
            </m:r>
          </m:sup>
        </m:sSubSup>
        <m:r>
          <w:rPr>
            <w:rFonts w:ascii="Cambria Math" w:hAnsi="Cambria Math"/>
          </w:rPr>
          <m:t xml:space="preserve"> ,</m:t>
        </m:r>
      </m:oMath>
      <w:r>
        <w:tab/>
        <w:t>(3)</w:t>
      </w:r>
    </w:p>
    <w:p w14:paraId="3C088FEE" w14:textId="77777777" w:rsidR="00A434AC" w:rsidRDefault="00000000">
      <w:pPr>
        <w:pStyle w:val="Paragraph"/>
        <w:rPr>
          <w:bCs/>
          <w:iCs/>
          <w:lang w:eastAsia="ru-RU"/>
        </w:rPr>
      </w:pPr>
      <w:r>
        <w:rPr>
          <w:bCs/>
          <w:iCs/>
          <w:lang w:eastAsia="ru-RU"/>
        </w:rPr>
        <w:t>where T</w:t>
      </w:r>
      <w:r>
        <w:rPr>
          <w:bCs/>
          <w:iCs/>
          <w:vertAlign w:val="subscript"/>
          <w:lang w:eastAsia="ru-RU"/>
        </w:rPr>
        <w:t>0</w:t>
      </w:r>
      <w:r>
        <w:rPr>
          <w:bCs/>
          <w:iCs/>
          <w:lang w:eastAsia="ru-RU"/>
        </w:rPr>
        <w:t xml:space="preserve"> is the initial temperature, </w:t>
      </w:r>
      <w:r>
        <w:rPr>
          <w:bCs/>
          <w:i/>
          <w:iCs/>
          <w:lang w:eastAsia="ru-RU"/>
        </w:rPr>
        <w:t>β</w:t>
      </w:r>
      <w:r>
        <w:rPr>
          <w:bCs/>
          <w:iCs/>
          <w:lang w:eastAsia="ru-RU"/>
        </w:rPr>
        <w:t xml:space="preserve"> is the Taylor-Quinney coefficient.</w:t>
      </w:r>
    </w:p>
    <w:p w14:paraId="2F867487" w14:textId="77777777" w:rsidR="00A434AC" w:rsidRDefault="00000000">
      <w:pPr>
        <w:ind w:firstLine="284"/>
        <w:jc w:val="both"/>
        <w:rPr>
          <w:bCs/>
          <w:iCs/>
          <w:sz w:val="20"/>
          <w:lang w:eastAsia="ru-RU"/>
        </w:rPr>
      </w:pPr>
      <w:r>
        <w:rPr>
          <w:bCs/>
          <w:iCs/>
          <w:sz w:val="20"/>
          <w:lang w:eastAsia="ru-RU"/>
        </w:rPr>
        <w:t>The flow stress of the alloy during damage development was described using the constitutive relation [12]</w:t>
      </w:r>
    </w:p>
    <w:p w14:paraId="6B82F244" w14:textId="77777777" w:rsidR="001966C6" w:rsidRDefault="001966C6">
      <w:pPr>
        <w:ind w:firstLine="284"/>
        <w:jc w:val="both"/>
        <w:rPr>
          <w:bCs/>
          <w:iCs/>
          <w:sz w:val="20"/>
          <w:lang w:eastAsia="ru-RU"/>
        </w:rPr>
      </w:pPr>
    </w:p>
    <w:p w14:paraId="7FC1C35F" w14:textId="77777777" w:rsidR="00A434AC" w:rsidRDefault="00000000">
      <w:pPr>
        <w:pStyle w:val="Equation"/>
      </w:pPr>
      <w:r>
        <w:tab/>
      </w:r>
      <m:oMath>
        <m:r>
          <w:rPr>
            <w:rFonts w:ascii="Cambria Math" w:hAnsi="Cambria Math"/>
          </w:rPr>
          <m:t>(</m:t>
        </m:r>
        <m:sSubSup>
          <m:sSubSupPr>
            <m:ctrlPr>
              <w:rPr>
                <w:rFonts w:ascii="Cambria Math" w:hAnsi="Cambria Math"/>
              </w:rPr>
            </m:ctrlPr>
          </m:sSubSupPr>
          <m:e>
            <m:r>
              <w:rPr>
                <w:rFonts w:ascii="Cambria Math" w:hAnsi="Cambria Math"/>
              </w:rPr>
              <m:t>σ</m:t>
            </m:r>
          </m:e>
          <m:sub>
            <m:r>
              <m:rPr>
                <m:lit/>
                <m:nor/>
              </m:rPr>
              <w:rPr>
                <w:rFonts w:ascii="Cambria Math" w:hAnsi="Cambria Math"/>
              </w:rPr>
              <m:t>eq</m:t>
            </m:r>
          </m:sub>
          <m:sup>
            <m:r>
              <w:rPr>
                <w:rFonts w:ascii="Cambria Math" w:hAnsi="Cambria Math"/>
              </w:rPr>
              <m:t>2</m:t>
            </m:r>
          </m:sup>
        </m:sSubSup>
        <m:r>
          <m:rPr>
            <m:lit/>
            <m:nor/>
          </m:rPr>
          <w:rPr>
            <w:rFonts w:ascii="Cambria Math" w:hAnsi="Cambria Math"/>
          </w:rPr>
          <m:t xml:space="preserve">/ </m:t>
        </m:r>
        <m:sSubSup>
          <m:sSubSupPr>
            <m:ctrlPr>
              <w:rPr>
                <w:rFonts w:ascii="Cambria Math" w:hAnsi="Cambria Math"/>
              </w:rPr>
            </m:ctrlPr>
          </m:sSubSupPr>
          <m:e>
            <m:r>
              <w:rPr>
                <w:rFonts w:ascii="Cambria Math" w:hAnsi="Cambria Math"/>
              </w:rPr>
              <m:t>σ</m:t>
            </m:r>
          </m:e>
          <m:sub>
            <m:r>
              <w:rPr>
                <w:rFonts w:ascii="Cambria Math" w:hAnsi="Cambria Math"/>
              </w:rPr>
              <m:t>s</m:t>
            </m:r>
          </m:sub>
          <m:sup>
            <m:r>
              <w:rPr>
                <w:rFonts w:ascii="Cambria Math" w:hAnsi="Cambria Math"/>
              </w:rPr>
              <m:t>c</m:t>
            </m:r>
          </m:sup>
        </m:sSubSup>
        <m:sSubSup>
          <m:sSubSupPr>
            <m:ctrlPr>
              <w:rPr>
                <w:rFonts w:ascii="Cambria Math" w:hAnsi="Cambria Math"/>
              </w:rPr>
            </m:ctrlPr>
          </m:sSubSupPr>
          <m:e>
            <m:r>
              <w:rPr>
                <w:rFonts w:ascii="Cambria Math" w:hAnsi="Cambria Math"/>
              </w:rPr>
              <m:t>σ</m:t>
            </m:r>
          </m:e>
          <m:sub>
            <m:r>
              <w:rPr>
                <w:rFonts w:ascii="Cambria Math" w:hAnsi="Cambria Math"/>
              </w:rPr>
              <m:t>s</m:t>
            </m:r>
          </m:sub>
          <m:sup>
            <m:r>
              <w:rPr>
                <w:rFonts w:ascii="Cambria Math" w:hAnsi="Cambria Math"/>
              </w:rPr>
              <m:t>t</m:t>
            </m:r>
          </m:sup>
        </m:sSubSup>
        <m:r>
          <w:rPr>
            <w:rFonts w:ascii="Cambria Math" w:hAnsi="Cambria Math"/>
          </w:rPr>
          <m:t>)</m:t>
        </m:r>
        <m:sSub>
          <m:sSubPr>
            <m:ctrlPr>
              <w:rPr>
                <w:rFonts w:ascii="Cambria Math" w:hAnsi="Cambria Math"/>
              </w:rPr>
            </m:ctrlPr>
          </m:sSubPr>
          <m:e>
            <m:r>
              <m:rPr>
                <m:lit/>
                <m:nor/>
              </m:rPr>
              <w:rPr>
                <w:rFonts w:ascii="Cambria Math" w:hAnsi="Cambria Math"/>
              </w:rPr>
              <m:t xml:space="preserve"> + 2q</m:t>
            </m:r>
          </m:e>
          <m:sub>
            <m:r>
              <w:rPr>
                <w:rFonts w:ascii="Cambria Math" w:hAnsi="Cambria Math"/>
              </w:rPr>
              <m:t>1</m:t>
            </m:r>
          </m:sub>
        </m:sSub>
        <m:r>
          <m:rPr>
            <m:lit/>
            <m:nor/>
          </m:rPr>
          <w:rPr>
            <w:rFonts w:ascii="Cambria Math" w:hAnsi="Cambria Math"/>
          </w:rPr>
          <m:t xml:space="preserve"> g* cosh</m:t>
        </m:r>
        <m:r>
          <w:rPr>
            <w:rFonts w:ascii="Cambria Math" w:hAnsi="Cambria Math"/>
          </w:rPr>
          <m:t>[</m:t>
        </m:r>
        <m:sSub>
          <m:sSubPr>
            <m:ctrlPr>
              <w:rPr>
                <w:rFonts w:ascii="Cambria Math" w:hAnsi="Cambria Math"/>
              </w:rPr>
            </m:ctrlPr>
          </m:sSubPr>
          <m:e>
            <m:r>
              <m:rPr>
                <m:lit/>
                <m:nor/>
              </m:rPr>
              <w:rPr>
                <w:rFonts w:ascii="Cambria Math" w:hAnsi="Cambria Math"/>
              </w:rPr>
              <m:t>-q</m:t>
            </m:r>
          </m:e>
          <m:sub>
            <m:r>
              <w:rPr>
                <w:rFonts w:ascii="Cambria Math" w:hAnsi="Cambria Math"/>
              </w:rPr>
              <m:t>2</m:t>
            </m:r>
          </m:sub>
        </m:sSub>
        <m:r>
          <m:rPr>
            <m:lit/>
            <m:nor/>
          </m:rPr>
          <w:rPr>
            <w:rFonts w:ascii="Cambria Math" w:hAnsi="Cambria Math"/>
          </w:rPr>
          <m:t xml:space="preserve"> p/</m:t>
        </m:r>
        <m:r>
          <w:rPr>
            <w:rFonts w:ascii="Cambria Math" w:hAnsi="Cambria Math"/>
          </w:rPr>
          <m:t>(</m:t>
        </m:r>
        <m:r>
          <m:rPr>
            <m:lit/>
            <m:nor/>
          </m:rPr>
          <w:rPr>
            <w:rFonts w:ascii="Cambria Math" w:hAnsi="Cambria Math"/>
          </w:rPr>
          <m:t xml:space="preserve">2 </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σ</m:t>
                </m:r>
              </m:e>
              <m:sub>
                <m:r>
                  <w:rPr>
                    <w:rFonts w:ascii="Cambria Math" w:hAnsi="Cambria Math"/>
                  </w:rPr>
                  <m:t>s</m:t>
                </m:r>
              </m:sub>
              <m:sup>
                <m:r>
                  <w:rPr>
                    <w:rFonts w:ascii="Cambria Math" w:hAnsi="Cambria Math"/>
                  </w:rPr>
                  <m:t>c</m:t>
                </m:r>
              </m:sup>
            </m:sSubSup>
            <m:sSubSup>
              <m:sSubSupPr>
                <m:ctrlPr>
                  <w:rPr>
                    <w:rFonts w:ascii="Cambria Math" w:hAnsi="Cambria Math"/>
                  </w:rPr>
                </m:ctrlPr>
              </m:sSubSupPr>
              <m:e>
                <m:r>
                  <w:rPr>
                    <w:rFonts w:ascii="Cambria Math" w:hAnsi="Cambria Math"/>
                  </w:rPr>
                  <m:t>σ</m:t>
                </m:r>
              </m:e>
              <m:sub>
                <m:r>
                  <w:rPr>
                    <w:rFonts w:ascii="Cambria Math" w:hAnsi="Cambria Math"/>
                  </w:rPr>
                  <m:t>s</m:t>
                </m:r>
              </m:sub>
              <m:sup>
                <m:r>
                  <w:rPr>
                    <w:rFonts w:ascii="Cambria Math" w:hAnsi="Cambria Math"/>
                  </w:rPr>
                  <m:t>t</m:t>
                </m:r>
              </m:sup>
            </m:sSubSup>
          </m:e>
        </m:rad>
        <m:r>
          <w:rPr>
            <w:rFonts w:ascii="Cambria Math" w:hAnsi="Cambria Math"/>
          </w:rPr>
          <m:t>)]+(</m:t>
        </m:r>
        <m:r>
          <m:rPr>
            <m:lit/>
            <m:nor/>
          </m:rPr>
          <w:rPr>
            <w:rFonts w:ascii="Cambria Math" w:hAnsi="Cambria Math"/>
          </w:rPr>
          <m:t>1 -g*</m:t>
        </m:r>
        <m:r>
          <w:rPr>
            <w:rFonts w:ascii="Cambria Math" w:hAnsi="Cambria Math"/>
          </w:rPr>
          <m:t>)[3(</m:t>
        </m:r>
        <m:sSubSup>
          <m:sSubSupPr>
            <m:ctrlPr>
              <w:rPr>
                <w:rFonts w:ascii="Cambria Math" w:hAnsi="Cambria Math"/>
              </w:rPr>
            </m:ctrlPr>
          </m:sSubSupPr>
          <m:e>
            <m:r>
              <w:rPr>
                <w:rFonts w:ascii="Cambria Math" w:hAnsi="Cambria Math"/>
              </w:rPr>
              <m:t>σ</m:t>
            </m:r>
          </m:e>
          <m:sub>
            <m:r>
              <w:rPr>
                <w:rFonts w:ascii="Cambria Math" w:hAnsi="Cambria Math"/>
              </w:rPr>
              <m:t>s</m:t>
            </m:r>
          </m:sub>
          <m:sup>
            <m:r>
              <w:rPr>
                <w:rFonts w:ascii="Cambria Math" w:hAnsi="Cambria Math"/>
              </w:rPr>
              <m:t>c</m:t>
            </m:r>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s</m:t>
            </m:r>
          </m:sub>
          <m:sup>
            <m:r>
              <w:rPr>
                <w:rFonts w:ascii="Cambria Math" w:hAnsi="Cambria Math"/>
              </w:rPr>
              <m:t>t</m:t>
            </m:r>
          </m:sup>
        </m:sSubSup>
        <m:f>
          <m:fPr>
            <m:type m:val="lin"/>
            <m:ctrlPr>
              <w:rPr>
                <w:rFonts w:ascii="Cambria Math" w:hAnsi="Cambria Math"/>
              </w:rPr>
            </m:ctrlPr>
          </m:fPr>
          <m:num>
            <m:r>
              <w:rPr>
                <w:rFonts w:ascii="Cambria Math" w:hAnsi="Cambria Math"/>
              </w:rPr>
              <m:t>)</m:t>
            </m:r>
          </m:num>
          <m:den>
            <m:sSubSup>
              <m:sSubSupPr>
                <m:ctrlPr>
                  <w:rPr>
                    <w:rFonts w:ascii="Cambria Math" w:hAnsi="Cambria Math"/>
                  </w:rPr>
                </m:ctrlPr>
              </m:sSubSupPr>
              <m:e>
                <m:r>
                  <w:rPr>
                    <w:rFonts w:ascii="Cambria Math" w:hAnsi="Cambria Math"/>
                  </w:rPr>
                  <m:t>σ</m:t>
                </m:r>
              </m:e>
              <m:sub>
                <m:r>
                  <w:rPr>
                    <w:rFonts w:ascii="Cambria Math" w:hAnsi="Cambria Math"/>
                  </w:rPr>
                  <m:t>s</m:t>
                </m:r>
              </m:sub>
              <m:sup>
                <m:r>
                  <w:rPr>
                    <w:rFonts w:ascii="Cambria Math" w:hAnsi="Cambria Math"/>
                  </w:rPr>
                  <m:t>c</m:t>
                </m:r>
              </m:sup>
            </m:sSubSup>
          </m:den>
        </m:f>
        <m:sSubSup>
          <m:sSubSupPr>
            <m:ctrlPr>
              <w:rPr>
                <w:rFonts w:ascii="Cambria Math" w:hAnsi="Cambria Math"/>
              </w:rPr>
            </m:ctrlPr>
          </m:sSubSupPr>
          <m:e>
            <m:r>
              <w:rPr>
                <w:rFonts w:ascii="Cambria Math" w:hAnsi="Cambria Math"/>
              </w:rPr>
              <m:t>σ</m:t>
            </m:r>
          </m:e>
          <m:sub>
            <m:r>
              <w:rPr>
                <w:rFonts w:ascii="Cambria Math" w:hAnsi="Cambria Math"/>
              </w:rPr>
              <m:t>s</m:t>
            </m:r>
          </m:sub>
          <m:sup>
            <m:r>
              <w:rPr>
                <w:rFonts w:ascii="Cambria Math" w:hAnsi="Cambria Math"/>
              </w:rPr>
              <m:t>t</m:t>
            </m:r>
          </m:sup>
        </m:sSubSup>
        <m:r>
          <w:rPr>
            <w:rFonts w:ascii="Cambria Math" w:hAnsi="Cambria Math"/>
          </w:rPr>
          <m:t>]</m:t>
        </m:r>
        <m:r>
          <m:rPr>
            <m:lit/>
            <m:nor/>
          </m:rPr>
          <w:rPr>
            <w:rFonts w:ascii="Cambria Math" w:hAnsi="Cambria Math"/>
          </w:rPr>
          <m:t>p-1-</m:t>
        </m:r>
        <m:r>
          <w:rPr>
            <w:rFonts w:ascii="Cambria Math" w:hAnsi="Cambria Math"/>
          </w:rPr>
          <m:t>(</m:t>
        </m:r>
        <m:sSub>
          <m:sSubPr>
            <m:ctrlPr>
              <w:rPr>
                <w:rFonts w:ascii="Cambria Math" w:hAnsi="Cambria Math"/>
              </w:rPr>
            </m:ctrlPr>
          </m:sSubPr>
          <m:e>
            <m:r>
              <m:rPr>
                <m:lit/>
                <m:nor/>
              </m:rPr>
              <w:rPr>
                <w:rFonts w:ascii="Cambria Math" w:hAnsi="Cambria Math"/>
              </w:rPr>
              <m:t xml:space="preserve"> q</m:t>
            </m:r>
          </m:e>
          <m:sub>
            <m:r>
              <w:rPr>
                <w:rFonts w:ascii="Cambria Math" w:hAnsi="Cambria Math"/>
              </w:rPr>
              <m:t>3</m:t>
            </m:r>
          </m:sub>
        </m:sSub>
        <m:r>
          <w:rPr>
            <w:rFonts w:ascii="Cambria Math" w:hAnsi="Cambria Math"/>
          </w:rPr>
          <m:t>(</m:t>
        </m:r>
        <m:r>
          <m:rPr>
            <m:lit/>
            <m:nor/>
          </m:rPr>
          <w:rPr>
            <w:rFonts w:ascii="Cambria Math" w:hAnsi="Cambria Math"/>
          </w:rPr>
          <m:t>g*</m:t>
        </m:r>
        <m:sSup>
          <m:sSupPr>
            <m:ctrlPr>
              <w:rPr>
                <w:rFonts w:ascii="Cambria Math" w:hAnsi="Cambria Math"/>
              </w:rPr>
            </m:ctrlPr>
          </m:sSupPr>
          <m:e>
            <m:r>
              <w:rPr>
                <w:rFonts w:ascii="Cambria Math" w:hAnsi="Cambria Math"/>
              </w:rPr>
              <m:t>)</m:t>
            </m:r>
          </m:e>
          <m:sup>
            <m:r>
              <w:rPr>
                <w:rFonts w:ascii="Cambria Math" w:hAnsi="Cambria Math"/>
              </w:rPr>
              <m:t>2</m:t>
            </m:r>
          </m:sup>
        </m:sSup>
        <m:r>
          <m:rPr>
            <m:lit/>
            <m:nor/>
          </m:rPr>
          <w:rPr>
            <w:rFonts w:ascii="Cambria Math" w:hAnsi="Cambria Math"/>
          </w:rPr>
          <m:t xml:space="preserve"> = 0</m:t>
        </m:r>
      </m:oMath>
      <w:r>
        <w:tab/>
        <w:t>(4)</w:t>
      </w:r>
    </w:p>
    <w:p w14:paraId="034B00AD" w14:textId="77777777" w:rsidR="001966C6" w:rsidRDefault="001966C6">
      <w:pPr>
        <w:pStyle w:val="Equation"/>
      </w:pPr>
    </w:p>
    <w:p w14:paraId="59FC8EFB" w14:textId="77777777" w:rsidR="00A434AC" w:rsidRDefault="00000000">
      <w:pPr>
        <w:ind w:firstLine="284"/>
        <w:jc w:val="both"/>
        <w:rPr>
          <w:bCs/>
          <w:iCs/>
          <w:sz w:val="20"/>
          <w:lang w:eastAsia="ru-RU"/>
        </w:rPr>
      </w:pPr>
      <w:r>
        <w:rPr>
          <w:bCs/>
          <w:iCs/>
          <w:sz w:val="20"/>
          <w:lang w:eastAsia="ru-RU"/>
        </w:rPr>
        <w:t>where σ</w:t>
      </w:r>
      <w:r>
        <w:rPr>
          <w:bCs/>
          <w:iCs/>
          <w:sz w:val="20"/>
          <w:vertAlign w:val="superscript"/>
          <w:lang w:eastAsia="ru-RU"/>
        </w:rPr>
        <w:t>c</w:t>
      </w:r>
      <w:r>
        <w:rPr>
          <w:bCs/>
          <w:iCs/>
          <w:sz w:val="20"/>
          <w:vertAlign w:val="subscript"/>
          <w:lang w:eastAsia="ru-RU"/>
        </w:rPr>
        <w:t>s</w:t>
      </w:r>
      <w:r>
        <w:rPr>
          <w:bCs/>
          <w:iCs/>
          <w:sz w:val="20"/>
          <w:lang w:eastAsia="ru-RU"/>
        </w:rPr>
        <w:t xml:space="preserve"> is the yield strength under compression, σ</w:t>
      </w:r>
      <w:r>
        <w:rPr>
          <w:bCs/>
          <w:iCs/>
          <w:sz w:val="20"/>
          <w:vertAlign w:val="superscript"/>
          <w:lang w:eastAsia="ru-RU"/>
        </w:rPr>
        <w:t>t</w:t>
      </w:r>
      <w:r>
        <w:rPr>
          <w:bCs/>
          <w:iCs/>
          <w:sz w:val="20"/>
          <w:vertAlign w:val="subscript"/>
          <w:lang w:eastAsia="ru-RU"/>
        </w:rPr>
        <w:t>s</w:t>
      </w:r>
      <w:r>
        <w:rPr>
          <w:bCs/>
          <w:iCs/>
          <w:sz w:val="20"/>
          <w:lang w:eastAsia="ru-RU"/>
        </w:rPr>
        <w:t xml:space="preserve"> is the yield strength under tension, p is the pressure, q</w:t>
      </w:r>
      <w:r>
        <w:rPr>
          <w:bCs/>
          <w:iCs/>
          <w:sz w:val="20"/>
          <w:vertAlign w:val="subscript"/>
          <w:lang w:eastAsia="ru-RU"/>
        </w:rPr>
        <w:t>1</w:t>
      </w:r>
      <w:r>
        <w:rPr>
          <w:bCs/>
          <w:iCs/>
          <w:sz w:val="20"/>
          <w:lang w:eastAsia="ru-RU"/>
        </w:rPr>
        <w:t>, q</w:t>
      </w:r>
      <w:r>
        <w:rPr>
          <w:bCs/>
          <w:iCs/>
          <w:sz w:val="20"/>
          <w:vertAlign w:val="subscript"/>
          <w:lang w:eastAsia="ru-RU"/>
        </w:rPr>
        <w:t>2</w:t>
      </w:r>
      <w:r>
        <w:rPr>
          <w:bCs/>
          <w:iCs/>
          <w:sz w:val="20"/>
          <w:lang w:eastAsia="ru-RU"/>
        </w:rPr>
        <w:t xml:space="preserve"> and q</w:t>
      </w:r>
      <w:r>
        <w:rPr>
          <w:bCs/>
          <w:iCs/>
          <w:sz w:val="20"/>
          <w:vertAlign w:val="subscript"/>
          <w:lang w:eastAsia="ru-RU"/>
        </w:rPr>
        <w:t>3</w:t>
      </w:r>
      <w:r>
        <w:rPr>
          <w:bCs/>
          <w:iCs/>
          <w:sz w:val="20"/>
          <w:lang w:eastAsia="ru-RU"/>
        </w:rPr>
        <w:t xml:space="preserve"> are the model parameters, and g* is the material damage parameter.</w:t>
      </w:r>
    </w:p>
    <w:p w14:paraId="4906279F" w14:textId="77777777" w:rsidR="00A434AC" w:rsidRDefault="00000000">
      <w:pPr>
        <w:ind w:firstLine="284"/>
        <w:jc w:val="both"/>
        <w:rPr>
          <w:bCs/>
          <w:iCs/>
          <w:sz w:val="20"/>
          <w:lang w:eastAsia="ru-RU"/>
        </w:rPr>
      </w:pPr>
      <w:r>
        <w:rPr>
          <w:bCs/>
          <w:iCs/>
          <w:sz w:val="20"/>
          <w:lang w:eastAsia="ru-RU"/>
        </w:rPr>
        <w:t>Equation (4) can be reduced to the traditional Gurson-Tvergaard-Needleman form if the difference between σ</w:t>
      </w:r>
      <w:r>
        <w:rPr>
          <w:bCs/>
          <w:iCs/>
          <w:sz w:val="20"/>
          <w:vertAlign w:val="superscript"/>
          <w:lang w:eastAsia="ru-RU"/>
        </w:rPr>
        <w:t>t</w:t>
      </w:r>
      <w:r>
        <w:rPr>
          <w:bCs/>
          <w:iCs/>
          <w:sz w:val="20"/>
          <w:vertAlign w:val="subscript"/>
          <w:lang w:eastAsia="ru-RU"/>
        </w:rPr>
        <w:t>s</w:t>
      </w:r>
      <w:r>
        <w:rPr>
          <w:bCs/>
          <w:iCs/>
          <w:sz w:val="20"/>
          <w:lang w:eastAsia="ru-RU"/>
        </w:rPr>
        <w:t xml:space="preserve"> and σ</w:t>
      </w:r>
      <w:r>
        <w:rPr>
          <w:bCs/>
          <w:iCs/>
          <w:sz w:val="20"/>
          <w:vertAlign w:val="superscript"/>
          <w:lang w:eastAsia="ru-RU"/>
        </w:rPr>
        <w:t>c</w:t>
      </w:r>
      <w:r>
        <w:rPr>
          <w:bCs/>
          <w:iCs/>
          <w:sz w:val="20"/>
          <w:vertAlign w:val="subscript"/>
          <w:lang w:eastAsia="ru-RU"/>
        </w:rPr>
        <w:t>s</w:t>
      </w:r>
      <w:r>
        <w:rPr>
          <w:bCs/>
          <w:iCs/>
          <w:sz w:val="20"/>
          <w:lang w:eastAsia="ru-RU"/>
        </w:rPr>
        <w:t xml:space="preserve"> is negligible [8].</w:t>
      </w:r>
    </w:p>
    <w:p w14:paraId="0C2AE2F2" w14:textId="77777777" w:rsidR="00A434AC" w:rsidRDefault="00000000">
      <w:pPr>
        <w:ind w:firstLine="284"/>
        <w:jc w:val="both"/>
        <w:rPr>
          <w:bCs/>
          <w:iCs/>
          <w:sz w:val="20"/>
          <w:lang w:eastAsia="ru-RU"/>
        </w:rPr>
      </w:pPr>
      <w:r>
        <w:rPr>
          <w:bCs/>
          <w:iCs/>
          <w:sz w:val="20"/>
          <w:lang w:eastAsia="ru-RU"/>
        </w:rPr>
        <w:t>Needleman’s damage kinetics equations can be used for determination changes of g* during plastic flow [7, 8, 13].</w:t>
      </w:r>
    </w:p>
    <w:p w14:paraId="64510BC5" w14:textId="77777777" w:rsidR="00A434AC" w:rsidRDefault="00000000">
      <w:pPr>
        <w:ind w:firstLine="284"/>
        <w:jc w:val="both"/>
        <w:rPr>
          <w:bCs/>
          <w:iCs/>
          <w:sz w:val="20"/>
          <w:lang w:eastAsia="ru-RU"/>
        </w:rPr>
      </w:pPr>
      <w:r>
        <w:rPr>
          <w:bCs/>
          <w:iCs/>
          <w:sz w:val="20"/>
          <w:lang w:eastAsia="ru-RU"/>
        </w:rPr>
        <w:t>Experimental true stress versus true strain curves at various strain rates can be used for calibration of constitutive equations Zerilli-Armstrong (ZA) for aluminium and magnesium alloys. The variant of ZA constitutive equation for alloys with a face-centered cubic (FCC) lattice should be used for aluminum alloys [3, 8], and the variant of ZA equation for a subgroup of alloys with a hexagonal close-packed crystal lattice can be used for magnesium alloys [7, 14].</w:t>
      </w:r>
    </w:p>
    <w:p w14:paraId="143D64B4" w14:textId="77777777" w:rsidR="00A434AC" w:rsidRDefault="00000000">
      <w:pPr>
        <w:pStyle w:val="berschrift1"/>
      </w:pPr>
      <w:r w:rsidRPr="005A5CF5">
        <w:t>Results and Discussion</w:t>
      </w:r>
    </w:p>
    <w:p w14:paraId="124D0298" w14:textId="77777777" w:rsidR="00A434AC" w:rsidRDefault="00000000">
      <w:pPr>
        <w:pStyle w:val="Paragraph"/>
        <w:rPr>
          <w:bCs/>
          <w:iCs/>
          <w:lang w:eastAsia="ru-RU"/>
        </w:rPr>
      </w:pPr>
      <w:r>
        <w:rPr>
          <w:bCs/>
          <w:iCs/>
          <w:lang w:eastAsia="ru-RU"/>
        </w:rPr>
        <w:t>Experimental true stress versus true strain obtained at tension and compression of AMg3, AMg6 and MA2-1 alloys under strain rates of 0.1, 100, and 1000 s</w:t>
      </w:r>
      <w:r>
        <w:rPr>
          <w:bCs/>
          <w:iCs/>
          <w:vertAlign w:val="superscript"/>
          <w:lang w:eastAsia="ru-RU"/>
        </w:rPr>
        <w:t>-1</w:t>
      </w:r>
      <w:r>
        <w:rPr>
          <w:bCs/>
          <w:iCs/>
          <w:lang w:eastAsia="ru-RU"/>
        </w:rPr>
        <w:t xml:space="preserve"> are shown in Fig. 2.</w:t>
      </w:r>
    </w:p>
    <w:p w14:paraId="2F693359" w14:textId="77777777" w:rsidR="00A434AC" w:rsidRDefault="00A434AC">
      <w:pPr>
        <w:pStyle w:val="Paragraph"/>
        <w:rPr>
          <w:bCs/>
          <w:iCs/>
          <w:lang w:eastAsia="ru-RU"/>
        </w:rPr>
      </w:pPr>
    </w:p>
    <w:tbl>
      <w:tblPr>
        <w:tblStyle w:val="Tabellenraster"/>
        <w:tblW w:w="9576" w:type="dxa"/>
        <w:tblLayout w:type="fixed"/>
        <w:tblLook w:val="04A0" w:firstRow="1" w:lastRow="0" w:firstColumn="1" w:lastColumn="0" w:noHBand="0" w:noVBand="1"/>
      </w:tblPr>
      <w:tblGrid>
        <w:gridCol w:w="4789"/>
        <w:gridCol w:w="4787"/>
      </w:tblGrid>
      <w:tr w:rsidR="00A434AC" w14:paraId="7FBEAF80" w14:textId="77777777" w:rsidTr="005845DD">
        <w:tc>
          <w:tcPr>
            <w:tcW w:w="4788" w:type="dxa"/>
            <w:tcBorders>
              <w:top w:val="nil"/>
              <w:left w:val="nil"/>
              <w:bottom w:val="nil"/>
              <w:right w:val="nil"/>
            </w:tcBorders>
          </w:tcPr>
          <w:p w14:paraId="71E3A4A9" w14:textId="7FAD607F" w:rsidR="00A434AC" w:rsidRDefault="00000000" w:rsidP="005845DD">
            <w:pPr>
              <w:pStyle w:val="Paragraph"/>
              <w:ind w:firstLine="0"/>
              <w:jc w:val="center"/>
              <w:rPr>
                <w:bCs/>
                <w:iCs/>
                <w:lang w:eastAsia="ru-RU"/>
              </w:rPr>
            </w:pPr>
            <w:r>
              <w:pict w14:anchorId="7AF9A94E">
                <v:shape id="_x0000_tole_rId12" o:spid="_x0000_s1045" type="#_x0000_t75" style="position:absolute;left:0;text-align:left;margin-left:0;margin-top:0;width:50pt;height:50pt;z-index:251655168;visibility:hidden">
                  <o:lock v:ext="edit" selection="t"/>
                </v:shape>
              </w:pict>
            </w:r>
            <w:r w:rsidR="005845DD">
              <w:object w:dxaOrig="4920" w:dyaOrig="3720" w14:anchorId="56E10354">
                <v:shape id="ole_rId12" o:spid="_x0000_i1029" type="#_x0000_t75" style="width:246pt;height:172.5pt;visibility:visible;mso-wrap-distance-right:0" o:ole="">
                  <v:imagedata r:id="rId18" o:title="" croptop="4722f"/>
                </v:shape>
                <o:OLEObject Type="Embed" ProgID="Origin95.Graph" ShapeID="ole_rId12" DrawAspect="Content" ObjectID="_1825922788" r:id="rId19"/>
              </w:object>
            </w:r>
            <w:r>
              <w:t>(a)</w:t>
            </w:r>
          </w:p>
        </w:tc>
        <w:tc>
          <w:tcPr>
            <w:tcW w:w="4787" w:type="dxa"/>
            <w:tcBorders>
              <w:top w:val="nil"/>
              <w:left w:val="nil"/>
              <w:bottom w:val="nil"/>
              <w:right w:val="nil"/>
            </w:tcBorders>
          </w:tcPr>
          <w:p w14:paraId="4530E49A" w14:textId="57376634" w:rsidR="00A434AC" w:rsidRDefault="00000000">
            <w:pPr>
              <w:pStyle w:val="Paragraph"/>
              <w:ind w:firstLine="0"/>
              <w:jc w:val="center"/>
              <w:rPr>
                <w:bCs/>
                <w:iCs/>
                <w:lang w:eastAsia="ru-RU"/>
              </w:rPr>
            </w:pPr>
            <w:r>
              <w:pict w14:anchorId="1149A03C">
                <v:shape id="_x0000_tole_rId14" o:spid="_x0000_s1043" type="#_x0000_t75" style="position:absolute;left:0;text-align:left;margin-left:0;margin-top:0;width:50pt;height:50pt;z-index:251656192;visibility:hidden;mso-position-horizontal-relative:text;mso-position-vertical-relative:text">
                  <o:lock v:ext="edit" selection="t"/>
                </v:shape>
              </w:pict>
            </w:r>
            <w:r w:rsidR="005845DD">
              <w:object w:dxaOrig="4920" w:dyaOrig="3726" w14:anchorId="5094D4CB">
                <v:shape id="ole_rId14" o:spid="_x0000_i1030" type="#_x0000_t75" style="width:246pt;height:173.5pt;visibility:visible;mso-wrap-distance-right:0" o:ole="">
                  <v:imagedata r:id="rId20" o:title="" croptop="4568f"/>
                </v:shape>
                <o:OLEObject Type="Embed" ProgID="Origin95.Graph" ShapeID="ole_rId14" DrawAspect="Content" ObjectID="_1825922789" r:id="rId21"/>
              </w:object>
            </w:r>
            <w:r>
              <w:t xml:space="preserve"> (b)</w:t>
            </w:r>
          </w:p>
        </w:tc>
      </w:tr>
      <w:tr w:rsidR="00A434AC" w14:paraId="5C405ACA" w14:textId="77777777" w:rsidTr="005845DD">
        <w:trPr>
          <w:trHeight w:val="3808"/>
        </w:trPr>
        <w:tc>
          <w:tcPr>
            <w:tcW w:w="9575" w:type="dxa"/>
            <w:gridSpan w:val="2"/>
            <w:tcBorders>
              <w:top w:val="nil"/>
              <w:left w:val="nil"/>
              <w:bottom w:val="nil"/>
              <w:right w:val="nil"/>
            </w:tcBorders>
          </w:tcPr>
          <w:p w14:paraId="515FAD3F" w14:textId="0CC9AC20" w:rsidR="00A434AC" w:rsidRDefault="00000000">
            <w:pPr>
              <w:pStyle w:val="Paragraph"/>
              <w:jc w:val="center"/>
              <w:rPr>
                <w:lang w:val="ru-RU"/>
              </w:rPr>
            </w:pPr>
            <w:r>
              <w:pict w14:anchorId="78B45605">
                <v:shape id="_x0000_tole_rId16" o:spid="_x0000_s1041" type="#_x0000_t75" style="position:absolute;left:0;text-align:left;margin-left:0;margin-top:0;width:50pt;height:50pt;z-index:251657216;visibility:hidden;mso-position-horizontal-relative:text;mso-position-vertical-relative:text">
                  <o:lock v:ext="edit" selection="t"/>
                </v:shape>
              </w:pict>
            </w:r>
            <w:r w:rsidR="005845DD">
              <w:object w:dxaOrig="6174" w:dyaOrig="4726" w14:anchorId="3954FBB2">
                <v:shape id="ole_rId16" o:spid="_x0000_i1031" type="#_x0000_t75" style="width:246pt;height:174.5pt;visibility:visible;mso-wrap-distance-right:0" o:ole="">
                  <v:imagedata r:id="rId22" o:title="" croptop="4217f"/>
                </v:shape>
                <o:OLEObject Type="Embed" ProgID="Origin95.Graph" ShapeID="ole_rId16" DrawAspect="Content" ObjectID="_1825922790" r:id="rId23"/>
              </w:object>
            </w:r>
          </w:p>
          <w:p w14:paraId="5E862B84" w14:textId="77777777" w:rsidR="00A434AC" w:rsidRDefault="00000000">
            <w:pPr>
              <w:pStyle w:val="Paragraph"/>
              <w:jc w:val="center"/>
              <w:rPr>
                <w:bCs/>
                <w:iCs/>
                <w:lang w:eastAsia="ru-RU"/>
              </w:rPr>
            </w:pPr>
            <w:r>
              <w:t>(c)</w:t>
            </w:r>
          </w:p>
        </w:tc>
      </w:tr>
    </w:tbl>
    <w:p w14:paraId="2BE7F08B" w14:textId="7C3703CB" w:rsidR="00A434AC" w:rsidRPr="00753EB8" w:rsidRDefault="005845DD" w:rsidP="00753EB8">
      <w:pPr>
        <w:pStyle w:val="FigureCaption"/>
      </w:pPr>
      <w:r w:rsidRPr="005845DD">
        <w:rPr>
          <w:b/>
          <w:bCs/>
        </w:rPr>
        <w:t>FIGURE 2.</w:t>
      </w:r>
      <w:r w:rsidRPr="00753EB8">
        <w:t xml:space="preserve"> Experimental true stress versus true strain of AMg3 (a) curves 1, 4 at strain rate of 1000 s-1; curves 2, 5 at 100 s-</w:t>
      </w:r>
      <w:proofErr w:type="gramStart"/>
      <w:r w:rsidRPr="00753EB8">
        <w:t>1;  curves</w:t>
      </w:r>
      <w:proofErr w:type="gramEnd"/>
      <w:r w:rsidRPr="00753EB8">
        <w:t xml:space="preserve"> 3, 6 at 0.1 s-1; AMg6 (b</w:t>
      </w:r>
      <w:proofErr w:type="gramStart"/>
      <w:r w:rsidRPr="00753EB8">
        <w:t>) ,</w:t>
      </w:r>
      <w:proofErr w:type="gramEnd"/>
      <w:r w:rsidRPr="00753EB8">
        <w:t xml:space="preserve"> MA2-1 (c</w:t>
      </w:r>
      <w:proofErr w:type="gramStart"/>
      <w:r w:rsidRPr="00753EB8">
        <w:t>) .</w:t>
      </w:r>
      <w:proofErr w:type="gramEnd"/>
      <w:r w:rsidRPr="00753EB8">
        <w:t xml:space="preserve"> Initiation of localization bands shown by filled square symbols the under tension, and filled rhombic symbols under compression</w:t>
      </w:r>
    </w:p>
    <w:p w14:paraId="7C03D351" w14:textId="77777777" w:rsidR="00A434AC" w:rsidRDefault="00A434AC">
      <w:pPr>
        <w:pStyle w:val="Paragraph"/>
        <w:rPr>
          <w:lang w:eastAsia="ru-RU"/>
        </w:rPr>
      </w:pPr>
    </w:p>
    <w:p w14:paraId="39CECDED" w14:textId="77777777" w:rsidR="00A434AC" w:rsidRDefault="00000000">
      <w:pPr>
        <w:pStyle w:val="Paragraph"/>
        <w:ind w:firstLine="289"/>
        <w:rPr>
          <w:bCs/>
          <w:iCs/>
          <w:lang w:eastAsia="ru-RU"/>
        </w:rPr>
      </w:pPr>
      <w:r>
        <w:rPr>
          <w:bCs/>
          <w:iCs/>
          <w:lang w:eastAsia="ru-RU"/>
        </w:rPr>
        <w:t>The true stress – true strain curves under tension of AMg3 alloy at strain rates of 1000, 100, and 0.1 s-1 exhibit states that satisfy the plastic flow instability criterion (2). These conditions are shown on the curves by filled square symbols. The strain localization develops and specimen neck before failure formed when the equivalent plastic strain exceeds the critical values depending on strain rates and temperatures. Experimental results obtained during compression tests of the AMg3 alloy showed that the true stress – true strain curves do not contain states that satisfy criterion (2). These results are confirmed by an analysis of the strain state of the specimens after compression testing. Photographs of the specimens after testing are shown in Fig. 3(a), (b), (c).</w:t>
      </w:r>
    </w:p>
    <w:p w14:paraId="4DBECE8B" w14:textId="77777777" w:rsidR="00A434AC" w:rsidRDefault="00000000">
      <w:pPr>
        <w:pStyle w:val="Paragraph"/>
        <w:ind w:firstLine="289"/>
        <w:rPr>
          <w:bCs/>
          <w:iCs/>
          <w:lang w:eastAsia="ru-RU"/>
        </w:rPr>
      </w:pPr>
      <w:r>
        <w:rPr>
          <w:bCs/>
          <w:iCs/>
          <w:lang w:eastAsia="ru-RU"/>
        </w:rPr>
        <w:t xml:space="preserve">Similar results were obtained when testing specimens of the stronger AMg6 aluminum alloy. Plastic flow instability occurred at the strain ~0.1 under uniaxial tension of AMg6 specimens, leading to the formation of a region of macro localized deformation before failure. However, under uniaxial compression in the strain </w:t>
      </w:r>
      <w:proofErr w:type="gramStart"/>
      <w:r>
        <w:rPr>
          <w:bCs/>
          <w:iCs/>
          <w:lang w:eastAsia="ru-RU"/>
        </w:rPr>
        <w:t>rate</w:t>
      </w:r>
      <w:proofErr w:type="gramEnd"/>
      <w:r>
        <w:rPr>
          <w:bCs/>
          <w:iCs/>
          <w:lang w:eastAsia="ru-RU"/>
        </w:rPr>
        <w:t xml:space="preserve"> range from 0.1 to 1000 s</w:t>
      </w:r>
      <w:r>
        <w:rPr>
          <w:bCs/>
          <w:iCs/>
          <w:vertAlign w:val="superscript"/>
          <w:lang w:eastAsia="ru-RU"/>
        </w:rPr>
        <w:t>-1</w:t>
      </w:r>
      <w:r>
        <w:rPr>
          <w:bCs/>
          <w:iCs/>
          <w:lang w:eastAsia="ru-RU"/>
        </w:rPr>
        <w:t xml:space="preserve">, plastic flow instability did not occur. Photographs of the specimens without any signs of shear localization after testing are shown in Fig. 3(d), (e), (f). </w:t>
      </w:r>
    </w:p>
    <w:p w14:paraId="139C2B8F" w14:textId="4ADBF4C2" w:rsidR="00A434AC" w:rsidRDefault="00000000" w:rsidP="005845DD">
      <w:pPr>
        <w:pStyle w:val="Paragraph"/>
        <w:ind w:firstLine="289"/>
        <w:rPr>
          <w:bCs/>
          <w:iCs/>
          <w:lang w:eastAsia="ru-RU"/>
        </w:rPr>
      </w:pPr>
      <w:r>
        <w:rPr>
          <w:bCs/>
          <w:iCs/>
          <w:lang w:eastAsia="ru-RU"/>
        </w:rPr>
        <w:t xml:space="preserve">Under uniaxial tension of the AMg6 alloy, the equivalent plastic strain at which instability occurred insignificantly decreased with increasing strain rate. The change in the conditions for the onset of plastic flow instability under uniaxial tension of AMg3 and AMg6 alloys is due to differences in the strain hardening patterns of the alloys at equivalent strain rates and temperatures. This is </w:t>
      </w:r>
      <w:proofErr w:type="gramStart"/>
      <w:r>
        <w:rPr>
          <w:bCs/>
          <w:iCs/>
          <w:lang w:eastAsia="ru-RU"/>
        </w:rPr>
        <w:t>due to the effect</w:t>
      </w:r>
      <w:proofErr w:type="gramEnd"/>
      <w:r>
        <w:rPr>
          <w:bCs/>
          <w:iCs/>
          <w:lang w:eastAsia="ru-RU"/>
        </w:rPr>
        <w:t xml:space="preserve"> on the strain hardening patterns of the higher magnesium mass concentration in the AMg6 alloy.</w:t>
      </w:r>
    </w:p>
    <w:tbl>
      <w:tblPr>
        <w:tblStyle w:val="Tabellenraster"/>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7"/>
        <w:gridCol w:w="1579"/>
        <w:gridCol w:w="1639"/>
        <w:gridCol w:w="1565"/>
        <w:gridCol w:w="1562"/>
        <w:gridCol w:w="1574"/>
      </w:tblGrid>
      <w:tr w:rsidR="00A434AC" w14:paraId="2412529F" w14:textId="77777777" w:rsidTr="005845DD">
        <w:tc>
          <w:tcPr>
            <w:tcW w:w="1657" w:type="dxa"/>
            <w:vAlign w:val="center"/>
          </w:tcPr>
          <w:p w14:paraId="693FD793" w14:textId="77777777" w:rsidR="00A434AC" w:rsidRDefault="00000000">
            <w:pPr>
              <w:jc w:val="center"/>
              <w:rPr>
                <w:bCs/>
                <w:iCs/>
                <w:sz w:val="20"/>
                <w:lang w:eastAsia="ru-RU"/>
              </w:rPr>
            </w:pPr>
            <w:r>
              <w:lastRenderedPageBreak/>
              <w:pict w14:anchorId="0C48BB80">
                <v:shape id="_x0000_tole_rId18" o:spid="_x0000_s1039" type="#_x0000_t75" style="position:absolute;left:0;text-align:left;margin-left:0;margin-top:0;width:50pt;height:50pt;z-index:251658240;visibility:hidden">
                  <o:lock v:ext="edit" selection="t"/>
                </v:shape>
              </w:pict>
            </w:r>
            <w:r>
              <w:object w:dxaOrig="1440" w:dyaOrig="1668" w14:anchorId="5D4DDD30">
                <v:shape id="ole_rId18" o:spid="_x0000_i1032" type="#_x0000_t75" style="width:1in;height:83.5pt;visibility:visible;mso-wrap-distance-right:0" o:ole="">
                  <v:imagedata r:id="rId24" o:title=""/>
                </v:shape>
                <o:OLEObject Type="Embed" ProgID="PBrush" ShapeID="ole_rId18" DrawAspect="Content" ObjectID="_1825922791" r:id="rId25"/>
              </w:object>
            </w:r>
          </w:p>
        </w:tc>
        <w:tc>
          <w:tcPr>
            <w:tcW w:w="1579" w:type="dxa"/>
            <w:vAlign w:val="center"/>
          </w:tcPr>
          <w:p w14:paraId="513E1F4F" w14:textId="77777777" w:rsidR="00A434AC" w:rsidRDefault="00000000">
            <w:pPr>
              <w:jc w:val="center"/>
              <w:rPr>
                <w:bCs/>
                <w:iCs/>
                <w:sz w:val="20"/>
                <w:lang w:eastAsia="ru-RU"/>
              </w:rPr>
            </w:pPr>
            <w:r>
              <w:pict w14:anchorId="0F2B636A">
                <v:shape id="_x0000_tole_rId20" o:spid="_x0000_s1037" type="#_x0000_t75" style="position:absolute;left:0;text-align:left;margin-left:0;margin-top:0;width:50pt;height:50pt;z-index:251659264;visibility:hidden;mso-position-horizontal-relative:text;mso-position-vertical-relative:text">
                  <o:lock v:ext="edit" selection="t"/>
                </v:shape>
              </w:pict>
            </w:r>
            <w:r>
              <w:object w:dxaOrig="1212" w:dyaOrig="1524" w14:anchorId="0E919F58">
                <v:shape id="ole_rId20" o:spid="_x0000_i1033" type="#_x0000_t75" style="width:60.5pt;height:76pt;visibility:visible;mso-wrap-distance-right:0" o:ole="">
                  <v:imagedata r:id="rId26" o:title=""/>
                </v:shape>
                <o:OLEObject Type="Embed" ProgID="PBrush" ShapeID="ole_rId20" DrawAspect="Content" ObjectID="_1825922792" r:id="rId27"/>
              </w:object>
            </w:r>
          </w:p>
        </w:tc>
        <w:tc>
          <w:tcPr>
            <w:tcW w:w="1639" w:type="dxa"/>
            <w:vAlign w:val="center"/>
          </w:tcPr>
          <w:p w14:paraId="5743EBAB" w14:textId="77777777" w:rsidR="00A434AC" w:rsidRDefault="00000000">
            <w:pPr>
              <w:jc w:val="center"/>
              <w:rPr>
                <w:bCs/>
                <w:iCs/>
                <w:sz w:val="20"/>
                <w:lang w:eastAsia="ru-RU"/>
              </w:rPr>
            </w:pPr>
            <w:r>
              <w:pict w14:anchorId="039AB18A">
                <v:shape id="_x0000_tole_rId22" o:spid="_x0000_s1035" type="#_x0000_t75" style="position:absolute;left:0;text-align:left;margin-left:0;margin-top:0;width:50pt;height:50pt;z-index:251660288;visibility:hidden;mso-position-horizontal-relative:text;mso-position-vertical-relative:text">
                  <o:lock v:ext="edit" selection="t"/>
                </v:shape>
              </w:pict>
            </w:r>
            <w:r>
              <w:object w:dxaOrig="7189" w:dyaOrig="8485" w14:anchorId="6099A1F2">
                <v:shape id="ole_rId22" o:spid="_x0000_i1034" type="#_x0000_t75" style="width:68.5pt;height:81.5pt;visibility:visible;mso-wrap-distance-right:0" o:ole="">
                  <v:imagedata r:id="rId28" o:title=""/>
                </v:shape>
                <o:OLEObject Type="Embed" ProgID="PBrush" ShapeID="ole_rId22" DrawAspect="Content" ObjectID="_1825922793" r:id="rId29"/>
              </w:object>
            </w:r>
          </w:p>
        </w:tc>
        <w:tc>
          <w:tcPr>
            <w:tcW w:w="1565" w:type="dxa"/>
            <w:vAlign w:val="center"/>
          </w:tcPr>
          <w:p w14:paraId="63B4F462" w14:textId="77777777" w:rsidR="00A434AC" w:rsidRDefault="00000000">
            <w:pPr>
              <w:jc w:val="center"/>
              <w:rPr>
                <w:bCs/>
                <w:iCs/>
                <w:sz w:val="20"/>
                <w:lang w:eastAsia="ru-RU"/>
              </w:rPr>
            </w:pPr>
            <w:r>
              <w:pict w14:anchorId="00E69E34">
                <v:shape id="_x0000_tole_rId24" o:spid="_x0000_s1033" type="#_x0000_t75" style="position:absolute;left:0;text-align:left;margin-left:0;margin-top:0;width:50pt;height:50pt;z-index:251661312;visibility:hidden;mso-position-horizontal-relative:text;mso-position-vertical-relative:text">
                  <o:lock v:ext="edit" selection="t"/>
                </v:shape>
              </w:pict>
            </w:r>
            <w:r>
              <w:object w:dxaOrig="1224" w:dyaOrig="1764" w14:anchorId="2A4FE9D6">
                <v:shape id="ole_rId24" o:spid="_x0000_i1035" type="#_x0000_t75" style="width:61pt;height:88pt;visibility:visible;mso-wrap-distance-right:0" o:ole="">
                  <v:imagedata r:id="rId30" o:title=""/>
                </v:shape>
                <o:OLEObject Type="Embed" ProgID="PBrush" ShapeID="ole_rId24" DrawAspect="Content" ObjectID="_1825922794" r:id="rId31"/>
              </w:object>
            </w:r>
          </w:p>
        </w:tc>
        <w:tc>
          <w:tcPr>
            <w:tcW w:w="1562" w:type="dxa"/>
            <w:vAlign w:val="center"/>
          </w:tcPr>
          <w:p w14:paraId="301037B5" w14:textId="77777777" w:rsidR="00A434AC" w:rsidRDefault="00000000">
            <w:pPr>
              <w:jc w:val="center"/>
              <w:rPr>
                <w:bCs/>
                <w:iCs/>
                <w:sz w:val="20"/>
                <w:lang w:eastAsia="ru-RU"/>
              </w:rPr>
            </w:pPr>
            <w:r>
              <w:pict w14:anchorId="56CA9261">
                <v:shape id="_x0000_tole_rId26" o:spid="_x0000_s1031" type="#_x0000_t75" style="position:absolute;left:0;text-align:left;margin-left:0;margin-top:0;width:50pt;height:50pt;z-index:251662336;visibility:hidden;mso-position-horizontal-relative:text;mso-position-vertical-relative:text">
                  <o:lock v:ext="edit" selection="t"/>
                </v:shape>
              </w:pict>
            </w:r>
            <w:r>
              <w:object w:dxaOrig="1188" w:dyaOrig="1596" w14:anchorId="345E7E33">
                <v:shape id="ole_rId26" o:spid="_x0000_i1036" type="#_x0000_t75" style="width:59.5pt;height:80pt;visibility:visible;mso-wrap-distance-right:0" o:ole="">
                  <v:imagedata r:id="rId32" o:title=""/>
                </v:shape>
                <o:OLEObject Type="Embed" ProgID="PBrush" ShapeID="ole_rId26" DrawAspect="Content" ObjectID="_1825922795" r:id="rId33"/>
              </w:object>
            </w:r>
          </w:p>
        </w:tc>
        <w:tc>
          <w:tcPr>
            <w:tcW w:w="1574" w:type="dxa"/>
          </w:tcPr>
          <w:p w14:paraId="7935E800" w14:textId="77777777" w:rsidR="00A434AC" w:rsidRDefault="00000000">
            <w:pPr>
              <w:jc w:val="both"/>
              <w:rPr>
                <w:bCs/>
                <w:iCs/>
                <w:sz w:val="20"/>
                <w:lang w:eastAsia="ru-RU"/>
              </w:rPr>
            </w:pPr>
            <w:r>
              <w:pict w14:anchorId="281C3C5A">
                <v:shape id="_x0000_tole_rId28" o:spid="_x0000_s1029" type="#_x0000_t75" style="position:absolute;left:0;text-align:left;margin-left:0;margin-top:0;width:50pt;height:50pt;z-index:251663360;visibility:hidden;mso-position-horizontal-relative:text;mso-position-vertical-relative:text">
                  <o:lock v:ext="edit" selection="t"/>
                </v:shape>
              </w:pict>
            </w:r>
            <w:r>
              <w:object w:dxaOrig="1296" w:dyaOrig="1698" w14:anchorId="5E4409A8">
                <v:shape id="ole_rId28" o:spid="_x0000_i1037" type="#_x0000_t75" style="width:65pt;height:85pt;visibility:visible;mso-wrap-distance-right:0" o:ole="">
                  <v:imagedata r:id="rId34" o:title=""/>
                </v:shape>
                <o:OLEObject Type="Embed" ProgID="PBrush" ShapeID="ole_rId28" DrawAspect="Content" ObjectID="_1825922796" r:id="rId35"/>
              </w:object>
            </w:r>
          </w:p>
        </w:tc>
      </w:tr>
      <w:tr w:rsidR="00A434AC" w14:paraId="03330CD1" w14:textId="77777777" w:rsidTr="005845DD">
        <w:tc>
          <w:tcPr>
            <w:tcW w:w="1657" w:type="dxa"/>
          </w:tcPr>
          <w:p w14:paraId="6DF852BC" w14:textId="77777777" w:rsidR="00A434AC" w:rsidRDefault="00000000">
            <w:pPr>
              <w:jc w:val="center"/>
            </w:pPr>
            <w:r>
              <w:rPr>
                <w:color w:val="000000"/>
                <w:sz w:val="18"/>
                <w:szCs w:val="18"/>
                <w:lang w:eastAsia="ru-RU"/>
              </w:rPr>
              <w:t>(a)</w:t>
            </w:r>
          </w:p>
        </w:tc>
        <w:tc>
          <w:tcPr>
            <w:tcW w:w="1579" w:type="dxa"/>
          </w:tcPr>
          <w:p w14:paraId="6A8AE03E" w14:textId="77777777" w:rsidR="00A434AC" w:rsidRDefault="00000000">
            <w:pPr>
              <w:jc w:val="center"/>
            </w:pPr>
            <w:r>
              <w:rPr>
                <w:color w:val="000000"/>
                <w:sz w:val="18"/>
                <w:szCs w:val="18"/>
                <w:lang w:eastAsia="ru-RU"/>
              </w:rPr>
              <w:t>(b)</w:t>
            </w:r>
          </w:p>
        </w:tc>
        <w:tc>
          <w:tcPr>
            <w:tcW w:w="1639" w:type="dxa"/>
          </w:tcPr>
          <w:p w14:paraId="6CC9A4BB" w14:textId="77777777" w:rsidR="00A434AC" w:rsidRDefault="00000000">
            <w:pPr>
              <w:jc w:val="center"/>
            </w:pPr>
            <w:r>
              <w:rPr>
                <w:color w:val="000000"/>
                <w:sz w:val="18"/>
                <w:szCs w:val="18"/>
                <w:lang w:eastAsia="ru-RU"/>
              </w:rPr>
              <w:t>(c)</w:t>
            </w:r>
          </w:p>
        </w:tc>
        <w:tc>
          <w:tcPr>
            <w:tcW w:w="1565" w:type="dxa"/>
          </w:tcPr>
          <w:p w14:paraId="0EC17D97" w14:textId="77777777" w:rsidR="00A434AC" w:rsidRDefault="00000000">
            <w:pPr>
              <w:jc w:val="center"/>
              <w:rPr>
                <w:bCs/>
                <w:iCs/>
                <w:sz w:val="20"/>
                <w:lang w:eastAsia="ru-RU"/>
              </w:rPr>
            </w:pPr>
            <w:r>
              <w:rPr>
                <w:bCs/>
                <w:iCs/>
                <w:sz w:val="20"/>
                <w:lang w:eastAsia="ru-RU"/>
              </w:rPr>
              <w:t>(d)</w:t>
            </w:r>
          </w:p>
        </w:tc>
        <w:tc>
          <w:tcPr>
            <w:tcW w:w="1562" w:type="dxa"/>
          </w:tcPr>
          <w:p w14:paraId="2FFBD3D0" w14:textId="77777777" w:rsidR="00A434AC" w:rsidRDefault="00000000">
            <w:pPr>
              <w:jc w:val="center"/>
              <w:rPr>
                <w:bCs/>
                <w:iCs/>
                <w:sz w:val="20"/>
                <w:lang w:eastAsia="ru-RU"/>
              </w:rPr>
            </w:pPr>
            <w:r>
              <w:rPr>
                <w:bCs/>
                <w:iCs/>
                <w:sz w:val="20"/>
                <w:lang w:eastAsia="ru-RU"/>
              </w:rPr>
              <w:t>(e)</w:t>
            </w:r>
          </w:p>
        </w:tc>
        <w:tc>
          <w:tcPr>
            <w:tcW w:w="1574" w:type="dxa"/>
          </w:tcPr>
          <w:p w14:paraId="6AF990C0" w14:textId="77777777" w:rsidR="00A434AC" w:rsidRDefault="00000000">
            <w:pPr>
              <w:jc w:val="center"/>
              <w:rPr>
                <w:bCs/>
                <w:iCs/>
                <w:sz w:val="20"/>
                <w:lang w:eastAsia="ru-RU"/>
              </w:rPr>
            </w:pPr>
            <w:r>
              <w:rPr>
                <w:bCs/>
                <w:iCs/>
                <w:sz w:val="20"/>
                <w:lang w:eastAsia="ru-RU"/>
              </w:rPr>
              <w:t>(f)</w:t>
            </w:r>
          </w:p>
        </w:tc>
      </w:tr>
    </w:tbl>
    <w:p w14:paraId="6A714B62" w14:textId="742E8E4D" w:rsidR="00A434AC" w:rsidRDefault="00000000" w:rsidP="00753EB8">
      <w:pPr>
        <w:pStyle w:val="FigureCaption"/>
      </w:pPr>
      <w:r>
        <w:rPr>
          <w:b/>
          <w:caps/>
        </w:rPr>
        <w:t>Figure</w:t>
      </w:r>
      <w:r>
        <w:rPr>
          <w:b/>
        </w:rPr>
        <w:t xml:space="preserve"> 3.</w:t>
      </w:r>
      <w:r>
        <w:t xml:space="preserve"> Photographs of AMg3 samples after dynamic compression at strain rates of 1000 s</w:t>
      </w:r>
      <w:r>
        <w:rPr>
          <w:vertAlign w:val="superscript"/>
        </w:rPr>
        <w:t>-1</w:t>
      </w:r>
      <w:r>
        <w:t xml:space="preserve"> (a), 100 s</w:t>
      </w:r>
      <w:r>
        <w:rPr>
          <w:vertAlign w:val="superscript"/>
        </w:rPr>
        <w:t>-1</w:t>
      </w:r>
      <w:r>
        <w:t xml:space="preserve"> (b), 0.1 s</w:t>
      </w:r>
      <w:r>
        <w:rPr>
          <w:vertAlign w:val="superscript"/>
        </w:rPr>
        <w:t>-1</w:t>
      </w:r>
      <w:r>
        <w:t xml:space="preserve"> (c);</w:t>
      </w:r>
      <w:r w:rsidR="00753EB8">
        <w:t xml:space="preserve"> </w:t>
      </w:r>
      <w:r>
        <w:t>of AMg6 samples after dynamic compression at strain rates of 1000 s</w:t>
      </w:r>
      <w:r>
        <w:rPr>
          <w:vertAlign w:val="superscript"/>
        </w:rPr>
        <w:t>-1</w:t>
      </w:r>
      <w:r>
        <w:t xml:space="preserve"> (d), 100 s</w:t>
      </w:r>
      <w:r>
        <w:rPr>
          <w:vertAlign w:val="superscript"/>
        </w:rPr>
        <w:t>-1</w:t>
      </w:r>
      <w:r>
        <w:t xml:space="preserve"> (e), 0.1 s</w:t>
      </w:r>
      <w:r>
        <w:rPr>
          <w:vertAlign w:val="superscript"/>
        </w:rPr>
        <w:t>-1</w:t>
      </w:r>
      <w:r>
        <w:t xml:space="preserve"> (f</w:t>
      </w:r>
      <w:proofErr w:type="gramStart"/>
      <w:r>
        <w:t>);</w:t>
      </w:r>
      <w:proofErr w:type="gramEnd"/>
    </w:p>
    <w:p w14:paraId="1765E451" w14:textId="77777777" w:rsidR="00A434AC" w:rsidRDefault="00A434AC">
      <w:pPr>
        <w:pStyle w:val="Paragraph"/>
        <w:ind w:firstLine="289"/>
        <w:rPr>
          <w:bCs/>
          <w:iCs/>
          <w:lang w:eastAsia="ru-RU"/>
        </w:rPr>
      </w:pPr>
    </w:p>
    <w:p w14:paraId="3AF4B89D" w14:textId="77777777" w:rsidR="00A434AC" w:rsidRDefault="00000000">
      <w:pPr>
        <w:pStyle w:val="Paragraph"/>
        <w:ind w:firstLine="289"/>
        <w:rPr>
          <w:bCs/>
          <w:iCs/>
          <w:lang w:eastAsia="ru-RU"/>
        </w:rPr>
      </w:pPr>
      <w:r>
        <w:rPr>
          <w:bCs/>
          <w:iCs/>
          <w:lang w:eastAsia="ru-RU"/>
        </w:rPr>
        <w:t>The true stress – true strain curves under tension of magnesium alloy at strain rates of 1000, 100, and 0.1 s</w:t>
      </w:r>
      <w:r>
        <w:rPr>
          <w:bCs/>
          <w:iCs/>
          <w:vertAlign w:val="superscript"/>
          <w:lang w:eastAsia="ru-RU"/>
        </w:rPr>
        <w:t>-1</w:t>
      </w:r>
      <w:r>
        <w:rPr>
          <w:bCs/>
          <w:iCs/>
          <w:lang w:eastAsia="ru-RU"/>
        </w:rPr>
        <w:t xml:space="preserve"> exhibit states that satisfy the plastic flow instability criterion (2). Tests were carried out on samples of the MA2-1 alloy under uniaxial tension or compression. The significant difference between the true stress and true strain curves under tension and compression, which can be seen in Fig. 2(c), was discussed earlier by Lei et al. [15]. The results obtained in the work showed that a significant difference in the patterns of strain hardening of magnesium alloy MA2-1 under compression and tension is maintained in a wide range of deformation rates from 0.1 to 1000 s</w:t>
      </w:r>
      <w:r>
        <w:rPr>
          <w:bCs/>
          <w:iCs/>
          <w:vertAlign w:val="superscript"/>
          <w:lang w:eastAsia="ru-RU"/>
        </w:rPr>
        <w:t>-1</w:t>
      </w:r>
      <w:r>
        <w:rPr>
          <w:bCs/>
          <w:iCs/>
          <w:lang w:eastAsia="ru-RU"/>
        </w:rPr>
        <w:t>.</w:t>
      </w:r>
    </w:p>
    <w:p w14:paraId="595B39EC" w14:textId="77777777" w:rsidR="00A434AC" w:rsidRDefault="00000000">
      <w:pPr>
        <w:pStyle w:val="Paragraph"/>
        <w:ind w:firstLine="289"/>
        <w:rPr>
          <w:bCs/>
          <w:iCs/>
          <w:lang w:eastAsia="ru-RU"/>
        </w:rPr>
      </w:pPr>
      <w:r>
        <w:rPr>
          <w:bCs/>
          <w:iCs/>
          <w:lang w:eastAsia="ru-RU"/>
        </w:rPr>
        <w:t xml:space="preserve">The plastic flow instability was discovered under uniaxial tension at all studied strain rates and under compression at strain </w:t>
      </w:r>
      <w:proofErr w:type="gramStart"/>
      <w:r>
        <w:rPr>
          <w:bCs/>
          <w:iCs/>
          <w:lang w:eastAsia="ru-RU"/>
        </w:rPr>
        <w:t>rate</w:t>
      </w:r>
      <w:proofErr w:type="gramEnd"/>
      <w:r>
        <w:rPr>
          <w:bCs/>
          <w:iCs/>
          <w:lang w:eastAsia="ru-RU"/>
        </w:rPr>
        <w:t xml:space="preserve"> </w:t>
      </w:r>
      <w:proofErr w:type="gramStart"/>
      <w:r>
        <w:rPr>
          <w:bCs/>
          <w:iCs/>
          <w:lang w:eastAsia="ru-RU"/>
        </w:rPr>
        <w:t>above of the</w:t>
      </w:r>
      <w:proofErr w:type="gramEnd"/>
      <w:r>
        <w:rPr>
          <w:bCs/>
          <w:iCs/>
          <w:lang w:eastAsia="ru-RU"/>
        </w:rPr>
        <w:t xml:space="preserve"> 100 s</w:t>
      </w:r>
      <w:r>
        <w:rPr>
          <w:bCs/>
          <w:iCs/>
          <w:vertAlign w:val="superscript"/>
          <w:lang w:eastAsia="ru-RU"/>
        </w:rPr>
        <w:t>-1</w:t>
      </w:r>
      <w:r>
        <w:rPr>
          <w:bCs/>
          <w:iCs/>
          <w:lang w:eastAsia="ru-RU"/>
        </w:rPr>
        <w:t xml:space="preserve">. Photographs of the specimens after testing are shown in Fig. 4 (a), (b), (c). The specimens after testing with clear signs of shear localization shown in Fig. 4 (a), (b). The true stress vs true strain curves have oscillation caused by </w:t>
      </w:r>
      <w:proofErr w:type="gramStart"/>
      <w:r>
        <w:rPr>
          <w:bCs/>
          <w:iCs/>
          <w:lang w:eastAsia="ru-RU"/>
        </w:rPr>
        <w:t>developing of</w:t>
      </w:r>
      <w:proofErr w:type="gramEnd"/>
      <w:r>
        <w:rPr>
          <w:bCs/>
          <w:iCs/>
          <w:lang w:eastAsia="ru-RU"/>
        </w:rPr>
        <w:t xml:space="preserve"> local shearing of the material volume blocks. </w:t>
      </w:r>
      <w:proofErr w:type="gramStart"/>
      <w:r>
        <w:rPr>
          <w:bCs/>
          <w:iCs/>
          <w:lang w:eastAsia="ru-RU"/>
        </w:rPr>
        <w:t>The stress</w:t>
      </w:r>
      <w:proofErr w:type="gramEnd"/>
      <w:r>
        <w:rPr>
          <w:bCs/>
          <w:iCs/>
          <w:lang w:eastAsia="ru-RU"/>
        </w:rPr>
        <w:t xml:space="preserve"> relaxation starts correlates with the predictions of the occurrence of plastic flow instability based on criterion (2).</w:t>
      </w:r>
    </w:p>
    <w:p w14:paraId="1BC9F93D" w14:textId="77777777" w:rsidR="00A434AC" w:rsidRDefault="00A434AC">
      <w:pPr>
        <w:rPr>
          <w:caps/>
          <w:sz w:val="18"/>
          <w:szCs w:val="18"/>
        </w:rPr>
      </w:pPr>
    </w:p>
    <w:tbl>
      <w:tblPr>
        <w:tblStyle w:val="Tabellenraster"/>
        <w:tblW w:w="9576" w:type="dxa"/>
        <w:tblLayout w:type="fixed"/>
        <w:tblLook w:val="04A0" w:firstRow="1" w:lastRow="0" w:firstColumn="1" w:lastColumn="0" w:noHBand="0" w:noVBand="1"/>
      </w:tblPr>
      <w:tblGrid>
        <w:gridCol w:w="3192"/>
        <w:gridCol w:w="3192"/>
        <w:gridCol w:w="3192"/>
      </w:tblGrid>
      <w:tr w:rsidR="00A434AC" w14:paraId="126BC513" w14:textId="77777777">
        <w:tc>
          <w:tcPr>
            <w:tcW w:w="3192" w:type="dxa"/>
            <w:tcBorders>
              <w:top w:val="nil"/>
              <w:left w:val="nil"/>
              <w:bottom w:val="nil"/>
              <w:right w:val="nil"/>
            </w:tcBorders>
          </w:tcPr>
          <w:p w14:paraId="2E6B5F38" w14:textId="77777777" w:rsidR="00A434AC" w:rsidRDefault="00000000">
            <w:pPr>
              <w:jc w:val="center"/>
              <w:rPr>
                <w:bCs/>
                <w:iCs/>
                <w:sz w:val="20"/>
                <w:lang w:eastAsia="ru-RU"/>
              </w:rPr>
            </w:pPr>
            <w:r>
              <w:rPr>
                <w:noProof/>
              </w:rPr>
              <w:drawing>
                <wp:inline distT="0" distB="0" distL="0" distR="0" wp14:anchorId="73335E60" wp14:editId="14B87BBE">
                  <wp:extent cx="1150620" cy="1435100"/>
                  <wp:effectExtent l="0" t="0" r="0" b="0"/>
                  <wp:docPr id="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6"/>
                          <pic:cNvPicPr>
                            <a:picLocks noChangeAspect="1" noChangeArrowheads="1"/>
                          </pic:cNvPicPr>
                        </pic:nvPicPr>
                        <pic:blipFill>
                          <a:blip r:embed="rId36"/>
                          <a:stretch>
                            <a:fillRect/>
                          </a:stretch>
                        </pic:blipFill>
                        <pic:spPr bwMode="auto">
                          <a:xfrm>
                            <a:off x="0" y="0"/>
                            <a:ext cx="1150620" cy="1435100"/>
                          </a:xfrm>
                          <a:prstGeom prst="rect">
                            <a:avLst/>
                          </a:prstGeom>
                        </pic:spPr>
                      </pic:pic>
                    </a:graphicData>
                  </a:graphic>
                </wp:inline>
              </w:drawing>
            </w:r>
          </w:p>
        </w:tc>
        <w:tc>
          <w:tcPr>
            <w:tcW w:w="3192" w:type="dxa"/>
            <w:tcBorders>
              <w:top w:val="nil"/>
              <w:left w:val="nil"/>
              <w:bottom w:val="nil"/>
              <w:right w:val="nil"/>
            </w:tcBorders>
          </w:tcPr>
          <w:p w14:paraId="6830BAD0" w14:textId="77777777" w:rsidR="00A434AC" w:rsidRDefault="00000000">
            <w:pPr>
              <w:tabs>
                <w:tab w:val="center" w:pos="1488"/>
                <w:tab w:val="right" w:pos="2976"/>
              </w:tabs>
              <w:rPr>
                <w:bCs/>
                <w:iCs/>
                <w:sz w:val="20"/>
                <w:lang w:eastAsia="ru-RU"/>
              </w:rPr>
            </w:pPr>
            <w:r>
              <w:rPr>
                <w:bCs/>
                <w:iCs/>
                <w:sz w:val="20"/>
                <w:lang w:eastAsia="ru-RU"/>
              </w:rPr>
              <w:tab/>
            </w:r>
            <w:r>
              <w:pict w14:anchorId="046FED09">
                <v:shape id="_x0000_tole_rId31" o:spid="_x0000_s1027" type="#_x0000_t75" style="position:absolute;margin-left:0;margin-top:0;width:50pt;height:50pt;z-index:251664384;visibility:hidden;mso-position-horizontal-relative:text;mso-position-vertical-relative:text">
                  <o:lock v:ext="edit" selection="t"/>
                </v:shape>
              </w:pict>
            </w:r>
            <w:r>
              <w:object w:dxaOrig="1320" w:dyaOrig="2250" w14:anchorId="54E530E9">
                <v:shape id="ole_rId31" o:spid="_x0000_i1038" type="#_x0000_t75" style="width:66pt;height:112.5pt;visibility:visible;mso-wrap-distance-right:0" o:ole="">
                  <v:imagedata r:id="rId37" o:title=""/>
                </v:shape>
                <o:OLEObject Type="Embed" ProgID="PBrush" ShapeID="ole_rId31" DrawAspect="Content" ObjectID="_1825922797" r:id="rId38"/>
              </w:object>
            </w:r>
          </w:p>
        </w:tc>
        <w:tc>
          <w:tcPr>
            <w:tcW w:w="3192" w:type="dxa"/>
            <w:tcBorders>
              <w:top w:val="nil"/>
              <w:left w:val="nil"/>
              <w:bottom w:val="nil"/>
              <w:right w:val="nil"/>
            </w:tcBorders>
            <w:vAlign w:val="bottom"/>
          </w:tcPr>
          <w:p w14:paraId="307BA4BD" w14:textId="77777777" w:rsidR="00A434AC" w:rsidRDefault="00000000">
            <w:pPr>
              <w:jc w:val="center"/>
              <w:rPr>
                <w:bCs/>
                <w:iCs/>
                <w:sz w:val="20"/>
                <w:lang w:eastAsia="ru-RU"/>
              </w:rPr>
            </w:pPr>
            <w:r>
              <w:rPr>
                <w:noProof/>
              </w:rPr>
              <w:drawing>
                <wp:inline distT="0" distB="0" distL="0" distR="0" wp14:anchorId="77922EC9" wp14:editId="3E19D48C">
                  <wp:extent cx="1029335" cy="13144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39"/>
                          <a:stretch>
                            <a:fillRect/>
                          </a:stretch>
                        </pic:blipFill>
                        <pic:spPr bwMode="auto">
                          <a:xfrm>
                            <a:off x="0" y="0"/>
                            <a:ext cx="1029335" cy="1314450"/>
                          </a:xfrm>
                          <a:prstGeom prst="rect">
                            <a:avLst/>
                          </a:prstGeom>
                        </pic:spPr>
                      </pic:pic>
                    </a:graphicData>
                  </a:graphic>
                </wp:inline>
              </w:drawing>
            </w:r>
          </w:p>
        </w:tc>
      </w:tr>
      <w:tr w:rsidR="00A434AC" w14:paraId="691348B4" w14:textId="77777777">
        <w:tc>
          <w:tcPr>
            <w:tcW w:w="3192" w:type="dxa"/>
            <w:tcBorders>
              <w:top w:val="nil"/>
              <w:left w:val="nil"/>
              <w:bottom w:val="nil"/>
              <w:right w:val="nil"/>
            </w:tcBorders>
          </w:tcPr>
          <w:p w14:paraId="4B741848" w14:textId="77777777" w:rsidR="00A434AC" w:rsidRDefault="00000000">
            <w:pPr>
              <w:jc w:val="center"/>
              <w:rPr>
                <w:color w:val="000000"/>
                <w:sz w:val="18"/>
                <w:szCs w:val="18"/>
                <w:lang w:eastAsia="ru-RU"/>
              </w:rPr>
            </w:pPr>
            <w:r>
              <w:rPr>
                <w:color w:val="000000"/>
                <w:sz w:val="18"/>
                <w:szCs w:val="18"/>
                <w:lang w:eastAsia="ru-RU"/>
              </w:rPr>
              <w:t>(a)</w:t>
            </w:r>
          </w:p>
        </w:tc>
        <w:tc>
          <w:tcPr>
            <w:tcW w:w="3192" w:type="dxa"/>
            <w:tcBorders>
              <w:top w:val="nil"/>
              <w:left w:val="nil"/>
              <w:bottom w:val="nil"/>
              <w:right w:val="nil"/>
            </w:tcBorders>
          </w:tcPr>
          <w:p w14:paraId="3FD46CB4" w14:textId="77777777" w:rsidR="00A434AC" w:rsidRDefault="00000000">
            <w:pPr>
              <w:jc w:val="center"/>
              <w:rPr>
                <w:color w:val="000000"/>
                <w:sz w:val="18"/>
                <w:szCs w:val="18"/>
                <w:lang w:eastAsia="ru-RU"/>
              </w:rPr>
            </w:pPr>
            <w:r>
              <w:rPr>
                <w:color w:val="000000"/>
                <w:sz w:val="18"/>
                <w:szCs w:val="18"/>
                <w:lang w:eastAsia="ru-RU"/>
              </w:rPr>
              <w:t>(b)</w:t>
            </w:r>
          </w:p>
        </w:tc>
        <w:tc>
          <w:tcPr>
            <w:tcW w:w="3192" w:type="dxa"/>
            <w:tcBorders>
              <w:top w:val="nil"/>
              <w:left w:val="nil"/>
              <w:bottom w:val="nil"/>
              <w:right w:val="nil"/>
            </w:tcBorders>
            <w:vAlign w:val="bottom"/>
          </w:tcPr>
          <w:p w14:paraId="535B1A78" w14:textId="77777777" w:rsidR="00A434AC" w:rsidRDefault="00000000">
            <w:pPr>
              <w:jc w:val="center"/>
              <w:rPr>
                <w:bCs/>
                <w:iCs/>
                <w:sz w:val="18"/>
                <w:szCs w:val="18"/>
                <w:lang w:eastAsia="ru-RU"/>
              </w:rPr>
            </w:pPr>
            <w:r>
              <w:rPr>
                <w:bCs/>
                <w:iCs/>
                <w:sz w:val="18"/>
                <w:szCs w:val="18"/>
                <w:lang w:eastAsia="ru-RU"/>
              </w:rPr>
              <w:t>(c)</w:t>
            </w:r>
          </w:p>
        </w:tc>
      </w:tr>
    </w:tbl>
    <w:p w14:paraId="23D91CCD" w14:textId="77777777" w:rsidR="00A434AC" w:rsidRDefault="00000000" w:rsidP="00753EB8">
      <w:pPr>
        <w:pStyle w:val="FigureCaption"/>
      </w:pPr>
      <w:r>
        <w:rPr>
          <w:b/>
          <w:caps/>
        </w:rPr>
        <w:t>Figure</w:t>
      </w:r>
      <w:r>
        <w:rPr>
          <w:b/>
        </w:rPr>
        <w:t xml:space="preserve"> 4.</w:t>
      </w:r>
      <w:r>
        <w:t xml:space="preserve"> Photographs of MA2-1 alloy samples after dynamic compression at strain rates of 1000 s</w:t>
      </w:r>
      <w:r>
        <w:rPr>
          <w:vertAlign w:val="superscript"/>
        </w:rPr>
        <w:t>-1</w:t>
      </w:r>
      <w:r>
        <w:t xml:space="preserve"> (a), 100 s</w:t>
      </w:r>
      <w:r>
        <w:rPr>
          <w:vertAlign w:val="superscript"/>
        </w:rPr>
        <w:t>-1</w:t>
      </w:r>
      <w:r>
        <w:t xml:space="preserve"> (b), 0.1 s</w:t>
      </w:r>
      <w:r>
        <w:rPr>
          <w:vertAlign w:val="superscript"/>
        </w:rPr>
        <w:t>-1</w:t>
      </w:r>
      <w:r>
        <w:t xml:space="preserve"> (c)</w:t>
      </w:r>
    </w:p>
    <w:p w14:paraId="5B329E2B" w14:textId="77777777" w:rsidR="00A434AC" w:rsidRDefault="00A434AC">
      <w:pPr>
        <w:rPr>
          <w:sz w:val="20"/>
        </w:rPr>
      </w:pPr>
    </w:p>
    <w:p w14:paraId="3FEAAC37" w14:textId="77777777" w:rsidR="00A434AC" w:rsidRDefault="00000000">
      <w:pPr>
        <w:pStyle w:val="berschrift1"/>
        <w:spacing w:before="0" w:after="0"/>
        <w:ind w:firstLine="289"/>
        <w:jc w:val="both"/>
        <w:rPr>
          <w:b w:val="0"/>
          <w:bCs/>
          <w:iCs/>
          <w:caps w:val="0"/>
          <w:sz w:val="20"/>
          <w:lang w:eastAsia="ru-RU"/>
        </w:rPr>
      </w:pPr>
      <w:r>
        <w:rPr>
          <w:b w:val="0"/>
          <w:bCs/>
          <w:iCs/>
          <w:caps w:val="0"/>
          <w:sz w:val="20"/>
          <w:lang w:eastAsia="ru-RU"/>
        </w:rPr>
        <w:t>It was noted that, under compression at strain rates below 10 s</w:t>
      </w:r>
      <w:r>
        <w:rPr>
          <w:b w:val="0"/>
          <w:bCs/>
          <w:iCs/>
          <w:caps w:val="0"/>
          <w:sz w:val="20"/>
          <w:vertAlign w:val="superscript"/>
          <w:lang w:eastAsia="ru-RU"/>
        </w:rPr>
        <w:t>-1</w:t>
      </w:r>
      <w:r>
        <w:rPr>
          <w:b w:val="0"/>
          <w:bCs/>
          <w:iCs/>
          <w:caps w:val="0"/>
          <w:sz w:val="20"/>
          <w:lang w:eastAsia="ru-RU"/>
        </w:rPr>
        <w:t xml:space="preserve">, localized </w:t>
      </w:r>
      <w:proofErr w:type="gramStart"/>
      <w:r>
        <w:rPr>
          <w:b w:val="0"/>
          <w:bCs/>
          <w:iCs/>
          <w:caps w:val="0"/>
          <w:sz w:val="20"/>
          <w:lang w:eastAsia="ru-RU"/>
        </w:rPr>
        <w:t>shear</w:t>
      </w:r>
      <w:proofErr w:type="gramEnd"/>
      <w:r>
        <w:rPr>
          <w:b w:val="0"/>
          <w:bCs/>
          <w:iCs/>
          <w:caps w:val="0"/>
          <w:sz w:val="20"/>
          <w:lang w:eastAsia="ru-RU"/>
        </w:rPr>
        <w:t xml:space="preserve"> of the bulk material blocks does not occur in MA2-1 specimens with </w:t>
      </w:r>
      <w:proofErr w:type="gramStart"/>
      <w:r>
        <w:rPr>
          <w:b w:val="0"/>
          <w:bCs/>
          <w:iCs/>
          <w:caps w:val="0"/>
          <w:sz w:val="20"/>
          <w:lang w:eastAsia="ru-RU"/>
        </w:rPr>
        <w:t>the of the</w:t>
      </w:r>
      <w:proofErr w:type="gramEnd"/>
      <w:r>
        <w:rPr>
          <w:b w:val="0"/>
          <w:bCs/>
          <w:iCs/>
          <w:caps w:val="0"/>
          <w:sz w:val="20"/>
          <w:lang w:eastAsia="ru-RU"/>
        </w:rPr>
        <w:t xml:space="preserve"> indicated geometric characteristics used. As the strain rate increases, plastic flow instability repeatedly occurs in the parts of low deformed specimen. This results in the formation of multiple localized shears in the material. The formation of multiple shears is accompanied by the generation of audible signals in the form of crackling sounds, which correlates with the formation of specimen fragments, which can be seen Fig. 4 (a) and (b).</w:t>
      </w:r>
    </w:p>
    <w:p w14:paraId="55CAF4B6" w14:textId="77777777" w:rsidR="00A434AC" w:rsidRDefault="00000000">
      <w:pPr>
        <w:pStyle w:val="berschrift1"/>
        <w:rPr>
          <w:b w:val="0"/>
          <w:caps w:val="0"/>
          <w:sz w:val="20"/>
        </w:rPr>
      </w:pPr>
      <w:r>
        <w:rPr>
          <w:rFonts w:cstheme="majorBidi"/>
        </w:rPr>
        <w:t>CONCLUSION</w:t>
      </w:r>
    </w:p>
    <w:p w14:paraId="661AC634" w14:textId="77777777" w:rsidR="00A434AC" w:rsidRDefault="00000000">
      <w:pPr>
        <w:ind w:firstLine="284"/>
        <w:jc w:val="both"/>
        <w:rPr>
          <w:bCs/>
          <w:iCs/>
          <w:sz w:val="20"/>
          <w:lang w:eastAsia="ru-RU"/>
        </w:rPr>
      </w:pPr>
      <w:proofErr w:type="gramStart"/>
      <w:r>
        <w:rPr>
          <w:bCs/>
          <w:iCs/>
          <w:sz w:val="20"/>
          <w:lang w:eastAsia="ru-RU"/>
        </w:rPr>
        <w:t>An experimental research</w:t>
      </w:r>
      <w:proofErr w:type="gramEnd"/>
      <w:r>
        <w:rPr>
          <w:bCs/>
          <w:iCs/>
          <w:sz w:val="20"/>
          <w:lang w:eastAsia="ru-RU"/>
        </w:rPr>
        <w:t xml:space="preserve"> of AMg3, AMg6, MA2-1 alloys mechanical response to uniaxial tension and compression at strain rates of 0.1, 100, and 1000 s</w:t>
      </w:r>
      <w:r>
        <w:rPr>
          <w:bCs/>
          <w:iCs/>
          <w:sz w:val="20"/>
          <w:vertAlign w:val="superscript"/>
          <w:lang w:eastAsia="ru-RU"/>
        </w:rPr>
        <w:t>-1</w:t>
      </w:r>
      <w:r>
        <w:rPr>
          <w:bCs/>
          <w:iCs/>
          <w:sz w:val="20"/>
          <w:lang w:eastAsia="ru-RU"/>
        </w:rPr>
        <w:t xml:space="preserve"> at room temperature were carried out. </w:t>
      </w:r>
    </w:p>
    <w:p w14:paraId="2C329BCC" w14:textId="77777777" w:rsidR="00A434AC" w:rsidRDefault="00000000">
      <w:pPr>
        <w:pStyle w:val="Listenabsatz"/>
        <w:numPr>
          <w:ilvl w:val="0"/>
          <w:numId w:val="5"/>
        </w:numPr>
        <w:jc w:val="both"/>
        <w:rPr>
          <w:bCs/>
          <w:iCs/>
          <w:sz w:val="20"/>
          <w:lang w:eastAsia="ru-RU"/>
        </w:rPr>
      </w:pPr>
      <w:r>
        <w:rPr>
          <w:bCs/>
          <w:iCs/>
          <w:sz w:val="20"/>
          <w:lang w:eastAsia="ru-RU"/>
        </w:rPr>
        <w:t>It is shown that in cylindrical samples of aluminum alloys AMg3, AMg6 under uniaxial compression at the studied strain rates, instability of macroscopic plastic flow does not occur, accompanied by the formation of shear bands leading to the samples failure.</w:t>
      </w:r>
    </w:p>
    <w:p w14:paraId="2C8FB1F5" w14:textId="77777777" w:rsidR="00A434AC" w:rsidRDefault="00000000">
      <w:pPr>
        <w:pStyle w:val="Listenabsatz"/>
        <w:numPr>
          <w:ilvl w:val="0"/>
          <w:numId w:val="5"/>
        </w:numPr>
        <w:jc w:val="both"/>
        <w:rPr>
          <w:bCs/>
          <w:iCs/>
          <w:sz w:val="20"/>
          <w:lang w:eastAsia="ru-RU"/>
        </w:rPr>
      </w:pPr>
      <w:r>
        <w:rPr>
          <w:bCs/>
          <w:iCs/>
          <w:sz w:val="20"/>
          <w:lang w:eastAsia="ru-RU"/>
        </w:rPr>
        <w:t>The true stress–strain curves of MA2-1 magnesium alloy under uniaxial tension and compression at strain rates of 0.1, 100, and 1000 s</w:t>
      </w:r>
      <w:r>
        <w:rPr>
          <w:bCs/>
          <w:iCs/>
          <w:sz w:val="20"/>
          <w:vertAlign w:val="superscript"/>
          <w:lang w:eastAsia="ru-RU"/>
        </w:rPr>
        <w:t>-1</w:t>
      </w:r>
      <w:r>
        <w:rPr>
          <w:bCs/>
          <w:iCs/>
          <w:sz w:val="20"/>
          <w:lang w:eastAsia="ru-RU"/>
        </w:rPr>
        <w:t xml:space="preserve"> at room temperature differ qualitatively. The magnesium alloy exhibits not only asymmetry in tensile and compressive yield strengths over a wide range of strain rates but also distinct strain hardening patterns. The asymmetry of resistance to plastic deformation under compression and tension over a wide range of strain rates must be </w:t>
      </w:r>
      <w:proofErr w:type="gramStart"/>
      <w:r>
        <w:rPr>
          <w:bCs/>
          <w:iCs/>
          <w:sz w:val="20"/>
          <w:lang w:eastAsia="ru-RU"/>
        </w:rPr>
        <w:t>taken into account</w:t>
      </w:r>
      <w:proofErr w:type="gramEnd"/>
      <w:r>
        <w:rPr>
          <w:bCs/>
          <w:iCs/>
          <w:sz w:val="20"/>
          <w:lang w:eastAsia="ru-RU"/>
        </w:rPr>
        <w:t xml:space="preserve"> in wide-range constitutive equations. </w:t>
      </w:r>
    </w:p>
    <w:p w14:paraId="1FAADD78" w14:textId="77777777" w:rsidR="00A434AC" w:rsidRDefault="00000000">
      <w:pPr>
        <w:pStyle w:val="Listenabsatz"/>
        <w:numPr>
          <w:ilvl w:val="0"/>
          <w:numId w:val="5"/>
        </w:numPr>
        <w:jc w:val="both"/>
        <w:rPr>
          <w:bCs/>
          <w:iCs/>
          <w:sz w:val="20"/>
          <w:lang w:eastAsia="ru-RU"/>
        </w:rPr>
      </w:pPr>
      <w:r>
        <w:rPr>
          <w:bCs/>
          <w:iCs/>
          <w:sz w:val="20"/>
          <w:lang w:eastAsia="ru-RU"/>
        </w:rPr>
        <w:lastRenderedPageBreak/>
        <w:t>The experimental results confirm the need to use different constitutive equations for aluminum alloys belonging to the FCC isomechanical group of alloys and for magnesium alloys belonging to the HCP isomechanical subgroup of metallic materials.</w:t>
      </w:r>
    </w:p>
    <w:p w14:paraId="78FF19C9" w14:textId="77777777" w:rsidR="00A434AC" w:rsidRDefault="00000000">
      <w:pPr>
        <w:pStyle w:val="Listenabsatz"/>
        <w:numPr>
          <w:ilvl w:val="0"/>
          <w:numId w:val="5"/>
        </w:numPr>
        <w:jc w:val="both"/>
        <w:rPr>
          <w:bCs/>
          <w:iCs/>
          <w:sz w:val="20"/>
          <w:lang w:eastAsia="ru-RU"/>
        </w:rPr>
      </w:pPr>
      <w:r>
        <w:rPr>
          <w:bCs/>
          <w:iCs/>
          <w:sz w:val="20"/>
          <w:lang w:eastAsia="ru-RU"/>
        </w:rPr>
        <w:t>3. The emergences of instability plastic flow, recorded in experiments on uniaxial tension and compression of AMg3, AMg6, and MA2-1 alloy samples, correlate well with the predictions according to the Considere criterion at strain rates of 0.1, 100, and 1000 s</w:t>
      </w:r>
      <w:r>
        <w:rPr>
          <w:bCs/>
          <w:iCs/>
          <w:sz w:val="20"/>
          <w:vertAlign w:val="superscript"/>
          <w:lang w:eastAsia="ru-RU"/>
        </w:rPr>
        <w:t>-1</w:t>
      </w:r>
      <w:r>
        <w:rPr>
          <w:bCs/>
          <w:iCs/>
          <w:sz w:val="20"/>
          <w:lang w:eastAsia="ru-RU"/>
        </w:rPr>
        <w:t xml:space="preserve"> and at room temperature.</w:t>
      </w:r>
    </w:p>
    <w:p w14:paraId="6D8D2203" w14:textId="77777777" w:rsidR="00A434AC" w:rsidRPr="005845DD" w:rsidRDefault="00000000" w:rsidP="005845DD">
      <w:pPr>
        <w:pStyle w:val="berschrift1"/>
      </w:pPr>
      <w:r w:rsidRPr="005845DD">
        <w:t>Acknowledgments</w:t>
      </w:r>
    </w:p>
    <w:p w14:paraId="5A5EBFCE" w14:textId="77777777" w:rsidR="00A434AC" w:rsidRDefault="00000000" w:rsidP="005845DD">
      <w:pPr>
        <w:pStyle w:val="Paragraph"/>
        <w:rPr>
          <w:b/>
          <w:caps/>
          <w:lang w:eastAsia="ru-RU"/>
        </w:rPr>
      </w:pPr>
      <w:r>
        <w:rPr>
          <w:lang w:eastAsia="ru-RU"/>
        </w:rPr>
        <w:t>The work was supported by the Russian Science Foundation: project 24-79-10103. The authors thank the Russian Science Foundation for research support.</w:t>
      </w:r>
    </w:p>
    <w:p w14:paraId="7FF11F45" w14:textId="77777777" w:rsidR="00A434AC" w:rsidRDefault="00000000" w:rsidP="005845DD">
      <w:pPr>
        <w:pStyle w:val="berschrift1"/>
        <w:rPr>
          <w:rFonts w:asciiTheme="majorBidi" w:hAnsiTheme="majorBidi"/>
        </w:rPr>
      </w:pPr>
      <w:r>
        <w:t>References</w:t>
      </w:r>
    </w:p>
    <w:p w14:paraId="6049874F" w14:textId="745ACF6B" w:rsidR="00A434AC" w:rsidRDefault="00000000">
      <w:pPr>
        <w:pStyle w:val="Paragraph"/>
        <w:ind w:left="425" w:hanging="425"/>
        <w:rPr>
          <w:color w:val="000000"/>
        </w:rPr>
      </w:pPr>
      <w:r>
        <w:rPr>
          <w:caps/>
        </w:rPr>
        <w:t>1.</w:t>
      </w:r>
      <w:r>
        <w:rPr>
          <w:caps/>
        </w:rPr>
        <w:tab/>
      </w:r>
      <w:r>
        <w:rPr>
          <w:color w:val="000000"/>
        </w:rPr>
        <w:t xml:space="preserve">M.-S. Joun, M.K. Razali, C.-W. Jee, J.-B. Byun, M.-C. Kim, K.-M. Kim, A review of flow characterization of metallic materials in the cold forming temperature range and its major issues, </w:t>
      </w:r>
      <w:r>
        <w:rPr>
          <w:iCs/>
          <w:color w:val="000000"/>
        </w:rPr>
        <w:t>Materials</w:t>
      </w:r>
      <w:r>
        <w:rPr>
          <w:color w:val="000000"/>
        </w:rPr>
        <w:t xml:space="preserve"> </w:t>
      </w:r>
      <w:r>
        <w:rPr>
          <w:b/>
          <w:iCs/>
          <w:color w:val="000000"/>
        </w:rPr>
        <w:t>15</w:t>
      </w:r>
      <w:r>
        <w:rPr>
          <w:color w:val="000000"/>
        </w:rPr>
        <w:t>, 2751 (</w:t>
      </w:r>
      <w:r>
        <w:rPr>
          <w:bCs/>
          <w:color w:val="000000"/>
        </w:rPr>
        <w:t>2022</w:t>
      </w:r>
      <w:r>
        <w:rPr>
          <w:color w:val="000000"/>
        </w:rPr>
        <w:t xml:space="preserve">). </w:t>
      </w:r>
      <w:hyperlink r:id="rId40">
        <w:r w:rsidR="00A434AC" w:rsidRPr="008B6003">
          <w:rPr>
            <w:rStyle w:val="Hyperlink"/>
          </w:rPr>
          <w:t>https://doi.org/10.3390/ma15082751</w:t>
        </w:r>
      </w:hyperlink>
    </w:p>
    <w:p w14:paraId="7FD8DB9B" w14:textId="5AD4401E" w:rsidR="00A434AC" w:rsidRDefault="00000000">
      <w:pPr>
        <w:pStyle w:val="Reference"/>
        <w:numPr>
          <w:ilvl w:val="0"/>
          <w:numId w:val="0"/>
        </w:numPr>
        <w:ind w:left="425" w:hanging="425"/>
        <w:rPr>
          <w:rStyle w:val="Hyperlink"/>
          <w:color w:val="auto"/>
          <w:u w:val="none"/>
        </w:rPr>
      </w:pPr>
      <w:r>
        <w:rPr>
          <w:caps/>
        </w:rPr>
        <w:t>2.</w:t>
      </w:r>
      <w:r>
        <w:rPr>
          <w:caps/>
        </w:rPr>
        <w:tab/>
      </w:r>
      <w:r>
        <w:t xml:space="preserve">J. Yang, Z. Zhu, S. Han, Y. Gu, Z. Zhu, H.-D. Zhang, Evolution, limitations, advantages, and future challenges of magnesium alloys as materials for aerospace applications, J. Alloy. Compd. </w:t>
      </w:r>
      <w:r>
        <w:rPr>
          <w:b/>
        </w:rPr>
        <w:t>1008</w:t>
      </w:r>
      <w:r>
        <w:t xml:space="preserve">, 176707 (2024). </w:t>
      </w:r>
      <w:r w:rsidRPr="008B6003">
        <w:rPr>
          <w:rStyle w:val="Hyperlink"/>
        </w:rPr>
        <w:t>https://doi.org/</w:t>
      </w:r>
      <w:hyperlink r:id="rId41" w:tgtFrame="Persistent link using digital object identifier">
        <w:r w:rsidR="00A434AC" w:rsidRPr="008B6003">
          <w:rPr>
            <w:rStyle w:val="Hyperlink"/>
          </w:rPr>
          <w:t>10.1016/j.jallcom.2024.176707</w:t>
        </w:r>
      </w:hyperlink>
    </w:p>
    <w:p w14:paraId="3D6DB774" w14:textId="1BACAFAB" w:rsidR="00A434AC" w:rsidRDefault="00000000">
      <w:pPr>
        <w:pStyle w:val="Reference"/>
        <w:numPr>
          <w:ilvl w:val="0"/>
          <w:numId w:val="0"/>
        </w:numPr>
        <w:ind w:left="425" w:hanging="425"/>
        <w:rPr>
          <w:caps/>
        </w:rPr>
      </w:pPr>
      <w:r>
        <w:rPr>
          <w:caps/>
        </w:rPr>
        <w:t>3.</w:t>
      </w:r>
      <w:r>
        <w:rPr>
          <w:caps/>
        </w:rPr>
        <w:tab/>
      </w:r>
      <w:r>
        <w:rPr>
          <w:color w:val="231F20"/>
        </w:rPr>
        <w:t xml:space="preserve">Frost, H.J.; Ashby, M.F. </w:t>
      </w:r>
      <w:r>
        <w:rPr>
          <w:i/>
          <w:color w:val="231F20"/>
        </w:rPr>
        <w:t>Deformation‐Mechanism Maps</w:t>
      </w:r>
      <w:r>
        <w:rPr>
          <w:color w:val="231F20"/>
        </w:rPr>
        <w:t xml:space="preserve"> (Pergamon Press: Oxford, UK, 1982). 166 p.</w:t>
      </w:r>
    </w:p>
    <w:p w14:paraId="3523B794" w14:textId="77777777" w:rsidR="00A434AC" w:rsidRDefault="00000000">
      <w:pPr>
        <w:pStyle w:val="Reference"/>
        <w:numPr>
          <w:ilvl w:val="0"/>
          <w:numId w:val="0"/>
        </w:numPr>
        <w:ind w:left="425" w:hanging="425"/>
        <w:rPr>
          <w:rStyle w:val="Hyperlink"/>
          <w:color w:val="auto"/>
          <w:u w:val="none"/>
        </w:rPr>
      </w:pPr>
      <w:r>
        <w:rPr>
          <w:caps/>
        </w:rPr>
        <w:t>4.</w:t>
      </w:r>
      <w:r>
        <w:rPr>
          <w:caps/>
        </w:rPr>
        <w:tab/>
      </w:r>
      <w:r>
        <w:rPr>
          <w:rFonts w:eastAsiaTheme="minorHAnsi"/>
        </w:rPr>
        <w:t>P.D. Barros</w:t>
      </w:r>
      <w:hyperlink r:id="rId42">
        <w:r w:rsidR="00A434AC">
          <w:rPr>
            <w:rFonts w:eastAsiaTheme="minorHAnsi"/>
          </w:rPr>
          <w:t>,</w:t>
        </w:r>
      </w:hyperlink>
      <w:r>
        <w:rPr>
          <w:rFonts w:eastAsiaTheme="minorHAnsi"/>
        </w:rPr>
        <w:t xml:space="preserve"> </w:t>
      </w:r>
      <w:hyperlink r:id="rId43">
        <w:r w:rsidR="00A434AC">
          <w:rPr>
            <w:rFonts w:eastAsiaTheme="minorHAnsi"/>
          </w:rPr>
          <w:t>M.C. Oliveira</w:t>
        </w:r>
      </w:hyperlink>
      <w:r>
        <w:rPr>
          <w:rFonts w:eastAsiaTheme="minorHAnsi"/>
        </w:rPr>
        <w:t xml:space="preserve">, </w:t>
      </w:r>
      <w:hyperlink r:id="rId44">
        <w:r w:rsidR="00A434AC">
          <w:rPr>
            <w:rFonts w:eastAsiaTheme="minorHAnsi"/>
          </w:rPr>
          <w:t xml:space="preserve">L.F. Menezes, </w:t>
        </w:r>
      </w:hyperlink>
      <w:r>
        <w:rPr>
          <w:rFonts w:eastAsiaTheme="minorHAnsi"/>
        </w:rPr>
        <w:t xml:space="preserve">Study on the effect of tension-compression asymmetry on the cylindrical cup forming of an AA2090-T3 alloy, </w:t>
      </w:r>
      <w:hyperlink r:id="rId45" w:tgtFrame="Go to International Journal of Solids and Structures on ScienceDirect">
        <w:r w:rsidR="00A434AC">
          <w:rPr>
            <w:rFonts w:eastAsiaTheme="minorHAnsi"/>
          </w:rPr>
          <w:t>Int. J. Solids Struct.</w:t>
        </w:r>
      </w:hyperlink>
      <w:r>
        <w:rPr>
          <w:rFonts w:eastAsiaTheme="minorHAnsi"/>
        </w:rPr>
        <w:t xml:space="preserve"> </w:t>
      </w:r>
      <w:hyperlink r:id="rId46" w:tgtFrame="Go to table of contents for this volume/issue">
        <w:r w:rsidR="00A434AC">
          <w:rPr>
            <w:rFonts w:eastAsiaTheme="minorHAnsi"/>
            <w:b/>
          </w:rPr>
          <w:t>151</w:t>
        </w:r>
      </w:hyperlink>
      <w:r>
        <w:rPr>
          <w:rFonts w:eastAsiaTheme="minorHAnsi"/>
        </w:rPr>
        <w:t xml:space="preserve">, 135-144 (2018). </w:t>
      </w:r>
      <w:hyperlink r:id="rId47" w:tgtFrame="Persistent link using digital object identifier">
        <w:r w:rsidR="00A434AC" w:rsidRPr="008B6003">
          <w:rPr>
            <w:rStyle w:val="Hyperlink"/>
          </w:rPr>
          <w:t>https://doi.org/10.1016/j.ijsolstr.2017.06.034</w:t>
        </w:r>
      </w:hyperlink>
    </w:p>
    <w:p w14:paraId="36468BD2" w14:textId="77777777" w:rsidR="00A434AC" w:rsidRDefault="00000000">
      <w:pPr>
        <w:pStyle w:val="Reference"/>
        <w:numPr>
          <w:ilvl w:val="0"/>
          <w:numId w:val="0"/>
        </w:numPr>
        <w:ind w:left="425" w:hanging="425"/>
        <w:rPr>
          <w:caps/>
        </w:rPr>
      </w:pPr>
      <w:r>
        <w:rPr>
          <w:caps/>
        </w:rPr>
        <w:t xml:space="preserve">5. </w:t>
      </w:r>
      <w:r>
        <w:rPr>
          <w:caps/>
        </w:rPr>
        <w:tab/>
        <w:t>L. C</w:t>
      </w:r>
      <w:r>
        <w:t>hen</w:t>
      </w:r>
      <w:r>
        <w:rPr>
          <w:caps/>
        </w:rPr>
        <w:t>, J. Z</w:t>
      </w:r>
      <w:r>
        <w:t>hang</w:t>
      </w:r>
      <w:r>
        <w:rPr>
          <w:caps/>
        </w:rPr>
        <w:t>, H. Z</w:t>
      </w:r>
      <w:r>
        <w:t>hang,</w:t>
      </w:r>
      <w:r>
        <w:rPr>
          <w:caps/>
        </w:rPr>
        <w:t xml:space="preserve"> A</w:t>
      </w:r>
      <w:r>
        <w:t xml:space="preserve">nisotropic yield criterion for metals exhibiting tension–compression asymmetry, </w:t>
      </w:r>
      <w:r>
        <w:rPr>
          <w:caps/>
        </w:rPr>
        <w:t>AAMM</w:t>
      </w:r>
      <w:r>
        <w:rPr>
          <w:b/>
          <w:caps/>
        </w:rPr>
        <w:t xml:space="preserve"> 13</w:t>
      </w:r>
      <w:r>
        <w:rPr>
          <w:caps/>
        </w:rPr>
        <w:t xml:space="preserve">, </w:t>
      </w:r>
      <w:r>
        <w:t xml:space="preserve">701-723 (2021). </w:t>
      </w:r>
      <w:r w:rsidRPr="008B6003">
        <w:rPr>
          <w:rStyle w:val="Hyperlink"/>
        </w:rPr>
        <w:t>https://doi.org/10.4208/aamm.oa-2019-0328</w:t>
      </w:r>
    </w:p>
    <w:p w14:paraId="4B6ED613" w14:textId="77777777" w:rsidR="00A434AC" w:rsidRDefault="00000000">
      <w:pPr>
        <w:pStyle w:val="Reference"/>
        <w:numPr>
          <w:ilvl w:val="0"/>
          <w:numId w:val="0"/>
        </w:numPr>
        <w:ind w:left="425" w:hanging="425"/>
        <w:rPr>
          <w:caps/>
        </w:rPr>
      </w:pPr>
      <w:r>
        <w:rPr>
          <w:caps/>
        </w:rPr>
        <w:t>6.</w:t>
      </w:r>
      <w:r>
        <w:rPr>
          <w:caps/>
        </w:rPr>
        <w:tab/>
        <w:t>F. X</w:t>
      </w:r>
      <w:r>
        <w:t>iuli</w:t>
      </w:r>
      <w:r>
        <w:rPr>
          <w:caps/>
        </w:rPr>
        <w:t>, S. Q</w:t>
      </w:r>
      <w:r>
        <w:t>ihang</w:t>
      </w:r>
      <w:r>
        <w:rPr>
          <w:caps/>
        </w:rPr>
        <w:t>, W. H</w:t>
      </w:r>
      <w:r>
        <w:t>ui</w:t>
      </w:r>
      <w:r>
        <w:rPr>
          <w:caps/>
        </w:rPr>
        <w:t>, P. Y</w:t>
      </w:r>
      <w:r>
        <w:t>ongzhi,</w:t>
      </w:r>
      <w:r>
        <w:rPr>
          <w:caps/>
        </w:rPr>
        <w:t xml:space="preserve"> Effect a</w:t>
      </w:r>
      <w:r>
        <w:t xml:space="preserve">nalysis of high strain rate and anisotropy on tension ⁃ compression asymmetry of aluminum alloy </w:t>
      </w:r>
      <w:r>
        <w:rPr>
          <w:caps/>
        </w:rPr>
        <w:t>7050, T</w:t>
      </w:r>
      <w:r>
        <w:t xml:space="preserve">rans. Nanjing Univ. Aeronaut. </w:t>
      </w:r>
      <w:r>
        <w:rPr>
          <w:b/>
          <w:caps/>
        </w:rPr>
        <w:t>37</w:t>
      </w:r>
      <w:r>
        <w:rPr>
          <w:caps/>
        </w:rPr>
        <w:t xml:space="preserve">, 376-384 (2020). </w:t>
      </w:r>
      <w:r w:rsidRPr="008B6003">
        <w:rPr>
          <w:rStyle w:val="Hyperlink"/>
        </w:rPr>
        <w:t>https://doi.org/</w:t>
      </w:r>
      <w:hyperlink r:id="rId48" w:tgtFrame="_blank">
        <w:r w:rsidR="00A434AC" w:rsidRPr="008B6003">
          <w:rPr>
            <w:rStyle w:val="Hyperlink"/>
          </w:rPr>
          <w:t>10.16356/j.1005-1120.2020.03.004</w:t>
        </w:r>
      </w:hyperlink>
    </w:p>
    <w:p w14:paraId="7617681F" w14:textId="2E7372FE" w:rsidR="00A434AC" w:rsidRPr="008B6003" w:rsidRDefault="00000000">
      <w:pPr>
        <w:pStyle w:val="Reference"/>
        <w:numPr>
          <w:ilvl w:val="0"/>
          <w:numId w:val="0"/>
        </w:numPr>
        <w:ind w:left="425" w:hanging="425"/>
        <w:rPr>
          <w:rStyle w:val="Hyperlink"/>
        </w:rPr>
      </w:pPr>
      <w:r>
        <w:rPr>
          <w:caps/>
        </w:rPr>
        <w:t>7.</w:t>
      </w:r>
      <w:r>
        <w:rPr>
          <w:caps/>
        </w:rPr>
        <w:tab/>
      </w:r>
      <w:r>
        <w:t xml:space="preserve">V. V. Skripnyak, N. V. Skripnyak, O. N. Zagorodkin, V. A. Skripnyak, Ductile fracture of Mg–3Al–1Zn alloy under dynamic loads, </w:t>
      </w:r>
      <w:r>
        <w:rPr>
          <w:iCs/>
          <w:color w:val="231F20"/>
        </w:rPr>
        <w:t>Vestnik Tomskogo gosudarstvennogo universiteta. Matematika i mekhanika – Tomsk State University Journal of Mathematics and Mechanics</w:t>
      </w:r>
      <w:r>
        <w:rPr>
          <w:color w:val="231F20"/>
        </w:rPr>
        <w:t xml:space="preserve"> </w:t>
      </w:r>
      <w:r>
        <w:rPr>
          <w:b/>
          <w:color w:val="231F20"/>
        </w:rPr>
        <w:t>95</w:t>
      </w:r>
      <w:r>
        <w:rPr>
          <w:color w:val="231F20"/>
        </w:rPr>
        <w:t xml:space="preserve">, 164–179 (2025). </w:t>
      </w:r>
      <w:r w:rsidRPr="008B6003">
        <w:rPr>
          <w:rStyle w:val="Hyperlink"/>
        </w:rPr>
        <w:t>https://doi.org/10.17223/19988621/95/14</w:t>
      </w:r>
    </w:p>
    <w:p w14:paraId="7B026991" w14:textId="77777777" w:rsidR="00A434AC" w:rsidRDefault="00000000">
      <w:pPr>
        <w:pStyle w:val="Reference"/>
        <w:numPr>
          <w:ilvl w:val="0"/>
          <w:numId w:val="0"/>
        </w:numPr>
        <w:ind w:left="425" w:hanging="425"/>
      </w:pPr>
      <w:r>
        <w:rPr>
          <w:caps/>
        </w:rPr>
        <w:t xml:space="preserve">8. </w:t>
      </w:r>
      <w:r>
        <w:rPr>
          <w:caps/>
        </w:rPr>
        <w:tab/>
      </w:r>
      <w:r>
        <w:rPr>
          <w:color w:val="000000"/>
        </w:rPr>
        <w:t>V.A. Skripnyak, M.O. Chirkov, V.V. Skripnyak, Mechanical behavior of aluminum alloy 1520 under tension in the range of strain rates from 10</w:t>
      </w:r>
      <w:r>
        <w:rPr>
          <w:color w:val="000000"/>
          <w:vertAlign w:val="superscript"/>
        </w:rPr>
        <w:t>–1</w:t>
      </w:r>
      <w:r>
        <w:rPr>
          <w:color w:val="000000"/>
        </w:rPr>
        <w:t xml:space="preserve"> to 10</w:t>
      </w:r>
      <w:r>
        <w:rPr>
          <w:color w:val="000000"/>
          <w:vertAlign w:val="superscript"/>
        </w:rPr>
        <w:t xml:space="preserve">3 </w:t>
      </w:r>
      <w:r>
        <w:rPr>
          <w:color w:val="000000"/>
        </w:rPr>
        <w:t>s</w:t>
      </w:r>
      <w:r>
        <w:rPr>
          <w:color w:val="000000"/>
          <w:vertAlign w:val="superscript"/>
        </w:rPr>
        <w:t>–1</w:t>
      </w:r>
      <w:r>
        <w:rPr>
          <w:color w:val="000000"/>
        </w:rPr>
        <w:t xml:space="preserve">. </w:t>
      </w:r>
      <w:r>
        <w:rPr>
          <w:iCs/>
          <w:color w:val="000000"/>
        </w:rPr>
        <w:t>Vestnik Tomskogo gosudarstvennogo universiteta. Matematika i mekhanika – Tomsk State University Journal of Mathematics and Mechanics</w:t>
      </w:r>
      <w:r>
        <w:rPr>
          <w:color w:val="000000"/>
        </w:rPr>
        <w:t xml:space="preserve"> </w:t>
      </w:r>
      <w:r>
        <w:rPr>
          <w:b/>
          <w:color w:val="000000"/>
        </w:rPr>
        <w:t>86</w:t>
      </w:r>
      <w:r>
        <w:rPr>
          <w:color w:val="000000"/>
        </w:rPr>
        <w:t xml:space="preserve">, 120–135 (2023).  </w:t>
      </w:r>
      <w:hyperlink r:id="rId49">
        <w:r w:rsidR="00A434AC" w:rsidRPr="008B6003">
          <w:rPr>
            <w:rStyle w:val="Hyperlink"/>
          </w:rPr>
          <w:t>https://doi.org/10.17223/19988621/86/9</w:t>
        </w:r>
      </w:hyperlink>
    </w:p>
    <w:p w14:paraId="2698C6B4" w14:textId="77777777" w:rsidR="00A434AC" w:rsidRDefault="00000000">
      <w:pPr>
        <w:pStyle w:val="Reference"/>
        <w:numPr>
          <w:ilvl w:val="0"/>
          <w:numId w:val="0"/>
        </w:numPr>
        <w:ind w:left="425" w:hanging="425"/>
      </w:pPr>
      <w:r>
        <w:rPr>
          <w:caps/>
        </w:rPr>
        <w:t>9.</w:t>
      </w:r>
      <w:r>
        <w:rPr>
          <w:caps/>
        </w:rPr>
        <w:tab/>
      </w:r>
      <w:r>
        <w:t xml:space="preserve">N. A. Ozdur, S. C. Ermana, R. Seghir, L. Stainier, C.C. Aydıner, A thermomechanical investigation of textured magnesium </w:t>
      </w:r>
      <w:proofErr w:type="gramStart"/>
      <w:r>
        <w:t>in an effort to</w:t>
      </w:r>
      <w:proofErr w:type="gramEnd"/>
      <w:r>
        <w:t xml:space="preserve"> validate crystalplasticity simulations, Procedia Structural Integrity IWPDF 2023, 61, 277–284 (2024) Procedia Structural Integrity </w:t>
      </w:r>
      <w:r>
        <w:rPr>
          <w:b/>
        </w:rPr>
        <w:t>61</w:t>
      </w:r>
      <w:r>
        <w:t>. pp. 277–284.</w:t>
      </w:r>
      <w:hyperlink r:id="rId50">
        <w:r w:rsidR="00A434AC">
          <w:rPr>
            <w:rStyle w:val="Hyperlink"/>
            <w:color w:val="auto"/>
            <w:u w:val="none"/>
          </w:rPr>
          <w:t xml:space="preserve"> </w:t>
        </w:r>
        <w:r w:rsidR="00A434AC" w:rsidRPr="008B6003">
          <w:rPr>
            <w:rStyle w:val="Hyperlink"/>
          </w:rPr>
          <w:t>https://doi.org/10.1016/j.prostr.2024.06.035</w:t>
        </w:r>
      </w:hyperlink>
    </w:p>
    <w:p w14:paraId="4E0BB7F0" w14:textId="77777777" w:rsidR="00A434AC" w:rsidRDefault="00000000">
      <w:pPr>
        <w:pStyle w:val="Reference"/>
        <w:numPr>
          <w:ilvl w:val="0"/>
          <w:numId w:val="0"/>
        </w:numPr>
        <w:ind w:left="425" w:hanging="425"/>
      </w:pPr>
      <w:r>
        <w:t>10.</w:t>
      </w:r>
      <w:r>
        <w:tab/>
        <w:t xml:space="preserve">J.K. Holmen, B. H. Frodal, H. Bjørn, O.S. Hopperstad, T. Børvik, Strength differential effect in age hardened aluminum alloys. Int. J. Plast, </w:t>
      </w:r>
      <w:r>
        <w:rPr>
          <w:b/>
        </w:rPr>
        <w:t>99</w:t>
      </w:r>
      <w:r>
        <w:t xml:space="preserve"> S0749-6419(17)30321-2 (2017). </w:t>
      </w:r>
      <w:proofErr w:type="gramStart"/>
      <w:r>
        <w:t>doi:10.1016/j.ijplas</w:t>
      </w:r>
      <w:proofErr w:type="gramEnd"/>
      <w:r>
        <w:t>.2017.09.004</w:t>
      </w:r>
    </w:p>
    <w:p w14:paraId="329C5625" w14:textId="1E0F34A5" w:rsidR="00A434AC" w:rsidRDefault="00000000">
      <w:pPr>
        <w:pStyle w:val="Reference"/>
        <w:numPr>
          <w:ilvl w:val="0"/>
          <w:numId w:val="0"/>
        </w:numPr>
        <w:ind w:left="425" w:hanging="425"/>
        <w:rPr>
          <w:rStyle w:val="Hyperlink"/>
          <w:color w:val="auto"/>
          <w:u w:val="none"/>
        </w:rPr>
      </w:pPr>
      <w:r>
        <w:t>11.</w:t>
      </w:r>
      <w:r>
        <w:tab/>
        <w:t xml:space="preserve">I.S. Yasnikov, A. Vinogradov, Y. Estrin, Revisiting the Considère criterion from the viewpoint of dislocation theory fundamentals, Scr. Mater. </w:t>
      </w:r>
      <w:r>
        <w:rPr>
          <w:b/>
        </w:rPr>
        <w:t>76</w:t>
      </w:r>
      <w:r>
        <w:t>, 37–40 (2014).</w:t>
      </w:r>
      <w:hyperlink r:id="rId51">
        <w:r w:rsidR="00A434AC">
          <w:rPr>
            <w:rStyle w:val="Hyperlink"/>
            <w:color w:val="auto"/>
            <w:u w:val="none"/>
          </w:rPr>
          <w:t xml:space="preserve"> </w:t>
        </w:r>
        <w:r w:rsidR="00A434AC" w:rsidRPr="008B6003">
          <w:rPr>
            <w:rStyle w:val="Hyperlink"/>
          </w:rPr>
          <w:t>https://doi.org/10.1016/j.scriptamat.2013.12.009</w:t>
        </w:r>
      </w:hyperlink>
    </w:p>
    <w:p w14:paraId="32A188C2" w14:textId="292F3B07" w:rsidR="00A434AC" w:rsidRDefault="00000000">
      <w:pPr>
        <w:pStyle w:val="Reference"/>
        <w:numPr>
          <w:ilvl w:val="0"/>
          <w:numId w:val="0"/>
        </w:numPr>
        <w:ind w:left="425" w:hanging="425"/>
        <w:rPr>
          <w:rStyle w:val="Hyperlink"/>
          <w:color w:val="auto"/>
          <w:u w:val="none"/>
        </w:rPr>
      </w:pPr>
      <w:r>
        <w:rPr>
          <w:rStyle w:val="Hyperlink"/>
          <w:color w:val="auto"/>
          <w:u w:val="none"/>
        </w:rPr>
        <w:t>12.</w:t>
      </w:r>
      <w:r>
        <w:rPr>
          <w:rStyle w:val="Hyperlink"/>
          <w:color w:val="auto"/>
          <w:u w:val="none"/>
        </w:rPr>
        <w:tab/>
      </w:r>
      <w:r>
        <w:rPr>
          <w:bCs/>
          <w:iCs/>
          <w:lang w:eastAsia="ru-RU"/>
        </w:rPr>
        <w:t xml:space="preserve">X. </w:t>
      </w:r>
      <w:proofErr w:type="gramStart"/>
      <w:r>
        <w:rPr>
          <w:bCs/>
          <w:iCs/>
          <w:lang w:eastAsia="ru-RU"/>
        </w:rPr>
        <w:t>Zhu,·</w:t>
      </w:r>
      <w:proofErr w:type="gramEnd"/>
      <w:r>
        <w:rPr>
          <w:bCs/>
          <w:iCs/>
          <w:lang w:eastAsia="ru-RU"/>
        </w:rPr>
        <w:t xml:space="preserve">Y. Lei, H. </w:t>
      </w:r>
      <w:proofErr w:type="gramStart"/>
      <w:r>
        <w:rPr>
          <w:bCs/>
          <w:iCs/>
          <w:lang w:eastAsia="ru-RU"/>
        </w:rPr>
        <w:t>Wan,·</w:t>
      </w:r>
      <w:proofErr w:type="gramEnd"/>
      <w:r>
        <w:rPr>
          <w:bCs/>
          <w:iCs/>
          <w:lang w:eastAsia="ru-RU"/>
        </w:rPr>
        <w:t xml:space="preserve"> S. Li, G. Dui Constitutive modeling of porosity and grain size effects on superelasticity of porous nanocrystalline NiTi shape memory alloy, Acta Mechanica. </w:t>
      </w:r>
      <w:r>
        <w:rPr>
          <w:b/>
          <w:bCs/>
          <w:iCs/>
          <w:lang w:eastAsia="ru-RU"/>
        </w:rPr>
        <w:t>234</w:t>
      </w:r>
      <w:r>
        <w:rPr>
          <w:bCs/>
          <w:iCs/>
          <w:lang w:eastAsia="ru-RU"/>
        </w:rPr>
        <w:t xml:space="preserve">, 6499 – 6513 (2023). </w:t>
      </w:r>
      <w:r w:rsidRPr="008B6003">
        <w:rPr>
          <w:rStyle w:val="Hyperlink"/>
        </w:rPr>
        <w:t>https://doi.org /10.1007/s00707-023-03721-0</w:t>
      </w:r>
    </w:p>
    <w:p w14:paraId="7A08409B" w14:textId="77777777" w:rsidR="00A434AC" w:rsidRDefault="00000000">
      <w:pPr>
        <w:pStyle w:val="Reference"/>
        <w:numPr>
          <w:ilvl w:val="0"/>
          <w:numId w:val="0"/>
        </w:numPr>
        <w:ind w:left="425" w:hanging="425"/>
      </w:pPr>
      <w:r>
        <w:rPr>
          <w:rStyle w:val="Hyperlink"/>
          <w:color w:val="auto"/>
          <w:u w:val="none"/>
        </w:rPr>
        <w:t>13.</w:t>
      </w:r>
      <w:r>
        <w:rPr>
          <w:rStyle w:val="Hyperlink"/>
          <w:color w:val="auto"/>
          <w:u w:val="none"/>
        </w:rPr>
        <w:tab/>
      </w:r>
      <w:r>
        <w:t xml:space="preserve">A. Needleman, V. Tvergaard, Analyses of plastic flow localization in metals, Appl. Mech. Rev. </w:t>
      </w:r>
      <w:r>
        <w:rPr>
          <w:b/>
        </w:rPr>
        <w:t>45</w:t>
      </w:r>
      <w:r>
        <w:t xml:space="preserve">, S3–S18 (1992). </w:t>
      </w:r>
      <w:hyperlink r:id="rId52">
        <w:r w:rsidR="00A434AC" w:rsidRPr="008B6003">
          <w:rPr>
            <w:rStyle w:val="Hyperlink"/>
          </w:rPr>
          <w:t>https://doi.org/10.1115/1.3121390</w:t>
        </w:r>
      </w:hyperlink>
    </w:p>
    <w:p w14:paraId="29A37B1D" w14:textId="77777777" w:rsidR="00A434AC" w:rsidRDefault="00000000">
      <w:pPr>
        <w:pStyle w:val="Reference"/>
        <w:numPr>
          <w:ilvl w:val="0"/>
          <w:numId w:val="0"/>
        </w:numPr>
        <w:ind w:left="425" w:hanging="425"/>
      </w:pPr>
      <w:r>
        <w:t>14.</w:t>
      </w:r>
      <w:r>
        <w:tab/>
        <w:t xml:space="preserve">C.Y. Gao, L.C. Zhang, H.X. Yan, A new constitutive model for HCP metals, Mater. Sci. Eng. A </w:t>
      </w:r>
      <w:r>
        <w:rPr>
          <w:b/>
        </w:rPr>
        <w:t>528</w:t>
      </w:r>
      <w:r>
        <w:t xml:space="preserve"> 4445–4452 (2011). </w:t>
      </w:r>
      <w:r w:rsidRPr="008B6003">
        <w:rPr>
          <w:rStyle w:val="Hyperlink"/>
        </w:rPr>
        <w:t>https://doi.org/10.1016/j.msea.2011.02.053</w:t>
      </w:r>
    </w:p>
    <w:p w14:paraId="7FB6C44C" w14:textId="77777777" w:rsidR="00A434AC" w:rsidRDefault="00000000">
      <w:pPr>
        <w:pStyle w:val="Reference"/>
        <w:numPr>
          <w:ilvl w:val="0"/>
          <w:numId w:val="0"/>
        </w:numPr>
        <w:ind w:left="425" w:hanging="425"/>
      </w:pPr>
      <w:r>
        <w:t>15.</w:t>
      </w:r>
      <w:r>
        <w:tab/>
        <w:t xml:space="preserve">Y. Lei, M. Zhan, H. Xin, L. Ma, Y. Yuan, H. Zhang, Z. Zheng, Comparison of the strain rate sensitivity in AZ31 and WE43 magnesium alloys under different loading conditions, Crystals, </w:t>
      </w:r>
      <w:r>
        <w:rPr>
          <w:b/>
        </w:rPr>
        <w:t>13</w:t>
      </w:r>
      <w:r>
        <w:t xml:space="preserve">, 554 (2023). </w:t>
      </w:r>
      <w:r w:rsidRPr="008B6003">
        <w:rPr>
          <w:rStyle w:val="Hyperlink"/>
        </w:rPr>
        <w:t>https://doi.org/10.3390/cryst13040554</w:t>
      </w:r>
    </w:p>
    <w:sectPr w:rsidR="00A434AC">
      <w:pgSz w:w="12240" w:h="15840"/>
      <w:pgMar w:top="1440" w:right="1440" w:bottom="1440" w:left="1440" w:header="0" w:footer="0" w:gutter="0"/>
      <w:cols w:space="720"/>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635AD"/>
    <w:multiLevelType w:val="multilevel"/>
    <w:tmpl w:val="F8325898"/>
    <w:lvl w:ilvl="0">
      <w:start w:val="1"/>
      <w:numFmt w:val="decimal"/>
      <w:pStyle w:val="Referen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5A121F67"/>
    <w:multiLevelType w:val="multilevel"/>
    <w:tmpl w:val="EB888020"/>
    <w:lvl w:ilvl="0">
      <w:start w:val="1"/>
      <w:numFmt w:val="bullet"/>
      <w:pStyle w:val="Paragraphbulleted"/>
      <w:lvlText w:val=""/>
      <w:lvlJc w:val="left"/>
      <w:pPr>
        <w:tabs>
          <w:tab w:val="num" w:pos="0"/>
        </w:tabs>
        <w:ind w:left="1920" w:hanging="360"/>
      </w:pPr>
      <w:rPr>
        <w:rFonts w:ascii="Symbol" w:hAnsi="Symbol" w:cs="Symbol"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2" w15:restartNumberingAfterBreak="0">
    <w:nsid w:val="6296704D"/>
    <w:multiLevelType w:val="multilevel"/>
    <w:tmpl w:val="09B0175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77716918"/>
    <w:multiLevelType w:val="multilevel"/>
    <w:tmpl w:val="0114C290"/>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4" w15:restartNumberingAfterBreak="0">
    <w:nsid w:val="7E611A47"/>
    <w:multiLevelType w:val="multilevel"/>
    <w:tmpl w:val="A0127A60"/>
    <w:lvl w:ilvl="0">
      <w:start w:val="1"/>
      <w:numFmt w:val="decimal"/>
      <w:pStyle w:val="Paragraphnumbered"/>
      <w:lvlText w:val="%1."/>
      <w:lvlJc w:val="left"/>
      <w:pPr>
        <w:tabs>
          <w:tab w:val="num" w:pos="0"/>
        </w:tabs>
        <w:ind w:left="644"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num w:numId="1" w16cid:durableId="1467358236">
    <w:abstractNumId w:val="2"/>
  </w:num>
  <w:num w:numId="2" w16cid:durableId="2135098087">
    <w:abstractNumId w:val="0"/>
  </w:num>
  <w:num w:numId="3" w16cid:durableId="16860258">
    <w:abstractNumId w:val="1"/>
  </w:num>
  <w:num w:numId="4" w16cid:durableId="1284341079">
    <w:abstractNumId w:val="4"/>
  </w:num>
  <w:num w:numId="5" w16cid:durableId="15381956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defaultTabStop w:val="720"/>
  <w:autoHyphenation/>
  <w:hyphenationZone w:val="425"/>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34AC"/>
    <w:rsid w:val="0001358E"/>
    <w:rsid w:val="001966C6"/>
    <w:rsid w:val="004C7A09"/>
    <w:rsid w:val="005845DD"/>
    <w:rsid w:val="005A5CF5"/>
    <w:rsid w:val="00753EB8"/>
    <w:rsid w:val="007B0469"/>
    <w:rsid w:val="008B6003"/>
    <w:rsid w:val="00A434AC"/>
    <w:rsid w:val="00AC06D3"/>
    <w:rsid w:val="00C31D2B"/>
    <w:rsid w:val="00CC6C8B"/>
  </w:rsids>
  <m:mathPr>
    <m:mathFont m:val="Cambria Math"/>
    <m:brkBin m:val="before"/>
    <m:brkBinSub m:val="--"/>
    <m:smallFrac m:val="0"/>
    <m:dispDef/>
    <m:lMargin m:val="0"/>
    <m:rMargin m:val="0"/>
    <m:defJc m:val="centerGroup"/>
    <m:wrapIndent m:val="1440"/>
    <m:intLim m:val="subSup"/>
    <m:naryLim m:val="undOvr"/>
  </m:mathPr>
  <w:themeFontLang w:val="en-GB" w:eastAsia="" w:bidi="ar-SA"/>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1ECC1F23"/>
  <w15:docId w15:val="{558322A5-7301-4CAE-A9DA-2D9C9E2C6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E3CB2"/>
    <w:rPr>
      <w:sz w:val="24"/>
      <w:lang w:val="en-US" w:eastAsia="en-US"/>
    </w:rPr>
  </w:style>
  <w:style w:type="paragraph" w:styleId="berschrift1">
    <w:name w:val="heading 1"/>
    <w:basedOn w:val="Standard"/>
    <w:next w:val="Paragraph"/>
    <w:qFormat/>
    <w:pPr>
      <w:keepNext/>
      <w:spacing w:before="240" w:after="240"/>
      <w:jc w:val="center"/>
      <w:outlineLvl w:val="0"/>
    </w:pPr>
    <w:rPr>
      <w:b/>
      <w:caps/>
    </w:rPr>
  </w:style>
  <w:style w:type="paragraph" w:styleId="berschrift2">
    <w:name w:val="heading 2"/>
    <w:basedOn w:val="Standard"/>
    <w:next w:val="Paragraph"/>
    <w:qFormat/>
    <w:pPr>
      <w:keepNext/>
      <w:spacing w:before="240" w:after="240"/>
      <w:jc w:val="center"/>
      <w:outlineLvl w:val="1"/>
    </w:pPr>
    <w:rPr>
      <w:b/>
    </w:rPr>
  </w:style>
  <w:style w:type="paragraph" w:styleId="berschrift3">
    <w:name w:val="heading 3"/>
    <w:basedOn w:val="Standard"/>
    <w:next w:val="Standard"/>
    <w:link w:val="berschrift3Zchn"/>
    <w:qFormat/>
    <w:rsid w:val="005854B0"/>
    <w:pPr>
      <w:keepNext/>
      <w:spacing w:before="240" w:after="240"/>
      <w:jc w:val="center"/>
      <w:outlineLvl w:val="2"/>
    </w:pPr>
    <w:rPr>
      <w:i/>
      <w:iCs/>
      <w:sz w:val="2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Characters">
    <w:name w:val="Footnote Characters"/>
    <w:semiHidden/>
    <w:qFormat/>
    <w:rPr>
      <w:vertAlign w:val="superscript"/>
    </w:rPr>
  </w:style>
  <w:style w:type="character" w:styleId="Funotenzeichen">
    <w:name w:val="footnote reference"/>
    <w:rPr>
      <w:vertAlign w:val="superscript"/>
    </w:rPr>
  </w:style>
  <w:style w:type="character" w:customStyle="1" w:styleId="SprechblasentextZchn">
    <w:name w:val="Sprechblasentext Zchn"/>
    <w:basedOn w:val="Absatz-Standardschriftart"/>
    <w:link w:val="Sprechblasentext"/>
    <w:qFormat/>
    <w:rsid w:val="00114AB1"/>
    <w:rPr>
      <w:rFonts w:ascii="Tahoma" w:hAnsi="Tahoma" w:cs="Tahoma"/>
      <w:sz w:val="16"/>
      <w:szCs w:val="16"/>
      <w:lang w:val="en-US" w:eastAsia="en-US"/>
    </w:rPr>
  </w:style>
  <w:style w:type="character" w:styleId="Hyperlink">
    <w:name w:val="Hyperlink"/>
    <w:uiPriority w:val="99"/>
    <w:rPr>
      <w:color w:val="0000FF"/>
      <w:u w:val="single"/>
    </w:rPr>
  </w:style>
  <w:style w:type="character" w:styleId="Fett">
    <w:name w:val="Strong"/>
    <w:basedOn w:val="Absatz-Standardschriftart"/>
    <w:uiPriority w:val="22"/>
    <w:qFormat/>
    <w:rsid w:val="005F7475"/>
    <w:rPr>
      <w:b/>
      <w:bCs/>
    </w:rPr>
  </w:style>
  <w:style w:type="character" w:styleId="Hervorhebung">
    <w:name w:val="Emphasis"/>
    <w:basedOn w:val="Absatz-Standardschriftart"/>
    <w:uiPriority w:val="20"/>
    <w:qFormat/>
    <w:rsid w:val="005F7475"/>
    <w:rPr>
      <w:i/>
      <w:iCs/>
    </w:rPr>
  </w:style>
  <w:style w:type="character" w:customStyle="1" w:styleId="NichtaufgelsteErwhnung1">
    <w:name w:val="Nicht aufgelöste Erwähnung1"/>
    <w:basedOn w:val="Absatz-Standardschriftart"/>
    <w:uiPriority w:val="99"/>
    <w:semiHidden/>
    <w:unhideWhenUsed/>
    <w:qFormat/>
    <w:rsid w:val="00613B4D"/>
    <w:rPr>
      <w:color w:val="808080"/>
      <w:shd w:val="clear" w:color="auto" w:fill="E6E6E6"/>
    </w:rPr>
  </w:style>
  <w:style w:type="character" w:styleId="Kommentarzeichen">
    <w:name w:val="annotation reference"/>
    <w:basedOn w:val="Absatz-Standardschriftart"/>
    <w:semiHidden/>
    <w:unhideWhenUsed/>
    <w:qFormat/>
    <w:rsid w:val="005E71ED"/>
    <w:rPr>
      <w:sz w:val="16"/>
      <w:szCs w:val="16"/>
    </w:rPr>
  </w:style>
  <w:style w:type="character" w:customStyle="1" w:styleId="KommentartextZchn">
    <w:name w:val="Kommentartext Zchn"/>
    <w:basedOn w:val="Absatz-Standardschriftart"/>
    <w:link w:val="Kommentartext"/>
    <w:semiHidden/>
    <w:qFormat/>
    <w:rsid w:val="005E71ED"/>
    <w:rPr>
      <w:lang w:val="en-US" w:eastAsia="en-US"/>
    </w:rPr>
  </w:style>
  <w:style w:type="character" w:customStyle="1" w:styleId="KommentarthemaZchn">
    <w:name w:val="Kommentarthema Zchn"/>
    <w:basedOn w:val="KommentartextZchn"/>
    <w:link w:val="Kommentarthema"/>
    <w:semiHidden/>
    <w:qFormat/>
    <w:rsid w:val="005E71ED"/>
    <w:rPr>
      <w:b/>
      <w:bCs/>
      <w:lang w:val="en-US" w:eastAsia="en-US"/>
    </w:rPr>
  </w:style>
  <w:style w:type="character" w:customStyle="1" w:styleId="berschrift3Zchn">
    <w:name w:val="Überschrift 3 Zchn"/>
    <w:basedOn w:val="Absatz-Standardschriftart"/>
    <w:link w:val="berschrift3"/>
    <w:uiPriority w:val="9"/>
    <w:qFormat/>
    <w:rsid w:val="00DD171C"/>
    <w:rPr>
      <w:i/>
      <w:iCs/>
    </w:rPr>
  </w:style>
  <w:style w:type="character" w:customStyle="1" w:styleId="inlineblock">
    <w:name w:val="inlineblock"/>
    <w:basedOn w:val="Absatz-Standardschriftart"/>
    <w:qFormat/>
    <w:rsid w:val="0005550A"/>
  </w:style>
  <w:style w:type="character" w:customStyle="1" w:styleId="ztplmc">
    <w:name w:val="ztplmc"/>
    <w:basedOn w:val="Absatz-Standardschriftart"/>
    <w:qFormat/>
    <w:rsid w:val="0097369F"/>
  </w:style>
  <w:style w:type="character" w:customStyle="1" w:styleId="rynqvb">
    <w:name w:val="rynqvb"/>
    <w:basedOn w:val="Absatz-Standardschriftart"/>
    <w:qFormat/>
    <w:rsid w:val="0097369F"/>
  </w:style>
  <w:style w:type="character" w:customStyle="1" w:styleId="anchor-text">
    <w:name w:val="anchor-text"/>
    <w:basedOn w:val="Absatz-Standardschriftart"/>
    <w:qFormat/>
    <w:rsid w:val="0075649B"/>
  </w:style>
  <w:style w:type="paragraph" w:customStyle="1" w:styleId="Heading">
    <w:name w:val="Heading"/>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Cs w:val="24"/>
    </w:rPr>
  </w:style>
  <w:style w:type="paragraph" w:customStyle="1" w:styleId="Index">
    <w:name w:val="Index"/>
    <w:basedOn w:val="Standard"/>
    <w:qFormat/>
    <w:pPr>
      <w:suppressLineNumbers/>
    </w:pPr>
    <w:rPr>
      <w:rFonts w:cs="Noto Sans"/>
    </w:rPr>
  </w:style>
  <w:style w:type="paragraph" w:styleId="Funotentext">
    <w:name w:val="footnote text"/>
    <w:basedOn w:val="Standard"/>
    <w:semiHidden/>
    <w:rPr>
      <w:sz w:val="16"/>
    </w:rPr>
  </w:style>
  <w:style w:type="paragraph" w:customStyle="1" w:styleId="PaperTitle">
    <w:name w:val="Paper Title"/>
    <w:basedOn w:val="Standard"/>
    <w:next w:val="AuthorName"/>
    <w:qFormat/>
    <w:pPr>
      <w:spacing w:before="1200"/>
      <w:jc w:val="center"/>
    </w:pPr>
    <w:rPr>
      <w:b/>
      <w:sz w:val="36"/>
    </w:rPr>
  </w:style>
  <w:style w:type="paragraph" w:customStyle="1" w:styleId="AuthorName">
    <w:name w:val="Author Name"/>
    <w:basedOn w:val="Standard"/>
    <w:next w:val="AuthorAffiliation"/>
    <w:qFormat/>
    <w:pPr>
      <w:spacing w:before="360" w:after="360"/>
      <w:jc w:val="center"/>
    </w:pPr>
    <w:rPr>
      <w:sz w:val="28"/>
    </w:rPr>
  </w:style>
  <w:style w:type="paragraph" w:customStyle="1" w:styleId="AuthorAffiliation">
    <w:name w:val="Author Affiliation"/>
    <w:basedOn w:val="Standard"/>
    <w:qFormat/>
    <w:pPr>
      <w:jc w:val="center"/>
    </w:pPr>
    <w:rPr>
      <w:i/>
      <w:sz w:val="20"/>
    </w:rPr>
  </w:style>
  <w:style w:type="paragraph" w:customStyle="1" w:styleId="Abstract">
    <w:name w:val="Abstract"/>
    <w:basedOn w:val="Standard"/>
    <w:next w:val="berschrift1"/>
    <w:qFormat/>
    <w:rsid w:val="00F20BFC"/>
    <w:pPr>
      <w:spacing w:before="360" w:after="360"/>
      <w:ind w:left="289" w:right="289"/>
      <w:jc w:val="both"/>
    </w:pPr>
    <w:rPr>
      <w:sz w:val="18"/>
    </w:rPr>
  </w:style>
  <w:style w:type="paragraph" w:customStyle="1" w:styleId="Paragraph">
    <w:name w:val="Paragraph"/>
    <w:basedOn w:val="Standard"/>
    <w:qFormat/>
    <w:rsid w:val="005E415C"/>
    <w:pPr>
      <w:ind w:firstLine="284"/>
      <w:jc w:val="both"/>
    </w:pPr>
    <w:rPr>
      <w:sz w:val="20"/>
    </w:rPr>
  </w:style>
  <w:style w:type="paragraph" w:customStyle="1" w:styleId="Reference">
    <w:name w:val="Reference"/>
    <w:basedOn w:val="Paragraph"/>
    <w:qFormat/>
    <w:rsid w:val="00AE7500"/>
    <w:pPr>
      <w:numPr>
        <w:numId w:val="2"/>
      </w:numPr>
    </w:pPr>
  </w:style>
  <w:style w:type="paragraph" w:customStyle="1" w:styleId="FigureCaption">
    <w:name w:val="Figure Caption"/>
    <w:next w:val="Paragraph"/>
    <w:qFormat/>
    <w:rsid w:val="00161A5B"/>
    <w:pPr>
      <w:spacing w:before="120"/>
      <w:jc w:val="center"/>
    </w:pPr>
    <w:rPr>
      <w:sz w:val="18"/>
      <w:lang w:val="en-US" w:eastAsia="en-US"/>
    </w:rPr>
  </w:style>
  <w:style w:type="paragraph" w:customStyle="1" w:styleId="Figure">
    <w:name w:val="Figure"/>
    <w:basedOn w:val="Paragraph"/>
    <w:qFormat/>
    <w:pPr>
      <w:keepNext/>
      <w:ind w:firstLine="0"/>
      <w:jc w:val="center"/>
    </w:pPr>
  </w:style>
  <w:style w:type="paragraph" w:customStyle="1" w:styleId="Equation">
    <w:name w:val="Equation"/>
    <w:basedOn w:val="Paragraph"/>
    <w:qFormat/>
    <w:rsid w:val="001146DC"/>
    <w:pPr>
      <w:tabs>
        <w:tab w:val="center" w:pos="4320"/>
        <w:tab w:val="right" w:pos="9242"/>
      </w:tabs>
      <w:ind w:firstLine="0"/>
      <w:jc w:val="center"/>
    </w:pPr>
  </w:style>
  <w:style w:type="paragraph" w:styleId="Sprechblasentext">
    <w:name w:val="Balloon Text"/>
    <w:basedOn w:val="Standard"/>
    <w:link w:val="SprechblasentextZchn"/>
    <w:qFormat/>
    <w:rsid w:val="00114AB1"/>
    <w:rPr>
      <w:rFonts w:ascii="Tahoma" w:hAnsi="Tahoma" w:cs="Tahoma"/>
      <w:sz w:val="16"/>
      <w:szCs w:val="16"/>
    </w:rPr>
  </w:style>
  <w:style w:type="paragraph" w:customStyle="1" w:styleId="Paragraphbulleted">
    <w:name w:val="Paragraph (bulleted)"/>
    <w:basedOn w:val="Paragraph"/>
    <w:qFormat/>
    <w:rsid w:val="0040225B"/>
    <w:pPr>
      <w:numPr>
        <w:numId w:val="3"/>
      </w:numPr>
      <w:ind w:left="641" w:hanging="357"/>
    </w:pPr>
  </w:style>
  <w:style w:type="paragraph" w:customStyle="1" w:styleId="AuthorEmail">
    <w:name w:val="Author Email"/>
    <w:basedOn w:val="Standard"/>
    <w:qFormat/>
    <w:rsid w:val="001D469C"/>
    <w:pPr>
      <w:jc w:val="center"/>
    </w:pPr>
    <w:rPr>
      <w:sz w:val="20"/>
    </w:rPr>
  </w:style>
  <w:style w:type="paragraph" w:styleId="StandardWeb">
    <w:name w:val="Normal (Web)"/>
    <w:basedOn w:val="Standard"/>
    <w:uiPriority w:val="99"/>
    <w:unhideWhenUsed/>
    <w:qFormat/>
    <w:rsid w:val="005F7475"/>
    <w:pPr>
      <w:spacing w:beforeAutospacing="1" w:afterAutospacing="1"/>
    </w:pPr>
    <w:rPr>
      <w:szCs w:val="24"/>
      <w:lang w:val="en-GB" w:eastAsia="en-GB"/>
    </w:rPr>
  </w:style>
  <w:style w:type="paragraph" w:customStyle="1" w:styleId="TableCaption">
    <w:name w:val="Table Caption"/>
    <w:basedOn w:val="FigureCaption"/>
    <w:qFormat/>
    <w:rsid w:val="005A0E21"/>
    <w:rPr>
      <w:szCs w:val="18"/>
    </w:rPr>
  </w:style>
  <w:style w:type="paragraph" w:customStyle="1" w:styleId="Paragraphnumbered">
    <w:name w:val="Paragraph (numbered)"/>
    <w:qFormat/>
    <w:rsid w:val="000B49C0"/>
    <w:pPr>
      <w:numPr>
        <w:numId w:val="4"/>
      </w:numPr>
      <w:jc w:val="both"/>
    </w:pPr>
    <w:rPr>
      <w:lang w:val="en-US" w:eastAsia="en-US"/>
    </w:rPr>
  </w:style>
  <w:style w:type="paragraph" w:styleId="Listenabsatz">
    <w:name w:val="List Paragraph"/>
    <w:basedOn w:val="Standard"/>
    <w:uiPriority w:val="34"/>
    <w:qFormat/>
    <w:rsid w:val="006E4474"/>
    <w:pPr>
      <w:ind w:left="720"/>
      <w:contextualSpacing/>
    </w:pPr>
  </w:style>
  <w:style w:type="paragraph" w:styleId="Kommentartext">
    <w:name w:val="annotation text"/>
    <w:basedOn w:val="Standard"/>
    <w:link w:val="KommentartextZchn"/>
    <w:semiHidden/>
    <w:unhideWhenUsed/>
    <w:rsid w:val="005E71ED"/>
    <w:rPr>
      <w:sz w:val="20"/>
    </w:rPr>
  </w:style>
  <w:style w:type="paragraph" w:styleId="Kommentarthema">
    <w:name w:val="annotation subject"/>
    <w:basedOn w:val="Kommentartext"/>
    <w:next w:val="Kommentartext"/>
    <w:link w:val="KommentarthemaZchn"/>
    <w:semiHidden/>
    <w:unhideWhenUsed/>
    <w:qFormat/>
    <w:rsid w:val="005E71ED"/>
    <w:rPr>
      <w:b/>
      <w:bCs/>
    </w:rPr>
  </w:style>
  <w:style w:type="paragraph" w:customStyle="1" w:styleId="MDPI31text">
    <w:name w:val="MDPI_3.1_text"/>
    <w:uiPriority w:val="99"/>
    <w:qFormat/>
    <w:rsid w:val="00720054"/>
    <w:pPr>
      <w:snapToGrid w:val="0"/>
      <w:spacing w:line="228" w:lineRule="auto"/>
      <w:ind w:left="2608" w:firstLine="425"/>
      <w:jc w:val="both"/>
    </w:pPr>
    <w:rPr>
      <w:rFonts w:ascii="Palatino Linotype" w:hAnsi="Palatino Linotype"/>
      <w:color w:val="000000"/>
      <w:szCs w:val="22"/>
      <w:lang w:val="en-US" w:eastAsia="de-DE" w:bidi="en-US"/>
    </w:rPr>
  </w:style>
  <w:style w:type="table" w:styleId="Tabellenraster">
    <w:name w:val="Table Grid"/>
    <w:basedOn w:val="NormaleTabelle"/>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C31D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png"/><Relationship Id="rId39" Type="http://schemas.openxmlformats.org/officeDocument/2006/relationships/image" Target="media/image16.jpeg"/><Relationship Id="rId21" Type="http://schemas.openxmlformats.org/officeDocument/2006/relationships/oleObject" Target="embeddings/oleObject6.bin"/><Relationship Id="rId34" Type="http://schemas.openxmlformats.org/officeDocument/2006/relationships/image" Target="media/image13.png"/><Relationship Id="rId42" Type="http://schemas.openxmlformats.org/officeDocument/2006/relationships/hyperlink" Target="https://www.sciencedirect.com/author/24461113200/j-l-alves" TargetMode="External"/><Relationship Id="rId47" Type="http://schemas.openxmlformats.org/officeDocument/2006/relationships/hyperlink" Target="https://doi.org/10.1016/j.ijsolstr.2017.06.034" TargetMode="External"/><Relationship Id="rId50" Type="http://schemas.openxmlformats.org/officeDocument/2006/relationships/hyperlink" Target="./%20https://doi.org/10.1016/j.prostr.2024.06.035"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yperlink" Target="https://doi.org/10.3390/ma15082751" TargetMode="External"/><Relationship Id="rId45" Type="http://schemas.openxmlformats.org/officeDocument/2006/relationships/hyperlink" Target="https://www.sciencedirect.com/journal/international-journal-of-solids-and-structures"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1.png"/><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hyperlink" Target="https://www.sciencedirect.com/author/7006184428/luis-filipe-menezes" TargetMode="External"/><Relationship Id="rId52" Type="http://schemas.openxmlformats.org/officeDocument/2006/relationships/hyperlink" Target="https://doi.org/10.1115/1.3121390" TargetMode="External"/><Relationship Id="rId4" Type="http://schemas.openxmlformats.org/officeDocument/2006/relationships/customXml" Target="../customXml/item4.xml"/><Relationship Id="rId9" Type="http://schemas.openxmlformats.org/officeDocument/2006/relationships/hyperlink" Target="mailto:skrp2006@yandex.ru" TargetMode="Externa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png"/><Relationship Id="rId35" Type="http://schemas.openxmlformats.org/officeDocument/2006/relationships/oleObject" Target="embeddings/oleObject13.bin"/><Relationship Id="rId43" Type="http://schemas.openxmlformats.org/officeDocument/2006/relationships/hyperlink" Target="https://www.sciencedirect.com/author/14831564900/marta-c-oliveira" TargetMode="External"/><Relationship Id="rId48" Type="http://schemas.openxmlformats.org/officeDocument/2006/relationships/hyperlink" Target="http://dx.doi.org/10.16356/j.1005-1120.2020.03.004" TargetMode="External"/><Relationship Id="rId8" Type="http://schemas.openxmlformats.org/officeDocument/2006/relationships/webSettings" Target="webSettings.xml"/><Relationship Id="rId51" Type="http://schemas.openxmlformats.org/officeDocument/2006/relationships/hyperlink" Target="./%20https://doi.org/10.1016/j.scriptamat.2013.12.009"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4.bin"/><Relationship Id="rId46" Type="http://schemas.openxmlformats.org/officeDocument/2006/relationships/hyperlink" Target="https://www.sciencedirect.com/journal/international-journal-of-solids-and-structures/vol/151/suppl/C" TargetMode="External"/><Relationship Id="rId20" Type="http://schemas.openxmlformats.org/officeDocument/2006/relationships/image" Target="media/image6.emf"/><Relationship Id="rId41" Type="http://schemas.openxmlformats.org/officeDocument/2006/relationships/hyperlink" Target="https://doi.org/10.1016/j.jallcom.2024.176707"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png"/><Relationship Id="rId36" Type="http://schemas.openxmlformats.org/officeDocument/2006/relationships/image" Target="media/image14.jpeg"/><Relationship Id="rId49" Type="http://schemas.openxmlformats.org/officeDocument/2006/relationships/hyperlink" Target="https://doi.org/10.17223/19988621/86/9"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A06F54-854D-4E65-941B-3584C3688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3493</Words>
  <Characters>18586</Characters>
  <Application>Microsoft Office Word</Application>
  <DocSecurity>0</DocSecurity>
  <Lines>247</Lines>
  <Paragraphs>99</Paragraphs>
  <ScaleCrop>false</ScaleCrop>
  <Company>PPI</Company>
  <LinksUpToDate>false</LinksUpToDate>
  <CharactersWithSpaces>21980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dc:description/>
  <cp:lastModifiedBy>TU-Pseudonym 5300993042411274</cp:lastModifiedBy>
  <cp:revision>11</cp:revision>
  <cp:lastPrinted>2011-03-03T08:29:00Z</cp:lastPrinted>
  <dcterms:created xsi:type="dcterms:W3CDTF">2025-10-10T16:45:00Z</dcterms:created>
  <dcterms:modified xsi:type="dcterms:W3CDTF">2025-11-29T10:32:00Z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